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oter6.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6.xml" ContentType="application/vnd.openxmlformats-officedocument.wordprocessingml.header+xml"/>
  <Override PartName="/word/footer9.xml" ContentType="application/vnd.openxmlformats-officedocument.wordprocessingml.footer+xml"/>
  <Override PartName="/word/header7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BB5" w:rsidRDefault="00AD5BB5">
      <w:pPr>
        <w:rPr>
          <w:b/>
        </w:rPr>
      </w:pPr>
    </w:p>
    <w:p w:rsidR="00AD5BB5" w:rsidRDefault="00AD5BB5">
      <w:pPr>
        <w:rPr>
          <w:b/>
        </w:rPr>
      </w:pPr>
    </w:p>
    <w:p w:rsidR="00AD5BB5" w:rsidRDefault="00AD5BB5">
      <w:pPr>
        <w:rPr>
          <w:b/>
        </w:rPr>
      </w:pPr>
    </w:p>
    <w:p w:rsidR="00AD5BB5" w:rsidRDefault="00AD5BB5">
      <w:pPr>
        <w:rPr>
          <w:rFonts w:ascii="黑体" w:eastAsia="黑体" w:hAnsi="黑体"/>
          <w:b/>
        </w:rPr>
      </w:pPr>
    </w:p>
    <w:p w:rsidR="00AD5BB5" w:rsidRDefault="00AD5BB5">
      <w:pPr>
        <w:rPr>
          <w:b/>
        </w:rPr>
      </w:pPr>
    </w:p>
    <w:p w:rsidR="00AD5BB5" w:rsidRDefault="00AD5BB5">
      <w:pPr>
        <w:rPr>
          <w:b/>
        </w:rPr>
      </w:pPr>
    </w:p>
    <w:p w:rsidR="00AD5BB5" w:rsidRDefault="00AD5BB5">
      <w:pPr>
        <w:rPr>
          <w:b/>
        </w:rPr>
      </w:pPr>
    </w:p>
    <w:p w:rsidR="00AD5BB5" w:rsidRDefault="00AD5BB5">
      <w:pPr>
        <w:rPr>
          <w:b/>
        </w:rPr>
      </w:pPr>
    </w:p>
    <w:p w:rsidR="00AD5BB5" w:rsidRDefault="00F87FF6">
      <w:pPr>
        <w:jc w:val="center"/>
        <w:rPr>
          <w:rFonts w:ascii="黑体" w:eastAsia="黑体" w:hAnsi="黑体"/>
          <w:b/>
          <w:sz w:val="44"/>
        </w:rPr>
      </w:pPr>
      <w:r>
        <w:rPr>
          <w:rFonts w:ascii="黑体" w:eastAsia="黑体" w:hAnsi="黑体" w:hint="eastAsia"/>
          <w:b/>
          <w:noProof/>
          <w:sz w:val="44"/>
        </w:rPr>
        <w:drawing>
          <wp:inline distT="0" distB="0" distL="0" distR="0">
            <wp:extent cx="2657475" cy="8007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658899" cy="801602"/>
                    </a:xfrm>
                    <a:prstGeom prst="rect">
                      <a:avLst/>
                    </a:prstGeom>
                  </pic:spPr>
                </pic:pic>
              </a:graphicData>
            </a:graphic>
          </wp:inline>
        </w:drawing>
      </w:r>
    </w:p>
    <w:p w:rsidR="00AD5BB5" w:rsidRDefault="00AD5BB5">
      <w:pPr>
        <w:jc w:val="center"/>
        <w:rPr>
          <w:rFonts w:ascii="黑体" w:eastAsia="黑体" w:hAnsi="黑体"/>
          <w:b/>
          <w:sz w:val="44"/>
        </w:rPr>
      </w:pPr>
    </w:p>
    <w:p w:rsidR="00AD5BB5" w:rsidRDefault="00F87FF6">
      <w:pPr>
        <w:jc w:val="center"/>
        <w:rPr>
          <w:rFonts w:ascii="黑体" w:eastAsia="黑体" w:hAnsi="黑体"/>
          <w:b/>
          <w:sz w:val="44"/>
        </w:rPr>
      </w:pPr>
      <w:r>
        <w:rPr>
          <w:rFonts w:ascii="黑体" w:eastAsia="黑体" w:hAnsi="黑体" w:hint="eastAsia"/>
          <w:b/>
          <w:sz w:val="44"/>
        </w:rPr>
        <w:t>厦门银行股份有限公司</w:t>
      </w:r>
    </w:p>
    <w:p w:rsidR="00AD5BB5" w:rsidRDefault="00F87FF6">
      <w:pPr>
        <w:jc w:val="center"/>
        <w:rPr>
          <w:rFonts w:ascii="黑体" w:eastAsia="黑体" w:hAnsi="黑体"/>
          <w:b/>
          <w:sz w:val="44"/>
          <w:szCs w:val="44"/>
        </w:rPr>
      </w:pPr>
      <w:r>
        <w:rPr>
          <w:rFonts w:ascii="黑体" w:eastAsia="黑体" w:hAnsi="黑体" w:hint="eastAsia"/>
          <w:b/>
          <w:sz w:val="44"/>
          <w:szCs w:val="44"/>
        </w:rPr>
        <w:t>XIAMEN BANK CO.</w:t>
      </w:r>
      <w:proofErr w:type="gramStart"/>
      <w:r>
        <w:rPr>
          <w:rFonts w:ascii="黑体" w:eastAsia="黑体" w:hAnsi="黑体" w:hint="eastAsia"/>
          <w:b/>
          <w:sz w:val="44"/>
          <w:szCs w:val="44"/>
        </w:rPr>
        <w:t>,LTD</w:t>
      </w:r>
      <w:proofErr w:type="gramEnd"/>
    </w:p>
    <w:p w:rsidR="00AD5BB5" w:rsidRDefault="00AD5BB5">
      <w:pPr>
        <w:jc w:val="center"/>
        <w:rPr>
          <w:rFonts w:ascii="黑体" w:eastAsia="黑体" w:hAnsi="黑体"/>
          <w:b/>
          <w:sz w:val="44"/>
        </w:rPr>
      </w:pPr>
    </w:p>
    <w:p w:rsidR="00AD5BB5" w:rsidRDefault="00F87FF6">
      <w:pPr>
        <w:jc w:val="center"/>
        <w:rPr>
          <w:rFonts w:ascii="黑体" w:eastAsia="黑体" w:hAnsi="黑体"/>
          <w:b/>
          <w:sz w:val="44"/>
        </w:rPr>
      </w:pPr>
      <w:r>
        <w:rPr>
          <w:rFonts w:ascii="黑体" w:eastAsia="黑体" w:hAnsi="黑体" w:hint="eastAsia"/>
          <w:b/>
          <w:sz w:val="44"/>
        </w:rPr>
        <w:t>202</w:t>
      </w:r>
      <w:r>
        <w:rPr>
          <w:rFonts w:ascii="黑体" w:eastAsia="黑体" w:hAnsi="黑体"/>
          <w:b/>
          <w:sz w:val="44"/>
        </w:rPr>
        <w:t>3</w:t>
      </w:r>
      <w:r>
        <w:rPr>
          <w:rFonts w:ascii="黑体" w:eastAsia="黑体" w:hAnsi="黑体" w:hint="eastAsia"/>
          <w:b/>
          <w:sz w:val="44"/>
        </w:rPr>
        <w:t>年半年度报告</w:t>
      </w:r>
    </w:p>
    <w:p w:rsidR="00AD5BB5" w:rsidRDefault="00F87FF6">
      <w:pPr>
        <w:jc w:val="center"/>
        <w:rPr>
          <w:rFonts w:ascii="黑体" w:eastAsia="黑体" w:hAnsi="黑体"/>
          <w:sz w:val="28"/>
          <w:szCs w:val="28"/>
        </w:rPr>
      </w:pPr>
      <w:r>
        <w:rPr>
          <w:rFonts w:ascii="黑体" w:eastAsia="黑体" w:hAnsi="黑体" w:hint="eastAsia"/>
          <w:sz w:val="28"/>
          <w:szCs w:val="28"/>
        </w:rPr>
        <w:t>（A股股票代码：601187）</w:t>
      </w:r>
    </w:p>
    <w:p w:rsidR="00AD5BB5" w:rsidRDefault="00AD5BB5"/>
    <w:p w:rsidR="00AD5BB5" w:rsidRDefault="00AD5BB5"/>
    <w:p w:rsidR="00AD5BB5" w:rsidRDefault="00AD5BB5"/>
    <w:p w:rsidR="00AD5BB5" w:rsidRDefault="00AD5BB5"/>
    <w:p w:rsidR="00AD5BB5" w:rsidRDefault="00AD5BB5"/>
    <w:p w:rsidR="00AD5BB5" w:rsidRDefault="00AD5BB5"/>
    <w:p w:rsidR="00AD5BB5" w:rsidRDefault="00AD5BB5"/>
    <w:p w:rsidR="00AD5BB5" w:rsidRDefault="00F87FF6">
      <w:pPr>
        <w:jc w:val="center"/>
        <w:rPr>
          <w:rFonts w:asciiTheme="minorEastAsia" w:eastAsiaTheme="minorEastAsia" w:hAnsiTheme="minorEastAsia"/>
          <w:b/>
          <w:sz w:val="28"/>
        </w:rPr>
      </w:pPr>
      <w:r>
        <w:rPr>
          <w:rFonts w:ascii="黑体" w:eastAsia="黑体" w:hAnsi="黑体" w:hint="eastAsia"/>
          <w:sz w:val="32"/>
          <w:szCs w:val="32"/>
        </w:rPr>
        <w:t>二○二</w:t>
      </w:r>
      <w:r>
        <w:rPr>
          <w:rFonts w:ascii="黑体" w:eastAsia="黑体" w:hAnsi="黑体"/>
          <w:sz w:val="32"/>
          <w:szCs w:val="32"/>
        </w:rPr>
        <w:t>三</w:t>
      </w:r>
      <w:r>
        <w:rPr>
          <w:rFonts w:ascii="黑体" w:eastAsia="黑体" w:hAnsi="黑体" w:hint="eastAsia"/>
          <w:sz w:val="32"/>
          <w:szCs w:val="32"/>
        </w:rPr>
        <w:t>年八月</w:t>
      </w:r>
      <w:bookmarkStart w:id="0" w:name="_Toc68005706"/>
      <w:bookmarkStart w:id="1" w:name="_Toc387656034"/>
    </w:p>
    <w:p w:rsidR="00AD5BB5" w:rsidRDefault="00AD5BB5">
      <w:pPr>
        <w:widowControl/>
        <w:jc w:val="left"/>
        <w:rPr>
          <w:rFonts w:asciiTheme="minorEastAsia" w:eastAsiaTheme="minorEastAsia" w:hAnsiTheme="minorEastAsia"/>
          <w:b/>
          <w:kern w:val="0"/>
          <w:sz w:val="28"/>
        </w:rPr>
      </w:pPr>
    </w:p>
    <w:p w:rsidR="00AD5BB5" w:rsidRDefault="00AD5BB5">
      <w:pPr>
        <w:pStyle w:val="af4"/>
        <w:spacing w:after="280" w:afterAutospacing="0"/>
        <w:jc w:val="center"/>
        <w:outlineLvl w:val="0"/>
        <w:rPr>
          <w:rFonts w:asciiTheme="minorEastAsia" w:eastAsiaTheme="minorEastAsia" w:hAnsiTheme="minorEastAsia" w:hint="default"/>
          <w:b/>
          <w:sz w:val="28"/>
        </w:rPr>
      </w:pPr>
      <w:bookmarkStart w:id="2" w:name="_Toc79665916"/>
    </w:p>
    <w:p w:rsidR="00AD5BB5" w:rsidRDefault="00AD5BB5">
      <w:pPr>
        <w:pStyle w:val="af4"/>
        <w:spacing w:after="280" w:afterAutospacing="0"/>
        <w:jc w:val="center"/>
        <w:outlineLvl w:val="0"/>
        <w:rPr>
          <w:rFonts w:asciiTheme="minorEastAsia" w:eastAsiaTheme="minorEastAsia" w:hAnsiTheme="minorEastAsia" w:hint="default"/>
          <w:b/>
          <w:sz w:val="28"/>
        </w:rPr>
      </w:pPr>
    </w:p>
    <w:p w:rsidR="00AD5BB5" w:rsidRDefault="00AD5BB5">
      <w:pPr>
        <w:pStyle w:val="af4"/>
        <w:spacing w:after="280" w:afterAutospacing="0"/>
        <w:jc w:val="center"/>
        <w:outlineLvl w:val="0"/>
        <w:rPr>
          <w:rFonts w:asciiTheme="minorEastAsia" w:eastAsiaTheme="minorEastAsia" w:hAnsiTheme="minorEastAsia" w:hint="default"/>
          <w:b/>
          <w:sz w:val="28"/>
        </w:rPr>
      </w:pPr>
    </w:p>
    <w:p w:rsidR="00AD5BB5" w:rsidRDefault="00AD5BB5">
      <w:pPr>
        <w:pStyle w:val="af4"/>
        <w:spacing w:after="280" w:afterAutospacing="0"/>
        <w:jc w:val="center"/>
        <w:outlineLvl w:val="0"/>
        <w:rPr>
          <w:rFonts w:asciiTheme="minorEastAsia" w:eastAsiaTheme="minorEastAsia" w:hAnsiTheme="minorEastAsia" w:hint="default"/>
          <w:b/>
          <w:sz w:val="28"/>
        </w:rPr>
      </w:pPr>
    </w:p>
    <w:p w:rsidR="00AD5BB5" w:rsidRDefault="00AD5BB5">
      <w:pPr>
        <w:pStyle w:val="af4"/>
        <w:spacing w:after="280" w:afterAutospacing="0"/>
        <w:jc w:val="center"/>
        <w:outlineLvl w:val="0"/>
        <w:rPr>
          <w:rFonts w:asciiTheme="minorEastAsia" w:eastAsiaTheme="minorEastAsia" w:hAnsiTheme="minorEastAsia" w:hint="default"/>
          <w:b/>
          <w:sz w:val="28"/>
        </w:rPr>
      </w:pPr>
    </w:p>
    <w:p w:rsidR="00AD5BB5" w:rsidRDefault="00AD5BB5">
      <w:pPr>
        <w:pStyle w:val="af4"/>
        <w:spacing w:after="280" w:afterAutospacing="0"/>
        <w:jc w:val="center"/>
        <w:outlineLvl w:val="0"/>
        <w:rPr>
          <w:rFonts w:asciiTheme="minorEastAsia" w:eastAsiaTheme="minorEastAsia" w:hAnsiTheme="minorEastAsia" w:hint="default"/>
          <w:b/>
          <w:sz w:val="28"/>
        </w:rPr>
      </w:pPr>
    </w:p>
    <w:p w:rsidR="00AD5BB5" w:rsidRDefault="00AD5BB5">
      <w:pPr>
        <w:pStyle w:val="af4"/>
        <w:spacing w:after="280" w:afterAutospacing="0"/>
        <w:jc w:val="center"/>
        <w:outlineLvl w:val="0"/>
        <w:rPr>
          <w:rFonts w:asciiTheme="minorEastAsia" w:eastAsiaTheme="minorEastAsia" w:hAnsiTheme="minorEastAsia" w:hint="default"/>
          <w:b/>
          <w:sz w:val="28"/>
        </w:rPr>
      </w:pPr>
    </w:p>
    <w:p w:rsidR="00AD5BB5" w:rsidRDefault="00F87FF6">
      <w:pPr>
        <w:pStyle w:val="af4"/>
        <w:spacing w:after="280" w:afterAutospacing="0"/>
        <w:jc w:val="center"/>
        <w:outlineLvl w:val="0"/>
        <w:rPr>
          <w:rFonts w:asciiTheme="minorEastAsia" w:eastAsiaTheme="minorEastAsia" w:hAnsiTheme="minorEastAsia" w:hint="default"/>
          <w:b/>
          <w:sz w:val="28"/>
        </w:rPr>
      </w:pPr>
      <w:r>
        <w:rPr>
          <w:rFonts w:asciiTheme="minorEastAsia" w:eastAsiaTheme="minorEastAsia" w:hAnsiTheme="minorEastAsia"/>
          <w:b/>
          <w:sz w:val="28"/>
        </w:rPr>
        <w:lastRenderedPageBreak/>
        <w:t>重要提示</w:t>
      </w:r>
      <w:bookmarkEnd w:id="0"/>
      <w:bookmarkEnd w:id="1"/>
      <w:bookmarkEnd w:id="2"/>
    </w:p>
    <w:p w:rsidR="00AD5BB5" w:rsidRDefault="00F87FF6">
      <w:pPr>
        <w:pStyle w:val="2"/>
        <w:tabs>
          <w:tab w:val="left" w:pos="434"/>
        </w:tabs>
        <w:spacing w:before="0" w:after="0" w:line="360" w:lineRule="auto"/>
        <w:ind w:left="369" w:hangingChars="175" w:hanging="369"/>
        <w:rPr>
          <w:rFonts w:asciiTheme="minorEastAsia" w:eastAsiaTheme="minorEastAsia" w:hAnsiTheme="minorEastAsia"/>
        </w:rPr>
      </w:pPr>
      <w:r>
        <w:rPr>
          <w:rFonts w:asciiTheme="minorEastAsia" w:eastAsiaTheme="minorEastAsia" w:hAnsiTheme="minorEastAsia" w:hint="eastAsia"/>
        </w:rPr>
        <w:t>一、本公司董事会、监事会及董事、监事、高级管理人员保证半年度报告内容的真实、准确、完整，不存在虚假记载、误导性陈述或重大遗漏，并承担个别和连带的法律责任。</w:t>
      </w:r>
    </w:p>
    <w:p w:rsidR="00AD5BB5" w:rsidRDefault="00F87FF6">
      <w:pPr>
        <w:pStyle w:val="2"/>
        <w:tabs>
          <w:tab w:val="left" w:pos="448"/>
        </w:tabs>
        <w:spacing w:before="0" w:after="0" w:line="360" w:lineRule="auto"/>
        <w:ind w:left="369" w:hangingChars="175" w:hanging="369"/>
        <w:rPr>
          <w:rFonts w:asciiTheme="minorEastAsia" w:eastAsiaTheme="minorEastAsia" w:hAnsiTheme="minorEastAsia"/>
          <w:color w:val="FF0000"/>
        </w:rPr>
      </w:pPr>
      <w:r>
        <w:rPr>
          <w:rFonts w:asciiTheme="minorEastAsia" w:eastAsiaTheme="minorEastAsia" w:hAnsiTheme="minorEastAsia" w:hint="eastAsia"/>
        </w:rPr>
        <w:t>二、本公司于202</w:t>
      </w:r>
      <w:r>
        <w:rPr>
          <w:rFonts w:asciiTheme="minorEastAsia" w:eastAsiaTheme="minorEastAsia" w:hAnsiTheme="minorEastAsia"/>
        </w:rPr>
        <w:t>3</w:t>
      </w:r>
      <w:r>
        <w:rPr>
          <w:rFonts w:asciiTheme="minorEastAsia" w:eastAsiaTheme="minorEastAsia" w:hAnsiTheme="minorEastAsia" w:hint="eastAsia"/>
        </w:rPr>
        <w:t>年8月2</w:t>
      </w:r>
      <w:r>
        <w:rPr>
          <w:rFonts w:asciiTheme="minorEastAsia" w:eastAsiaTheme="minorEastAsia" w:hAnsiTheme="minorEastAsia"/>
        </w:rPr>
        <w:t>8</w:t>
      </w:r>
      <w:r>
        <w:rPr>
          <w:rFonts w:asciiTheme="minorEastAsia" w:eastAsiaTheme="minorEastAsia" w:hAnsiTheme="minorEastAsia" w:hint="eastAsia"/>
        </w:rPr>
        <w:t>日召开第八届董事会第三十七次会议审议通过了本报告，本次会议应出席的董事13人，亲自出席会议的董事13人。</w:t>
      </w:r>
    </w:p>
    <w:p w:rsidR="00AD5BB5" w:rsidRDefault="00F87FF6">
      <w:pPr>
        <w:pStyle w:val="2"/>
        <w:tabs>
          <w:tab w:val="left" w:pos="518"/>
        </w:tabs>
        <w:spacing w:before="0" w:after="0" w:line="360" w:lineRule="auto"/>
        <w:ind w:left="369" w:hangingChars="175" w:hanging="369"/>
        <w:jc w:val="left"/>
        <w:rPr>
          <w:rFonts w:asciiTheme="minorEastAsia" w:eastAsiaTheme="minorEastAsia" w:hAnsiTheme="minorEastAsia"/>
        </w:rPr>
      </w:pPr>
      <w:r>
        <w:rPr>
          <w:rFonts w:asciiTheme="minorEastAsia" w:eastAsiaTheme="minorEastAsia" w:hAnsiTheme="minorEastAsia" w:hint="eastAsia"/>
        </w:rPr>
        <w:t>三、本公司半年度报告未经审计，但已经安永华明会计师事务所（特殊普通合伙）审阅并出具了审阅报告。</w:t>
      </w:r>
    </w:p>
    <w:p w:rsidR="00AD5BB5" w:rsidRDefault="00F87FF6">
      <w:pPr>
        <w:pStyle w:val="2"/>
        <w:tabs>
          <w:tab w:val="left" w:pos="434"/>
        </w:tabs>
        <w:spacing w:before="0" w:after="0" w:line="360" w:lineRule="auto"/>
        <w:ind w:left="369" w:hangingChars="175" w:hanging="369"/>
        <w:rPr>
          <w:rFonts w:asciiTheme="minorEastAsia" w:eastAsiaTheme="minorEastAsia" w:hAnsiTheme="minorEastAsia"/>
        </w:rPr>
      </w:pPr>
      <w:r>
        <w:rPr>
          <w:rFonts w:asciiTheme="minorEastAsia" w:eastAsiaTheme="minorEastAsia" w:hAnsiTheme="minorEastAsia" w:hint="eastAsia"/>
        </w:rPr>
        <w:t>四、公司法定代表人、董事长姚志萍，行长、主管财会工作负责人吴昕颢及财会机构负责人宋建腾，保证半年度报告中财务报告的真实、准确、完整。</w:t>
      </w:r>
    </w:p>
    <w:p w:rsidR="00AD5BB5" w:rsidRDefault="00F87FF6">
      <w:pPr>
        <w:pStyle w:val="2"/>
        <w:tabs>
          <w:tab w:val="left" w:pos="490"/>
        </w:tabs>
        <w:spacing w:before="0" w:after="0" w:line="360" w:lineRule="auto"/>
        <w:ind w:left="369" w:hangingChars="175" w:hanging="369"/>
        <w:rPr>
          <w:rFonts w:ascii="Times New Roman" w:hAnsi="Times New Roman" w:cs="Times New Roman"/>
        </w:rPr>
      </w:pPr>
      <w:r>
        <w:rPr>
          <w:rFonts w:asciiTheme="minorEastAsia" w:eastAsiaTheme="minorEastAsia" w:hAnsiTheme="minorEastAsia" w:hint="eastAsia"/>
        </w:rPr>
        <w:t>五、本报告期不进行利润分配，不实施公积金转增股本。</w:t>
      </w:r>
    </w:p>
    <w:p w:rsidR="00AD5BB5" w:rsidRDefault="00F87FF6">
      <w:pPr>
        <w:pStyle w:val="2"/>
        <w:tabs>
          <w:tab w:val="left" w:pos="504"/>
        </w:tabs>
        <w:spacing w:before="0" w:after="0" w:line="360" w:lineRule="auto"/>
        <w:ind w:left="369" w:hangingChars="175" w:hanging="369"/>
        <w:rPr>
          <w:rFonts w:asciiTheme="minorEastAsia" w:eastAsiaTheme="minorEastAsia" w:hAnsiTheme="minorEastAsia"/>
        </w:rPr>
      </w:pPr>
      <w:r>
        <w:rPr>
          <w:rFonts w:asciiTheme="minorEastAsia" w:eastAsiaTheme="minorEastAsia" w:hAnsiTheme="minorEastAsia" w:hint="eastAsia"/>
        </w:rPr>
        <w:t>六、</w:t>
      </w:r>
      <w:proofErr w:type="gramStart"/>
      <w:r>
        <w:rPr>
          <w:rFonts w:asciiTheme="minorEastAsia" w:eastAsiaTheme="minorEastAsia" w:hAnsiTheme="minorEastAsia" w:hint="eastAsia"/>
        </w:rPr>
        <w:t>本半年度</w:t>
      </w:r>
      <w:proofErr w:type="gramEnd"/>
      <w:r>
        <w:rPr>
          <w:rFonts w:asciiTheme="minorEastAsia" w:eastAsiaTheme="minorEastAsia" w:hAnsiTheme="minorEastAsia" w:hint="eastAsia"/>
        </w:rPr>
        <w:t>报告所载财务数据及指标按照中国企业会计准则编制，除特别说明为母公司数据外，均为合并口径数据，货币币种以人民币列示。</w:t>
      </w:r>
    </w:p>
    <w:p w:rsidR="00AD5BB5" w:rsidRDefault="00F87FF6">
      <w:pPr>
        <w:pStyle w:val="2"/>
        <w:tabs>
          <w:tab w:val="left" w:pos="504"/>
        </w:tabs>
        <w:spacing w:before="0" w:after="0" w:line="360" w:lineRule="auto"/>
        <w:ind w:left="369" w:hangingChars="175" w:hanging="369"/>
        <w:rPr>
          <w:rFonts w:asciiTheme="minorEastAsia" w:eastAsiaTheme="minorEastAsia" w:hAnsiTheme="minorEastAsia"/>
        </w:rPr>
      </w:pPr>
      <w:r>
        <w:rPr>
          <w:rFonts w:asciiTheme="minorEastAsia" w:eastAsiaTheme="minorEastAsia" w:hAnsiTheme="minorEastAsia" w:hint="eastAsia"/>
        </w:rPr>
        <w:t>七、前瞻性陈述的风险声明</w:t>
      </w:r>
    </w:p>
    <w:p w:rsidR="00AD5BB5" w:rsidRDefault="00F87FF6">
      <w:pPr>
        <w:pStyle w:val="ad"/>
        <w:spacing w:line="360" w:lineRule="auto"/>
        <w:ind w:firstLineChars="200" w:firstLine="420"/>
        <w:rPr>
          <w:rFonts w:hint="default"/>
        </w:rPr>
      </w:pPr>
      <w:r>
        <w:t>本报告中所涉及的未来计划、发展战略等前瞻性描述不构成公司对投资者的实质承诺，投资者及相关人士均应当对此保持足够的风险认识，并且应当理解计划、预测与承诺之间的差异。</w:t>
      </w:r>
    </w:p>
    <w:p w:rsidR="00AD5BB5" w:rsidRDefault="00F87FF6">
      <w:pPr>
        <w:pStyle w:val="2"/>
        <w:tabs>
          <w:tab w:val="left" w:pos="434"/>
          <w:tab w:val="left" w:pos="644"/>
        </w:tabs>
        <w:spacing w:before="0" w:after="0" w:line="360" w:lineRule="auto"/>
        <w:ind w:left="369" w:hangingChars="175" w:hanging="369"/>
        <w:rPr>
          <w:rFonts w:asciiTheme="minorEastAsia" w:eastAsiaTheme="minorEastAsia" w:hAnsiTheme="minorEastAsia"/>
        </w:rPr>
      </w:pPr>
      <w:r>
        <w:rPr>
          <w:rFonts w:asciiTheme="minorEastAsia" w:eastAsiaTheme="minorEastAsia" w:hAnsiTheme="minorEastAsia" w:hint="eastAsia"/>
        </w:rPr>
        <w:t>八、公司不存在被控股股东及其关联方非经营性占用资金情况。</w:t>
      </w:r>
    </w:p>
    <w:p w:rsidR="00AD5BB5" w:rsidRDefault="00F87FF6">
      <w:pPr>
        <w:pStyle w:val="2"/>
        <w:tabs>
          <w:tab w:val="left" w:pos="644"/>
        </w:tabs>
        <w:spacing w:before="0" w:after="0" w:line="360" w:lineRule="auto"/>
        <w:ind w:left="369" w:hangingChars="175" w:hanging="369"/>
        <w:rPr>
          <w:rFonts w:asciiTheme="minorEastAsia" w:eastAsiaTheme="minorEastAsia" w:hAnsiTheme="minorEastAsia"/>
        </w:rPr>
      </w:pPr>
      <w:r>
        <w:rPr>
          <w:rFonts w:asciiTheme="minorEastAsia" w:eastAsiaTheme="minorEastAsia" w:hAnsiTheme="minorEastAsia" w:hint="eastAsia"/>
        </w:rPr>
        <w:t>九、公司不存在违反规定决策程序对外提供担保的情况。</w:t>
      </w:r>
      <w:bookmarkStart w:id="3" w:name="_Hlk61892365"/>
    </w:p>
    <w:p w:rsidR="00AD5BB5" w:rsidRDefault="00F87FF6">
      <w:pPr>
        <w:pStyle w:val="2"/>
        <w:tabs>
          <w:tab w:val="left" w:pos="644"/>
        </w:tabs>
        <w:spacing w:before="0" w:after="0" w:line="360" w:lineRule="auto"/>
        <w:ind w:left="369" w:hangingChars="175" w:hanging="369"/>
        <w:rPr>
          <w:rFonts w:asciiTheme="minorEastAsia" w:eastAsiaTheme="minorEastAsia" w:hAnsiTheme="minorEastAsia"/>
        </w:rPr>
      </w:pPr>
      <w:r>
        <w:rPr>
          <w:rFonts w:asciiTheme="minorEastAsia" w:eastAsiaTheme="minorEastAsia" w:hAnsiTheme="minorEastAsia" w:hint="eastAsia"/>
        </w:rPr>
        <w:t>十、公司不存在半数以上董事无法保证公司所披露半年度报告的真实性、准确性和完整性的情况。</w:t>
      </w:r>
    </w:p>
    <w:bookmarkEnd w:id="3"/>
    <w:p w:rsidR="00AD5BB5" w:rsidRDefault="00F87FF6">
      <w:pPr>
        <w:pStyle w:val="2"/>
        <w:tabs>
          <w:tab w:val="left" w:pos="644"/>
        </w:tabs>
        <w:spacing w:before="0" w:after="0" w:line="360" w:lineRule="auto"/>
        <w:ind w:left="369" w:hangingChars="175" w:hanging="369"/>
        <w:rPr>
          <w:rFonts w:asciiTheme="minorEastAsia" w:eastAsiaTheme="minorEastAsia" w:hAnsiTheme="minorEastAsia"/>
        </w:rPr>
      </w:pPr>
      <w:r>
        <w:rPr>
          <w:rFonts w:asciiTheme="minorEastAsia" w:eastAsiaTheme="minorEastAsia" w:hAnsiTheme="minorEastAsia" w:hint="eastAsia"/>
        </w:rPr>
        <w:t>十一、重大风险提示</w:t>
      </w:r>
    </w:p>
    <w:p w:rsidR="00AD5BB5" w:rsidRDefault="00F87FF6">
      <w:pPr>
        <w:spacing w:line="360" w:lineRule="auto"/>
        <w:ind w:firstLineChars="197" w:firstLine="414"/>
        <w:rPr>
          <w:rFonts w:asciiTheme="minorEastAsia" w:eastAsiaTheme="minorEastAsia" w:hAnsiTheme="minorEastAsia"/>
          <w:b/>
          <w:color w:val="FF0000"/>
          <w:kern w:val="0"/>
          <w:szCs w:val="21"/>
        </w:rPr>
      </w:pPr>
      <w:r>
        <w:rPr>
          <w:rFonts w:asciiTheme="minorEastAsia" w:eastAsiaTheme="minorEastAsia" w:hAnsiTheme="minorEastAsia" w:hint="eastAsia"/>
          <w:szCs w:val="21"/>
        </w:rPr>
        <w:t>公司经营中面临</w:t>
      </w:r>
      <w:r>
        <w:rPr>
          <w:rFonts w:asciiTheme="minorEastAsia" w:eastAsiaTheme="minorEastAsia" w:hAnsiTheme="minorEastAsia" w:hint="eastAsia"/>
          <w:color w:val="000000" w:themeColor="text1"/>
          <w:kern w:val="0"/>
          <w:szCs w:val="21"/>
        </w:rPr>
        <w:t>的风险主要包括信用风险、流动性风险、市场风险、操作风险、信息科技风险和声誉风险等，本公司已经采取措施，有效管理和控制各类经营风险，具体内容详见第三节“六、报告期各类风险和风险管理情况”。</w:t>
      </w:r>
    </w:p>
    <w:p w:rsidR="00AD5BB5" w:rsidRDefault="00F87FF6">
      <w:pPr>
        <w:widowControl/>
        <w:spacing w:line="360" w:lineRule="auto"/>
        <w:jc w:val="left"/>
        <w:rPr>
          <w:rFonts w:asciiTheme="minorEastAsia" w:eastAsiaTheme="minorEastAsia" w:hAnsiTheme="minorEastAsia"/>
          <w:kern w:val="0"/>
          <w:sz w:val="24"/>
        </w:rPr>
      </w:pPr>
      <w:r>
        <w:rPr>
          <w:rFonts w:asciiTheme="minorEastAsia" w:eastAsiaTheme="minorEastAsia" w:hAnsiTheme="minorEastAsia"/>
          <w:kern w:val="0"/>
          <w:sz w:val="24"/>
        </w:rPr>
        <w:br w:type="page"/>
      </w:r>
    </w:p>
    <w:p w:rsidR="00AD5BB5" w:rsidRDefault="00AD5BB5"/>
    <w:p w:rsidR="00AD5BB5" w:rsidRDefault="00AD5BB5"/>
    <w:p w:rsidR="00AD5BB5" w:rsidRDefault="00F87FF6">
      <w:pPr>
        <w:pStyle w:val="10"/>
        <w:tabs>
          <w:tab w:val="right" w:leader="dot" w:pos="8303"/>
        </w:tabs>
        <w:jc w:val="center"/>
        <w:rPr>
          <w:sz w:val="28"/>
        </w:rPr>
      </w:pPr>
      <w:r>
        <w:rPr>
          <w:rFonts w:hint="eastAsia"/>
          <w:sz w:val="28"/>
        </w:rPr>
        <w:t>目录</w:t>
      </w:r>
    </w:p>
    <w:p w:rsidR="00AD5BB5" w:rsidRDefault="00F87FF6">
      <w:pPr>
        <w:pStyle w:val="10"/>
        <w:tabs>
          <w:tab w:val="right" w:leader="dot" w:pos="8303"/>
        </w:tabs>
        <w:rPr>
          <w:rFonts w:asciiTheme="minorHAnsi" w:eastAsiaTheme="minorEastAsia" w:hAnsiTheme="minorHAnsi"/>
          <w:b w:val="0"/>
          <w:bCs w:val="0"/>
          <w:caps w:val="0"/>
          <w:noProof/>
          <w:sz w:val="21"/>
          <w:szCs w:val="22"/>
        </w:rPr>
      </w:pPr>
      <w:r>
        <w:rPr>
          <w:b w:val="0"/>
          <w:sz w:val="28"/>
          <w:shd w:val="pct10" w:color="auto" w:fill="FFFFFF"/>
        </w:rPr>
        <w:fldChar w:fldCharType="begin"/>
      </w:r>
      <w:r>
        <w:rPr>
          <w:b w:val="0"/>
          <w:sz w:val="28"/>
          <w:shd w:val="pct10" w:color="auto" w:fill="FFFFFF"/>
        </w:rPr>
        <w:instrText xml:space="preserve"> TOC \o "1-1" \u </w:instrText>
      </w:r>
      <w:r>
        <w:rPr>
          <w:b w:val="0"/>
          <w:sz w:val="28"/>
          <w:shd w:val="pct10" w:color="auto" w:fill="FFFFFF"/>
        </w:rPr>
        <w:fldChar w:fldCharType="separate"/>
      </w:r>
      <w:r>
        <w:rPr>
          <w:rFonts w:asciiTheme="minorEastAsia" w:eastAsiaTheme="minorEastAsia" w:hAnsiTheme="minorEastAsia" w:hint="eastAsia"/>
          <w:noProof/>
        </w:rPr>
        <w:t>重要提示</w:t>
      </w:r>
      <w:r>
        <w:rPr>
          <w:noProof/>
        </w:rPr>
        <w:tab/>
      </w:r>
      <w:r>
        <w:rPr>
          <w:noProof/>
        </w:rPr>
        <w:fldChar w:fldCharType="begin"/>
      </w:r>
      <w:r>
        <w:rPr>
          <w:noProof/>
        </w:rPr>
        <w:instrText xml:space="preserve"> PAGEREF _Toc79665916 \h </w:instrText>
      </w:r>
      <w:r>
        <w:rPr>
          <w:noProof/>
        </w:rPr>
      </w:r>
      <w:r>
        <w:rPr>
          <w:noProof/>
        </w:rPr>
        <w:fldChar w:fldCharType="separate"/>
      </w:r>
      <w:r w:rsidR="0061038E">
        <w:rPr>
          <w:noProof/>
        </w:rPr>
        <w:t>2</w:t>
      </w:r>
      <w:r>
        <w:rPr>
          <w:noProof/>
        </w:rPr>
        <w:fldChar w:fldCharType="end"/>
      </w:r>
    </w:p>
    <w:p w:rsidR="00AD5BB5" w:rsidRDefault="00F87FF6">
      <w:pPr>
        <w:pStyle w:val="10"/>
        <w:tabs>
          <w:tab w:val="right" w:leader="dot" w:pos="8303"/>
        </w:tabs>
        <w:rPr>
          <w:rFonts w:asciiTheme="minorHAnsi" w:eastAsiaTheme="minorEastAsia" w:hAnsiTheme="minorHAnsi"/>
          <w:b w:val="0"/>
          <w:bCs w:val="0"/>
          <w:caps w:val="0"/>
          <w:noProof/>
          <w:sz w:val="21"/>
          <w:szCs w:val="22"/>
        </w:rPr>
      </w:pPr>
      <w:r>
        <w:rPr>
          <w:rFonts w:hint="eastAsia"/>
          <w:noProof/>
        </w:rPr>
        <w:t>第一节</w:t>
      </w:r>
      <w:r>
        <w:rPr>
          <w:noProof/>
        </w:rPr>
        <w:t xml:space="preserve">  </w:t>
      </w:r>
      <w:r>
        <w:rPr>
          <w:rFonts w:hint="eastAsia"/>
          <w:noProof/>
        </w:rPr>
        <w:t>释义</w:t>
      </w:r>
      <w:r>
        <w:rPr>
          <w:noProof/>
        </w:rPr>
        <w:tab/>
      </w:r>
      <w:r>
        <w:rPr>
          <w:noProof/>
        </w:rPr>
        <w:fldChar w:fldCharType="begin"/>
      </w:r>
      <w:r>
        <w:rPr>
          <w:noProof/>
        </w:rPr>
        <w:instrText xml:space="preserve"> PAGEREF _Toc79665917 \h </w:instrText>
      </w:r>
      <w:r>
        <w:rPr>
          <w:noProof/>
        </w:rPr>
      </w:r>
      <w:r>
        <w:rPr>
          <w:noProof/>
        </w:rPr>
        <w:fldChar w:fldCharType="separate"/>
      </w:r>
      <w:r w:rsidR="0061038E">
        <w:rPr>
          <w:noProof/>
        </w:rPr>
        <w:t>4</w:t>
      </w:r>
      <w:r>
        <w:rPr>
          <w:noProof/>
        </w:rPr>
        <w:fldChar w:fldCharType="end"/>
      </w:r>
    </w:p>
    <w:p w:rsidR="00AD5BB5" w:rsidRDefault="00F87FF6">
      <w:pPr>
        <w:pStyle w:val="10"/>
        <w:tabs>
          <w:tab w:val="right" w:leader="dot" w:pos="8303"/>
        </w:tabs>
        <w:rPr>
          <w:rFonts w:asciiTheme="minorHAnsi" w:eastAsiaTheme="minorEastAsia" w:hAnsiTheme="minorHAnsi"/>
          <w:b w:val="0"/>
          <w:bCs w:val="0"/>
          <w:caps w:val="0"/>
          <w:noProof/>
          <w:sz w:val="21"/>
          <w:szCs w:val="22"/>
        </w:rPr>
      </w:pPr>
      <w:r>
        <w:rPr>
          <w:rFonts w:hint="eastAsia"/>
          <w:noProof/>
        </w:rPr>
        <w:t>第二节</w:t>
      </w:r>
      <w:r>
        <w:rPr>
          <w:noProof/>
        </w:rPr>
        <w:t xml:space="preserve">  </w:t>
      </w:r>
      <w:r>
        <w:rPr>
          <w:rFonts w:hint="eastAsia"/>
          <w:noProof/>
        </w:rPr>
        <w:t>公司简介和主要财务指标</w:t>
      </w:r>
      <w:r>
        <w:rPr>
          <w:noProof/>
        </w:rPr>
        <w:tab/>
      </w:r>
      <w:r>
        <w:rPr>
          <w:noProof/>
        </w:rPr>
        <w:fldChar w:fldCharType="begin"/>
      </w:r>
      <w:r>
        <w:rPr>
          <w:noProof/>
        </w:rPr>
        <w:instrText xml:space="preserve"> PAGEREF _Toc79665918 \h </w:instrText>
      </w:r>
      <w:r>
        <w:rPr>
          <w:noProof/>
        </w:rPr>
      </w:r>
      <w:r>
        <w:rPr>
          <w:noProof/>
        </w:rPr>
        <w:fldChar w:fldCharType="separate"/>
      </w:r>
      <w:r w:rsidR="0061038E">
        <w:rPr>
          <w:noProof/>
        </w:rPr>
        <w:t>4</w:t>
      </w:r>
      <w:r>
        <w:rPr>
          <w:noProof/>
        </w:rPr>
        <w:fldChar w:fldCharType="end"/>
      </w:r>
    </w:p>
    <w:p w:rsidR="00AD5BB5" w:rsidRDefault="00F87FF6">
      <w:pPr>
        <w:pStyle w:val="10"/>
        <w:tabs>
          <w:tab w:val="right" w:leader="dot" w:pos="8303"/>
        </w:tabs>
        <w:rPr>
          <w:rFonts w:asciiTheme="minorHAnsi" w:eastAsiaTheme="minorEastAsia" w:hAnsiTheme="minorHAnsi"/>
          <w:b w:val="0"/>
          <w:bCs w:val="0"/>
          <w:caps w:val="0"/>
          <w:noProof/>
          <w:sz w:val="21"/>
          <w:szCs w:val="22"/>
        </w:rPr>
      </w:pPr>
      <w:r>
        <w:rPr>
          <w:rFonts w:hint="eastAsia"/>
          <w:noProof/>
        </w:rPr>
        <w:t>第三节</w:t>
      </w:r>
      <w:r>
        <w:rPr>
          <w:noProof/>
        </w:rPr>
        <w:t xml:space="preserve">  </w:t>
      </w:r>
      <w:r>
        <w:rPr>
          <w:rFonts w:hint="eastAsia"/>
          <w:noProof/>
        </w:rPr>
        <w:t>管理层讨论与分析</w:t>
      </w:r>
      <w:r>
        <w:rPr>
          <w:noProof/>
        </w:rPr>
        <w:tab/>
      </w:r>
      <w:r>
        <w:rPr>
          <w:noProof/>
        </w:rPr>
        <w:fldChar w:fldCharType="begin"/>
      </w:r>
      <w:r>
        <w:rPr>
          <w:noProof/>
        </w:rPr>
        <w:instrText xml:space="preserve"> PAGEREF _Toc79665919 \h </w:instrText>
      </w:r>
      <w:r>
        <w:rPr>
          <w:noProof/>
        </w:rPr>
      </w:r>
      <w:r>
        <w:rPr>
          <w:noProof/>
        </w:rPr>
        <w:fldChar w:fldCharType="separate"/>
      </w:r>
      <w:r w:rsidR="0061038E">
        <w:rPr>
          <w:noProof/>
        </w:rPr>
        <w:t>5</w:t>
      </w:r>
      <w:r>
        <w:rPr>
          <w:noProof/>
        </w:rPr>
        <w:fldChar w:fldCharType="end"/>
      </w:r>
    </w:p>
    <w:p w:rsidR="00AD5BB5" w:rsidRDefault="00F87FF6">
      <w:pPr>
        <w:pStyle w:val="10"/>
        <w:tabs>
          <w:tab w:val="right" w:leader="dot" w:pos="8303"/>
        </w:tabs>
        <w:rPr>
          <w:rFonts w:asciiTheme="minorHAnsi" w:eastAsiaTheme="minorEastAsia" w:hAnsiTheme="minorHAnsi"/>
          <w:b w:val="0"/>
          <w:bCs w:val="0"/>
          <w:caps w:val="0"/>
          <w:noProof/>
          <w:sz w:val="21"/>
          <w:szCs w:val="22"/>
        </w:rPr>
      </w:pPr>
      <w:r>
        <w:rPr>
          <w:rFonts w:hint="eastAsia"/>
          <w:noProof/>
        </w:rPr>
        <w:t>第四节</w:t>
      </w:r>
      <w:r>
        <w:rPr>
          <w:noProof/>
        </w:rPr>
        <w:t xml:space="preserve">  </w:t>
      </w:r>
      <w:r>
        <w:rPr>
          <w:rFonts w:hint="eastAsia"/>
          <w:noProof/>
        </w:rPr>
        <w:t>公司治理</w:t>
      </w:r>
      <w:r>
        <w:rPr>
          <w:noProof/>
        </w:rPr>
        <w:tab/>
      </w:r>
      <w:r>
        <w:rPr>
          <w:noProof/>
        </w:rPr>
        <w:fldChar w:fldCharType="begin"/>
      </w:r>
      <w:r>
        <w:rPr>
          <w:noProof/>
        </w:rPr>
        <w:instrText xml:space="preserve"> PAGEREF _Toc79665920 \h </w:instrText>
      </w:r>
      <w:r>
        <w:rPr>
          <w:noProof/>
        </w:rPr>
      </w:r>
      <w:r>
        <w:rPr>
          <w:noProof/>
        </w:rPr>
        <w:fldChar w:fldCharType="separate"/>
      </w:r>
      <w:r w:rsidR="0061038E">
        <w:rPr>
          <w:noProof/>
        </w:rPr>
        <w:t>51</w:t>
      </w:r>
      <w:r>
        <w:rPr>
          <w:noProof/>
        </w:rPr>
        <w:fldChar w:fldCharType="end"/>
      </w:r>
    </w:p>
    <w:p w:rsidR="00AD5BB5" w:rsidRDefault="00F87FF6">
      <w:pPr>
        <w:pStyle w:val="10"/>
        <w:tabs>
          <w:tab w:val="right" w:leader="dot" w:pos="8303"/>
        </w:tabs>
        <w:rPr>
          <w:rFonts w:asciiTheme="minorHAnsi" w:eastAsiaTheme="minorEastAsia" w:hAnsiTheme="minorHAnsi"/>
          <w:b w:val="0"/>
          <w:bCs w:val="0"/>
          <w:caps w:val="0"/>
          <w:noProof/>
          <w:sz w:val="21"/>
          <w:szCs w:val="22"/>
        </w:rPr>
      </w:pPr>
      <w:r>
        <w:rPr>
          <w:rFonts w:ascii="黑体" w:hAnsi="黑体" w:hint="eastAsia"/>
          <w:noProof/>
        </w:rPr>
        <w:t>第五节</w:t>
      </w:r>
      <w:r>
        <w:rPr>
          <w:rFonts w:ascii="黑体" w:hAnsi="黑体"/>
          <w:noProof/>
        </w:rPr>
        <w:t xml:space="preserve"> </w:t>
      </w:r>
      <w:r w:rsidR="00A66546">
        <w:rPr>
          <w:rFonts w:ascii="黑体" w:hAnsi="黑体"/>
          <w:noProof/>
        </w:rPr>
        <w:t xml:space="preserve"> </w:t>
      </w:r>
      <w:r>
        <w:rPr>
          <w:rFonts w:ascii="黑体" w:hAnsi="黑体" w:hint="eastAsia"/>
          <w:noProof/>
        </w:rPr>
        <w:t>环境与社会责任</w:t>
      </w:r>
      <w:r>
        <w:rPr>
          <w:noProof/>
        </w:rPr>
        <w:tab/>
      </w:r>
      <w:r>
        <w:rPr>
          <w:noProof/>
        </w:rPr>
        <w:fldChar w:fldCharType="begin"/>
      </w:r>
      <w:r>
        <w:rPr>
          <w:noProof/>
        </w:rPr>
        <w:instrText xml:space="preserve"> PAGEREF _Toc79665921 \h </w:instrText>
      </w:r>
      <w:r>
        <w:rPr>
          <w:noProof/>
        </w:rPr>
      </w:r>
      <w:r>
        <w:rPr>
          <w:noProof/>
        </w:rPr>
        <w:fldChar w:fldCharType="separate"/>
      </w:r>
      <w:r w:rsidR="0061038E">
        <w:rPr>
          <w:noProof/>
        </w:rPr>
        <w:t>56</w:t>
      </w:r>
      <w:r>
        <w:rPr>
          <w:noProof/>
        </w:rPr>
        <w:fldChar w:fldCharType="end"/>
      </w:r>
    </w:p>
    <w:p w:rsidR="00AD5BB5" w:rsidRDefault="00F87FF6">
      <w:pPr>
        <w:pStyle w:val="10"/>
        <w:tabs>
          <w:tab w:val="right" w:leader="dot" w:pos="8303"/>
        </w:tabs>
        <w:rPr>
          <w:rFonts w:asciiTheme="minorHAnsi" w:eastAsiaTheme="minorEastAsia" w:hAnsiTheme="minorHAnsi"/>
          <w:b w:val="0"/>
          <w:bCs w:val="0"/>
          <w:caps w:val="0"/>
          <w:noProof/>
          <w:sz w:val="21"/>
          <w:szCs w:val="22"/>
        </w:rPr>
      </w:pPr>
      <w:r>
        <w:rPr>
          <w:rFonts w:ascii="黑体" w:hAnsi="黑体" w:hint="eastAsia"/>
          <w:noProof/>
        </w:rPr>
        <w:t>第六节</w:t>
      </w:r>
      <w:r>
        <w:rPr>
          <w:rFonts w:ascii="黑体" w:hAnsi="黑体"/>
          <w:noProof/>
        </w:rPr>
        <w:t xml:space="preserve"> </w:t>
      </w:r>
      <w:r w:rsidR="00A66546">
        <w:rPr>
          <w:rFonts w:ascii="黑体" w:hAnsi="黑体"/>
          <w:noProof/>
        </w:rPr>
        <w:t xml:space="preserve"> </w:t>
      </w:r>
      <w:r>
        <w:rPr>
          <w:rFonts w:ascii="黑体" w:hAnsi="黑体" w:hint="eastAsia"/>
          <w:noProof/>
        </w:rPr>
        <w:t>重要事项</w:t>
      </w:r>
      <w:r>
        <w:rPr>
          <w:noProof/>
        </w:rPr>
        <w:tab/>
      </w:r>
      <w:r>
        <w:rPr>
          <w:noProof/>
        </w:rPr>
        <w:fldChar w:fldCharType="begin"/>
      </w:r>
      <w:r>
        <w:rPr>
          <w:noProof/>
        </w:rPr>
        <w:instrText xml:space="preserve"> PAGEREF _Toc79665922 \h </w:instrText>
      </w:r>
      <w:r>
        <w:rPr>
          <w:noProof/>
        </w:rPr>
      </w:r>
      <w:r>
        <w:rPr>
          <w:noProof/>
        </w:rPr>
        <w:fldChar w:fldCharType="separate"/>
      </w:r>
      <w:r w:rsidR="0061038E">
        <w:rPr>
          <w:noProof/>
        </w:rPr>
        <w:t>60</w:t>
      </w:r>
      <w:r>
        <w:rPr>
          <w:noProof/>
        </w:rPr>
        <w:fldChar w:fldCharType="end"/>
      </w:r>
    </w:p>
    <w:p w:rsidR="00AD5BB5" w:rsidRDefault="00F87FF6">
      <w:pPr>
        <w:pStyle w:val="10"/>
        <w:tabs>
          <w:tab w:val="right" w:leader="dot" w:pos="8303"/>
        </w:tabs>
        <w:rPr>
          <w:rFonts w:asciiTheme="minorHAnsi" w:eastAsiaTheme="minorEastAsia" w:hAnsiTheme="minorHAnsi"/>
          <w:b w:val="0"/>
          <w:bCs w:val="0"/>
          <w:caps w:val="0"/>
          <w:noProof/>
          <w:sz w:val="21"/>
          <w:szCs w:val="22"/>
        </w:rPr>
      </w:pPr>
      <w:r>
        <w:rPr>
          <w:rFonts w:hint="eastAsia"/>
          <w:noProof/>
        </w:rPr>
        <w:t>第七节</w:t>
      </w:r>
      <w:r>
        <w:rPr>
          <w:noProof/>
        </w:rPr>
        <w:t xml:space="preserve">  </w:t>
      </w:r>
      <w:r>
        <w:rPr>
          <w:rFonts w:hint="eastAsia"/>
          <w:noProof/>
        </w:rPr>
        <w:t>普通股股份变动及股东情况</w:t>
      </w:r>
      <w:r>
        <w:rPr>
          <w:noProof/>
        </w:rPr>
        <w:tab/>
      </w:r>
      <w:r>
        <w:rPr>
          <w:noProof/>
        </w:rPr>
        <w:fldChar w:fldCharType="begin"/>
      </w:r>
      <w:r>
        <w:rPr>
          <w:noProof/>
        </w:rPr>
        <w:instrText xml:space="preserve"> PAGEREF _Toc79665923 \h </w:instrText>
      </w:r>
      <w:r>
        <w:rPr>
          <w:noProof/>
        </w:rPr>
      </w:r>
      <w:r>
        <w:rPr>
          <w:noProof/>
        </w:rPr>
        <w:fldChar w:fldCharType="separate"/>
      </w:r>
      <w:r w:rsidR="0061038E">
        <w:rPr>
          <w:noProof/>
        </w:rPr>
        <w:t>68</w:t>
      </w:r>
      <w:r>
        <w:rPr>
          <w:noProof/>
        </w:rPr>
        <w:fldChar w:fldCharType="end"/>
      </w:r>
    </w:p>
    <w:p w:rsidR="00AD5BB5" w:rsidRDefault="00F87FF6">
      <w:pPr>
        <w:pStyle w:val="10"/>
        <w:tabs>
          <w:tab w:val="right" w:leader="dot" w:pos="8303"/>
        </w:tabs>
        <w:rPr>
          <w:rFonts w:asciiTheme="minorHAnsi" w:eastAsiaTheme="minorEastAsia" w:hAnsiTheme="minorHAnsi"/>
          <w:b w:val="0"/>
          <w:bCs w:val="0"/>
          <w:caps w:val="0"/>
          <w:noProof/>
          <w:sz w:val="21"/>
          <w:szCs w:val="22"/>
        </w:rPr>
      </w:pPr>
      <w:r>
        <w:rPr>
          <w:rFonts w:ascii="宋体" w:hAnsi="宋体" w:hint="eastAsia"/>
          <w:noProof/>
        </w:rPr>
        <w:t>第八节</w:t>
      </w:r>
      <w:r>
        <w:rPr>
          <w:rFonts w:ascii="宋体" w:hAnsi="宋体"/>
          <w:noProof/>
        </w:rPr>
        <w:t xml:space="preserve">  </w:t>
      </w:r>
      <w:r>
        <w:rPr>
          <w:rFonts w:ascii="宋体" w:hAnsi="宋体" w:hint="eastAsia"/>
          <w:noProof/>
        </w:rPr>
        <w:t>财务报告</w:t>
      </w:r>
      <w:r>
        <w:rPr>
          <w:noProof/>
        </w:rPr>
        <w:tab/>
      </w:r>
      <w:r>
        <w:rPr>
          <w:noProof/>
        </w:rPr>
        <w:fldChar w:fldCharType="begin"/>
      </w:r>
      <w:r>
        <w:rPr>
          <w:noProof/>
        </w:rPr>
        <w:instrText xml:space="preserve"> PAGEREF _Toc79665924 \h </w:instrText>
      </w:r>
      <w:r>
        <w:rPr>
          <w:noProof/>
        </w:rPr>
      </w:r>
      <w:r>
        <w:rPr>
          <w:noProof/>
        </w:rPr>
        <w:fldChar w:fldCharType="separate"/>
      </w:r>
      <w:r w:rsidR="0061038E">
        <w:rPr>
          <w:noProof/>
        </w:rPr>
        <w:t>76</w:t>
      </w:r>
      <w:r>
        <w:rPr>
          <w:noProof/>
        </w:rPr>
        <w:fldChar w:fldCharType="end"/>
      </w:r>
    </w:p>
    <w:p w:rsidR="00AD5BB5" w:rsidRDefault="00F87FF6">
      <w:pPr>
        <w:kinsoku w:val="0"/>
        <w:overflowPunct w:val="0"/>
        <w:autoSpaceDE w:val="0"/>
        <w:autoSpaceDN w:val="0"/>
        <w:adjustRightInd w:val="0"/>
        <w:snapToGrid w:val="0"/>
        <w:spacing w:line="360" w:lineRule="auto"/>
        <w:jc w:val="center"/>
        <w:rPr>
          <w:b/>
          <w:sz w:val="28"/>
          <w:shd w:val="pct10" w:color="auto" w:fill="FFFFFF"/>
        </w:rPr>
      </w:pPr>
      <w:r>
        <w:rPr>
          <w:b/>
          <w:sz w:val="28"/>
          <w:shd w:val="pct10" w:color="auto" w:fill="FFFFFF"/>
        </w:rPr>
        <w:fldChar w:fldCharType="end"/>
      </w:r>
    </w:p>
    <w:tbl>
      <w:tblPr>
        <w:tblpPr w:leftFromText="180" w:rightFromText="180" w:vertAnchor="text" w:horzAnchor="margin" w:tblpY="6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2142"/>
        <w:gridCol w:w="6161"/>
      </w:tblGrid>
      <w:tr w:rsidR="00AD5BB5">
        <w:trPr>
          <w:cantSplit/>
        </w:trPr>
        <w:tc>
          <w:tcPr>
            <w:tcW w:w="129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autoSpaceDE w:val="0"/>
              <w:autoSpaceDN w:val="0"/>
              <w:adjustRightInd w:val="0"/>
              <w:jc w:val="center"/>
              <w:rPr>
                <w:rFonts w:ascii="宋体" w:hAnsi="宋体"/>
              </w:rPr>
            </w:pPr>
            <w:r>
              <w:rPr>
                <w:rFonts w:hint="eastAsia"/>
              </w:rPr>
              <w:t>备查文件目录</w:t>
            </w:r>
          </w:p>
        </w:tc>
        <w:tc>
          <w:tcPr>
            <w:tcW w:w="3710"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autoSpaceDE w:val="0"/>
              <w:autoSpaceDN w:val="0"/>
              <w:adjustRightInd w:val="0"/>
              <w:rPr>
                <w:rFonts w:ascii="宋体" w:hAnsi="宋体"/>
              </w:rPr>
            </w:pPr>
            <w:r>
              <w:rPr>
                <w:rFonts w:ascii="宋体" w:hAnsi="宋体" w:hint="eastAsia"/>
              </w:rPr>
              <w:t>载有本公司董事、监事、高级管理人员签名确认，并经董、监事会审核的半年度报告正文；</w:t>
            </w:r>
          </w:p>
        </w:tc>
      </w:tr>
      <w:tr w:rsidR="00AD5BB5">
        <w:trPr>
          <w:cantSplit/>
        </w:trPr>
        <w:tc>
          <w:tcPr>
            <w:tcW w:w="129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autoSpaceDE w:val="0"/>
              <w:autoSpaceDN w:val="0"/>
              <w:adjustRightInd w:val="0"/>
              <w:jc w:val="center"/>
              <w:rPr>
                <w:rFonts w:ascii="宋体" w:hAnsi="宋体"/>
              </w:rPr>
            </w:pPr>
            <w:r>
              <w:rPr>
                <w:rFonts w:hint="eastAsia"/>
              </w:rPr>
              <w:t>备查文件目录</w:t>
            </w:r>
          </w:p>
        </w:tc>
        <w:tc>
          <w:tcPr>
            <w:tcW w:w="3710"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autoSpaceDE w:val="0"/>
              <w:autoSpaceDN w:val="0"/>
              <w:adjustRightInd w:val="0"/>
              <w:rPr>
                <w:rFonts w:ascii="宋体" w:hAnsi="宋体"/>
              </w:rPr>
            </w:pPr>
            <w:r>
              <w:rPr>
                <w:rFonts w:ascii="宋体" w:hAnsi="宋体" w:hint="eastAsia"/>
              </w:rPr>
              <w:t>载有本公司法定代表人、主管会计工作的负责人、会计机构负责人签名并盖章的会计报表；</w:t>
            </w:r>
          </w:p>
        </w:tc>
      </w:tr>
      <w:tr w:rsidR="00AD5BB5">
        <w:trPr>
          <w:cantSplit/>
        </w:trPr>
        <w:tc>
          <w:tcPr>
            <w:tcW w:w="129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autoSpaceDE w:val="0"/>
              <w:autoSpaceDN w:val="0"/>
              <w:adjustRightInd w:val="0"/>
              <w:jc w:val="center"/>
              <w:rPr>
                <w:rFonts w:ascii="宋体" w:hAnsi="宋体"/>
              </w:rPr>
            </w:pPr>
            <w:r>
              <w:rPr>
                <w:rFonts w:hint="eastAsia"/>
              </w:rPr>
              <w:t>备查文件目录</w:t>
            </w:r>
          </w:p>
        </w:tc>
        <w:tc>
          <w:tcPr>
            <w:tcW w:w="3710"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autoSpaceDE w:val="0"/>
              <w:autoSpaceDN w:val="0"/>
              <w:adjustRightInd w:val="0"/>
              <w:rPr>
                <w:rFonts w:ascii="宋体" w:hAnsi="宋体"/>
              </w:rPr>
            </w:pPr>
            <w:r>
              <w:rPr>
                <w:rFonts w:ascii="宋体" w:hAnsi="宋体" w:hint="eastAsia"/>
              </w:rPr>
              <w:t>载有会计师事务所盖章、注册会计师签名并盖章的审阅报告原件；</w:t>
            </w:r>
          </w:p>
        </w:tc>
      </w:tr>
      <w:tr w:rsidR="00AD5BB5">
        <w:trPr>
          <w:cantSplit/>
        </w:trPr>
        <w:tc>
          <w:tcPr>
            <w:tcW w:w="129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autoSpaceDE w:val="0"/>
              <w:autoSpaceDN w:val="0"/>
              <w:adjustRightInd w:val="0"/>
              <w:jc w:val="center"/>
            </w:pPr>
            <w:r>
              <w:rPr>
                <w:rFonts w:hint="eastAsia"/>
              </w:rPr>
              <w:t>备查文件目录</w:t>
            </w:r>
          </w:p>
        </w:tc>
        <w:tc>
          <w:tcPr>
            <w:tcW w:w="3710"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autoSpaceDE w:val="0"/>
              <w:autoSpaceDN w:val="0"/>
              <w:adjustRightInd w:val="0"/>
              <w:rPr>
                <w:rFonts w:ascii="宋体" w:hAnsi="宋体"/>
              </w:rPr>
            </w:pPr>
            <w:r>
              <w:rPr>
                <w:rFonts w:ascii="宋体" w:hAnsi="宋体" w:hint="eastAsia"/>
              </w:rPr>
              <w:t>公司章程。</w:t>
            </w:r>
          </w:p>
        </w:tc>
      </w:tr>
    </w:tbl>
    <w:p w:rsidR="00AD5BB5" w:rsidRDefault="00F87FF6">
      <w:r>
        <w:rPr>
          <w:rFonts w:hint="eastAsia"/>
        </w:rPr>
        <w:br w:type="page"/>
      </w:r>
    </w:p>
    <w:p w:rsidR="00AD5BB5" w:rsidRDefault="00F87FF6">
      <w:pPr>
        <w:pStyle w:val="1"/>
        <w:ind w:left="425"/>
      </w:pPr>
      <w:bookmarkStart w:id="4" w:name="_Toc407111354"/>
      <w:bookmarkStart w:id="5" w:name="_Toc68005707"/>
      <w:bookmarkStart w:id="6" w:name="_Toc79665917"/>
      <w:bookmarkStart w:id="7" w:name="_Toc436392761"/>
      <w:r>
        <w:rPr>
          <w:rFonts w:hint="eastAsia"/>
        </w:rPr>
        <w:lastRenderedPageBreak/>
        <w:t>第一节</w:t>
      </w:r>
      <w:r>
        <w:rPr>
          <w:rFonts w:hint="eastAsia"/>
        </w:rPr>
        <w:t xml:space="preserve">  </w:t>
      </w:r>
      <w:r>
        <w:rPr>
          <w:rFonts w:hint="eastAsia"/>
        </w:rPr>
        <w:t>释义</w:t>
      </w:r>
      <w:bookmarkEnd w:id="4"/>
      <w:bookmarkEnd w:id="5"/>
      <w:bookmarkEnd w:id="6"/>
      <w:bookmarkEnd w:id="7"/>
    </w:p>
    <w:p w:rsidR="00AD5BB5" w:rsidRDefault="00F87FF6">
      <w:pPr>
        <w:pStyle w:val="2"/>
        <w:tabs>
          <w:tab w:val="left" w:pos="588"/>
        </w:tabs>
        <w:ind w:left="369" w:hangingChars="175" w:hanging="369"/>
      </w:pPr>
      <w:r>
        <w:rPr>
          <w:rFonts w:hint="eastAsia"/>
        </w:rPr>
        <w:t>一、释义</w:t>
      </w:r>
    </w:p>
    <w:p w:rsidR="00AD5BB5" w:rsidRDefault="00F87FF6">
      <w:pPr>
        <w:rPr>
          <w:szCs w:val="21"/>
        </w:rPr>
      </w:pPr>
      <w:r>
        <w:rPr>
          <w:rFonts w:hint="eastAsia"/>
          <w:szCs w:val="21"/>
        </w:rPr>
        <w:t>在本报告书中，除非文义另有所指，下列词语具有如下含义：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765"/>
        <w:gridCol w:w="4764"/>
      </w:tblGrid>
      <w:tr w:rsidR="00AD5BB5">
        <w:tc>
          <w:tcPr>
            <w:tcW w:w="8303" w:type="dxa"/>
            <w:gridSpan w:val="3"/>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cs="Times New Roman"/>
                <w:kern w:val="0"/>
                <w:szCs w:val="21"/>
              </w:rPr>
            </w:pPr>
            <w:r>
              <w:rPr>
                <w:rFonts w:ascii="Times New Roman" w:hAnsi="Times New Roman" w:cs="Times New Roman" w:hint="eastAsia"/>
                <w:kern w:val="0"/>
                <w:szCs w:val="21"/>
              </w:rPr>
              <w:t>常用词语释义</w:t>
            </w:r>
          </w:p>
        </w:tc>
      </w:tr>
      <w:tr w:rsidR="00AD5BB5">
        <w:tc>
          <w:tcPr>
            <w:tcW w:w="277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jc w:val="left"/>
              <w:rPr>
                <w:rFonts w:ascii="Times New Roman" w:hAnsi="Times New Roman" w:cs="Times New Roman"/>
                <w:szCs w:val="21"/>
              </w:rPr>
            </w:pPr>
            <w:r>
              <w:rPr>
                <w:rFonts w:ascii="Times New Roman" w:hAnsi="Times New Roman" w:cs="Times New Roman" w:hint="eastAsia"/>
                <w:szCs w:val="21"/>
              </w:rPr>
              <w:t>报告期</w:t>
            </w:r>
          </w:p>
        </w:tc>
        <w:tc>
          <w:tcPr>
            <w:tcW w:w="765"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指</w:t>
            </w:r>
          </w:p>
        </w:tc>
        <w:tc>
          <w:tcPr>
            <w:tcW w:w="476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cs="Times New Roman"/>
                <w:kern w:val="0"/>
                <w:szCs w:val="21"/>
              </w:rPr>
            </w:pPr>
            <w:r>
              <w:rPr>
                <w:rFonts w:ascii="Times New Roman" w:hAnsi="Times New Roman" w:cs="Times New Roman"/>
              </w:rPr>
              <w:t>2023</w:t>
            </w:r>
            <w:r>
              <w:rPr>
                <w:rFonts w:ascii="Times New Roman" w:hAnsi="Times New Roman" w:cs="Times New Roman" w:hint="eastAsia"/>
              </w:rPr>
              <w:t>年</w:t>
            </w:r>
            <w:r>
              <w:rPr>
                <w:rFonts w:ascii="Times New Roman" w:hAnsi="Times New Roman" w:cs="Times New Roman"/>
              </w:rPr>
              <w:t>1</w:t>
            </w:r>
            <w:r>
              <w:rPr>
                <w:rFonts w:ascii="Times New Roman" w:hAnsi="Times New Roman" w:cs="Times New Roman" w:hint="eastAsia"/>
              </w:rPr>
              <w:t>月</w:t>
            </w:r>
            <w:r>
              <w:rPr>
                <w:rFonts w:ascii="Times New Roman" w:hAnsi="Times New Roman" w:cs="Times New Roman"/>
              </w:rPr>
              <w:t>1</w:t>
            </w:r>
            <w:r>
              <w:rPr>
                <w:rFonts w:ascii="Times New Roman" w:hAnsi="Times New Roman" w:cs="Times New Roman" w:hint="eastAsia"/>
              </w:rPr>
              <w:t>日至</w:t>
            </w:r>
            <w:r>
              <w:rPr>
                <w:rFonts w:ascii="Times New Roman" w:hAnsi="Times New Roman" w:cs="Times New Roman"/>
              </w:rPr>
              <w:t>2023</w:t>
            </w:r>
            <w:r>
              <w:rPr>
                <w:rFonts w:ascii="Times New Roman" w:hAnsi="Times New Roman" w:cs="Times New Roman" w:hint="eastAsia"/>
              </w:rPr>
              <w:t>年</w:t>
            </w:r>
            <w:r>
              <w:rPr>
                <w:rFonts w:ascii="Times New Roman" w:hAnsi="Times New Roman" w:cs="Times New Roman"/>
              </w:rPr>
              <w:t>6</w:t>
            </w:r>
            <w:r>
              <w:rPr>
                <w:rFonts w:ascii="Times New Roman" w:hAnsi="Times New Roman" w:cs="Times New Roman" w:hint="eastAsia"/>
              </w:rPr>
              <w:t>月</w:t>
            </w:r>
            <w:r>
              <w:rPr>
                <w:rFonts w:ascii="Times New Roman" w:hAnsi="Times New Roman" w:cs="Times New Roman"/>
              </w:rPr>
              <w:t>30</w:t>
            </w:r>
            <w:r>
              <w:rPr>
                <w:rFonts w:ascii="Times New Roman" w:hAnsi="Times New Roman" w:cs="Times New Roman" w:hint="eastAsia"/>
              </w:rPr>
              <w:t>日</w:t>
            </w:r>
          </w:p>
        </w:tc>
      </w:tr>
      <w:tr w:rsidR="00AD5BB5">
        <w:tc>
          <w:tcPr>
            <w:tcW w:w="277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cs="Times New Roman"/>
                <w:szCs w:val="21"/>
              </w:rPr>
            </w:pPr>
            <w:r>
              <w:rPr>
                <w:rFonts w:ascii="Times New Roman" w:hAnsi="Times New Roman" w:cs="Times New Roman" w:hint="eastAsia"/>
                <w:szCs w:val="21"/>
              </w:rPr>
              <w:t>报告期末</w:t>
            </w:r>
          </w:p>
        </w:tc>
        <w:tc>
          <w:tcPr>
            <w:tcW w:w="765"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指</w:t>
            </w:r>
          </w:p>
        </w:tc>
        <w:tc>
          <w:tcPr>
            <w:tcW w:w="476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cs="Times New Roman"/>
                <w:kern w:val="0"/>
                <w:szCs w:val="21"/>
              </w:rPr>
            </w:pPr>
            <w:r>
              <w:rPr>
                <w:rFonts w:ascii="Times New Roman" w:hAnsi="Times New Roman" w:cs="Times New Roman"/>
                <w:kern w:val="0"/>
                <w:szCs w:val="21"/>
              </w:rPr>
              <w:t>2023</w:t>
            </w:r>
            <w:r>
              <w:rPr>
                <w:rFonts w:ascii="Times New Roman" w:hAnsi="Times New Roman" w:cs="Times New Roman" w:hint="eastAsia"/>
                <w:kern w:val="0"/>
                <w:szCs w:val="21"/>
              </w:rPr>
              <w:t>年</w:t>
            </w:r>
            <w:r>
              <w:rPr>
                <w:rFonts w:ascii="Times New Roman" w:hAnsi="Times New Roman" w:cs="Times New Roman"/>
                <w:kern w:val="0"/>
                <w:szCs w:val="21"/>
              </w:rPr>
              <w:t>6</w:t>
            </w:r>
            <w:r>
              <w:rPr>
                <w:rFonts w:ascii="Times New Roman" w:hAnsi="Times New Roman" w:cs="Times New Roman" w:hint="eastAsia"/>
                <w:kern w:val="0"/>
                <w:szCs w:val="21"/>
              </w:rPr>
              <w:t>月</w:t>
            </w:r>
            <w:r>
              <w:rPr>
                <w:rFonts w:ascii="Times New Roman" w:hAnsi="Times New Roman" w:cs="Times New Roman"/>
                <w:kern w:val="0"/>
                <w:szCs w:val="21"/>
              </w:rPr>
              <w:t>30</w:t>
            </w:r>
            <w:r>
              <w:rPr>
                <w:rFonts w:ascii="Times New Roman" w:hAnsi="Times New Roman" w:cs="Times New Roman" w:hint="eastAsia"/>
                <w:kern w:val="0"/>
                <w:szCs w:val="21"/>
              </w:rPr>
              <w:t>日</w:t>
            </w:r>
          </w:p>
        </w:tc>
      </w:tr>
      <w:tr w:rsidR="00AD5BB5">
        <w:tc>
          <w:tcPr>
            <w:tcW w:w="277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宋体" w:hAnsi="宋体"/>
                <w:kern w:val="0"/>
                <w:szCs w:val="21"/>
              </w:rPr>
            </w:pPr>
            <w:r>
              <w:rPr>
                <w:rFonts w:hint="eastAsia"/>
                <w:szCs w:val="21"/>
              </w:rPr>
              <w:t>公司、本公司、本行、厦门银行</w:t>
            </w:r>
          </w:p>
        </w:tc>
        <w:tc>
          <w:tcPr>
            <w:tcW w:w="765"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宋体" w:hAnsi="宋体"/>
                <w:kern w:val="0"/>
                <w:szCs w:val="21"/>
                <w:highlight w:val="lightGray"/>
              </w:rPr>
            </w:pPr>
            <w:r>
              <w:rPr>
                <w:rFonts w:ascii="Times New Roman" w:hAnsi="Times New Roman" w:hint="eastAsia"/>
                <w:kern w:val="0"/>
                <w:szCs w:val="21"/>
              </w:rPr>
              <w:t>指</w:t>
            </w:r>
          </w:p>
        </w:tc>
        <w:tc>
          <w:tcPr>
            <w:tcW w:w="476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宋体" w:hAnsi="宋体"/>
                <w:kern w:val="0"/>
                <w:szCs w:val="21"/>
              </w:rPr>
            </w:pPr>
            <w:r>
              <w:rPr>
                <w:rFonts w:ascii="Times New Roman" w:hAnsi="Times New Roman" w:hint="eastAsia"/>
                <w:kern w:val="0"/>
                <w:szCs w:val="21"/>
              </w:rPr>
              <w:t>厦门银行股份有限公司</w:t>
            </w:r>
          </w:p>
        </w:tc>
      </w:tr>
      <w:tr w:rsidR="00AD5BB5">
        <w:tc>
          <w:tcPr>
            <w:tcW w:w="277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宋体" w:hAnsi="宋体"/>
                <w:kern w:val="0"/>
                <w:szCs w:val="21"/>
              </w:rPr>
            </w:pPr>
            <w:r>
              <w:rPr>
                <w:rFonts w:ascii="宋体" w:hAnsi="宋体" w:hint="eastAsia"/>
                <w:kern w:val="0"/>
                <w:szCs w:val="21"/>
              </w:rPr>
              <w:t>央行、中央银行、人民银行</w:t>
            </w:r>
          </w:p>
        </w:tc>
        <w:tc>
          <w:tcPr>
            <w:tcW w:w="765"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宋体" w:hAnsi="宋体"/>
                <w:kern w:val="0"/>
                <w:szCs w:val="21"/>
                <w:highlight w:val="lightGray"/>
              </w:rPr>
            </w:pPr>
            <w:r>
              <w:rPr>
                <w:rFonts w:ascii="Times New Roman" w:hAnsi="Times New Roman" w:hint="eastAsia"/>
                <w:kern w:val="0"/>
                <w:szCs w:val="21"/>
              </w:rPr>
              <w:t>指</w:t>
            </w:r>
          </w:p>
        </w:tc>
        <w:tc>
          <w:tcPr>
            <w:tcW w:w="476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宋体" w:hAnsi="宋体"/>
                <w:kern w:val="0"/>
                <w:szCs w:val="21"/>
              </w:rPr>
            </w:pPr>
            <w:r>
              <w:rPr>
                <w:rFonts w:ascii="宋体" w:hAnsi="宋体" w:hint="eastAsia"/>
                <w:kern w:val="0"/>
                <w:szCs w:val="21"/>
              </w:rPr>
              <w:t>中国人民银行</w:t>
            </w:r>
          </w:p>
        </w:tc>
      </w:tr>
      <w:tr w:rsidR="00AD5BB5">
        <w:tc>
          <w:tcPr>
            <w:tcW w:w="277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kern w:val="0"/>
                <w:szCs w:val="21"/>
              </w:rPr>
            </w:pPr>
            <w:r>
              <w:rPr>
                <w:rFonts w:hint="eastAsia"/>
                <w:kern w:val="0"/>
                <w:szCs w:val="21"/>
              </w:rPr>
              <w:t>证监会、中国证监会</w:t>
            </w:r>
          </w:p>
        </w:tc>
        <w:tc>
          <w:tcPr>
            <w:tcW w:w="765"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kern w:val="0"/>
                <w:szCs w:val="21"/>
              </w:rPr>
            </w:pPr>
            <w:r>
              <w:rPr>
                <w:rFonts w:ascii="Times New Roman" w:hAnsi="Times New Roman" w:hint="eastAsia"/>
                <w:kern w:val="0"/>
                <w:szCs w:val="21"/>
              </w:rPr>
              <w:t>指</w:t>
            </w:r>
          </w:p>
        </w:tc>
        <w:tc>
          <w:tcPr>
            <w:tcW w:w="476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kern w:val="0"/>
                <w:szCs w:val="21"/>
              </w:rPr>
            </w:pPr>
            <w:r>
              <w:rPr>
                <w:rFonts w:ascii="Times New Roman" w:hAnsi="Times New Roman" w:hint="eastAsia"/>
                <w:kern w:val="0"/>
                <w:szCs w:val="21"/>
              </w:rPr>
              <w:t>中国证券监督管理委员会</w:t>
            </w:r>
          </w:p>
        </w:tc>
      </w:tr>
      <w:tr w:rsidR="00AD5BB5">
        <w:tc>
          <w:tcPr>
            <w:tcW w:w="277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宋体" w:hAnsi="宋体"/>
                <w:kern w:val="0"/>
                <w:szCs w:val="21"/>
              </w:rPr>
            </w:pPr>
            <w:r>
              <w:rPr>
                <w:rFonts w:hint="eastAsia"/>
                <w:szCs w:val="21"/>
              </w:rPr>
              <w:t>银保监会、中国银保监会</w:t>
            </w:r>
          </w:p>
        </w:tc>
        <w:tc>
          <w:tcPr>
            <w:tcW w:w="765"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宋体" w:hAnsi="宋体"/>
                <w:kern w:val="0"/>
                <w:szCs w:val="21"/>
                <w:highlight w:val="lightGray"/>
              </w:rPr>
            </w:pPr>
            <w:r>
              <w:rPr>
                <w:rFonts w:ascii="Times New Roman" w:hAnsi="Times New Roman" w:hint="eastAsia"/>
                <w:kern w:val="0"/>
                <w:szCs w:val="21"/>
              </w:rPr>
              <w:t>指</w:t>
            </w:r>
          </w:p>
        </w:tc>
        <w:tc>
          <w:tcPr>
            <w:tcW w:w="476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宋体" w:hAnsi="宋体"/>
                <w:kern w:val="0"/>
                <w:szCs w:val="21"/>
              </w:rPr>
            </w:pPr>
            <w:r>
              <w:rPr>
                <w:rFonts w:ascii="Times New Roman" w:hAnsi="Times New Roman" w:hint="eastAsia"/>
                <w:kern w:val="0"/>
                <w:szCs w:val="21"/>
              </w:rPr>
              <w:t>原中国银行保险监督管理委员会</w:t>
            </w:r>
          </w:p>
        </w:tc>
      </w:tr>
      <w:tr w:rsidR="00AD5BB5">
        <w:tc>
          <w:tcPr>
            <w:tcW w:w="277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kern w:val="0"/>
                <w:szCs w:val="21"/>
              </w:rPr>
            </w:pPr>
            <w:r>
              <w:rPr>
                <w:rFonts w:hint="eastAsia"/>
                <w:kern w:val="0"/>
                <w:szCs w:val="21"/>
              </w:rPr>
              <w:t>上交所、交易所</w:t>
            </w:r>
          </w:p>
        </w:tc>
        <w:tc>
          <w:tcPr>
            <w:tcW w:w="765"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kern w:val="0"/>
                <w:szCs w:val="21"/>
              </w:rPr>
            </w:pPr>
            <w:r>
              <w:rPr>
                <w:rFonts w:ascii="Times New Roman" w:hAnsi="Times New Roman" w:hint="eastAsia"/>
                <w:kern w:val="0"/>
                <w:szCs w:val="21"/>
              </w:rPr>
              <w:t>指</w:t>
            </w:r>
          </w:p>
        </w:tc>
        <w:tc>
          <w:tcPr>
            <w:tcW w:w="476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kern w:val="0"/>
                <w:szCs w:val="21"/>
              </w:rPr>
            </w:pPr>
            <w:r>
              <w:rPr>
                <w:rFonts w:hint="eastAsia"/>
                <w:kern w:val="0"/>
                <w:szCs w:val="21"/>
              </w:rPr>
              <w:t>上海证券交易所</w:t>
            </w:r>
          </w:p>
        </w:tc>
      </w:tr>
      <w:tr w:rsidR="00AD5BB5">
        <w:tc>
          <w:tcPr>
            <w:tcW w:w="277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kern w:val="0"/>
                <w:szCs w:val="21"/>
              </w:rPr>
            </w:pPr>
            <w:r>
              <w:rPr>
                <w:rFonts w:hint="eastAsia"/>
                <w:kern w:val="0"/>
                <w:szCs w:val="21"/>
              </w:rPr>
              <w:t>厦门银保监局</w:t>
            </w:r>
          </w:p>
        </w:tc>
        <w:tc>
          <w:tcPr>
            <w:tcW w:w="765"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kern w:val="0"/>
                <w:szCs w:val="21"/>
              </w:rPr>
            </w:pPr>
            <w:r>
              <w:rPr>
                <w:rFonts w:ascii="Times New Roman" w:hAnsi="Times New Roman" w:hint="eastAsia"/>
                <w:kern w:val="0"/>
                <w:szCs w:val="21"/>
              </w:rPr>
              <w:t>指</w:t>
            </w:r>
          </w:p>
        </w:tc>
        <w:tc>
          <w:tcPr>
            <w:tcW w:w="476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kern w:val="0"/>
                <w:szCs w:val="21"/>
              </w:rPr>
            </w:pPr>
            <w:r>
              <w:rPr>
                <w:rFonts w:hint="eastAsia"/>
                <w:kern w:val="0"/>
                <w:szCs w:val="21"/>
              </w:rPr>
              <w:t>原中国银行保险监督管理委员会厦门监管局</w:t>
            </w:r>
          </w:p>
        </w:tc>
      </w:tr>
      <w:tr w:rsidR="00AD5BB5">
        <w:tc>
          <w:tcPr>
            <w:tcW w:w="277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kern w:val="0"/>
                <w:szCs w:val="21"/>
              </w:rPr>
            </w:pPr>
            <w:proofErr w:type="gramStart"/>
            <w:r>
              <w:rPr>
                <w:rFonts w:hint="eastAsia"/>
                <w:kern w:val="0"/>
                <w:szCs w:val="21"/>
              </w:rPr>
              <w:t>海西金租</w:t>
            </w:r>
            <w:proofErr w:type="gramEnd"/>
          </w:p>
        </w:tc>
        <w:tc>
          <w:tcPr>
            <w:tcW w:w="765"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kern w:val="0"/>
                <w:szCs w:val="21"/>
              </w:rPr>
            </w:pPr>
            <w:r>
              <w:rPr>
                <w:rFonts w:ascii="Times New Roman" w:hAnsi="Times New Roman" w:hint="eastAsia"/>
                <w:kern w:val="0"/>
                <w:szCs w:val="21"/>
              </w:rPr>
              <w:t>指</w:t>
            </w:r>
          </w:p>
        </w:tc>
        <w:tc>
          <w:tcPr>
            <w:tcW w:w="476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kern w:val="0"/>
                <w:szCs w:val="21"/>
              </w:rPr>
            </w:pPr>
            <w:r>
              <w:rPr>
                <w:rFonts w:hint="eastAsia"/>
                <w:kern w:val="0"/>
                <w:szCs w:val="21"/>
              </w:rPr>
              <w:t>福建海西金融租赁有限责任公司</w:t>
            </w:r>
          </w:p>
        </w:tc>
      </w:tr>
      <w:tr w:rsidR="00AD5BB5">
        <w:tc>
          <w:tcPr>
            <w:tcW w:w="277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kern w:val="0"/>
                <w:szCs w:val="21"/>
              </w:rPr>
            </w:pPr>
            <w:r>
              <w:rPr>
                <w:rFonts w:hint="eastAsia"/>
                <w:kern w:val="0"/>
                <w:szCs w:val="21"/>
              </w:rPr>
              <w:t>厦门金圆集团</w:t>
            </w:r>
          </w:p>
        </w:tc>
        <w:tc>
          <w:tcPr>
            <w:tcW w:w="765"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kern w:val="0"/>
                <w:szCs w:val="21"/>
              </w:rPr>
            </w:pPr>
            <w:r>
              <w:rPr>
                <w:rFonts w:ascii="Times New Roman" w:hAnsi="Times New Roman" w:hint="eastAsia"/>
                <w:kern w:val="0"/>
                <w:szCs w:val="21"/>
              </w:rPr>
              <w:t>指</w:t>
            </w:r>
          </w:p>
        </w:tc>
        <w:tc>
          <w:tcPr>
            <w:tcW w:w="476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kern w:val="0"/>
                <w:szCs w:val="21"/>
              </w:rPr>
            </w:pPr>
            <w:r>
              <w:t>厦门金圆投资集团有限公司</w:t>
            </w:r>
          </w:p>
        </w:tc>
      </w:tr>
      <w:tr w:rsidR="00AD5BB5">
        <w:tc>
          <w:tcPr>
            <w:tcW w:w="277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kern w:val="0"/>
                <w:szCs w:val="21"/>
              </w:rPr>
            </w:pPr>
            <w:r>
              <w:rPr>
                <w:rFonts w:hint="eastAsia"/>
                <w:kern w:val="0"/>
                <w:szCs w:val="21"/>
              </w:rPr>
              <w:t>台湾</w:t>
            </w:r>
            <w:proofErr w:type="gramStart"/>
            <w:r>
              <w:rPr>
                <w:rFonts w:hint="eastAsia"/>
                <w:kern w:val="0"/>
                <w:szCs w:val="21"/>
              </w:rPr>
              <w:t>富邦金控</w:t>
            </w:r>
            <w:proofErr w:type="gramEnd"/>
          </w:p>
        </w:tc>
        <w:tc>
          <w:tcPr>
            <w:tcW w:w="765"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kern w:val="0"/>
                <w:szCs w:val="21"/>
              </w:rPr>
            </w:pPr>
            <w:r>
              <w:rPr>
                <w:rFonts w:ascii="Times New Roman" w:hAnsi="Times New Roman" w:hint="eastAsia"/>
                <w:kern w:val="0"/>
                <w:szCs w:val="21"/>
              </w:rPr>
              <w:t>指</w:t>
            </w:r>
          </w:p>
        </w:tc>
        <w:tc>
          <w:tcPr>
            <w:tcW w:w="476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kern w:val="0"/>
                <w:szCs w:val="21"/>
              </w:rPr>
            </w:pPr>
            <w:r>
              <w:rPr>
                <w:rFonts w:hint="eastAsia"/>
                <w:kern w:val="0"/>
                <w:szCs w:val="21"/>
              </w:rPr>
              <w:t>注册地在中国台湾的富邦金融控股股份有限公司</w:t>
            </w:r>
          </w:p>
        </w:tc>
      </w:tr>
      <w:tr w:rsidR="00AD5BB5">
        <w:tc>
          <w:tcPr>
            <w:tcW w:w="277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kern w:val="0"/>
                <w:szCs w:val="21"/>
              </w:rPr>
            </w:pPr>
            <w:r>
              <w:rPr>
                <w:rFonts w:hint="eastAsia"/>
                <w:kern w:val="0"/>
                <w:szCs w:val="21"/>
              </w:rPr>
              <w:t>盛达兴业</w:t>
            </w:r>
          </w:p>
        </w:tc>
        <w:tc>
          <w:tcPr>
            <w:tcW w:w="765"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kern w:val="0"/>
                <w:szCs w:val="21"/>
              </w:rPr>
            </w:pPr>
            <w:r>
              <w:rPr>
                <w:rFonts w:ascii="Times New Roman" w:hAnsi="Times New Roman" w:hint="eastAsia"/>
                <w:kern w:val="0"/>
                <w:szCs w:val="21"/>
              </w:rPr>
              <w:t>指</w:t>
            </w:r>
          </w:p>
        </w:tc>
        <w:tc>
          <w:tcPr>
            <w:tcW w:w="476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kern w:val="0"/>
                <w:szCs w:val="21"/>
              </w:rPr>
            </w:pPr>
            <w:r>
              <w:rPr>
                <w:rFonts w:hint="eastAsia"/>
                <w:kern w:val="0"/>
                <w:szCs w:val="21"/>
              </w:rPr>
              <w:t>北京盛达兴业房地产开发有限公司</w:t>
            </w:r>
          </w:p>
        </w:tc>
      </w:tr>
      <w:tr w:rsidR="00AD5BB5">
        <w:tc>
          <w:tcPr>
            <w:tcW w:w="277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kern w:val="0"/>
                <w:szCs w:val="21"/>
              </w:rPr>
            </w:pPr>
            <w:r>
              <w:rPr>
                <w:rFonts w:hint="eastAsia"/>
                <w:kern w:val="0"/>
                <w:szCs w:val="21"/>
              </w:rPr>
              <w:t>七匹</w:t>
            </w:r>
            <w:proofErr w:type="gramStart"/>
            <w:r>
              <w:rPr>
                <w:rFonts w:hint="eastAsia"/>
                <w:kern w:val="0"/>
                <w:szCs w:val="21"/>
              </w:rPr>
              <w:t>狼集团</w:t>
            </w:r>
            <w:proofErr w:type="gramEnd"/>
          </w:p>
        </w:tc>
        <w:tc>
          <w:tcPr>
            <w:tcW w:w="765"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kern w:val="0"/>
                <w:szCs w:val="21"/>
              </w:rPr>
            </w:pPr>
            <w:r>
              <w:rPr>
                <w:rFonts w:ascii="Times New Roman" w:hAnsi="Times New Roman" w:hint="eastAsia"/>
                <w:kern w:val="0"/>
                <w:szCs w:val="21"/>
              </w:rPr>
              <w:t>指</w:t>
            </w:r>
          </w:p>
        </w:tc>
        <w:tc>
          <w:tcPr>
            <w:tcW w:w="476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kern w:val="0"/>
                <w:szCs w:val="21"/>
              </w:rPr>
            </w:pPr>
            <w:r>
              <w:rPr>
                <w:rFonts w:hint="eastAsia"/>
                <w:kern w:val="0"/>
                <w:szCs w:val="21"/>
              </w:rPr>
              <w:t>福建七匹狼集团有限公司</w:t>
            </w:r>
          </w:p>
        </w:tc>
      </w:tr>
      <w:tr w:rsidR="00AD5BB5">
        <w:tc>
          <w:tcPr>
            <w:tcW w:w="277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kern w:val="0"/>
                <w:szCs w:val="21"/>
              </w:rPr>
            </w:pPr>
            <w:r>
              <w:rPr>
                <w:rFonts w:hint="eastAsia"/>
                <w:kern w:val="0"/>
                <w:szCs w:val="21"/>
              </w:rPr>
              <w:t>元</w:t>
            </w:r>
          </w:p>
        </w:tc>
        <w:tc>
          <w:tcPr>
            <w:tcW w:w="765"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kern w:val="0"/>
                <w:szCs w:val="21"/>
              </w:rPr>
            </w:pPr>
            <w:r>
              <w:rPr>
                <w:rFonts w:ascii="Times New Roman" w:hAnsi="Times New Roman" w:hint="eastAsia"/>
                <w:kern w:val="0"/>
                <w:szCs w:val="21"/>
              </w:rPr>
              <w:t>指</w:t>
            </w:r>
          </w:p>
        </w:tc>
        <w:tc>
          <w:tcPr>
            <w:tcW w:w="476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kern w:val="0"/>
                <w:szCs w:val="21"/>
              </w:rPr>
            </w:pPr>
            <w:r>
              <w:rPr>
                <w:rFonts w:hint="eastAsia"/>
                <w:kern w:val="0"/>
                <w:szCs w:val="21"/>
              </w:rPr>
              <w:t>人民币元</w:t>
            </w:r>
          </w:p>
        </w:tc>
      </w:tr>
    </w:tbl>
    <w:p w:rsidR="00AD5BB5" w:rsidRDefault="00F87FF6">
      <w:pPr>
        <w:rPr>
          <w:szCs w:val="21"/>
        </w:rPr>
      </w:pPr>
      <w:proofErr w:type="gramStart"/>
      <w:r>
        <w:rPr>
          <w:rFonts w:hint="eastAsia"/>
          <w:szCs w:val="21"/>
        </w:rPr>
        <w:t>本半年度</w:t>
      </w:r>
      <w:proofErr w:type="gramEnd"/>
      <w:r>
        <w:rPr>
          <w:rFonts w:hint="eastAsia"/>
          <w:szCs w:val="21"/>
        </w:rPr>
        <w:t>报告中部分合计数与各加数之和在尾数上存在差异，这些差异是由四舍五入造成。</w:t>
      </w:r>
    </w:p>
    <w:p w:rsidR="00AD5BB5" w:rsidRDefault="00AD5BB5"/>
    <w:p w:rsidR="00AD5BB5" w:rsidRDefault="00F87FF6">
      <w:pPr>
        <w:pStyle w:val="1"/>
        <w:ind w:left="425"/>
        <w:rPr>
          <w:color w:val="FF0000"/>
          <w:u w:val="single"/>
        </w:rPr>
      </w:pPr>
      <w:bookmarkStart w:id="8" w:name="_Toc407111355"/>
      <w:bookmarkStart w:id="9" w:name="_Toc436392762"/>
      <w:bookmarkStart w:id="10" w:name="_Toc79665918"/>
      <w:bookmarkStart w:id="11" w:name="_Toc68005708"/>
      <w:r>
        <w:rPr>
          <w:rFonts w:hint="eastAsia"/>
        </w:rPr>
        <w:t>第二节</w:t>
      </w:r>
      <w:r>
        <w:rPr>
          <w:rFonts w:hint="eastAsia"/>
        </w:rPr>
        <w:t xml:space="preserve">  </w:t>
      </w:r>
      <w:r>
        <w:rPr>
          <w:rFonts w:hint="eastAsia"/>
        </w:rPr>
        <w:t>公司简介</w:t>
      </w:r>
      <w:bookmarkEnd w:id="8"/>
      <w:bookmarkEnd w:id="9"/>
      <w:r>
        <w:rPr>
          <w:rFonts w:hint="eastAsia"/>
        </w:rPr>
        <w:t>和主要财务指标</w:t>
      </w:r>
      <w:bookmarkEnd w:id="10"/>
      <w:bookmarkEnd w:id="11"/>
    </w:p>
    <w:p w:rsidR="00AD5BB5" w:rsidRDefault="00F87FF6">
      <w:pPr>
        <w:pStyle w:val="2"/>
        <w:numPr>
          <w:ilvl w:val="1"/>
          <w:numId w:val="0"/>
        </w:numPr>
        <w:ind w:left="498" w:hangingChars="236" w:hanging="498"/>
        <w:rPr>
          <w:color w:val="FF0000"/>
          <w:u w:val="single"/>
        </w:rPr>
      </w:pPr>
      <w:bookmarkStart w:id="12" w:name="_Toc342051041"/>
      <w:bookmarkStart w:id="13" w:name="_Toc342565881"/>
      <w:r>
        <w:rPr>
          <w:rFonts w:hint="eastAsia"/>
        </w:rPr>
        <w:t>一、公司信息</w:t>
      </w:r>
      <w:bookmarkEnd w:id="12"/>
      <w:bookmarkEnd w:id="13"/>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4A0" w:firstRow="1" w:lastRow="0" w:firstColumn="1" w:lastColumn="0" w:noHBand="0" w:noVBand="1"/>
      </w:tblPr>
      <w:tblGrid>
        <w:gridCol w:w="3602"/>
        <w:gridCol w:w="4701"/>
      </w:tblGrid>
      <w:tr w:rsidR="00AD5BB5">
        <w:trPr>
          <w:trHeight w:val="293"/>
        </w:trPr>
        <w:tc>
          <w:tcPr>
            <w:tcW w:w="216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hint="eastAsia"/>
              </w:rPr>
              <w:t>公司的中文名称</w:t>
            </w:r>
          </w:p>
        </w:tc>
        <w:tc>
          <w:tcPr>
            <w:tcW w:w="283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hint="eastAsia"/>
              </w:rPr>
              <w:t>厦门银行股份有限公司</w:t>
            </w:r>
          </w:p>
        </w:tc>
      </w:tr>
      <w:tr w:rsidR="00AD5BB5">
        <w:trPr>
          <w:trHeight w:val="293"/>
        </w:trPr>
        <w:tc>
          <w:tcPr>
            <w:tcW w:w="216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hint="eastAsia"/>
              </w:rPr>
              <w:t>公司的中文简称</w:t>
            </w:r>
          </w:p>
        </w:tc>
        <w:tc>
          <w:tcPr>
            <w:tcW w:w="283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ascii="宋体" w:hAnsi="宋体" w:hint="eastAsia"/>
              </w:rPr>
              <w:t>厦门银行</w:t>
            </w:r>
          </w:p>
        </w:tc>
      </w:tr>
      <w:tr w:rsidR="00AD5BB5">
        <w:trPr>
          <w:trHeight w:val="293"/>
        </w:trPr>
        <w:tc>
          <w:tcPr>
            <w:tcW w:w="216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hint="eastAsia"/>
              </w:rPr>
              <w:t>公司的英文名称</w:t>
            </w:r>
          </w:p>
        </w:tc>
        <w:tc>
          <w:tcPr>
            <w:tcW w:w="283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ascii="宋体" w:hAnsi="宋体" w:hint="eastAsia"/>
              </w:rPr>
              <w:t>XIAMEN BANK CO.,LTD</w:t>
            </w:r>
          </w:p>
        </w:tc>
      </w:tr>
      <w:tr w:rsidR="00AD5BB5">
        <w:trPr>
          <w:trHeight w:val="293"/>
        </w:trPr>
        <w:tc>
          <w:tcPr>
            <w:tcW w:w="216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hint="eastAsia"/>
              </w:rPr>
              <w:t>公司的英文名称缩写</w:t>
            </w:r>
          </w:p>
        </w:tc>
        <w:tc>
          <w:tcPr>
            <w:tcW w:w="283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ascii="宋体" w:hAnsi="宋体" w:hint="eastAsia"/>
              </w:rPr>
              <w:t>XIAMEN BANK</w:t>
            </w:r>
          </w:p>
        </w:tc>
      </w:tr>
      <w:tr w:rsidR="00AD5BB5">
        <w:trPr>
          <w:trHeight w:val="293"/>
        </w:trPr>
        <w:tc>
          <w:tcPr>
            <w:tcW w:w="216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hint="eastAsia"/>
              </w:rPr>
              <w:t>公司的法定代表人</w:t>
            </w:r>
          </w:p>
        </w:tc>
        <w:tc>
          <w:tcPr>
            <w:tcW w:w="283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hint="eastAsia"/>
              </w:rPr>
              <w:t>姚志萍</w:t>
            </w:r>
          </w:p>
        </w:tc>
      </w:tr>
    </w:tbl>
    <w:p w:rsidR="00AD5BB5" w:rsidRDefault="00AD5BB5"/>
    <w:p w:rsidR="00AD5BB5" w:rsidRDefault="00F87FF6">
      <w:pPr>
        <w:pStyle w:val="2"/>
        <w:numPr>
          <w:ilvl w:val="1"/>
          <w:numId w:val="0"/>
        </w:numPr>
        <w:tabs>
          <w:tab w:val="left" w:pos="7490"/>
        </w:tabs>
        <w:ind w:left="498" w:hangingChars="236" w:hanging="498"/>
      </w:pPr>
      <w:bookmarkStart w:id="14" w:name="_Toc342565882"/>
      <w:bookmarkStart w:id="15" w:name="_Toc342051042"/>
      <w:r>
        <w:rPr>
          <w:rFonts w:hint="eastAsia"/>
        </w:rPr>
        <w:t>二、联系人和联系方式</w:t>
      </w:r>
      <w:bookmarkEnd w:id="14"/>
      <w:bookmarkEnd w:id="15"/>
      <w:r>
        <w:tab/>
      </w:r>
    </w:p>
    <w:tbl>
      <w:tblPr>
        <w:tblW w:w="4978" w:type="pct"/>
        <w:tblBorders>
          <w:top w:val="single" w:sz="4" w:space="0" w:color="auto"/>
          <w:left w:val="single" w:sz="4" w:space="0" w:color="auto"/>
          <w:bottom w:val="single" w:sz="4" w:space="0" w:color="auto"/>
          <w:right w:val="single" w:sz="4" w:space="0" w:color="auto"/>
        </w:tblBorders>
        <w:tblCellMar>
          <w:left w:w="30" w:type="dxa"/>
          <w:right w:w="30" w:type="dxa"/>
        </w:tblCellMar>
        <w:tblLook w:val="04A0" w:firstRow="1" w:lastRow="0" w:firstColumn="1" w:lastColumn="0" w:noHBand="0" w:noVBand="1"/>
      </w:tblPr>
      <w:tblGrid>
        <w:gridCol w:w="2766"/>
        <w:gridCol w:w="5500"/>
      </w:tblGrid>
      <w:tr w:rsidR="00AD5BB5">
        <w:tc>
          <w:tcPr>
            <w:tcW w:w="1673"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ascii="宋体" w:hAnsi="宋体" w:hint="eastAsia"/>
              </w:rPr>
              <w:t>董事会秘书</w:t>
            </w:r>
          </w:p>
        </w:tc>
        <w:tc>
          <w:tcPr>
            <w:tcW w:w="332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pStyle w:val="ab"/>
              <w:kinsoku w:val="0"/>
              <w:overflowPunct w:val="0"/>
              <w:autoSpaceDE w:val="0"/>
              <w:autoSpaceDN w:val="0"/>
              <w:adjustRightInd w:val="0"/>
              <w:snapToGrid w:val="0"/>
            </w:pPr>
            <w:r>
              <w:rPr>
                <w:rFonts w:hint="eastAsia"/>
              </w:rPr>
              <w:t>陈蓉蓉</w:t>
            </w:r>
          </w:p>
        </w:tc>
      </w:tr>
      <w:tr w:rsidR="00AD5BB5">
        <w:tc>
          <w:tcPr>
            <w:tcW w:w="1673"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hint="eastAsia"/>
              </w:rPr>
              <w:t>证券事务代表</w:t>
            </w:r>
          </w:p>
        </w:tc>
        <w:tc>
          <w:tcPr>
            <w:tcW w:w="332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ascii="宋体" w:hAnsi="宋体" w:hint="eastAsia"/>
              </w:rPr>
              <w:t>张晓芳</w:t>
            </w:r>
          </w:p>
        </w:tc>
      </w:tr>
      <w:tr w:rsidR="00AD5BB5">
        <w:tc>
          <w:tcPr>
            <w:tcW w:w="1673"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hint="eastAsia"/>
              </w:rPr>
              <w:t>联系地址</w:t>
            </w:r>
          </w:p>
        </w:tc>
        <w:tc>
          <w:tcPr>
            <w:tcW w:w="332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ascii="宋体" w:hAnsi="宋体" w:hint="eastAsia"/>
              </w:rPr>
              <w:t>厦门市思明区湖滨北路101号商业银行大厦</w:t>
            </w:r>
          </w:p>
        </w:tc>
      </w:tr>
      <w:tr w:rsidR="00AD5BB5">
        <w:tc>
          <w:tcPr>
            <w:tcW w:w="1673"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hint="eastAsia"/>
              </w:rPr>
              <w:t>电话</w:t>
            </w:r>
          </w:p>
        </w:tc>
        <w:tc>
          <w:tcPr>
            <w:tcW w:w="332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ascii="宋体" w:hAnsi="宋体" w:hint="eastAsia"/>
              </w:rPr>
              <w:t>0592-5060112</w:t>
            </w:r>
          </w:p>
        </w:tc>
      </w:tr>
      <w:tr w:rsidR="00AD5BB5">
        <w:tc>
          <w:tcPr>
            <w:tcW w:w="1673"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hint="eastAsia"/>
              </w:rPr>
              <w:t>传真</w:t>
            </w:r>
          </w:p>
        </w:tc>
        <w:tc>
          <w:tcPr>
            <w:tcW w:w="332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ascii="宋体" w:hAnsi="宋体" w:hint="eastAsia"/>
              </w:rPr>
              <w:t>0592-5050839</w:t>
            </w:r>
          </w:p>
        </w:tc>
      </w:tr>
      <w:tr w:rsidR="00AD5BB5">
        <w:tc>
          <w:tcPr>
            <w:tcW w:w="1673"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hint="eastAsia"/>
              </w:rPr>
              <w:t>电子信箱</w:t>
            </w:r>
          </w:p>
        </w:tc>
        <w:tc>
          <w:tcPr>
            <w:tcW w:w="332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ascii="宋体" w:hAnsi="宋体" w:hint="eastAsia"/>
              </w:rPr>
              <w:t>dshbgs@xmbankonline.com</w:t>
            </w:r>
          </w:p>
        </w:tc>
      </w:tr>
    </w:tbl>
    <w:p w:rsidR="00AD5BB5" w:rsidRDefault="00AD5BB5"/>
    <w:p w:rsidR="00AD5BB5" w:rsidRDefault="00F87FF6">
      <w:pPr>
        <w:pStyle w:val="2"/>
        <w:numPr>
          <w:ilvl w:val="1"/>
          <w:numId w:val="0"/>
        </w:numPr>
        <w:tabs>
          <w:tab w:val="left" w:pos="7490"/>
        </w:tabs>
        <w:ind w:left="498" w:hangingChars="236" w:hanging="498"/>
        <w:rPr>
          <w:rFonts w:ascii="宋体" w:hAnsi="宋体"/>
          <w:color w:val="FF0000"/>
        </w:rPr>
      </w:pPr>
      <w:r>
        <w:rPr>
          <w:rFonts w:hint="eastAsia"/>
        </w:rPr>
        <w:t>三、基本情况简介</w:t>
      </w:r>
      <w:r>
        <w:tab/>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4A0" w:firstRow="1" w:lastRow="0" w:firstColumn="1" w:lastColumn="0" w:noHBand="0" w:noVBand="1"/>
      </w:tblPr>
      <w:tblGrid>
        <w:gridCol w:w="3602"/>
        <w:gridCol w:w="4701"/>
      </w:tblGrid>
      <w:tr w:rsidR="00AD5BB5">
        <w:trPr>
          <w:trHeight w:val="293"/>
        </w:trPr>
        <w:tc>
          <w:tcPr>
            <w:tcW w:w="216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hint="eastAsia"/>
              </w:rPr>
              <w:t>公司注册地址</w:t>
            </w:r>
          </w:p>
        </w:tc>
        <w:tc>
          <w:tcPr>
            <w:tcW w:w="283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ascii="宋体" w:hAnsi="宋体" w:hint="eastAsia"/>
              </w:rPr>
              <w:t>厦门市思明区湖滨北路101号商业银行大厦</w:t>
            </w:r>
          </w:p>
        </w:tc>
      </w:tr>
      <w:tr w:rsidR="00AD5BB5">
        <w:trPr>
          <w:trHeight w:val="293"/>
        </w:trPr>
        <w:tc>
          <w:tcPr>
            <w:tcW w:w="216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pPr>
            <w:r>
              <w:rPr>
                <w:rFonts w:hint="eastAsia"/>
              </w:rPr>
              <w:t>公司注册地址的历史变更情况</w:t>
            </w:r>
          </w:p>
        </w:tc>
        <w:tc>
          <w:tcPr>
            <w:tcW w:w="283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ascii="宋体" w:hAnsi="宋体" w:hint="eastAsia"/>
              </w:rPr>
              <w:t>2003年由厦门市斗西路9号电控大厦1-3层变更为厦门市斗西路209号；</w:t>
            </w:r>
          </w:p>
          <w:p w:rsidR="00AD5BB5" w:rsidRDefault="00F87FF6">
            <w:pPr>
              <w:kinsoku w:val="0"/>
              <w:overflowPunct w:val="0"/>
              <w:autoSpaceDE w:val="0"/>
              <w:autoSpaceDN w:val="0"/>
              <w:adjustRightInd w:val="0"/>
              <w:snapToGrid w:val="0"/>
              <w:rPr>
                <w:rFonts w:ascii="宋体" w:hAnsi="宋体"/>
              </w:rPr>
            </w:pPr>
            <w:r>
              <w:rPr>
                <w:rFonts w:ascii="宋体" w:hAnsi="宋体" w:hint="eastAsia"/>
              </w:rPr>
              <w:t>2007年由厦门市斗西路209号变更为厦门市思明区湖滨北路101号商业银行大厦</w:t>
            </w:r>
          </w:p>
        </w:tc>
      </w:tr>
      <w:tr w:rsidR="00AD5BB5">
        <w:trPr>
          <w:trHeight w:val="293"/>
        </w:trPr>
        <w:tc>
          <w:tcPr>
            <w:tcW w:w="216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hint="eastAsia"/>
              </w:rPr>
              <w:t>公司注册地址的邮政编码</w:t>
            </w:r>
          </w:p>
        </w:tc>
        <w:tc>
          <w:tcPr>
            <w:tcW w:w="283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ascii="宋体" w:hAnsi="宋体" w:hint="eastAsia"/>
              </w:rPr>
              <w:t>361012</w:t>
            </w:r>
          </w:p>
        </w:tc>
      </w:tr>
      <w:tr w:rsidR="00AD5BB5">
        <w:trPr>
          <w:trHeight w:val="293"/>
        </w:trPr>
        <w:tc>
          <w:tcPr>
            <w:tcW w:w="216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hint="eastAsia"/>
              </w:rPr>
              <w:t>公司办公地址</w:t>
            </w:r>
          </w:p>
        </w:tc>
        <w:tc>
          <w:tcPr>
            <w:tcW w:w="283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ascii="宋体" w:hAnsi="宋体" w:hint="eastAsia"/>
              </w:rPr>
              <w:t>厦门市思明区湖滨北路101号商业银行大厦</w:t>
            </w:r>
          </w:p>
        </w:tc>
      </w:tr>
      <w:tr w:rsidR="00AD5BB5">
        <w:trPr>
          <w:trHeight w:val="293"/>
        </w:trPr>
        <w:tc>
          <w:tcPr>
            <w:tcW w:w="216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hint="eastAsia"/>
              </w:rPr>
              <w:lastRenderedPageBreak/>
              <w:t>公司办公地址的邮政编码</w:t>
            </w:r>
          </w:p>
        </w:tc>
        <w:tc>
          <w:tcPr>
            <w:tcW w:w="283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ascii="宋体" w:hAnsi="宋体" w:hint="eastAsia"/>
              </w:rPr>
              <w:t>361012</w:t>
            </w:r>
          </w:p>
        </w:tc>
      </w:tr>
      <w:tr w:rsidR="00AD5BB5">
        <w:trPr>
          <w:trHeight w:val="293"/>
        </w:trPr>
        <w:tc>
          <w:tcPr>
            <w:tcW w:w="216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hint="eastAsia"/>
              </w:rPr>
              <w:t>公司网址</w:t>
            </w:r>
          </w:p>
        </w:tc>
        <w:tc>
          <w:tcPr>
            <w:tcW w:w="283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ascii="宋体" w:hAnsi="宋体" w:hint="eastAsia"/>
              </w:rPr>
              <w:t>http://www.xmbankonline.com</w:t>
            </w:r>
          </w:p>
        </w:tc>
      </w:tr>
      <w:tr w:rsidR="00AD5BB5">
        <w:trPr>
          <w:trHeight w:val="293"/>
        </w:trPr>
        <w:tc>
          <w:tcPr>
            <w:tcW w:w="216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hint="eastAsia"/>
              </w:rPr>
              <w:t>电子信箱</w:t>
            </w:r>
          </w:p>
        </w:tc>
        <w:tc>
          <w:tcPr>
            <w:tcW w:w="283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ascii="宋体" w:hAnsi="宋体" w:hint="eastAsia"/>
              </w:rPr>
              <w:t>dshbgs@xmbankonline.com</w:t>
            </w:r>
          </w:p>
        </w:tc>
      </w:tr>
      <w:tr w:rsidR="00AD5BB5">
        <w:trPr>
          <w:trHeight w:val="293"/>
        </w:trPr>
        <w:tc>
          <w:tcPr>
            <w:tcW w:w="216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pPr>
            <w:r>
              <w:rPr>
                <w:rFonts w:hint="eastAsia"/>
              </w:rPr>
              <w:t>服务及投诉电话</w:t>
            </w:r>
          </w:p>
        </w:tc>
        <w:tc>
          <w:tcPr>
            <w:tcW w:w="283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ascii="宋体" w:hAnsi="宋体" w:hint="eastAsia"/>
              </w:rPr>
              <w:t>400-858-8888</w:t>
            </w:r>
          </w:p>
        </w:tc>
      </w:tr>
      <w:tr w:rsidR="00AD5BB5">
        <w:trPr>
          <w:trHeight w:val="293"/>
        </w:trPr>
        <w:tc>
          <w:tcPr>
            <w:tcW w:w="216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pPr>
            <w:r>
              <w:rPr>
                <w:rFonts w:hint="eastAsia"/>
              </w:rPr>
              <w:t>报告期内变更情况查询索引</w:t>
            </w:r>
          </w:p>
        </w:tc>
        <w:tc>
          <w:tcPr>
            <w:tcW w:w="283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ascii="宋体" w:hAnsi="宋体" w:hint="eastAsia"/>
              </w:rPr>
              <w:t>无</w:t>
            </w:r>
          </w:p>
        </w:tc>
      </w:tr>
    </w:tbl>
    <w:p w:rsidR="00AD5BB5" w:rsidRDefault="00AD5BB5">
      <w:pPr>
        <w:rPr>
          <w:rFonts w:ascii="宋体" w:hAnsi="宋体"/>
        </w:rPr>
      </w:pPr>
    </w:p>
    <w:p w:rsidR="00AD5BB5" w:rsidRDefault="00F87FF6">
      <w:pPr>
        <w:pStyle w:val="2"/>
        <w:numPr>
          <w:ilvl w:val="1"/>
          <w:numId w:val="0"/>
        </w:numPr>
        <w:ind w:left="498" w:hangingChars="236" w:hanging="498"/>
        <w:rPr>
          <w:rFonts w:ascii="宋体" w:hAnsi="宋体"/>
        </w:rPr>
      </w:pPr>
      <w:r>
        <w:rPr>
          <w:rFonts w:hint="eastAsia"/>
        </w:rPr>
        <w:t>四、信息披露及备置地点</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4A0" w:firstRow="1" w:lastRow="0" w:firstColumn="1" w:lastColumn="0" w:noHBand="0" w:noVBand="1"/>
      </w:tblPr>
      <w:tblGrid>
        <w:gridCol w:w="2982"/>
        <w:gridCol w:w="5321"/>
      </w:tblGrid>
      <w:tr w:rsidR="00AD5BB5">
        <w:trPr>
          <w:trHeight w:val="293"/>
        </w:trPr>
        <w:tc>
          <w:tcPr>
            <w:tcW w:w="1796"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hint="eastAsia"/>
              </w:rPr>
              <w:t>公司选定的信息披露媒体名称</w:t>
            </w:r>
          </w:p>
        </w:tc>
        <w:tc>
          <w:tcPr>
            <w:tcW w:w="320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ascii="宋体" w:hAnsi="宋体" w:hint="eastAsia"/>
              </w:rPr>
              <w:t>《中国证券报》《上海证券报》《证券时报》《证券日报》</w:t>
            </w:r>
          </w:p>
        </w:tc>
      </w:tr>
      <w:tr w:rsidR="00AD5BB5">
        <w:trPr>
          <w:trHeight w:val="293"/>
        </w:trPr>
        <w:tc>
          <w:tcPr>
            <w:tcW w:w="1796"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hint="eastAsia"/>
              </w:rPr>
              <w:t>登载半年度报告的网站地址</w:t>
            </w:r>
          </w:p>
        </w:tc>
        <w:tc>
          <w:tcPr>
            <w:tcW w:w="320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ascii="宋体" w:hAnsi="宋体" w:hint="eastAsia"/>
              </w:rPr>
              <w:t>上海证券交易所网站（http://www.sse.com.cn）</w:t>
            </w:r>
          </w:p>
        </w:tc>
      </w:tr>
      <w:tr w:rsidR="00AD5BB5">
        <w:trPr>
          <w:trHeight w:val="293"/>
        </w:trPr>
        <w:tc>
          <w:tcPr>
            <w:tcW w:w="1796"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hint="eastAsia"/>
              </w:rPr>
              <w:t>公司半年度报告备置地点</w:t>
            </w:r>
          </w:p>
        </w:tc>
        <w:tc>
          <w:tcPr>
            <w:tcW w:w="320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ascii="宋体" w:hAnsi="宋体" w:hint="eastAsia"/>
              </w:rPr>
              <w:t>公司董事会办公室</w:t>
            </w:r>
          </w:p>
        </w:tc>
      </w:tr>
      <w:tr w:rsidR="00AD5BB5">
        <w:trPr>
          <w:trHeight w:val="293"/>
        </w:trPr>
        <w:tc>
          <w:tcPr>
            <w:tcW w:w="1796"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pPr>
            <w:r>
              <w:rPr>
                <w:rFonts w:hint="eastAsia"/>
              </w:rPr>
              <w:t>报告期内变更情况查询索引</w:t>
            </w:r>
          </w:p>
        </w:tc>
        <w:tc>
          <w:tcPr>
            <w:tcW w:w="320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ascii="宋体" w:hAnsi="宋体" w:hint="eastAsia"/>
              </w:rPr>
              <w:t>无</w:t>
            </w:r>
          </w:p>
        </w:tc>
      </w:tr>
    </w:tbl>
    <w:p w:rsidR="00AD5BB5" w:rsidRDefault="00AD5BB5">
      <w:pPr>
        <w:kinsoku w:val="0"/>
        <w:overflowPunct w:val="0"/>
        <w:autoSpaceDE w:val="0"/>
        <w:autoSpaceDN w:val="0"/>
        <w:adjustRightInd w:val="0"/>
        <w:snapToGrid w:val="0"/>
        <w:rPr>
          <w:rFonts w:ascii="宋体" w:hAnsi="宋体"/>
        </w:rPr>
      </w:pPr>
    </w:p>
    <w:p w:rsidR="00AD5BB5" w:rsidRDefault="00F87FF6">
      <w:pPr>
        <w:pStyle w:val="2"/>
        <w:numPr>
          <w:ilvl w:val="1"/>
          <w:numId w:val="0"/>
        </w:numPr>
        <w:ind w:left="498" w:hangingChars="236" w:hanging="498"/>
      </w:pPr>
      <w:bookmarkStart w:id="16" w:name="_Toc342565885"/>
      <w:bookmarkStart w:id="17" w:name="_Toc342051045"/>
      <w:r>
        <w:rPr>
          <w:rFonts w:hint="eastAsia"/>
        </w:rPr>
        <w:t>五、公司股票简况</w:t>
      </w:r>
      <w:bookmarkEnd w:id="16"/>
      <w:bookmarkEnd w:id="17"/>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4A0" w:firstRow="1" w:lastRow="0" w:firstColumn="1" w:lastColumn="0" w:noHBand="0" w:noVBand="1"/>
      </w:tblPr>
      <w:tblGrid>
        <w:gridCol w:w="2015"/>
        <w:gridCol w:w="2117"/>
        <w:gridCol w:w="2117"/>
        <w:gridCol w:w="2054"/>
      </w:tblGrid>
      <w:tr w:rsidR="00AD5BB5">
        <w:trPr>
          <w:trHeight w:val="293"/>
        </w:trPr>
        <w:tc>
          <w:tcPr>
            <w:tcW w:w="1213"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股票种类</w:t>
            </w:r>
          </w:p>
        </w:tc>
        <w:tc>
          <w:tcPr>
            <w:tcW w:w="1275"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股票上市交易所</w:t>
            </w:r>
          </w:p>
        </w:tc>
        <w:tc>
          <w:tcPr>
            <w:tcW w:w="1275"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股票简称</w:t>
            </w:r>
          </w:p>
        </w:tc>
        <w:tc>
          <w:tcPr>
            <w:tcW w:w="123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股票代码</w:t>
            </w:r>
          </w:p>
        </w:tc>
      </w:tr>
      <w:tr w:rsidR="00AD5BB5">
        <w:trPr>
          <w:trHeight w:val="293"/>
        </w:trPr>
        <w:tc>
          <w:tcPr>
            <w:tcW w:w="1213"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jc w:val="center"/>
              <w:rPr>
                <w:rFonts w:asciiTheme="minorEastAsia" w:eastAsiaTheme="minorEastAsia" w:hAnsiTheme="minorEastAsia"/>
                <w:szCs w:val="21"/>
              </w:rPr>
            </w:pPr>
            <w:r>
              <w:rPr>
                <w:rFonts w:asciiTheme="minorEastAsia" w:eastAsiaTheme="minorEastAsia" w:hAnsiTheme="minorEastAsia"/>
                <w:szCs w:val="21"/>
              </w:rPr>
              <w:t>A</w:t>
            </w:r>
            <w:r>
              <w:rPr>
                <w:rFonts w:asciiTheme="minorEastAsia" w:eastAsiaTheme="minorEastAsia" w:hAnsiTheme="minorEastAsia" w:hint="eastAsia"/>
                <w:szCs w:val="21"/>
              </w:rPr>
              <w:t>股</w:t>
            </w:r>
          </w:p>
        </w:tc>
        <w:tc>
          <w:tcPr>
            <w:tcW w:w="1275"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上海证券交易所</w:t>
            </w:r>
          </w:p>
        </w:tc>
        <w:tc>
          <w:tcPr>
            <w:tcW w:w="1275"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厦门银行</w:t>
            </w:r>
          </w:p>
        </w:tc>
        <w:tc>
          <w:tcPr>
            <w:tcW w:w="123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jc w:val="center"/>
              <w:rPr>
                <w:rFonts w:asciiTheme="minorEastAsia" w:eastAsiaTheme="minorEastAsia" w:hAnsiTheme="minorEastAsia"/>
                <w:szCs w:val="21"/>
              </w:rPr>
            </w:pPr>
            <w:r>
              <w:rPr>
                <w:rFonts w:asciiTheme="minorEastAsia" w:eastAsiaTheme="minorEastAsia" w:hAnsiTheme="minorEastAsia" w:hint="eastAsia"/>
                <w:szCs w:val="21"/>
              </w:rPr>
              <w:t>601187</w:t>
            </w:r>
          </w:p>
        </w:tc>
      </w:tr>
    </w:tbl>
    <w:p w:rsidR="00AD5BB5" w:rsidRDefault="00AD5BB5">
      <w:pPr>
        <w:rPr>
          <w:rFonts w:asciiTheme="minorEastAsia" w:eastAsiaTheme="minorEastAsia" w:hAnsiTheme="minorEastAsia"/>
          <w:szCs w:val="21"/>
        </w:rPr>
      </w:pPr>
    </w:p>
    <w:p w:rsidR="00AD5BB5" w:rsidRDefault="00F87FF6">
      <w:pPr>
        <w:pStyle w:val="2"/>
        <w:numPr>
          <w:ilvl w:val="1"/>
          <w:numId w:val="0"/>
        </w:numPr>
        <w:ind w:left="498" w:hangingChars="236" w:hanging="498"/>
      </w:pPr>
      <w:r>
        <w:rPr>
          <w:rFonts w:hint="eastAsia"/>
        </w:rPr>
        <w:t>六、公司注册情况</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4A0" w:firstRow="1" w:lastRow="0" w:firstColumn="1" w:lastColumn="0" w:noHBand="0" w:noVBand="1"/>
      </w:tblPr>
      <w:tblGrid>
        <w:gridCol w:w="3688"/>
        <w:gridCol w:w="4615"/>
      </w:tblGrid>
      <w:tr w:rsidR="00AD5BB5">
        <w:trPr>
          <w:trHeight w:val="293"/>
        </w:trPr>
        <w:tc>
          <w:tcPr>
            <w:tcW w:w="222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hint="eastAsia"/>
              </w:rPr>
              <w:t>首次注册登记日期</w:t>
            </w:r>
          </w:p>
        </w:tc>
        <w:tc>
          <w:tcPr>
            <w:tcW w:w="277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1996</w:t>
            </w:r>
            <w:r>
              <w:rPr>
                <w:rFonts w:ascii="Times New Roman" w:hAnsi="Times New Roman" w:cs="Times New Roman"/>
              </w:rPr>
              <w:t>年</w:t>
            </w:r>
            <w:r>
              <w:rPr>
                <w:rFonts w:ascii="Times New Roman" w:hAnsi="Times New Roman" w:cs="Times New Roman"/>
              </w:rPr>
              <w:t>11</w:t>
            </w:r>
            <w:r>
              <w:rPr>
                <w:rFonts w:ascii="Times New Roman" w:hAnsi="Times New Roman" w:cs="Times New Roman"/>
              </w:rPr>
              <w:t>月</w:t>
            </w:r>
            <w:r>
              <w:rPr>
                <w:rFonts w:ascii="Times New Roman" w:hAnsi="Times New Roman" w:cs="Times New Roman"/>
              </w:rPr>
              <w:t>26</w:t>
            </w:r>
            <w:r>
              <w:rPr>
                <w:rFonts w:ascii="Times New Roman" w:hAnsi="Times New Roman" w:cs="Times New Roman"/>
              </w:rPr>
              <w:t>日</w:t>
            </w:r>
          </w:p>
        </w:tc>
      </w:tr>
      <w:tr w:rsidR="00AD5BB5">
        <w:trPr>
          <w:trHeight w:val="293"/>
        </w:trPr>
        <w:tc>
          <w:tcPr>
            <w:tcW w:w="222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hint="eastAsia"/>
              </w:rPr>
              <w:t>变更注册登记日期</w:t>
            </w:r>
          </w:p>
        </w:tc>
        <w:tc>
          <w:tcPr>
            <w:tcW w:w="277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2022</w:t>
            </w:r>
            <w:r>
              <w:rPr>
                <w:rFonts w:ascii="Times New Roman" w:hAnsi="Times New Roman" w:cs="Times New Roman"/>
              </w:rPr>
              <w:t>年</w:t>
            </w:r>
            <w:r>
              <w:rPr>
                <w:rFonts w:ascii="Times New Roman" w:hAnsi="Times New Roman" w:cs="Times New Roman"/>
              </w:rPr>
              <w:t>11</w:t>
            </w:r>
            <w:r>
              <w:rPr>
                <w:rFonts w:ascii="Times New Roman" w:hAnsi="Times New Roman" w:cs="Times New Roman"/>
              </w:rPr>
              <w:t>月</w:t>
            </w:r>
            <w:r>
              <w:rPr>
                <w:rFonts w:ascii="Times New Roman" w:hAnsi="Times New Roman" w:cs="Times New Roman"/>
              </w:rPr>
              <w:t>11</w:t>
            </w:r>
            <w:r>
              <w:rPr>
                <w:rFonts w:ascii="Times New Roman" w:hAnsi="Times New Roman" w:cs="Times New Roman"/>
              </w:rPr>
              <w:t>日</w:t>
            </w:r>
          </w:p>
        </w:tc>
      </w:tr>
      <w:tr w:rsidR="00AD5BB5">
        <w:trPr>
          <w:trHeight w:val="293"/>
        </w:trPr>
        <w:tc>
          <w:tcPr>
            <w:tcW w:w="222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宋体" w:hAnsi="宋体"/>
              </w:rPr>
            </w:pPr>
            <w:r>
              <w:rPr>
                <w:rFonts w:hint="eastAsia"/>
              </w:rPr>
              <w:t>注册资本</w:t>
            </w:r>
          </w:p>
        </w:tc>
        <w:tc>
          <w:tcPr>
            <w:tcW w:w="277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2,639,127,888</w:t>
            </w:r>
            <w:r>
              <w:rPr>
                <w:rFonts w:ascii="Times New Roman" w:hAnsi="Times New Roman" w:cs="Times New Roman" w:hint="eastAsia"/>
              </w:rPr>
              <w:t>元</w:t>
            </w:r>
          </w:p>
        </w:tc>
      </w:tr>
      <w:tr w:rsidR="00AD5BB5">
        <w:trPr>
          <w:trHeight w:val="293"/>
        </w:trPr>
        <w:tc>
          <w:tcPr>
            <w:tcW w:w="222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pPr>
            <w:r>
              <w:rPr>
                <w:rFonts w:hint="eastAsia"/>
              </w:rPr>
              <w:t>统一社会信用代码</w:t>
            </w:r>
          </w:p>
        </w:tc>
        <w:tc>
          <w:tcPr>
            <w:tcW w:w="277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kinsoku w:val="0"/>
              <w:overflowPunct w:val="0"/>
              <w:autoSpaceDE w:val="0"/>
              <w:autoSpaceDN w:val="0"/>
              <w:adjustRightInd w:val="0"/>
              <w:snapToGrid w:val="0"/>
              <w:rPr>
                <w:rFonts w:ascii="Times New Roman" w:hAnsi="Times New Roman" w:cs="Times New Roman"/>
              </w:rPr>
            </w:pPr>
            <w:r>
              <w:rPr>
                <w:rFonts w:ascii="Times New Roman" w:hAnsi="Times New Roman" w:cs="Times New Roman"/>
              </w:rPr>
              <w:t>9135020026013710XM</w:t>
            </w:r>
          </w:p>
        </w:tc>
      </w:tr>
    </w:tbl>
    <w:p w:rsidR="00AD5BB5" w:rsidRDefault="00AD5BB5"/>
    <w:p w:rsidR="00AD5BB5" w:rsidRDefault="00F87FF6">
      <w:pPr>
        <w:pStyle w:val="2"/>
        <w:numPr>
          <w:ilvl w:val="1"/>
          <w:numId w:val="0"/>
        </w:numPr>
        <w:ind w:left="498" w:hangingChars="236" w:hanging="498"/>
      </w:pPr>
      <w:r>
        <w:rPr>
          <w:rFonts w:hint="eastAsia"/>
        </w:rPr>
        <w:t>七、其他相关资料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5"/>
        <w:gridCol w:w="2336"/>
        <w:gridCol w:w="3912"/>
      </w:tblGrid>
      <w:tr w:rsidR="00AD5BB5">
        <w:trPr>
          <w:trHeight w:val="132"/>
        </w:trPr>
        <w:tc>
          <w:tcPr>
            <w:tcW w:w="1237"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heme="minorEastAsia" w:eastAsiaTheme="minorEastAsia" w:hAnsiTheme="minorEastAsia"/>
                <w:kern w:val="0"/>
                <w:szCs w:val="21"/>
              </w:rPr>
            </w:pPr>
            <w:bookmarkStart w:id="18" w:name="_Toc342056397"/>
            <w:bookmarkStart w:id="19" w:name="_Toc342565889"/>
            <w:r>
              <w:rPr>
                <w:rFonts w:asciiTheme="minorEastAsia" w:eastAsiaTheme="minorEastAsia" w:hAnsiTheme="minorEastAsia" w:hint="eastAsia"/>
                <w:kern w:val="0"/>
                <w:szCs w:val="21"/>
              </w:rPr>
              <w:t>公司聘请的会计师事务所</w:t>
            </w:r>
          </w:p>
        </w:tc>
        <w:tc>
          <w:tcPr>
            <w:tcW w:w="140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heme="minorEastAsia" w:eastAsiaTheme="minorEastAsia" w:hAnsiTheme="minorEastAsia"/>
                <w:kern w:val="0"/>
                <w:szCs w:val="21"/>
              </w:rPr>
            </w:pPr>
            <w:r>
              <w:rPr>
                <w:rFonts w:asciiTheme="minorEastAsia" w:eastAsiaTheme="minorEastAsia" w:hAnsiTheme="minorEastAsia" w:hint="eastAsia"/>
                <w:kern w:val="0"/>
                <w:szCs w:val="21"/>
              </w:rPr>
              <w:t>名称</w:t>
            </w:r>
          </w:p>
        </w:tc>
        <w:tc>
          <w:tcPr>
            <w:tcW w:w="2356"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heme="minorEastAsia" w:eastAsiaTheme="minorEastAsia" w:hAnsiTheme="minorEastAsia"/>
                <w:kern w:val="0"/>
                <w:szCs w:val="21"/>
              </w:rPr>
            </w:pPr>
            <w:r>
              <w:rPr>
                <w:rFonts w:asciiTheme="minorEastAsia" w:eastAsiaTheme="minorEastAsia" w:hAnsiTheme="minorEastAsia" w:hint="eastAsia"/>
                <w:kern w:val="0"/>
                <w:szCs w:val="21"/>
              </w:rPr>
              <w:t>安永华明会计师事务所（特殊普通合伙）</w:t>
            </w:r>
          </w:p>
        </w:tc>
      </w:tr>
      <w:tr w:rsidR="00AD5BB5">
        <w:trPr>
          <w:trHeight w:val="90"/>
        </w:trPr>
        <w:tc>
          <w:tcPr>
            <w:tcW w:w="1237" w:type="pct"/>
            <w:vMerge/>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rPr>
                <w:rFonts w:asciiTheme="minorEastAsia" w:eastAsiaTheme="minorEastAsia" w:hAnsiTheme="minorEastAsia"/>
                <w:kern w:val="0"/>
                <w:szCs w:val="21"/>
              </w:rPr>
            </w:pPr>
          </w:p>
        </w:tc>
        <w:tc>
          <w:tcPr>
            <w:tcW w:w="140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heme="minorEastAsia" w:eastAsiaTheme="minorEastAsia" w:hAnsiTheme="minorEastAsia"/>
                <w:kern w:val="0"/>
                <w:szCs w:val="21"/>
              </w:rPr>
            </w:pPr>
            <w:r>
              <w:rPr>
                <w:rFonts w:asciiTheme="minorEastAsia" w:eastAsiaTheme="minorEastAsia" w:hAnsiTheme="minorEastAsia" w:hint="eastAsia"/>
                <w:kern w:val="0"/>
                <w:szCs w:val="21"/>
              </w:rPr>
              <w:t>办公地址</w:t>
            </w:r>
          </w:p>
        </w:tc>
        <w:tc>
          <w:tcPr>
            <w:tcW w:w="2356"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heme="minorEastAsia" w:eastAsiaTheme="minorEastAsia" w:hAnsiTheme="minorEastAsia"/>
                <w:kern w:val="0"/>
                <w:szCs w:val="21"/>
              </w:rPr>
            </w:pPr>
            <w:r>
              <w:rPr>
                <w:rFonts w:asciiTheme="minorEastAsia" w:eastAsiaTheme="minorEastAsia" w:hAnsiTheme="minorEastAsia" w:hint="eastAsia"/>
                <w:kern w:val="0"/>
                <w:szCs w:val="21"/>
              </w:rPr>
              <w:t>北京市东城区东长安街1号东方广场安永大楼17层01-12室</w:t>
            </w:r>
          </w:p>
        </w:tc>
      </w:tr>
      <w:tr w:rsidR="00AD5BB5">
        <w:trPr>
          <w:trHeight w:val="210"/>
        </w:trPr>
        <w:tc>
          <w:tcPr>
            <w:tcW w:w="1237" w:type="pct"/>
            <w:vMerge/>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rPr>
                <w:rFonts w:asciiTheme="minorEastAsia" w:eastAsiaTheme="minorEastAsia" w:hAnsiTheme="minorEastAsia"/>
                <w:kern w:val="0"/>
                <w:szCs w:val="21"/>
              </w:rPr>
            </w:pPr>
          </w:p>
        </w:tc>
        <w:tc>
          <w:tcPr>
            <w:tcW w:w="140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heme="minorEastAsia" w:eastAsiaTheme="minorEastAsia" w:hAnsiTheme="minorEastAsia"/>
                <w:kern w:val="0"/>
                <w:szCs w:val="21"/>
              </w:rPr>
            </w:pPr>
            <w:r>
              <w:rPr>
                <w:rFonts w:asciiTheme="minorEastAsia" w:eastAsiaTheme="minorEastAsia" w:hAnsiTheme="minorEastAsia" w:hint="eastAsia"/>
                <w:kern w:val="0"/>
                <w:szCs w:val="21"/>
              </w:rPr>
              <w:t>签字会计师姓名</w:t>
            </w:r>
          </w:p>
        </w:tc>
        <w:tc>
          <w:tcPr>
            <w:tcW w:w="2356"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heme="minorEastAsia" w:eastAsiaTheme="minorEastAsia" w:hAnsiTheme="minorEastAsia"/>
                <w:kern w:val="0"/>
                <w:szCs w:val="21"/>
              </w:rPr>
            </w:pPr>
            <w:r>
              <w:rPr>
                <w:rFonts w:asciiTheme="minorEastAsia" w:eastAsiaTheme="minorEastAsia" w:hAnsiTheme="minorEastAsia" w:hint="eastAsia"/>
                <w:kern w:val="0"/>
                <w:szCs w:val="21"/>
              </w:rPr>
              <w:t>昌华、张力卓</w:t>
            </w:r>
          </w:p>
        </w:tc>
      </w:tr>
    </w:tbl>
    <w:p w:rsidR="00AD5BB5" w:rsidRDefault="00AD5BB5">
      <w:pPr>
        <w:ind w:firstLineChars="900" w:firstLine="1890"/>
      </w:pPr>
      <w:bookmarkStart w:id="20" w:name="_Toc68005709"/>
      <w:bookmarkStart w:id="21" w:name="_Toc79665919"/>
      <w:bookmarkEnd w:id="18"/>
      <w:bookmarkEnd w:id="19"/>
    </w:p>
    <w:p w:rsidR="00AD5BB5" w:rsidRDefault="00F87FF6">
      <w:pPr>
        <w:pStyle w:val="2"/>
        <w:spacing w:line="360" w:lineRule="auto"/>
        <w:rPr>
          <w:rFonts w:ascii="Times New Roman" w:hAnsi="Times New Roman" w:cs="宋体"/>
        </w:rPr>
      </w:pPr>
      <w:r>
        <w:rPr>
          <w:rFonts w:ascii="Times New Roman" w:hAnsi="Times New Roman" w:cs="宋体" w:hint="eastAsia"/>
        </w:rPr>
        <w:t>八、近三年主要会计数据和财务指标</w:t>
      </w:r>
    </w:p>
    <w:p w:rsidR="00AD5BB5" w:rsidRDefault="00F87FF6">
      <w:pPr>
        <w:pStyle w:val="3"/>
        <w:numPr>
          <w:ilvl w:val="1"/>
          <w:numId w:val="6"/>
        </w:numPr>
        <w:spacing w:line="360" w:lineRule="auto"/>
        <w:rPr>
          <w:rFonts w:ascii="Times New Roman" w:hAnsi="Times New Roman"/>
        </w:rPr>
      </w:pPr>
      <w:r>
        <w:rPr>
          <w:rFonts w:ascii="Times New Roman" w:hAnsi="Times New Roman" w:cs="宋体" w:hint="eastAsia"/>
        </w:rPr>
        <w:t>主要会计数据</w:t>
      </w:r>
    </w:p>
    <w:p w:rsidR="00AD5BB5" w:rsidRDefault="00F87FF6">
      <w:pPr>
        <w:jc w:val="right"/>
        <w:rPr>
          <w:rFonts w:ascii="Times New Roman" w:hAnsi="Times New Roman"/>
        </w:rPr>
      </w:pPr>
      <w:r>
        <w:rPr>
          <w:rFonts w:ascii="Times New Roman" w:hAnsi="Times New Roman" w:hint="eastAsia"/>
        </w:rPr>
        <w:t>单位：人民币千元</w:t>
      </w:r>
    </w:p>
    <w:tbl>
      <w:tblPr>
        <w:tblpPr w:leftFromText="180" w:rightFromText="180" w:vertAnchor="text" w:horzAnchor="page" w:tblpX="1793" w:tblpY="25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1266"/>
        <w:gridCol w:w="1380"/>
        <w:gridCol w:w="1566"/>
        <w:gridCol w:w="1380"/>
      </w:tblGrid>
      <w:tr w:rsidR="00AD5BB5">
        <w:trPr>
          <w:trHeight w:val="596"/>
        </w:trPr>
        <w:tc>
          <w:tcPr>
            <w:tcW w:w="163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项目</w:t>
            </w:r>
          </w:p>
        </w:tc>
        <w:tc>
          <w:tcPr>
            <w:tcW w:w="74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2023</w:t>
            </w:r>
            <w:r>
              <w:rPr>
                <w:rFonts w:ascii="Times New Roman" w:hAnsi="Times New Roman" w:cs="宋体" w:hint="eastAsia"/>
              </w:rPr>
              <w:t>年</w:t>
            </w:r>
          </w:p>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1-6</w:t>
            </w:r>
            <w:r>
              <w:rPr>
                <w:rFonts w:ascii="Times New Roman" w:hAnsi="Times New Roman" w:cs="宋体" w:hint="eastAsia"/>
              </w:rPr>
              <w:t>月</w:t>
            </w:r>
          </w:p>
        </w:tc>
        <w:tc>
          <w:tcPr>
            <w:tcW w:w="83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2022</w:t>
            </w:r>
            <w:r>
              <w:rPr>
                <w:rFonts w:ascii="Times New Roman" w:hAnsi="Times New Roman" w:cs="宋体" w:hint="eastAsia"/>
              </w:rPr>
              <w:t>年</w:t>
            </w:r>
          </w:p>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1-6</w:t>
            </w:r>
            <w:r>
              <w:rPr>
                <w:rFonts w:ascii="Times New Roman" w:hAnsi="Times New Roman" w:cs="宋体" w:hint="eastAsia"/>
              </w:rPr>
              <w:t>月</w:t>
            </w:r>
          </w:p>
        </w:tc>
        <w:tc>
          <w:tcPr>
            <w:tcW w:w="94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本报告期较上年同期增减</w:t>
            </w:r>
            <w:r>
              <w:rPr>
                <w:rFonts w:ascii="Times New Roman" w:hAnsi="Times New Roman" w:cs="宋体" w:hint="eastAsia"/>
              </w:rPr>
              <w:t>(%)</w:t>
            </w:r>
          </w:p>
        </w:tc>
        <w:tc>
          <w:tcPr>
            <w:tcW w:w="83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2021</w:t>
            </w:r>
            <w:r>
              <w:rPr>
                <w:rFonts w:ascii="Times New Roman" w:hAnsi="Times New Roman" w:cs="宋体" w:hint="eastAsia"/>
              </w:rPr>
              <w:t>年</w:t>
            </w:r>
          </w:p>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1-6</w:t>
            </w:r>
            <w:r>
              <w:rPr>
                <w:rFonts w:ascii="Times New Roman" w:hAnsi="Times New Roman" w:cs="宋体" w:hint="eastAsia"/>
              </w:rPr>
              <w:t>月</w:t>
            </w:r>
          </w:p>
        </w:tc>
      </w:tr>
      <w:tr w:rsidR="00AD5BB5">
        <w:trPr>
          <w:trHeight w:val="283"/>
        </w:trPr>
        <w:tc>
          <w:tcPr>
            <w:tcW w:w="163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rPr>
                <w:rFonts w:ascii="Times New Roman" w:hAnsi="Times New Roman" w:cs="宋体"/>
              </w:rPr>
            </w:pPr>
            <w:r>
              <w:rPr>
                <w:rFonts w:ascii="Times New Roman" w:hAnsi="Times New Roman" w:cs="宋体" w:hint="eastAsia"/>
              </w:rPr>
              <w:t>营业收入</w:t>
            </w:r>
          </w:p>
        </w:tc>
        <w:tc>
          <w:tcPr>
            <w:tcW w:w="74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2,957,517 </w:t>
            </w:r>
          </w:p>
        </w:tc>
        <w:tc>
          <w:tcPr>
            <w:tcW w:w="83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2,854,759 </w:t>
            </w:r>
          </w:p>
        </w:tc>
        <w:tc>
          <w:tcPr>
            <w:tcW w:w="94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3.60 </w:t>
            </w:r>
          </w:p>
        </w:tc>
        <w:tc>
          <w:tcPr>
            <w:tcW w:w="83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2,415,742 </w:t>
            </w:r>
          </w:p>
        </w:tc>
      </w:tr>
      <w:tr w:rsidR="00AD5BB5">
        <w:trPr>
          <w:trHeight w:val="283"/>
        </w:trPr>
        <w:tc>
          <w:tcPr>
            <w:tcW w:w="163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rPr>
                <w:rFonts w:ascii="Times New Roman" w:hAnsi="Times New Roman" w:cs="宋体"/>
              </w:rPr>
            </w:pPr>
            <w:r>
              <w:rPr>
                <w:rFonts w:ascii="Times New Roman" w:hAnsi="Times New Roman" w:cs="宋体" w:hint="eastAsia"/>
              </w:rPr>
              <w:t>营业利润</w:t>
            </w:r>
          </w:p>
        </w:tc>
        <w:tc>
          <w:tcPr>
            <w:tcW w:w="74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1,649,473 </w:t>
            </w:r>
          </w:p>
        </w:tc>
        <w:tc>
          <w:tcPr>
            <w:tcW w:w="83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1,304,253 </w:t>
            </w:r>
          </w:p>
        </w:tc>
        <w:tc>
          <w:tcPr>
            <w:tcW w:w="94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26.47 </w:t>
            </w:r>
          </w:p>
        </w:tc>
        <w:tc>
          <w:tcPr>
            <w:tcW w:w="83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1,156,218 </w:t>
            </w:r>
          </w:p>
        </w:tc>
      </w:tr>
      <w:tr w:rsidR="00AD5BB5">
        <w:trPr>
          <w:trHeight w:val="283"/>
        </w:trPr>
        <w:tc>
          <w:tcPr>
            <w:tcW w:w="163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rPr>
                <w:rFonts w:ascii="Times New Roman" w:hAnsi="Times New Roman" w:cs="宋体"/>
              </w:rPr>
            </w:pPr>
            <w:r>
              <w:rPr>
                <w:rFonts w:ascii="Times New Roman" w:hAnsi="Times New Roman" w:cs="宋体" w:hint="eastAsia"/>
              </w:rPr>
              <w:t>利润总额</w:t>
            </w:r>
          </w:p>
        </w:tc>
        <w:tc>
          <w:tcPr>
            <w:tcW w:w="74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1,647,337 </w:t>
            </w:r>
          </w:p>
        </w:tc>
        <w:tc>
          <w:tcPr>
            <w:tcW w:w="83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1,302,450 </w:t>
            </w:r>
          </w:p>
        </w:tc>
        <w:tc>
          <w:tcPr>
            <w:tcW w:w="94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26.48 </w:t>
            </w:r>
          </w:p>
        </w:tc>
        <w:tc>
          <w:tcPr>
            <w:tcW w:w="83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1,160,072 </w:t>
            </w:r>
          </w:p>
        </w:tc>
      </w:tr>
      <w:tr w:rsidR="00AD5BB5">
        <w:trPr>
          <w:trHeight w:val="283"/>
        </w:trPr>
        <w:tc>
          <w:tcPr>
            <w:tcW w:w="1637" w:type="pct"/>
            <w:vAlign w:val="center"/>
          </w:tcPr>
          <w:p w:rsidR="00AD5BB5" w:rsidRDefault="00F87FF6">
            <w:pPr>
              <w:kinsoku w:val="0"/>
              <w:overflowPunct w:val="0"/>
              <w:autoSpaceDE w:val="0"/>
              <w:autoSpaceDN w:val="0"/>
              <w:adjustRightInd w:val="0"/>
              <w:snapToGrid w:val="0"/>
              <w:rPr>
                <w:rFonts w:ascii="Times New Roman" w:hAnsi="Times New Roman" w:cs="宋体"/>
              </w:rPr>
            </w:pPr>
            <w:r>
              <w:rPr>
                <w:rFonts w:ascii="Times New Roman" w:hAnsi="Times New Roman" w:cs="宋体" w:hint="eastAsia"/>
              </w:rPr>
              <w:t>归属于母公司股东的净利润</w:t>
            </w:r>
          </w:p>
        </w:tc>
        <w:tc>
          <w:tcPr>
            <w:tcW w:w="742"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1,428,441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1,232,286 </w:t>
            </w:r>
          </w:p>
        </w:tc>
        <w:tc>
          <w:tcPr>
            <w:tcW w:w="947"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15.92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1,070,505 </w:t>
            </w:r>
          </w:p>
        </w:tc>
      </w:tr>
      <w:tr w:rsidR="00AD5BB5">
        <w:trPr>
          <w:trHeight w:val="283"/>
        </w:trPr>
        <w:tc>
          <w:tcPr>
            <w:tcW w:w="1637" w:type="pct"/>
            <w:vAlign w:val="center"/>
          </w:tcPr>
          <w:p w:rsidR="00AD5BB5" w:rsidRDefault="00F87FF6">
            <w:pPr>
              <w:kinsoku w:val="0"/>
              <w:overflowPunct w:val="0"/>
              <w:autoSpaceDE w:val="0"/>
              <w:autoSpaceDN w:val="0"/>
              <w:adjustRightInd w:val="0"/>
              <w:snapToGrid w:val="0"/>
              <w:rPr>
                <w:rFonts w:ascii="Times New Roman" w:hAnsi="Times New Roman" w:cs="宋体"/>
              </w:rPr>
            </w:pPr>
            <w:r>
              <w:rPr>
                <w:rFonts w:ascii="Times New Roman" w:hAnsi="Times New Roman" w:cs="宋体" w:hint="eastAsia"/>
              </w:rPr>
              <w:t>归属于母公司股东的扣除非经常性损益的净利润</w:t>
            </w:r>
          </w:p>
        </w:tc>
        <w:tc>
          <w:tcPr>
            <w:tcW w:w="742"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1,42</w:t>
            </w:r>
            <w:r>
              <w:rPr>
                <w:rFonts w:ascii="Times New Roman" w:hAnsi="Times New Roman" w:cs="Times New Roman" w:hint="eastAsia"/>
                <w:kern w:val="0"/>
                <w:szCs w:val="21"/>
                <w:lang w:bidi="ar"/>
              </w:rPr>
              <w:t>2</w:t>
            </w:r>
            <w:r>
              <w:rPr>
                <w:rFonts w:ascii="Times New Roman" w:hAnsi="Times New Roman" w:cs="Times New Roman"/>
                <w:kern w:val="0"/>
                <w:szCs w:val="21"/>
                <w:lang w:bidi="ar"/>
              </w:rPr>
              <w:t>,</w:t>
            </w:r>
            <w:r>
              <w:rPr>
                <w:rFonts w:ascii="Times New Roman" w:hAnsi="Times New Roman" w:cs="Times New Roman" w:hint="eastAsia"/>
                <w:kern w:val="0"/>
                <w:szCs w:val="21"/>
                <w:lang w:bidi="ar"/>
              </w:rPr>
              <w:t>223</w:t>
            </w:r>
            <w:r>
              <w:rPr>
                <w:rFonts w:ascii="Times New Roman" w:hAnsi="Times New Roman" w:cs="Times New Roman"/>
                <w:kern w:val="0"/>
                <w:szCs w:val="21"/>
                <w:lang w:bidi="ar"/>
              </w:rPr>
              <w:t xml:space="preserve">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1,230,963 </w:t>
            </w:r>
          </w:p>
        </w:tc>
        <w:tc>
          <w:tcPr>
            <w:tcW w:w="947"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15.</w:t>
            </w:r>
            <w:r>
              <w:rPr>
                <w:rFonts w:ascii="Times New Roman" w:hAnsi="Times New Roman" w:cs="Times New Roman" w:hint="eastAsia"/>
                <w:kern w:val="0"/>
                <w:szCs w:val="21"/>
                <w:lang w:bidi="ar"/>
              </w:rPr>
              <w:t>54</w:t>
            </w:r>
            <w:r>
              <w:rPr>
                <w:rFonts w:ascii="Times New Roman" w:hAnsi="Times New Roman" w:cs="Times New Roman"/>
                <w:kern w:val="0"/>
                <w:szCs w:val="21"/>
                <w:lang w:bidi="ar"/>
              </w:rPr>
              <w:t xml:space="preserve">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1,066,791 </w:t>
            </w:r>
          </w:p>
        </w:tc>
      </w:tr>
      <w:tr w:rsidR="00AD5BB5">
        <w:trPr>
          <w:trHeight w:val="283"/>
        </w:trPr>
        <w:tc>
          <w:tcPr>
            <w:tcW w:w="1637" w:type="pct"/>
            <w:vAlign w:val="center"/>
          </w:tcPr>
          <w:p w:rsidR="00AD5BB5" w:rsidRDefault="00F87FF6">
            <w:pPr>
              <w:kinsoku w:val="0"/>
              <w:overflowPunct w:val="0"/>
              <w:autoSpaceDE w:val="0"/>
              <w:autoSpaceDN w:val="0"/>
              <w:adjustRightInd w:val="0"/>
              <w:snapToGrid w:val="0"/>
              <w:rPr>
                <w:rFonts w:ascii="Times New Roman" w:hAnsi="Times New Roman" w:cs="宋体"/>
              </w:rPr>
            </w:pPr>
            <w:r>
              <w:rPr>
                <w:rFonts w:ascii="Times New Roman" w:hAnsi="Times New Roman" w:cs="宋体" w:hint="eastAsia"/>
              </w:rPr>
              <w:t>经营活动产生的现金流量净额</w:t>
            </w:r>
          </w:p>
        </w:tc>
        <w:tc>
          <w:tcPr>
            <w:tcW w:w="742"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-27,</w:t>
            </w:r>
            <w:r>
              <w:rPr>
                <w:rFonts w:ascii="Times New Roman" w:hAnsi="Times New Roman" w:cs="Times New Roman" w:hint="eastAsia"/>
                <w:kern w:val="0"/>
                <w:szCs w:val="21"/>
                <w:lang w:bidi="ar"/>
              </w:rPr>
              <w:t>431</w:t>
            </w:r>
            <w:r>
              <w:rPr>
                <w:rFonts w:ascii="Times New Roman" w:hAnsi="Times New Roman" w:cs="Times New Roman"/>
                <w:kern w:val="0"/>
                <w:szCs w:val="21"/>
                <w:lang w:bidi="ar"/>
              </w:rPr>
              <w:t>,</w:t>
            </w:r>
            <w:r>
              <w:rPr>
                <w:rFonts w:ascii="Times New Roman" w:hAnsi="Times New Roman" w:cs="Times New Roman" w:hint="eastAsia"/>
                <w:kern w:val="0"/>
                <w:szCs w:val="21"/>
                <w:lang w:bidi="ar"/>
              </w:rPr>
              <w:t>57</w:t>
            </w:r>
            <w:r>
              <w:rPr>
                <w:rFonts w:ascii="Times New Roman" w:hAnsi="Times New Roman" w:cs="Times New Roman"/>
                <w:kern w:val="0"/>
                <w:szCs w:val="21"/>
                <w:lang w:bidi="ar"/>
              </w:rPr>
              <w:t xml:space="preserve">0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17,479,123 </w:t>
            </w:r>
          </w:p>
        </w:tc>
        <w:tc>
          <w:tcPr>
            <w:tcW w:w="947"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-256.94</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-20,788,816 </w:t>
            </w:r>
          </w:p>
        </w:tc>
      </w:tr>
      <w:tr w:rsidR="00AD5BB5">
        <w:trPr>
          <w:trHeight w:val="283"/>
        </w:trPr>
        <w:tc>
          <w:tcPr>
            <w:tcW w:w="1637" w:type="pct"/>
            <w:vAlign w:val="center"/>
          </w:tcPr>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lastRenderedPageBreak/>
              <w:t>项目</w:t>
            </w:r>
          </w:p>
        </w:tc>
        <w:tc>
          <w:tcPr>
            <w:tcW w:w="742" w:type="pct"/>
            <w:vAlign w:val="center"/>
          </w:tcPr>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2023</w:t>
            </w:r>
            <w:r>
              <w:rPr>
                <w:rFonts w:ascii="Times New Roman" w:hAnsi="Times New Roman" w:cs="宋体" w:hint="eastAsia"/>
              </w:rPr>
              <w:t>年</w:t>
            </w:r>
          </w:p>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6</w:t>
            </w:r>
            <w:r>
              <w:rPr>
                <w:rFonts w:ascii="Times New Roman" w:hAnsi="Times New Roman" w:cs="宋体" w:hint="eastAsia"/>
              </w:rPr>
              <w:t>月</w:t>
            </w:r>
            <w:r>
              <w:rPr>
                <w:rFonts w:ascii="Times New Roman" w:hAnsi="Times New Roman" w:cs="宋体" w:hint="eastAsia"/>
              </w:rPr>
              <w:t>30</w:t>
            </w:r>
            <w:r>
              <w:rPr>
                <w:rFonts w:ascii="Times New Roman" w:hAnsi="Times New Roman" w:cs="宋体" w:hint="eastAsia"/>
              </w:rPr>
              <w:t>日</w:t>
            </w:r>
          </w:p>
        </w:tc>
        <w:tc>
          <w:tcPr>
            <w:tcW w:w="835" w:type="pct"/>
            <w:vAlign w:val="center"/>
          </w:tcPr>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2022</w:t>
            </w:r>
            <w:r>
              <w:rPr>
                <w:rFonts w:ascii="Times New Roman" w:hAnsi="Times New Roman" w:cs="宋体" w:hint="eastAsia"/>
              </w:rPr>
              <w:t>年</w:t>
            </w:r>
            <w:r>
              <w:rPr>
                <w:rFonts w:ascii="Times New Roman" w:hAnsi="Times New Roman" w:cs="宋体" w:hint="eastAsia"/>
              </w:rPr>
              <w:t>12</w:t>
            </w:r>
            <w:r>
              <w:rPr>
                <w:rFonts w:ascii="Times New Roman" w:hAnsi="Times New Roman" w:cs="宋体" w:hint="eastAsia"/>
              </w:rPr>
              <w:t>月</w:t>
            </w:r>
            <w:r>
              <w:rPr>
                <w:rFonts w:ascii="Times New Roman" w:hAnsi="Times New Roman" w:cs="宋体" w:hint="eastAsia"/>
              </w:rPr>
              <w:t>31</w:t>
            </w:r>
            <w:r>
              <w:rPr>
                <w:rFonts w:ascii="Times New Roman" w:hAnsi="Times New Roman" w:cs="宋体" w:hint="eastAsia"/>
              </w:rPr>
              <w:t>日</w:t>
            </w:r>
          </w:p>
        </w:tc>
        <w:tc>
          <w:tcPr>
            <w:tcW w:w="947" w:type="pct"/>
            <w:vAlign w:val="center"/>
          </w:tcPr>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本报告</w:t>
            </w:r>
            <w:proofErr w:type="gramStart"/>
            <w:r>
              <w:rPr>
                <w:rFonts w:ascii="Times New Roman" w:hAnsi="Times New Roman" w:cs="宋体" w:hint="eastAsia"/>
              </w:rPr>
              <w:t>期末较期初</w:t>
            </w:r>
            <w:proofErr w:type="gramEnd"/>
            <w:r>
              <w:rPr>
                <w:rFonts w:ascii="Times New Roman" w:hAnsi="Times New Roman" w:cs="宋体" w:hint="eastAsia"/>
              </w:rPr>
              <w:t>增减</w:t>
            </w:r>
            <w:r>
              <w:rPr>
                <w:rFonts w:ascii="Times New Roman" w:hAnsi="Times New Roman" w:cs="宋体" w:hint="eastAsia"/>
              </w:rPr>
              <w:t>(%)</w:t>
            </w:r>
          </w:p>
        </w:tc>
        <w:tc>
          <w:tcPr>
            <w:tcW w:w="835" w:type="pct"/>
            <w:vAlign w:val="center"/>
          </w:tcPr>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2021</w:t>
            </w:r>
            <w:r>
              <w:rPr>
                <w:rFonts w:ascii="Times New Roman" w:hAnsi="Times New Roman" w:cs="宋体" w:hint="eastAsia"/>
              </w:rPr>
              <w:t>年</w:t>
            </w:r>
            <w:r>
              <w:rPr>
                <w:rFonts w:ascii="Times New Roman" w:hAnsi="Times New Roman" w:cs="宋体" w:hint="eastAsia"/>
              </w:rPr>
              <w:t>12</w:t>
            </w:r>
            <w:r>
              <w:rPr>
                <w:rFonts w:ascii="Times New Roman" w:hAnsi="Times New Roman" w:cs="宋体" w:hint="eastAsia"/>
              </w:rPr>
              <w:t>月</w:t>
            </w:r>
            <w:r>
              <w:rPr>
                <w:rFonts w:ascii="Times New Roman" w:hAnsi="Times New Roman" w:cs="宋体" w:hint="eastAsia"/>
              </w:rPr>
              <w:t>31</w:t>
            </w:r>
            <w:r>
              <w:rPr>
                <w:rFonts w:ascii="Times New Roman" w:hAnsi="Times New Roman" w:cs="宋体" w:hint="eastAsia"/>
              </w:rPr>
              <w:t>日</w:t>
            </w:r>
          </w:p>
        </w:tc>
      </w:tr>
      <w:tr w:rsidR="00AD5BB5">
        <w:trPr>
          <w:trHeight w:val="283"/>
        </w:trPr>
        <w:tc>
          <w:tcPr>
            <w:tcW w:w="1637" w:type="pct"/>
            <w:vAlign w:val="center"/>
          </w:tcPr>
          <w:p w:rsidR="00AD5BB5" w:rsidRDefault="00F87FF6">
            <w:pPr>
              <w:kinsoku w:val="0"/>
              <w:overflowPunct w:val="0"/>
              <w:autoSpaceDE w:val="0"/>
              <w:autoSpaceDN w:val="0"/>
              <w:adjustRightInd w:val="0"/>
              <w:snapToGrid w:val="0"/>
              <w:rPr>
                <w:rFonts w:ascii="Times New Roman" w:hAnsi="Times New Roman" w:cs="宋体"/>
              </w:rPr>
            </w:pPr>
            <w:r>
              <w:rPr>
                <w:rFonts w:ascii="Times New Roman" w:hAnsi="Times New Roman" w:cs="宋体" w:hint="eastAsia"/>
              </w:rPr>
              <w:t>资产总额</w:t>
            </w:r>
          </w:p>
        </w:tc>
        <w:tc>
          <w:tcPr>
            <w:tcW w:w="742"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352,916,314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371,208,019 </w:t>
            </w:r>
          </w:p>
        </w:tc>
        <w:tc>
          <w:tcPr>
            <w:tcW w:w="947"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-4.93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329,494,574 </w:t>
            </w:r>
          </w:p>
        </w:tc>
      </w:tr>
      <w:tr w:rsidR="00AD5BB5">
        <w:trPr>
          <w:trHeight w:val="283"/>
        </w:trPr>
        <w:tc>
          <w:tcPr>
            <w:tcW w:w="1637" w:type="pct"/>
            <w:vAlign w:val="center"/>
          </w:tcPr>
          <w:p w:rsidR="00AD5BB5" w:rsidRDefault="00F87FF6">
            <w:pPr>
              <w:kinsoku w:val="0"/>
              <w:overflowPunct w:val="0"/>
              <w:autoSpaceDE w:val="0"/>
              <w:autoSpaceDN w:val="0"/>
              <w:adjustRightInd w:val="0"/>
              <w:snapToGrid w:val="0"/>
              <w:rPr>
                <w:rFonts w:ascii="Times New Roman" w:hAnsi="Times New Roman" w:cs="宋体"/>
              </w:rPr>
            </w:pPr>
            <w:r>
              <w:rPr>
                <w:rFonts w:ascii="Times New Roman" w:hAnsi="Times New Roman" w:cs="宋体" w:hint="eastAsia"/>
              </w:rPr>
              <w:t>客户贷款及垫款总额</w:t>
            </w:r>
          </w:p>
        </w:tc>
        <w:tc>
          <w:tcPr>
            <w:tcW w:w="742"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201,258,554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200,385,134 </w:t>
            </w:r>
          </w:p>
        </w:tc>
        <w:tc>
          <w:tcPr>
            <w:tcW w:w="947"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0.44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175,039,818 </w:t>
            </w:r>
          </w:p>
        </w:tc>
      </w:tr>
      <w:tr w:rsidR="00AD5BB5">
        <w:trPr>
          <w:trHeight w:val="283"/>
        </w:trPr>
        <w:tc>
          <w:tcPr>
            <w:tcW w:w="1637" w:type="pct"/>
            <w:vAlign w:val="center"/>
          </w:tcPr>
          <w:p w:rsidR="00AD5BB5" w:rsidRDefault="00F87FF6">
            <w:pPr>
              <w:kinsoku w:val="0"/>
              <w:overflowPunct w:val="0"/>
              <w:autoSpaceDE w:val="0"/>
              <w:autoSpaceDN w:val="0"/>
              <w:adjustRightInd w:val="0"/>
              <w:snapToGrid w:val="0"/>
              <w:rPr>
                <w:rFonts w:ascii="Times New Roman" w:hAnsi="Times New Roman" w:cs="宋体"/>
              </w:rPr>
            </w:pPr>
            <w:r>
              <w:rPr>
                <w:rFonts w:ascii="Times New Roman" w:hAnsi="Times New Roman" w:cs="宋体" w:hint="eastAsia"/>
              </w:rPr>
              <w:t xml:space="preserve">  </w:t>
            </w:r>
            <w:r>
              <w:rPr>
                <w:rFonts w:ascii="Times New Roman" w:hAnsi="Times New Roman" w:cs="宋体" w:hint="eastAsia"/>
              </w:rPr>
              <w:t>公司贷款及垫款</w:t>
            </w:r>
          </w:p>
        </w:tc>
        <w:tc>
          <w:tcPr>
            <w:tcW w:w="742"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104,108,711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103,637,702 </w:t>
            </w:r>
          </w:p>
        </w:tc>
        <w:tc>
          <w:tcPr>
            <w:tcW w:w="947"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0.45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91,974,302 </w:t>
            </w:r>
          </w:p>
        </w:tc>
      </w:tr>
      <w:tr w:rsidR="00AD5BB5">
        <w:trPr>
          <w:trHeight w:val="283"/>
        </w:trPr>
        <w:tc>
          <w:tcPr>
            <w:tcW w:w="1637" w:type="pct"/>
            <w:vAlign w:val="center"/>
          </w:tcPr>
          <w:p w:rsidR="00AD5BB5" w:rsidRDefault="00F87FF6">
            <w:pPr>
              <w:kinsoku w:val="0"/>
              <w:overflowPunct w:val="0"/>
              <w:autoSpaceDE w:val="0"/>
              <w:autoSpaceDN w:val="0"/>
              <w:adjustRightInd w:val="0"/>
              <w:snapToGrid w:val="0"/>
              <w:rPr>
                <w:rFonts w:ascii="Times New Roman" w:hAnsi="Times New Roman" w:cs="宋体"/>
              </w:rPr>
            </w:pPr>
            <w:r>
              <w:rPr>
                <w:rFonts w:ascii="Times New Roman" w:hAnsi="Times New Roman" w:cs="宋体" w:hint="eastAsia"/>
              </w:rPr>
              <w:t xml:space="preserve">  </w:t>
            </w:r>
            <w:r>
              <w:rPr>
                <w:rFonts w:ascii="Times New Roman" w:hAnsi="Times New Roman" w:cs="宋体" w:hint="eastAsia"/>
              </w:rPr>
              <w:t>个人贷款及垫款</w:t>
            </w:r>
          </w:p>
        </w:tc>
        <w:tc>
          <w:tcPr>
            <w:tcW w:w="742"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75,990,191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76,693,826 </w:t>
            </w:r>
          </w:p>
        </w:tc>
        <w:tc>
          <w:tcPr>
            <w:tcW w:w="947"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-0.92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66,701,044 </w:t>
            </w:r>
          </w:p>
        </w:tc>
      </w:tr>
      <w:tr w:rsidR="00AD5BB5">
        <w:trPr>
          <w:trHeight w:val="265"/>
        </w:trPr>
        <w:tc>
          <w:tcPr>
            <w:tcW w:w="1637" w:type="pct"/>
            <w:vAlign w:val="center"/>
          </w:tcPr>
          <w:p w:rsidR="00AD5BB5" w:rsidRDefault="00F87FF6">
            <w:pPr>
              <w:kinsoku w:val="0"/>
              <w:overflowPunct w:val="0"/>
              <w:autoSpaceDE w:val="0"/>
              <w:autoSpaceDN w:val="0"/>
              <w:adjustRightInd w:val="0"/>
              <w:snapToGrid w:val="0"/>
              <w:rPr>
                <w:rFonts w:ascii="Times New Roman" w:hAnsi="Times New Roman" w:cs="宋体"/>
              </w:rPr>
            </w:pPr>
            <w:r>
              <w:rPr>
                <w:rFonts w:ascii="Times New Roman" w:hAnsi="Times New Roman" w:cs="宋体" w:hint="eastAsia"/>
              </w:rPr>
              <w:t xml:space="preserve">  </w:t>
            </w:r>
            <w:r>
              <w:rPr>
                <w:rFonts w:ascii="Times New Roman" w:hAnsi="Times New Roman" w:cs="宋体" w:hint="eastAsia"/>
              </w:rPr>
              <w:t>票据贴现</w:t>
            </w:r>
          </w:p>
        </w:tc>
        <w:tc>
          <w:tcPr>
            <w:tcW w:w="742"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21,159,652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20,053,606 </w:t>
            </w:r>
          </w:p>
        </w:tc>
        <w:tc>
          <w:tcPr>
            <w:tcW w:w="947"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5.52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16,364,473 </w:t>
            </w:r>
          </w:p>
        </w:tc>
      </w:tr>
      <w:tr w:rsidR="00AD5BB5">
        <w:trPr>
          <w:trHeight w:val="265"/>
        </w:trPr>
        <w:tc>
          <w:tcPr>
            <w:tcW w:w="1637" w:type="pct"/>
            <w:vAlign w:val="center"/>
          </w:tcPr>
          <w:p w:rsidR="00AD5BB5" w:rsidRDefault="00F87FF6">
            <w:pPr>
              <w:kinsoku w:val="0"/>
              <w:overflowPunct w:val="0"/>
              <w:autoSpaceDE w:val="0"/>
              <w:autoSpaceDN w:val="0"/>
              <w:adjustRightInd w:val="0"/>
              <w:snapToGrid w:val="0"/>
              <w:rPr>
                <w:rFonts w:ascii="Times New Roman" w:hAnsi="Times New Roman" w:cs="宋体"/>
              </w:rPr>
            </w:pPr>
            <w:r>
              <w:rPr>
                <w:rFonts w:ascii="Times New Roman" w:hAnsi="Times New Roman" w:cs="宋体" w:hint="eastAsia"/>
              </w:rPr>
              <w:t>贷款应计利息</w:t>
            </w:r>
          </w:p>
        </w:tc>
        <w:tc>
          <w:tcPr>
            <w:tcW w:w="742"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346,629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404,521 </w:t>
            </w:r>
          </w:p>
        </w:tc>
        <w:tc>
          <w:tcPr>
            <w:tcW w:w="947"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-14.31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311,261 </w:t>
            </w:r>
          </w:p>
        </w:tc>
      </w:tr>
      <w:tr w:rsidR="00AD5BB5">
        <w:trPr>
          <w:trHeight w:val="283"/>
        </w:trPr>
        <w:tc>
          <w:tcPr>
            <w:tcW w:w="1637" w:type="pct"/>
            <w:vAlign w:val="center"/>
          </w:tcPr>
          <w:p w:rsidR="00AD5BB5" w:rsidRDefault="00F87FF6">
            <w:pPr>
              <w:kinsoku w:val="0"/>
              <w:overflowPunct w:val="0"/>
              <w:autoSpaceDE w:val="0"/>
              <w:autoSpaceDN w:val="0"/>
              <w:adjustRightInd w:val="0"/>
              <w:snapToGrid w:val="0"/>
              <w:rPr>
                <w:rFonts w:ascii="Times New Roman" w:hAnsi="Times New Roman" w:cs="宋体"/>
              </w:rPr>
            </w:pPr>
            <w:r>
              <w:rPr>
                <w:rFonts w:ascii="Times New Roman" w:hAnsi="Times New Roman" w:cs="宋体" w:hint="eastAsia"/>
              </w:rPr>
              <w:t>贷款损失准备</w:t>
            </w:r>
          </w:p>
        </w:tc>
        <w:tc>
          <w:tcPr>
            <w:tcW w:w="742"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6,354,356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6,685,928 </w:t>
            </w:r>
          </w:p>
        </w:tc>
        <w:tc>
          <w:tcPr>
            <w:tcW w:w="947"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-4.96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5,915,061 </w:t>
            </w:r>
          </w:p>
        </w:tc>
      </w:tr>
      <w:tr w:rsidR="00AD5BB5">
        <w:trPr>
          <w:trHeight w:val="283"/>
        </w:trPr>
        <w:tc>
          <w:tcPr>
            <w:tcW w:w="1637" w:type="pct"/>
            <w:vAlign w:val="center"/>
          </w:tcPr>
          <w:p w:rsidR="00AD5BB5" w:rsidRDefault="00F87FF6">
            <w:pPr>
              <w:kinsoku w:val="0"/>
              <w:overflowPunct w:val="0"/>
              <w:autoSpaceDE w:val="0"/>
              <w:autoSpaceDN w:val="0"/>
              <w:adjustRightInd w:val="0"/>
              <w:snapToGrid w:val="0"/>
              <w:rPr>
                <w:rFonts w:ascii="Times New Roman" w:hAnsi="Times New Roman" w:cs="宋体"/>
              </w:rPr>
            </w:pPr>
            <w:r>
              <w:rPr>
                <w:rFonts w:ascii="Times New Roman" w:hAnsi="Times New Roman" w:cs="宋体" w:hint="eastAsia"/>
              </w:rPr>
              <w:t>其中：以公允价值计量且其变动计入其他综合收益的贷款损失准备</w:t>
            </w:r>
          </w:p>
        </w:tc>
        <w:tc>
          <w:tcPr>
            <w:tcW w:w="742"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44,397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51,371 </w:t>
            </w:r>
          </w:p>
        </w:tc>
        <w:tc>
          <w:tcPr>
            <w:tcW w:w="947"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-13.58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56,336 </w:t>
            </w:r>
          </w:p>
        </w:tc>
      </w:tr>
      <w:tr w:rsidR="00AD5BB5">
        <w:trPr>
          <w:trHeight w:val="283"/>
        </w:trPr>
        <w:tc>
          <w:tcPr>
            <w:tcW w:w="1637" w:type="pct"/>
            <w:vAlign w:val="center"/>
          </w:tcPr>
          <w:p w:rsidR="00AD5BB5" w:rsidRDefault="00F87FF6">
            <w:pPr>
              <w:kinsoku w:val="0"/>
              <w:overflowPunct w:val="0"/>
              <w:autoSpaceDE w:val="0"/>
              <w:autoSpaceDN w:val="0"/>
              <w:adjustRightInd w:val="0"/>
              <w:snapToGrid w:val="0"/>
              <w:rPr>
                <w:rFonts w:ascii="Times New Roman" w:hAnsi="Times New Roman" w:cs="宋体"/>
              </w:rPr>
            </w:pPr>
            <w:r>
              <w:rPr>
                <w:rFonts w:ascii="Times New Roman" w:hAnsi="Times New Roman" w:cs="宋体" w:hint="eastAsia"/>
              </w:rPr>
              <w:t>负债总额</w:t>
            </w:r>
          </w:p>
        </w:tc>
        <w:tc>
          <w:tcPr>
            <w:tcW w:w="742"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327,179,071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346,464,169 </w:t>
            </w:r>
          </w:p>
        </w:tc>
        <w:tc>
          <w:tcPr>
            <w:tcW w:w="947"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-5.57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306,229,296 </w:t>
            </w:r>
          </w:p>
        </w:tc>
      </w:tr>
      <w:tr w:rsidR="00AD5BB5">
        <w:trPr>
          <w:trHeight w:val="283"/>
        </w:trPr>
        <w:tc>
          <w:tcPr>
            <w:tcW w:w="1637" w:type="pct"/>
            <w:vAlign w:val="center"/>
          </w:tcPr>
          <w:p w:rsidR="00AD5BB5" w:rsidRDefault="00F87FF6">
            <w:pPr>
              <w:kinsoku w:val="0"/>
              <w:overflowPunct w:val="0"/>
              <w:autoSpaceDE w:val="0"/>
              <w:autoSpaceDN w:val="0"/>
              <w:adjustRightInd w:val="0"/>
              <w:snapToGrid w:val="0"/>
              <w:rPr>
                <w:rFonts w:ascii="Times New Roman" w:hAnsi="Times New Roman" w:cs="宋体"/>
              </w:rPr>
            </w:pPr>
            <w:r>
              <w:rPr>
                <w:rFonts w:ascii="Times New Roman" w:hAnsi="Times New Roman" w:cs="宋体" w:hint="eastAsia"/>
              </w:rPr>
              <w:t>存款总额</w:t>
            </w:r>
          </w:p>
        </w:tc>
        <w:tc>
          <w:tcPr>
            <w:tcW w:w="742"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185,063,552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204,869,727 </w:t>
            </w:r>
          </w:p>
        </w:tc>
        <w:tc>
          <w:tcPr>
            <w:tcW w:w="947"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-9.67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183,800,938 </w:t>
            </w:r>
          </w:p>
        </w:tc>
      </w:tr>
      <w:tr w:rsidR="00AD5BB5">
        <w:trPr>
          <w:trHeight w:val="283"/>
        </w:trPr>
        <w:tc>
          <w:tcPr>
            <w:tcW w:w="1637" w:type="pct"/>
            <w:vAlign w:val="center"/>
          </w:tcPr>
          <w:p w:rsidR="00AD5BB5" w:rsidRDefault="00F87FF6">
            <w:pPr>
              <w:kinsoku w:val="0"/>
              <w:overflowPunct w:val="0"/>
              <w:autoSpaceDE w:val="0"/>
              <w:autoSpaceDN w:val="0"/>
              <w:adjustRightInd w:val="0"/>
              <w:snapToGrid w:val="0"/>
              <w:rPr>
                <w:rFonts w:ascii="Times New Roman" w:hAnsi="Times New Roman" w:cs="宋体"/>
              </w:rPr>
            </w:pPr>
            <w:r>
              <w:rPr>
                <w:rFonts w:ascii="Times New Roman" w:hAnsi="Times New Roman" w:cs="宋体" w:hint="eastAsia"/>
              </w:rPr>
              <w:t xml:space="preserve">  </w:t>
            </w:r>
            <w:r>
              <w:rPr>
                <w:rFonts w:ascii="Times New Roman" w:hAnsi="Times New Roman" w:cs="宋体" w:hint="eastAsia"/>
              </w:rPr>
              <w:t>公司存款</w:t>
            </w:r>
          </w:p>
        </w:tc>
        <w:tc>
          <w:tcPr>
            <w:tcW w:w="742"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104,966,352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115,075,825 </w:t>
            </w:r>
          </w:p>
        </w:tc>
        <w:tc>
          <w:tcPr>
            <w:tcW w:w="947"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-8.79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112,916,995 </w:t>
            </w:r>
          </w:p>
        </w:tc>
      </w:tr>
      <w:tr w:rsidR="00AD5BB5">
        <w:trPr>
          <w:trHeight w:val="283"/>
        </w:trPr>
        <w:tc>
          <w:tcPr>
            <w:tcW w:w="1637" w:type="pct"/>
            <w:vAlign w:val="center"/>
          </w:tcPr>
          <w:p w:rsidR="00AD5BB5" w:rsidRDefault="00F87FF6">
            <w:pPr>
              <w:kinsoku w:val="0"/>
              <w:overflowPunct w:val="0"/>
              <w:autoSpaceDE w:val="0"/>
              <w:autoSpaceDN w:val="0"/>
              <w:adjustRightInd w:val="0"/>
              <w:snapToGrid w:val="0"/>
              <w:rPr>
                <w:rFonts w:ascii="Times New Roman" w:hAnsi="Times New Roman" w:cs="宋体"/>
              </w:rPr>
            </w:pPr>
            <w:r>
              <w:rPr>
                <w:rFonts w:ascii="Times New Roman" w:hAnsi="Times New Roman" w:cs="宋体" w:hint="eastAsia"/>
              </w:rPr>
              <w:t xml:space="preserve">  </w:t>
            </w:r>
            <w:r>
              <w:rPr>
                <w:rFonts w:ascii="Times New Roman" w:hAnsi="Times New Roman" w:cs="宋体" w:hint="eastAsia"/>
              </w:rPr>
              <w:t>个人存款</w:t>
            </w:r>
          </w:p>
        </w:tc>
        <w:tc>
          <w:tcPr>
            <w:tcW w:w="742"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60,447,951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55,391,137 </w:t>
            </w:r>
          </w:p>
        </w:tc>
        <w:tc>
          <w:tcPr>
            <w:tcW w:w="947"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9.13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41,642,869 </w:t>
            </w:r>
          </w:p>
        </w:tc>
      </w:tr>
      <w:tr w:rsidR="00AD5BB5">
        <w:trPr>
          <w:trHeight w:val="283"/>
        </w:trPr>
        <w:tc>
          <w:tcPr>
            <w:tcW w:w="1637" w:type="pct"/>
            <w:vAlign w:val="center"/>
          </w:tcPr>
          <w:p w:rsidR="00AD5BB5" w:rsidRDefault="00F87FF6">
            <w:pPr>
              <w:kinsoku w:val="0"/>
              <w:overflowPunct w:val="0"/>
              <w:autoSpaceDE w:val="0"/>
              <w:autoSpaceDN w:val="0"/>
              <w:adjustRightInd w:val="0"/>
              <w:snapToGrid w:val="0"/>
              <w:rPr>
                <w:rFonts w:ascii="Times New Roman" w:hAnsi="Times New Roman" w:cs="宋体"/>
              </w:rPr>
            </w:pPr>
            <w:r>
              <w:rPr>
                <w:rFonts w:ascii="Times New Roman" w:hAnsi="Times New Roman" w:cs="宋体" w:hint="eastAsia"/>
              </w:rPr>
              <w:t xml:space="preserve">  </w:t>
            </w:r>
            <w:r>
              <w:rPr>
                <w:rFonts w:ascii="Times New Roman" w:hAnsi="Times New Roman" w:cs="宋体" w:hint="eastAsia"/>
              </w:rPr>
              <w:t>保证金存款</w:t>
            </w:r>
          </w:p>
        </w:tc>
        <w:tc>
          <w:tcPr>
            <w:tcW w:w="742"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19,637,179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34,394,860 </w:t>
            </w:r>
          </w:p>
        </w:tc>
        <w:tc>
          <w:tcPr>
            <w:tcW w:w="947"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-42.91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29,233,839 </w:t>
            </w:r>
          </w:p>
        </w:tc>
      </w:tr>
      <w:tr w:rsidR="00AD5BB5">
        <w:trPr>
          <w:trHeight w:val="283"/>
        </w:trPr>
        <w:tc>
          <w:tcPr>
            <w:tcW w:w="1637" w:type="pct"/>
            <w:vAlign w:val="center"/>
          </w:tcPr>
          <w:p w:rsidR="00AD5BB5" w:rsidRDefault="00F87FF6">
            <w:pPr>
              <w:kinsoku w:val="0"/>
              <w:overflowPunct w:val="0"/>
              <w:autoSpaceDE w:val="0"/>
              <w:autoSpaceDN w:val="0"/>
              <w:adjustRightInd w:val="0"/>
              <w:snapToGrid w:val="0"/>
              <w:ind w:leftChars="100" w:left="210"/>
              <w:rPr>
                <w:rFonts w:ascii="Times New Roman" w:hAnsi="Times New Roman" w:cs="宋体"/>
              </w:rPr>
            </w:pPr>
            <w:r>
              <w:rPr>
                <w:rFonts w:ascii="Times New Roman" w:hAnsi="Times New Roman" w:cs="宋体" w:hint="eastAsia"/>
              </w:rPr>
              <w:t>其他存款</w:t>
            </w:r>
          </w:p>
        </w:tc>
        <w:tc>
          <w:tcPr>
            <w:tcW w:w="742"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12,069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7,906 </w:t>
            </w:r>
          </w:p>
        </w:tc>
        <w:tc>
          <w:tcPr>
            <w:tcW w:w="947"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52.67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7,235 </w:t>
            </w:r>
          </w:p>
        </w:tc>
      </w:tr>
      <w:tr w:rsidR="00AD5BB5">
        <w:trPr>
          <w:trHeight w:val="283"/>
        </w:trPr>
        <w:tc>
          <w:tcPr>
            <w:tcW w:w="1637" w:type="pct"/>
            <w:vAlign w:val="center"/>
          </w:tcPr>
          <w:p w:rsidR="00AD5BB5" w:rsidRDefault="00F87FF6">
            <w:pPr>
              <w:kinsoku w:val="0"/>
              <w:overflowPunct w:val="0"/>
              <w:autoSpaceDE w:val="0"/>
              <w:autoSpaceDN w:val="0"/>
              <w:adjustRightInd w:val="0"/>
              <w:snapToGrid w:val="0"/>
              <w:rPr>
                <w:rFonts w:ascii="Times New Roman" w:hAnsi="Times New Roman" w:cs="宋体"/>
              </w:rPr>
            </w:pPr>
            <w:r>
              <w:rPr>
                <w:rFonts w:ascii="Times New Roman" w:hAnsi="Times New Roman" w:cs="宋体" w:hint="eastAsia"/>
              </w:rPr>
              <w:t>存款应计利息</w:t>
            </w:r>
          </w:p>
        </w:tc>
        <w:tc>
          <w:tcPr>
            <w:tcW w:w="742"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2,582,108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2,145,137 </w:t>
            </w:r>
          </w:p>
        </w:tc>
        <w:tc>
          <w:tcPr>
            <w:tcW w:w="947"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20.37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1,723,500 </w:t>
            </w:r>
          </w:p>
        </w:tc>
      </w:tr>
      <w:tr w:rsidR="00AD5BB5">
        <w:trPr>
          <w:trHeight w:val="283"/>
        </w:trPr>
        <w:tc>
          <w:tcPr>
            <w:tcW w:w="1637" w:type="pct"/>
            <w:vAlign w:val="center"/>
          </w:tcPr>
          <w:p w:rsidR="00AD5BB5" w:rsidRDefault="00F87FF6">
            <w:pPr>
              <w:kinsoku w:val="0"/>
              <w:overflowPunct w:val="0"/>
              <w:autoSpaceDE w:val="0"/>
              <w:autoSpaceDN w:val="0"/>
              <w:adjustRightInd w:val="0"/>
              <w:snapToGrid w:val="0"/>
              <w:rPr>
                <w:rFonts w:ascii="Times New Roman" w:hAnsi="Times New Roman" w:cs="宋体"/>
              </w:rPr>
            </w:pPr>
            <w:r>
              <w:rPr>
                <w:rFonts w:ascii="Times New Roman" w:hAnsi="Times New Roman" w:cs="宋体" w:hint="eastAsia"/>
              </w:rPr>
              <w:t>股东权益</w:t>
            </w:r>
          </w:p>
        </w:tc>
        <w:tc>
          <w:tcPr>
            <w:tcW w:w="742"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25,737,243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24,743,850 </w:t>
            </w:r>
          </w:p>
        </w:tc>
        <w:tc>
          <w:tcPr>
            <w:tcW w:w="947"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4.01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23,265,278 </w:t>
            </w:r>
          </w:p>
        </w:tc>
      </w:tr>
      <w:tr w:rsidR="00AD5BB5">
        <w:trPr>
          <w:trHeight w:val="283"/>
        </w:trPr>
        <w:tc>
          <w:tcPr>
            <w:tcW w:w="1637" w:type="pct"/>
            <w:vAlign w:val="center"/>
          </w:tcPr>
          <w:p w:rsidR="00AD5BB5" w:rsidRDefault="00F87FF6">
            <w:pPr>
              <w:kinsoku w:val="0"/>
              <w:overflowPunct w:val="0"/>
              <w:autoSpaceDE w:val="0"/>
              <w:autoSpaceDN w:val="0"/>
              <w:adjustRightInd w:val="0"/>
              <w:snapToGrid w:val="0"/>
              <w:rPr>
                <w:rFonts w:ascii="Times New Roman" w:hAnsi="Times New Roman" w:cs="宋体"/>
              </w:rPr>
            </w:pPr>
            <w:r>
              <w:rPr>
                <w:rFonts w:ascii="Times New Roman" w:hAnsi="Times New Roman" w:cs="宋体" w:hint="eastAsia"/>
              </w:rPr>
              <w:t>归属于母公司股东的净资产</w:t>
            </w:r>
          </w:p>
        </w:tc>
        <w:tc>
          <w:tcPr>
            <w:tcW w:w="742"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25,138,815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24,191,992 </w:t>
            </w:r>
          </w:p>
        </w:tc>
        <w:tc>
          <w:tcPr>
            <w:tcW w:w="947"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3.91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22,757,279 </w:t>
            </w:r>
          </w:p>
        </w:tc>
      </w:tr>
      <w:tr w:rsidR="00AD5BB5">
        <w:trPr>
          <w:trHeight w:val="283"/>
        </w:trPr>
        <w:tc>
          <w:tcPr>
            <w:tcW w:w="1637" w:type="pct"/>
            <w:vAlign w:val="center"/>
          </w:tcPr>
          <w:p w:rsidR="00AD5BB5" w:rsidRDefault="00F87FF6">
            <w:pPr>
              <w:kinsoku w:val="0"/>
              <w:overflowPunct w:val="0"/>
              <w:autoSpaceDE w:val="0"/>
              <w:autoSpaceDN w:val="0"/>
              <w:adjustRightInd w:val="0"/>
              <w:snapToGrid w:val="0"/>
              <w:rPr>
                <w:rFonts w:ascii="Times New Roman" w:hAnsi="Times New Roman" w:cs="宋体"/>
              </w:rPr>
            </w:pPr>
            <w:r>
              <w:rPr>
                <w:rFonts w:ascii="Times New Roman" w:hAnsi="Times New Roman" w:cs="宋体" w:hint="eastAsia"/>
              </w:rPr>
              <w:t>股本</w:t>
            </w:r>
          </w:p>
        </w:tc>
        <w:tc>
          <w:tcPr>
            <w:tcW w:w="742"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2,639,128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2,639,128 </w:t>
            </w:r>
          </w:p>
        </w:tc>
        <w:tc>
          <w:tcPr>
            <w:tcW w:w="947"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0.00 </w:t>
            </w:r>
          </w:p>
        </w:tc>
        <w:tc>
          <w:tcPr>
            <w:tcW w:w="835"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2,639,128 </w:t>
            </w:r>
          </w:p>
        </w:tc>
      </w:tr>
      <w:tr w:rsidR="00AD5BB5">
        <w:trPr>
          <w:trHeight w:val="283"/>
        </w:trPr>
        <w:tc>
          <w:tcPr>
            <w:tcW w:w="1637" w:type="pct"/>
            <w:vAlign w:val="center"/>
          </w:tcPr>
          <w:p w:rsidR="00AD5BB5" w:rsidRDefault="00F87FF6">
            <w:pPr>
              <w:kinsoku w:val="0"/>
              <w:overflowPunct w:val="0"/>
              <w:autoSpaceDE w:val="0"/>
              <w:autoSpaceDN w:val="0"/>
              <w:adjustRightInd w:val="0"/>
              <w:snapToGrid w:val="0"/>
              <w:rPr>
                <w:rFonts w:ascii="Times New Roman" w:hAnsi="Times New Roman" w:cs="宋体"/>
              </w:rPr>
            </w:pPr>
            <w:r>
              <w:rPr>
                <w:rFonts w:ascii="Times New Roman" w:hAnsi="Times New Roman" w:cs="宋体" w:hint="eastAsia"/>
              </w:rPr>
              <w:t>归属于母公司普通股股东的每股净资产</w:t>
            </w:r>
          </w:p>
        </w:tc>
        <w:tc>
          <w:tcPr>
            <w:tcW w:w="742" w:type="pct"/>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8.58</w:t>
            </w:r>
          </w:p>
        </w:tc>
        <w:tc>
          <w:tcPr>
            <w:tcW w:w="835" w:type="pct"/>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szCs w:val="21"/>
              </w:rPr>
              <w:t>8.22</w:t>
            </w:r>
          </w:p>
        </w:tc>
        <w:tc>
          <w:tcPr>
            <w:tcW w:w="947" w:type="pct"/>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4.38</w:t>
            </w:r>
          </w:p>
        </w:tc>
        <w:tc>
          <w:tcPr>
            <w:tcW w:w="835" w:type="pct"/>
            <w:vAlign w:val="center"/>
          </w:tcPr>
          <w:p w:rsidR="00AD5BB5" w:rsidRDefault="00F87FF6">
            <w:pPr>
              <w:jc w:val="right"/>
              <w:textAlignment w:val="top"/>
              <w:rPr>
                <w:rFonts w:ascii="Times New Roman" w:hAnsi="Times New Roman" w:cs="Times New Roman"/>
                <w:szCs w:val="21"/>
              </w:rPr>
            </w:pPr>
            <w:r>
              <w:rPr>
                <w:rFonts w:ascii="Times New Roman" w:hAnsi="Times New Roman" w:cs="Times New Roman"/>
                <w:szCs w:val="21"/>
              </w:rPr>
              <w:t xml:space="preserve">7.68  </w:t>
            </w:r>
          </w:p>
        </w:tc>
      </w:tr>
    </w:tbl>
    <w:p w:rsidR="00AD5BB5" w:rsidRDefault="00AD5BB5">
      <w:pPr>
        <w:rPr>
          <w:rFonts w:ascii="Times New Roman" w:hAnsi="Times New Roman" w:cs="Times New Roman"/>
          <w:sz w:val="18"/>
          <w:szCs w:val="16"/>
        </w:rPr>
      </w:pPr>
    </w:p>
    <w:p w:rsidR="00AD5BB5" w:rsidRDefault="00F87FF6">
      <w:pPr>
        <w:rPr>
          <w:rFonts w:ascii="Times New Roman" w:hAnsi="Times New Roman" w:cs="Times New Roman"/>
          <w:sz w:val="18"/>
          <w:szCs w:val="16"/>
        </w:rPr>
      </w:pPr>
      <w:r>
        <w:rPr>
          <w:rFonts w:ascii="Times New Roman" w:hAnsi="Times New Roman" w:cs="Times New Roman"/>
          <w:sz w:val="18"/>
          <w:szCs w:val="16"/>
        </w:rPr>
        <w:lastRenderedPageBreak/>
        <w:t>注：</w:t>
      </w:r>
      <w:r>
        <w:rPr>
          <w:rFonts w:ascii="Times New Roman" w:hAnsi="Times New Roman" w:cs="Times New Roman"/>
          <w:sz w:val="18"/>
          <w:szCs w:val="16"/>
        </w:rPr>
        <w:t>1</w:t>
      </w:r>
      <w:r>
        <w:rPr>
          <w:rFonts w:ascii="Times New Roman" w:hAnsi="Times New Roman" w:cs="Times New Roman"/>
          <w:sz w:val="18"/>
          <w:szCs w:val="16"/>
        </w:rPr>
        <w:t>、非经常性损益根据《公开发行证券的公司信息披露解释性公告第</w:t>
      </w:r>
      <w:r>
        <w:rPr>
          <w:rFonts w:ascii="Times New Roman" w:hAnsi="Times New Roman" w:cs="Times New Roman"/>
          <w:sz w:val="18"/>
          <w:szCs w:val="16"/>
        </w:rPr>
        <w:t>1</w:t>
      </w:r>
      <w:r>
        <w:rPr>
          <w:rFonts w:ascii="Times New Roman" w:hAnsi="Times New Roman" w:cs="Times New Roman"/>
          <w:sz w:val="18"/>
          <w:szCs w:val="16"/>
        </w:rPr>
        <w:t>号</w:t>
      </w:r>
      <w:r>
        <w:rPr>
          <w:rFonts w:ascii="Times New Roman" w:hAnsi="Times New Roman" w:cs="Times New Roman"/>
          <w:sz w:val="18"/>
          <w:szCs w:val="16"/>
        </w:rPr>
        <w:t>——</w:t>
      </w:r>
      <w:r>
        <w:rPr>
          <w:rFonts w:ascii="Times New Roman" w:hAnsi="Times New Roman" w:cs="Times New Roman"/>
          <w:sz w:val="18"/>
          <w:szCs w:val="16"/>
        </w:rPr>
        <w:t>非经常性损益》（证监会公告</w:t>
      </w:r>
      <w:r>
        <w:rPr>
          <w:rFonts w:ascii="Times New Roman" w:hAnsi="Times New Roman" w:cs="Times New Roman"/>
          <w:sz w:val="18"/>
          <w:szCs w:val="16"/>
        </w:rPr>
        <w:t>[2008]43</w:t>
      </w:r>
      <w:r>
        <w:rPr>
          <w:rFonts w:ascii="Times New Roman" w:hAnsi="Times New Roman" w:cs="Times New Roman"/>
          <w:sz w:val="18"/>
          <w:szCs w:val="16"/>
        </w:rPr>
        <w:t>号）的规定计算。</w:t>
      </w:r>
    </w:p>
    <w:p w:rsidR="00AD5BB5" w:rsidRDefault="00F87FF6">
      <w:pPr>
        <w:rPr>
          <w:rFonts w:ascii="Times New Roman" w:hAnsi="Times New Roman" w:cs="Times New Roman"/>
          <w:sz w:val="18"/>
          <w:szCs w:val="16"/>
        </w:rPr>
      </w:pPr>
      <w:r>
        <w:rPr>
          <w:rFonts w:ascii="Times New Roman" w:hAnsi="Times New Roman" w:cs="Times New Roman" w:hint="eastAsia"/>
          <w:sz w:val="18"/>
          <w:szCs w:val="16"/>
        </w:rPr>
        <w:t xml:space="preserve"> </w:t>
      </w:r>
      <w:r>
        <w:rPr>
          <w:rFonts w:ascii="Times New Roman" w:hAnsi="Times New Roman" w:cs="Times New Roman"/>
          <w:sz w:val="18"/>
          <w:szCs w:val="16"/>
        </w:rPr>
        <w:t xml:space="preserve">   2</w:t>
      </w:r>
      <w:r>
        <w:rPr>
          <w:rFonts w:ascii="Times New Roman" w:hAnsi="Times New Roman" w:cs="Times New Roman" w:hint="eastAsia"/>
          <w:sz w:val="18"/>
          <w:szCs w:val="16"/>
        </w:rPr>
        <w:t>、归属于母公司普通股股东的每股净资产按扣除永续债后的归属于母公司普通股股东的权益除以期末普通股股本总数计算。</w:t>
      </w:r>
    </w:p>
    <w:p w:rsidR="00AD5BB5" w:rsidRDefault="00F87FF6">
      <w:pPr>
        <w:spacing w:line="360" w:lineRule="auto"/>
        <w:ind w:firstLineChars="200" w:firstLine="360"/>
        <w:rPr>
          <w:rFonts w:ascii="Times New Roman" w:hAnsi="Times New Roman" w:cs="Times New Roman"/>
          <w:sz w:val="18"/>
          <w:szCs w:val="16"/>
        </w:rPr>
      </w:pPr>
      <w:r>
        <w:rPr>
          <w:rFonts w:ascii="Times New Roman" w:hAnsi="Times New Roman" w:cs="Times New Roman"/>
          <w:sz w:val="18"/>
          <w:szCs w:val="16"/>
        </w:rPr>
        <w:t>3</w:t>
      </w:r>
      <w:r>
        <w:rPr>
          <w:rFonts w:ascii="Times New Roman" w:hAnsi="Times New Roman" w:cs="Times New Roman"/>
          <w:sz w:val="18"/>
          <w:szCs w:val="16"/>
        </w:rPr>
        <w:t>、在数据的变动比较上，若上期为负数或零，则同比变动比例以</w:t>
      </w:r>
      <w:r>
        <w:rPr>
          <w:rFonts w:ascii="Times New Roman" w:hAnsi="Times New Roman" w:cs="Times New Roman"/>
          <w:sz w:val="18"/>
          <w:szCs w:val="16"/>
        </w:rPr>
        <w:t>“</w:t>
      </w:r>
      <w:r>
        <w:rPr>
          <w:rFonts w:ascii="Times New Roman" w:hAnsi="Times New Roman" w:cs="Times New Roman"/>
          <w:sz w:val="18"/>
          <w:szCs w:val="16"/>
        </w:rPr>
        <w:t>不适用</w:t>
      </w:r>
      <w:r>
        <w:rPr>
          <w:rFonts w:ascii="Times New Roman" w:hAnsi="Times New Roman" w:cs="Times New Roman"/>
          <w:sz w:val="18"/>
          <w:szCs w:val="16"/>
        </w:rPr>
        <w:t>”</w:t>
      </w:r>
      <w:r>
        <w:rPr>
          <w:rFonts w:ascii="Times New Roman" w:hAnsi="Times New Roman" w:cs="Times New Roman"/>
          <w:sz w:val="18"/>
          <w:szCs w:val="16"/>
        </w:rPr>
        <w:t>表示，下同。</w:t>
      </w:r>
    </w:p>
    <w:p w:rsidR="00AD5BB5" w:rsidRDefault="00F87FF6">
      <w:pPr>
        <w:pStyle w:val="3"/>
        <w:numPr>
          <w:ilvl w:val="1"/>
          <w:numId w:val="6"/>
        </w:numPr>
        <w:spacing w:line="360" w:lineRule="auto"/>
        <w:rPr>
          <w:rFonts w:ascii="Times New Roman" w:hAnsi="Times New Roman" w:cs="Times New Roman"/>
        </w:rPr>
      </w:pPr>
      <w:r>
        <w:rPr>
          <w:rFonts w:ascii="Times New Roman" w:hAnsi="Times New Roman" w:cs="Times New Roman"/>
        </w:rPr>
        <w:t>主要财务指标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1335"/>
        <w:gridCol w:w="1178"/>
        <w:gridCol w:w="2072"/>
        <w:gridCol w:w="1362"/>
      </w:tblGrid>
      <w:tr w:rsidR="00AD5BB5">
        <w:trPr>
          <w:trHeight w:val="596"/>
        </w:trPr>
        <w:tc>
          <w:tcPr>
            <w:tcW w:w="2356"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每股计（元／股）</w:t>
            </w:r>
          </w:p>
        </w:tc>
        <w:tc>
          <w:tcPr>
            <w:tcW w:w="1335"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2023</w:t>
            </w:r>
            <w:r>
              <w:rPr>
                <w:rFonts w:ascii="Times New Roman" w:hAnsi="Times New Roman" w:cs="宋体" w:hint="eastAsia"/>
              </w:rPr>
              <w:t>年</w:t>
            </w:r>
          </w:p>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1-6</w:t>
            </w:r>
            <w:r>
              <w:rPr>
                <w:rFonts w:ascii="Times New Roman" w:hAnsi="Times New Roman" w:cs="宋体" w:hint="eastAsia"/>
              </w:rPr>
              <w:t>月</w:t>
            </w:r>
          </w:p>
        </w:tc>
        <w:tc>
          <w:tcPr>
            <w:tcW w:w="1178"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2022</w:t>
            </w:r>
            <w:r>
              <w:rPr>
                <w:rFonts w:ascii="Times New Roman" w:hAnsi="Times New Roman" w:cs="宋体" w:hint="eastAsia"/>
              </w:rPr>
              <w:t>年</w:t>
            </w:r>
          </w:p>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1-6</w:t>
            </w:r>
            <w:r>
              <w:rPr>
                <w:rFonts w:ascii="Times New Roman" w:hAnsi="Times New Roman" w:cs="宋体" w:hint="eastAsia"/>
              </w:rPr>
              <w:t>月</w:t>
            </w:r>
          </w:p>
        </w:tc>
        <w:tc>
          <w:tcPr>
            <w:tcW w:w="207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本报告期较上年同期增减</w:t>
            </w:r>
            <w:r>
              <w:rPr>
                <w:rFonts w:ascii="Times New Roman" w:hAnsi="Times New Roman" w:cs="宋体" w:hint="eastAsia"/>
              </w:rPr>
              <w:t>(%)</w:t>
            </w:r>
          </w:p>
        </w:tc>
        <w:tc>
          <w:tcPr>
            <w:tcW w:w="136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2021</w:t>
            </w:r>
            <w:r>
              <w:rPr>
                <w:rFonts w:ascii="Times New Roman" w:hAnsi="Times New Roman" w:cs="宋体" w:hint="eastAsia"/>
              </w:rPr>
              <w:t>年</w:t>
            </w:r>
          </w:p>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1-6</w:t>
            </w:r>
            <w:r>
              <w:rPr>
                <w:rFonts w:ascii="Times New Roman" w:hAnsi="Times New Roman" w:cs="宋体" w:hint="eastAsia"/>
              </w:rPr>
              <w:t>月</w:t>
            </w:r>
          </w:p>
        </w:tc>
      </w:tr>
      <w:tr w:rsidR="00AD5BB5">
        <w:trPr>
          <w:trHeight w:val="283"/>
        </w:trPr>
        <w:tc>
          <w:tcPr>
            <w:tcW w:w="2356"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rPr>
                <w:rFonts w:ascii="Times New Roman" w:hAnsi="Times New Roman" w:cs="宋体"/>
              </w:rPr>
            </w:pPr>
            <w:r>
              <w:rPr>
                <w:rFonts w:ascii="Times New Roman" w:hAnsi="Times New Roman" w:cs="宋体" w:hint="eastAsia"/>
              </w:rPr>
              <w:t>基本每股收益</w:t>
            </w:r>
          </w:p>
        </w:tc>
        <w:tc>
          <w:tcPr>
            <w:tcW w:w="1335"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0.51 </w:t>
            </w:r>
          </w:p>
        </w:tc>
        <w:tc>
          <w:tcPr>
            <w:tcW w:w="1178"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0.44 </w:t>
            </w:r>
          </w:p>
        </w:tc>
        <w:tc>
          <w:tcPr>
            <w:tcW w:w="207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15.91 </w:t>
            </w:r>
          </w:p>
        </w:tc>
        <w:tc>
          <w:tcPr>
            <w:tcW w:w="136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0.41 </w:t>
            </w:r>
          </w:p>
        </w:tc>
      </w:tr>
      <w:tr w:rsidR="00AD5BB5">
        <w:trPr>
          <w:trHeight w:val="283"/>
        </w:trPr>
        <w:tc>
          <w:tcPr>
            <w:tcW w:w="2356" w:type="dxa"/>
            <w:vAlign w:val="center"/>
          </w:tcPr>
          <w:p w:rsidR="00AD5BB5" w:rsidRDefault="00F87FF6">
            <w:pPr>
              <w:kinsoku w:val="0"/>
              <w:overflowPunct w:val="0"/>
              <w:autoSpaceDE w:val="0"/>
              <w:autoSpaceDN w:val="0"/>
              <w:adjustRightInd w:val="0"/>
              <w:snapToGrid w:val="0"/>
              <w:rPr>
                <w:rFonts w:ascii="Times New Roman" w:hAnsi="Times New Roman" w:cs="宋体"/>
              </w:rPr>
            </w:pPr>
            <w:r>
              <w:rPr>
                <w:rFonts w:ascii="Times New Roman" w:hAnsi="Times New Roman" w:cs="宋体" w:hint="eastAsia"/>
              </w:rPr>
              <w:t>稀释每股收益</w:t>
            </w:r>
          </w:p>
        </w:tc>
        <w:tc>
          <w:tcPr>
            <w:tcW w:w="1335" w:type="dxa"/>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0.51 </w:t>
            </w:r>
          </w:p>
        </w:tc>
        <w:tc>
          <w:tcPr>
            <w:tcW w:w="1178" w:type="dxa"/>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0.44 </w:t>
            </w:r>
          </w:p>
        </w:tc>
        <w:tc>
          <w:tcPr>
            <w:tcW w:w="2072" w:type="dxa"/>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15.91 </w:t>
            </w:r>
          </w:p>
        </w:tc>
        <w:tc>
          <w:tcPr>
            <w:tcW w:w="1362" w:type="dxa"/>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0.41 </w:t>
            </w:r>
          </w:p>
        </w:tc>
      </w:tr>
      <w:tr w:rsidR="00AD5BB5">
        <w:trPr>
          <w:trHeight w:val="283"/>
        </w:trPr>
        <w:tc>
          <w:tcPr>
            <w:tcW w:w="2356" w:type="dxa"/>
            <w:vAlign w:val="center"/>
          </w:tcPr>
          <w:p w:rsidR="00AD5BB5" w:rsidRDefault="00F87FF6">
            <w:pPr>
              <w:kinsoku w:val="0"/>
              <w:overflowPunct w:val="0"/>
              <w:autoSpaceDE w:val="0"/>
              <w:autoSpaceDN w:val="0"/>
              <w:adjustRightInd w:val="0"/>
              <w:snapToGrid w:val="0"/>
              <w:rPr>
                <w:rFonts w:ascii="Times New Roman" w:hAnsi="Times New Roman" w:cs="宋体"/>
              </w:rPr>
            </w:pPr>
            <w:r>
              <w:rPr>
                <w:rFonts w:ascii="Times New Roman" w:hAnsi="Times New Roman" w:cs="宋体" w:hint="eastAsia"/>
              </w:rPr>
              <w:t>扣除非经常性损益后的基本每股收益</w:t>
            </w:r>
          </w:p>
        </w:tc>
        <w:tc>
          <w:tcPr>
            <w:tcW w:w="1335" w:type="dxa"/>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0.51 </w:t>
            </w:r>
          </w:p>
        </w:tc>
        <w:tc>
          <w:tcPr>
            <w:tcW w:w="1178" w:type="dxa"/>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0.44 </w:t>
            </w:r>
          </w:p>
        </w:tc>
        <w:tc>
          <w:tcPr>
            <w:tcW w:w="2072" w:type="dxa"/>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15.91 </w:t>
            </w:r>
          </w:p>
        </w:tc>
        <w:tc>
          <w:tcPr>
            <w:tcW w:w="1362" w:type="dxa"/>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0.40 </w:t>
            </w:r>
          </w:p>
        </w:tc>
      </w:tr>
      <w:tr w:rsidR="00AD5BB5">
        <w:trPr>
          <w:trHeight w:val="283"/>
        </w:trPr>
        <w:tc>
          <w:tcPr>
            <w:tcW w:w="2356" w:type="dxa"/>
            <w:vAlign w:val="center"/>
          </w:tcPr>
          <w:p w:rsidR="00AD5BB5" w:rsidRDefault="00F87FF6">
            <w:pPr>
              <w:kinsoku w:val="0"/>
              <w:overflowPunct w:val="0"/>
              <w:autoSpaceDE w:val="0"/>
              <w:autoSpaceDN w:val="0"/>
              <w:adjustRightInd w:val="0"/>
              <w:snapToGrid w:val="0"/>
              <w:rPr>
                <w:rFonts w:ascii="Times New Roman" w:hAnsi="Times New Roman" w:cs="宋体"/>
              </w:rPr>
            </w:pPr>
            <w:r>
              <w:rPr>
                <w:rFonts w:ascii="Times New Roman" w:hAnsi="Times New Roman" w:cs="宋体" w:hint="eastAsia"/>
              </w:rPr>
              <w:t>每股经营活动产生的现金流量净额</w:t>
            </w:r>
          </w:p>
        </w:tc>
        <w:tc>
          <w:tcPr>
            <w:tcW w:w="1335" w:type="dxa"/>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szCs w:val="21"/>
              </w:rPr>
              <w:t>-10.39</w:t>
            </w:r>
          </w:p>
        </w:tc>
        <w:tc>
          <w:tcPr>
            <w:tcW w:w="1178" w:type="dxa"/>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6.62 </w:t>
            </w:r>
          </w:p>
        </w:tc>
        <w:tc>
          <w:tcPr>
            <w:tcW w:w="2072" w:type="dxa"/>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-256.95</w:t>
            </w:r>
          </w:p>
        </w:tc>
        <w:tc>
          <w:tcPr>
            <w:tcW w:w="1362" w:type="dxa"/>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-7.88 </w:t>
            </w:r>
          </w:p>
        </w:tc>
      </w:tr>
      <w:tr w:rsidR="00AD5BB5">
        <w:trPr>
          <w:trHeight w:val="283"/>
        </w:trPr>
        <w:tc>
          <w:tcPr>
            <w:tcW w:w="2356" w:type="dxa"/>
            <w:vAlign w:val="center"/>
          </w:tcPr>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盈利能力指标</w:t>
            </w:r>
          </w:p>
        </w:tc>
        <w:tc>
          <w:tcPr>
            <w:tcW w:w="1335" w:type="dxa"/>
            <w:vAlign w:val="center"/>
          </w:tcPr>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2023</w:t>
            </w:r>
            <w:r>
              <w:rPr>
                <w:rFonts w:ascii="Times New Roman" w:hAnsi="Times New Roman" w:cs="宋体" w:hint="eastAsia"/>
              </w:rPr>
              <w:t>年</w:t>
            </w:r>
          </w:p>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1-6</w:t>
            </w:r>
            <w:r>
              <w:rPr>
                <w:rFonts w:ascii="Times New Roman" w:hAnsi="Times New Roman" w:cs="宋体" w:hint="eastAsia"/>
              </w:rPr>
              <w:t>月</w:t>
            </w:r>
          </w:p>
        </w:tc>
        <w:tc>
          <w:tcPr>
            <w:tcW w:w="1178" w:type="dxa"/>
            <w:vAlign w:val="center"/>
          </w:tcPr>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2022</w:t>
            </w:r>
            <w:r>
              <w:rPr>
                <w:rFonts w:ascii="Times New Roman" w:hAnsi="Times New Roman" w:cs="宋体" w:hint="eastAsia"/>
              </w:rPr>
              <w:t>年</w:t>
            </w:r>
          </w:p>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1-6</w:t>
            </w:r>
            <w:r>
              <w:rPr>
                <w:rFonts w:ascii="Times New Roman" w:hAnsi="Times New Roman" w:cs="宋体" w:hint="eastAsia"/>
              </w:rPr>
              <w:t>月</w:t>
            </w:r>
          </w:p>
        </w:tc>
        <w:tc>
          <w:tcPr>
            <w:tcW w:w="2072" w:type="dxa"/>
            <w:vAlign w:val="center"/>
          </w:tcPr>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本报告期较上年同期增减</w:t>
            </w:r>
          </w:p>
        </w:tc>
        <w:tc>
          <w:tcPr>
            <w:tcW w:w="1362" w:type="dxa"/>
            <w:vAlign w:val="center"/>
          </w:tcPr>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2021</w:t>
            </w:r>
            <w:r>
              <w:rPr>
                <w:rFonts w:ascii="Times New Roman" w:hAnsi="Times New Roman" w:cs="宋体" w:hint="eastAsia"/>
              </w:rPr>
              <w:t>年</w:t>
            </w:r>
          </w:p>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1-6</w:t>
            </w:r>
            <w:r>
              <w:rPr>
                <w:rFonts w:ascii="Times New Roman" w:hAnsi="Times New Roman" w:cs="宋体" w:hint="eastAsia"/>
              </w:rPr>
              <w:t>月</w:t>
            </w:r>
          </w:p>
        </w:tc>
      </w:tr>
      <w:tr w:rsidR="00AD5BB5">
        <w:trPr>
          <w:trHeight w:val="283"/>
        </w:trPr>
        <w:tc>
          <w:tcPr>
            <w:tcW w:w="2356" w:type="dxa"/>
            <w:vAlign w:val="center"/>
          </w:tcPr>
          <w:p w:rsidR="00AD5BB5" w:rsidRDefault="00F87FF6">
            <w:pPr>
              <w:kinsoku w:val="0"/>
              <w:overflowPunct w:val="0"/>
              <w:autoSpaceDE w:val="0"/>
              <w:autoSpaceDN w:val="0"/>
              <w:adjustRightInd w:val="0"/>
              <w:snapToGrid w:val="0"/>
              <w:rPr>
                <w:rFonts w:ascii="Times New Roman" w:hAnsi="Times New Roman" w:cs="宋体"/>
              </w:rPr>
            </w:pPr>
            <w:r>
              <w:rPr>
                <w:rFonts w:ascii="Times New Roman" w:hAnsi="Times New Roman" w:cs="宋体" w:hint="eastAsia"/>
              </w:rPr>
              <w:t>加权平均净资产收益率</w:t>
            </w:r>
          </w:p>
        </w:tc>
        <w:tc>
          <w:tcPr>
            <w:tcW w:w="1335" w:type="dxa"/>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6.14%</w:t>
            </w:r>
          </w:p>
        </w:tc>
        <w:tc>
          <w:tcPr>
            <w:tcW w:w="1178" w:type="dxa"/>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5.58%</w:t>
            </w:r>
          </w:p>
        </w:tc>
        <w:tc>
          <w:tcPr>
            <w:tcW w:w="2072" w:type="dxa"/>
            <w:vAlign w:val="center"/>
          </w:tcPr>
          <w:p w:rsidR="00AD5BB5" w:rsidRDefault="00F87FF6">
            <w:pPr>
              <w:widowControl/>
              <w:jc w:val="right"/>
              <w:textAlignment w:val="center"/>
              <w:rPr>
                <w:rFonts w:ascii="Times New Roman" w:hAnsi="Times New Roman" w:cs="宋体"/>
                <w:szCs w:val="21"/>
              </w:rPr>
            </w:pPr>
            <w:r>
              <w:rPr>
                <w:rFonts w:ascii="Times New Roman" w:hAnsi="Times New Roman" w:cs="宋体" w:hint="eastAsia"/>
                <w:kern w:val="0"/>
                <w:szCs w:val="21"/>
                <w:lang w:bidi="ar"/>
              </w:rPr>
              <w:t>上升</w:t>
            </w:r>
            <w:r>
              <w:rPr>
                <w:rFonts w:ascii="Times New Roman" w:hAnsi="Times New Roman" w:cs="宋体" w:hint="eastAsia"/>
                <w:kern w:val="0"/>
                <w:szCs w:val="21"/>
                <w:lang w:bidi="ar"/>
              </w:rPr>
              <w:t>0.56</w:t>
            </w:r>
            <w:r>
              <w:rPr>
                <w:rFonts w:ascii="Times New Roman" w:hAnsi="Times New Roman" w:cs="宋体" w:hint="eastAsia"/>
                <w:kern w:val="0"/>
                <w:szCs w:val="21"/>
                <w:lang w:bidi="ar"/>
              </w:rPr>
              <w:t>个百分点</w:t>
            </w:r>
          </w:p>
        </w:tc>
        <w:tc>
          <w:tcPr>
            <w:tcW w:w="1362" w:type="dxa"/>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5.66%</w:t>
            </w:r>
          </w:p>
        </w:tc>
      </w:tr>
      <w:tr w:rsidR="00AD5BB5">
        <w:trPr>
          <w:trHeight w:val="283"/>
        </w:trPr>
        <w:tc>
          <w:tcPr>
            <w:tcW w:w="2356" w:type="dxa"/>
            <w:vAlign w:val="center"/>
          </w:tcPr>
          <w:p w:rsidR="00AD5BB5" w:rsidRDefault="00F87FF6">
            <w:pPr>
              <w:kinsoku w:val="0"/>
              <w:overflowPunct w:val="0"/>
              <w:autoSpaceDE w:val="0"/>
              <w:autoSpaceDN w:val="0"/>
              <w:adjustRightInd w:val="0"/>
              <w:snapToGrid w:val="0"/>
              <w:rPr>
                <w:rFonts w:ascii="Times New Roman" w:hAnsi="Times New Roman" w:cs="宋体"/>
              </w:rPr>
            </w:pPr>
            <w:r>
              <w:rPr>
                <w:rFonts w:ascii="Times New Roman" w:hAnsi="Times New Roman" w:cs="宋体" w:hint="eastAsia"/>
              </w:rPr>
              <w:t>扣除非经常性损益后的加权平均净资产收益率</w:t>
            </w:r>
          </w:p>
        </w:tc>
        <w:tc>
          <w:tcPr>
            <w:tcW w:w="1335" w:type="dxa"/>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6.1</w:t>
            </w:r>
            <w:r>
              <w:rPr>
                <w:rFonts w:ascii="Times New Roman" w:hAnsi="Times New Roman" w:cs="Times New Roman" w:hint="eastAsia"/>
                <w:kern w:val="0"/>
                <w:szCs w:val="21"/>
                <w:lang w:bidi="ar"/>
              </w:rPr>
              <w:t>1</w:t>
            </w:r>
            <w:r>
              <w:rPr>
                <w:rFonts w:ascii="Times New Roman" w:hAnsi="Times New Roman" w:cs="Times New Roman"/>
                <w:kern w:val="0"/>
                <w:szCs w:val="21"/>
                <w:lang w:bidi="ar"/>
              </w:rPr>
              <w:t>%</w:t>
            </w:r>
          </w:p>
        </w:tc>
        <w:tc>
          <w:tcPr>
            <w:tcW w:w="1178" w:type="dxa"/>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5.57%</w:t>
            </w:r>
          </w:p>
        </w:tc>
        <w:tc>
          <w:tcPr>
            <w:tcW w:w="2072" w:type="dxa"/>
            <w:vAlign w:val="center"/>
          </w:tcPr>
          <w:p w:rsidR="00AD5BB5" w:rsidRDefault="00F87FF6">
            <w:pPr>
              <w:widowControl/>
              <w:jc w:val="right"/>
              <w:textAlignment w:val="center"/>
              <w:rPr>
                <w:rFonts w:ascii="Times New Roman" w:hAnsi="Times New Roman" w:cs="宋体"/>
                <w:szCs w:val="21"/>
              </w:rPr>
            </w:pPr>
            <w:r>
              <w:rPr>
                <w:rFonts w:ascii="Times New Roman" w:hAnsi="Times New Roman" w:cs="宋体" w:hint="eastAsia"/>
                <w:kern w:val="0"/>
                <w:szCs w:val="21"/>
                <w:lang w:bidi="ar"/>
              </w:rPr>
              <w:t>上升</w:t>
            </w:r>
            <w:r>
              <w:rPr>
                <w:rFonts w:ascii="Times New Roman" w:hAnsi="Times New Roman" w:cs="宋体" w:hint="eastAsia"/>
                <w:kern w:val="0"/>
                <w:szCs w:val="21"/>
                <w:lang w:bidi="ar"/>
              </w:rPr>
              <w:t>0.54</w:t>
            </w:r>
            <w:r>
              <w:rPr>
                <w:rFonts w:ascii="Times New Roman" w:hAnsi="Times New Roman" w:cs="宋体" w:hint="eastAsia"/>
                <w:kern w:val="0"/>
                <w:szCs w:val="21"/>
                <w:lang w:bidi="ar"/>
              </w:rPr>
              <w:t>个百分点</w:t>
            </w:r>
          </w:p>
        </w:tc>
        <w:tc>
          <w:tcPr>
            <w:tcW w:w="1362" w:type="dxa"/>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5.64%</w:t>
            </w:r>
          </w:p>
        </w:tc>
      </w:tr>
      <w:tr w:rsidR="00AD5BB5">
        <w:trPr>
          <w:trHeight w:val="90"/>
        </w:trPr>
        <w:tc>
          <w:tcPr>
            <w:tcW w:w="2356" w:type="dxa"/>
            <w:vAlign w:val="center"/>
          </w:tcPr>
          <w:p w:rsidR="00AD5BB5" w:rsidRDefault="00F87FF6">
            <w:pPr>
              <w:kinsoku w:val="0"/>
              <w:overflowPunct w:val="0"/>
              <w:autoSpaceDE w:val="0"/>
              <w:autoSpaceDN w:val="0"/>
              <w:adjustRightInd w:val="0"/>
              <w:snapToGrid w:val="0"/>
              <w:rPr>
                <w:rFonts w:ascii="Times New Roman" w:hAnsi="Times New Roman" w:cs="宋体"/>
              </w:rPr>
            </w:pPr>
            <w:r>
              <w:rPr>
                <w:rFonts w:ascii="Times New Roman" w:hAnsi="Times New Roman" w:cs="宋体" w:hint="eastAsia"/>
              </w:rPr>
              <w:t>总资产收益率</w:t>
            </w:r>
          </w:p>
        </w:tc>
        <w:tc>
          <w:tcPr>
            <w:tcW w:w="1335" w:type="dxa"/>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0.41%</w:t>
            </w:r>
          </w:p>
        </w:tc>
        <w:tc>
          <w:tcPr>
            <w:tcW w:w="1178" w:type="dxa"/>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0.37%</w:t>
            </w:r>
          </w:p>
        </w:tc>
        <w:tc>
          <w:tcPr>
            <w:tcW w:w="2072" w:type="dxa"/>
            <w:vAlign w:val="center"/>
          </w:tcPr>
          <w:p w:rsidR="00AD5BB5" w:rsidRDefault="00F87FF6">
            <w:pPr>
              <w:widowControl/>
              <w:jc w:val="right"/>
              <w:textAlignment w:val="center"/>
              <w:rPr>
                <w:rFonts w:ascii="Times New Roman" w:hAnsi="Times New Roman" w:cs="宋体"/>
                <w:szCs w:val="21"/>
              </w:rPr>
            </w:pPr>
            <w:r>
              <w:rPr>
                <w:rFonts w:ascii="Times New Roman" w:hAnsi="Times New Roman" w:cs="宋体" w:hint="eastAsia"/>
                <w:kern w:val="0"/>
                <w:szCs w:val="21"/>
                <w:lang w:bidi="ar"/>
              </w:rPr>
              <w:t>上升</w:t>
            </w:r>
            <w:r>
              <w:rPr>
                <w:rFonts w:ascii="Times New Roman" w:hAnsi="Times New Roman" w:cs="宋体" w:hint="eastAsia"/>
                <w:kern w:val="0"/>
                <w:szCs w:val="21"/>
                <w:lang w:bidi="ar"/>
              </w:rPr>
              <w:t>0.04</w:t>
            </w:r>
            <w:r>
              <w:rPr>
                <w:rFonts w:ascii="Times New Roman" w:hAnsi="Times New Roman" w:cs="宋体" w:hint="eastAsia"/>
                <w:kern w:val="0"/>
                <w:szCs w:val="21"/>
                <w:lang w:bidi="ar"/>
              </w:rPr>
              <w:t>个百分点</w:t>
            </w:r>
          </w:p>
        </w:tc>
        <w:tc>
          <w:tcPr>
            <w:tcW w:w="1362" w:type="dxa"/>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0.37%</w:t>
            </w:r>
          </w:p>
        </w:tc>
      </w:tr>
      <w:tr w:rsidR="00AD5BB5">
        <w:trPr>
          <w:trHeight w:val="283"/>
        </w:trPr>
        <w:tc>
          <w:tcPr>
            <w:tcW w:w="2356" w:type="dxa"/>
            <w:vAlign w:val="center"/>
          </w:tcPr>
          <w:p w:rsidR="00AD5BB5" w:rsidRDefault="00F87FF6">
            <w:pPr>
              <w:kinsoku w:val="0"/>
              <w:overflowPunct w:val="0"/>
              <w:autoSpaceDE w:val="0"/>
              <w:autoSpaceDN w:val="0"/>
              <w:adjustRightInd w:val="0"/>
              <w:snapToGrid w:val="0"/>
              <w:rPr>
                <w:rFonts w:ascii="Times New Roman" w:hAnsi="Times New Roman" w:cs="宋体"/>
              </w:rPr>
            </w:pPr>
            <w:r>
              <w:rPr>
                <w:rFonts w:ascii="Times New Roman" w:hAnsi="Times New Roman" w:cs="宋体" w:hint="eastAsia"/>
              </w:rPr>
              <w:t>净利差</w:t>
            </w:r>
          </w:p>
        </w:tc>
        <w:tc>
          <w:tcPr>
            <w:tcW w:w="1335" w:type="dxa"/>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1.28%</w:t>
            </w:r>
          </w:p>
        </w:tc>
        <w:tc>
          <w:tcPr>
            <w:tcW w:w="1178" w:type="dxa"/>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1.42%</w:t>
            </w:r>
          </w:p>
        </w:tc>
        <w:tc>
          <w:tcPr>
            <w:tcW w:w="2072" w:type="dxa"/>
            <w:vAlign w:val="center"/>
          </w:tcPr>
          <w:p w:rsidR="00AD5BB5" w:rsidRDefault="00F87FF6">
            <w:pPr>
              <w:widowControl/>
              <w:jc w:val="right"/>
              <w:textAlignment w:val="center"/>
              <w:rPr>
                <w:rFonts w:ascii="Times New Roman" w:hAnsi="Times New Roman" w:cs="宋体"/>
                <w:szCs w:val="21"/>
              </w:rPr>
            </w:pPr>
            <w:r>
              <w:rPr>
                <w:rFonts w:ascii="Times New Roman" w:hAnsi="Times New Roman" w:cs="宋体" w:hint="eastAsia"/>
                <w:kern w:val="0"/>
                <w:szCs w:val="21"/>
                <w:lang w:bidi="ar"/>
              </w:rPr>
              <w:t>下降</w:t>
            </w:r>
            <w:r>
              <w:rPr>
                <w:rFonts w:ascii="Times New Roman" w:hAnsi="Times New Roman" w:cs="宋体" w:hint="eastAsia"/>
                <w:kern w:val="0"/>
                <w:szCs w:val="21"/>
                <w:lang w:bidi="ar"/>
              </w:rPr>
              <w:t>0.14</w:t>
            </w:r>
            <w:r>
              <w:rPr>
                <w:rFonts w:ascii="Times New Roman" w:hAnsi="Times New Roman" w:cs="宋体" w:hint="eastAsia"/>
                <w:kern w:val="0"/>
                <w:szCs w:val="21"/>
                <w:lang w:bidi="ar"/>
              </w:rPr>
              <w:t>个百分点</w:t>
            </w:r>
          </w:p>
        </w:tc>
        <w:tc>
          <w:tcPr>
            <w:tcW w:w="1362" w:type="dxa"/>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1.53%</w:t>
            </w:r>
          </w:p>
        </w:tc>
      </w:tr>
      <w:tr w:rsidR="00AD5BB5">
        <w:trPr>
          <w:trHeight w:val="440"/>
        </w:trPr>
        <w:tc>
          <w:tcPr>
            <w:tcW w:w="2356" w:type="dxa"/>
            <w:vAlign w:val="center"/>
          </w:tcPr>
          <w:p w:rsidR="00AD5BB5" w:rsidRDefault="00F87FF6">
            <w:pPr>
              <w:kinsoku w:val="0"/>
              <w:overflowPunct w:val="0"/>
              <w:autoSpaceDE w:val="0"/>
              <w:autoSpaceDN w:val="0"/>
              <w:adjustRightInd w:val="0"/>
              <w:snapToGrid w:val="0"/>
              <w:rPr>
                <w:rFonts w:ascii="Times New Roman" w:hAnsi="Times New Roman" w:cs="宋体"/>
              </w:rPr>
            </w:pPr>
            <w:r>
              <w:rPr>
                <w:rFonts w:ascii="Times New Roman" w:hAnsi="Times New Roman" w:cs="宋体" w:hint="eastAsia"/>
              </w:rPr>
              <w:t>净息差</w:t>
            </w:r>
          </w:p>
        </w:tc>
        <w:tc>
          <w:tcPr>
            <w:tcW w:w="1335" w:type="dxa"/>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1.34%</w:t>
            </w:r>
          </w:p>
        </w:tc>
        <w:tc>
          <w:tcPr>
            <w:tcW w:w="1178" w:type="dxa"/>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1.49%</w:t>
            </w:r>
          </w:p>
        </w:tc>
        <w:tc>
          <w:tcPr>
            <w:tcW w:w="2072" w:type="dxa"/>
            <w:vAlign w:val="center"/>
          </w:tcPr>
          <w:p w:rsidR="00AD5BB5" w:rsidRDefault="00F87FF6">
            <w:pPr>
              <w:widowControl/>
              <w:jc w:val="right"/>
              <w:textAlignment w:val="center"/>
              <w:rPr>
                <w:rFonts w:ascii="Times New Roman" w:hAnsi="Times New Roman" w:cs="宋体"/>
                <w:szCs w:val="21"/>
              </w:rPr>
            </w:pPr>
            <w:r>
              <w:rPr>
                <w:rFonts w:ascii="Times New Roman" w:hAnsi="Times New Roman" w:cs="宋体" w:hint="eastAsia"/>
                <w:kern w:val="0"/>
                <w:szCs w:val="21"/>
                <w:lang w:bidi="ar"/>
              </w:rPr>
              <w:t>下降</w:t>
            </w:r>
            <w:r>
              <w:rPr>
                <w:rFonts w:ascii="Times New Roman" w:hAnsi="Times New Roman" w:cs="宋体" w:hint="eastAsia"/>
                <w:kern w:val="0"/>
                <w:szCs w:val="21"/>
                <w:lang w:bidi="ar"/>
              </w:rPr>
              <w:t>0.15</w:t>
            </w:r>
            <w:r>
              <w:rPr>
                <w:rFonts w:ascii="Times New Roman" w:hAnsi="Times New Roman" w:cs="宋体" w:hint="eastAsia"/>
                <w:kern w:val="0"/>
                <w:szCs w:val="21"/>
                <w:lang w:bidi="ar"/>
              </w:rPr>
              <w:t>个百分点</w:t>
            </w:r>
          </w:p>
        </w:tc>
        <w:tc>
          <w:tcPr>
            <w:tcW w:w="1362" w:type="dxa"/>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1.63%</w:t>
            </w:r>
          </w:p>
        </w:tc>
      </w:tr>
      <w:tr w:rsidR="00AD5BB5">
        <w:trPr>
          <w:trHeight w:val="283"/>
        </w:trPr>
        <w:tc>
          <w:tcPr>
            <w:tcW w:w="2356" w:type="dxa"/>
            <w:vAlign w:val="center"/>
          </w:tcPr>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lastRenderedPageBreak/>
              <w:t>资本充足率指标</w:t>
            </w:r>
          </w:p>
        </w:tc>
        <w:tc>
          <w:tcPr>
            <w:tcW w:w="1335" w:type="dxa"/>
            <w:vAlign w:val="center"/>
          </w:tcPr>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2023</w:t>
            </w:r>
            <w:r>
              <w:rPr>
                <w:rFonts w:ascii="Times New Roman" w:hAnsi="Times New Roman" w:cs="宋体" w:hint="eastAsia"/>
              </w:rPr>
              <w:t>年</w:t>
            </w:r>
          </w:p>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6</w:t>
            </w:r>
            <w:r>
              <w:rPr>
                <w:rFonts w:ascii="Times New Roman" w:hAnsi="Times New Roman" w:cs="宋体" w:hint="eastAsia"/>
              </w:rPr>
              <w:t>月</w:t>
            </w:r>
            <w:r>
              <w:rPr>
                <w:rFonts w:ascii="Times New Roman" w:hAnsi="Times New Roman" w:cs="宋体" w:hint="eastAsia"/>
              </w:rPr>
              <w:t>30</w:t>
            </w:r>
            <w:r>
              <w:rPr>
                <w:rFonts w:ascii="Times New Roman" w:hAnsi="Times New Roman" w:cs="宋体" w:hint="eastAsia"/>
              </w:rPr>
              <w:t>日</w:t>
            </w:r>
          </w:p>
        </w:tc>
        <w:tc>
          <w:tcPr>
            <w:tcW w:w="1178" w:type="dxa"/>
            <w:vAlign w:val="center"/>
          </w:tcPr>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2022</w:t>
            </w:r>
            <w:r>
              <w:rPr>
                <w:rFonts w:ascii="Times New Roman" w:hAnsi="Times New Roman" w:cs="宋体" w:hint="eastAsia"/>
              </w:rPr>
              <w:t>年</w:t>
            </w:r>
            <w:r>
              <w:rPr>
                <w:rFonts w:ascii="Times New Roman" w:hAnsi="Times New Roman" w:cs="宋体" w:hint="eastAsia"/>
              </w:rPr>
              <w:t>12</w:t>
            </w:r>
            <w:r>
              <w:rPr>
                <w:rFonts w:ascii="Times New Roman" w:hAnsi="Times New Roman" w:cs="宋体" w:hint="eastAsia"/>
              </w:rPr>
              <w:t>月</w:t>
            </w:r>
            <w:r>
              <w:rPr>
                <w:rFonts w:ascii="Times New Roman" w:hAnsi="Times New Roman" w:cs="宋体" w:hint="eastAsia"/>
              </w:rPr>
              <w:t>31</w:t>
            </w:r>
            <w:r>
              <w:rPr>
                <w:rFonts w:ascii="Times New Roman" w:hAnsi="Times New Roman" w:cs="宋体" w:hint="eastAsia"/>
              </w:rPr>
              <w:t>日</w:t>
            </w:r>
          </w:p>
        </w:tc>
        <w:tc>
          <w:tcPr>
            <w:tcW w:w="2072" w:type="dxa"/>
            <w:vAlign w:val="center"/>
          </w:tcPr>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本报告</w:t>
            </w:r>
            <w:proofErr w:type="gramStart"/>
            <w:r>
              <w:rPr>
                <w:rFonts w:ascii="Times New Roman" w:hAnsi="Times New Roman" w:cs="宋体" w:hint="eastAsia"/>
              </w:rPr>
              <w:t>期末较期初</w:t>
            </w:r>
            <w:proofErr w:type="gramEnd"/>
            <w:r>
              <w:rPr>
                <w:rFonts w:ascii="Times New Roman" w:hAnsi="Times New Roman" w:cs="宋体" w:hint="eastAsia"/>
              </w:rPr>
              <w:t>增减</w:t>
            </w:r>
            <w:r>
              <w:rPr>
                <w:rFonts w:ascii="Times New Roman" w:hAnsi="Times New Roman" w:cs="宋体" w:hint="eastAsia"/>
              </w:rPr>
              <w:t>(%)</w:t>
            </w:r>
          </w:p>
        </w:tc>
        <w:tc>
          <w:tcPr>
            <w:tcW w:w="1362" w:type="dxa"/>
            <w:vAlign w:val="center"/>
          </w:tcPr>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2021</w:t>
            </w:r>
            <w:r>
              <w:rPr>
                <w:rFonts w:ascii="Times New Roman" w:hAnsi="Times New Roman" w:cs="宋体" w:hint="eastAsia"/>
              </w:rPr>
              <w:t>年</w:t>
            </w:r>
            <w:r>
              <w:rPr>
                <w:rFonts w:ascii="Times New Roman" w:hAnsi="Times New Roman" w:cs="宋体" w:hint="eastAsia"/>
              </w:rPr>
              <w:t>12</w:t>
            </w:r>
            <w:r>
              <w:rPr>
                <w:rFonts w:ascii="Times New Roman" w:hAnsi="Times New Roman" w:cs="宋体" w:hint="eastAsia"/>
              </w:rPr>
              <w:t>月</w:t>
            </w:r>
            <w:r>
              <w:rPr>
                <w:rFonts w:ascii="Times New Roman" w:hAnsi="Times New Roman" w:cs="宋体" w:hint="eastAsia"/>
              </w:rPr>
              <w:t>31</w:t>
            </w:r>
            <w:r>
              <w:rPr>
                <w:rFonts w:ascii="Times New Roman" w:hAnsi="Times New Roman" w:cs="宋体" w:hint="eastAsia"/>
              </w:rPr>
              <w:t>日</w:t>
            </w:r>
          </w:p>
        </w:tc>
      </w:tr>
      <w:tr w:rsidR="00AD5BB5">
        <w:trPr>
          <w:trHeight w:val="283"/>
        </w:trPr>
        <w:tc>
          <w:tcPr>
            <w:tcW w:w="2356" w:type="dxa"/>
            <w:vAlign w:val="center"/>
          </w:tcPr>
          <w:p w:rsidR="00AD5BB5" w:rsidRDefault="00F87FF6">
            <w:pPr>
              <w:rPr>
                <w:rFonts w:ascii="Times New Roman" w:hAnsi="Times New Roman" w:cs="宋体"/>
              </w:rPr>
            </w:pPr>
            <w:r>
              <w:rPr>
                <w:rFonts w:ascii="Times New Roman" w:hAnsi="Times New Roman" w:cs="宋体" w:hint="eastAsia"/>
              </w:rPr>
              <w:t>资本充足率</w:t>
            </w:r>
          </w:p>
        </w:tc>
        <w:tc>
          <w:tcPr>
            <w:tcW w:w="1335" w:type="dxa"/>
            <w:vAlign w:val="center"/>
          </w:tcPr>
          <w:p w:rsidR="00AD5BB5" w:rsidRDefault="00F87FF6">
            <w:pPr>
              <w:jc w:val="right"/>
              <w:rPr>
                <w:rFonts w:ascii="Times New Roman" w:hAnsi="Times New Roman" w:cs="Times New Roman"/>
                <w:szCs w:val="21"/>
              </w:rPr>
            </w:pPr>
            <w:r>
              <w:rPr>
                <w:rFonts w:ascii="Times New Roman" w:hAnsi="Times New Roman" w:cs="Times New Roman"/>
                <w:szCs w:val="21"/>
              </w:rPr>
              <w:t>14.15%</w:t>
            </w:r>
          </w:p>
        </w:tc>
        <w:tc>
          <w:tcPr>
            <w:tcW w:w="1178" w:type="dxa"/>
            <w:vAlign w:val="center"/>
          </w:tcPr>
          <w:p w:rsidR="00AD5BB5" w:rsidRDefault="00F87FF6">
            <w:pPr>
              <w:jc w:val="right"/>
              <w:textAlignment w:val="top"/>
              <w:rPr>
                <w:rFonts w:ascii="Times New Roman" w:hAnsi="Times New Roman" w:cs="Times New Roman"/>
              </w:rPr>
            </w:pPr>
            <w:r>
              <w:rPr>
                <w:rFonts w:ascii="Times New Roman" w:hAnsi="Times New Roman" w:cs="Times New Roman"/>
              </w:rPr>
              <w:t>13.76%</w:t>
            </w:r>
          </w:p>
        </w:tc>
        <w:tc>
          <w:tcPr>
            <w:tcW w:w="2072" w:type="dxa"/>
            <w:vAlign w:val="center"/>
          </w:tcPr>
          <w:p w:rsidR="00AD5BB5" w:rsidRDefault="00F87FF6">
            <w:pPr>
              <w:ind w:right="210"/>
              <w:jc w:val="right"/>
              <w:rPr>
                <w:rFonts w:ascii="Times New Roman" w:hAnsi="Times New Roman" w:cs="Times New Roman"/>
              </w:rPr>
            </w:pPr>
            <w:r>
              <w:rPr>
                <w:rFonts w:ascii="Times New Roman" w:hAnsi="Times New Roman" w:cs="Times New Roman"/>
              </w:rPr>
              <w:t>0.39</w:t>
            </w:r>
          </w:p>
        </w:tc>
        <w:tc>
          <w:tcPr>
            <w:tcW w:w="1362" w:type="dxa"/>
            <w:vAlign w:val="center"/>
          </w:tcPr>
          <w:p w:rsidR="00AD5BB5" w:rsidRDefault="00F87FF6">
            <w:pPr>
              <w:jc w:val="right"/>
              <w:textAlignment w:val="top"/>
              <w:rPr>
                <w:rFonts w:ascii="Times New Roman" w:hAnsi="Times New Roman" w:cs="Times New Roman"/>
              </w:rPr>
            </w:pPr>
            <w:r>
              <w:rPr>
                <w:rFonts w:ascii="Times New Roman" w:hAnsi="Times New Roman" w:cs="Times New Roman"/>
              </w:rPr>
              <w:t>16.40%</w:t>
            </w:r>
          </w:p>
        </w:tc>
      </w:tr>
      <w:tr w:rsidR="00AD5BB5">
        <w:trPr>
          <w:trHeight w:val="283"/>
        </w:trPr>
        <w:tc>
          <w:tcPr>
            <w:tcW w:w="2356" w:type="dxa"/>
            <w:vAlign w:val="center"/>
          </w:tcPr>
          <w:p w:rsidR="00AD5BB5" w:rsidRDefault="00F87FF6">
            <w:pPr>
              <w:rPr>
                <w:rFonts w:ascii="Times New Roman" w:hAnsi="Times New Roman" w:cs="宋体"/>
              </w:rPr>
            </w:pPr>
            <w:r>
              <w:rPr>
                <w:rFonts w:ascii="Times New Roman" w:hAnsi="Times New Roman" w:cs="宋体" w:hint="eastAsia"/>
              </w:rPr>
              <w:t>一级资本充足率</w:t>
            </w:r>
          </w:p>
        </w:tc>
        <w:tc>
          <w:tcPr>
            <w:tcW w:w="1335" w:type="dxa"/>
            <w:vAlign w:val="center"/>
          </w:tcPr>
          <w:p w:rsidR="00AD5BB5" w:rsidRDefault="00F87FF6">
            <w:pPr>
              <w:jc w:val="right"/>
              <w:rPr>
                <w:rFonts w:ascii="Times New Roman" w:hAnsi="Times New Roman" w:cs="Times New Roman"/>
                <w:szCs w:val="21"/>
              </w:rPr>
            </w:pPr>
            <w:r>
              <w:rPr>
                <w:rFonts w:ascii="Times New Roman" w:hAnsi="Times New Roman" w:cs="Times New Roman"/>
                <w:szCs w:val="21"/>
              </w:rPr>
              <w:t>10.99%</w:t>
            </w:r>
          </w:p>
        </w:tc>
        <w:tc>
          <w:tcPr>
            <w:tcW w:w="1178" w:type="dxa"/>
            <w:vAlign w:val="center"/>
          </w:tcPr>
          <w:p w:rsidR="00AD5BB5" w:rsidRDefault="00F87FF6">
            <w:pPr>
              <w:jc w:val="right"/>
              <w:textAlignment w:val="top"/>
              <w:rPr>
                <w:rFonts w:ascii="Times New Roman" w:hAnsi="Times New Roman" w:cs="Times New Roman"/>
              </w:rPr>
            </w:pPr>
            <w:r>
              <w:rPr>
                <w:rFonts w:ascii="Times New Roman" w:hAnsi="Times New Roman" w:cs="Times New Roman"/>
              </w:rPr>
              <w:t>10.60%</w:t>
            </w:r>
          </w:p>
        </w:tc>
        <w:tc>
          <w:tcPr>
            <w:tcW w:w="2072" w:type="dxa"/>
            <w:vAlign w:val="center"/>
          </w:tcPr>
          <w:p w:rsidR="00AD5BB5" w:rsidRDefault="00F87FF6">
            <w:pPr>
              <w:ind w:right="210"/>
              <w:jc w:val="right"/>
              <w:rPr>
                <w:rFonts w:ascii="Times New Roman" w:hAnsi="Times New Roman" w:cs="Times New Roman"/>
              </w:rPr>
            </w:pPr>
            <w:r>
              <w:rPr>
                <w:rFonts w:ascii="Times New Roman" w:hAnsi="Times New Roman" w:cs="Times New Roman"/>
              </w:rPr>
              <w:t>0.39</w:t>
            </w:r>
          </w:p>
        </w:tc>
        <w:tc>
          <w:tcPr>
            <w:tcW w:w="1362" w:type="dxa"/>
            <w:vAlign w:val="center"/>
          </w:tcPr>
          <w:p w:rsidR="00AD5BB5" w:rsidRDefault="00F87FF6">
            <w:pPr>
              <w:jc w:val="right"/>
              <w:textAlignment w:val="top"/>
              <w:rPr>
                <w:rFonts w:ascii="Times New Roman" w:hAnsi="Times New Roman" w:cs="Times New Roman"/>
              </w:rPr>
            </w:pPr>
            <w:r>
              <w:rPr>
                <w:rFonts w:ascii="Times New Roman" w:hAnsi="Times New Roman" w:cs="Times New Roman"/>
              </w:rPr>
              <w:t>11.77%</w:t>
            </w:r>
          </w:p>
        </w:tc>
      </w:tr>
      <w:tr w:rsidR="00AD5BB5">
        <w:trPr>
          <w:trHeight w:val="283"/>
        </w:trPr>
        <w:tc>
          <w:tcPr>
            <w:tcW w:w="2356" w:type="dxa"/>
            <w:vAlign w:val="center"/>
          </w:tcPr>
          <w:p w:rsidR="00AD5BB5" w:rsidRDefault="00F87FF6">
            <w:pPr>
              <w:rPr>
                <w:rFonts w:ascii="Times New Roman" w:hAnsi="Times New Roman" w:cs="宋体"/>
              </w:rPr>
            </w:pPr>
            <w:r>
              <w:rPr>
                <w:rFonts w:ascii="Times New Roman" w:hAnsi="Times New Roman" w:cs="宋体" w:hint="eastAsia"/>
              </w:rPr>
              <w:t>核心一级资本充足率</w:t>
            </w:r>
          </w:p>
        </w:tc>
        <w:tc>
          <w:tcPr>
            <w:tcW w:w="1335" w:type="dxa"/>
            <w:vAlign w:val="center"/>
          </w:tcPr>
          <w:p w:rsidR="00AD5BB5" w:rsidRDefault="00F87FF6">
            <w:pPr>
              <w:jc w:val="right"/>
              <w:rPr>
                <w:rFonts w:ascii="Times New Roman" w:hAnsi="Times New Roman" w:cs="Times New Roman"/>
                <w:szCs w:val="21"/>
              </w:rPr>
            </w:pPr>
            <w:r>
              <w:rPr>
                <w:rFonts w:ascii="Times New Roman" w:hAnsi="Times New Roman" w:cs="Times New Roman"/>
                <w:szCs w:val="21"/>
              </w:rPr>
              <w:t>9.89%</w:t>
            </w:r>
          </w:p>
        </w:tc>
        <w:tc>
          <w:tcPr>
            <w:tcW w:w="1178" w:type="dxa"/>
            <w:vAlign w:val="center"/>
          </w:tcPr>
          <w:p w:rsidR="00AD5BB5" w:rsidRDefault="00F87FF6">
            <w:pPr>
              <w:jc w:val="right"/>
              <w:textAlignment w:val="top"/>
              <w:rPr>
                <w:rFonts w:ascii="Times New Roman" w:hAnsi="Times New Roman" w:cs="Times New Roman"/>
              </w:rPr>
            </w:pPr>
            <w:r>
              <w:rPr>
                <w:rFonts w:ascii="Times New Roman" w:hAnsi="Times New Roman" w:cs="Times New Roman"/>
              </w:rPr>
              <w:t>9.50%</w:t>
            </w:r>
          </w:p>
        </w:tc>
        <w:tc>
          <w:tcPr>
            <w:tcW w:w="2072" w:type="dxa"/>
            <w:vAlign w:val="center"/>
          </w:tcPr>
          <w:p w:rsidR="00AD5BB5" w:rsidRDefault="00F87FF6">
            <w:pPr>
              <w:ind w:right="210"/>
              <w:jc w:val="right"/>
              <w:rPr>
                <w:rFonts w:ascii="Times New Roman" w:hAnsi="Times New Roman" w:cs="Times New Roman"/>
              </w:rPr>
            </w:pPr>
            <w:r>
              <w:rPr>
                <w:rFonts w:ascii="Times New Roman" w:hAnsi="Times New Roman" w:cs="Times New Roman"/>
              </w:rPr>
              <w:t>0.39</w:t>
            </w:r>
          </w:p>
        </w:tc>
        <w:tc>
          <w:tcPr>
            <w:tcW w:w="1362" w:type="dxa"/>
            <w:vAlign w:val="center"/>
          </w:tcPr>
          <w:p w:rsidR="00AD5BB5" w:rsidRDefault="00F87FF6">
            <w:pPr>
              <w:jc w:val="right"/>
              <w:textAlignment w:val="top"/>
              <w:rPr>
                <w:rFonts w:ascii="Times New Roman" w:hAnsi="Times New Roman" w:cs="Times New Roman"/>
              </w:rPr>
            </w:pPr>
            <w:r>
              <w:rPr>
                <w:rFonts w:ascii="Times New Roman" w:hAnsi="Times New Roman" w:cs="Times New Roman"/>
              </w:rPr>
              <w:t>10.47%</w:t>
            </w:r>
          </w:p>
        </w:tc>
      </w:tr>
      <w:tr w:rsidR="00AD5BB5">
        <w:trPr>
          <w:trHeight w:val="283"/>
        </w:trPr>
        <w:tc>
          <w:tcPr>
            <w:tcW w:w="2356" w:type="dxa"/>
            <w:vAlign w:val="center"/>
          </w:tcPr>
          <w:p w:rsidR="00AD5BB5" w:rsidRDefault="00F87FF6">
            <w:pPr>
              <w:jc w:val="center"/>
              <w:rPr>
                <w:rFonts w:ascii="Times New Roman" w:hAnsi="Times New Roman" w:cs="宋体"/>
              </w:rPr>
            </w:pPr>
            <w:r>
              <w:rPr>
                <w:rFonts w:ascii="Times New Roman" w:hAnsi="Times New Roman" w:cs="宋体" w:hint="eastAsia"/>
              </w:rPr>
              <w:t>资产质量指标</w:t>
            </w:r>
          </w:p>
        </w:tc>
        <w:tc>
          <w:tcPr>
            <w:tcW w:w="1335" w:type="dxa"/>
            <w:vAlign w:val="center"/>
          </w:tcPr>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2023</w:t>
            </w:r>
            <w:r>
              <w:rPr>
                <w:rFonts w:ascii="Times New Roman" w:hAnsi="Times New Roman" w:cs="宋体" w:hint="eastAsia"/>
              </w:rPr>
              <w:t>年</w:t>
            </w:r>
          </w:p>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6</w:t>
            </w:r>
            <w:r>
              <w:rPr>
                <w:rFonts w:ascii="Times New Roman" w:hAnsi="Times New Roman" w:cs="宋体" w:hint="eastAsia"/>
              </w:rPr>
              <w:t>月</w:t>
            </w:r>
            <w:r>
              <w:rPr>
                <w:rFonts w:ascii="Times New Roman" w:hAnsi="Times New Roman" w:cs="宋体" w:hint="eastAsia"/>
              </w:rPr>
              <w:t>30</w:t>
            </w:r>
            <w:r>
              <w:rPr>
                <w:rFonts w:ascii="Times New Roman" w:hAnsi="Times New Roman" w:cs="宋体" w:hint="eastAsia"/>
              </w:rPr>
              <w:t>日</w:t>
            </w:r>
          </w:p>
        </w:tc>
        <w:tc>
          <w:tcPr>
            <w:tcW w:w="1178" w:type="dxa"/>
            <w:vAlign w:val="center"/>
          </w:tcPr>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2022</w:t>
            </w:r>
            <w:r>
              <w:rPr>
                <w:rFonts w:ascii="Times New Roman" w:hAnsi="Times New Roman" w:cs="宋体" w:hint="eastAsia"/>
              </w:rPr>
              <w:t>年</w:t>
            </w:r>
            <w:r>
              <w:rPr>
                <w:rFonts w:ascii="Times New Roman" w:hAnsi="Times New Roman" w:cs="宋体" w:hint="eastAsia"/>
              </w:rPr>
              <w:t>12</w:t>
            </w:r>
            <w:r>
              <w:rPr>
                <w:rFonts w:ascii="Times New Roman" w:hAnsi="Times New Roman" w:cs="宋体" w:hint="eastAsia"/>
              </w:rPr>
              <w:t>月</w:t>
            </w:r>
            <w:r>
              <w:rPr>
                <w:rFonts w:ascii="Times New Roman" w:hAnsi="Times New Roman" w:cs="宋体" w:hint="eastAsia"/>
              </w:rPr>
              <w:t>31</w:t>
            </w:r>
            <w:r>
              <w:rPr>
                <w:rFonts w:ascii="Times New Roman" w:hAnsi="Times New Roman" w:cs="宋体" w:hint="eastAsia"/>
              </w:rPr>
              <w:t>日</w:t>
            </w:r>
          </w:p>
        </w:tc>
        <w:tc>
          <w:tcPr>
            <w:tcW w:w="2072" w:type="dxa"/>
            <w:vAlign w:val="center"/>
          </w:tcPr>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本报告</w:t>
            </w:r>
            <w:proofErr w:type="gramStart"/>
            <w:r>
              <w:rPr>
                <w:rFonts w:ascii="Times New Roman" w:hAnsi="Times New Roman" w:cs="宋体" w:hint="eastAsia"/>
              </w:rPr>
              <w:t>期末较期初</w:t>
            </w:r>
            <w:proofErr w:type="gramEnd"/>
            <w:r>
              <w:rPr>
                <w:rFonts w:ascii="Times New Roman" w:hAnsi="Times New Roman" w:cs="宋体" w:hint="eastAsia"/>
              </w:rPr>
              <w:t>增减</w:t>
            </w:r>
          </w:p>
        </w:tc>
        <w:tc>
          <w:tcPr>
            <w:tcW w:w="1362" w:type="dxa"/>
            <w:vAlign w:val="center"/>
          </w:tcPr>
          <w:p w:rsidR="00AD5BB5" w:rsidRDefault="00F87FF6">
            <w:pPr>
              <w:kinsoku w:val="0"/>
              <w:overflowPunct w:val="0"/>
              <w:autoSpaceDE w:val="0"/>
              <w:autoSpaceDN w:val="0"/>
              <w:adjustRightInd w:val="0"/>
              <w:snapToGrid w:val="0"/>
              <w:jc w:val="center"/>
              <w:rPr>
                <w:rFonts w:ascii="Times New Roman" w:hAnsi="Times New Roman" w:cs="宋体"/>
              </w:rPr>
            </w:pPr>
            <w:r>
              <w:rPr>
                <w:rFonts w:ascii="Times New Roman" w:hAnsi="Times New Roman" w:cs="宋体" w:hint="eastAsia"/>
              </w:rPr>
              <w:t>2021</w:t>
            </w:r>
            <w:r>
              <w:rPr>
                <w:rFonts w:ascii="Times New Roman" w:hAnsi="Times New Roman" w:cs="宋体" w:hint="eastAsia"/>
              </w:rPr>
              <w:t>年</w:t>
            </w:r>
            <w:r>
              <w:rPr>
                <w:rFonts w:ascii="Times New Roman" w:hAnsi="Times New Roman" w:cs="宋体" w:hint="eastAsia"/>
              </w:rPr>
              <w:t>12</w:t>
            </w:r>
            <w:r>
              <w:rPr>
                <w:rFonts w:ascii="Times New Roman" w:hAnsi="Times New Roman" w:cs="宋体" w:hint="eastAsia"/>
              </w:rPr>
              <w:t>月</w:t>
            </w:r>
            <w:r>
              <w:rPr>
                <w:rFonts w:ascii="Times New Roman" w:hAnsi="Times New Roman" w:cs="宋体" w:hint="eastAsia"/>
              </w:rPr>
              <w:t>31</w:t>
            </w:r>
            <w:r>
              <w:rPr>
                <w:rFonts w:ascii="Times New Roman" w:hAnsi="Times New Roman" w:cs="宋体" w:hint="eastAsia"/>
              </w:rPr>
              <w:t>日</w:t>
            </w:r>
          </w:p>
        </w:tc>
      </w:tr>
      <w:tr w:rsidR="00AD5BB5">
        <w:trPr>
          <w:trHeight w:val="283"/>
        </w:trPr>
        <w:tc>
          <w:tcPr>
            <w:tcW w:w="2356" w:type="dxa"/>
            <w:vAlign w:val="center"/>
          </w:tcPr>
          <w:p w:rsidR="00AD5BB5" w:rsidRDefault="00F87FF6">
            <w:pPr>
              <w:rPr>
                <w:rFonts w:ascii="Times New Roman" w:hAnsi="Times New Roman" w:cs="宋体"/>
              </w:rPr>
            </w:pPr>
            <w:r>
              <w:rPr>
                <w:rFonts w:ascii="Times New Roman" w:hAnsi="Times New Roman" w:cs="宋体" w:hint="eastAsia"/>
              </w:rPr>
              <w:t>不良贷款率</w:t>
            </w:r>
          </w:p>
        </w:tc>
        <w:tc>
          <w:tcPr>
            <w:tcW w:w="1335" w:type="dxa"/>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0.80%</w:t>
            </w:r>
          </w:p>
        </w:tc>
        <w:tc>
          <w:tcPr>
            <w:tcW w:w="1178" w:type="dxa"/>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0.86%</w:t>
            </w:r>
          </w:p>
        </w:tc>
        <w:tc>
          <w:tcPr>
            <w:tcW w:w="2072" w:type="dxa"/>
            <w:vAlign w:val="center"/>
          </w:tcPr>
          <w:p w:rsidR="00AD5BB5" w:rsidRDefault="00F87FF6">
            <w:pPr>
              <w:widowControl/>
              <w:jc w:val="right"/>
              <w:textAlignment w:val="center"/>
              <w:rPr>
                <w:rFonts w:ascii="Times New Roman" w:hAnsi="Times New Roman" w:cs="宋体"/>
                <w:szCs w:val="21"/>
              </w:rPr>
            </w:pPr>
            <w:r>
              <w:rPr>
                <w:rFonts w:ascii="Times New Roman" w:hAnsi="Times New Roman" w:cs="宋体" w:hint="eastAsia"/>
                <w:kern w:val="0"/>
                <w:szCs w:val="21"/>
                <w:lang w:bidi="ar"/>
              </w:rPr>
              <w:t>下降</w:t>
            </w:r>
            <w:r>
              <w:rPr>
                <w:rFonts w:ascii="Times New Roman" w:hAnsi="Times New Roman" w:cs="宋体" w:hint="eastAsia"/>
                <w:kern w:val="0"/>
                <w:szCs w:val="21"/>
                <w:lang w:bidi="ar"/>
              </w:rPr>
              <w:t>0.06</w:t>
            </w:r>
            <w:r>
              <w:rPr>
                <w:rFonts w:ascii="Times New Roman" w:hAnsi="Times New Roman" w:cs="宋体" w:hint="eastAsia"/>
                <w:kern w:val="0"/>
                <w:szCs w:val="21"/>
                <w:lang w:bidi="ar"/>
              </w:rPr>
              <w:t>个百分点</w:t>
            </w:r>
          </w:p>
        </w:tc>
        <w:tc>
          <w:tcPr>
            <w:tcW w:w="1362" w:type="dxa"/>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0.91%</w:t>
            </w:r>
          </w:p>
        </w:tc>
      </w:tr>
      <w:tr w:rsidR="00AD5BB5">
        <w:trPr>
          <w:trHeight w:val="283"/>
        </w:trPr>
        <w:tc>
          <w:tcPr>
            <w:tcW w:w="2356" w:type="dxa"/>
            <w:vAlign w:val="center"/>
          </w:tcPr>
          <w:p w:rsidR="00AD5BB5" w:rsidRDefault="00F87FF6">
            <w:pPr>
              <w:rPr>
                <w:rFonts w:ascii="Times New Roman" w:hAnsi="Times New Roman" w:cs="宋体"/>
              </w:rPr>
            </w:pPr>
            <w:r>
              <w:rPr>
                <w:rFonts w:ascii="Times New Roman" w:hAnsi="Times New Roman" w:cs="宋体" w:hint="eastAsia"/>
              </w:rPr>
              <w:t>拨备覆盖率</w:t>
            </w:r>
          </w:p>
        </w:tc>
        <w:tc>
          <w:tcPr>
            <w:tcW w:w="1335" w:type="dxa"/>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394.86%</w:t>
            </w:r>
          </w:p>
        </w:tc>
        <w:tc>
          <w:tcPr>
            <w:tcW w:w="1178" w:type="dxa"/>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387.93%</w:t>
            </w:r>
          </w:p>
        </w:tc>
        <w:tc>
          <w:tcPr>
            <w:tcW w:w="2072" w:type="dxa"/>
            <w:vAlign w:val="center"/>
          </w:tcPr>
          <w:p w:rsidR="00AD5BB5" w:rsidRDefault="00F87FF6">
            <w:pPr>
              <w:widowControl/>
              <w:jc w:val="right"/>
              <w:textAlignment w:val="center"/>
              <w:rPr>
                <w:rFonts w:ascii="Times New Roman" w:hAnsi="Times New Roman" w:cs="宋体"/>
                <w:szCs w:val="21"/>
              </w:rPr>
            </w:pPr>
            <w:r>
              <w:rPr>
                <w:rFonts w:ascii="Times New Roman" w:hAnsi="Times New Roman" w:cs="宋体" w:hint="eastAsia"/>
                <w:kern w:val="0"/>
                <w:szCs w:val="21"/>
                <w:lang w:bidi="ar"/>
              </w:rPr>
              <w:t>上升</w:t>
            </w:r>
            <w:r>
              <w:rPr>
                <w:rFonts w:ascii="Times New Roman" w:hAnsi="Times New Roman" w:cs="宋体" w:hint="eastAsia"/>
                <w:kern w:val="0"/>
                <w:szCs w:val="21"/>
                <w:lang w:bidi="ar"/>
              </w:rPr>
              <w:t>6.93</w:t>
            </w:r>
            <w:r>
              <w:rPr>
                <w:rFonts w:ascii="Times New Roman" w:hAnsi="Times New Roman" w:cs="宋体" w:hint="eastAsia"/>
                <w:kern w:val="0"/>
                <w:szCs w:val="21"/>
                <w:lang w:bidi="ar"/>
              </w:rPr>
              <w:t>个百分点</w:t>
            </w:r>
          </w:p>
        </w:tc>
        <w:tc>
          <w:tcPr>
            <w:tcW w:w="1362" w:type="dxa"/>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370.64%</w:t>
            </w:r>
          </w:p>
        </w:tc>
      </w:tr>
      <w:tr w:rsidR="00AD5BB5">
        <w:trPr>
          <w:trHeight w:val="283"/>
        </w:trPr>
        <w:tc>
          <w:tcPr>
            <w:tcW w:w="2356" w:type="dxa"/>
            <w:vAlign w:val="center"/>
          </w:tcPr>
          <w:p w:rsidR="00AD5BB5" w:rsidRDefault="00F87FF6">
            <w:pPr>
              <w:rPr>
                <w:rFonts w:ascii="Times New Roman" w:hAnsi="Times New Roman" w:cs="宋体"/>
              </w:rPr>
            </w:pPr>
            <w:r>
              <w:rPr>
                <w:rFonts w:ascii="Times New Roman" w:hAnsi="Times New Roman" w:cs="宋体" w:hint="eastAsia"/>
              </w:rPr>
              <w:t>拨贷比</w:t>
            </w:r>
          </w:p>
        </w:tc>
        <w:tc>
          <w:tcPr>
            <w:tcW w:w="1335" w:type="dxa"/>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3.16%</w:t>
            </w:r>
          </w:p>
        </w:tc>
        <w:tc>
          <w:tcPr>
            <w:tcW w:w="1178" w:type="dxa"/>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3.34%</w:t>
            </w:r>
          </w:p>
        </w:tc>
        <w:tc>
          <w:tcPr>
            <w:tcW w:w="2072" w:type="dxa"/>
            <w:vAlign w:val="center"/>
          </w:tcPr>
          <w:p w:rsidR="00AD5BB5" w:rsidRDefault="00F87FF6">
            <w:pPr>
              <w:widowControl/>
              <w:jc w:val="right"/>
              <w:textAlignment w:val="center"/>
              <w:rPr>
                <w:rFonts w:ascii="Times New Roman" w:hAnsi="Times New Roman" w:cs="宋体"/>
                <w:szCs w:val="21"/>
              </w:rPr>
            </w:pPr>
            <w:r>
              <w:rPr>
                <w:rFonts w:ascii="Times New Roman" w:hAnsi="Times New Roman" w:cs="宋体" w:hint="eastAsia"/>
                <w:kern w:val="0"/>
                <w:szCs w:val="21"/>
                <w:lang w:bidi="ar"/>
              </w:rPr>
              <w:t>下降</w:t>
            </w:r>
            <w:r>
              <w:rPr>
                <w:rFonts w:ascii="Times New Roman" w:hAnsi="Times New Roman" w:cs="宋体" w:hint="eastAsia"/>
                <w:kern w:val="0"/>
                <w:szCs w:val="21"/>
                <w:lang w:bidi="ar"/>
              </w:rPr>
              <w:t>0.18</w:t>
            </w:r>
            <w:r>
              <w:rPr>
                <w:rFonts w:ascii="Times New Roman" w:hAnsi="Times New Roman" w:cs="宋体" w:hint="eastAsia"/>
                <w:kern w:val="0"/>
                <w:szCs w:val="21"/>
                <w:lang w:bidi="ar"/>
              </w:rPr>
              <w:t>个百分点</w:t>
            </w:r>
          </w:p>
        </w:tc>
        <w:tc>
          <w:tcPr>
            <w:tcW w:w="1362" w:type="dxa"/>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3.38%</w:t>
            </w:r>
          </w:p>
        </w:tc>
      </w:tr>
    </w:tbl>
    <w:p w:rsidR="00AD5BB5" w:rsidRDefault="00F87FF6">
      <w:pPr>
        <w:spacing w:line="360" w:lineRule="auto"/>
        <w:rPr>
          <w:rFonts w:ascii="Times New Roman" w:hAnsi="Times New Roman" w:cs="宋体"/>
          <w:sz w:val="18"/>
          <w:szCs w:val="16"/>
        </w:rPr>
      </w:pPr>
      <w:r>
        <w:rPr>
          <w:rFonts w:ascii="Times New Roman" w:hAnsi="Times New Roman" w:cs="宋体" w:hint="eastAsia"/>
          <w:sz w:val="18"/>
          <w:szCs w:val="16"/>
        </w:rPr>
        <w:t>注：</w:t>
      </w:r>
      <w:r>
        <w:rPr>
          <w:rFonts w:ascii="Times New Roman" w:hAnsi="Times New Roman" w:cs="宋体" w:hint="eastAsia"/>
          <w:sz w:val="18"/>
          <w:szCs w:val="16"/>
        </w:rPr>
        <w:t>1</w:t>
      </w:r>
      <w:r>
        <w:rPr>
          <w:rFonts w:ascii="Times New Roman" w:hAnsi="Times New Roman" w:cs="宋体" w:hint="eastAsia"/>
          <w:sz w:val="18"/>
          <w:szCs w:val="16"/>
        </w:rPr>
        <w:t>、每股收益、加权平均净资产收益率根据《公开发行证券的公司信息披露编报规则第</w:t>
      </w:r>
      <w:r>
        <w:rPr>
          <w:rFonts w:ascii="Times New Roman" w:hAnsi="Times New Roman" w:cs="宋体" w:hint="eastAsia"/>
          <w:sz w:val="18"/>
          <w:szCs w:val="16"/>
        </w:rPr>
        <w:t>9</w:t>
      </w:r>
      <w:r>
        <w:rPr>
          <w:rFonts w:ascii="Times New Roman" w:hAnsi="Times New Roman" w:cs="宋体" w:hint="eastAsia"/>
          <w:sz w:val="18"/>
          <w:szCs w:val="16"/>
        </w:rPr>
        <w:t>号——净资产收益率和每股收益的计算及披露》（证监会公告</w:t>
      </w:r>
      <w:r>
        <w:rPr>
          <w:rFonts w:ascii="Times New Roman" w:hAnsi="Times New Roman" w:cs="宋体" w:hint="eastAsia"/>
          <w:sz w:val="18"/>
          <w:szCs w:val="16"/>
        </w:rPr>
        <w:t>[2010]2</w:t>
      </w:r>
      <w:r>
        <w:rPr>
          <w:rFonts w:ascii="Times New Roman" w:hAnsi="Times New Roman" w:cs="宋体" w:hint="eastAsia"/>
          <w:sz w:val="18"/>
          <w:szCs w:val="16"/>
        </w:rPr>
        <w:t>号）规定计算。公司在计算加权平均净资产收益率时，“加权平均净资产”扣除了永续债。</w:t>
      </w:r>
    </w:p>
    <w:p w:rsidR="00AD5BB5" w:rsidRDefault="00F87FF6">
      <w:pPr>
        <w:spacing w:line="360" w:lineRule="auto"/>
        <w:ind w:firstLineChars="200" w:firstLine="360"/>
        <w:rPr>
          <w:rFonts w:ascii="Times New Roman" w:hAnsi="Times New Roman" w:cs="宋体"/>
          <w:sz w:val="18"/>
          <w:szCs w:val="16"/>
        </w:rPr>
      </w:pPr>
      <w:r>
        <w:rPr>
          <w:rFonts w:ascii="Times New Roman" w:hAnsi="Times New Roman" w:cs="宋体" w:hint="eastAsia"/>
          <w:sz w:val="18"/>
          <w:szCs w:val="16"/>
        </w:rPr>
        <w:t>2</w:t>
      </w:r>
      <w:r>
        <w:rPr>
          <w:rFonts w:ascii="Times New Roman" w:hAnsi="Times New Roman" w:cs="宋体" w:hint="eastAsia"/>
          <w:sz w:val="18"/>
          <w:szCs w:val="16"/>
        </w:rPr>
        <w:t>、资本充足率指标根据中国银保监会</w:t>
      </w:r>
      <w:r>
        <w:rPr>
          <w:rFonts w:ascii="Times New Roman" w:hAnsi="Times New Roman" w:cs="宋体" w:hint="eastAsia"/>
          <w:sz w:val="18"/>
          <w:szCs w:val="16"/>
        </w:rPr>
        <w:t>2012</w:t>
      </w:r>
      <w:r>
        <w:rPr>
          <w:rFonts w:ascii="Times New Roman" w:hAnsi="Times New Roman" w:cs="宋体" w:hint="eastAsia"/>
          <w:sz w:val="18"/>
          <w:szCs w:val="16"/>
        </w:rPr>
        <w:t>年发布的《商业银行资本管理办法（试行）》规定计算。</w:t>
      </w:r>
    </w:p>
    <w:p w:rsidR="00AD5BB5" w:rsidRDefault="00F87FF6">
      <w:pPr>
        <w:spacing w:line="360" w:lineRule="auto"/>
        <w:ind w:firstLineChars="200" w:firstLine="360"/>
        <w:rPr>
          <w:rFonts w:ascii="Times New Roman" w:hAnsi="Times New Roman" w:cs="宋体"/>
          <w:sz w:val="18"/>
          <w:szCs w:val="16"/>
        </w:rPr>
      </w:pPr>
      <w:r>
        <w:rPr>
          <w:rFonts w:ascii="Times New Roman" w:hAnsi="Times New Roman" w:cs="宋体" w:hint="eastAsia"/>
          <w:sz w:val="18"/>
          <w:szCs w:val="16"/>
        </w:rPr>
        <w:t>3</w:t>
      </w:r>
      <w:r>
        <w:rPr>
          <w:rFonts w:ascii="Times New Roman" w:hAnsi="Times New Roman" w:cs="宋体" w:hint="eastAsia"/>
          <w:sz w:val="18"/>
          <w:szCs w:val="16"/>
        </w:rPr>
        <w:t>、自</w:t>
      </w:r>
      <w:r>
        <w:rPr>
          <w:rFonts w:ascii="Times New Roman" w:hAnsi="Times New Roman" w:cs="宋体" w:hint="eastAsia"/>
          <w:sz w:val="18"/>
          <w:szCs w:val="16"/>
        </w:rPr>
        <w:t>2023</w:t>
      </w:r>
      <w:r>
        <w:rPr>
          <w:rFonts w:ascii="Times New Roman" w:hAnsi="Times New Roman" w:cs="宋体" w:hint="eastAsia"/>
          <w:sz w:val="18"/>
          <w:szCs w:val="16"/>
        </w:rPr>
        <w:t>年</w:t>
      </w:r>
      <w:r>
        <w:rPr>
          <w:rFonts w:ascii="Times New Roman" w:hAnsi="Times New Roman" w:cs="宋体" w:hint="eastAsia"/>
          <w:sz w:val="18"/>
          <w:szCs w:val="16"/>
        </w:rPr>
        <w:t>3</w:t>
      </w:r>
      <w:r>
        <w:rPr>
          <w:rFonts w:ascii="Times New Roman" w:hAnsi="Times New Roman" w:cs="宋体" w:hint="eastAsia"/>
          <w:sz w:val="18"/>
          <w:szCs w:val="16"/>
        </w:rPr>
        <w:t>月起，厦门银保监局将本公司的拨备覆盖率和拨贷比最低监管要求分别调整为</w:t>
      </w:r>
      <w:r>
        <w:rPr>
          <w:rFonts w:ascii="Times New Roman" w:hAnsi="Times New Roman" w:cs="宋体" w:hint="eastAsia"/>
          <w:sz w:val="18"/>
          <w:szCs w:val="16"/>
        </w:rPr>
        <w:t>120%</w:t>
      </w:r>
      <w:r>
        <w:rPr>
          <w:rFonts w:ascii="Times New Roman" w:hAnsi="Times New Roman" w:cs="宋体" w:hint="eastAsia"/>
          <w:sz w:val="18"/>
          <w:szCs w:val="16"/>
        </w:rPr>
        <w:t>和</w:t>
      </w:r>
      <w:r>
        <w:rPr>
          <w:rFonts w:ascii="Times New Roman" w:hAnsi="Times New Roman" w:cs="宋体" w:hint="eastAsia"/>
          <w:sz w:val="18"/>
          <w:szCs w:val="16"/>
        </w:rPr>
        <w:t>1.5%</w:t>
      </w:r>
      <w:r>
        <w:rPr>
          <w:rFonts w:ascii="Times New Roman" w:hAnsi="Times New Roman" w:cs="宋体" w:hint="eastAsia"/>
          <w:sz w:val="18"/>
          <w:szCs w:val="16"/>
        </w:rPr>
        <w:t>。</w:t>
      </w:r>
    </w:p>
    <w:p w:rsidR="00AD5BB5" w:rsidRDefault="00AD5BB5">
      <w:pPr>
        <w:ind w:firstLineChars="200" w:firstLine="360"/>
        <w:rPr>
          <w:rFonts w:ascii="Times New Roman" w:hAnsi="Times New Roman" w:cs="宋体"/>
          <w:sz w:val="18"/>
          <w:szCs w:val="16"/>
        </w:rPr>
      </w:pPr>
    </w:p>
    <w:p w:rsidR="00AD5BB5" w:rsidRDefault="00F87FF6">
      <w:pPr>
        <w:pStyle w:val="a0"/>
        <w:numPr>
          <w:ilvl w:val="0"/>
          <w:numId w:val="0"/>
        </w:numPr>
        <w:outlineLvl w:val="1"/>
        <w:rPr>
          <w:rFonts w:ascii="Times New Roman" w:hAnsi="Times New Roman"/>
        </w:rPr>
      </w:pPr>
      <w:bookmarkStart w:id="22" w:name="_Hlk24448876"/>
      <w:r>
        <w:rPr>
          <w:rFonts w:ascii="Times New Roman" w:hAnsi="Times New Roman" w:cs="Times New Roman"/>
        </w:rPr>
        <w:t>九、非经常性损益项目和金额</w:t>
      </w:r>
    </w:p>
    <w:p w:rsidR="00AD5BB5" w:rsidRDefault="00F87FF6">
      <w:pPr>
        <w:jc w:val="right"/>
        <w:rPr>
          <w:rFonts w:ascii="Times New Roman" w:hAnsi="Times New Roman" w:cs="Times New Roman"/>
        </w:rPr>
      </w:pPr>
      <w:r>
        <w:rPr>
          <w:rFonts w:ascii="Times New Roman" w:hAnsi="Times New Roman" w:cs="Times New Roman"/>
        </w:rPr>
        <w:t>单位：人民币千元</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4"/>
        <w:gridCol w:w="1798"/>
        <w:gridCol w:w="1798"/>
      </w:tblGrid>
      <w:tr w:rsidR="00AD5BB5">
        <w:tc>
          <w:tcPr>
            <w:tcW w:w="283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center"/>
              <w:rPr>
                <w:rFonts w:ascii="Times New Roman" w:hAnsi="Times New Roman" w:cs="宋体"/>
              </w:rPr>
            </w:pPr>
            <w:r>
              <w:rPr>
                <w:rFonts w:ascii="Times New Roman" w:hAnsi="Times New Roman" w:cs="宋体" w:hint="eastAsia"/>
              </w:rPr>
              <w:t>非经常性损益项目</w:t>
            </w:r>
          </w:p>
        </w:tc>
        <w:tc>
          <w:tcPr>
            <w:tcW w:w="108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center"/>
              <w:rPr>
                <w:rFonts w:ascii="Times New Roman" w:hAnsi="Times New Roman" w:cs="宋体"/>
              </w:rPr>
            </w:pPr>
            <w:r>
              <w:rPr>
                <w:rFonts w:ascii="Times New Roman" w:hAnsi="Times New Roman" w:cs="宋体" w:hint="eastAsia"/>
              </w:rPr>
              <w:t>2023</w:t>
            </w:r>
            <w:r>
              <w:rPr>
                <w:rFonts w:ascii="Times New Roman" w:hAnsi="Times New Roman" w:cs="宋体" w:hint="eastAsia"/>
              </w:rPr>
              <w:t>年</w:t>
            </w:r>
            <w:r>
              <w:rPr>
                <w:rFonts w:ascii="Times New Roman" w:hAnsi="Times New Roman" w:cs="宋体" w:hint="eastAsia"/>
              </w:rPr>
              <w:t>1-6</w:t>
            </w:r>
            <w:r>
              <w:rPr>
                <w:rFonts w:ascii="Times New Roman" w:hAnsi="Times New Roman" w:cs="宋体" w:hint="eastAsia"/>
              </w:rPr>
              <w:t>月</w:t>
            </w:r>
          </w:p>
        </w:tc>
        <w:tc>
          <w:tcPr>
            <w:tcW w:w="108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center"/>
              <w:rPr>
                <w:rFonts w:ascii="Times New Roman" w:hAnsi="Times New Roman" w:cs="宋体"/>
              </w:rPr>
            </w:pPr>
            <w:r>
              <w:rPr>
                <w:rFonts w:ascii="Times New Roman" w:hAnsi="Times New Roman" w:cs="宋体" w:hint="eastAsia"/>
              </w:rPr>
              <w:t>2022</w:t>
            </w:r>
            <w:r>
              <w:rPr>
                <w:rFonts w:ascii="Times New Roman" w:hAnsi="Times New Roman" w:cs="宋体" w:hint="eastAsia"/>
              </w:rPr>
              <w:t>年</w:t>
            </w:r>
            <w:r>
              <w:rPr>
                <w:rFonts w:ascii="Times New Roman" w:hAnsi="Times New Roman" w:cs="宋体" w:hint="eastAsia"/>
              </w:rPr>
              <w:t>1-6</w:t>
            </w:r>
            <w:r>
              <w:rPr>
                <w:rFonts w:ascii="Times New Roman" w:hAnsi="Times New Roman" w:cs="宋体" w:hint="eastAsia"/>
              </w:rPr>
              <w:t>月</w:t>
            </w:r>
          </w:p>
        </w:tc>
      </w:tr>
      <w:tr w:rsidR="00AD5BB5">
        <w:tc>
          <w:tcPr>
            <w:tcW w:w="283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left"/>
              <w:rPr>
                <w:rFonts w:ascii="Times New Roman" w:hAnsi="Times New Roman" w:cs="宋体"/>
              </w:rPr>
            </w:pPr>
            <w:r>
              <w:rPr>
                <w:rFonts w:ascii="Times New Roman" w:hAnsi="Times New Roman" w:cs="宋体" w:hint="eastAsia"/>
              </w:rPr>
              <w:t>非流动资产处置损益</w:t>
            </w:r>
          </w:p>
        </w:tc>
        <w:tc>
          <w:tcPr>
            <w:tcW w:w="1083"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8,831 </w:t>
            </w:r>
          </w:p>
        </w:tc>
        <w:tc>
          <w:tcPr>
            <w:tcW w:w="1083"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487 </w:t>
            </w:r>
          </w:p>
        </w:tc>
      </w:tr>
      <w:tr w:rsidR="00AD5BB5">
        <w:tc>
          <w:tcPr>
            <w:tcW w:w="283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left"/>
              <w:rPr>
                <w:rFonts w:ascii="Times New Roman" w:hAnsi="Times New Roman" w:cs="宋体"/>
              </w:rPr>
            </w:pPr>
            <w:r>
              <w:rPr>
                <w:rFonts w:ascii="Times New Roman" w:hAnsi="Times New Roman" w:cs="宋体" w:hint="eastAsia"/>
              </w:rPr>
              <w:t>政府补助收入</w:t>
            </w:r>
          </w:p>
        </w:tc>
        <w:tc>
          <w:tcPr>
            <w:tcW w:w="1083"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2,210 </w:t>
            </w:r>
          </w:p>
        </w:tc>
        <w:tc>
          <w:tcPr>
            <w:tcW w:w="1083"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3,600 </w:t>
            </w:r>
          </w:p>
        </w:tc>
      </w:tr>
      <w:tr w:rsidR="00AD5BB5">
        <w:tc>
          <w:tcPr>
            <w:tcW w:w="283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left"/>
              <w:rPr>
                <w:rFonts w:ascii="Times New Roman" w:hAnsi="Times New Roman" w:cs="宋体"/>
              </w:rPr>
            </w:pPr>
            <w:proofErr w:type="gramStart"/>
            <w:r>
              <w:rPr>
                <w:rFonts w:ascii="Times New Roman" w:hAnsi="Times New Roman" w:cs="宋体" w:hint="eastAsia"/>
              </w:rPr>
              <w:t>久悬未取款</w:t>
            </w:r>
            <w:proofErr w:type="gramEnd"/>
            <w:r>
              <w:rPr>
                <w:rFonts w:ascii="Times New Roman" w:hAnsi="Times New Roman" w:cs="宋体" w:hint="eastAsia"/>
              </w:rPr>
              <w:t>项收入</w:t>
            </w:r>
          </w:p>
        </w:tc>
        <w:tc>
          <w:tcPr>
            <w:tcW w:w="1083"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8 </w:t>
            </w:r>
          </w:p>
        </w:tc>
        <w:tc>
          <w:tcPr>
            <w:tcW w:w="1083"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50 </w:t>
            </w:r>
          </w:p>
        </w:tc>
      </w:tr>
      <w:tr w:rsidR="00AD5BB5">
        <w:tc>
          <w:tcPr>
            <w:tcW w:w="283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left"/>
              <w:rPr>
                <w:rFonts w:ascii="Times New Roman" w:hAnsi="Times New Roman" w:cs="宋体"/>
              </w:rPr>
            </w:pPr>
            <w:r>
              <w:rPr>
                <w:rFonts w:ascii="Times New Roman" w:hAnsi="Times New Roman" w:cs="宋体" w:hint="eastAsia"/>
              </w:rPr>
              <w:t>除上述各项之外的其他营业外收入和支出</w:t>
            </w:r>
          </w:p>
        </w:tc>
        <w:tc>
          <w:tcPr>
            <w:tcW w:w="1083"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-2,014 </w:t>
            </w:r>
          </w:p>
        </w:tc>
        <w:tc>
          <w:tcPr>
            <w:tcW w:w="1083"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-1,837 </w:t>
            </w:r>
          </w:p>
        </w:tc>
      </w:tr>
      <w:tr w:rsidR="00AD5BB5">
        <w:tc>
          <w:tcPr>
            <w:tcW w:w="283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left"/>
              <w:rPr>
                <w:rFonts w:ascii="Times New Roman" w:hAnsi="Times New Roman" w:cs="宋体"/>
              </w:rPr>
            </w:pPr>
            <w:r>
              <w:rPr>
                <w:rFonts w:ascii="Times New Roman" w:hAnsi="Times New Roman" w:cs="宋体" w:hint="eastAsia"/>
              </w:rPr>
              <w:t>少数股东权益影响额</w:t>
            </w:r>
          </w:p>
        </w:tc>
        <w:tc>
          <w:tcPr>
            <w:tcW w:w="1083"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-26 </w:t>
            </w:r>
          </w:p>
        </w:tc>
        <w:tc>
          <w:tcPr>
            <w:tcW w:w="1083"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-23 </w:t>
            </w:r>
          </w:p>
        </w:tc>
      </w:tr>
      <w:tr w:rsidR="00AD5BB5">
        <w:tc>
          <w:tcPr>
            <w:tcW w:w="283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left"/>
              <w:rPr>
                <w:rFonts w:ascii="Times New Roman" w:hAnsi="Times New Roman" w:cs="宋体"/>
              </w:rPr>
            </w:pPr>
            <w:r>
              <w:rPr>
                <w:rFonts w:ascii="Times New Roman" w:hAnsi="Times New Roman" w:cs="宋体" w:hint="eastAsia"/>
              </w:rPr>
              <w:t>所得税影响额</w:t>
            </w:r>
          </w:p>
        </w:tc>
        <w:tc>
          <w:tcPr>
            <w:tcW w:w="1083"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-2,792</w:t>
            </w:r>
          </w:p>
        </w:tc>
        <w:tc>
          <w:tcPr>
            <w:tcW w:w="1083"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-954 </w:t>
            </w:r>
          </w:p>
        </w:tc>
      </w:tr>
      <w:tr w:rsidR="00AD5BB5">
        <w:tc>
          <w:tcPr>
            <w:tcW w:w="283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left"/>
              <w:rPr>
                <w:rFonts w:ascii="Times New Roman" w:hAnsi="Times New Roman" w:cs="宋体"/>
              </w:rPr>
            </w:pPr>
            <w:r>
              <w:rPr>
                <w:rFonts w:ascii="Times New Roman" w:hAnsi="Times New Roman" w:cs="宋体" w:hint="eastAsia"/>
              </w:rPr>
              <w:t>合计</w:t>
            </w:r>
          </w:p>
        </w:tc>
        <w:tc>
          <w:tcPr>
            <w:tcW w:w="1083" w:type="pct"/>
            <w:tcBorders>
              <w:top w:val="single" w:sz="4" w:space="0" w:color="auto"/>
              <w:left w:val="single" w:sz="4" w:space="0" w:color="auto"/>
              <w:bottom w:val="single" w:sz="4" w:space="0" w:color="auto"/>
              <w:right w:val="single" w:sz="4" w:space="0" w:color="auto"/>
              <w:tl2br w:val="nil"/>
              <w:tr2bl w:val="nil"/>
            </w:tcBorders>
            <w:shd w:val="clear" w:color="auto" w:fill="auto"/>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6,218</w:t>
            </w:r>
          </w:p>
        </w:tc>
        <w:tc>
          <w:tcPr>
            <w:tcW w:w="1083"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1,323 </w:t>
            </w:r>
          </w:p>
        </w:tc>
      </w:tr>
    </w:tbl>
    <w:p w:rsidR="00AD5BB5" w:rsidRDefault="00AD5BB5">
      <w:pPr>
        <w:rPr>
          <w:rFonts w:ascii="Times New Roman" w:hAnsi="Times New Roman" w:cs="Times New Roman"/>
        </w:rPr>
      </w:pPr>
    </w:p>
    <w:bookmarkEnd w:id="22"/>
    <w:p w:rsidR="00AD5BB5" w:rsidRDefault="00F87FF6">
      <w:pPr>
        <w:pStyle w:val="2"/>
        <w:ind w:leftChars="-236" w:left="-496" w:firstLineChars="200" w:firstLine="422"/>
        <w:rPr>
          <w:rFonts w:ascii="Times New Roman" w:hAnsi="Times New Roman" w:cs="Times New Roman"/>
        </w:rPr>
      </w:pPr>
      <w:r>
        <w:rPr>
          <w:rFonts w:ascii="Times New Roman" w:hAnsi="Times New Roman" w:cs="Times New Roman" w:hint="eastAsia"/>
        </w:rPr>
        <w:t>十</w:t>
      </w:r>
      <w:r>
        <w:rPr>
          <w:rFonts w:ascii="Times New Roman" w:hAnsi="Times New Roman" w:cs="Times New Roman"/>
        </w:rPr>
        <w:t>、补充财务指标</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1957"/>
        <w:gridCol w:w="1984"/>
        <w:gridCol w:w="1984"/>
      </w:tblGrid>
      <w:tr w:rsidR="00AD5BB5">
        <w:trPr>
          <w:cantSplit/>
          <w:trHeight w:val="240"/>
        </w:trPr>
        <w:tc>
          <w:tcPr>
            <w:tcW w:w="143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项目（</w:t>
            </w:r>
            <w:r>
              <w:rPr>
                <w:rFonts w:ascii="Times New Roman" w:hAnsi="Times New Roman" w:cs="宋体" w:hint="eastAsia"/>
              </w:rPr>
              <w:t>%</w:t>
            </w:r>
            <w:r>
              <w:rPr>
                <w:rFonts w:ascii="Times New Roman" w:hAnsi="Times New Roman" w:cs="宋体" w:hint="eastAsia"/>
              </w:rPr>
              <w:t>）</w:t>
            </w:r>
          </w:p>
        </w:tc>
        <w:tc>
          <w:tcPr>
            <w:tcW w:w="1179"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2023</w:t>
            </w:r>
            <w:r>
              <w:rPr>
                <w:rFonts w:ascii="Times New Roman" w:hAnsi="Times New Roman" w:cs="宋体" w:hint="eastAsia"/>
              </w:rPr>
              <w:t>年</w:t>
            </w:r>
            <w:r>
              <w:rPr>
                <w:rFonts w:ascii="Times New Roman" w:hAnsi="Times New Roman" w:cs="宋体" w:hint="eastAsia"/>
              </w:rPr>
              <w:t>6</w:t>
            </w:r>
            <w:r>
              <w:rPr>
                <w:rFonts w:ascii="Times New Roman" w:hAnsi="Times New Roman" w:cs="宋体" w:hint="eastAsia"/>
              </w:rPr>
              <w:t>月</w:t>
            </w:r>
            <w:r>
              <w:rPr>
                <w:rFonts w:ascii="Times New Roman" w:hAnsi="Times New Roman" w:cs="宋体" w:hint="eastAsia"/>
              </w:rPr>
              <w:t>30</w:t>
            </w:r>
            <w:r>
              <w:rPr>
                <w:rFonts w:ascii="Times New Roman" w:hAnsi="Times New Roman" w:cs="宋体" w:hint="eastAsia"/>
              </w:rPr>
              <w:t>日</w:t>
            </w:r>
          </w:p>
        </w:tc>
        <w:tc>
          <w:tcPr>
            <w:tcW w:w="119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2022</w:t>
            </w:r>
            <w:r>
              <w:rPr>
                <w:rFonts w:ascii="Times New Roman" w:hAnsi="Times New Roman" w:cs="宋体" w:hint="eastAsia"/>
              </w:rPr>
              <w:t>年</w:t>
            </w:r>
            <w:r>
              <w:rPr>
                <w:rFonts w:ascii="Times New Roman" w:hAnsi="Times New Roman" w:cs="宋体" w:hint="eastAsia"/>
              </w:rPr>
              <w:t>12</w:t>
            </w:r>
            <w:r>
              <w:rPr>
                <w:rFonts w:ascii="Times New Roman" w:hAnsi="Times New Roman" w:cs="宋体" w:hint="eastAsia"/>
              </w:rPr>
              <w:t>月</w:t>
            </w:r>
            <w:r>
              <w:rPr>
                <w:rFonts w:ascii="Times New Roman" w:hAnsi="Times New Roman" w:cs="宋体" w:hint="eastAsia"/>
              </w:rPr>
              <w:t>31</w:t>
            </w:r>
            <w:r>
              <w:rPr>
                <w:rFonts w:ascii="Times New Roman" w:hAnsi="Times New Roman" w:cs="宋体" w:hint="eastAsia"/>
              </w:rPr>
              <w:t>日</w:t>
            </w:r>
          </w:p>
        </w:tc>
        <w:tc>
          <w:tcPr>
            <w:tcW w:w="119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2021</w:t>
            </w:r>
            <w:r>
              <w:rPr>
                <w:rFonts w:ascii="Times New Roman" w:hAnsi="Times New Roman" w:cs="宋体" w:hint="eastAsia"/>
              </w:rPr>
              <w:t>年</w:t>
            </w:r>
            <w:r>
              <w:rPr>
                <w:rFonts w:ascii="Times New Roman" w:hAnsi="Times New Roman" w:cs="宋体" w:hint="eastAsia"/>
              </w:rPr>
              <w:t>12</w:t>
            </w:r>
            <w:r>
              <w:rPr>
                <w:rFonts w:ascii="Times New Roman" w:hAnsi="Times New Roman" w:cs="宋体" w:hint="eastAsia"/>
              </w:rPr>
              <w:t>月</w:t>
            </w:r>
            <w:r>
              <w:rPr>
                <w:rFonts w:ascii="Times New Roman" w:hAnsi="Times New Roman" w:cs="宋体" w:hint="eastAsia"/>
              </w:rPr>
              <w:t>31</w:t>
            </w:r>
            <w:r>
              <w:rPr>
                <w:rFonts w:ascii="Times New Roman" w:hAnsi="Times New Roman" w:cs="宋体" w:hint="eastAsia"/>
              </w:rPr>
              <w:t>日</w:t>
            </w:r>
          </w:p>
        </w:tc>
      </w:tr>
      <w:tr w:rsidR="00AD5BB5">
        <w:trPr>
          <w:cantSplit/>
          <w:trHeight w:val="240"/>
        </w:trPr>
        <w:tc>
          <w:tcPr>
            <w:tcW w:w="143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流动性比例</w:t>
            </w:r>
          </w:p>
        </w:tc>
        <w:tc>
          <w:tcPr>
            <w:tcW w:w="1179"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center"/>
              <w:textAlignment w:val="center"/>
              <w:rPr>
                <w:rFonts w:ascii="Times New Roman" w:hAnsi="Times New Roman" w:cs="Times New Roman"/>
                <w:szCs w:val="21"/>
              </w:rPr>
            </w:pPr>
            <w:r>
              <w:rPr>
                <w:rFonts w:ascii="Times New Roman" w:hAnsi="Times New Roman" w:cs="Times New Roman"/>
                <w:kern w:val="0"/>
                <w:szCs w:val="21"/>
                <w:lang w:bidi="ar"/>
              </w:rPr>
              <w:t>78.70</w:t>
            </w:r>
          </w:p>
        </w:tc>
        <w:tc>
          <w:tcPr>
            <w:tcW w:w="119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center"/>
              <w:textAlignment w:val="center"/>
              <w:rPr>
                <w:rFonts w:ascii="Times New Roman" w:hAnsi="Times New Roman" w:cs="Times New Roman"/>
                <w:szCs w:val="21"/>
              </w:rPr>
            </w:pPr>
            <w:r>
              <w:rPr>
                <w:rFonts w:ascii="Times New Roman" w:hAnsi="Times New Roman" w:cs="Times New Roman"/>
                <w:kern w:val="0"/>
                <w:szCs w:val="21"/>
                <w:lang w:bidi="ar"/>
              </w:rPr>
              <w:t>75.22</w:t>
            </w:r>
          </w:p>
        </w:tc>
        <w:tc>
          <w:tcPr>
            <w:tcW w:w="119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center"/>
              <w:textAlignment w:val="center"/>
              <w:rPr>
                <w:rFonts w:ascii="Times New Roman" w:hAnsi="Times New Roman" w:cs="Times New Roman"/>
                <w:szCs w:val="21"/>
              </w:rPr>
            </w:pPr>
            <w:r>
              <w:rPr>
                <w:rFonts w:ascii="Times New Roman" w:hAnsi="Times New Roman" w:cs="Times New Roman"/>
                <w:kern w:val="0"/>
                <w:szCs w:val="21"/>
                <w:lang w:bidi="ar"/>
              </w:rPr>
              <w:t>70.43</w:t>
            </w:r>
          </w:p>
        </w:tc>
      </w:tr>
      <w:tr w:rsidR="00AD5BB5">
        <w:trPr>
          <w:cantSplit/>
          <w:trHeight w:val="240"/>
        </w:trPr>
        <w:tc>
          <w:tcPr>
            <w:tcW w:w="143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单一最大客户贷款比率</w:t>
            </w:r>
          </w:p>
        </w:tc>
        <w:tc>
          <w:tcPr>
            <w:tcW w:w="1179"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szCs w:val="21"/>
              </w:rPr>
            </w:pPr>
            <w:r>
              <w:rPr>
                <w:rFonts w:ascii="Times New Roman" w:hAnsi="Times New Roman" w:cs="Times New Roman"/>
                <w:szCs w:val="21"/>
              </w:rPr>
              <w:t>3.73</w:t>
            </w:r>
          </w:p>
        </w:tc>
        <w:tc>
          <w:tcPr>
            <w:tcW w:w="119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szCs w:val="21"/>
                <w:lang w:bidi="ar"/>
              </w:rPr>
            </w:pPr>
            <w:r>
              <w:rPr>
                <w:rFonts w:ascii="Times New Roman" w:hAnsi="Times New Roman" w:cs="Times New Roman"/>
                <w:szCs w:val="21"/>
              </w:rPr>
              <w:t>4.62</w:t>
            </w:r>
          </w:p>
        </w:tc>
        <w:tc>
          <w:tcPr>
            <w:tcW w:w="119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textAlignment w:val="center"/>
              <w:rPr>
                <w:rFonts w:ascii="Times New Roman" w:hAnsi="Times New Roman" w:cs="Times New Roman"/>
                <w:szCs w:val="21"/>
                <w:lang w:bidi="ar"/>
              </w:rPr>
            </w:pPr>
            <w:r>
              <w:rPr>
                <w:rFonts w:ascii="Times New Roman" w:hAnsi="Times New Roman" w:cs="Times New Roman"/>
                <w:szCs w:val="21"/>
              </w:rPr>
              <w:t>2.87</w:t>
            </w:r>
          </w:p>
        </w:tc>
      </w:tr>
      <w:tr w:rsidR="00AD5BB5">
        <w:trPr>
          <w:cantSplit/>
          <w:trHeight w:val="288"/>
        </w:trPr>
        <w:tc>
          <w:tcPr>
            <w:tcW w:w="1430" w:type="pct"/>
            <w:vAlign w:val="center"/>
          </w:tcPr>
          <w:p w:rsidR="00AD5BB5" w:rsidRDefault="00F87FF6">
            <w:pPr>
              <w:rPr>
                <w:rFonts w:ascii="Times New Roman" w:hAnsi="Times New Roman" w:cs="宋体"/>
              </w:rPr>
            </w:pPr>
            <w:r>
              <w:rPr>
                <w:rFonts w:ascii="Times New Roman" w:hAnsi="Times New Roman" w:cs="宋体" w:hint="eastAsia"/>
              </w:rPr>
              <w:t>最大十家客户贷款比率</w:t>
            </w:r>
          </w:p>
        </w:tc>
        <w:tc>
          <w:tcPr>
            <w:tcW w:w="1179" w:type="pct"/>
            <w:vAlign w:val="center"/>
          </w:tcPr>
          <w:p w:rsidR="00AD5BB5" w:rsidRDefault="00F87FF6">
            <w:pPr>
              <w:jc w:val="center"/>
              <w:rPr>
                <w:rFonts w:ascii="Times New Roman" w:hAnsi="Times New Roman" w:cs="Times New Roman"/>
                <w:szCs w:val="21"/>
              </w:rPr>
            </w:pPr>
            <w:r>
              <w:rPr>
                <w:rFonts w:ascii="Times New Roman" w:hAnsi="Times New Roman" w:cs="Times New Roman"/>
                <w:szCs w:val="21"/>
              </w:rPr>
              <w:t>23.50</w:t>
            </w:r>
          </w:p>
        </w:tc>
        <w:tc>
          <w:tcPr>
            <w:tcW w:w="1195" w:type="pct"/>
            <w:vAlign w:val="center"/>
          </w:tcPr>
          <w:p w:rsidR="00AD5BB5" w:rsidRDefault="00F87FF6">
            <w:pPr>
              <w:jc w:val="center"/>
              <w:rPr>
                <w:rFonts w:ascii="Times New Roman" w:hAnsi="Times New Roman" w:cs="Times New Roman"/>
                <w:szCs w:val="21"/>
                <w:lang w:bidi="ar"/>
              </w:rPr>
            </w:pPr>
            <w:r>
              <w:rPr>
                <w:rFonts w:ascii="Times New Roman" w:hAnsi="Times New Roman" w:cs="Times New Roman"/>
                <w:szCs w:val="21"/>
              </w:rPr>
              <w:t>24.88</w:t>
            </w:r>
          </w:p>
        </w:tc>
        <w:tc>
          <w:tcPr>
            <w:tcW w:w="1195" w:type="pct"/>
            <w:vAlign w:val="center"/>
          </w:tcPr>
          <w:p w:rsidR="00AD5BB5" w:rsidRDefault="00F87FF6">
            <w:pPr>
              <w:jc w:val="center"/>
              <w:textAlignment w:val="center"/>
              <w:rPr>
                <w:rFonts w:ascii="Times New Roman" w:hAnsi="Times New Roman" w:cs="Times New Roman"/>
                <w:szCs w:val="21"/>
                <w:lang w:bidi="ar"/>
              </w:rPr>
            </w:pPr>
            <w:r>
              <w:rPr>
                <w:rFonts w:ascii="Times New Roman" w:hAnsi="Times New Roman" w:cs="Times New Roman"/>
                <w:szCs w:val="21"/>
              </w:rPr>
              <w:t>21.44</w:t>
            </w:r>
          </w:p>
        </w:tc>
      </w:tr>
      <w:tr w:rsidR="00AD5BB5">
        <w:trPr>
          <w:cantSplit/>
          <w:trHeight w:val="240"/>
        </w:trPr>
        <w:tc>
          <w:tcPr>
            <w:tcW w:w="1430" w:type="pct"/>
            <w:vAlign w:val="center"/>
          </w:tcPr>
          <w:p w:rsidR="00AD5BB5" w:rsidRDefault="00F87FF6">
            <w:pPr>
              <w:rPr>
                <w:rFonts w:ascii="Times New Roman" w:hAnsi="Times New Roman" w:cs="宋体"/>
              </w:rPr>
            </w:pPr>
            <w:r>
              <w:rPr>
                <w:rFonts w:ascii="Times New Roman" w:hAnsi="Times New Roman" w:cs="宋体" w:hint="eastAsia"/>
              </w:rPr>
              <w:t>成本收入比</w:t>
            </w:r>
          </w:p>
        </w:tc>
        <w:tc>
          <w:tcPr>
            <w:tcW w:w="1179" w:type="pct"/>
            <w:vAlign w:val="center"/>
          </w:tcPr>
          <w:p w:rsidR="00AD5BB5" w:rsidRDefault="00F87FF6">
            <w:pPr>
              <w:jc w:val="center"/>
              <w:rPr>
                <w:rFonts w:ascii="Times New Roman" w:hAnsi="Times New Roman" w:cs="Times New Roman"/>
                <w:szCs w:val="21"/>
              </w:rPr>
            </w:pPr>
            <w:r>
              <w:rPr>
                <w:rFonts w:ascii="Times New Roman" w:hAnsi="Times New Roman" w:cs="Times New Roman"/>
                <w:kern w:val="0"/>
                <w:szCs w:val="21"/>
                <w:lang w:bidi="ar"/>
              </w:rPr>
              <w:t>36.59</w:t>
            </w:r>
          </w:p>
        </w:tc>
        <w:tc>
          <w:tcPr>
            <w:tcW w:w="1195" w:type="pct"/>
            <w:vAlign w:val="center"/>
          </w:tcPr>
          <w:p w:rsidR="00AD5BB5" w:rsidRDefault="00F87FF6">
            <w:pPr>
              <w:pStyle w:val="Default"/>
              <w:jc w:val="center"/>
              <w:rPr>
                <w:rFonts w:ascii="Times New Roman" w:eastAsia="宋体" w:cs="Times New Roman"/>
                <w:color w:val="auto"/>
                <w:sz w:val="21"/>
                <w:szCs w:val="21"/>
              </w:rPr>
            </w:pPr>
            <w:r>
              <w:rPr>
                <w:rFonts w:ascii="Times New Roman" w:eastAsia="宋体" w:cs="Times New Roman"/>
                <w:color w:val="auto"/>
                <w:sz w:val="21"/>
                <w:szCs w:val="21"/>
              </w:rPr>
              <w:t>34.30</w:t>
            </w:r>
          </w:p>
        </w:tc>
        <w:tc>
          <w:tcPr>
            <w:tcW w:w="1195" w:type="pct"/>
            <w:vAlign w:val="center"/>
          </w:tcPr>
          <w:p w:rsidR="00AD5BB5" w:rsidRDefault="00F87FF6">
            <w:pPr>
              <w:pStyle w:val="Default"/>
              <w:jc w:val="center"/>
              <w:rPr>
                <w:rFonts w:ascii="Times New Roman" w:eastAsia="宋体" w:cs="Times New Roman"/>
                <w:color w:val="auto"/>
                <w:sz w:val="21"/>
                <w:szCs w:val="21"/>
              </w:rPr>
            </w:pPr>
            <w:r>
              <w:rPr>
                <w:rFonts w:ascii="Times New Roman" w:eastAsia="宋体" w:cs="Times New Roman"/>
                <w:color w:val="auto"/>
                <w:sz w:val="21"/>
                <w:szCs w:val="21"/>
              </w:rPr>
              <w:t>34.56</w:t>
            </w:r>
          </w:p>
        </w:tc>
      </w:tr>
    </w:tbl>
    <w:p w:rsidR="00AD5BB5" w:rsidRDefault="00AD5BB5">
      <w:pPr>
        <w:pStyle w:val="Default"/>
        <w:rPr>
          <w:rFonts w:ascii="Times New Roman" w:eastAsia="宋体"/>
          <w:color w:val="auto"/>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2004"/>
        <w:gridCol w:w="2118"/>
        <w:gridCol w:w="2118"/>
      </w:tblGrid>
      <w:tr w:rsidR="00AD5BB5">
        <w:trPr>
          <w:cantSplit/>
          <w:trHeight w:val="240"/>
        </w:trPr>
        <w:tc>
          <w:tcPr>
            <w:tcW w:w="124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项目（</w:t>
            </w:r>
            <w:r>
              <w:rPr>
                <w:rFonts w:ascii="Times New Roman" w:hAnsi="Times New Roman" w:cs="宋体" w:hint="eastAsia"/>
              </w:rPr>
              <w:t>%</w:t>
            </w:r>
            <w:r>
              <w:rPr>
                <w:rFonts w:ascii="Times New Roman" w:hAnsi="Times New Roman" w:cs="宋体" w:hint="eastAsia"/>
              </w:rPr>
              <w:t>）</w:t>
            </w:r>
          </w:p>
        </w:tc>
        <w:tc>
          <w:tcPr>
            <w:tcW w:w="120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2023</w:t>
            </w:r>
            <w:r>
              <w:rPr>
                <w:rFonts w:ascii="Times New Roman" w:hAnsi="Times New Roman" w:cs="宋体" w:hint="eastAsia"/>
              </w:rPr>
              <w:t>年</w:t>
            </w:r>
            <w:r>
              <w:rPr>
                <w:rFonts w:ascii="Times New Roman" w:hAnsi="Times New Roman" w:cs="宋体" w:hint="eastAsia"/>
              </w:rPr>
              <w:t>6</w:t>
            </w:r>
            <w:r>
              <w:rPr>
                <w:rFonts w:ascii="Times New Roman" w:hAnsi="Times New Roman" w:cs="宋体" w:hint="eastAsia"/>
              </w:rPr>
              <w:t>月</w:t>
            </w:r>
            <w:r>
              <w:rPr>
                <w:rFonts w:ascii="Times New Roman" w:hAnsi="Times New Roman" w:cs="宋体" w:hint="eastAsia"/>
              </w:rPr>
              <w:t>30</w:t>
            </w:r>
            <w:r>
              <w:rPr>
                <w:rFonts w:ascii="Times New Roman" w:hAnsi="Times New Roman" w:cs="宋体" w:hint="eastAsia"/>
              </w:rPr>
              <w:t>日</w:t>
            </w:r>
          </w:p>
        </w:tc>
        <w:tc>
          <w:tcPr>
            <w:tcW w:w="127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2022</w:t>
            </w:r>
            <w:r>
              <w:rPr>
                <w:rFonts w:ascii="Times New Roman" w:hAnsi="Times New Roman" w:cs="宋体" w:hint="eastAsia"/>
              </w:rPr>
              <w:t>年</w:t>
            </w:r>
            <w:r>
              <w:rPr>
                <w:rFonts w:ascii="Times New Roman" w:hAnsi="Times New Roman" w:cs="宋体" w:hint="eastAsia"/>
              </w:rPr>
              <w:t>12</w:t>
            </w:r>
            <w:r>
              <w:rPr>
                <w:rFonts w:ascii="Times New Roman" w:hAnsi="Times New Roman" w:cs="宋体" w:hint="eastAsia"/>
              </w:rPr>
              <w:t>月</w:t>
            </w:r>
            <w:r>
              <w:rPr>
                <w:rFonts w:ascii="Times New Roman" w:hAnsi="Times New Roman" w:cs="宋体" w:hint="eastAsia"/>
              </w:rPr>
              <w:t>31</w:t>
            </w:r>
            <w:r>
              <w:rPr>
                <w:rFonts w:ascii="Times New Roman" w:hAnsi="Times New Roman" w:cs="宋体" w:hint="eastAsia"/>
              </w:rPr>
              <w:t>日</w:t>
            </w:r>
          </w:p>
        </w:tc>
        <w:tc>
          <w:tcPr>
            <w:tcW w:w="127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2021</w:t>
            </w:r>
            <w:r>
              <w:rPr>
                <w:rFonts w:ascii="Times New Roman" w:hAnsi="Times New Roman" w:cs="宋体" w:hint="eastAsia"/>
              </w:rPr>
              <w:t>年</w:t>
            </w:r>
            <w:r>
              <w:rPr>
                <w:rFonts w:ascii="Times New Roman" w:hAnsi="Times New Roman" w:cs="宋体" w:hint="eastAsia"/>
              </w:rPr>
              <w:t>12</w:t>
            </w:r>
            <w:r>
              <w:rPr>
                <w:rFonts w:ascii="Times New Roman" w:hAnsi="Times New Roman" w:cs="宋体" w:hint="eastAsia"/>
              </w:rPr>
              <w:t>月</w:t>
            </w:r>
            <w:r>
              <w:rPr>
                <w:rFonts w:ascii="Times New Roman" w:hAnsi="Times New Roman" w:cs="宋体" w:hint="eastAsia"/>
              </w:rPr>
              <w:t>31</w:t>
            </w:r>
            <w:r>
              <w:rPr>
                <w:rFonts w:ascii="Times New Roman" w:hAnsi="Times New Roman" w:cs="宋体" w:hint="eastAsia"/>
              </w:rPr>
              <w:t>日</w:t>
            </w:r>
          </w:p>
        </w:tc>
      </w:tr>
      <w:tr w:rsidR="00AD5BB5">
        <w:trPr>
          <w:cantSplit/>
          <w:trHeight w:val="244"/>
        </w:trPr>
        <w:tc>
          <w:tcPr>
            <w:tcW w:w="124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b/>
              </w:rPr>
            </w:pPr>
            <w:r>
              <w:rPr>
                <w:rFonts w:ascii="Times New Roman" w:hAnsi="Times New Roman" w:cs="宋体" w:hint="eastAsia"/>
              </w:rPr>
              <w:t>正常类贷款迁徙率</w:t>
            </w:r>
          </w:p>
        </w:tc>
        <w:tc>
          <w:tcPr>
            <w:tcW w:w="120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textAlignment w:val="center"/>
              <w:rPr>
                <w:rFonts w:ascii="Times New Roman" w:hAnsi="Times New Roman" w:cs="Times New Roman"/>
                <w:szCs w:val="21"/>
                <w:lang w:bidi="ar"/>
              </w:rPr>
            </w:pPr>
            <w:r>
              <w:rPr>
                <w:rFonts w:ascii="Times New Roman" w:hAnsi="Times New Roman" w:cs="Times New Roman"/>
              </w:rPr>
              <w:t xml:space="preserve">0.70 </w:t>
            </w:r>
          </w:p>
        </w:tc>
        <w:tc>
          <w:tcPr>
            <w:tcW w:w="127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textAlignment w:val="center"/>
              <w:rPr>
                <w:rFonts w:ascii="Times New Roman" w:hAnsi="Times New Roman" w:cs="Times New Roman"/>
                <w:szCs w:val="21"/>
                <w:lang w:bidi="ar"/>
              </w:rPr>
            </w:pPr>
            <w:r>
              <w:rPr>
                <w:rFonts w:ascii="Times New Roman" w:hAnsi="Times New Roman" w:cs="Times New Roman"/>
              </w:rPr>
              <w:t>1.61</w:t>
            </w:r>
          </w:p>
        </w:tc>
        <w:tc>
          <w:tcPr>
            <w:tcW w:w="127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textAlignment w:val="center"/>
              <w:rPr>
                <w:rFonts w:ascii="Times New Roman" w:hAnsi="Times New Roman" w:cs="Times New Roman"/>
                <w:szCs w:val="21"/>
                <w:lang w:bidi="ar"/>
              </w:rPr>
            </w:pPr>
            <w:r>
              <w:rPr>
                <w:rFonts w:ascii="Times New Roman" w:hAnsi="Times New Roman" w:cs="Times New Roman"/>
              </w:rPr>
              <w:t>1.14</w:t>
            </w:r>
          </w:p>
        </w:tc>
      </w:tr>
      <w:tr w:rsidR="00AD5BB5">
        <w:trPr>
          <w:cantSplit/>
          <w:trHeight w:val="234"/>
        </w:trPr>
        <w:tc>
          <w:tcPr>
            <w:tcW w:w="124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b/>
              </w:rPr>
            </w:pPr>
            <w:r>
              <w:rPr>
                <w:rFonts w:ascii="Times New Roman" w:hAnsi="Times New Roman" w:cs="宋体" w:hint="eastAsia"/>
              </w:rPr>
              <w:t>关注类贷款迁徙率</w:t>
            </w:r>
          </w:p>
        </w:tc>
        <w:tc>
          <w:tcPr>
            <w:tcW w:w="120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textAlignment w:val="center"/>
              <w:rPr>
                <w:rFonts w:ascii="Times New Roman" w:hAnsi="Times New Roman" w:cs="Times New Roman"/>
                <w:szCs w:val="21"/>
                <w:lang w:bidi="ar"/>
              </w:rPr>
            </w:pPr>
            <w:r>
              <w:rPr>
                <w:rFonts w:ascii="Times New Roman" w:hAnsi="Times New Roman" w:cs="Times New Roman"/>
              </w:rPr>
              <w:t xml:space="preserve">23.88 </w:t>
            </w:r>
          </w:p>
        </w:tc>
        <w:tc>
          <w:tcPr>
            <w:tcW w:w="127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textAlignment w:val="center"/>
              <w:rPr>
                <w:rFonts w:ascii="Times New Roman" w:hAnsi="Times New Roman" w:cs="Times New Roman"/>
                <w:szCs w:val="21"/>
                <w:lang w:bidi="ar"/>
              </w:rPr>
            </w:pPr>
            <w:r>
              <w:rPr>
                <w:rFonts w:ascii="Times New Roman" w:hAnsi="Times New Roman" w:cs="Times New Roman"/>
              </w:rPr>
              <w:t>35.56</w:t>
            </w:r>
          </w:p>
        </w:tc>
        <w:tc>
          <w:tcPr>
            <w:tcW w:w="127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textAlignment w:val="center"/>
              <w:rPr>
                <w:rFonts w:ascii="Times New Roman" w:hAnsi="Times New Roman" w:cs="Times New Roman"/>
                <w:szCs w:val="21"/>
                <w:lang w:bidi="ar"/>
              </w:rPr>
            </w:pPr>
            <w:r>
              <w:rPr>
                <w:rFonts w:ascii="Times New Roman" w:hAnsi="Times New Roman" w:cs="Times New Roman"/>
              </w:rPr>
              <w:t>25.43</w:t>
            </w:r>
          </w:p>
        </w:tc>
      </w:tr>
      <w:tr w:rsidR="00AD5BB5">
        <w:trPr>
          <w:cantSplit/>
          <w:trHeight w:val="273"/>
        </w:trPr>
        <w:tc>
          <w:tcPr>
            <w:tcW w:w="124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b/>
              </w:rPr>
            </w:pPr>
            <w:r>
              <w:rPr>
                <w:rFonts w:ascii="Times New Roman" w:hAnsi="Times New Roman" w:cs="宋体" w:hint="eastAsia"/>
              </w:rPr>
              <w:t>次级类贷款迁徙率</w:t>
            </w:r>
          </w:p>
        </w:tc>
        <w:tc>
          <w:tcPr>
            <w:tcW w:w="120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textAlignment w:val="center"/>
              <w:rPr>
                <w:rFonts w:ascii="Times New Roman" w:hAnsi="Times New Roman" w:cs="Times New Roman"/>
                <w:szCs w:val="21"/>
                <w:lang w:bidi="ar"/>
              </w:rPr>
            </w:pPr>
            <w:r>
              <w:rPr>
                <w:rFonts w:ascii="Times New Roman" w:hAnsi="Times New Roman" w:cs="Times New Roman"/>
              </w:rPr>
              <w:t xml:space="preserve">39.50 </w:t>
            </w:r>
          </w:p>
        </w:tc>
        <w:tc>
          <w:tcPr>
            <w:tcW w:w="127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textAlignment w:val="center"/>
              <w:rPr>
                <w:rFonts w:ascii="Times New Roman" w:hAnsi="Times New Roman" w:cs="Times New Roman"/>
                <w:szCs w:val="21"/>
                <w:lang w:bidi="ar"/>
              </w:rPr>
            </w:pPr>
            <w:r>
              <w:rPr>
                <w:rFonts w:ascii="Times New Roman" w:hAnsi="Times New Roman" w:cs="Times New Roman"/>
              </w:rPr>
              <w:t>44.30</w:t>
            </w:r>
          </w:p>
        </w:tc>
        <w:tc>
          <w:tcPr>
            <w:tcW w:w="127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textAlignment w:val="center"/>
              <w:rPr>
                <w:rFonts w:ascii="Times New Roman" w:hAnsi="Times New Roman" w:cs="Times New Roman"/>
                <w:szCs w:val="21"/>
                <w:lang w:bidi="ar"/>
              </w:rPr>
            </w:pPr>
            <w:r>
              <w:rPr>
                <w:rFonts w:ascii="Times New Roman" w:hAnsi="Times New Roman" w:cs="Times New Roman"/>
              </w:rPr>
              <w:t>5.87</w:t>
            </w:r>
          </w:p>
        </w:tc>
      </w:tr>
      <w:tr w:rsidR="00AD5BB5">
        <w:trPr>
          <w:cantSplit/>
          <w:trHeight w:val="273"/>
        </w:trPr>
        <w:tc>
          <w:tcPr>
            <w:tcW w:w="124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b/>
              </w:rPr>
            </w:pPr>
            <w:r>
              <w:rPr>
                <w:rFonts w:ascii="Times New Roman" w:hAnsi="Times New Roman" w:cs="宋体" w:hint="eastAsia"/>
              </w:rPr>
              <w:t>可疑类贷款迁徙率</w:t>
            </w:r>
          </w:p>
        </w:tc>
        <w:tc>
          <w:tcPr>
            <w:tcW w:w="120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textAlignment w:val="center"/>
              <w:rPr>
                <w:rFonts w:ascii="Times New Roman" w:hAnsi="Times New Roman" w:cs="Times New Roman"/>
                <w:szCs w:val="21"/>
                <w:lang w:bidi="ar"/>
              </w:rPr>
            </w:pPr>
            <w:r>
              <w:rPr>
                <w:rFonts w:ascii="Times New Roman" w:hAnsi="Times New Roman" w:cs="Times New Roman"/>
              </w:rPr>
              <w:t xml:space="preserve">80.26 </w:t>
            </w:r>
          </w:p>
        </w:tc>
        <w:tc>
          <w:tcPr>
            <w:tcW w:w="127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textAlignment w:val="center"/>
              <w:rPr>
                <w:rFonts w:ascii="Times New Roman" w:hAnsi="Times New Roman" w:cs="Times New Roman"/>
                <w:szCs w:val="21"/>
                <w:lang w:bidi="ar"/>
              </w:rPr>
            </w:pPr>
            <w:r>
              <w:rPr>
                <w:rFonts w:ascii="Times New Roman" w:hAnsi="Times New Roman" w:cs="Times New Roman"/>
              </w:rPr>
              <w:t>16.58</w:t>
            </w:r>
          </w:p>
        </w:tc>
        <w:tc>
          <w:tcPr>
            <w:tcW w:w="127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textAlignment w:val="center"/>
              <w:rPr>
                <w:rFonts w:ascii="Times New Roman" w:hAnsi="Times New Roman" w:cs="Times New Roman"/>
                <w:szCs w:val="21"/>
                <w:lang w:bidi="ar"/>
              </w:rPr>
            </w:pPr>
            <w:r>
              <w:rPr>
                <w:rFonts w:ascii="Times New Roman" w:hAnsi="Times New Roman" w:cs="Times New Roman"/>
              </w:rPr>
              <w:t>0.04</w:t>
            </w:r>
          </w:p>
        </w:tc>
      </w:tr>
    </w:tbl>
    <w:p w:rsidR="00AD5BB5" w:rsidRDefault="00F87FF6">
      <w:pPr>
        <w:rPr>
          <w:rFonts w:ascii="Times New Roman" w:hAnsi="Times New Roman" w:cs="宋体"/>
          <w:sz w:val="18"/>
          <w:szCs w:val="18"/>
        </w:rPr>
      </w:pPr>
      <w:r>
        <w:rPr>
          <w:rFonts w:ascii="Times New Roman" w:hAnsi="Times New Roman" w:cs="宋体" w:hint="eastAsia"/>
          <w:sz w:val="18"/>
          <w:szCs w:val="18"/>
        </w:rPr>
        <w:t>注：流动性指标根据中国银保监会</w:t>
      </w:r>
      <w:r>
        <w:rPr>
          <w:rFonts w:ascii="Times New Roman" w:hAnsi="Times New Roman" w:cs="宋体" w:hint="eastAsia"/>
          <w:sz w:val="18"/>
          <w:szCs w:val="18"/>
        </w:rPr>
        <w:t>2018</w:t>
      </w:r>
      <w:r>
        <w:rPr>
          <w:rFonts w:ascii="Times New Roman" w:hAnsi="Times New Roman" w:cs="宋体" w:hint="eastAsia"/>
          <w:sz w:val="18"/>
          <w:szCs w:val="18"/>
        </w:rPr>
        <w:t>年发布的《商业银行流动性风险管理办法》规定计算。</w:t>
      </w:r>
    </w:p>
    <w:p w:rsidR="00AD5BB5" w:rsidRDefault="00AD5BB5">
      <w:pPr>
        <w:rPr>
          <w:rFonts w:ascii="Times New Roman" w:hAnsi="Times New Roman" w:cs="宋体"/>
          <w:sz w:val="18"/>
          <w:szCs w:val="18"/>
        </w:rPr>
      </w:pPr>
    </w:p>
    <w:p w:rsidR="00AD5BB5" w:rsidRDefault="00F87FF6">
      <w:pPr>
        <w:pStyle w:val="2"/>
        <w:rPr>
          <w:rFonts w:ascii="Times New Roman" w:hAnsi="Times New Roman" w:cs="Times New Roman"/>
        </w:rPr>
      </w:pPr>
      <w:r>
        <w:rPr>
          <w:rFonts w:ascii="Times New Roman" w:hAnsi="Times New Roman" w:cs="Times New Roman"/>
        </w:rPr>
        <w:t>十一、采用公允价值计量的项目</w:t>
      </w:r>
    </w:p>
    <w:p w:rsidR="00AD5BB5" w:rsidRDefault="00F87FF6">
      <w:pPr>
        <w:jc w:val="right"/>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单位：人民币千元</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299"/>
        <w:gridCol w:w="1299"/>
        <w:gridCol w:w="1299"/>
        <w:gridCol w:w="1298"/>
        <w:gridCol w:w="1298"/>
      </w:tblGrid>
      <w:tr w:rsidR="00AD5BB5">
        <w:trPr>
          <w:trHeight w:val="165"/>
        </w:trPr>
        <w:tc>
          <w:tcPr>
            <w:tcW w:w="108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项目名称</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期初余额</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计入损益的本期公允价值变动</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计入权益的本期公允价值变动</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本期计提</w:t>
            </w:r>
            <w:r>
              <w:rPr>
                <w:rFonts w:ascii="Times New Roman" w:hAnsi="Times New Roman" w:cs="宋体" w:hint="eastAsia"/>
              </w:rPr>
              <w:t>/</w:t>
            </w:r>
            <w:r>
              <w:rPr>
                <w:rFonts w:ascii="Times New Roman" w:hAnsi="Times New Roman" w:cs="宋体" w:hint="eastAsia"/>
              </w:rPr>
              <w:t>（冲回）的减值准备</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期末余额</w:t>
            </w:r>
          </w:p>
        </w:tc>
      </w:tr>
      <w:tr w:rsidR="00AD5BB5">
        <w:trPr>
          <w:trHeight w:val="180"/>
        </w:trPr>
        <w:tc>
          <w:tcPr>
            <w:tcW w:w="108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lastRenderedPageBreak/>
              <w:t>衍生金融资产</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2,071,732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-165,582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1,831,245 </w:t>
            </w:r>
          </w:p>
        </w:tc>
      </w:tr>
      <w:tr w:rsidR="00AD5BB5">
        <w:trPr>
          <w:trHeight w:val="180"/>
        </w:trPr>
        <w:tc>
          <w:tcPr>
            <w:tcW w:w="108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以公允价值计量且其变动计入其他综合收益的发放贷款及垫款</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20,063,449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54,004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-6,974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21,169,640 </w:t>
            </w:r>
          </w:p>
        </w:tc>
      </w:tr>
      <w:tr w:rsidR="00AD5BB5">
        <w:trPr>
          <w:trHeight w:val="180"/>
        </w:trPr>
        <w:tc>
          <w:tcPr>
            <w:tcW w:w="108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交易性金融资产</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15,749,732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178,167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14,516,923 </w:t>
            </w:r>
          </w:p>
        </w:tc>
      </w:tr>
      <w:tr w:rsidR="00AD5BB5">
        <w:trPr>
          <w:trHeight w:val="180"/>
        </w:trPr>
        <w:tc>
          <w:tcPr>
            <w:tcW w:w="108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其他债权投资</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39,299,346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355,393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53,109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38,698,027 </w:t>
            </w:r>
          </w:p>
        </w:tc>
      </w:tr>
      <w:tr w:rsidR="00AD5BB5">
        <w:trPr>
          <w:trHeight w:val="180"/>
        </w:trPr>
        <w:tc>
          <w:tcPr>
            <w:tcW w:w="108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其他权益工具投资</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77,288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18,773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96,061 </w:t>
            </w:r>
          </w:p>
        </w:tc>
      </w:tr>
      <w:tr w:rsidR="00AD5BB5">
        <w:trPr>
          <w:trHeight w:val="180"/>
        </w:trPr>
        <w:tc>
          <w:tcPr>
            <w:tcW w:w="108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贵金属</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2,850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-25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978 </w:t>
            </w:r>
          </w:p>
        </w:tc>
      </w:tr>
      <w:tr w:rsidR="00AD5BB5">
        <w:trPr>
          <w:trHeight w:val="180"/>
        </w:trPr>
        <w:tc>
          <w:tcPr>
            <w:tcW w:w="108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b/>
                <w:bCs/>
              </w:rPr>
            </w:pPr>
            <w:r>
              <w:rPr>
                <w:rFonts w:ascii="Times New Roman" w:hAnsi="Times New Roman" w:cs="宋体" w:hint="eastAsia"/>
                <w:b/>
                <w:bCs/>
              </w:rPr>
              <w:t>资产小计</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77,264,397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12,560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428,170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46,135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76,312,874 </w:t>
            </w:r>
          </w:p>
        </w:tc>
      </w:tr>
      <w:tr w:rsidR="00AD5BB5">
        <w:trPr>
          <w:trHeight w:val="180"/>
        </w:trPr>
        <w:tc>
          <w:tcPr>
            <w:tcW w:w="108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交易性金融负债</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2,849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-375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103,125 </w:t>
            </w:r>
          </w:p>
        </w:tc>
      </w:tr>
      <w:tr w:rsidR="00AD5BB5">
        <w:trPr>
          <w:trHeight w:val="180"/>
        </w:trPr>
        <w:tc>
          <w:tcPr>
            <w:tcW w:w="108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衍生金融负债</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2,278,585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386,366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1,817,927 </w:t>
            </w:r>
          </w:p>
        </w:tc>
      </w:tr>
      <w:tr w:rsidR="00AD5BB5">
        <w:trPr>
          <w:trHeight w:val="180"/>
        </w:trPr>
        <w:tc>
          <w:tcPr>
            <w:tcW w:w="108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b/>
                <w:bCs/>
              </w:rPr>
            </w:pPr>
            <w:r>
              <w:rPr>
                <w:rFonts w:ascii="Times New Roman" w:hAnsi="Times New Roman" w:cs="宋体" w:hint="eastAsia"/>
                <w:b/>
                <w:bCs/>
              </w:rPr>
              <w:t>负债小计</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2,281,435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385,991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   </w:t>
            </w:r>
          </w:p>
        </w:tc>
        <w:tc>
          <w:tcPr>
            <w:tcW w:w="7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 xml:space="preserve"> 1,921,053 </w:t>
            </w:r>
          </w:p>
        </w:tc>
      </w:tr>
    </w:tbl>
    <w:p w:rsidR="00AD5BB5" w:rsidRDefault="00AD5BB5">
      <w:pPr>
        <w:pStyle w:val="Default"/>
        <w:rPr>
          <w:rFonts w:ascii="Times New Roman" w:eastAsia="宋体"/>
          <w:color w:val="auto"/>
        </w:rPr>
      </w:pPr>
    </w:p>
    <w:p w:rsidR="00AD5BB5" w:rsidRDefault="00F87FF6">
      <w:pPr>
        <w:pStyle w:val="2"/>
        <w:spacing w:line="360" w:lineRule="auto"/>
        <w:ind w:leftChars="-236" w:left="-496" w:firstLineChars="200" w:firstLine="422"/>
        <w:rPr>
          <w:rFonts w:ascii="Times New Roman" w:hAnsi="Times New Roman" w:cs="Times New Roman"/>
        </w:rPr>
      </w:pPr>
      <w:r>
        <w:rPr>
          <w:rFonts w:ascii="Times New Roman" w:hAnsi="Times New Roman" w:cs="Times New Roman"/>
        </w:rPr>
        <w:t>十二、资本结构、杠杆率及流动性覆盖率情况</w:t>
      </w:r>
    </w:p>
    <w:p w:rsidR="00AD5BB5" w:rsidRDefault="00F87FF6">
      <w:pPr>
        <w:widowControl/>
        <w:numPr>
          <w:ilvl w:val="0"/>
          <w:numId w:val="7"/>
        </w:numPr>
        <w:spacing w:line="360" w:lineRule="auto"/>
        <w:jc w:val="left"/>
        <w:rPr>
          <w:rFonts w:ascii="Times New Roman" w:hAnsi="Times New Roman" w:cs="Times New Roman"/>
          <w:b/>
        </w:rPr>
      </w:pPr>
      <w:r>
        <w:rPr>
          <w:rFonts w:ascii="Times New Roman" w:hAnsi="Times New Roman" w:cs="Times New Roman"/>
        </w:rPr>
        <w:t>资本结构情况</w:t>
      </w:r>
    </w:p>
    <w:p w:rsidR="00AD5BB5" w:rsidRDefault="00F87FF6">
      <w:pPr>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单位：人民币千元</w:t>
      </w:r>
    </w:p>
    <w:tbl>
      <w:tblPr>
        <w:tblW w:w="4999" w:type="pct"/>
        <w:tblCellMar>
          <w:left w:w="0" w:type="dxa"/>
          <w:right w:w="0" w:type="dxa"/>
        </w:tblCellMar>
        <w:tblLook w:val="04A0" w:firstRow="1" w:lastRow="0" w:firstColumn="1" w:lastColumn="0" w:noHBand="0" w:noVBand="1"/>
      </w:tblPr>
      <w:tblGrid>
        <w:gridCol w:w="1933"/>
        <w:gridCol w:w="1661"/>
        <w:gridCol w:w="1663"/>
        <w:gridCol w:w="1522"/>
        <w:gridCol w:w="1522"/>
      </w:tblGrid>
      <w:tr w:rsidR="00AD5BB5">
        <w:trPr>
          <w:trHeight w:val="270"/>
        </w:trPr>
        <w:tc>
          <w:tcPr>
            <w:tcW w:w="1164"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center"/>
              <w:textAlignment w:val="center"/>
              <w:rPr>
                <w:rFonts w:ascii="Times New Roman" w:hAnsi="Times New Roman" w:cs="宋体"/>
                <w:szCs w:val="21"/>
              </w:rPr>
            </w:pPr>
            <w:r>
              <w:rPr>
                <w:rFonts w:ascii="Times New Roman" w:hAnsi="Times New Roman" w:cs="宋体" w:hint="eastAsia"/>
                <w:szCs w:val="21"/>
                <w:lang w:bidi="ar"/>
              </w:rPr>
              <w:t>项目</w:t>
            </w:r>
          </w:p>
        </w:tc>
        <w:tc>
          <w:tcPr>
            <w:tcW w:w="2001"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center"/>
              <w:textAlignment w:val="top"/>
              <w:rPr>
                <w:rFonts w:ascii="Times New Roman" w:hAnsi="Times New Roman" w:cs="宋体"/>
                <w:szCs w:val="21"/>
              </w:rPr>
            </w:pPr>
            <w:r>
              <w:rPr>
                <w:rFonts w:ascii="Times New Roman" w:hAnsi="Times New Roman" w:cs="宋体" w:hint="eastAsia"/>
                <w:szCs w:val="21"/>
                <w:lang w:bidi="ar"/>
              </w:rPr>
              <w:t>2023</w:t>
            </w:r>
            <w:r>
              <w:rPr>
                <w:rFonts w:ascii="Times New Roman" w:hAnsi="Times New Roman" w:cs="宋体" w:hint="eastAsia"/>
                <w:szCs w:val="21"/>
                <w:lang w:bidi="ar"/>
              </w:rPr>
              <w:t>年</w:t>
            </w:r>
            <w:r>
              <w:rPr>
                <w:rFonts w:ascii="Times New Roman" w:hAnsi="Times New Roman" w:cs="宋体" w:hint="eastAsia"/>
                <w:szCs w:val="21"/>
                <w:lang w:bidi="ar"/>
              </w:rPr>
              <w:t>6</w:t>
            </w:r>
            <w:r>
              <w:rPr>
                <w:rFonts w:ascii="Times New Roman" w:hAnsi="Times New Roman" w:cs="宋体" w:hint="eastAsia"/>
                <w:szCs w:val="21"/>
                <w:lang w:bidi="ar"/>
              </w:rPr>
              <w:t>月</w:t>
            </w:r>
            <w:r>
              <w:rPr>
                <w:rFonts w:ascii="Times New Roman" w:hAnsi="Times New Roman" w:cs="宋体" w:hint="eastAsia"/>
                <w:szCs w:val="21"/>
                <w:lang w:bidi="ar"/>
              </w:rPr>
              <w:t>30</w:t>
            </w:r>
            <w:r>
              <w:rPr>
                <w:rFonts w:ascii="Times New Roman" w:hAnsi="Times New Roman" w:cs="宋体" w:hint="eastAsia"/>
                <w:szCs w:val="21"/>
                <w:lang w:bidi="ar"/>
              </w:rPr>
              <w:t>日</w:t>
            </w:r>
          </w:p>
        </w:tc>
        <w:tc>
          <w:tcPr>
            <w:tcW w:w="1834"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center"/>
              <w:textAlignment w:val="top"/>
              <w:rPr>
                <w:rFonts w:ascii="Times New Roman" w:hAnsi="Times New Roman" w:cs="宋体"/>
                <w:szCs w:val="21"/>
              </w:rPr>
            </w:pPr>
            <w:r>
              <w:rPr>
                <w:rFonts w:ascii="Times New Roman" w:hAnsi="Times New Roman" w:cs="宋体" w:hint="eastAsia"/>
                <w:szCs w:val="21"/>
                <w:lang w:bidi="ar"/>
              </w:rPr>
              <w:t>2022</w:t>
            </w:r>
            <w:r>
              <w:rPr>
                <w:rFonts w:ascii="Times New Roman" w:hAnsi="Times New Roman" w:cs="宋体" w:hint="eastAsia"/>
                <w:szCs w:val="21"/>
                <w:lang w:bidi="ar"/>
              </w:rPr>
              <w:t>年</w:t>
            </w:r>
            <w:r>
              <w:rPr>
                <w:rFonts w:ascii="Times New Roman" w:hAnsi="Times New Roman" w:cs="宋体" w:hint="eastAsia"/>
                <w:szCs w:val="21"/>
                <w:lang w:bidi="ar"/>
              </w:rPr>
              <w:t>12</w:t>
            </w:r>
            <w:r>
              <w:rPr>
                <w:rFonts w:ascii="Times New Roman" w:hAnsi="Times New Roman" w:cs="宋体" w:hint="eastAsia"/>
                <w:szCs w:val="21"/>
                <w:lang w:bidi="ar"/>
              </w:rPr>
              <w:t>月</w:t>
            </w:r>
            <w:r>
              <w:rPr>
                <w:rFonts w:ascii="Times New Roman" w:hAnsi="Times New Roman" w:cs="宋体" w:hint="eastAsia"/>
                <w:szCs w:val="21"/>
                <w:lang w:bidi="ar"/>
              </w:rPr>
              <w:t>31</w:t>
            </w:r>
            <w:r>
              <w:rPr>
                <w:rFonts w:ascii="Times New Roman" w:hAnsi="Times New Roman" w:cs="宋体" w:hint="eastAsia"/>
                <w:szCs w:val="21"/>
                <w:lang w:bidi="ar"/>
              </w:rPr>
              <w:t>日</w:t>
            </w:r>
          </w:p>
        </w:tc>
      </w:tr>
      <w:tr w:rsidR="00AD5BB5">
        <w:trPr>
          <w:trHeight w:val="270"/>
        </w:trPr>
        <w:tc>
          <w:tcPr>
            <w:tcW w:w="1164"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AD5BB5">
            <w:pPr>
              <w:jc w:val="center"/>
              <w:rPr>
                <w:rFonts w:ascii="Times New Roman" w:hAnsi="Times New Roman" w:cs="宋体"/>
                <w:szCs w:val="21"/>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center"/>
              <w:textAlignment w:val="top"/>
              <w:rPr>
                <w:rFonts w:ascii="Times New Roman" w:hAnsi="Times New Roman" w:cs="宋体"/>
                <w:szCs w:val="21"/>
              </w:rPr>
            </w:pPr>
            <w:r>
              <w:rPr>
                <w:rFonts w:ascii="Times New Roman" w:hAnsi="Times New Roman" w:cs="宋体" w:hint="eastAsia"/>
                <w:szCs w:val="21"/>
                <w:lang w:bidi="ar"/>
              </w:rPr>
              <w:t>并表</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center"/>
              <w:textAlignment w:val="top"/>
              <w:rPr>
                <w:rFonts w:ascii="Times New Roman" w:hAnsi="Times New Roman" w:cs="宋体"/>
                <w:szCs w:val="21"/>
              </w:rPr>
            </w:pPr>
            <w:r>
              <w:rPr>
                <w:rFonts w:ascii="Times New Roman" w:hAnsi="Times New Roman" w:cs="宋体" w:hint="eastAsia"/>
                <w:szCs w:val="21"/>
                <w:lang w:bidi="ar"/>
              </w:rPr>
              <w:t>非并表</w:t>
            </w:r>
          </w:p>
        </w:tc>
        <w:tc>
          <w:tcPr>
            <w:tcW w:w="9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center"/>
              <w:textAlignment w:val="top"/>
              <w:rPr>
                <w:rFonts w:ascii="Times New Roman" w:hAnsi="Times New Roman" w:cs="宋体"/>
                <w:szCs w:val="21"/>
              </w:rPr>
            </w:pPr>
            <w:r>
              <w:rPr>
                <w:rFonts w:ascii="Times New Roman" w:hAnsi="Times New Roman" w:cs="宋体" w:hint="eastAsia"/>
                <w:szCs w:val="21"/>
                <w:lang w:bidi="ar"/>
              </w:rPr>
              <w:t>并表</w:t>
            </w:r>
          </w:p>
        </w:tc>
        <w:tc>
          <w:tcPr>
            <w:tcW w:w="9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center"/>
              <w:textAlignment w:val="top"/>
              <w:rPr>
                <w:rFonts w:ascii="Times New Roman" w:hAnsi="Times New Roman" w:cs="宋体"/>
                <w:szCs w:val="21"/>
              </w:rPr>
            </w:pPr>
            <w:r>
              <w:rPr>
                <w:rFonts w:ascii="Times New Roman" w:hAnsi="Times New Roman" w:cs="宋体" w:hint="eastAsia"/>
                <w:szCs w:val="21"/>
                <w:lang w:bidi="ar"/>
              </w:rPr>
              <w:t>非并表</w:t>
            </w:r>
          </w:p>
        </w:tc>
      </w:tr>
      <w:tr w:rsidR="00AD5BB5">
        <w:trPr>
          <w:trHeight w:val="400"/>
        </w:trPr>
        <w:tc>
          <w:tcPr>
            <w:tcW w:w="11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textAlignment w:val="top"/>
              <w:rPr>
                <w:rFonts w:ascii="Times New Roman" w:hAnsi="Times New Roman" w:cs="宋体"/>
                <w:bCs/>
                <w:szCs w:val="21"/>
              </w:rPr>
            </w:pPr>
            <w:r>
              <w:rPr>
                <w:rFonts w:ascii="Times New Roman" w:hAnsi="Times New Roman" w:cs="宋体" w:hint="eastAsia"/>
                <w:bCs/>
                <w:szCs w:val="21"/>
                <w:lang w:bidi="ar"/>
              </w:rPr>
              <w:t>资本净额</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32,709,752</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30,693,166</w:t>
            </w:r>
          </w:p>
        </w:tc>
        <w:tc>
          <w:tcPr>
            <w:tcW w:w="9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right"/>
              <w:textAlignment w:val="center"/>
              <w:rPr>
                <w:rFonts w:ascii="Times New Roman" w:hAnsi="Times New Roman" w:cs="Times New Roman"/>
                <w:kern w:val="0"/>
                <w:lang w:bidi="ar"/>
              </w:rPr>
            </w:pPr>
            <w:r>
              <w:rPr>
                <w:rFonts w:ascii="Times New Roman" w:hAnsi="Times New Roman" w:cs="Times New Roman"/>
                <w:kern w:val="0"/>
                <w:lang w:bidi="ar"/>
              </w:rPr>
              <w:t>31,742,882</w:t>
            </w:r>
          </w:p>
        </w:tc>
        <w:tc>
          <w:tcPr>
            <w:tcW w:w="9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BB5" w:rsidRDefault="00F87FF6">
            <w:pPr>
              <w:widowControl/>
              <w:jc w:val="right"/>
              <w:textAlignment w:val="center"/>
              <w:rPr>
                <w:rFonts w:ascii="Times New Roman" w:hAnsi="Times New Roman" w:cs="Times New Roman"/>
                <w:kern w:val="0"/>
                <w:lang w:bidi="ar"/>
              </w:rPr>
            </w:pPr>
            <w:r>
              <w:rPr>
                <w:rFonts w:ascii="Times New Roman" w:hAnsi="Times New Roman" w:cs="Times New Roman"/>
                <w:kern w:val="0"/>
                <w:lang w:bidi="ar"/>
              </w:rPr>
              <w:t>29,877,745</w:t>
            </w:r>
          </w:p>
        </w:tc>
      </w:tr>
      <w:tr w:rsidR="00AD5BB5">
        <w:trPr>
          <w:trHeight w:val="270"/>
        </w:trPr>
        <w:tc>
          <w:tcPr>
            <w:tcW w:w="11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textAlignment w:val="top"/>
              <w:rPr>
                <w:rFonts w:ascii="Times New Roman" w:hAnsi="Times New Roman" w:cs="宋体"/>
                <w:szCs w:val="21"/>
              </w:rPr>
            </w:pPr>
            <w:r>
              <w:rPr>
                <w:rFonts w:ascii="Times New Roman" w:hAnsi="Times New Roman" w:cs="宋体" w:hint="eastAsia"/>
                <w:szCs w:val="21"/>
                <w:lang w:bidi="ar"/>
              </w:rPr>
              <w:t>核心一级资本</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22,975,611</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22,181,966</w:t>
            </w:r>
          </w:p>
        </w:tc>
        <w:tc>
          <w:tcPr>
            <w:tcW w:w="9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right"/>
              <w:textAlignment w:val="center"/>
              <w:rPr>
                <w:rFonts w:ascii="Times New Roman" w:hAnsi="Times New Roman" w:cs="Times New Roman"/>
                <w:kern w:val="0"/>
                <w:lang w:bidi="ar"/>
              </w:rPr>
            </w:pPr>
            <w:r>
              <w:rPr>
                <w:rFonts w:ascii="Times New Roman" w:hAnsi="Times New Roman" w:cs="Times New Roman"/>
                <w:kern w:val="0"/>
                <w:lang w:bidi="ar"/>
              </w:rPr>
              <w:t>22,002,551</w:t>
            </w:r>
          </w:p>
        </w:tc>
        <w:tc>
          <w:tcPr>
            <w:tcW w:w="9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BB5" w:rsidRDefault="00F87FF6">
            <w:pPr>
              <w:widowControl/>
              <w:jc w:val="right"/>
              <w:textAlignment w:val="center"/>
              <w:rPr>
                <w:rFonts w:ascii="Times New Roman" w:hAnsi="Times New Roman" w:cs="Times New Roman"/>
                <w:kern w:val="0"/>
                <w:lang w:bidi="ar"/>
              </w:rPr>
            </w:pPr>
            <w:r>
              <w:rPr>
                <w:rFonts w:ascii="Times New Roman" w:hAnsi="Times New Roman" w:cs="Times New Roman"/>
                <w:kern w:val="0"/>
                <w:lang w:bidi="ar"/>
              </w:rPr>
              <w:t>21,340,410</w:t>
            </w:r>
          </w:p>
        </w:tc>
      </w:tr>
      <w:tr w:rsidR="00AD5BB5">
        <w:trPr>
          <w:trHeight w:val="270"/>
        </w:trPr>
        <w:tc>
          <w:tcPr>
            <w:tcW w:w="11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textAlignment w:val="top"/>
              <w:rPr>
                <w:rFonts w:ascii="Times New Roman" w:hAnsi="Times New Roman" w:cs="宋体"/>
                <w:szCs w:val="21"/>
                <w:lang w:bidi="ar"/>
              </w:rPr>
            </w:pPr>
            <w:r>
              <w:rPr>
                <w:rFonts w:ascii="Times New Roman" w:hAnsi="Times New Roman" w:cs="宋体" w:hint="eastAsia"/>
                <w:szCs w:val="21"/>
                <w:lang w:bidi="ar"/>
              </w:rPr>
              <w:t>核心一级资本扣减项</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116,278</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1,041,853</w:t>
            </w:r>
          </w:p>
        </w:tc>
        <w:tc>
          <w:tcPr>
            <w:tcW w:w="9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right"/>
              <w:textAlignment w:val="center"/>
              <w:rPr>
                <w:rFonts w:ascii="Times New Roman" w:hAnsi="Times New Roman" w:cs="Times New Roman"/>
                <w:kern w:val="0"/>
                <w:lang w:bidi="ar"/>
              </w:rPr>
            </w:pPr>
            <w:r>
              <w:rPr>
                <w:rFonts w:ascii="Times New Roman" w:hAnsi="Times New Roman" w:cs="Times New Roman"/>
                <w:kern w:val="0"/>
                <w:lang w:bidi="ar"/>
              </w:rPr>
              <w:t>93,875</w:t>
            </w:r>
          </w:p>
        </w:tc>
        <w:tc>
          <w:tcPr>
            <w:tcW w:w="9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BB5" w:rsidRDefault="00F87FF6">
            <w:pPr>
              <w:widowControl/>
              <w:jc w:val="right"/>
              <w:textAlignment w:val="center"/>
              <w:rPr>
                <w:rFonts w:ascii="Times New Roman" w:hAnsi="Times New Roman" w:cs="Times New Roman"/>
                <w:kern w:val="0"/>
                <w:lang w:bidi="ar"/>
              </w:rPr>
            </w:pPr>
            <w:r>
              <w:rPr>
                <w:rFonts w:ascii="Times New Roman" w:hAnsi="Times New Roman" w:cs="Times New Roman"/>
                <w:kern w:val="0"/>
                <w:lang w:bidi="ar"/>
              </w:rPr>
              <w:t>1,019,162</w:t>
            </w:r>
          </w:p>
        </w:tc>
      </w:tr>
      <w:tr w:rsidR="00AD5BB5">
        <w:trPr>
          <w:trHeight w:val="270"/>
        </w:trPr>
        <w:tc>
          <w:tcPr>
            <w:tcW w:w="11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textAlignment w:val="top"/>
              <w:rPr>
                <w:rFonts w:ascii="Times New Roman" w:hAnsi="Times New Roman" w:cs="宋体"/>
                <w:bCs/>
                <w:szCs w:val="21"/>
              </w:rPr>
            </w:pPr>
            <w:r>
              <w:rPr>
                <w:rFonts w:ascii="Times New Roman" w:hAnsi="Times New Roman" w:cs="宋体" w:hint="eastAsia"/>
                <w:bCs/>
                <w:szCs w:val="21"/>
                <w:lang w:bidi="ar"/>
              </w:rPr>
              <w:t>核心一级资本净额</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22,859,333</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21,140,113</w:t>
            </w:r>
          </w:p>
        </w:tc>
        <w:tc>
          <w:tcPr>
            <w:tcW w:w="9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right"/>
              <w:textAlignment w:val="center"/>
              <w:rPr>
                <w:rFonts w:ascii="Times New Roman" w:hAnsi="Times New Roman" w:cs="Times New Roman"/>
                <w:kern w:val="0"/>
                <w:lang w:bidi="ar"/>
              </w:rPr>
            </w:pPr>
            <w:r>
              <w:rPr>
                <w:rFonts w:ascii="Times New Roman" w:hAnsi="Times New Roman" w:cs="Times New Roman"/>
                <w:kern w:val="0"/>
                <w:lang w:bidi="ar"/>
              </w:rPr>
              <w:t>21,908,676</w:t>
            </w:r>
          </w:p>
        </w:tc>
        <w:tc>
          <w:tcPr>
            <w:tcW w:w="9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BB5" w:rsidRDefault="00F87FF6">
            <w:pPr>
              <w:widowControl/>
              <w:jc w:val="right"/>
              <w:textAlignment w:val="center"/>
              <w:rPr>
                <w:rFonts w:ascii="Times New Roman" w:hAnsi="Times New Roman" w:cs="Times New Roman"/>
                <w:kern w:val="0"/>
                <w:lang w:bidi="ar"/>
              </w:rPr>
            </w:pPr>
            <w:r>
              <w:rPr>
                <w:rFonts w:ascii="Times New Roman" w:hAnsi="Times New Roman" w:cs="Times New Roman"/>
                <w:kern w:val="0"/>
                <w:lang w:bidi="ar"/>
              </w:rPr>
              <w:t>20,321,248</w:t>
            </w:r>
          </w:p>
        </w:tc>
      </w:tr>
      <w:tr w:rsidR="00AD5BB5">
        <w:trPr>
          <w:trHeight w:val="270"/>
        </w:trPr>
        <w:tc>
          <w:tcPr>
            <w:tcW w:w="11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textAlignment w:val="top"/>
              <w:rPr>
                <w:rFonts w:ascii="Times New Roman" w:hAnsi="Times New Roman" w:cs="宋体"/>
                <w:szCs w:val="21"/>
              </w:rPr>
            </w:pPr>
            <w:r>
              <w:rPr>
                <w:rFonts w:ascii="Times New Roman" w:hAnsi="Times New Roman" w:cs="宋体" w:hint="eastAsia"/>
                <w:szCs w:val="21"/>
                <w:lang w:bidi="ar"/>
              </w:rPr>
              <w:t>其他一级资本</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2,543,266</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2,498,553</w:t>
            </w:r>
          </w:p>
        </w:tc>
        <w:tc>
          <w:tcPr>
            <w:tcW w:w="9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right"/>
              <w:textAlignment w:val="center"/>
              <w:rPr>
                <w:rFonts w:ascii="Times New Roman" w:hAnsi="Times New Roman" w:cs="Times New Roman"/>
                <w:kern w:val="0"/>
                <w:lang w:bidi="ar"/>
              </w:rPr>
            </w:pPr>
            <w:r>
              <w:rPr>
                <w:rFonts w:ascii="Times New Roman" w:hAnsi="Times New Roman" w:cs="Times New Roman"/>
                <w:kern w:val="0"/>
                <w:lang w:bidi="ar"/>
              </w:rPr>
              <w:t>2,539,768</w:t>
            </w:r>
          </w:p>
        </w:tc>
        <w:tc>
          <w:tcPr>
            <w:tcW w:w="9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BB5" w:rsidRDefault="00F87FF6">
            <w:pPr>
              <w:widowControl/>
              <w:jc w:val="right"/>
              <w:textAlignment w:val="center"/>
              <w:rPr>
                <w:rFonts w:ascii="Times New Roman" w:hAnsi="Times New Roman" w:cs="Times New Roman"/>
                <w:kern w:val="0"/>
                <w:lang w:bidi="ar"/>
              </w:rPr>
            </w:pPr>
            <w:r>
              <w:rPr>
                <w:rFonts w:ascii="Times New Roman" w:hAnsi="Times New Roman" w:cs="Times New Roman"/>
                <w:kern w:val="0"/>
                <w:lang w:bidi="ar"/>
              </w:rPr>
              <w:t>2,498,553</w:t>
            </w:r>
          </w:p>
        </w:tc>
      </w:tr>
      <w:tr w:rsidR="00AD5BB5">
        <w:trPr>
          <w:trHeight w:val="270"/>
        </w:trPr>
        <w:tc>
          <w:tcPr>
            <w:tcW w:w="11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textAlignment w:val="top"/>
              <w:rPr>
                <w:rFonts w:ascii="Times New Roman" w:hAnsi="Times New Roman" w:cs="宋体"/>
                <w:szCs w:val="21"/>
                <w:lang w:bidi="ar"/>
              </w:rPr>
            </w:pPr>
            <w:r>
              <w:rPr>
                <w:rFonts w:ascii="Times New Roman" w:hAnsi="Times New Roman" w:cs="宋体" w:hint="eastAsia"/>
                <w:szCs w:val="21"/>
                <w:lang w:bidi="ar"/>
              </w:rPr>
              <w:t>其他一级资本扣减项</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right"/>
              <w:textAlignment w:val="center"/>
              <w:rPr>
                <w:rFonts w:ascii="Times New Roman" w:hAnsi="Times New Roman" w:cs="Times New Roman"/>
                <w:kern w:val="0"/>
                <w:szCs w:val="21"/>
                <w:lang w:bidi="ar"/>
              </w:rPr>
            </w:pPr>
            <w:r>
              <w:rPr>
                <w:rFonts w:ascii="Times New Roman" w:hAnsi="Times New Roman" w:cs="Times New Roman" w:hint="eastAsia"/>
                <w:kern w:val="0"/>
                <w:szCs w:val="21"/>
                <w:lang w:bidi="ar"/>
              </w:rPr>
              <w:t>-</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right"/>
              <w:textAlignment w:val="center"/>
              <w:rPr>
                <w:rFonts w:ascii="Times New Roman" w:hAnsi="Times New Roman" w:cs="Times New Roman"/>
                <w:kern w:val="0"/>
                <w:szCs w:val="21"/>
                <w:lang w:bidi="ar"/>
              </w:rPr>
            </w:pPr>
            <w:r>
              <w:rPr>
                <w:rFonts w:ascii="Times New Roman" w:hAnsi="Times New Roman" w:cs="Times New Roman" w:hint="eastAsia"/>
                <w:kern w:val="0"/>
                <w:szCs w:val="21"/>
                <w:lang w:bidi="ar"/>
              </w:rPr>
              <w:t>-</w:t>
            </w:r>
          </w:p>
        </w:tc>
        <w:tc>
          <w:tcPr>
            <w:tcW w:w="9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right"/>
              <w:textAlignment w:val="center"/>
              <w:rPr>
                <w:rFonts w:ascii="Times New Roman" w:hAnsi="Times New Roman" w:cs="Times New Roman"/>
                <w:kern w:val="0"/>
                <w:lang w:bidi="ar"/>
              </w:rPr>
            </w:pPr>
            <w:r>
              <w:rPr>
                <w:rFonts w:ascii="Times New Roman" w:hAnsi="Times New Roman" w:cs="Times New Roman" w:hint="eastAsia"/>
                <w:kern w:val="0"/>
                <w:lang w:bidi="ar"/>
              </w:rPr>
              <w:t>-</w:t>
            </w:r>
          </w:p>
        </w:tc>
        <w:tc>
          <w:tcPr>
            <w:tcW w:w="9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BB5" w:rsidRDefault="00F87FF6">
            <w:pPr>
              <w:widowControl/>
              <w:jc w:val="right"/>
              <w:textAlignment w:val="center"/>
              <w:rPr>
                <w:rFonts w:ascii="Times New Roman" w:hAnsi="Times New Roman" w:cs="Times New Roman"/>
                <w:kern w:val="0"/>
                <w:lang w:bidi="ar"/>
              </w:rPr>
            </w:pPr>
            <w:r>
              <w:rPr>
                <w:rFonts w:ascii="Times New Roman" w:hAnsi="Times New Roman" w:cs="Times New Roman" w:hint="eastAsia"/>
                <w:kern w:val="0"/>
                <w:lang w:bidi="ar"/>
              </w:rPr>
              <w:t>-</w:t>
            </w:r>
          </w:p>
        </w:tc>
      </w:tr>
      <w:tr w:rsidR="00AD5BB5">
        <w:trPr>
          <w:trHeight w:val="270"/>
        </w:trPr>
        <w:tc>
          <w:tcPr>
            <w:tcW w:w="11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textAlignment w:val="top"/>
              <w:rPr>
                <w:rFonts w:ascii="Times New Roman" w:hAnsi="Times New Roman" w:cs="宋体"/>
                <w:bCs/>
                <w:szCs w:val="21"/>
              </w:rPr>
            </w:pPr>
            <w:r>
              <w:rPr>
                <w:rFonts w:ascii="Times New Roman" w:hAnsi="Times New Roman" w:cs="宋体" w:hint="eastAsia"/>
                <w:bCs/>
                <w:szCs w:val="21"/>
                <w:lang w:bidi="ar"/>
              </w:rPr>
              <w:t>一级资本净额</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25,402,599</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23,638,666</w:t>
            </w:r>
          </w:p>
        </w:tc>
        <w:tc>
          <w:tcPr>
            <w:tcW w:w="9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right"/>
              <w:textAlignment w:val="center"/>
              <w:rPr>
                <w:rFonts w:ascii="Times New Roman" w:hAnsi="Times New Roman" w:cs="Times New Roman"/>
                <w:kern w:val="0"/>
                <w:lang w:bidi="ar"/>
              </w:rPr>
            </w:pPr>
            <w:r>
              <w:rPr>
                <w:rFonts w:ascii="Times New Roman" w:hAnsi="Times New Roman" w:cs="Times New Roman"/>
                <w:kern w:val="0"/>
                <w:lang w:bidi="ar"/>
              </w:rPr>
              <w:t>24,448,444</w:t>
            </w:r>
          </w:p>
        </w:tc>
        <w:tc>
          <w:tcPr>
            <w:tcW w:w="9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BB5" w:rsidRDefault="00F87FF6">
            <w:pPr>
              <w:widowControl/>
              <w:jc w:val="right"/>
              <w:textAlignment w:val="center"/>
              <w:rPr>
                <w:rFonts w:ascii="Times New Roman" w:hAnsi="Times New Roman" w:cs="Times New Roman"/>
                <w:kern w:val="0"/>
                <w:lang w:bidi="ar"/>
              </w:rPr>
            </w:pPr>
            <w:r>
              <w:rPr>
                <w:rFonts w:ascii="Times New Roman" w:hAnsi="Times New Roman" w:cs="Times New Roman"/>
                <w:kern w:val="0"/>
                <w:lang w:bidi="ar"/>
              </w:rPr>
              <w:t>22,819,801</w:t>
            </w:r>
          </w:p>
        </w:tc>
      </w:tr>
      <w:tr w:rsidR="00AD5BB5">
        <w:trPr>
          <w:trHeight w:val="270"/>
        </w:trPr>
        <w:tc>
          <w:tcPr>
            <w:tcW w:w="11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textAlignment w:val="top"/>
              <w:rPr>
                <w:rFonts w:ascii="Times New Roman" w:hAnsi="Times New Roman" w:cs="宋体"/>
                <w:bCs/>
                <w:szCs w:val="21"/>
                <w:lang w:bidi="ar"/>
              </w:rPr>
            </w:pPr>
            <w:r>
              <w:rPr>
                <w:rFonts w:ascii="Times New Roman" w:hAnsi="Times New Roman" w:cs="宋体" w:hint="eastAsia"/>
                <w:bCs/>
                <w:szCs w:val="21"/>
                <w:lang w:bidi="ar"/>
              </w:rPr>
              <w:t>二级资本</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7,307,153</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7,054,501</w:t>
            </w:r>
          </w:p>
        </w:tc>
        <w:tc>
          <w:tcPr>
            <w:tcW w:w="9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right"/>
              <w:textAlignment w:val="center"/>
              <w:rPr>
                <w:rFonts w:ascii="Times New Roman" w:hAnsi="Times New Roman" w:cs="Times New Roman"/>
                <w:kern w:val="0"/>
                <w:lang w:bidi="ar"/>
              </w:rPr>
            </w:pPr>
            <w:r>
              <w:rPr>
                <w:rFonts w:ascii="Times New Roman" w:hAnsi="Times New Roman" w:cs="Times New Roman"/>
                <w:kern w:val="0"/>
                <w:lang w:bidi="ar"/>
              </w:rPr>
              <w:t>7,294,439</w:t>
            </w:r>
          </w:p>
        </w:tc>
        <w:tc>
          <w:tcPr>
            <w:tcW w:w="9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BB5" w:rsidRDefault="00F87FF6">
            <w:pPr>
              <w:widowControl/>
              <w:jc w:val="right"/>
              <w:textAlignment w:val="center"/>
              <w:rPr>
                <w:rFonts w:ascii="Times New Roman" w:hAnsi="Times New Roman" w:cs="Times New Roman"/>
                <w:kern w:val="0"/>
                <w:lang w:bidi="ar"/>
              </w:rPr>
            </w:pPr>
            <w:r>
              <w:rPr>
                <w:rFonts w:ascii="Times New Roman" w:hAnsi="Times New Roman" w:cs="Times New Roman"/>
                <w:kern w:val="0"/>
                <w:lang w:bidi="ar"/>
              </w:rPr>
              <w:t>7,057,944</w:t>
            </w:r>
          </w:p>
        </w:tc>
      </w:tr>
      <w:tr w:rsidR="00AD5BB5">
        <w:trPr>
          <w:trHeight w:val="270"/>
        </w:trPr>
        <w:tc>
          <w:tcPr>
            <w:tcW w:w="11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textAlignment w:val="top"/>
              <w:rPr>
                <w:rFonts w:ascii="Times New Roman" w:hAnsi="Times New Roman" w:cs="宋体"/>
                <w:szCs w:val="21"/>
              </w:rPr>
            </w:pPr>
            <w:r>
              <w:rPr>
                <w:rFonts w:ascii="Times New Roman" w:hAnsi="Times New Roman" w:cs="宋体" w:hint="eastAsia"/>
                <w:szCs w:val="21"/>
                <w:lang w:bidi="ar"/>
              </w:rPr>
              <w:t>二级资本扣减项</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right"/>
              <w:textAlignment w:val="center"/>
              <w:rPr>
                <w:rFonts w:ascii="Times New Roman" w:hAnsi="Times New Roman" w:cs="Times New Roman"/>
                <w:kern w:val="0"/>
                <w:szCs w:val="21"/>
                <w:lang w:bidi="ar"/>
              </w:rPr>
            </w:pPr>
            <w:r>
              <w:rPr>
                <w:rFonts w:ascii="Times New Roman" w:hAnsi="Times New Roman" w:cs="Times New Roman" w:hint="eastAsia"/>
                <w:kern w:val="0"/>
                <w:szCs w:val="21"/>
                <w:lang w:bidi="ar"/>
              </w:rPr>
              <w:t>-</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right"/>
              <w:textAlignment w:val="center"/>
              <w:rPr>
                <w:rFonts w:ascii="Times New Roman" w:hAnsi="Times New Roman" w:cs="Times New Roman"/>
                <w:kern w:val="0"/>
                <w:szCs w:val="21"/>
                <w:lang w:bidi="ar"/>
              </w:rPr>
            </w:pPr>
            <w:r>
              <w:rPr>
                <w:rFonts w:ascii="Times New Roman" w:hAnsi="Times New Roman" w:cs="Times New Roman" w:hint="eastAsia"/>
                <w:kern w:val="0"/>
                <w:szCs w:val="21"/>
                <w:lang w:bidi="ar"/>
              </w:rPr>
              <w:t>-</w:t>
            </w:r>
          </w:p>
        </w:tc>
        <w:tc>
          <w:tcPr>
            <w:tcW w:w="9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right"/>
              <w:textAlignment w:val="center"/>
              <w:rPr>
                <w:rFonts w:ascii="Times New Roman" w:hAnsi="Times New Roman" w:cs="Times New Roman"/>
                <w:kern w:val="0"/>
                <w:lang w:bidi="ar"/>
              </w:rPr>
            </w:pPr>
            <w:r>
              <w:rPr>
                <w:rFonts w:ascii="Times New Roman" w:hAnsi="Times New Roman" w:cs="Times New Roman" w:hint="eastAsia"/>
                <w:kern w:val="0"/>
                <w:lang w:bidi="ar"/>
              </w:rPr>
              <w:t>-</w:t>
            </w:r>
          </w:p>
        </w:tc>
        <w:tc>
          <w:tcPr>
            <w:tcW w:w="9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BB5" w:rsidRDefault="00F87FF6">
            <w:pPr>
              <w:widowControl/>
              <w:jc w:val="right"/>
              <w:textAlignment w:val="center"/>
              <w:rPr>
                <w:rFonts w:ascii="Times New Roman" w:hAnsi="Times New Roman" w:cs="Times New Roman"/>
                <w:kern w:val="0"/>
                <w:lang w:bidi="ar"/>
              </w:rPr>
            </w:pPr>
            <w:r>
              <w:rPr>
                <w:rFonts w:ascii="Times New Roman" w:hAnsi="Times New Roman" w:cs="Times New Roman" w:hint="eastAsia"/>
                <w:kern w:val="0"/>
                <w:lang w:bidi="ar"/>
              </w:rPr>
              <w:t>-</w:t>
            </w:r>
          </w:p>
        </w:tc>
      </w:tr>
      <w:tr w:rsidR="00AD5BB5">
        <w:trPr>
          <w:trHeight w:val="270"/>
        </w:trPr>
        <w:tc>
          <w:tcPr>
            <w:tcW w:w="11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textAlignment w:val="top"/>
              <w:rPr>
                <w:rFonts w:ascii="Times New Roman" w:hAnsi="Times New Roman" w:cs="宋体"/>
                <w:bCs/>
                <w:szCs w:val="21"/>
              </w:rPr>
            </w:pPr>
            <w:r>
              <w:rPr>
                <w:rFonts w:ascii="Times New Roman" w:hAnsi="Times New Roman" w:cs="宋体" w:hint="eastAsia"/>
                <w:bCs/>
                <w:szCs w:val="21"/>
                <w:lang w:bidi="ar"/>
              </w:rPr>
              <w:t>风险加权资产合计</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231,158,049</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217,251,009</w:t>
            </w:r>
          </w:p>
        </w:tc>
        <w:tc>
          <w:tcPr>
            <w:tcW w:w="9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right"/>
              <w:textAlignment w:val="center"/>
              <w:rPr>
                <w:rFonts w:ascii="Times New Roman" w:hAnsi="Times New Roman" w:cs="Times New Roman"/>
                <w:kern w:val="0"/>
                <w:lang w:bidi="ar"/>
              </w:rPr>
            </w:pPr>
            <w:r>
              <w:rPr>
                <w:rFonts w:ascii="Times New Roman" w:hAnsi="Times New Roman" w:cs="Times New Roman"/>
                <w:kern w:val="0"/>
                <w:lang w:bidi="ar"/>
              </w:rPr>
              <w:t>230,667,523</w:t>
            </w:r>
          </w:p>
        </w:tc>
        <w:tc>
          <w:tcPr>
            <w:tcW w:w="9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BB5" w:rsidRDefault="00F87FF6">
            <w:pPr>
              <w:widowControl/>
              <w:jc w:val="right"/>
              <w:textAlignment w:val="center"/>
              <w:rPr>
                <w:rFonts w:ascii="Times New Roman" w:hAnsi="Times New Roman" w:cs="Times New Roman"/>
                <w:kern w:val="0"/>
                <w:lang w:bidi="ar"/>
              </w:rPr>
            </w:pPr>
            <w:r>
              <w:rPr>
                <w:rFonts w:ascii="Times New Roman" w:hAnsi="Times New Roman" w:cs="Times New Roman"/>
                <w:kern w:val="0"/>
                <w:lang w:bidi="ar"/>
              </w:rPr>
              <w:t>217,502,589</w:t>
            </w:r>
          </w:p>
        </w:tc>
      </w:tr>
      <w:tr w:rsidR="00AD5BB5">
        <w:trPr>
          <w:trHeight w:val="270"/>
        </w:trPr>
        <w:tc>
          <w:tcPr>
            <w:tcW w:w="11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textAlignment w:val="top"/>
              <w:rPr>
                <w:rFonts w:ascii="Times New Roman" w:hAnsi="Times New Roman" w:cs="宋体"/>
                <w:szCs w:val="21"/>
              </w:rPr>
            </w:pPr>
            <w:r>
              <w:rPr>
                <w:rFonts w:ascii="Times New Roman" w:hAnsi="Times New Roman" w:cs="宋体" w:hint="eastAsia"/>
                <w:szCs w:val="21"/>
                <w:lang w:bidi="ar"/>
              </w:rPr>
              <w:t>信用风险加权资产</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220,135,872</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206,914,542</w:t>
            </w:r>
          </w:p>
        </w:tc>
        <w:tc>
          <w:tcPr>
            <w:tcW w:w="9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right"/>
              <w:textAlignment w:val="center"/>
              <w:rPr>
                <w:rFonts w:ascii="Times New Roman" w:hAnsi="Times New Roman" w:cs="Times New Roman"/>
                <w:kern w:val="0"/>
                <w:lang w:bidi="ar"/>
              </w:rPr>
            </w:pPr>
            <w:r>
              <w:rPr>
                <w:rFonts w:ascii="Times New Roman" w:hAnsi="Times New Roman" w:cs="Times New Roman"/>
                <w:kern w:val="0"/>
                <w:lang w:bidi="ar"/>
              </w:rPr>
              <w:t>219,672,720</w:t>
            </w:r>
          </w:p>
        </w:tc>
        <w:tc>
          <w:tcPr>
            <w:tcW w:w="9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BB5" w:rsidRDefault="00F87FF6">
            <w:pPr>
              <w:widowControl/>
              <w:jc w:val="right"/>
              <w:textAlignment w:val="center"/>
              <w:rPr>
                <w:rFonts w:ascii="Times New Roman" w:hAnsi="Times New Roman" w:cs="Times New Roman"/>
                <w:kern w:val="0"/>
                <w:lang w:bidi="ar"/>
              </w:rPr>
            </w:pPr>
            <w:r>
              <w:rPr>
                <w:rFonts w:ascii="Times New Roman" w:hAnsi="Times New Roman" w:cs="Times New Roman"/>
                <w:kern w:val="0"/>
                <w:lang w:bidi="ar"/>
              </w:rPr>
              <w:t>207,193,496</w:t>
            </w:r>
          </w:p>
        </w:tc>
      </w:tr>
      <w:tr w:rsidR="00AD5BB5">
        <w:trPr>
          <w:trHeight w:val="270"/>
        </w:trPr>
        <w:tc>
          <w:tcPr>
            <w:tcW w:w="11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textAlignment w:val="top"/>
              <w:rPr>
                <w:rFonts w:ascii="Times New Roman" w:hAnsi="Times New Roman" w:cs="宋体"/>
                <w:szCs w:val="21"/>
              </w:rPr>
            </w:pPr>
            <w:r>
              <w:rPr>
                <w:rFonts w:ascii="Times New Roman" w:hAnsi="Times New Roman" w:cs="宋体" w:hint="eastAsia"/>
                <w:szCs w:val="21"/>
                <w:lang w:bidi="ar"/>
              </w:rPr>
              <w:t>市场风险加权资产</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1,779,055</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1,779,055</w:t>
            </w:r>
          </w:p>
        </w:tc>
        <w:tc>
          <w:tcPr>
            <w:tcW w:w="9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right"/>
              <w:textAlignment w:val="center"/>
              <w:rPr>
                <w:rFonts w:ascii="Times New Roman" w:hAnsi="Times New Roman" w:cs="Times New Roman"/>
                <w:kern w:val="0"/>
                <w:lang w:bidi="ar"/>
              </w:rPr>
            </w:pPr>
            <w:r>
              <w:rPr>
                <w:rFonts w:ascii="Times New Roman" w:hAnsi="Times New Roman" w:cs="Times New Roman"/>
                <w:kern w:val="0"/>
                <w:lang w:bidi="ar"/>
              </w:rPr>
              <w:t>1,751,681</w:t>
            </w:r>
          </w:p>
        </w:tc>
        <w:tc>
          <w:tcPr>
            <w:tcW w:w="9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BB5" w:rsidRDefault="00F87FF6">
            <w:pPr>
              <w:widowControl/>
              <w:jc w:val="right"/>
              <w:textAlignment w:val="center"/>
              <w:rPr>
                <w:rFonts w:ascii="Times New Roman" w:hAnsi="Times New Roman" w:cs="Times New Roman"/>
                <w:kern w:val="0"/>
                <w:lang w:bidi="ar"/>
              </w:rPr>
            </w:pPr>
            <w:r>
              <w:rPr>
                <w:rFonts w:ascii="Times New Roman" w:hAnsi="Times New Roman" w:cs="Times New Roman"/>
                <w:kern w:val="0"/>
                <w:lang w:bidi="ar"/>
              </w:rPr>
              <w:t>1,751,681</w:t>
            </w:r>
          </w:p>
        </w:tc>
      </w:tr>
      <w:tr w:rsidR="00AD5BB5">
        <w:trPr>
          <w:trHeight w:val="270"/>
        </w:trPr>
        <w:tc>
          <w:tcPr>
            <w:tcW w:w="11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textAlignment w:val="top"/>
              <w:rPr>
                <w:rFonts w:ascii="Times New Roman" w:hAnsi="Times New Roman" w:cs="宋体"/>
                <w:szCs w:val="21"/>
              </w:rPr>
            </w:pPr>
            <w:r>
              <w:rPr>
                <w:rFonts w:ascii="Times New Roman" w:hAnsi="Times New Roman" w:cs="宋体" w:hint="eastAsia"/>
                <w:szCs w:val="21"/>
                <w:lang w:bidi="ar"/>
              </w:rPr>
              <w:t>操作风险加权资产</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9,243,122</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8,557,411</w:t>
            </w:r>
          </w:p>
        </w:tc>
        <w:tc>
          <w:tcPr>
            <w:tcW w:w="9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right"/>
              <w:textAlignment w:val="center"/>
              <w:rPr>
                <w:rFonts w:ascii="Times New Roman" w:hAnsi="Times New Roman" w:cs="Times New Roman"/>
                <w:kern w:val="0"/>
                <w:lang w:bidi="ar"/>
              </w:rPr>
            </w:pPr>
            <w:r>
              <w:rPr>
                <w:rFonts w:ascii="Times New Roman" w:hAnsi="Times New Roman" w:cs="Times New Roman"/>
                <w:kern w:val="0"/>
                <w:lang w:bidi="ar"/>
              </w:rPr>
              <w:t>9,243,122</w:t>
            </w:r>
          </w:p>
        </w:tc>
        <w:tc>
          <w:tcPr>
            <w:tcW w:w="9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BB5" w:rsidRDefault="00F87FF6">
            <w:pPr>
              <w:widowControl/>
              <w:jc w:val="right"/>
              <w:textAlignment w:val="center"/>
              <w:rPr>
                <w:rFonts w:ascii="Times New Roman" w:hAnsi="Times New Roman" w:cs="Times New Roman"/>
                <w:kern w:val="0"/>
                <w:lang w:bidi="ar"/>
              </w:rPr>
            </w:pPr>
            <w:r>
              <w:rPr>
                <w:rFonts w:ascii="Times New Roman" w:hAnsi="Times New Roman" w:cs="Times New Roman"/>
                <w:kern w:val="0"/>
                <w:lang w:bidi="ar"/>
              </w:rPr>
              <w:t>8,557,411</w:t>
            </w:r>
          </w:p>
        </w:tc>
      </w:tr>
      <w:tr w:rsidR="00AD5BB5">
        <w:trPr>
          <w:trHeight w:val="270"/>
        </w:trPr>
        <w:tc>
          <w:tcPr>
            <w:tcW w:w="11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textAlignment w:val="top"/>
              <w:rPr>
                <w:rFonts w:ascii="Times New Roman" w:hAnsi="Times New Roman" w:cs="宋体"/>
                <w:bCs/>
                <w:szCs w:val="21"/>
              </w:rPr>
            </w:pPr>
            <w:r>
              <w:rPr>
                <w:rFonts w:ascii="Times New Roman" w:hAnsi="Times New Roman" w:cs="宋体" w:hint="eastAsia"/>
                <w:bCs/>
                <w:szCs w:val="21"/>
                <w:lang w:bidi="ar"/>
              </w:rPr>
              <w:t>核心一级资本充足率（</w:t>
            </w:r>
            <w:r>
              <w:rPr>
                <w:rFonts w:ascii="Times New Roman" w:hAnsi="Times New Roman" w:cs="宋体" w:hint="eastAsia"/>
                <w:bCs/>
                <w:szCs w:val="21"/>
                <w:lang w:bidi="ar"/>
              </w:rPr>
              <w:t>%</w:t>
            </w:r>
            <w:r>
              <w:rPr>
                <w:rFonts w:ascii="Times New Roman" w:hAnsi="Times New Roman" w:cs="宋体" w:hint="eastAsia"/>
                <w:bCs/>
                <w:szCs w:val="21"/>
                <w:lang w:bidi="ar"/>
              </w:rPr>
              <w:t>）</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9.89</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9.73</w:t>
            </w:r>
          </w:p>
        </w:tc>
        <w:tc>
          <w:tcPr>
            <w:tcW w:w="9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right"/>
              <w:textAlignment w:val="center"/>
              <w:rPr>
                <w:rFonts w:ascii="Times New Roman" w:hAnsi="Times New Roman" w:cs="Times New Roman"/>
                <w:kern w:val="0"/>
                <w:lang w:bidi="ar"/>
              </w:rPr>
            </w:pPr>
            <w:r>
              <w:rPr>
                <w:rFonts w:ascii="Times New Roman" w:hAnsi="Times New Roman" w:cs="Times New Roman"/>
                <w:kern w:val="0"/>
                <w:lang w:bidi="ar"/>
              </w:rPr>
              <w:t>9.50</w:t>
            </w:r>
          </w:p>
        </w:tc>
        <w:tc>
          <w:tcPr>
            <w:tcW w:w="9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BB5" w:rsidRDefault="00F87FF6">
            <w:pPr>
              <w:widowControl/>
              <w:jc w:val="right"/>
              <w:textAlignment w:val="center"/>
              <w:rPr>
                <w:rFonts w:ascii="Times New Roman" w:hAnsi="Times New Roman" w:cs="Times New Roman"/>
                <w:kern w:val="0"/>
                <w:lang w:bidi="ar"/>
              </w:rPr>
            </w:pPr>
            <w:r>
              <w:rPr>
                <w:rFonts w:ascii="Times New Roman" w:hAnsi="Times New Roman" w:cs="Times New Roman"/>
                <w:kern w:val="0"/>
                <w:lang w:bidi="ar"/>
              </w:rPr>
              <w:t>9.34</w:t>
            </w:r>
          </w:p>
        </w:tc>
      </w:tr>
      <w:tr w:rsidR="00AD5BB5">
        <w:trPr>
          <w:trHeight w:val="270"/>
        </w:trPr>
        <w:tc>
          <w:tcPr>
            <w:tcW w:w="11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textAlignment w:val="top"/>
              <w:rPr>
                <w:rFonts w:ascii="Times New Roman" w:hAnsi="Times New Roman" w:cs="宋体"/>
                <w:bCs/>
                <w:szCs w:val="21"/>
              </w:rPr>
            </w:pPr>
            <w:r>
              <w:rPr>
                <w:rFonts w:ascii="Times New Roman" w:hAnsi="Times New Roman" w:cs="宋体" w:hint="eastAsia"/>
                <w:bCs/>
                <w:szCs w:val="21"/>
                <w:lang w:bidi="ar"/>
              </w:rPr>
              <w:t>一级资本充足率（</w:t>
            </w:r>
            <w:r>
              <w:rPr>
                <w:rFonts w:ascii="Times New Roman" w:hAnsi="Times New Roman" w:cs="宋体" w:hint="eastAsia"/>
                <w:bCs/>
                <w:szCs w:val="21"/>
                <w:lang w:bidi="ar"/>
              </w:rPr>
              <w:t>%</w:t>
            </w:r>
            <w:r>
              <w:rPr>
                <w:rFonts w:ascii="Times New Roman" w:hAnsi="Times New Roman" w:cs="宋体" w:hint="eastAsia"/>
                <w:bCs/>
                <w:szCs w:val="21"/>
                <w:lang w:bidi="ar"/>
              </w:rPr>
              <w:t>）</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10.99</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10.88</w:t>
            </w:r>
          </w:p>
        </w:tc>
        <w:tc>
          <w:tcPr>
            <w:tcW w:w="91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right"/>
              <w:textAlignment w:val="center"/>
              <w:rPr>
                <w:rFonts w:ascii="Times New Roman" w:hAnsi="Times New Roman" w:cs="Times New Roman"/>
                <w:kern w:val="0"/>
                <w:lang w:bidi="ar"/>
              </w:rPr>
            </w:pPr>
            <w:r>
              <w:rPr>
                <w:rFonts w:ascii="Times New Roman" w:hAnsi="Times New Roman" w:cs="Times New Roman"/>
                <w:kern w:val="0"/>
                <w:lang w:bidi="ar"/>
              </w:rPr>
              <w:t>10.60</w:t>
            </w:r>
          </w:p>
        </w:tc>
        <w:tc>
          <w:tcPr>
            <w:tcW w:w="9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BB5" w:rsidRDefault="00F87FF6">
            <w:pPr>
              <w:widowControl/>
              <w:jc w:val="right"/>
              <w:textAlignment w:val="center"/>
              <w:rPr>
                <w:rFonts w:ascii="Times New Roman" w:hAnsi="Times New Roman" w:cs="Times New Roman"/>
                <w:kern w:val="0"/>
                <w:lang w:bidi="ar"/>
              </w:rPr>
            </w:pPr>
            <w:r>
              <w:rPr>
                <w:rFonts w:ascii="Times New Roman" w:hAnsi="Times New Roman" w:cs="Times New Roman"/>
                <w:kern w:val="0"/>
                <w:lang w:bidi="ar"/>
              </w:rPr>
              <w:t>10.49</w:t>
            </w:r>
          </w:p>
        </w:tc>
      </w:tr>
      <w:tr w:rsidR="00AD5BB5">
        <w:trPr>
          <w:trHeight w:val="270"/>
        </w:trPr>
        <w:tc>
          <w:tcPr>
            <w:tcW w:w="116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textAlignment w:val="top"/>
              <w:rPr>
                <w:rFonts w:ascii="Times New Roman" w:hAnsi="Times New Roman" w:cs="宋体"/>
                <w:bCs/>
                <w:szCs w:val="21"/>
              </w:rPr>
            </w:pPr>
            <w:r>
              <w:rPr>
                <w:rFonts w:ascii="Times New Roman" w:hAnsi="Times New Roman" w:cs="宋体" w:hint="eastAsia"/>
                <w:bCs/>
                <w:szCs w:val="21"/>
                <w:lang w:bidi="ar"/>
              </w:rPr>
              <w:t>资本充足率（</w:t>
            </w:r>
            <w:r>
              <w:rPr>
                <w:rFonts w:ascii="Times New Roman" w:hAnsi="Times New Roman" w:cs="宋体" w:hint="eastAsia"/>
                <w:bCs/>
                <w:szCs w:val="21"/>
                <w:lang w:bidi="ar"/>
              </w:rPr>
              <w:t>%</w:t>
            </w:r>
            <w:r>
              <w:rPr>
                <w:rFonts w:ascii="Times New Roman" w:hAnsi="Times New Roman" w:cs="宋体" w:hint="eastAsia"/>
                <w:bCs/>
                <w:szCs w:val="21"/>
                <w:lang w:bidi="ar"/>
              </w:rPr>
              <w:t>）</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14.15</w:t>
            </w: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14.13</w:t>
            </w:r>
          </w:p>
        </w:tc>
        <w:tc>
          <w:tcPr>
            <w:tcW w:w="9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BB5" w:rsidRDefault="00F87FF6">
            <w:pPr>
              <w:widowControl/>
              <w:jc w:val="right"/>
              <w:textAlignment w:val="center"/>
              <w:rPr>
                <w:rFonts w:ascii="Times New Roman" w:hAnsi="Times New Roman" w:cs="Times New Roman"/>
                <w:kern w:val="0"/>
                <w:lang w:bidi="ar"/>
              </w:rPr>
            </w:pPr>
            <w:r>
              <w:rPr>
                <w:rFonts w:ascii="Times New Roman" w:hAnsi="Times New Roman" w:cs="Times New Roman"/>
                <w:kern w:val="0"/>
                <w:lang w:bidi="ar"/>
              </w:rPr>
              <w:t>13.76</w:t>
            </w:r>
          </w:p>
        </w:tc>
        <w:tc>
          <w:tcPr>
            <w:tcW w:w="91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D5BB5" w:rsidRDefault="00F87FF6">
            <w:pPr>
              <w:widowControl/>
              <w:jc w:val="right"/>
              <w:textAlignment w:val="center"/>
              <w:rPr>
                <w:rFonts w:ascii="Times New Roman" w:hAnsi="Times New Roman" w:cs="Times New Roman"/>
                <w:kern w:val="0"/>
                <w:lang w:bidi="ar"/>
              </w:rPr>
            </w:pPr>
            <w:r>
              <w:rPr>
                <w:rFonts w:ascii="Times New Roman" w:hAnsi="Times New Roman" w:cs="Times New Roman"/>
                <w:kern w:val="0"/>
                <w:lang w:bidi="ar"/>
              </w:rPr>
              <w:t>13.74</w:t>
            </w:r>
          </w:p>
        </w:tc>
      </w:tr>
    </w:tbl>
    <w:p w:rsidR="00AD5BB5" w:rsidRDefault="00F87FF6">
      <w:pPr>
        <w:rPr>
          <w:rFonts w:ascii="Times New Roman" w:hAnsi="Times New Roman" w:cs="宋体"/>
          <w:sz w:val="18"/>
          <w:szCs w:val="18"/>
        </w:rPr>
      </w:pPr>
      <w:r>
        <w:rPr>
          <w:rFonts w:ascii="Times New Roman" w:hAnsi="Times New Roman" w:cs="宋体" w:hint="eastAsia"/>
          <w:sz w:val="18"/>
          <w:szCs w:val="18"/>
        </w:rPr>
        <w:t>注：</w:t>
      </w:r>
      <w:r>
        <w:rPr>
          <w:rFonts w:ascii="Times New Roman" w:hAnsi="Times New Roman" w:cs="宋体" w:hint="eastAsia"/>
          <w:sz w:val="18"/>
          <w:szCs w:val="18"/>
        </w:rPr>
        <w:t>1</w:t>
      </w:r>
      <w:r>
        <w:rPr>
          <w:rFonts w:ascii="Times New Roman" w:hAnsi="Times New Roman" w:cs="宋体" w:hint="eastAsia"/>
          <w:sz w:val="18"/>
          <w:szCs w:val="18"/>
        </w:rPr>
        <w:t>、核心一级资本净额</w:t>
      </w:r>
      <w:r>
        <w:rPr>
          <w:rFonts w:ascii="Times New Roman" w:hAnsi="Times New Roman" w:cs="宋体" w:hint="eastAsia"/>
          <w:sz w:val="18"/>
          <w:szCs w:val="18"/>
        </w:rPr>
        <w:t>=</w:t>
      </w:r>
      <w:r>
        <w:rPr>
          <w:rFonts w:ascii="Times New Roman" w:hAnsi="Times New Roman" w:cs="宋体" w:hint="eastAsia"/>
          <w:sz w:val="18"/>
          <w:szCs w:val="18"/>
        </w:rPr>
        <w:t>核心一级资本</w:t>
      </w:r>
      <w:r>
        <w:rPr>
          <w:rFonts w:ascii="Times New Roman" w:hAnsi="Times New Roman" w:cs="宋体" w:hint="eastAsia"/>
          <w:sz w:val="18"/>
          <w:szCs w:val="18"/>
        </w:rPr>
        <w:t>-</w:t>
      </w:r>
      <w:r>
        <w:rPr>
          <w:rFonts w:ascii="Times New Roman" w:hAnsi="Times New Roman" w:cs="宋体" w:hint="eastAsia"/>
          <w:sz w:val="18"/>
          <w:szCs w:val="18"/>
        </w:rPr>
        <w:t>核心一级资本扣减项。</w:t>
      </w:r>
    </w:p>
    <w:p w:rsidR="00AD5BB5" w:rsidRDefault="00F87FF6">
      <w:pPr>
        <w:ind w:firstLineChars="200" w:firstLine="360"/>
        <w:rPr>
          <w:rFonts w:ascii="Times New Roman" w:hAnsi="Times New Roman" w:cs="宋体"/>
          <w:sz w:val="18"/>
          <w:szCs w:val="18"/>
        </w:rPr>
      </w:pPr>
      <w:r>
        <w:rPr>
          <w:rFonts w:ascii="Times New Roman" w:hAnsi="Times New Roman" w:cs="宋体" w:hint="eastAsia"/>
          <w:sz w:val="18"/>
          <w:szCs w:val="18"/>
        </w:rPr>
        <w:t>2</w:t>
      </w:r>
      <w:r>
        <w:rPr>
          <w:rFonts w:ascii="Times New Roman" w:hAnsi="Times New Roman" w:cs="宋体" w:hint="eastAsia"/>
          <w:sz w:val="18"/>
          <w:szCs w:val="18"/>
        </w:rPr>
        <w:t>、一级资本净额</w:t>
      </w:r>
      <w:r>
        <w:rPr>
          <w:rFonts w:ascii="Times New Roman" w:hAnsi="Times New Roman" w:cs="宋体" w:hint="eastAsia"/>
          <w:sz w:val="18"/>
          <w:szCs w:val="18"/>
        </w:rPr>
        <w:t>=</w:t>
      </w:r>
      <w:r>
        <w:rPr>
          <w:rFonts w:ascii="Times New Roman" w:hAnsi="Times New Roman" w:cs="宋体" w:hint="eastAsia"/>
          <w:sz w:val="18"/>
          <w:szCs w:val="18"/>
        </w:rPr>
        <w:t>核心一级资本净额</w:t>
      </w:r>
      <w:r>
        <w:rPr>
          <w:rFonts w:ascii="Times New Roman" w:hAnsi="Times New Roman" w:cs="宋体" w:hint="eastAsia"/>
          <w:sz w:val="18"/>
          <w:szCs w:val="18"/>
        </w:rPr>
        <w:t>+</w:t>
      </w:r>
      <w:r>
        <w:rPr>
          <w:rFonts w:ascii="Times New Roman" w:hAnsi="Times New Roman" w:cs="宋体" w:hint="eastAsia"/>
          <w:sz w:val="18"/>
          <w:szCs w:val="18"/>
        </w:rPr>
        <w:t>其他一级资本</w:t>
      </w:r>
      <w:r>
        <w:rPr>
          <w:rFonts w:ascii="Times New Roman" w:hAnsi="Times New Roman" w:cs="宋体" w:hint="eastAsia"/>
          <w:sz w:val="18"/>
          <w:szCs w:val="18"/>
        </w:rPr>
        <w:t>-</w:t>
      </w:r>
      <w:r>
        <w:rPr>
          <w:rFonts w:ascii="Times New Roman" w:hAnsi="Times New Roman" w:cs="宋体" w:hint="eastAsia"/>
          <w:sz w:val="18"/>
          <w:szCs w:val="18"/>
        </w:rPr>
        <w:t>其他一级资本扣减项。</w:t>
      </w:r>
    </w:p>
    <w:p w:rsidR="00AD5BB5" w:rsidRDefault="00F87FF6">
      <w:pPr>
        <w:ind w:firstLineChars="200" w:firstLine="360"/>
        <w:rPr>
          <w:rFonts w:ascii="Times New Roman" w:hAnsi="Times New Roman" w:cs="宋体"/>
          <w:sz w:val="18"/>
          <w:szCs w:val="18"/>
        </w:rPr>
      </w:pPr>
      <w:r>
        <w:rPr>
          <w:rFonts w:ascii="Times New Roman" w:hAnsi="Times New Roman" w:cs="宋体" w:hint="eastAsia"/>
          <w:sz w:val="18"/>
          <w:szCs w:val="18"/>
        </w:rPr>
        <w:t>3</w:t>
      </w:r>
      <w:r>
        <w:rPr>
          <w:rFonts w:ascii="Times New Roman" w:hAnsi="Times New Roman" w:cs="宋体" w:hint="eastAsia"/>
          <w:sz w:val="18"/>
          <w:szCs w:val="18"/>
        </w:rPr>
        <w:t>、资本净额</w:t>
      </w:r>
      <w:r>
        <w:rPr>
          <w:rFonts w:ascii="Times New Roman" w:hAnsi="Times New Roman" w:cs="宋体" w:hint="eastAsia"/>
          <w:sz w:val="18"/>
          <w:szCs w:val="18"/>
        </w:rPr>
        <w:t>=</w:t>
      </w:r>
      <w:r>
        <w:rPr>
          <w:rFonts w:ascii="Times New Roman" w:hAnsi="Times New Roman" w:cs="宋体" w:hint="eastAsia"/>
          <w:sz w:val="18"/>
          <w:szCs w:val="18"/>
        </w:rPr>
        <w:t>一级资本净额</w:t>
      </w:r>
      <w:r>
        <w:rPr>
          <w:rFonts w:ascii="Times New Roman" w:hAnsi="Times New Roman" w:cs="宋体" w:hint="eastAsia"/>
          <w:sz w:val="18"/>
          <w:szCs w:val="18"/>
        </w:rPr>
        <w:t>+</w:t>
      </w:r>
      <w:r>
        <w:rPr>
          <w:rFonts w:ascii="Times New Roman" w:hAnsi="Times New Roman" w:cs="宋体" w:hint="eastAsia"/>
          <w:sz w:val="18"/>
          <w:szCs w:val="18"/>
        </w:rPr>
        <w:t>二级资本</w:t>
      </w:r>
      <w:r>
        <w:rPr>
          <w:rFonts w:ascii="Times New Roman" w:hAnsi="Times New Roman" w:cs="宋体" w:hint="eastAsia"/>
          <w:sz w:val="18"/>
          <w:szCs w:val="18"/>
        </w:rPr>
        <w:t>-</w:t>
      </w:r>
      <w:r>
        <w:rPr>
          <w:rFonts w:ascii="Times New Roman" w:hAnsi="Times New Roman" w:cs="宋体" w:hint="eastAsia"/>
          <w:sz w:val="18"/>
          <w:szCs w:val="18"/>
        </w:rPr>
        <w:t>二级资本扣减项。</w:t>
      </w:r>
    </w:p>
    <w:p w:rsidR="00AD5BB5" w:rsidRDefault="00F87FF6">
      <w:pPr>
        <w:ind w:firstLineChars="200" w:firstLine="360"/>
        <w:rPr>
          <w:rFonts w:ascii="Times New Roman" w:hAnsi="Times New Roman" w:cs="宋体"/>
          <w:sz w:val="18"/>
          <w:szCs w:val="18"/>
        </w:rPr>
      </w:pPr>
      <w:r>
        <w:rPr>
          <w:rFonts w:ascii="Times New Roman" w:hAnsi="Times New Roman" w:cs="宋体" w:hint="eastAsia"/>
          <w:sz w:val="18"/>
          <w:szCs w:val="18"/>
        </w:rPr>
        <w:t>4</w:t>
      </w:r>
      <w:r>
        <w:rPr>
          <w:rFonts w:ascii="Times New Roman" w:hAnsi="Times New Roman" w:cs="宋体" w:hint="eastAsia"/>
          <w:sz w:val="18"/>
          <w:szCs w:val="18"/>
        </w:rPr>
        <w:t>、信用风险加权资产采用权重法计量，市场风险加权资产采用标准法计量，操作风险加权资产采用基本指标法计量。</w:t>
      </w:r>
    </w:p>
    <w:p w:rsidR="00AD5BB5" w:rsidRDefault="00F87FF6">
      <w:pPr>
        <w:ind w:firstLineChars="200" w:firstLine="360"/>
        <w:rPr>
          <w:rFonts w:ascii="Times New Roman" w:hAnsi="Times New Roman" w:cs="宋体"/>
          <w:sz w:val="18"/>
          <w:szCs w:val="18"/>
        </w:rPr>
      </w:pPr>
      <w:r>
        <w:rPr>
          <w:rFonts w:ascii="Times New Roman" w:hAnsi="Times New Roman" w:cs="宋体" w:hint="eastAsia"/>
          <w:sz w:val="18"/>
          <w:szCs w:val="18"/>
        </w:rPr>
        <w:t>5</w:t>
      </w:r>
      <w:r>
        <w:rPr>
          <w:rFonts w:ascii="Times New Roman" w:hAnsi="Times New Roman" w:cs="宋体" w:hint="eastAsia"/>
          <w:sz w:val="18"/>
          <w:szCs w:val="18"/>
        </w:rPr>
        <w:t>、本公司符合资本充足率并表范围的附属公司包括：福建海西金融租赁有限责任公司。</w:t>
      </w:r>
    </w:p>
    <w:p w:rsidR="00AD5BB5" w:rsidRDefault="00F87FF6">
      <w:pPr>
        <w:ind w:firstLineChars="200" w:firstLine="360"/>
        <w:rPr>
          <w:rFonts w:ascii="Times New Roman" w:hAnsi="Times New Roman" w:cs="宋体"/>
          <w:sz w:val="18"/>
          <w:szCs w:val="18"/>
        </w:rPr>
      </w:pPr>
      <w:r>
        <w:rPr>
          <w:rFonts w:ascii="Times New Roman" w:hAnsi="Times New Roman" w:cs="宋体" w:hint="eastAsia"/>
          <w:sz w:val="18"/>
          <w:szCs w:val="18"/>
        </w:rPr>
        <w:t>6</w:t>
      </w:r>
      <w:r>
        <w:rPr>
          <w:rFonts w:ascii="Times New Roman" w:hAnsi="Times New Roman" w:cs="宋体" w:hint="eastAsia"/>
          <w:sz w:val="18"/>
          <w:szCs w:val="18"/>
        </w:rPr>
        <w:t>、根据《关于商业银行资本构成信息披露的监管要求》的规定，公司在官方网站</w:t>
      </w:r>
      <w:r>
        <w:rPr>
          <w:rFonts w:ascii="Times New Roman" w:hAnsi="Times New Roman" w:cs="宋体" w:hint="eastAsia"/>
          <w:sz w:val="18"/>
          <w:szCs w:val="18"/>
        </w:rPr>
        <w:t>(www.xmbankonline.com.cn)</w:t>
      </w:r>
      <w:r>
        <w:rPr>
          <w:rFonts w:ascii="Times New Roman" w:hAnsi="Times New Roman" w:cs="宋体" w:hint="eastAsia"/>
          <w:sz w:val="18"/>
          <w:szCs w:val="18"/>
        </w:rPr>
        <w:t>投资者关系专栏披露本报告期资本构成表、有关科目展开说明表、资本工具主要特征等附表信息。</w:t>
      </w:r>
    </w:p>
    <w:p w:rsidR="00AD5BB5" w:rsidRDefault="00AD5BB5">
      <w:pPr>
        <w:rPr>
          <w:rFonts w:ascii="Times New Roman" w:hAnsi="Times New Roman" w:cs="宋体"/>
          <w:sz w:val="18"/>
          <w:szCs w:val="18"/>
        </w:rPr>
      </w:pPr>
    </w:p>
    <w:p w:rsidR="00AD5BB5" w:rsidRDefault="00F87FF6">
      <w:pPr>
        <w:widowControl/>
        <w:numPr>
          <w:ilvl w:val="0"/>
          <w:numId w:val="7"/>
        </w:numPr>
        <w:spacing w:line="360" w:lineRule="auto"/>
        <w:jc w:val="left"/>
        <w:rPr>
          <w:rFonts w:ascii="Times New Roman" w:hAnsi="Times New Roman" w:cs="Times New Roman"/>
        </w:rPr>
      </w:pPr>
      <w:r>
        <w:rPr>
          <w:rFonts w:ascii="Times New Roman" w:hAnsi="Times New Roman" w:cs="Times New Roman"/>
        </w:rPr>
        <w:t>杠杆率</w:t>
      </w:r>
    </w:p>
    <w:p w:rsidR="00AD5BB5" w:rsidRDefault="00F87FF6">
      <w:pPr>
        <w:jc w:val="right"/>
        <w:rPr>
          <w:rFonts w:ascii="Times New Roman" w:hAnsi="Times New Roman" w:cs="Times New Roman"/>
        </w:rPr>
      </w:pPr>
      <w:r>
        <w:rPr>
          <w:rFonts w:ascii="Times New Roman" w:hAnsi="Times New Roman" w:cs="Times New Roman"/>
        </w:rPr>
        <w:lastRenderedPageBreak/>
        <w:t>单位：人民币千元</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1384"/>
        <w:gridCol w:w="1384"/>
        <w:gridCol w:w="1384"/>
        <w:gridCol w:w="1384"/>
      </w:tblGrid>
      <w:tr w:rsidR="00AD5BB5">
        <w:trPr>
          <w:trHeight w:val="165"/>
        </w:trPr>
        <w:tc>
          <w:tcPr>
            <w:tcW w:w="166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项目</w:t>
            </w:r>
          </w:p>
        </w:tc>
        <w:tc>
          <w:tcPr>
            <w:tcW w:w="83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2023</w:t>
            </w:r>
            <w:r>
              <w:rPr>
                <w:rFonts w:ascii="Times New Roman" w:hAnsi="Times New Roman" w:cs="宋体" w:hint="eastAsia"/>
              </w:rPr>
              <w:t>年</w:t>
            </w:r>
          </w:p>
          <w:p w:rsidR="00AD5BB5" w:rsidRDefault="00F87FF6">
            <w:pPr>
              <w:jc w:val="center"/>
              <w:rPr>
                <w:rFonts w:ascii="Times New Roman" w:hAnsi="Times New Roman" w:cs="宋体"/>
              </w:rPr>
            </w:pPr>
            <w:r>
              <w:rPr>
                <w:rFonts w:ascii="Times New Roman" w:hAnsi="Times New Roman" w:cs="宋体" w:hint="eastAsia"/>
              </w:rPr>
              <w:t>6</w:t>
            </w:r>
            <w:r>
              <w:rPr>
                <w:rFonts w:ascii="Times New Roman" w:hAnsi="Times New Roman" w:cs="宋体" w:hint="eastAsia"/>
              </w:rPr>
              <w:t>月</w:t>
            </w:r>
            <w:r>
              <w:rPr>
                <w:rFonts w:ascii="Times New Roman" w:hAnsi="Times New Roman" w:cs="宋体" w:hint="eastAsia"/>
              </w:rPr>
              <w:t>30</w:t>
            </w:r>
            <w:r>
              <w:rPr>
                <w:rFonts w:ascii="Times New Roman" w:hAnsi="Times New Roman" w:cs="宋体" w:hint="eastAsia"/>
              </w:rPr>
              <w:t>日</w:t>
            </w:r>
          </w:p>
        </w:tc>
        <w:tc>
          <w:tcPr>
            <w:tcW w:w="83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2023</w:t>
            </w:r>
            <w:r>
              <w:rPr>
                <w:rFonts w:ascii="Times New Roman" w:hAnsi="Times New Roman" w:cs="宋体" w:hint="eastAsia"/>
              </w:rPr>
              <w:t>年</w:t>
            </w:r>
          </w:p>
          <w:p w:rsidR="00AD5BB5" w:rsidRDefault="00F87FF6">
            <w:pPr>
              <w:jc w:val="center"/>
              <w:rPr>
                <w:rFonts w:ascii="Times New Roman" w:hAnsi="Times New Roman" w:cs="宋体"/>
              </w:rPr>
            </w:pPr>
            <w:r>
              <w:rPr>
                <w:rFonts w:ascii="Times New Roman" w:hAnsi="Times New Roman" w:cs="宋体" w:hint="eastAsia"/>
              </w:rPr>
              <w:t>3</w:t>
            </w:r>
            <w:r>
              <w:rPr>
                <w:rFonts w:ascii="Times New Roman" w:hAnsi="Times New Roman" w:cs="宋体" w:hint="eastAsia"/>
              </w:rPr>
              <w:t>月</w:t>
            </w:r>
            <w:r>
              <w:rPr>
                <w:rFonts w:ascii="Times New Roman" w:hAnsi="Times New Roman" w:cs="宋体" w:hint="eastAsia"/>
              </w:rPr>
              <w:t>31</w:t>
            </w:r>
            <w:r>
              <w:rPr>
                <w:rFonts w:ascii="Times New Roman" w:hAnsi="Times New Roman" w:cs="宋体" w:hint="eastAsia"/>
              </w:rPr>
              <w:t>日</w:t>
            </w:r>
          </w:p>
        </w:tc>
        <w:tc>
          <w:tcPr>
            <w:tcW w:w="83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2022</w:t>
            </w:r>
            <w:r>
              <w:rPr>
                <w:rFonts w:ascii="Times New Roman" w:hAnsi="Times New Roman" w:cs="宋体" w:hint="eastAsia"/>
              </w:rPr>
              <w:t>年</w:t>
            </w:r>
          </w:p>
          <w:p w:rsidR="00AD5BB5" w:rsidRDefault="00F87FF6">
            <w:pPr>
              <w:jc w:val="center"/>
              <w:rPr>
                <w:rFonts w:ascii="Times New Roman" w:hAnsi="Times New Roman" w:cs="宋体"/>
              </w:rPr>
            </w:pPr>
            <w:r>
              <w:rPr>
                <w:rFonts w:ascii="Times New Roman" w:hAnsi="Times New Roman" w:cs="宋体" w:hint="eastAsia"/>
              </w:rPr>
              <w:t>12</w:t>
            </w:r>
            <w:r>
              <w:rPr>
                <w:rFonts w:ascii="Times New Roman" w:hAnsi="Times New Roman" w:cs="宋体" w:hint="eastAsia"/>
              </w:rPr>
              <w:t>月</w:t>
            </w:r>
            <w:r>
              <w:rPr>
                <w:rFonts w:ascii="Times New Roman" w:hAnsi="Times New Roman" w:cs="宋体" w:hint="eastAsia"/>
              </w:rPr>
              <w:t>31</w:t>
            </w:r>
            <w:r>
              <w:rPr>
                <w:rFonts w:ascii="Times New Roman" w:hAnsi="Times New Roman" w:cs="宋体" w:hint="eastAsia"/>
              </w:rPr>
              <w:t>日</w:t>
            </w:r>
          </w:p>
        </w:tc>
        <w:tc>
          <w:tcPr>
            <w:tcW w:w="83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2022</w:t>
            </w:r>
            <w:r>
              <w:rPr>
                <w:rFonts w:ascii="Times New Roman" w:hAnsi="Times New Roman" w:cs="宋体" w:hint="eastAsia"/>
              </w:rPr>
              <w:t>年</w:t>
            </w:r>
          </w:p>
          <w:p w:rsidR="00AD5BB5" w:rsidRDefault="00F87FF6">
            <w:pPr>
              <w:jc w:val="center"/>
              <w:rPr>
                <w:rFonts w:ascii="Times New Roman" w:hAnsi="Times New Roman" w:cs="宋体"/>
              </w:rPr>
            </w:pPr>
            <w:r>
              <w:rPr>
                <w:rFonts w:ascii="Times New Roman" w:hAnsi="Times New Roman" w:cs="宋体" w:hint="eastAsia"/>
              </w:rPr>
              <w:t>9</w:t>
            </w:r>
            <w:r>
              <w:rPr>
                <w:rFonts w:ascii="Times New Roman" w:hAnsi="Times New Roman" w:cs="宋体" w:hint="eastAsia"/>
              </w:rPr>
              <w:t>月</w:t>
            </w:r>
            <w:r>
              <w:rPr>
                <w:rFonts w:ascii="Times New Roman" w:hAnsi="Times New Roman" w:cs="宋体" w:hint="eastAsia"/>
              </w:rPr>
              <w:t>30</w:t>
            </w:r>
            <w:r>
              <w:rPr>
                <w:rFonts w:ascii="Times New Roman" w:hAnsi="Times New Roman" w:cs="宋体" w:hint="eastAsia"/>
              </w:rPr>
              <w:t>日</w:t>
            </w:r>
          </w:p>
        </w:tc>
      </w:tr>
      <w:tr w:rsidR="00AD5BB5">
        <w:trPr>
          <w:trHeight w:val="180"/>
        </w:trPr>
        <w:tc>
          <w:tcPr>
            <w:tcW w:w="166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一级资本净额</w:t>
            </w:r>
          </w:p>
        </w:tc>
        <w:tc>
          <w:tcPr>
            <w:tcW w:w="833"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25,402,599</w:t>
            </w:r>
          </w:p>
        </w:tc>
        <w:tc>
          <w:tcPr>
            <w:tcW w:w="833"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25,331,197</w:t>
            </w:r>
          </w:p>
        </w:tc>
        <w:tc>
          <w:tcPr>
            <w:tcW w:w="83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lang w:bidi="ar"/>
              </w:rPr>
              <w:t>24,448,444</w:t>
            </w:r>
          </w:p>
        </w:tc>
        <w:tc>
          <w:tcPr>
            <w:tcW w:w="83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textAlignment w:val="center"/>
              <w:rPr>
                <w:rFonts w:ascii="Times New Roman" w:hAnsi="Times New Roman" w:cs="Times New Roman"/>
                <w:kern w:val="0"/>
                <w:lang w:bidi="ar"/>
              </w:rPr>
            </w:pPr>
            <w:r>
              <w:rPr>
                <w:rFonts w:ascii="Times New Roman" w:hAnsi="Times New Roman" w:cs="Times New Roman"/>
                <w:kern w:val="0"/>
                <w:lang w:bidi="ar"/>
              </w:rPr>
              <w:t>24,054,274</w:t>
            </w:r>
          </w:p>
        </w:tc>
      </w:tr>
      <w:tr w:rsidR="00AD5BB5">
        <w:trPr>
          <w:trHeight w:val="180"/>
        </w:trPr>
        <w:tc>
          <w:tcPr>
            <w:tcW w:w="166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调整后的表内外资产余额</w:t>
            </w:r>
          </w:p>
        </w:tc>
        <w:tc>
          <w:tcPr>
            <w:tcW w:w="833"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426,514,618</w:t>
            </w:r>
          </w:p>
        </w:tc>
        <w:tc>
          <w:tcPr>
            <w:tcW w:w="833"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455,440,844</w:t>
            </w:r>
          </w:p>
        </w:tc>
        <w:tc>
          <w:tcPr>
            <w:tcW w:w="83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textAlignment w:val="center"/>
              <w:rPr>
                <w:rFonts w:ascii="Times New Roman" w:hAnsi="Times New Roman" w:cs="Times New Roman"/>
                <w:kern w:val="0"/>
                <w:lang w:bidi="ar"/>
              </w:rPr>
            </w:pPr>
            <w:r>
              <w:rPr>
                <w:rFonts w:ascii="Times New Roman" w:hAnsi="Times New Roman" w:cs="Times New Roman"/>
                <w:kern w:val="0"/>
                <w:lang w:bidi="ar"/>
              </w:rPr>
              <w:t>469,830,563</w:t>
            </w:r>
          </w:p>
        </w:tc>
        <w:tc>
          <w:tcPr>
            <w:tcW w:w="83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textAlignment w:val="center"/>
              <w:rPr>
                <w:rFonts w:ascii="Times New Roman" w:hAnsi="Times New Roman" w:cs="Times New Roman"/>
                <w:kern w:val="0"/>
                <w:lang w:bidi="ar"/>
              </w:rPr>
            </w:pPr>
            <w:r>
              <w:rPr>
                <w:rFonts w:ascii="Times New Roman" w:hAnsi="Times New Roman" w:cs="Times New Roman"/>
                <w:kern w:val="0"/>
                <w:lang w:bidi="ar"/>
              </w:rPr>
              <w:t>455,021,073</w:t>
            </w:r>
          </w:p>
        </w:tc>
      </w:tr>
      <w:tr w:rsidR="00AD5BB5">
        <w:trPr>
          <w:trHeight w:val="180"/>
        </w:trPr>
        <w:tc>
          <w:tcPr>
            <w:tcW w:w="166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杠杆率（</w:t>
            </w:r>
            <w:r>
              <w:rPr>
                <w:rFonts w:ascii="Times New Roman" w:hAnsi="Times New Roman" w:cs="宋体" w:hint="eastAsia"/>
              </w:rPr>
              <w:t>%</w:t>
            </w:r>
            <w:r>
              <w:rPr>
                <w:rFonts w:ascii="Times New Roman" w:hAnsi="Times New Roman" w:cs="宋体" w:hint="eastAsia"/>
              </w:rPr>
              <w:t>）</w:t>
            </w:r>
          </w:p>
        </w:tc>
        <w:tc>
          <w:tcPr>
            <w:tcW w:w="833"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5.96</w:t>
            </w:r>
          </w:p>
        </w:tc>
        <w:tc>
          <w:tcPr>
            <w:tcW w:w="833"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5.56</w:t>
            </w:r>
          </w:p>
        </w:tc>
        <w:tc>
          <w:tcPr>
            <w:tcW w:w="83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textAlignment w:val="center"/>
              <w:rPr>
                <w:rFonts w:ascii="Times New Roman" w:hAnsi="Times New Roman" w:cs="Times New Roman"/>
                <w:kern w:val="0"/>
                <w:lang w:bidi="ar"/>
              </w:rPr>
            </w:pPr>
            <w:r>
              <w:rPr>
                <w:rFonts w:ascii="Times New Roman" w:hAnsi="Times New Roman" w:cs="Times New Roman"/>
                <w:kern w:val="0"/>
                <w:lang w:bidi="ar"/>
              </w:rPr>
              <w:t>5.20</w:t>
            </w:r>
          </w:p>
        </w:tc>
        <w:tc>
          <w:tcPr>
            <w:tcW w:w="83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textAlignment w:val="center"/>
              <w:rPr>
                <w:rFonts w:ascii="Times New Roman" w:hAnsi="Times New Roman" w:cs="Times New Roman"/>
                <w:kern w:val="0"/>
                <w:lang w:bidi="ar"/>
              </w:rPr>
            </w:pPr>
            <w:r>
              <w:rPr>
                <w:rFonts w:ascii="Times New Roman" w:hAnsi="Times New Roman" w:cs="Times New Roman"/>
                <w:kern w:val="0"/>
                <w:lang w:bidi="ar"/>
              </w:rPr>
              <w:t>5.29</w:t>
            </w:r>
          </w:p>
        </w:tc>
      </w:tr>
    </w:tbl>
    <w:p w:rsidR="00AD5BB5" w:rsidRDefault="00AD5BB5">
      <w:pPr>
        <w:rPr>
          <w:rFonts w:ascii="Times New Roman" w:hAnsi="Times New Roman" w:cs="Times New Roman"/>
        </w:rPr>
      </w:pPr>
    </w:p>
    <w:p w:rsidR="00AD5BB5" w:rsidRDefault="00F87FF6">
      <w:pPr>
        <w:widowControl/>
        <w:numPr>
          <w:ilvl w:val="0"/>
          <w:numId w:val="7"/>
        </w:numPr>
        <w:spacing w:line="360" w:lineRule="auto"/>
        <w:jc w:val="left"/>
        <w:rPr>
          <w:rFonts w:ascii="Times New Roman" w:hAnsi="Times New Roman" w:cs="Times New Roman"/>
        </w:rPr>
      </w:pPr>
      <w:r>
        <w:rPr>
          <w:rFonts w:ascii="Times New Roman" w:hAnsi="Times New Roman" w:cs="Times New Roman"/>
        </w:rPr>
        <w:t>流动性覆盖率</w:t>
      </w:r>
    </w:p>
    <w:p w:rsidR="00AD5BB5" w:rsidRDefault="00F87FF6">
      <w:pPr>
        <w:jc w:val="right"/>
        <w:rPr>
          <w:rFonts w:ascii="Times New Roman" w:hAnsi="Times New Roman" w:cs="Times New Roman"/>
          <w:b/>
          <w:bCs/>
        </w:rPr>
      </w:pPr>
      <w:r>
        <w:rPr>
          <w:rFonts w:ascii="Times New Roman" w:hAnsi="Times New Roman" w:cs="Times New Roman"/>
        </w:rPr>
        <w:t>单位：人民币千元</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1383"/>
        <w:gridCol w:w="1476"/>
        <w:gridCol w:w="1527"/>
        <w:gridCol w:w="1521"/>
      </w:tblGrid>
      <w:tr w:rsidR="00AD5BB5">
        <w:tc>
          <w:tcPr>
            <w:tcW w:w="144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项目</w:t>
            </w:r>
          </w:p>
        </w:tc>
        <w:tc>
          <w:tcPr>
            <w:tcW w:w="83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2023</w:t>
            </w:r>
            <w:r>
              <w:rPr>
                <w:rFonts w:ascii="Times New Roman" w:hAnsi="Times New Roman" w:cs="宋体" w:hint="eastAsia"/>
              </w:rPr>
              <w:t>年</w:t>
            </w:r>
          </w:p>
          <w:p w:rsidR="00AD5BB5" w:rsidRDefault="00F87FF6">
            <w:pPr>
              <w:jc w:val="center"/>
              <w:rPr>
                <w:rFonts w:ascii="Times New Roman" w:hAnsi="Times New Roman" w:cs="宋体"/>
              </w:rPr>
            </w:pPr>
            <w:r>
              <w:rPr>
                <w:rFonts w:ascii="Times New Roman" w:hAnsi="Times New Roman" w:cs="宋体" w:hint="eastAsia"/>
              </w:rPr>
              <w:t>6</w:t>
            </w:r>
            <w:r>
              <w:rPr>
                <w:rFonts w:ascii="Times New Roman" w:hAnsi="Times New Roman" w:cs="宋体" w:hint="eastAsia"/>
              </w:rPr>
              <w:t>月</w:t>
            </w:r>
            <w:r>
              <w:rPr>
                <w:rFonts w:ascii="Times New Roman" w:hAnsi="Times New Roman" w:cs="宋体" w:hint="eastAsia"/>
              </w:rPr>
              <w:t>30</w:t>
            </w:r>
            <w:r>
              <w:rPr>
                <w:rFonts w:ascii="Times New Roman" w:hAnsi="Times New Roman" w:cs="宋体" w:hint="eastAsia"/>
              </w:rPr>
              <w:t>日</w:t>
            </w:r>
          </w:p>
        </w:tc>
        <w:tc>
          <w:tcPr>
            <w:tcW w:w="889"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2023</w:t>
            </w:r>
            <w:r>
              <w:rPr>
                <w:rFonts w:ascii="Times New Roman" w:hAnsi="Times New Roman" w:cs="宋体" w:hint="eastAsia"/>
              </w:rPr>
              <w:t>年</w:t>
            </w:r>
          </w:p>
          <w:p w:rsidR="00AD5BB5" w:rsidRDefault="00F87FF6">
            <w:pPr>
              <w:jc w:val="center"/>
              <w:rPr>
                <w:rFonts w:ascii="Times New Roman" w:hAnsi="Times New Roman" w:cs="宋体"/>
              </w:rPr>
            </w:pPr>
            <w:r>
              <w:rPr>
                <w:rFonts w:ascii="Times New Roman" w:hAnsi="Times New Roman" w:cs="宋体" w:hint="eastAsia"/>
              </w:rPr>
              <w:t>3</w:t>
            </w:r>
            <w:r>
              <w:rPr>
                <w:rFonts w:ascii="Times New Roman" w:hAnsi="Times New Roman" w:cs="宋体" w:hint="eastAsia"/>
              </w:rPr>
              <w:t>月</w:t>
            </w:r>
            <w:r>
              <w:rPr>
                <w:rFonts w:ascii="Times New Roman" w:hAnsi="Times New Roman" w:cs="宋体" w:hint="eastAsia"/>
              </w:rPr>
              <w:t>31</w:t>
            </w:r>
            <w:r>
              <w:rPr>
                <w:rFonts w:ascii="Times New Roman" w:hAnsi="Times New Roman" w:cs="宋体" w:hint="eastAsia"/>
              </w:rPr>
              <w:t>日</w:t>
            </w:r>
          </w:p>
        </w:tc>
        <w:tc>
          <w:tcPr>
            <w:tcW w:w="92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2022</w:t>
            </w:r>
            <w:r>
              <w:rPr>
                <w:rFonts w:ascii="Times New Roman" w:hAnsi="Times New Roman" w:cs="宋体" w:hint="eastAsia"/>
              </w:rPr>
              <w:t>年</w:t>
            </w:r>
          </w:p>
          <w:p w:rsidR="00AD5BB5" w:rsidRDefault="00F87FF6">
            <w:pPr>
              <w:jc w:val="center"/>
              <w:rPr>
                <w:rFonts w:ascii="Times New Roman" w:hAnsi="Times New Roman" w:cs="宋体"/>
              </w:rPr>
            </w:pPr>
            <w:r>
              <w:rPr>
                <w:rFonts w:ascii="Times New Roman" w:hAnsi="Times New Roman" w:cs="宋体" w:hint="eastAsia"/>
              </w:rPr>
              <w:t>12</w:t>
            </w:r>
            <w:r>
              <w:rPr>
                <w:rFonts w:ascii="Times New Roman" w:hAnsi="Times New Roman" w:cs="宋体" w:hint="eastAsia"/>
              </w:rPr>
              <w:t>月</w:t>
            </w:r>
            <w:r>
              <w:rPr>
                <w:rFonts w:ascii="Times New Roman" w:hAnsi="Times New Roman" w:cs="宋体" w:hint="eastAsia"/>
              </w:rPr>
              <w:t>31</w:t>
            </w:r>
            <w:r>
              <w:rPr>
                <w:rFonts w:ascii="Times New Roman" w:hAnsi="Times New Roman" w:cs="宋体" w:hint="eastAsia"/>
              </w:rPr>
              <w:t>日</w:t>
            </w:r>
          </w:p>
        </w:tc>
        <w:tc>
          <w:tcPr>
            <w:tcW w:w="91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2022</w:t>
            </w:r>
            <w:r>
              <w:rPr>
                <w:rFonts w:ascii="Times New Roman" w:hAnsi="Times New Roman" w:cs="宋体" w:hint="eastAsia"/>
              </w:rPr>
              <w:t>年</w:t>
            </w:r>
          </w:p>
          <w:p w:rsidR="00AD5BB5" w:rsidRDefault="00F87FF6">
            <w:pPr>
              <w:jc w:val="center"/>
              <w:rPr>
                <w:rFonts w:ascii="Times New Roman" w:hAnsi="Times New Roman" w:cs="宋体"/>
              </w:rPr>
            </w:pPr>
            <w:r>
              <w:rPr>
                <w:rFonts w:ascii="Times New Roman" w:hAnsi="Times New Roman" w:cs="宋体" w:hint="eastAsia"/>
              </w:rPr>
              <w:t>9</w:t>
            </w:r>
            <w:r>
              <w:rPr>
                <w:rFonts w:ascii="Times New Roman" w:hAnsi="Times New Roman" w:cs="宋体" w:hint="eastAsia"/>
              </w:rPr>
              <w:t>月</w:t>
            </w:r>
            <w:r>
              <w:rPr>
                <w:rFonts w:ascii="Times New Roman" w:hAnsi="Times New Roman" w:cs="宋体" w:hint="eastAsia"/>
              </w:rPr>
              <w:t>30</w:t>
            </w:r>
            <w:r>
              <w:rPr>
                <w:rFonts w:ascii="Times New Roman" w:hAnsi="Times New Roman" w:cs="宋体" w:hint="eastAsia"/>
              </w:rPr>
              <w:t>日</w:t>
            </w:r>
          </w:p>
        </w:tc>
      </w:tr>
      <w:tr w:rsidR="00AD5BB5">
        <w:tc>
          <w:tcPr>
            <w:tcW w:w="144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合格优质流动性资产</w:t>
            </w:r>
          </w:p>
        </w:tc>
        <w:tc>
          <w:tcPr>
            <w:tcW w:w="83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54,045,611</w:t>
            </w:r>
          </w:p>
        </w:tc>
        <w:tc>
          <w:tcPr>
            <w:tcW w:w="889"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64,857,321</w:t>
            </w:r>
          </w:p>
        </w:tc>
        <w:tc>
          <w:tcPr>
            <w:tcW w:w="92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66,881,128</w:t>
            </w:r>
          </w:p>
        </w:tc>
        <w:tc>
          <w:tcPr>
            <w:tcW w:w="91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62,660,002</w:t>
            </w:r>
          </w:p>
        </w:tc>
      </w:tr>
      <w:tr w:rsidR="00AD5BB5">
        <w:tc>
          <w:tcPr>
            <w:tcW w:w="144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未来</w:t>
            </w:r>
            <w:r>
              <w:rPr>
                <w:rFonts w:ascii="Times New Roman" w:hAnsi="Times New Roman" w:cs="宋体" w:hint="eastAsia"/>
              </w:rPr>
              <w:t>30</w:t>
            </w:r>
            <w:r>
              <w:rPr>
                <w:rFonts w:ascii="Times New Roman" w:hAnsi="Times New Roman" w:cs="宋体" w:hint="eastAsia"/>
              </w:rPr>
              <w:t>天现金净流出量</w:t>
            </w:r>
          </w:p>
        </w:tc>
        <w:tc>
          <w:tcPr>
            <w:tcW w:w="83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23,863,686</w:t>
            </w:r>
          </w:p>
        </w:tc>
        <w:tc>
          <w:tcPr>
            <w:tcW w:w="889"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25,851,221</w:t>
            </w:r>
          </w:p>
        </w:tc>
        <w:tc>
          <w:tcPr>
            <w:tcW w:w="92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19,233,307</w:t>
            </w:r>
          </w:p>
        </w:tc>
        <w:tc>
          <w:tcPr>
            <w:tcW w:w="91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22,616,744</w:t>
            </w:r>
          </w:p>
        </w:tc>
      </w:tr>
      <w:tr w:rsidR="00AD5BB5">
        <w:tc>
          <w:tcPr>
            <w:tcW w:w="144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流动性覆盖率（</w:t>
            </w:r>
            <w:r>
              <w:rPr>
                <w:rFonts w:ascii="Times New Roman" w:hAnsi="Times New Roman" w:cs="宋体" w:hint="eastAsia"/>
              </w:rPr>
              <w:t>%</w:t>
            </w:r>
            <w:r>
              <w:rPr>
                <w:rFonts w:ascii="Times New Roman" w:hAnsi="Times New Roman" w:cs="宋体" w:hint="eastAsia"/>
              </w:rPr>
              <w:t>）</w:t>
            </w:r>
          </w:p>
        </w:tc>
        <w:tc>
          <w:tcPr>
            <w:tcW w:w="83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226.48</w:t>
            </w:r>
          </w:p>
        </w:tc>
        <w:tc>
          <w:tcPr>
            <w:tcW w:w="889"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kern w:val="0"/>
                <w:szCs w:val="21"/>
                <w:lang w:bidi="ar"/>
              </w:rPr>
              <w:t>250.89</w:t>
            </w:r>
          </w:p>
        </w:tc>
        <w:tc>
          <w:tcPr>
            <w:tcW w:w="92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center"/>
              <w:textAlignment w:val="center"/>
              <w:rPr>
                <w:rFonts w:ascii="Times New Roman" w:hAnsi="Times New Roman" w:cs="Times New Roman"/>
              </w:rPr>
            </w:pPr>
            <w:r>
              <w:rPr>
                <w:rFonts w:ascii="Times New Roman" w:hAnsi="Times New Roman" w:cs="Times New Roman"/>
                <w:kern w:val="0"/>
                <w:szCs w:val="21"/>
                <w:lang w:bidi="ar"/>
              </w:rPr>
              <w:t>347.74</w:t>
            </w:r>
          </w:p>
        </w:tc>
        <w:tc>
          <w:tcPr>
            <w:tcW w:w="91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center"/>
              <w:textAlignment w:val="center"/>
              <w:rPr>
                <w:rFonts w:ascii="Times New Roman" w:hAnsi="Times New Roman" w:cs="Times New Roman"/>
              </w:rPr>
            </w:pPr>
            <w:r>
              <w:rPr>
                <w:rFonts w:ascii="Times New Roman" w:hAnsi="Times New Roman" w:cs="Times New Roman"/>
                <w:kern w:val="0"/>
                <w:szCs w:val="21"/>
                <w:lang w:bidi="ar"/>
              </w:rPr>
              <w:t>277.05</w:t>
            </w:r>
          </w:p>
        </w:tc>
      </w:tr>
    </w:tbl>
    <w:p w:rsidR="00AD5BB5" w:rsidRDefault="00AD5BB5">
      <w:pPr>
        <w:rPr>
          <w:rFonts w:ascii="Times New Roman" w:hAnsi="Times New Roman" w:cs="Times New Roman"/>
        </w:rPr>
      </w:pPr>
    </w:p>
    <w:p w:rsidR="00AD5BB5" w:rsidRDefault="00F87FF6">
      <w:pPr>
        <w:widowControl/>
        <w:spacing w:line="360" w:lineRule="auto"/>
        <w:jc w:val="left"/>
        <w:rPr>
          <w:rFonts w:ascii="Times New Roman" w:hAnsi="Times New Roman" w:cs="Times New Roman"/>
        </w:rPr>
      </w:pPr>
      <w:r>
        <w:rPr>
          <w:rFonts w:ascii="Times New Roman" w:hAnsi="Times New Roman" w:cs="Times New Roman"/>
        </w:rPr>
        <w:t>十三、</w:t>
      </w:r>
      <w:proofErr w:type="gramStart"/>
      <w:r>
        <w:rPr>
          <w:rFonts w:ascii="Times New Roman" w:hAnsi="Times New Roman" w:cs="Times New Roman"/>
        </w:rPr>
        <w:t>净稳定</w:t>
      </w:r>
      <w:proofErr w:type="gramEnd"/>
      <w:r>
        <w:rPr>
          <w:rFonts w:ascii="Times New Roman" w:hAnsi="Times New Roman" w:cs="Times New Roman"/>
        </w:rPr>
        <w:t>资金比例</w:t>
      </w:r>
    </w:p>
    <w:p w:rsidR="00AD5BB5" w:rsidRDefault="00F87FF6">
      <w:pPr>
        <w:jc w:val="right"/>
        <w:rPr>
          <w:rFonts w:ascii="Times New Roman" w:hAnsi="Times New Roman" w:cs="Times New Roman"/>
        </w:rPr>
      </w:pPr>
      <w:r>
        <w:rPr>
          <w:rFonts w:ascii="Times New Roman" w:hAnsi="Times New Roman" w:cs="Times New Roman"/>
        </w:rPr>
        <w:t>单位：人民币千元</w:t>
      </w:r>
    </w:p>
    <w:tbl>
      <w:tblPr>
        <w:tblpPr w:leftFromText="180" w:rightFromText="180" w:vertAnchor="text" w:horzAnchor="page" w:tblpX="1886" w:tblpY="58"/>
        <w:tblOverlap w:val="neve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1515"/>
        <w:gridCol w:w="1541"/>
        <w:gridCol w:w="1568"/>
        <w:gridCol w:w="1703"/>
      </w:tblGrid>
      <w:tr w:rsidR="00AD5BB5">
        <w:trPr>
          <w:trHeight w:val="165"/>
        </w:trPr>
        <w:tc>
          <w:tcPr>
            <w:tcW w:w="118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项目</w:t>
            </w:r>
          </w:p>
        </w:tc>
        <w:tc>
          <w:tcPr>
            <w:tcW w:w="91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2023</w:t>
            </w:r>
            <w:r>
              <w:rPr>
                <w:rFonts w:ascii="Times New Roman" w:hAnsi="Times New Roman" w:cs="宋体" w:hint="eastAsia"/>
              </w:rPr>
              <w:t>年</w:t>
            </w:r>
          </w:p>
          <w:p w:rsidR="00AD5BB5" w:rsidRDefault="00F87FF6">
            <w:pPr>
              <w:jc w:val="center"/>
              <w:rPr>
                <w:rFonts w:ascii="Times New Roman" w:hAnsi="Times New Roman" w:cs="宋体"/>
              </w:rPr>
            </w:pPr>
            <w:r>
              <w:rPr>
                <w:rFonts w:ascii="Times New Roman" w:hAnsi="Times New Roman" w:cs="宋体" w:hint="eastAsia"/>
              </w:rPr>
              <w:t>6</w:t>
            </w:r>
            <w:r>
              <w:rPr>
                <w:rFonts w:ascii="Times New Roman" w:hAnsi="Times New Roman" w:cs="宋体" w:hint="eastAsia"/>
              </w:rPr>
              <w:t>月</w:t>
            </w:r>
            <w:r>
              <w:rPr>
                <w:rFonts w:ascii="Times New Roman" w:hAnsi="Times New Roman" w:cs="宋体" w:hint="eastAsia"/>
              </w:rPr>
              <w:t>30</w:t>
            </w:r>
            <w:r>
              <w:rPr>
                <w:rFonts w:ascii="Times New Roman" w:hAnsi="Times New Roman" w:cs="宋体" w:hint="eastAsia"/>
              </w:rPr>
              <w:t>日</w:t>
            </w:r>
          </w:p>
        </w:tc>
        <w:tc>
          <w:tcPr>
            <w:tcW w:w="92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2023</w:t>
            </w:r>
            <w:r>
              <w:rPr>
                <w:rFonts w:ascii="Times New Roman" w:hAnsi="Times New Roman" w:cs="宋体" w:hint="eastAsia"/>
              </w:rPr>
              <w:t>年</w:t>
            </w:r>
          </w:p>
          <w:p w:rsidR="00AD5BB5" w:rsidRDefault="00F87FF6">
            <w:pPr>
              <w:jc w:val="center"/>
              <w:rPr>
                <w:rFonts w:ascii="Times New Roman" w:hAnsi="Times New Roman" w:cs="宋体"/>
              </w:rPr>
            </w:pPr>
            <w:r>
              <w:rPr>
                <w:rFonts w:ascii="Times New Roman" w:hAnsi="Times New Roman" w:cs="宋体" w:hint="eastAsia"/>
              </w:rPr>
              <w:t>3</w:t>
            </w:r>
            <w:r>
              <w:rPr>
                <w:rFonts w:ascii="Times New Roman" w:hAnsi="Times New Roman" w:cs="宋体" w:hint="eastAsia"/>
              </w:rPr>
              <w:t>月</w:t>
            </w:r>
            <w:r>
              <w:rPr>
                <w:rFonts w:ascii="Times New Roman" w:hAnsi="Times New Roman" w:cs="宋体" w:hint="eastAsia"/>
              </w:rPr>
              <w:t>31</w:t>
            </w:r>
            <w:r>
              <w:rPr>
                <w:rFonts w:ascii="Times New Roman" w:hAnsi="Times New Roman" w:cs="宋体" w:hint="eastAsia"/>
              </w:rPr>
              <w:t>日</w:t>
            </w:r>
          </w:p>
        </w:tc>
        <w:tc>
          <w:tcPr>
            <w:tcW w:w="94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2022</w:t>
            </w:r>
            <w:r>
              <w:rPr>
                <w:rFonts w:ascii="Times New Roman" w:hAnsi="Times New Roman" w:cs="宋体" w:hint="eastAsia"/>
              </w:rPr>
              <w:t>年</w:t>
            </w:r>
          </w:p>
          <w:p w:rsidR="00AD5BB5" w:rsidRDefault="00F87FF6">
            <w:pPr>
              <w:jc w:val="center"/>
              <w:rPr>
                <w:rFonts w:ascii="Times New Roman" w:hAnsi="Times New Roman" w:cs="宋体"/>
              </w:rPr>
            </w:pPr>
            <w:r>
              <w:rPr>
                <w:rFonts w:ascii="Times New Roman" w:hAnsi="Times New Roman" w:cs="宋体" w:hint="eastAsia"/>
              </w:rPr>
              <w:t>12</w:t>
            </w:r>
            <w:r>
              <w:rPr>
                <w:rFonts w:ascii="Times New Roman" w:hAnsi="Times New Roman" w:cs="宋体" w:hint="eastAsia"/>
              </w:rPr>
              <w:t>月</w:t>
            </w:r>
            <w:r>
              <w:rPr>
                <w:rFonts w:ascii="Times New Roman" w:hAnsi="Times New Roman" w:cs="宋体" w:hint="eastAsia"/>
              </w:rPr>
              <w:t>31</w:t>
            </w:r>
            <w:r>
              <w:rPr>
                <w:rFonts w:ascii="Times New Roman" w:hAnsi="Times New Roman" w:cs="宋体" w:hint="eastAsia"/>
              </w:rPr>
              <w:t>日</w:t>
            </w:r>
          </w:p>
        </w:tc>
        <w:tc>
          <w:tcPr>
            <w:tcW w:w="102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2022</w:t>
            </w:r>
            <w:r>
              <w:rPr>
                <w:rFonts w:ascii="Times New Roman" w:hAnsi="Times New Roman" w:cs="宋体" w:hint="eastAsia"/>
              </w:rPr>
              <w:t>年</w:t>
            </w:r>
          </w:p>
          <w:p w:rsidR="00AD5BB5" w:rsidRDefault="00F87FF6">
            <w:pPr>
              <w:jc w:val="center"/>
              <w:rPr>
                <w:rFonts w:ascii="Times New Roman" w:hAnsi="Times New Roman" w:cs="宋体"/>
              </w:rPr>
            </w:pPr>
            <w:r>
              <w:rPr>
                <w:rFonts w:ascii="Times New Roman" w:hAnsi="Times New Roman" w:cs="宋体" w:hint="eastAsia"/>
              </w:rPr>
              <w:t>9</w:t>
            </w:r>
            <w:r>
              <w:rPr>
                <w:rFonts w:ascii="Times New Roman" w:hAnsi="Times New Roman" w:cs="宋体" w:hint="eastAsia"/>
              </w:rPr>
              <w:t>月</w:t>
            </w:r>
            <w:r>
              <w:rPr>
                <w:rFonts w:ascii="Times New Roman" w:hAnsi="Times New Roman" w:cs="宋体" w:hint="eastAsia"/>
              </w:rPr>
              <w:t>30</w:t>
            </w:r>
            <w:r>
              <w:rPr>
                <w:rFonts w:ascii="Times New Roman" w:hAnsi="Times New Roman" w:cs="宋体" w:hint="eastAsia"/>
              </w:rPr>
              <w:t>日</w:t>
            </w:r>
          </w:p>
        </w:tc>
      </w:tr>
      <w:tr w:rsidR="00AD5BB5">
        <w:trPr>
          <w:trHeight w:val="180"/>
        </w:trPr>
        <w:tc>
          <w:tcPr>
            <w:tcW w:w="118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可用的稳定资金</w:t>
            </w:r>
          </w:p>
        </w:tc>
        <w:tc>
          <w:tcPr>
            <w:tcW w:w="91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190,160,970</w:t>
            </w:r>
          </w:p>
        </w:tc>
        <w:tc>
          <w:tcPr>
            <w:tcW w:w="92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191,933,879</w:t>
            </w:r>
          </w:p>
        </w:tc>
        <w:tc>
          <w:tcPr>
            <w:tcW w:w="94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194,760,983</w:t>
            </w:r>
          </w:p>
        </w:tc>
        <w:tc>
          <w:tcPr>
            <w:tcW w:w="102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176,437,114</w:t>
            </w:r>
          </w:p>
        </w:tc>
      </w:tr>
      <w:tr w:rsidR="00AD5BB5">
        <w:trPr>
          <w:trHeight w:val="180"/>
        </w:trPr>
        <w:tc>
          <w:tcPr>
            <w:tcW w:w="118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所需的稳定资金</w:t>
            </w:r>
          </w:p>
        </w:tc>
        <w:tc>
          <w:tcPr>
            <w:tcW w:w="91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164,873,864</w:t>
            </w:r>
          </w:p>
        </w:tc>
        <w:tc>
          <w:tcPr>
            <w:tcW w:w="92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167,423,973</w:t>
            </w:r>
          </w:p>
        </w:tc>
        <w:tc>
          <w:tcPr>
            <w:tcW w:w="94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174,030,277</w:t>
            </w:r>
          </w:p>
        </w:tc>
        <w:tc>
          <w:tcPr>
            <w:tcW w:w="102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161,409,420</w:t>
            </w:r>
          </w:p>
        </w:tc>
      </w:tr>
      <w:tr w:rsidR="00AD5BB5">
        <w:trPr>
          <w:trHeight w:val="180"/>
        </w:trPr>
        <w:tc>
          <w:tcPr>
            <w:tcW w:w="118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proofErr w:type="gramStart"/>
            <w:r>
              <w:rPr>
                <w:rFonts w:ascii="Times New Roman" w:hAnsi="Times New Roman" w:cs="宋体" w:hint="eastAsia"/>
              </w:rPr>
              <w:t>净稳定</w:t>
            </w:r>
            <w:proofErr w:type="gramEnd"/>
            <w:r>
              <w:rPr>
                <w:rFonts w:ascii="Times New Roman" w:hAnsi="Times New Roman" w:cs="宋体" w:hint="eastAsia"/>
              </w:rPr>
              <w:t>资金比例（</w:t>
            </w:r>
            <w:r>
              <w:rPr>
                <w:rFonts w:ascii="Times New Roman" w:hAnsi="Times New Roman" w:cs="宋体" w:hint="eastAsia"/>
              </w:rPr>
              <w:t>%</w:t>
            </w:r>
            <w:r>
              <w:rPr>
                <w:rFonts w:ascii="Times New Roman" w:hAnsi="Times New Roman" w:cs="宋体" w:hint="eastAsia"/>
              </w:rPr>
              <w:t>）</w:t>
            </w:r>
          </w:p>
        </w:tc>
        <w:tc>
          <w:tcPr>
            <w:tcW w:w="91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115.34</w:t>
            </w:r>
          </w:p>
        </w:tc>
        <w:tc>
          <w:tcPr>
            <w:tcW w:w="92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center"/>
              <w:textAlignment w:val="center"/>
              <w:rPr>
                <w:rFonts w:ascii="Times New Roman" w:hAnsi="Times New Roman" w:cs="Times New Roman"/>
                <w:kern w:val="0"/>
                <w:szCs w:val="21"/>
                <w:lang w:bidi="ar"/>
              </w:rPr>
            </w:pPr>
            <w:r>
              <w:rPr>
                <w:rFonts w:ascii="Times New Roman" w:hAnsi="Times New Roman" w:cs="Times New Roman"/>
                <w:kern w:val="0"/>
                <w:szCs w:val="21"/>
                <w:lang w:bidi="ar"/>
              </w:rPr>
              <w:t>114.64</w:t>
            </w:r>
          </w:p>
        </w:tc>
        <w:tc>
          <w:tcPr>
            <w:tcW w:w="94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center"/>
              <w:textAlignment w:val="center"/>
              <w:rPr>
                <w:rFonts w:ascii="Times New Roman" w:hAnsi="Times New Roman" w:cs="Times New Roman"/>
              </w:rPr>
            </w:pPr>
            <w:r>
              <w:rPr>
                <w:rFonts w:ascii="Times New Roman" w:hAnsi="Times New Roman" w:cs="Times New Roman"/>
                <w:kern w:val="0"/>
                <w:szCs w:val="21"/>
                <w:lang w:bidi="ar"/>
              </w:rPr>
              <w:t>111.91</w:t>
            </w:r>
          </w:p>
        </w:tc>
        <w:tc>
          <w:tcPr>
            <w:tcW w:w="102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center"/>
              <w:textAlignment w:val="center"/>
              <w:rPr>
                <w:rFonts w:ascii="Times New Roman" w:hAnsi="Times New Roman" w:cs="Times New Roman"/>
              </w:rPr>
            </w:pPr>
            <w:r>
              <w:rPr>
                <w:rFonts w:ascii="Times New Roman" w:hAnsi="Times New Roman" w:cs="Times New Roman"/>
                <w:kern w:val="0"/>
                <w:szCs w:val="21"/>
                <w:lang w:bidi="ar"/>
              </w:rPr>
              <w:t>109.31</w:t>
            </w:r>
          </w:p>
        </w:tc>
      </w:tr>
    </w:tbl>
    <w:p w:rsidR="00AD5BB5" w:rsidRDefault="00F87FF6">
      <w:pPr>
        <w:widowControl/>
        <w:jc w:val="left"/>
        <w:rPr>
          <w:rFonts w:ascii="Times New Roman" w:hAnsi="Times New Roman"/>
        </w:rPr>
      </w:pPr>
      <w:r>
        <w:rPr>
          <w:rFonts w:ascii="Times New Roman" w:hAnsi="Times New Roman"/>
        </w:rPr>
        <w:br w:type="page"/>
      </w:r>
    </w:p>
    <w:p w:rsidR="00AD5BB5" w:rsidRDefault="00F87FF6">
      <w:pPr>
        <w:pStyle w:val="1"/>
        <w:ind w:firstLineChars="900" w:firstLine="2530"/>
        <w:jc w:val="both"/>
        <w:rPr>
          <w:color w:val="FF0000"/>
        </w:rPr>
      </w:pPr>
      <w:r>
        <w:rPr>
          <w:rFonts w:hint="eastAsia"/>
        </w:rPr>
        <w:lastRenderedPageBreak/>
        <w:t>第三节</w:t>
      </w:r>
      <w:r>
        <w:rPr>
          <w:rFonts w:hint="eastAsia"/>
        </w:rPr>
        <w:t xml:space="preserve">  </w:t>
      </w:r>
      <w:bookmarkStart w:id="23" w:name="_Toc68005710"/>
      <w:bookmarkEnd w:id="20"/>
      <w:r>
        <w:rPr>
          <w:rFonts w:hint="eastAsia"/>
        </w:rPr>
        <w:t>管理</w:t>
      </w:r>
      <w:proofErr w:type="gramStart"/>
      <w:r>
        <w:rPr>
          <w:rFonts w:hint="eastAsia"/>
        </w:rPr>
        <w:t>层讨论</w:t>
      </w:r>
      <w:proofErr w:type="gramEnd"/>
      <w:r>
        <w:rPr>
          <w:rFonts w:hint="eastAsia"/>
        </w:rPr>
        <w:t>与分析</w:t>
      </w:r>
      <w:bookmarkEnd w:id="21"/>
      <w:bookmarkEnd w:id="23"/>
    </w:p>
    <w:p w:rsidR="00AD5BB5" w:rsidRDefault="00F87FF6">
      <w:pPr>
        <w:pStyle w:val="2"/>
        <w:numPr>
          <w:ilvl w:val="0"/>
          <w:numId w:val="8"/>
        </w:numPr>
        <w:tabs>
          <w:tab w:val="left" w:pos="426"/>
        </w:tabs>
        <w:spacing w:line="360" w:lineRule="auto"/>
        <w:jc w:val="left"/>
      </w:pPr>
      <w:r>
        <w:rPr>
          <w:rFonts w:ascii="宋体" w:hAnsi="宋体" w:hint="eastAsia"/>
        </w:rPr>
        <w:t>报告期内公司所属行业及主营业务情况说明</w:t>
      </w:r>
    </w:p>
    <w:p w:rsidR="00AD5BB5" w:rsidRDefault="00F87FF6">
      <w:pPr>
        <w:pStyle w:val="2"/>
        <w:numPr>
          <w:ilvl w:val="0"/>
          <w:numId w:val="9"/>
        </w:numPr>
        <w:tabs>
          <w:tab w:val="left" w:pos="426"/>
        </w:tabs>
        <w:spacing w:line="360" w:lineRule="auto"/>
        <w:jc w:val="left"/>
        <w:rPr>
          <w:rFonts w:ascii="宋体" w:hAnsi="宋体"/>
        </w:rPr>
      </w:pPr>
      <w:r>
        <w:rPr>
          <w:rFonts w:ascii="宋体" w:hAnsi="宋体" w:hint="eastAsia"/>
        </w:rPr>
        <w:t>行业发展情况</w:t>
      </w:r>
      <w:r>
        <w:rPr>
          <w:rFonts w:ascii="宋体" w:hAnsi="宋体"/>
          <w:color w:val="FF0000"/>
        </w:rPr>
        <w:t xml:space="preserve"> </w:t>
      </w:r>
      <w:r>
        <w:rPr>
          <w:rFonts w:ascii="宋体" w:hAnsi="宋体"/>
        </w:rPr>
        <w:t xml:space="preserve">  </w:t>
      </w:r>
    </w:p>
    <w:p w:rsidR="00AD5BB5" w:rsidRDefault="00F87FF6">
      <w:pPr>
        <w:widowControl/>
        <w:tabs>
          <w:tab w:val="left" w:pos="2576"/>
        </w:tabs>
        <w:spacing w:line="360" w:lineRule="auto"/>
        <w:ind w:firstLineChars="200" w:firstLine="420"/>
        <w:rPr>
          <w:rFonts w:ascii="Times New Roman" w:hAnsi="Times New Roman" w:cs="Times New Roman"/>
          <w:bCs/>
        </w:rPr>
      </w:pPr>
      <w:r>
        <w:rPr>
          <w:rFonts w:ascii="Times New Roman" w:hAnsi="Times New Roman" w:cs="Times New Roman"/>
          <w:bCs/>
        </w:rPr>
        <w:t>2023</w:t>
      </w:r>
      <w:r>
        <w:rPr>
          <w:rFonts w:ascii="Times New Roman" w:hAnsi="Times New Roman" w:cs="Times New Roman" w:hint="eastAsia"/>
          <w:bCs/>
        </w:rPr>
        <w:t>年上半年，全球经济复苏形势依然严峻，俄</w:t>
      </w:r>
      <w:proofErr w:type="gramStart"/>
      <w:r>
        <w:rPr>
          <w:rFonts w:ascii="Times New Roman" w:hAnsi="Times New Roman" w:cs="Times New Roman" w:hint="eastAsia"/>
          <w:bCs/>
        </w:rPr>
        <w:t>乌冲突</w:t>
      </w:r>
      <w:proofErr w:type="gramEnd"/>
      <w:r>
        <w:rPr>
          <w:rFonts w:ascii="Times New Roman" w:hAnsi="Times New Roman" w:cs="Times New Roman" w:hint="eastAsia"/>
          <w:bCs/>
        </w:rPr>
        <w:t>持续和主要经济体的金融环境急速紧缩都制约着世界经济的恢复。</w:t>
      </w:r>
      <w:r>
        <w:rPr>
          <w:rFonts w:ascii="Times New Roman" w:hAnsi="Times New Roman" w:cs="Times New Roman"/>
          <w:bCs/>
        </w:rPr>
        <w:t>6</w:t>
      </w:r>
      <w:r>
        <w:rPr>
          <w:rFonts w:ascii="Times New Roman" w:hAnsi="Times New Roman" w:cs="Times New Roman" w:hint="eastAsia"/>
          <w:bCs/>
        </w:rPr>
        <w:t>月，世界银行在最新的《全球经济展望》中指出，在全球利率上升的背景下，全球经济增长已大幅放缓，全球增长预计将从</w:t>
      </w:r>
      <w:r>
        <w:rPr>
          <w:rFonts w:ascii="Times New Roman" w:hAnsi="Times New Roman" w:cs="Times New Roman"/>
          <w:bCs/>
        </w:rPr>
        <w:t>2022</w:t>
      </w:r>
      <w:r>
        <w:rPr>
          <w:rFonts w:ascii="Times New Roman" w:hAnsi="Times New Roman" w:cs="Times New Roman" w:hint="eastAsia"/>
          <w:bCs/>
        </w:rPr>
        <w:t>年的</w:t>
      </w:r>
      <w:r>
        <w:rPr>
          <w:rFonts w:ascii="Times New Roman" w:hAnsi="Times New Roman" w:cs="Times New Roman"/>
          <w:bCs/>
        </w:rPr>
        <w:t>3.1%</w:t>
      </w:r>
      <w:r>
        <w:rPr>
          <w:rFonts w:ascii="Times New Roman" w:hAnsi="Times New Roman" w:cs="Times New Roman" w:hint="eastAsia"/>
          <w:bCs/>
        </w:rPr>
        <w:t>放缓至</w:t>
      </w:r>
      <w:r>
        <w:rPr>
          <w:rFonts w:ascii="Times New Roman" w:hAnsi="Times New Roman" w:cs="Times New Roman"/>
          <w:bCs/>
        </w:rPr>
        <w:t>2023</w:t>
      </w:r>
      <w:r>
        <w:rPr>
          <w:rFonts w:ascii="Times New Roman" w:hAnsi="Times New Roman" w:cs="Times New Roman" w:hint="eastAsia"/>
          <w:bCs/>
        </w:rPr>
        <w:t>年的</w:t>
      </w:r>
      <w:r>
        <w:rPr>
          <w:rFonts w:ascii="Times New Roman" w:hAnsi="Times New Roman" w:cs="Times New Roman"/>
          <w:bCs/>
        </w:rPr>
        <w:t>2.1%</w:t>
      </w:r>
      <w:r>
        <w:rPr>
          <w:rFonts w:ascii="Times New Roman" w:hAnsi="Times New Roman" w:cs="Times New Roman" w:hint="eastAsia"/>
          <w:bCs/>
        </w:rPr>
        <w:t>，这是自</w:t>
      </w:r>
      <w:r>
        <w:rPr>
          <w:rFonts w:ascii="Times New Roman" w:hAnsi="Times New Roman" w:cs="Times New Roman"/>
          <w:bCs/>
        </w:rPr>
        <w:t>2008</w:t>
      </w:r>
      <w:r>
        <w:rPr>
          <w:rFonts w:ascii="Times New Roman" w:hAnsi="Times New Roman" w:cs="Times New Roman" w:hint="eastAsia"/>
          <w:bCs/>
        </w:rPr>
        <w:t>年金融危机以来的最低水平。上半年，还爆发了</w:t>
      </w:r>
      <w:r>
        <w:rPr>
          <w:rFonts w:ascii="Times New Roman" w:hAnsi="Times New Roman" w:cs="Times New Roman"/>
          <w:bCs/>
        </w:rPr>
        <w:t>2008</w:t>
      </w:r>
      <w:r>
        <w:rPr>
          <w:rFonts w:ascii="Times New Roman" w:hAnsi="Times New Roman" w:cs="Times New Roman" w:hint="eastAsia"/>
          <w:bCs/>
        </w:rPr>
        <w:t>年来欧美银行业最大的危机事件，虽然这次欧美银行业震荡通过金融渠道对我国的冲击不大，但其中银行因高期限错配和高业务集中度逐步演化挤兑危机，值得中国银行业机构深入思考。</w:t>
      </w:r>
    </w:p>
    <w:p w:rsidR="00AD5BB5" w:rsidRDefault="00F87FF6">
      <w:pPr>
        <w:widowControl/>
        <w:tabs>
          <w:tab w:val="left" w:pos="2576"/>
        </w:tabs>
        <w:spacing w:line="360" w:lineRule="auto"/>
        <w:ind w:firstLineChars="200" w:firstLine="420"/>
        <w:rPr>
          <w:rFonts w:ascii="Times New Roman" w:hAnsi="Times New Roman" w:cs="Times New Roman"/>
          <w:bCs/>
        </w:rPr>
      </w:pPr>
      <w:r>
        <w:rPr>
          <w:rFonts w:ascii="Times New Roman" w:hAnsi="Times New Roman" w:cs="Times New Roman" w:hint="eastAsia"/>
          <w:bCs/>
        </w:rPr>
        <w:t>国内方面，上半年我国经济复苏路径呈现“波浪式发展、曲折式前进”过程，根据国家统计局披露的数据，上半年国内生产总值</w:t>
      </w:r>
      <w:r>
        <w:rPr>
          <w:rFonts w:ascii="Times New Roman" w:hAnsi="Times New Roman" w:cs="Times New Roman" w:hint="eastAsia"/>
          <w:bCs/>
        </w:rPr>
        <w:t>593,034</w:t>
      </w:r>
      <w:r>
        <w:rPr>
          <w:rFonts w:ascii="Times New Roman" w:hAnsi="Times New Roman" w:cs="Times New Roman" w:hint="eastAsia"/>
          <w:bCs/>
        </w:rPr>
        <w:t>亿元，按不变价格计算，同比增长</w:t>
      </w:r>
      <w:r>
        <w:rPr>
          <w:rFonts w:ascii="Times New Roman" w:hAnsi="Times New Roman" w:cs="Times New Roman" w:hint="eastAsia"/>
          <w:bCs/>
        </w:rPr>
        <w:t>5.5%</w:t>
      </w:r>
      <w:r>
        <w:rPr>
          <w:rFonts w:ascii="Times New Roman" w:hAnsi="Times New Roman" w:cs="Times New Roman" w:hint="eastAsia"/>
          <w:bCs/>
        </w:rPr>
        <w:t>。一季度，国内生产需求企稳回升，顺利实现良好开局；二季度，经济复苏面临多重压力，消费、工业冲高回落，制造业投资、房地产开发投资增速继续下行，</w:t>
      </w:r>
      <w:r>
        <w:rPr>
          <w:rFonts w:ascii="Times New Roman" w:hAnsi="Times New Roman" w:cs="Times New Roman" w:hint="eastAsia"/>
          <w:bCs/>
        </w:rPr>
        <w:t>CPI</w:t>
      </w:r>
      <w:r>
        <w:rPr>
          <w:rFonts w:ascii="Times New Roman" w:hAnsi="Times New Roman" w:cs="Times New Roman" w:hint="eastAsia"/>
          <w:bCs/>
        </w:rPr>
        <w:t>低位运行，</w:t>
      </w:r>
      <w:r>
        <w:rPr>
          <w:rFonts w:ascii="Times New Roman" w:hAnsi="Times New Roman" w:cs="Times New Roman" w:hint="eastAsia"/>
          <w:bCs/>
        </w:rPr>
        <w:t>PPI</w:t>
      </w:r>
      <w:r>
        <w:rPr>
          <w:rFonts w:ascii="Times New Roman" w:hAnsi="Times New Roman" w:cs="Times New Roman" w:hint="eastAsia"/>
          <w:bCs/>
        </w:rPr>
        <w:t>持续探底。</w:t>
      </w:r>
      <w:r>
        <w:rPr>
          <w:rFonts w:ascii="Times New Roman" w:hAnsi="Times New Roman" w:cs="Times New Roman" w:hint="eastAsia"/>
          <w:bCs/>
        </w:rPr>
        <w:t>7</w:t>
      </w:r>
      <w:r>
        <w:rPr>
          <w:rFonts w:ascii="Times New Roman" w:hAnsi="Times New Roman" w:cs="Times New Roman" w:hint="eastAsia"/>
          <w:bCs/>
        </w:rPr>
        <w:t>月政治局会议指明当前经济面临新的困难挑战，主要是国内需求不足、一些企业经营困难、重点领域风险隐患较多、外部环境复杂严峻。整体上看，经济修复进程虽有放缓、但未停滞；尽管当前面临不少困难，凭借巨大的发展韧性和潜力，我国经济长期向好的基本面没有改变。</w:t>
      </w:r>
    </w:p>
    <w:p w:rsidR="00AD5BB5" w:rsidRDefault="00F87FF6">
      <w:pPr>
        <w:spacing w:line="360" w:lineRule="auto"/>
        <w:ind w:firstLineChars="200" w:firstLine="420"/>
        <w:rPr>
          <w:rFonts w:ascii="Times New Roman" w:hAnsi="Times New Roman"/>
          <w:bCs/>
        </w:rPr>
      </w:pPr>
      <w:r>
        <w:rPr>
          <w:rFonts w:ascii="Times New Roman" w:hAnsi="Times New Roman" w:hint="eastAsia"/>
          <w:bCs/>
        </w:rPr>
        <w:t>据国家金融监督管理总局数据显示，</w:t>
      </w:r>
      <w:r>
        <w:rPr>
          <w:rFonts w:ascii="Times New Roman" w:hAnsi="Times New Roman" w:hint="eastAsia"/>
          <w:bCs/>
        </w:rPr>
        <w:t>2023</w:t>
      </w:r>
      <w:r>
        <w:rPr>
          <w:rFonts w:ascii="Times New Roman" w:hAnsi="Times New Roman" w:hint="eastAsia"/>
          <w:bCs/>
        </w:rPr>
        <w:t>年上半年银行业</w:t>
      </w:r>
      <w:r>
        <w:rPr>
          <w:rFonts w:ascii="Times New Roman" w:hAnsi="Times New Roman"/>
          <w:bCs/>
        </w:rPr>
        <w:t>运行总体稳健</w:t>
      </w:r>
      <w:r>
        <w:rPr>
          <w:rFonts w:ascii="Times New Roman" w:hAnsi="Times New Roman" w:hint="eastAsia"/>
          <w:bCs/>
        </w:rPr>
        <w:t>，</w:t>
      </w:r>
      <w:r>
        <w:rPr>
          <w:rFonts w:ascii="Times New Roman" w:hAnsi="Times New Roman"/>
          <w:bCs/>
        </w:rPr>
        <w:t>主要经营指标稳健增长</w:t>
      </w:r>
      <w:r>
        <w:rPr>
          <w:rFonts w:ascii="Times New Roman" w:hAnsi="Times New Roman" w:hint="eastAsia"/>
          <w:bCs/>
        </w:rPr>
        <w:t>，</w:t>
      </w:r>
      <w:r>
        <w:rPr>
          <w:rFonts w:ascii="Times New Roman" w:hAnsi="Times New Roman" w:hint="eastAsia"/>
          <w:bCs/>
        </w:rPr>
        <w:t>2023</w:t>
      </w:r>
      <w:r>
        <w:rPr>
          <w:rFonts w:ascii="Times New Roman" w:hAnsi="Times New Roman" w:hint="eastAsia"/>
          <w:bCs/>
        </w:rPr>
        <w:t>年</w:t>
      </w:r>
      <w:r>
        <w:rPr>
          <w:rFonts w:ascii="Times New Roman" w:hAnsi="Times New Roman" w:hint="eastAsia"/>
          <w:bCs/>
        </w:rPr>
        <w:t>6</w:t>
      </w:r>
      <w:r>
        <w:rPr>
          <w:rFonts w:ascii="Times New Roman" w:hAnsi="Times New Roman" w:hint="eastAsia"/>
          <w:bCs/>
        </w:rPr>
        <w:t>月末我国银行业金融机构总资产达到</w:t>
      </w:r>
      <w:r>
        <w:rPr>
          <w:rFonts w:ascii="Times New Roman" w:hAnsi="Times New Roman" w:hint="eastAsia"/>
          <w:bCs/>
        </w:rPr>
        <w:t>406.2</w:t>
      </w:r>
      <w:proofErr w:type="gramStart"/>
      <w:r>
        <w:rPr>
          <w:rFonts w:ascii="Times New Roman" w:hAnsi="Times New Roman" w:hint="eastAsia"/>
          <w:bCs/>
        </w:rPr>
        <w:t>万亿</w:t>
      </w:r>
      <w:proofErr w:type="gramEnd"/>
      <w:r>
        <w:rPr>
          <w:rFonts w:ascii="Times New Roman" w:hAnsi="Times New Roman" w:hint="eastAsia"/>
          <w:bCs/>
        </w:rPr>
        <w:t>元，同比增长</w:t>
      </w:r>
      <w:r>
        <w:rPr>
          <w:rFonts w:ascii="Times New Roman" w:hAnsi="Times New Roman" w:hint="eastAsia"/>
          <w:bCs/>
        </w:rPr>
        <w:t>10.5%</w:t>
      </w:r>
      <w:r>
        <w:rPr>
          <w:rFonts w:ascii="Times New Roman" w:hAnsi="Times New Roman" w:hint="eastAsia"/>
          <w:bCs/>
        </w:rPr>
        <w:t>，总负债</w:t>
      </w:r>
      <w:r>
        <w:rPr>
          <w:rFonts w:ascii="Times New Roman" w:hAnsi="Times New Roman" w:hint="eastAsia"/>
          <w:bCs/>
        </w:rPr>
        <w:t>366.3</w:t>
      </w:r>
      <w:proofErr w:type="gramStart"/>
      <w:r>
        <w:rPr>
          <w:rFonts w:ascii="Times New Roman" w:hAnsi="Times New Roman" w:hint="eastAsia"/>
          <w:bCs/>
        </w:rPr>
        <w:t>万亿</w:t>
      </w:r>
      <w:proofErr w:type="gramEnd"/>
      <w:r>
        <w:rPr>
          <w:rFonts w:ascii="Times New Roman" w:hAnsi="Times New Roman" w:hint="eastAsia"/>
          <w:bCs/>
        </w:rPr>
        <w:t>元，同比增长</w:t>
      </w:r>
      <w:r>
        <w:rPr>
          <w:rFonts w:ascii="Times New Roman" w:hAnsi="Times New Roman" w:hint="eastAsia"/>
          <w:bCs/>
        </w:rPr>
        <w:t>10.9%</w:t>
      </w:r>
      <w:r>
        <w:rPr>
          <w:rFonts w:ascii="Times New Roman" w:hAnsi="Times New Roman" w:hint="eastAsia"/>
          <w:bCs/>
        </w:rPr>
        <w:t>；同时，资产质量整体平稳向好，银行业金融机构不良贷款余额</w:t>
      </w:r>
      <w:r>
        <w:rPr>
          <w:rFonts w:ascii="Times New Roman" w:hAnsi="Times New Roman" w:hint="eastAsia"/>
          <w:bCs/>
        </w:rPr>
        <w:t>4</w:t>
      </w:r>
      <w:proofErr w:type="gramStart"/>
      <w:r>
        <w:rPr>
          <w:rFonts w:ascii="Times New Roman" w:hAnsi="Times New Roman" w:hint="eastAsia"/>
          <w:bCs/>
        </w:rPr>
        <w:t>万亿</w:t>
      </w:r>
      <w:proofErr w:type="gramEnd"/>
      <w:r>
        <w:rPr>
          <w:rFonts w:ascii="Times New Roman" w:hAnsi="Times New Roman" w:hint="eastAsia"/>
          <w:bCs/>
        </w:rPr>
        <w:t>元，不良贷款率</w:t>
      </w:r>
      <w:r>
        <w:rPr>
          <w:rFonts w:ascii="Times New Roman" w:hAnsi="Times New Roman" w:hint="eastAsia"/>
          <w:bCs/>
        </w:rPr>
        <w:t>1.68%</w:t>
      </w:r>
      <w:r>
        <w:rPr>
          <w:rFonts w:ascii="Times New Roman" w:hAnsi="Times New Roman" w:hint="eastAsia"/>
          <w:bCs/>
        </w:rPr>
        <w:t>，同比下降</w:t>
      </w:r>
      <w:r>
        <w:rPr>
          <w:rFonts w:ascii="Times New Roman" w:hAnsi="Times New Roman" w:hint="eastAsia"/>
          <w:bCs/>
        </w:rPr>
        <w:t>0.08</w:t>
      </w:r>
      <w:r>
        <w:rPr>
          <w:rFonts w:ascii="Times New Roman" w:hAnsi="Times New Roman" w:hint="eastAsia"/>
          <w:bCs/>
        </w:rPr>
        <w:t>个百分点；商业银行拨备覆盖率为</w:t>
      </w:r>
      <w:r>
        <w:rPr>
          <w:rFonts w:ascii="Times New Roman" w:hAnsi="Times New Roman" w:hint="eastAsia"/>
          <w:bCs/>
        </w:rPr>
        <w:t>206.1%</w:t>
      </w:r>
      <w:r>
        <w:rPr>
          <w:rFonts w:ascii="Times New Roman" w:hAnsi="Times New Roman" w:hint="eastAsia"/>
          <w:bCs/>
        </w:rPr>
        <w:t>，持续保持较高水平。从区域来看，</w:t>
      </w:r>
      <w:r>
        <w:rPr>
          <w:rFonts w:ascii="Times New Roman" w:hAnsi="Times New Roman"/>
          <w:bCs/>
        </w:rPr>
        <w:t>2023</w:t>
      </w:r>
      <w:r>
        <w:rPr>
          <w:rFonts w:ascii="Times New Roman" w:hAnsi="Times New Roman" w:hint="eastAsia"/>
          <w:bCs/>
        </w:rPr>
        <w:t>年上半年福建地区（不含厦门）银行业各项存款余额</w:t>
      </w:r>
      <w:r>
        <w:rPr>
          <w:rFonts w:ascii="Times New Roman" w:hAnsi="Times New Roman"/>
          <w:bCs/>
        </w:rPr>
        <w:t>5.41</w:t>
      </w:r>
      <w:proofErr w:type="gramStart"/>
      <w:r>
        <w:rPr>
          <w:rFonts w:ascii="Times New Roman" w:hAnsi="Times New Roman" w:hint="eastAsia"/>
          <w:bCs/>
        </w:rPr>
        <w:t>万亿</w:t>
      </w:r>
      <w:proofErr w:type="gramEnd"/>
      <w:r>
        <w:rPr>
          <w:rFonts w:ascii="Times New Roman" w:hAnsi="Times New Roman" w:hint="eastAsia"/>
          <w:bCs/>
        </w:rPr>
        <w:t>元，同比增长</w:t>
      </w:r>
      <w:r>
        <w:rPr>
          <w:rFonts w:ascii="Times New Roman" w:hAnsi="Times New Roman"/>
          <w:bCs/>
        </w:rPr>
        <w:t>14.32%</w:t>
      </w:r>
      <w:r>
        <w:rPr>
          <w:rFonts w:ascii="Times New Roman" w:hAnsi="Times New Roman" w:hint="eastAsia"/>
          <w:bCs/>
        </w:rPr>
        <w:t>；各项贷款余额</w:t>
      </w:r>
      <w:r>
        <w:rPr>
          <w:rFonts w:ascii="Times New Roman" w:hAnsi="Times New Roman"/>
          <w:bCs/>
        </w:rPr>
        <w:t>6.09</w:t>
      </w:r>
      <w:proofErr w:type="gramStart"/>
      <w:r>
        <w:rPr>
          <w:rFonts w:ascii="Times New Roman" w:hAnsi="Times New Roman" w:hint="eastAsia"/>
          <w:bCs/>
        </w:rPr>
        <w:t>万亿</w:t>
      </w:r>
      <w:proofErr w:type="gramEnd"/>
      <w:r>
        <w:rPr>
          <w:rFonts w:ascii="Times New Roman" w:hAnsi="Times New Roman" w:hint="eastAsia"/>
          <w:bCs/>
        </w:rPr>
        <w:t>元，同比增长</w:t>
      </w:r>
      <w:r>
        <w:rPr>
          <w:rFonts w:ascii="Times New Roman" w:hAnsi="Times New Roman"/>
          <w:bCs/>
        </w:rPr>
        <w:t>8.46%</w:t>
      </w:r>
      <w:r>
        <w:rPr>
          <w:rFonts w:ascii="Times New Roman" w:hAnsi="Times New Roman" w:hint="eastAsia"/>
          <w:bCs/>
        </w:rPr>
        <w:t>；不良率为</w:t>
      </w:r>
      <w:r>
        <w:rPr>
          <w:rFonts w:ascii="Times New Roman" w:hAnsi="Times New Roman"/>
          <w:bCs/>
        </w:rPr>
        <w:t>1.09%</w:t>
      </w:r>
      <w:r>
        <w:rPr>
          <w:rFonts w:ascii="Times New Roman" w:hAnsi="Times New Roman" w:hint="eastAsia"/>
          <w:bCs/>
        </w:rPr>
        <w:t>。</w:t>
      </w:r>
      <w:r>
        <w:rPr>
          <w:rFonts w:ascii="Times New Roman" w:hAnsi="Times New Roman"/>
          <w:bCs/>
        </w:rPr>
        <w:t>2023</w:t>
      </w:r>
      <w:r>
        <w:rPr>
          <w:rFonts w:ascii="Times New Roman" w:hAnsi="Times New Roman" w:hint="eastAsia"/>
          <w:bCs/>
        </w:rPr>
        <w:t>年上半年厦门地区银行业总资产</w:t>
      </w:r>
      <w:r>
        <w:rPr>
          <w:rFonts w:ascii="Times New Roman" w:hAnsi="Times New Roman"/>
          <w:bCs/>
        </w:rPr>
        <w:t>2.56</w:t>
      </w:r>
      <w:proofErr w:type="gramStart"/>
      <w:r>
        <w:rPr>
          <w:rFonts w:ascii="Times New Roman" w:hAnsi="Times New Roman" w:hint="eastAsia"/>
          <w:bCs/>
        </w:rPr>
        <w:t>万亿</w:t>
      </w:r>
      <w:proofErr w:type="gramEnd"/>
      <w:r>
        <w:rPr>
          <w:rFonts w:ascii="Times New Roman" w:hAnsi="Times New Roman" w:hint="eastAsia"/>
          <w:bCs/>
        </w:rPr>
        <w:t>元，同比增长</w:t>
      </w:r>
      <w:r>
        <w:rPr>
          <w:rFonts w:ascii="Times New Roman" w:hAnsi="Times New Roman"/>
          <w:bCs/>
        </w:rPr>
        <w:t>5.8%</w:t>
      </w:r>
      <w:r>
        <w:rPr>
          <w:rFonts w:ascii="Times New Roman" w:hAnsi="Times New Roman" w:hint="eastAsia"/>
          <w:bCs/>
        </w:rPr>
        <w:t>；总负债</w:t>
      </w:r>
      <w:r>
        <w:rPr>
          <w:rFonts w:ascii="Times New Roman" w:hAnsi="Times New Roman"/>
          <w:bCs/>
        </w:rPr>
        <w:t>2.42</w:t>
      </w:r>
      <w:r>
        <w:rPr>
          <w:rFonts w:ascii="Times New Roman" w:hAnsi="Times New Roman" w:hint="eastAsia"/>
          <w:bCs/>
        </w:rPr>
        <w:t>亿元，增长</w:t>
      </w:r>
      <w:r>
        <w:rPr>
          <w:rFonts w:ascii="Times New Roman" w:hAnsi="Times New Roman"/>
          <w:bCs/>
        </w:rPr>
        <w:t>5.6%</w:t>
      </w:r>
      <w:r>
        <w:rPr>
          <w:rFonts w:ascii="Times New Roman" w:hAnsi="Times New Roman" w:hint="eastAsia"/>
          <w:bCs/>
        </w:rPr>
        <w:t>；不良率为</w:t>
      </w:r>
      <w:r>
        <w:rPr>
          <w:rFonts w:ascii="Times New Roman" w:hAnsi="Times New Roman"/>
          <w:bCs/>
        </w:rPr>
        <w:t>0.63%</w:t>
      </w:r>
      <w:r>
        <w:rPr>
          <w:rFonts w:ascii="Times New Roman" w:hAnsi="Times New Roman" w:hint="eastAsia"/>
          <w:bCs/>
        </w:rPr>
        <w:t>。重庆地区银行业总资产约</w:t>
      </w:r>
      <w:r>
        <w:rPr>
          <w:rFonts w:ascii="Times New Roman" w:hAnsi="Times New Roman"/>
          <w:bCs/>
        </w:rPr>
        <w:t>7.4</w:t>
      </w:r>
      <w:proofErr w:type="gramStart"/>
      <w:r>
        <w:rPr>
          <w:rFonts w:ascii="Times New Roman" w:hAnsi="Times New Roman" w:hint="eastAsia"/>
          <w:bCs/>
        </w:rPr>
        <w:t>万亿</w:t>
      </w:r>
      <w:proofErr w:type="gramEnd"/>
      <w:r>
        <w:rPr>
          <w:rFonts w:ascii="Times New Roman" w:hAnsi="Times New Roman" w:hint="eastAsia"/>
          <w:bCs/>
        </w:rPr>
        <w:t>元，同比增长</w:t>
      </w:r>
      <w:r>
        <w:rPr>
          <w:rFonts w:ascii="Times New Roman" w:hAnsi="Times New Roman"/>
          <w:bCs/>
        </w:rPr>
        <w:t>8.01%</w:t>
      </w:r>
      <w:r>
        <w:rPr>
          <w:rFonts w:ascii="Times New Roman" w:hAnsi="Times New Roman" w:hint="eastAsia"/>
          <w:bCs/>
        </w:rPr>
        <w:t>；总负债约</w:t>
      </w:r>
      <w:r>
        <w:rPr>
          <w:rFonts w:ascii="Times New Roman" w:hAnsi="Times New Roman"/>
          <w:bCs/>
        </w:rPr>
        <w:t>7.06</w:t>
      </w:r>
      <w:proofErr w:type="gramStart"/>
      <w:r>
        <w:rPr>
          <w:rFonts w:ascii="Times New Roman" w:hAnsi="Times New Roman" w:hint="eastAsia"/>
          <w:bCs/>
        </w:rPr>
        <w:t>万亿</w:t>
      </w:r>
      <w:proofErr w:type="gramEnd"/>
      <w:r>
        <w:rPr>
          <w:rFonts w:ascii="Times New Roman" w:hAnsi="Times New Roman" w:hint="eastAsia"/>
          <w:bCs/>
        </w:rPr>
        <w:t>元，同比增长</w:t>
      </w:r>
      <w:r>
        <w:rPr>
          <w:rFonts w:ascii="Times New Roman" w:hAnsi="Times New Roman"/>
          <w:bCs/>
        </w:rPr>
        <w:t>8.03%</w:t>
      </w:r>
      <w:r>
        <w:rPr>
          <w:rFonts w:ascii="Times New Roman" w:hAnsi="Times New Roman" w:hint="eastAsia"/>
          <w:bCs/>
        </w:rPr>
        <w:t>；不良率为</w:t>
      </w:r>
      <w:r>
        <w:rPr>
          <w:rFonts w:ascii="Times New Roman" w:hAnsi="Times New Roman"/>
          <w:bCs/>
        </w:rPr>
        <w:t>1.10%</w:t>
      </w:r>
      <w:r>
        <w:rPr>
          <w:rFonts w:ascii="Times New Roman" w:hAnsi="Times New Roman" w:hint="eastAsia"/>
          <w:bCs/>
        </w:rPr>
        <w:t>。</w:t>
      </w:r>
    </w:p>
    <w:p w:rsidR="00AD5BB5" w:rsidRDefault="00F87FF6">
      <w:pPr>
        <w:spacing w:line="360" w:lineRule="auto"/>
        <w:ind w:firstLineChars="200" w:firstLine="420"/>
        <w:rPr>
          <w:rFonts w:ascii="Times New Roman" w:hAnsi="Times New Roman"/>
          <w:b/>
          <w:color w:val="FF0000"/>
        </w:rPr>
      </w:pPr>
      <w:r>
        <w:rPr>
          <w:rFonts w:ascii="Times New Roman" w:hAnsi="Times New Roman" w:cs="Times New Roman" w:hint="eastAsia"/>
          <w:bCs/>
        </w:rPr>
        <w:t>同时，上半年商业银行经营环境面临新的挑战。一方面，居民信心仍处于恢复过程中，存款定期化、提前还贷等现象对商业银行经营产生一定压力；另一方面，商业银行持续减费让利，降低实体融资成本，在助力实体经济恢复的同时，也压缩了银行自身盈利空间。根据国家金融监督管理总局披露的数据，</w:t>
      </w:r>
      <w:r>
        <w:rPr>
          <w:rFonts w:ascii="Times New Roman" w:hAnsi="Times New Roman" w:cs="Times New Roman" w:hint="eastAsia"/>
          <w:bCs/>
        </w:rPr>
        <w:t>2023</w:t>
      </w:r>
      <w:r>
        <w:rPr>
          <w:rFonts w:ascii="Times New Roman" w:hAnsi="Times New Roman" w:cs="Times New Roman" w:hint="eastAsia"/>
          <w:bCs/>
        </w:rPr>
        <w:t>年上半年商业银行净息差为</w:t>
      </w:r>
      <w:r>
        <w:rPr>
          <w:rFonts w:ascii="Times New Roman" w:hAnsi="Times New Roman" w:cs="Times New Roman" w:hint="eastAsia"/>
          <w:bCs/>
        </w:rPr>
        <w:t>1.74%</w:t>
      </w:r>
      <w:r>
        <w:rPr>
          <w:rFonts w:ascii="Times New Roman" w:hAnsi="Times New Roman" w:cs="Times New Roman" w:hint="eastAsia"/>
          <w:bCs/>
        </w:rPr>
        <w:t>，同比下降</w:t>
      </w:r>
      <w:r>
        <w:rPr>
          <w:rFonts w:ascii="Times New Roman" w:hAnsi="Times New Roman" w:cs="Times New Roman" w:hint="eastAsia"/>
          <w:bCs/>
        </w:rPr>
        <w:t>20.5bp</w:t>
      </w:r>
      <w:r>
        <w:rPr>
          <w:rFonts w:ascii="Times New Roman" w:hAnsi="Times New Roman" w:cs="Times New Roman" w:hint="eastAsia"/>
          <w:bCs/>
        </w:rPr>
        <w:t>；城商行则继续维持在</w:t>
      </w:r>
      <w:r>
        <w:rPr>
          <w:rFonts w:ascii="Times New Roman" w:hAnsi="Times New Roman" w:cs="Times New Roman" w:hint="eastAsia"/>
          <w:bCs/>
        </w:rPr>
        <w:t>1.63%</w:t>
      </w:r>
      <w:r>
        <w:rPr>
          <w:rFonts w:ascii="Times New Roman" w:hAnsi="Times New Roman" w:cs="Times New Roman" w:hint="eastAsia"/>
          <w:bCs/>
        </w:rPr>
        <w:t>左右的历史低位。根据央行二季度货币政策执行报告，今年</w:t>
      </w:r>
      <w:r>
        <w:rPr>
          <w:rFonts w:ascii="Times New Roman" w:hAnsi="Times New Roman" w:cs="Times New Roman" w:hint="eastAsia"/>
          <w:bCs/>
        </w:rPr>
        <w:t>6</w:t>
      </w:r>
      <w:r>
        <w:rPr>
          <w:rFonts w:ascii="Times New Roman" w:hAnsi="Times New Roman" w:cs="Times New Roman" w:hint="eastAsia"/>
          <w:bCs/>
        </w:rPr>
        <w:t>月，个人住房贷款加权平均利率为</w:t>
      </w:r>
      <w:r>
        <w:rPr>
          <w:rFonts w:ascii="Times New Roman" w:hAnsi="Times New Roman" w:cs="Times New Roman" w:hint="eastAsia"/>
          <w:bCs/>
        </w:rPr>
        <w:t>4.11%</w:t>
      </w:r>
      <w:r>
        <w:rPr>
          <w:rFonts w:ascii="Times New Roman" w:hAnsi="Times New Roman" w:cs="Times New Roman" w:hint="eastAsia"/>
          <w:bCs/>
        </w:rPr>
        <w:t>，同比下降</w:t>
      </w:r>
      <w:r>
        <w:rPr>
          <w:rFonts w:ascii="Times New Roman" w:hAnsi="Times New Roman" w:cs="Times New Roman" w:hint="eastAsia"/>
          <w:bCs/>
        </w:rPr>
        <w:t>51bp</w:t>
      </w:r>
      <w:r>
        <w:rPr>
          <w:rFonts w:ascii="Times New Roman" w:hAnsi="Times New Roman" w:cs="Times New Roman" w:hint="eastAsia"/>
          <w:bCs/>
        </w:rPr>
        <w:t>；企业贷款加权平均利率</w:t>
      </w:r>
      <w:r>
        <w:rPr>
          <w:rFonts w:ascii="Times New Roman" w:hAnsi="Times New Roman" w:cs="Times New Roman" w:hint="eastAsia"/>
          <w:bCs/>
        </w:rPr>
        <w:t>3.95%</w:t>
      </w:r>
      <w:r>
        <w:rPr>
          <w:rFonts w:ascii="Times New Roman" w:hAnsi="Times New Roman" w:cs="Times New Roman" w:hint="eastAsia"/>
          <w:bCs/>
        </w:rPr>
        <w:t>，同比下降</w:t>
      </w:r>
      <w:r>
        <w:rPr>
          <w:rFonts w:ascii="Times New Roman" w:hAnsi="Times New Roman" w:cs="Times New Roman" w:hint="eastAsia"/>
          <w:bCs/>
        </w:rPr>
        <w:t>21bp</w:t>
      </w:r>
      <w:r>
        <w:rPr>
          <w:rFonts w:ascii="Times New Roman" w:hAnsi="Times New Roman" w:cs="Times New Roman" w:hint="eastAsia"/>
          <w:bCs/>
        </w:rPr>
        <w:t>，同样处于历史低位。</w:t>
      </w:r>
    </w:p>
    <w:p w:rsidR="00AD5BB5" w:rsidRDefault="00F87FF6">
      <w:pPr>
        <w:pStyle w:val="2"/>
        <w:tabs>
          <w:tab w:val="left" w:pos="426"/>
        </w:tabs>
        <w:spacing w:line="360" w:lineRule="auto"/>
        <w:jc w:val="left"/>
        <w:rPr>
          <w:rFonts w:ascii="宋体" w:hAnsi="宋体"/>
          <w:b w:val="0"/>
        </w:rPr>
      </w:pPr>
      <w:r>
        <w:rPr>
          <w:rFonts w:ascii="宋体" w:hAnsi="宋体"/>
        </w:rPr>
        <w:lastRenderedPageBreak/>
        <w:t>（二）</w:t>
      </w:r>
      <w:r>
        <w:rPr>
          <w:rFonts w:ascii="宋体" w:hAnsi="宋体" w:hint="eastAsia"/>
        </w:rPr>
        <w:t>公司经营范围</w:t>
      </w:r>
    </w:p>
    <w:p w:rsidR="00AD5BB5" w:rsidRDefault="00F87FF6">
      <w:pPr>
        <w:spacing w:line="360" w:lineRule="auto"/>
        <w:ind w:firstLineChars="200" w:firstLine="420"/>
        <w:rPr>
          <w:rFonts w:ascii="宋体" w:hAnsi="宋体"/>
          <w:b/>
          <w:kern w:val="0"/>
          <w:szCs w:val="21"/>
        </w:rPr>
      </w:pPr>
      <w:r>
        <w:rPr>
          <w:rFonts w:hint="eastAsia"/>
          <w:szCs w:val="21"/>
        </w:rPr>
        <w:t>公司的经营范围为：吸收公众存款；发放短期、中期和长期贷款；办理国内结算；办理票据贴现；发行金融债券；代理发行、代理兑付、承销政府债券；买卖政府债券；从事同业拆借；提供担保及服务；代理收付款项及代理保险业务；提供保险箱业务；办理地方财政信用周转使用资金的委托贷款业务；外汇存款、外汇贷款、外汇汇款、外币兑换、外汇同业拆借、国际结算、结汇、售汇、外汇票据的承兑和贴现、资信调查、咨询、见证业务；经银行业监督管理机构等监管机构批准的其他业务。</w:t>
      </w:r>
    </w:p>
    <w:p w:rsidR="00AD5BB5" w:rsidRDefault="00F87FF6">
      <w:pPr>
        <w:pStyle w:val="2"/>
        <w:tabs>
          <w:tab w:val="left" w:pos="426"/>
        </w:tabs>
        <w:spacing w:line="360" w:lineRule="auto"/>
        <w:jc w:val="left"/>
        <w:rPr>
          <w:rFonts w:ascii="宋体" w:hAnsi="宋体"/>
        </w:rPr>
      </w:pPr>
      <w:r>
        <w:rPr>
          <w:rFonts w:ascii="宋体" w:hAnsi="宋体" w:hint="eastAsia"/>
        </w:rPr>
        <w:t>（三）报告期公司主要业务情况</w:t>
      </w:r>
    </w:p>
    <w:p w:rsidR="00AD5BB5" w:rsidRDefault="00F87FF6">
      <w:pPr>
        <w:spacing w:line="360" w:lineRule="auto"/>
      </w:pPr>
      <w:r>
        <w:rPr>
          <w:rFonts w:hint="eastAsia"/>
        </w:rPr>
        <w:t xml:space="preserve"> </w:t>
      </w:r>
      <w:r>
        <w:t xml:space="preserve">   </w:t>
      </w:r>
      <w:r>
        <w:rPr>
          <w:rFonts w:ascii="宋体" w:hAnsi="宋体"/>
          <w:color w:val="000000" w:themeColor="text1"/>
          <w:szCs w:val="21"/>
        </w:rPr>
        <w:t>2023年上半年，国际环境依然复杂严峻，世界经济复苏乏力，国内经济逐步恢复向好，但国内市场需求仍显不足，经济恢复向好基础不牢，不稳定不确定因素仍然较多。公司积极应对来自内外部风险与竞争的各项挑战，以推进战略规划落地为抓手，</w:t>
      </w:r>
      <w:r>
        <w:rPr>
          <w:rFonts w:ascii="宋体" w:hAnsi="宋体" w:hint="eastAsia"/>
          <w:color w:val="000000" w:themeColor="text1"/>
          <w:szCs w:val="21"/>
        </w:rPr>
        <w:t>在着力优化资产负债结构的同时，</w:t>
      </w:r>
      <w:r>
        <w:rPr>
          <w:rFonts w:ascii="宋体" w:hAnsi="宋体"/>
          <w:color w:val="000000" w:themeColor="text1"/>
          <w:szCs w:val="21"/>
        </w:rPr>
        <w:t>聚焦</w:t>
      </w:r>
      <w:proofErr w:type="gramStart"/>
      <w:r>
        <w:rPr>
          <w:rFonts w:ascii="宋体" w:hAnsi="宋体" w:hint="eastAsia"/>
          <w:color w:val="000000" w:themeColor="text1"/>
          <w:szCs w:val="21"/>
        </w:rPr>
        <w:t>于加大</w:t>
      </w:r>
      <w:proofErr w:type="gramEnd"/>
      <w:r>
        <w:rPr>
          <w:rFonts w:ascii="宋体" w:hAnsi="宋体" w:hint="eastAsia"/>
          <w:color w:val="000000" w:themeColor="text1"/>
          <w:szCs w:val="21"/>
        </w:rPr>
        <w:t>对小微企业、科技创新、绿色发展等重点领域的支持力度，围绕产品、客户、服务、渠道链条夯实大零售转型基础，不断提升金融市场业务对综合效益的贡献度，保持并提升两岸金融业务的市场优势，不断增强金融服务实体经济的能力。</w:t>
      </w:r>
    </w:p>
    <w:p w:rsidR="00AD5BB5" w:rsidRDefault="00F87FF6">
      <w:pPr>
        <w:spacing w:line="360" w:lineRule="auto"/>
        <w:outlineLvl w:val="2"/>
        <w:rPr>
          <w:rFonts w:ascii="宋体" w:hAnsi="宋体"/>
          <w:b/>
          <w:szCs w:val="21"/>
        </w:rPr>
      </w:pPr>
      <w:r>
        <w:rPr>
          <w:rFonts w:ascii="宋体" w:hAnsi="宋体" w:hint="eastAsia"/>
          <w:b/>
          <w:szCs w:val="21"/>
        </w:rPr>
        <w:t>1</w:t>
      </w:r>
      <w:r>
        <w:rPr>
          <w:rFonts w:ascii="宋体" w:hAnsi="宋体"/>
          <w:b/>
          <w:szCs w:val="21"/>
        </w:rPr>
        <w:t>.</w:t>
      </w:r>
      <w:r>
        <w:rPr>
          <w:rFonts w:ascii="宋体" w:hAnsi="宋体" w:hint="eastAsia"/>
          <w:b/>
          <w:szCs w:val="21"/>
        </w:rPr>
        <w:t>公司银行业务</w:t>
      </w:r>
    </w:p>
    <w:p w:rsidR="00AD5BB5" w:rsidRDefault="00F87FF6">
      <w:pPr>
        <w:widowControl/>
        <w:spacing w:line="360" w:lineRule="auto"/>
        <w:ind w:firstLineChars="200" w:firstLine="420"/>
        <w:rPr>
          <w:rFonts w:ascii="宋体" w:hAnsi="宋体" w:cs="微软雅黑"/>
          <w:szCs w:val="21"/>
          <w:highlight w:val="yellow"/>
        </w:rPr>
      </w:pPr>
      <w:r>
        <w:rPr>
          <w:rFonts w:ascii="宋体" w:hAnsi="宋体" w:cs="微软雅黑" w:hint="eastAsia"/>
          <w:szCs w:val="21"/>
        </w:rPr>
        <w:t>上半年，在经济复苏态势偏弱的环境下，本公司致力于持续优化资产负债结构。负债方面，积极改善存款结构，压降高息存款，降低存款成本。资产方面，不断调整客群结构，提升服务实体经济能力，聚焦先进制造、绿色低碳、普惠金融、科技创新、乡村振兴等政策导向领域，持续打造交易银行、投资银行业务，强化对公板块一体化经营，综合金融协同深度和广度持续扩展。</w:t>
      </w:r>
    </w:p>
    <w:p w:rsidR="00AD5BB5" w:rsidRDefault="00F87FF6">
      <w:pPr>
        <w:pStyle w:val="3"/>
        <w:rPr>
          <w:rFonts w:ascii="宋体" w:hAnsi="宋体"/>
          <w:szCs w:val="21"/>
        </w:rPr>
      </w:pPr>
      <w:r>
        <w:rPr>
          <w:rFonts w:ascii="宋体" w:hAnsi="宋体" w:cs="Times New Roman" w:hint="eastAsia"/>
          <w:szCs w:val="21"/>
        </w:rPr>
        <w:t>（1）负债业务结构优化，资产质量稳健可控</w:t>
      </w:r>
    </w:p>
    <w:p w:rsidR="00AD5BB5" w:rsidRDefault="00F87FF6">
      <w:pPr>
        <w:widowControl/>
        <w:spacing w:line="360" w:lineRule="auto"/>
        <w:ind w:firstLineChars="200" w:firstLine="420"/>
        <w:rPr>
          <w:rFonts w:ascii="宋体" w:hAnsi="宋体" w:cs="微软雅黑"/>
          <w:szCs w:val="21"/>
        </w:rPr>
      </w:pPr>
      <w:r>
        <w:rPr>
          <w:rFonts w:ascii="宋体" w:hAnsi="宋体" w:cs="微软雅黑" w:hint="eastAsia"/>
          <w:szCs w:val="21"/>
        </w:rPr>
        <w:t>公司存款方面，报告期内，本公司坚持以成本控制，稳定息差为导向，做好量价平衡管理，通过深化客户经营、产品配置、考核引导等措施，不断优化存款结构。截至报告期末，公司客户存款余额(不含保证金存款和其他存款）1,049.66亿元，较年初下降8.79%，公司客户存款较年初有所下降，主要是本公司主动改善存款结构，压降高息存款所致。对公存款平均付息率较上年同期下降</w:t>
      </w:r>
      <w:r>
        <w:rPr>
          <w:rFonts w:ascii="宋体" w:hAnsi="宋体" w:cs="微软雅黑"/>
          <w:szCs w:val="21"/>
        </w:rPr>
        <w:t>0.16</w:t>
      </w:r>
      <w:r>
        <w:rPr>
          <w:rFonts w:ascii="宋体" w:hAnsi="宋体" w:cs="微软雅黑" w:hint="eastAsia"/>
          <w:szCs w:val="21"/>
        </w:rPr>
        <w:t>个百分点</w:t>
      </w:r>
      <w:r>
        <w:rPr>
          <w:rFonts w:ascii="宋体" w:hAnsi="宋体" w:cs="微软雅黑"/>
          <w:szCs w:val="21"/>
        </w:rPr>
        <w:t>。</w:t>
      </w:r>
    </w:p>
    <w:p w:rsidR="00AD5BB5" w:rsidRDefault="00F87FF6">
      <w:pPr>
        <w:widowControl/>
        <w:spacing w:line="360" w:lineRule="auto"/>
        <w:ind w:firstLineChars="200" w:firstLine="420"/>
        <w:rPr>
          <w:rFonts w:ascii="宋体" w:hAnsi="宋体" w:cs="微软雅黑"/>
          <w:szCs w:val="21"/>
        </w:rPr>
      </w:pPr>
      <w:r>
        <w:rPr>
          <w:rFonts w:ascii="宋体" w:hAnsi="宋体" w:cs="微软雅黑" w:hint="eastAsia"/>
          <w:szCs w:val="21"/>
        </w:rPr>
        <w:t>公司贷款方面，本公司充分发挥自身优势，精准施力，加大对制造业、普惠金融、科技创新、绿色发展等实体经济的支持力度，通过稳定存量、挖掘增量、拓展新户，达成资产结构和资产质量的同步改善。截至报告期末，企业贷款和垫款余额（不含票据贴现）</w:t>
      </w:r>
      <w:r>
        <w:rPr>
          <w:rFonts w:ascii="宋体" w:hAnsi="宋体" w:cs="微软雅黑" w:hint="eastAsia"/>
          <w:szCs w:val="21"/>
          <w:lang w:val="zh-CN"/>
        </w:rPr>
        <w:t>1,041.09亿元，</w:t>
      </w:r>
      <w:r>
        <w:rPr>
          <w:rFonts w:ascii="宋体" w:hAnsi="宋体" w:cs="微软雅黑" w:hint="eastAsia"/>
          <w:szCs w:val="21"/>
        </w:rPr>
        <w:t>较年初总体保持稳定，绿色信贷、高新贷、普惠小</w:t>
      </w:r>
      <w:proofErr w:type="gramStart"/>
      <w:r>
        <w:rPr>
          <w:rFonts w:ascii="宋体" w:hAnsi="宋体" w:cs="微软雅黑" w:hint="eastAsia"/>
          <w:szCs w:val="21"/>
        </w:rPr>
        <w:t>微贷款</w:t>
      </w:r>
      <w:proofErr w:type="gramEnd"/>
      <w:r>
        <w:rPr>
          <w:rFonts w:ascii="宋体" w:hAnsi="宋体" w:cs="微软雅黑" w:hint="eastAsia"/>
          <w:szCs w:val="21"/>
        </w:rPr>
        <w:t>余额保持较快速增长</w:t>
      </w:r>
      <w:r>
        <w:rPr>
          <w:rFonts w:ascii="宋体" w:hAnsi="宋体" w:cs="微软雅黑"/>
          <w:szCs w:val="21"/>
        </w:rPr>
        <w:t>，</w:t>
      </w:r>
      <w:r>
        <w:rPr>
          <w:rFonts w:ascii="宋体" w:hAnsi="宋体" w:cs="微软雅黑" w:hint="eastAsia"/>
          <w:szCs w:val="21"/>
          <w:lang w:val="zh-CN"/>
        </w:rPr>
        <w:t>对公贷款（不含票据贴现）的不良率为1.18%，较年初</w:t>
      </w:r>
      <w:r>
        <w:rPr>
          <w:rFonts w:ascii="宋体" w:hAnsi="宋体" w:cs="微软雅黑" w:hint="eastAsia"/>
          <w:szCs w:val="21"/>
        </w:rPr>
        <w:t xml:space="preserve">下降0.21个百分点。 </w:t>
      </w:r>
    </w:p>
    <w:p w:rsidR="00AD5BB5" w:rsidRDefault="00F87FF6">
      <w:pPr>
        <w:pStyle w:val="3"/>
        <w:rPr>
          <w:rFonts w:ascii="宋体" w:hAnsi="宋体" w:cs="微软雅黑"/>
          <w:szCs w:val="21"/>
        </w:rPr>
      </w:pPr>
      <w:r>
        <w:rPr>
          <w:rFonts w:ascii="宋体" w:hAnsi="宋体" w:cs="微软雅黑"/>
          <w:szCs w:val="21"/>
        </w:rPr>
        <w:t>（</w:t>
      </w:r>
      <w:r>
        <w:rPr>
          <w:rFonts w:ascii="宋体" w:hAnsi="宋体" w:cs="微软雅黑" w:hint="eastAsia"/>
          <w:szCs w:val="21"/>
        </w:rPr>
        <w:t>2</w:t>
      </w:r>
      <w:r>
        <w:rPr>
          <w:rFonts w:ascii="宋体" w:hAnsi="宋体" w:cs="微软雅黑"/>
          <w:szCs w:val="21"/>
        </w:rPr>
        <w:t>）</w:t>
      </w:r>
      <w:r>
        <w:rPr>
          <w:rFonts w:ascii="宋体" w:hAnsi="宋体" w:cs="微软雅黑" w:hint="eastAsia"/>
          <w:szCs w:val="21"/>
        </w:rPr>
        <w:t>精耕细作重点客群，激发营销服务效能</w:t>
      </w:r>
    </w:p>
    <w:p w:rsidR="00AD5BB5" w:rsidRDefault="00F87FF6">
      <w:pPr>
        <w:widowControl/>
        <w:spacing w:line="360" w:lineRule="auto"/>
        <w:ind w:firstLineChars="200" w:firstLine="420"/>
        <w:rPr>
          <w:rFonts w:ascii="宋体" w:hAnsi="宋体" w:cs="微软雅黑"/>
          <w:szCs w:val="21"/>
        </w:rPr>
      </w:pPr>
      <w:r>
        <w:rPr>
          <w:rFonts w:ascii="宋体" w:hAnsi="宋体" w:cs="微软雅黑"/>
          <w:szCs w:val="21"/>
        </w:rPr>
        <w:t>在服务战略客群方面，制定2023年总、分行级战略客户名单，持续做大战略客户基本盘</w:t>
      </w:r>
      <w:r>
        <w:rPr>
          <w:rFonts w:ascii="宋体" w:hAnsi="宋体" w:cs="微软雅黑" w:hint="eastAsia"/>
          <w:szCs w:val="21"/>
        </w:rPr>
        <w:t>：</w:t>
      </w:r>
      <w:r>
        <w:rPr>
          <w:rFonts w:ascii="宋体" w:hAnsi="宋体" w:cs="微软雅黑"/>
          <w:szCs w:val="21"/>
        </w:rPr>
        <w:t>聚焦本公司县域支行“1+2+3+N”营销策略及支持政策，推动县域支行战略客户发展，</w:t>
      </w:r>
      <w:r>
        <w:rPr>
          <w:rFonts w:ascii="宋体" w:hAnsi="宋体" w:cs="微软雅黑"/>
          <w:szCs w:val="21"/>
        </w:rPr>
        <w:lastRenderedPageBreak/>
        <w:t>开发上下游中小企业客户，培育新增战略客户；对传统授信业务合作难度大的客户，通过投行、金融市场产品服务客户，促成业务合作</w:t>
      </w:r>
      <w:r>
        <w:rPr>
          <w:rFonts w:ascii="宋体" w:hAnsi="宋体" w:cs="微软雅黑" w:hint="eastAsia"/>
          <w:szCs w:val="21"/>
        </w:rPr>
        <w:t>，总、分行级战略客户数较年初增幅分别为4.96%、13.11%</w:t>
      </w:r>
      <w:r>
        <w:rPr>
          <w:rFonts w:ascii="宋体" w:hAnsi="宋体" w:cs="微软雅黑"/>
          <w:szCs w:val="21"/>
        </w:rPr>
        <w:t>。</w:t>
      </w:r>
    </w:p>
    <w:p w:rsidR="00AD5BB5" w:rsidRDefault="00F87FF6">
      <w:pPr>
        <w:spacing w:line="360" w:lineRule="auto"/>
        <w:ind w:firstLineChars="200" w:firstLine="420"/>
        <w:rPr>
          <w:rFonts w:ascii="宋体" w:hAnsi="宋体" w:cs="微软雅黑"/>
          <w:szCs w:val="21"/>
        </w:rPr>
      </w:pPr>
      <w:r>
        <w:rPr>
          <w:rFonts w:ascii="宋体" w:hAnsi="宋体" w:cs="微软雅黑" w:hint="eastAsia"/>
          <w:szCs w:val="21"/>
        </w:rPr>
        <w:t>在服务机构客户方面，本公司加强战略规划引导，重视机构业务的区域化特色经营，总分联动推动机构业务项目落地。在总行层面，优化业务考核及财务资源支持方案，持续推动市、区级国库集中支付代理银行资格获取及系统对接、零余额账户开立，同时</w:t>
      </w:r>
      <w:proofErr w:type="gramStart"/>
      <w:r>
        <w:rPr>
          <w:rFonts w:ascii="宋体" w:hAnsi="宋体" w:cs="微软雅黑" w:hint="eastAsia"/>
          <w:szCs w:val="21"/>
        </w:rPr>
        <w:t>关注住建领域</w:t>
      </w:r>
      <w:proofErr w:type="gramEnd"/>
      <w:r>
        <w:rPr>
          <w:rFonts w:ascii="宋体" w:hAnsi="宋体" w:cs="微软雅黑" w:hint="eastAsia"/>
          <w:szCs w:val="21"/>
        </w:rPr>
        <w:t>业务及资格准入，提升财政类、慈善、教育类基金等重点客户、账户的营销，加速机构业务资质向效益的快速转化。截至报告期末，机构客户数及</w:t>
      </w:r>
      <w:proofErr w:type="gramStart"/>
      <w:r>
        <w:rPr>
          <w:rFonts w:ascii="宋体" w:hAnsi="宋体" w:cs="微软雅黑" w:hint="eastAsia"/>
          <w:szCs w:val="21"/>
        </w:rPr>
        <w:t>有效户较年初</w:t>
      </w:r>
      <w:proofErr w:type="gramEnd"/>
      <w:r>
        <w:rPr>
          <w:rFonts w:ascii="宋体" w:hAnsi="宋体" w:cs="微软雅黑" w:hint="eastAsia"/>
          <w:szCs w:val="21"/>
        </w:rPr>
        <w:t>增幅分别为6.44%、7.72%。</w:t>
      </w:r>
    </w:p>
    <w:p w:rsidR="00AD5BB5" w:rsidRDefault="00F87FF6">
      <w:pPr>
        <w:pStyle w:val="3"/>
        <w:rPr>
          <w:rFonts w:ascii="宋体" w:hAnsi="宋体"/>
          <w:szCs w:val="21"/>
        </w:rPr>
      </w:pPr>
      <w:r>
        <w:rPr>
          <w:rFonts w:ascii="宋体" w:hAnsi="宋体" w:cs="Times New Roman"/>
          <w:szCs w:val="21"/>
        </w:rPr>
        <w:t>（</w:t>
      </w:r>
      <w:r>
        <w:rPr>
          <w:rFonts w:ascii="宋体" w:hAnsi="宋体" w:cs="Times New Roman" w:hint="eastAsia"/>
          <w:szCs w:val="21"/>
        </w:rPr>
        <w:t>3</w:t>
      </w:r>
      <w:r>
        <w:rPr>
          <w:rFonts w:ascii="宋体" w:hAnsi="宋体" w:cs="Times New Roman"/>
          <w:szCs w:val="21"/>
        </w:rPr>
        <w:t>）</w:t>
      </w:r>
      <w:r>
        <w:rPr>
          <w:rFonts w:ascii="宋体" w:hAnsi="宋体" w:cs="Times New Roman" w:hint="eastAsia"/>
          <w:szCs w:val="21"/>
        </w:rPr>
        <w:t>普惠金融增量提质，精准服务小微生态</w:t>
      </w:r>
    </w:p>
    <w:p w:rsidR="00AD5BB5" w:rsidRDefault="00F87FF6">
      <w:pPr>
        <w:widowControl/>
        <w:tabs>
          <w:tab w:val="left" w:pos="1680"/>
        </w:tabs>
        <w:spacing w:line="360" w:lineRule="auto"/>
        <w:ind w:firstLineChars="200" w:firstLine="420"/>
        <w:rPr>
          <w:rFonts w:ascii="宋体" w:hAnsi="宋体" w:cs="微软雅黑"/>
          <w:szCs w:val="21"/>
        </w:rPr>
      </w:pPr>
      <w:r>
        <w:rPr>
          <w:rFonts w:ascii="宋体" w:hAnsi="宋体" w:cs="微软雅黑" w:hint="eastAsia"/>
          <w:szCs w:val="21"/>
        </w:rPr>
        <w:t>报告期内，本公司持续推进小</w:t>
      </w:r>
      <w:proofErr w:type="gramStart"/>
      <w:r>
        <w:rPr>
          <w:rFonts w:ascii="宋体" w:hAnsi="宋体" w:cs="微软雅黑" w:hint="eastAsia"/>
          <w:szCs w:val="21"/>
        </w:rPr>
        <w:t>微金融</w:t>
      </w:r>
      <w:proofErr w:type="gramEnd"/>
      <w:r>
        <w:rPr>
          <w:rFonts w:ascii="宋体" w:hAnsi="宋体" w:cs="微软雅黑" w:hint="eastAsia"/>
          <w:szCs w:val="21"/>
        </w:rPr>
        <w:t>服务工作，积极</w:t>
      </w:r>
      <w:proofErr w:type="gramStart"/>
      <w:r>
        <w:rPr>
          <w:rFonts w:ascii="宋体" w:hAnsi="宋体" w:cs="微软雅黑" w:hint="eastAsia"/>
          <w:szCs w:val="21"/>
        </w:rPr>
        <w:t>践行</w:t>
      </w:r>
      <w:proofErr w:type="gramEnd"/>
      <w:r>
        <w:rPr>
          <w:rFonts w:ascii="宋体" w:hAnsi="宋体" w:cs="微软雅黑" w:hint="eastAsia"/>
          <w:szCs w:val="21"/>
        </w:rPr>
        <w:t>金融工作的政治性、人民性，保持小</w:t>
      </w:r>
      <w:proofErr w:type="gramStart"/>
      <w:r>
        <w:rPr>
          <w:rFonts w:ascii="宋体" w:hAnsi="宋体" w:cs="微软雅黑" w:hint="eastAsia"/>
          <w:szCs w:val="21"/>
        </w:rPr>
        <w:t>微企业</w:t>
      </w:r>
      <w:proofErr w:type="gramEnd"/>
      <w:r>
        <w:rPr>
          <w:rFonts w:ascii="宋体" w:hAnsi="宋体" w:cs="微软雅黑" w:hint="eastAsia"/>
          <w:szCs w:val="21"/>
        </w:rPr>
        <w:t>金融服务</w:t>
      </w:r>
      <w:proofErr w:type="gramStart"/>
      <w:r>
        <w:rPr>
          <w:rFonts w:ascii="宋体" w:hAnsi="宋体" w:cs="微软雅黑" w:hint="eastAsia"/>
          <w:szCs w:val="21"/>
        </w:rPr>
        <w:t>增量扩面态势</w:t>
      </w:r>
      <w:proofErr w:type="gramEnd"/>
      <w:r>
        <w:rPr>
          <w:rFonts w:ascii="宋体" w:hAnsi="宋体" w:cs="微软雅黑" w:hint="eastAsia"/>
          <w:szCs w:val="21"/>
        </w:rPr>
        <w:t>，从组织保障、考核保障、流程建设、产品推动、系统建设五大方面着手，助力小</w:t>
      </w:r>
      <w:proofErr w:type="gramStart"/>
      <w:r>
        <w:rPr>
          <w:rFonts w:ascii="宋体" w:hAnsi="宋体" w:cs="微软雅黑" w:hint="eastAsia"/>
          <w:szCs w:val="21"/>
        </w:rPr>
        <w:t>微金融</w:t>
      </w:r>
      <w:proofErr w:type="gramEnd"/>
      <w:r>
        <w:rPr>
          <w:rFonts w:ascii="宋体" w:hAnsi="宋体" w:cs="微软雅黑" w:hint="eastAsia"/>
          <w:szCs w:val="21"/>
        </w:rPr>
        <w:t>服务工作行稳致远。</w:t>
      </w:r>
    </w:p>
    <w:p w:rsidR="00AD5BB5" w:rsidRDefault="00F87FF6">
      <w:pPr>
        <w:spacing w:line="360" w:lineRule="auto"/>
        <w:ind w:firstLineChars="200" w:firstLine="422"/>
        <w:rPr>
          <w:rFonts w:ascii="宋体" w:hAnsi="宋体" w:cs="微软雅黑"/>
          <w:szCs w:val="21"/>
        </w:rPr>
      </w:pPr>
      <w:proofErr w:type="gramStart"/>
      <w:r>
        <w:rPr>
          <w:rFonts w:ascii="宋体" w:hAnsi="宋体" w:cs="微软雅黑" w:hint="eastAsia"/>
          <w:b/>
          <w:bCs/>
          <w:szCs w:val="21"/>
        </w:rPr>
        <w:t>增量扩面持续</w:t>
      </w:r>
      <w:proofErr w:type="gramEnd"/>
      <w:r>
        <w:rPr>
          <w:rFonts w:ascii="宋体" w:hAnsi="宋体" w:cs="微软雅黑" w:hint="eastAsia"/>
          <w:b/>
          <w:bCs/>
          <w:szCs w:val="21"/>
        </w:rPr>
        <w:t>推进，普惠“两增”见成效。</w:t>
      </w:r>
      <w:r>
        <w:rPr>
          <w:rFonts w:ascii="宋体" w:hAnsi="宋体" w:cs="微软雅黑" w:hint="eastAsia"/>
          <w:szCs w:val="21"/>
        </w:rPr>
        <w:t>截至报告期末，本公司全辖已有114个经营网点开办普惠金融业务；本公司普惠型小</w:t>
      </w:r>
      <w:proofErr w:type="gramStart"/>
      <w:r>
        <w:rPr>
          <w:rFonts w:ascii="宋体" w:hAnsi="宋体" w:cs="微软雅黑" w:hint="eastAsia"/>
          <w:szCs w:val="21"/>
        </w:rPr>
        <w:t>微企业</w:t>
      </w:r>
      <w:proofErr w:type="gramEnd"/>
      <w:r>
        <w:rPr>
          <w:rFonts w:ascii="宋体" w:hAnsi="宋体" w:cs="微软雅黑" w:hint="eastAsia"/>
          <w:szCs w:val="21"/>
        </w:rPr>
        <w:t>贷款余额（银保监口径，含个人经营性贷款）665.17亿元，较年初增加54.77亿元，增幅8.97%；普惠型小</w:t>
      </w:r>
      <w:proofErr w:type="gramStart"/>
      <w:r>
        <w:rPr>
          <w:rFonts w:ascii="宋体" w:hAnsi="宋体" w:cs="微软雅黑" w:hint="eastAsia"/>
          <w:szCs w:val="21"/>
        </w:rPr>
        <w:t>微企业</w:t>
      </w:r>
      <w:proofErr w:type="gramEnd"/>
      <w:r>
        <w:rPr>
          <w:rFonts w:ascii="宋体" w:hAnsi="宋体" w:cs="微软雅黑" w:hint="eastAsia"/>
          <w:szCs w:val="21"/>
        </w:rPr>
        <w:t>贷款增速保持高于全行各项贷款增速，普惠型小</w:t>
      </w:r>
      <w:proofErr w:type="gramStart"/>
      <w:r>
        <w:rPr>
          <w:rFonts w:ascii="宋体" w:hAnsi="宋体" w:cs="微软雅黑" w:hint="eastAsia"/>
          <w:szCs w:val="21"/>
        </w:rPr>
        <w:t>微企业</w:t>
      </w:r>
      <w:proofErr w:type="gramEnd"/>
      <w:r>
        <w:rPr>
          <w:rFonts w:ascii="宋体" w:hAnsi="宋体" w:cs="微软雅黑" w:hint="eastAsia"/>
          <w:szCs w:val="21"/>
        </w:rPr>
        <w:t>贷款客户数较年初增幅为7.64%，普惠小</w:t>
      </w:r>
      <w:proofErr w:type="gramStart"/>
      <w:r>
        <w:rPr>
          <w:rFonts w:ascii="宋体" w:hAnsi="宋体" w:cs="微软雅黑" w:hint="eastAsia"/>
          <w:szCs w:val="21"/>
        </w:rPr>
        <w:t>微企业</w:t>
      </w:r>
      <w:proofErr w:type="gramEnd"/>
      <w:r>
        <w:rPr>
          <w:rFonts w:ascii="宋体" w:hAnsi="宋体" w:cs="微软雅黑" w:hint="eastAsia"/>
          <w:szCs w:val="21"/>
        </w:rPr>
        <w:t>平均利率为4.15%，较2022年末有所下降，全面完成监管部门“两增”考核目标。</w:t>
      </w:r>
    </w:p>
    <w:p w:rsidR="00AD5BB5" w:rsidRDefault="00F87FF6">
      <w:pPr>
        <w:spacing w:line="360" w:lineRule="auto"/>
        <w:ind w:firstLineChars="200" w:firstLine="422"/>
        <w:rPr>
          <w:rFonts w:ascii="宋体" w:hAnsi="宋体" w:cs="微软雅黑"/>
          <w:szCs w:val="21"/>
        </w:rPr>
      </w:pPr>
      <w:r>
        <w:rPr>
          <w:rFonts w:ascii="宋体" w:hAnsi="宋体" w:cs="微软雅黑" w:hint="eastAsia"/>
          <w:b/>
          <w:bCs/>
          <w:szCs w:val="21"/>
        </w:rPr>
        <w:t>积极运用政策工具，稳</w:t>
      </w:r>
      <w:proofErr w:type="gramStart"/>
      <w:r>
        <w:rPr>
          <w:rFonts w:ascii="宋体" w:hAnsi="宋体" w:cs="微软雅黑" w:hint="eastAsia"/>
          <w:b/>
          <w:bCs/>
          <w:szCs w:val="21"/>
        </w:rPr>
        <w:t>企保就</w:t>
      </w:r>
      <w:proofErr w:type="gramEnd"/>
      <w:r>
        <w:rPr>
          <w:rFonts w:ascii="宋体" w:hAnsi="宋体" w:cs="微软雅黑" w:hint="eastAsia"/>
          <w:b/>
          <w:bCs/>
          <w:szCs w:val="21"/>
        </w:rPr>
        <w:t>见成效。</w:t>
      </w:r>
      <w:r>
        <w:rPr>
          <w:rFonts w:ascii="宋体" w:hAnsi="宋体" w:cs="微软雅黑" w:hint="eastAsia"/>
          <w:szCs w:val="21"/>
        </w:rPr>
        <w:t>本公司积极运用各</w:t>
      </w:r>
      <w:proofErr w:type="gramStart"/>
      <w:r>
        <w:rPr>
          <w:rFonts w:ascii="宋体" w:hAnsi="宋体" w:cs="微软雅黑" w:hint="eastAsia"/>
          <w:szCs w:val="21"/>
        </w:rPr>
        <w:t>类惠企</w:t>
      </w:r>
      <w:proofErr w:type="gramEnd"/>
      <w:r>
        <w:rPr>
          <w:rFonts w:ascii="宋体" w:hAnsi="宋体" w:cs="微软雅黑" w:hint="eastAsia"/>
          <w:szCs w:val="21"/>
        </w:rPr>
        <w:t>政策，确保对企业的精准滴灌，稳</w:t>
      </w:r>
      <w:proofErr w:type="gramStart"/>
      <w:r>
        <w:rPr>
          <w:rFonts w:ascii="宋体" w:hAnsi="宋体" w:cs="微软雅黑" w:hint="eastAsia"/>
          <w:szCs w:val="21"/>
        </w:rPr>
        <w:t>企保就</w:t>
      </w:r>
      <w:proofErr w:type="gramEnd"/>
      <w:r>
        <w:rPr>
          <w:rFonts w:ascii="宋体" w:hAnsi="宋体" w:cs="微软雅黑" w:hint="eastAsia"/>
          <w:szCs w:val="21"/>
        </w:rPr>
        <w:t>，助力复产。本公司继续发挥普惠小</w:t>
      </w:r>
      <w:proofErr w:type="gramStart"/>
      <w:r>
        <w:rPr>
          <w:rFonts w:ascii="宋体" w:hAnsi="宋体" w:cs="微软雅黑" w:hint="eastAsia"/>
          <w:szCs w:val="21"/>
        </w:rPr>
        <w:t>微贷款</w:t>
      </w:r>
      <w:proofErr w:type="gramEnd"/>
      <w:r>
        <w:rPr>
          <w:rFonts w:ascii="宋体" w:hAnsi="宋体" w:cs="微软雅黑" w:hint="eastAsia"/>
          <w:szCs w:val="21"/>
        </w:rPr>
        <w:t>支持工具的正向激励作用，对普惠型小微企业、小微企业主及个体工商户的经营性贷款实行阶段性利率优惠。截至报告期末，本公司再贷款余额83.72亿元，累计利用再贷款资金发放贷款笔数5,170笔，支持企业数量4,243户，全力支持普惠型小</w:t>
      </w:r>
      <w:proofErr w:type="gramStart"/>
      <w:r>
        <w:rPr>
          <w:rFonts w:ascii="宋体" w:hAnsi="宋体" w:cs="微软雅黑" w:hint="eastAsia"/>
          <w:szCs w:val="21"/>
        </w:rPr>
        <w:t>微企业</w:t>
      </w:r>
      <w:proofErr w:type="gramEnd"/>
      <w:r>
        <w:rPr>
          <w:rFonts w:ascii="宋体" w:hAnsi="宋体" w:cs="微软雅黑" w:hint="eastAsia"/>
          <w:szCs w:val="21"/>
        </w:rPr>
        <w:t>有序复工复产；</w:t>
      </w:r>
      <w:r>
        <w:rPr>
          <w:rFonts w:ascii="宋体" w:hAnsi="宋体" w:cs="宋体" w:hint="eastAsia"/>
          <w:color w:val="000000"/>
          <w:kern w:val="0"/>
          <w:szCs w:val="21"/>
          <w:lang w:bidi="ar"/>
        </w:rPr>
        <w:t>对接福建省财政厅推出的中小</w:t>
      </w:r>
      <w:proofErr w:type="gramStart"/>
      <w:r>
        <w:rPr>
          <w:rFonts w:ascii="宋体" w:hAnsi="宋体" w:cs="宋体" w:hint="eastAsia"/>
          <w:color w:val="000000"/>
          <w:kern w:val="0"/>
          <w:szCs w:val="21"/>
          <w:lang w:bidi="ar"/>
        </w:rPr>
        <w:t>微企业</w:t>
      </w:r>
      <w:proofErr w:type="gramEnd"/>
      <w:r>
        <w:rPr>
          <w:rFonts w:ascii="宋体" w:hAnsi="宋体" w:cs="宋体" w:hint="eastAsia"/>
          <w:color w:val="000000"/>
          <w:kern w:val="0"/>
          <w:szCs w:val="21"/>
          <w:lang w:bidi="ar"/>
        </w:rPr>
        <w:t>提质增产争效专项资金贷款，为企业提供不超过LPR-50bp的流动资金贷款。</w:t>
      </w:r>
    </w:p>
    <w:p w:rsidR="00AD5BB5" w:rsidRDefault="00F87FF6">
      <w:pPr>
        <w:spacing w:line="360" w:lineRule="auto"/>
        <w:ind w:firstLineChars="200" w:firstLine="420"/>
        <w:rPr>
          <w:rFonts w:ascii="宋体" w:hAnsi="宋体" w:cs="微软雅黑"/>
          <w:szCs w:val="21"/>
        </w:rPr>
      </w:pPr>
      <w:r>
        <w:rPr>
          <w:rFonts w:ascii="宋体" w:hAnsi="宋体" w:cs="微软雅黑" w:hint="eastAsia"/>
          <w:szCs w:val="21"/>
        </w:rPr>
        <w:t>本公司持续深度挖掘涉</w:t>
      </w:r>
      <w:proofErr w:type="gramStart"/>
      <w:r>
        <w:rPr>
          <w:rFonts w:ascii="宋体" w:hAnsi="宋体" w:cs="微软雅黑" w:hint="eastAsia"/>
          <w:szCs w:val="21"/>
        </w:rPr>
        <w:t>企信息</w:t>
      </w:r>
      <w:proofErr w:type="gramEnd"/>
      <w:r>
        <w:rPr>
          <w:rFonts w:ascii="宋体" w:hAnsi="宋体" w:cs="微软雅黑" w:hint="eastAsia"/>
          <w:szCs w:val="21"/>
        </w:rPr>
        <w:t>资源，通过全国中小企业信用信息平台、福建“金服云”和地方性企业信息平台、行业性数据平台等，提升企业信用贷款的投放能力；鼓励积极</w:t>
      </w:r>
      <w:proofErr w:type="gramStart"/>
      <w:r>
        <w:rPr>
          <w:rFonts w:ascii="宋体" w:hAnsi="宋体" w:cs="微软雅黑" w:hint="eastAsia"/>
          <w:szCs w:val="21"/>
        </w:rPr>
        <w:t>拓展获客渠道</w:t>
      </w:r>
      <w:proofErr w:type="gramEnd"/>
      <w:r>
        <w:rPr>
          <w:rFonts w:ascii="宋体" w:hAnsi="宋体" w:cs="微软雅黑" w:hint="eastAsia"/>
          <w:szCs w:val="21"/>
        </w:rPr>
        <w:t>，挖掘企业潜在金融需求，扩大企业“首贷”投放规模。</w:t>
      </w:r>
    </w:p>
    <w:p w:rsidR="00AD5BB5" w:rsidRDefault="00F87FF6">
      <w:pPr>
        <w:spacing w:line="360" w:lineRule="auto"/>
        <w:ind w:firstLineChars="200" w:firstLine="422"/>
        <w:rPr>
          <w:rFonts w:ascii="宋体" w:hAnsi="宋体" w:cs="微软雅黑"/>
          <w:szCs w:val="21"/>
        </w:rPr>
      </w:pPr>
      <w:r>
        <w:rPr>
          <w:rFonts w:ascii="宋体" w:hAnsi="宋体" w:cs="微软雅黑" w:hint="eastAsia"/>
          <w:b/>
          <w:bCs/>
          <w:szCs w:val="21"/>
        </w:rPr>
        <w:t>合理让利实体经济，惠企</w:t>
      </w:r>
      <w:proofErr w:type="gramStart"/>
      <w:r>
        <w:rPr>
          <w:rFonts w:ascii="宋体" w:hAnsi="宋体" w:cs="微软雅黑" w:hint="eastAsia"/>
          <w:b/>
          <w:bCs/>
          <w:szCs w:val="21"/>
        </w:rPr>
        <w:t>利民见</w:t>
      </w:r>
      <w:proofErr w:type="gramEnd"/>
      <w:r>
        <w:rPr>
          <w:rFonts w:ascii="宋体" w:hAnsi="宋体" w:cs="微软雅黑" w:hint="eastAsia"/>
          <w:b/>
          <w:bCs/>
          <w:szCs w:val="21"/>
        </w:rPr>
        <w:t>成效</w:t>
      </w:r>
      <w:r>
        <w:rPr>
          <w:rFonts w:ascii="宋体" w:hAnsi="宋体" w:cs="微软雅黑" w:hint="eastAsia"/>
          <w:szCs w:val="21"/>
        </w:rPr>
        <w:t>。报告期内，本公司加大对小</w:t>
      </w:r>
      <w:proofErr w:type="gramStart"/>
      <w:r>
        <w:rPr>
          <w:rFonts w:ascii="宋体" w:hAnsi="宋体" w:cs="微软雅黑" w:hint="eastAsia"/>
          <w:szCs w:val="21"/>
        </w:rPr>
        <w:t>微企业</w:t>
      </w:r>
      <w:proofErr w:type="gramEnd"/>
      <w:r>
        <w:rPr>
          <w:rFonts w:ascii="宋体" w:hAnsi="宋体" w:cs="微软雅黑" w:hint="eastAsia"/>
          <w:szCs w:val="21"/>
        </w:rPr>
        <w:t>等市场主体的支持力度，对符合条件的小微企业，按照市场化原则提供续贷、给予宽限期、调整结息频率等安排。在减少普惠小</w:t>
      </w:r>
      <w:proofErr w:type="gramStart"/>
      <w:r>
        <w:rPr>
          <w:rFonts w:ascii="宋体" w:hAnsi="宋体" w:cs="微软雅黑" w:hint="eastAsia"/>
          <w:szCs w:val="21"/>
        </w:rPr>
        <w:t>微收费</w:t>
      </w:r>
      <w:proofErr w:type="gramEnd"/>
      <w:r>
        <w:rPr>
          <w:rFonts w:ascii="宋体" w:hAnsi="宋体" w:cs="微软雅黑" w:hint="eastAsia"/>
          <w:szCs w:val="21"/>
        </w:rPr>
        <w:t>方面，持续加大减费力度，对普惠小</w:t>
      </w:r>
      <w:proofErr w:type="gramStart"/>
      <w:r>
        <w:rPr>
          <w:rFonts w:ascii="宋体" w:hAnsi="宋体" w:cs="微软雅黑" w:hint="eastAsia"/>
          <w:szCs w:val="21"/>
        </w:rPr>
        <w:t>微客户</w:t>
      </w:r>
      <w:proofErr w:type="gramEnd"/>
      <w:r>
        <w:rPr>
          <w:rFonts w:ascii="宋体" w:hAnsi="宋体" w:cs="微软雅黑" w:hint="eastAsia"/>
          <w:szCs w:val="21"/>
        </w:rPr>
        <w:t>服务费用实行“应免尽免”。报告期内，本公司减免收费总金额达8,298.96万元（银监口径），同比增幅3.06%。减费让利惠企利民。</w:t>
      </w:r>
    </w:p>
    <w:p w:rsidR="00AD5BB5" w:rsidRDefault="00F87FF6">
      <w:pPr>
        <w:pStyle w:val="3"/>
        <w:rPr>
          <w:rFonts w:ascii="宋体" w:hAnsi="宋体"/>
          <w:szCs w:val="21"/>
        </w:rPr>
      </w:pPr>
      <w:r>
        <w:rPr>
          <w:rFonts w:ascii="宋体" w:hAnsi="宋体"/>
          <w:szCs w:val="21"/>
        </w:rPr>
        <w:t>（</w:t>
      </w:r>
      <w:r>
        <w:rPr>
          <w:rFonts w:ascii="宋体" w:hAnsi="宋体" w:hint="eastAsia"/>
          <w:szCs w:val="21"/>
        </w:rPr>
        <w:t>4</w:t>
      </w:r>
      <w:r>
        <w:rPr>
          <w:rFonts w:ascii="宋体" w:hAnsi="宋体"/>
          <w:szCs w:val="21"/>
        </w:rPr>
        <w:t>）</w:t>
      </w:r>
      <w:r>
        <w:rPr>
          <w:rFonts w:ascii="宋体" w:hAnsi="宋体" w:hint="eastAsia"/>
          <w:szCs w:val="21"/>
        </w:rPr>
        <w:t>优化信贷资源配置，加强重点领域投放</w:t>
      </w:r>
    </w:p>
    <w:p w:rsidR="00AD5BB5" w:rsidRDefault="00F87FF6">
      <w:pPr>
        <w:spacing w:line="360" w:lineRule="auto"/>
        <w:ind w:firstLineChars="200" w:firstLine="420"/>
        <w:rPr>
          <w:rFonts w:ascii="宋体" w:hAnsi="宋体" w:cs="微软雅黑"/>
          <w:szCs w:val="21"/>
        </w:rPr>
      </w:pPr>
      <w:r>
        <w:rPr>
          <w:rFonts w:ascii="宋体" w:hAnsi="宋体" w:cs="微软雅黑" w:hint="eastAsia"/>
          <w:szCs w:val="21"/>
        </w:rPr>
        <w:t>报告期内，本公司在</w:t>
      </w:r>
      <w:r>
        <w:rPr>
          <w:rFonts w:ascii="宋体" w:hAnsi="宋体" w:cs="微软雅黑"/>
          <w:szCs w:val="21"/>
        </w:rPr>
        <w:t>内部</w:t>
      </w:r>
      <w:r>
        <w:rPr>
          <w:rFonts w:ascii="宋体" w:hAnsi="宋体" w:cs="微软雅黑" w:hint="eastAsia"/>
          <w:szCs w:val="21"/>
        </w:rPr>
        <w:t>资本占用、KPI考核等方面向中长期制造业、“高新贷”专案</w:t>
      </w:r>
      <w:r>
        <w:rPr>
          <w:rFonts w:ascii="宋体" w:hAnsi="宋体" w:cs="微软雅黑" w:hint="eastAsia"/>
          <w:szCs w:val="21"/>
        </w:rPr>
        <w:lastRenderedPageBreak/>
        <w:t>客群、绿色信贷、</w:t>
      </w:r>
      <w:r>
        <w:rPr>
          <w:rFonts w:ascii="宋体" w:hAnsi="宋体" w:cs="微软雅黑"/>
          <w:szCs w:val="21"/>
        </w:rPr>
        <w:t>乡村振兴</w:t>
      </w:r>
      <w:r>
        <w:rPr>
          <w:rFonts w:ascii="宋体" w:hAnsi="宋体" w:cs="微软雅黑" w:hint="eastAsia"/>
          <w:szCs w:val="21"/>
        </w:rPr>
        <w:t>等重点投放领域倾斜，持续推动各分行形成主动优化资产结构的内生动力。</w:t>
      </w:r>
    </w:p>
    <w:p w:rsidR="00AD5BB5" w:rsidRDefault="00F87FF6">
      <w:pPr>
        <w:spacing w:line="360" w:lineRule="auto"/>
        <w:ind w:firstLineChars="200" w:firstLine="422"/>
        <w:rPr>
          <w:rFonts w:ascii="宋体" w:hAnsi="宋体" w:cs="微软雅黑"/>
          <w:szCs w:val="21"/>
        </w:rPr>
      </w:pPr>
      <w:proofErr w:type="gramStart"/>
      <w:r>
        <w:rPr>
          <w:rFonts w:ascii="宋体" w:hAnsi="宋体" w:cs="微软雅黑" w:hint="eastAsia"/>
          <w:b/>
          <w:bCs/>
          <w:szCs w:val="21"/>
        </w:rPr>
        <w:t>践行</w:t>
      </w:r>
      <w:proofErr w:type="gramEnd"/>
      <w:r>
        <w:rPr>
          <w:rFonts w:ascii="宋体" w:hAnsi="宋体" w:cs="微软雅黑" w:hint="eastAsia"/>
          <w:b/>
          <w:bCs/>
          <w:szCs w:val="21"/>
        </w:rPr>
        <w:t>绿色金融，业务拓面上量。</w:t>
      </w:r>
      <w:r>
        <w:rPr>
          <w:rFonts w:ascii="宋体" w:hAnsi="宋体" w:cs="微软雅黑" w:hint="eastAsia"/>
          <w:szCs w:val="21"/>
        </w:rPr>
        <w:t>报告期内，本公司将绿色金融发展纳入全行战略任务，由绿色贷款发展进一步深化至绿色金融发展。</w:t>
      </w:r>
    </w:p>
    <w:p w:rsidR="00AD5BB5" w:rsidRDefault="00F87FF6">
      <w:pPr>
        <w:spacing w:line="360" w:lineRule="auto"/>
        <w:ind w:firstLineChars="200" w:firstLine="420"/>
        <w:rPr>
          <w:rFonts w:ascii="宋体" w:hAnsi="宋体" w:cs="微软雅黑"/>
          <w:szCs w:val="21"/>
        </w:rPr>
      </w:pPr>
      <w:r>
        <w:rPr>
          <w:rFonts w:ascii="宋体" w:hAnsi="宋体" w:cs="微软雅黑" w:hint="eastAsia"/>
          <w:szCs w:val="21"/>
        </w:rPr>
        <w:t>绿色金融体系建设方面，根据银保监《银行业保险业绿色金融指引》，形成本公司《绿色金融工作方案》并</w:t>
      </w:r>
      <w:proofErr w:type="gramStart"/>
      <w:r>
        <w:rPr>
          <w:rFonts w:ascii="宋体" w:hAnsi="宋体" w:cs="微软雅黑" w:hint="eastAsia"/>
          <w:szCs w:val="21"/>
        </w:rPr>
        <w:t>明确部门</w:t>
      </w:r>
      <w:proofErr w:type="gramEnd"/>
      <w:r>
        <w:rPr>
          <w:rFonts w:ascii="宋体" w:hAnsi="宋体" w:cs="微软雅黑" w:hint="eastAsia"/>
          <w:szCs w:val="21"/>
        </w:rPr>
        <w:t>职责分工，从组织管理、制度及能力建设、流程管理、内控管理及信息披露等方面，完善行内绿色金融体系建设及业务发展。各分支机构形成《2023年度绿色金融工作方案》，落实分支机构有序、合理地开展绿色金融业务。</w:t>
      </w:r>
    </w:p>
    <w:p w:rsidR="00AD5BB5" w:rsidRDefault="00F87FF6">
      <w:pPr>
        <w:spacing w:line="360" w:lineRule="auto"/>
        <w:ind w:firstLineChars="200" w:firstLine="420"/>
        <w:rPr>
          <w:rFonts w:ascii="宋体" w:hAnsi="宋体" w:cs="微软雅黑"/>
          <w:szCs w:val="21"/>
        </w:rPr>
      </w:pPr>
      <w:r>
        <w:rPr>
          <w:rFonts w:ascii="宋体" w:hAnsi="宋体" w:cs="微软雅黑" w:hint="eastAsia"/>
          <w:szCs w:val="21"/>
        </w:rPr>
        <w:t>绿色信贷业务营销方面，充分利用</w:t>
      </w:r>
      <w:proofErr w:type="gramStart"/>
      <w:r>
        <w:rPr>
          <w:rFonts w:ascii="宋体" w:hAnsi="宋体" w:cs="微软雅黑" w:hint="eastAsia"/>
          <w:szCs w:val="21"/>
        </w:rPr>
        <w:t>碳减排支持</w:t>
      </w:r>
      <w:proofErr w:type="gramEnd"/>
      <w:r>
        <w:rPr>
          <w:rFonts w:ascii="宋体" w:hAnsi="宋体" w:cs="微软雅黑" w:hint="eastAsia"/>
          <w:szCs w:val="21"/>
        </w:rPr>
        <w:t>工具、</w:t>
      </w:r>
      <w:proofErr w:type="gramStart"/>
      <w:r>
        <w:rPr>
          <w:rFonts w:ascii="宋体" w:hAnsi="宋体" w:cs="微软雅黑" w:hint="eastAsia"/>
          <w:szCs w:val="21"/>
        </w:rPr>
        <w:t>绿债资金</w:t>
      </w:r>
      <w:proofErr w:type="gramEnd"/>
      <w:r>
        <w:rPr>
          <w:rFonts w:ascii="宋体" w:hAnsi="宋体" w:cs="微软雅黑" w:hint="eastAsia"/>
          <w:szCs w:val="21"/>
        </w:rPr>
        <w:t>提升项目贷款营销；组织新上任团队长、各分行绿色金融PS、客户经理等绿色经办人员专场培训，提升绿色信贷营销动能及经营能力；重点营销</w:t>
      </w:r>
      <w:r>
        <w:rPr>
          <w:rFonts w:ascii="宋体" w:hAnsi="宋体" w:cs="微软雅黑"/>
          <w:szCs w:val="21"/>
        </w:rPr>
        <w:t>本</w:t>
      </w:r>
      <w:r>
        <w:rPr>
          <w:rFonts w:ascii="宋体" w:hAnsi="宋体" w:cs="微软雅黑" w:hint="eastAsia"/>
          <w:szCs w:val="21"/>
        </w:rPr>
        <w:t>行优势产品“光伏贷”以及绿色建筑、园林绿化、资源循环利用等业务</w:t>
      </w:r>
      <w:proofErr w:type="gramStart"/>
      <w:r>
        <w:rPr>
          <w:rFonts w:ascii="宋体" w:hAnsi="宋体" w:cs="微软雅黑" w:hint="eastAsia"/>
          <w:szCs w:val="21"/>
        </w:rPr>
        <w:t>占比较</w:t>
      </w:r>
      <w:proofErr w:type="gramEnd"/>
      <w:r>
        <w:rPr>
          <w:rFonts w:ascii="宋体" w:hAnsi="宋体" w:cs="微软雅黑" w:hint="eastAsia"/>
          <w:szCs w:val="21"/>
        </w:rPr>
        <w:t>高的绿色信贷领域；截至报告期末，本公司绿色信贷余额（人行口径）59.73亿元，较年初增幅44.59%。本公司已累计申请</w:t>
      </w:r>
      <w:proofErr w:type="gramStart"/>
      <w:r>
        <w:rPr>
          <w:rFonts w:ascii="宋体" w:hAnsi="宋体" w:cs="微软雅黑" w:hint="eastAsia"/>
          <w:szCs w:val="21"/>
        </w:rPr>
        <w:t>碳减排支持</w:t>
      </w:r>
      <w:proofErr w:type="gramEnd"/>
      <w:r>
        <w:rPr>
          <w:rFonts w:ascii="宋体" w:hAnsi="宋体" w:cs="微软雅黑" w:hint="eastAsia"/>
          <w:szCs w:val="21"/>
        </w:rPr>
        <w:t>工具6,383.61万元，</w:t>
      </w:r>
      <w:proofErr w:type="gramStart"/>
      <w:r>
        <w:rPr>
          <w:rFonts w:ascii="宋体" w:hAnsi="宋体" w:cs="微软雅黑" w:hint="eastAsia"/>
          <w:szCs w:val="21"/>
        </w:rPr>
        <w:t>实现碳减排</w:t>
      </w:r>
      <w:proofErr w:type="gramEnd"/>
      <w:r>
        <w:rPr>
          <w:rFonts w:ascii="宋体" w:hAnsi="宋体" w:cs="微软雅黑" w:hint="eastAsia"/>
          <w:szCs w:val="21"/>
        </w:rPr>
        <w:t>11,273.75吨，成为福建省</w:t>
      </w:r>
      <w:proofErr w:type="gramStart"/>
      <w:r>
        <w:rPr>
          <w:rFonts w:ascii="宋体" w:hAnsi="宋体" w:cs="微软雅黑" w:hint="eastAsia"/>
          <w:szCs w:val="21"/>
        </w:rPr>
        <w:t>内碳减排贷款</w:t>
      </w:r>
      <w:proofErr w:type="gramEnd"/>
      <w:r>
        <w:rPr>
          <w:rFonts w:ascii="宋体" w:hAnsi="宋体" w:cs="微软雅黑" w:hint="eastAsia"/>
          <w:szCs w:val="21"/>
        </w:rPr>
        <w:t>投放金额和笔数双第一的地方法人金融机构。</w:t>
      </w:r>
    </w:p>
    <w:p w:rsidR="00AD5BB5" w:rsidRDefault="00F87FF6">
      <w:pPr>
        <w:spacing w:line="360" w:lineRule="auto"/>
        <w:ind w:firstLineChars="200" w:firstLine="422"/>
        <w:rPr>
          <w:rFonts w:ascii="宋体" w:hAnsi="宋体" w:cs="微软雅黑"/>
          <w:szCs w:val="21"/>
        </w:rPr>
      </w:pPr>
      <w:r>
        <w:rPr>
          <w:rFonts w:ascii="宋体" w:hAnsi="宋体" w:cs="微软雅黑" w:hint="eastAsia"/>
          <w:b/>
          <w:bCs/>
          <w:szCs w:val="21"/>
        </w:rPr>
        <w:t>聚焦实体经济，优化资产结构。</w:t>
      </w:r>
      <w:r>
        <w:rPr>
          <w:rFonts w:ascii="宋体" w:hAnsi="宋体" w:cs="微软雅黑" w:hint="eastAsia"/>
          <w:szCs w:val="21"/>
        </w:rPr>
        <w:t>报告期内，本公司持续将中长期制造业贷款余额增量纳入分行KPI，进一步强化“高新贷”专案营销推动；针对中长期制造业、高新贷专案信贷投放给予差别化融资成本；针对高新贷专案客群等优质实体经济客户，出具《提升挖掘存量优质客户力度》方案，通过</w:t>
      </w:r>
      <w:proofErr w:type="gramStart"/>
      <w:r>
        <w:rPr>
          <w:rFonts w:ascii="宋体" w:hAnsi="宋体" w:cs="微软雅黑" w:hint="eastAsia"/>
          <w:szCs w:val="21"/>
        </w:rPr>
        <w:t>差别化授信</w:t>
      </w:r>
      <w:proofErr w:type="gramEnd"/>
      <w:r>
        <w:rPr>
          <w:rFonts w:ascii="宋体" w:hAnsi="宋体" w:cs="微软雅黑" w:hint="eastAsia"/>
          <w:szCs w:val="21"/>
        </w:rPr>
        <w:t>方案、适配产品，提升本公司市场份额。截至报告期末，本公司高新贷专案客户贷款余额</w:t>
      </w:r>
      <w:r>
        <w:rPr>
          <w:rFonts w:ascii="宋体" w:hAnsi="宋体" w:cs="宋体"/>
          <w:szCs w:val="21"/>
        </w:rPr>
        <w:t>68.69</w:t>
      </w:r>
      <w:r>
        <w:rPr>
          <w:rFonts w:ascii="宋体" w:hAnsi="宋体" w:cs="微软雅黑" w:hint="eastAsia"/>
          <w:szCs w:val="21"/>
        </w:rPr>
        <w:t>亿元，较年初增幅12.46%。</w:t>
      </w:r>
    </w:p>
    <w:p w:rsidR="00AD5BB5" w:rsidRDefault="00F87FF6">
      <w:pPr>
        <w:spacing w:line="360" w:lineRule="auto"/>
        <w:ind w:firstLineChars="200" w:firstLine="422"/>
        <w:rPr>
          <w:rFonts w:ascii="宋体" w:hAnsi="宋体" w:cs="微软雅黑"/>
          <w:szCs w:val="21"/>
        </w:rPr>
      </w:pPr>
      <w:r>
        <w:rPr>
          <w:rFonts w:ascii="宋体" w:hAnsi="宋体" w:cs="微软雅黑" w:hint="eastAsia"/>
          <w:b/>
          <w:bCs/>
          <w:szCs w:val="21"/>
        </w:rPr>
        <w:t>提升服务能力，支持乡村振兴</w:t>
      </w:r>
      <w:r>
        <w:rPr>
          <w:rFonts w:ascii="宋体" w:hAnsi="宋体" w:cs="微软雅黑" w:hint="eastAsia"/>
          <w:szCs w:val="21"/>
        </w:rPr>
        <w:t>。本公司着力提升分支机构对县域以下区域、脱贫地区、国家乡村振兴重点帮扶县等乡村振兴重点区域的服务能力。加大新型农业经营主体、种业振兴、农业基础设施等乡村振兴重点领域金融支持，创新乡村振兴特色金融产品和服务，推动普惠涉农贷款投放稳中有增，截至报告期末，本公司普惠涉农贷款余额35.16亿元，较年初增幅12.53%。</w:t>
      </w:r>
    </w:p>
    <w:p w:rsidR="00AD5BB5" w:rsidRDefault="00F87FF6">
      <w:pPr>
        <w:pStyle w:val="3"/>
        <w:rPr>
          <w:rFonts w:ascii="宋体" w:hAnsi="宋体" w:cs="黑体"/>
          <w:szCs w:val="21"/>
        </w:rPr>
      </w:pPr>
      <w:r>
        <w:rPr>
          <w:rFonts w:ascii="宋体" w:hAnsi="宋体" w:cs="黑体"/>
          <w:szCs w:val="21"/>
        </w:rPr>
        <w:t>（</w:t>
      </w:r>
      <w:r>
        <w:rPr>
          <w:rFonts w:ascii="宋体" w:hAnsi="宋体" w:cs="黑体" w:hint="eastAsia"/>
          <w:szCs w:val="21"/>
        </w:rPr>
        <w:t>5</w:t>
      </w:r>
      <w:r>
        <w:rPr>
          <w:rFonts w:ascii="宋体" w:hAnsi="宋体" w:cs="黑体"/>
          <w:szCs w:val="21"/>
        </w:rPr>
        <w:t>）</w:t>
      </w:r>
      <w:r>
        <w:rPr>
          <w:rFonts w:ascii="宋体" w:hAnsi="宋体" w:cs="黑体" w:hint="eastAsia"/>
          <w:szCs w:val="21"/>
        </w:rPr>
        <w:t>科技赋能创新发展，提升价值创造能力</w:t>
      </w:r>
    </w:p>
    <w:p w:rsidR="00AD5BB5" w:rsidRDefault="00F87FF6">
      <w:pPr>
        <w:spacing w:line="360" w:lineRule="auto"/>
        <w:ind w:firstLineChars="200" w:firstLine="420"/>
        <w:rPr>
          <w:rFonts w:ascii="宋体" w:hAnsi="宋体" w:cs="微软雅黑"/>
          <w:szCs w:val="21"/>
          <w:highlight w:val="yellow"/>
        </w:rPr>
      </w:pPr>
      <w:r>
        <w:rPr>
          <w:rFonts w:ascii="宋体" w:hAnsi="宋体" w:cs="微软雅黑" w:hint="eastAsia"/>
          <w:szCs w:val="21"/>
        </w:rPr>
        <w:t>报告期内，本公司不断增强金融创新的科技支撑，充分利用大数据、人工智能等科技手段，赋能公司业务的经营管理，持续通过数字化手段提升服务效率、智能化方案解决金融痛点，持续推动线下业务线上化，线上业务移动化，助力银行商业模式升级。</w:t>
      </w:r>
      <w:r>
        <w:rPr>
          <w:rFonts w:ascii="宋体" w:hAnsi="宋体" w:cs="微软雅黑" w:hint="eastAsia"/>
          <w:szCs w:val="21"/>
        </w:rPr>
        <w:br/>
        <w:t xml:space="preserve">    对公经营中台上</w:t>
      </w:r>
      <w:proofErr w:type="gramStart"/>
      <w:r>
        <w:rPr>
          <w:rFonts w:ascii="宋体" w:hAnsi="宋体" w:cs="微软雅黑" w:hint="eastAsia"/>
          <w:szCs w:val="21"/>
        </w:rPr>
        <w:t>线推广</w:t>
      </w:r>
      <w:proofErr w:type="gramEnd"/>
      <w:r>
        <w:rPr>
          <w:rFonts w:ascii="宋体" w:hAnsi="宋体" w:cs="微软雅黑" w:hint="eastAsia"/>
          <w:szCs w:val="21"/>
        </w:rPr>
        <w:t>加速业务板块转变经营管理模式。通过对公经营中台全方位的客户视图、丰富的客户标签、精准的营销商机、及时的预警提醒、完善的产品知识库，助力一线经营机构高效获客、留客、活客、粘客，提升客户的综合服务满意度。通过对公经营中</w:t>
      </w:r>
      <w:proofErr w:type="gramStart"/>
      <w:r>
        <w:rPr>
          <w:rFonts w:ascii="宋体" w:hAnsi="宋体" w:cs="微软雅黑" w:hint="eastAsia"/>
          <w:szCs w:val="21"/>
        </w:rPr>
        <w:t>台丰富</w:t>
      </w:r>
      <w:proofErr w:type="gramEnd"/>
      <w:r>
        <w:rPr>
          <w:rFonts w:ascii="宋体" w:hAnsi="宋体" w:cs="微软雅黑" w:hint="eastAsia"/>
          <w:szCs w:val="21"/>
        </w:rPr>
        <w:t>的统计指标、多样的展现形式、及时准确的数据推送，助力公司业务板块各级管理人员及时掌握本机构的客户、产品、考核、营销等不同维度的经营数据情况，提升精细化、数字化经营管理能力。</w:t>
      </w:r>
    </w:p>
    <w:p w:rsidR="00AD5BB5" w:rsidRDefault="00F87FF6">
      <w:pPr>
        <w:spacing w:line="360" w:lineRule="auto"/>
        <w:ind w:firstLineChars="200" w:firstLine="420"/>
        <w:rPr>
          <w:rFonts w:ascii="宋体" w:hAnsi="宋体" w:cs="微软雅黑"/>
          <w:szCs w:val="21"/>
        </w:rPr>
      </w:pPr>
      <w:r>
        <w:rPr>
          <w:rFonts w:ascii="宋体" w:hAnsi="宋体" w:cs="微软雅黑" w:hint="eastAsia"/>
          <w:szCs w:val="21"/>
        </w:rPr>
        <w:lastRenderedPageBreak/>
        <w:t>供应</w:t>
      </w:r>
      <w:proofErr w:type="gramStart"/>
      <w:r>
        <w:rPr>
          <w:rFonts w:ascii="宋体" w:hAnsi="宋体" w:cs="微软雅黑" w:hint="eastAsia"/>
          <w:szCs w:val="21"/>
        </w:rPr>
        <w:t>链金融</w:t>
      </w:r>
      <w:proofErr w:type="gramEnd"/>
      <w:r>
        <w:rPr>
          <w:rFonts w:ascii="宋体" w:hAnsi="宋体" w:cs="微软雅黑" w:hint="eastAsia"/>
          <w:szCs w:val="21"/>
        </w:rPr>
        <w:t>产品“供货贷”推广应用。“供货贷”产品用于支持供应链上游供应商生产经营资金周转，聚焦融资痛点，创新业务模式，突破传统供应</w:t>
      </w:r>
      <w:proofErr w:type="gramStart"/>
      <w:r>
        <w:rPr>
          <w:rFonts w:ascii="宋体" w:hAnsi="宋体" w:cs="微软雅黑" w:hint="eastAsia"/>
          <w:szCs w:val="21"/>
        </w:rPr>
        <w:t>链金融</w:t>
      </w:r>
      <w:proofErr w:type="gramEnd"/>
      <w:r>
        <w:rPr>
          <w:rFonts w:ascii="宋体" w:hAnsi="宋体" w:cs="微软雅黑" w:hint="eastAsia"/>
          <w:szCs w:val="21"/>
        </w:rPr>
        <w:t>依赖核心企业信用的融资模式，无须确权或占用核心企业授信额度，有效拓宽上游企业融资渠道,截至报告期末，累计为100多户客户授信，金额超3.5亿元。同时，本公司也依托于信贷工厂2.0作业流程，正在推进、研发针对科技型企业的信贷产品“科技信用贷”，结合厦门市科技局的数据，为厦门地区的科技企业提供信用类贷款。</w:t>
      </w:r>
      <w:r>
        <w:rPr>
          <w:rFonts w:ascii="宋体" w:hAnsi="宋体" w:cs="微软雅黑" w:hint="eastAsia"/>
          <w:szCs w:val="21"/>
        </w:rPr>
        <w:br/>
        <w:t xml:space="preserve">    持续优化电子渠道服务能力，通过对公电子渠道的功能迭代升级和用户体验优化，提升电子渠道的便利化程度。截至报告期末，对公电子渠道客户数、交易笔数、交易金额同比增幅分别为24.76%、28.47%</w:t>
      </w:r>
      <w:r>
        <w:rPr>
          <w:rFonts w:ascii="宋体" w:hAnsi="宋体" w:cs="微软雅黑"/>
          <w:szCs w:val="21"/>
        </w:rPr>
        <w:t>、</w:t>
      </w:r>
      <w:r>
        <w:rPr>
          <w:rFonts w:ascii="宋体" w:hAnsi="宋体" w:cs="微软雅黑" w:hint="eastAsia"/>
          <w:szCs w:val="21"/>
        </w:rPr>
        <w:t>29.49</w:t>
      </w:r>
      <w:r>
        <w:rPr>
          <w:rFonts w:ascii="宋体" w:hAnsi="宋体" w:cs="微软雅黑"/>
          <w:szCs w:val="21"/>
        </w:rPr>
        <w:t>%</w:t>
      </w:r>
      <w:r>
        <w:rPr>
          <w:rFonts w:ascii="宋体" w:hAnsi="宋体" w:cs="微软雅黑" w:hint="eastAsia"/>
          <w:szCs w:val="21"/>
        </w:rPr>
        <w:t>。</w:t>
      </w:r>
    </w:p>
    <w:p w:rsidR="00AD5BB5" w:rsidRDefault="00F87FF6">
      <w:pPr>
        <w:pStyle w:val="3"/>
        <w:spacing w:line="360" w:lineRule="auto"/>
        <w:rPr>
          <w:rFonts w:ascii="宋体" w:hAnsi="宋体"/>
          <w:szCs w:val="21"/>
        </w:rPr>
      </w:pPr>
      <w:r>
        <w:rPr>
          <w:rFonts w:ascii="宋体" w:hAnsi="宋体" w:cs="Times New Roman"/>
          <w:szCs w:val="21"/>
        </w:rPr>
        <w:t>（</w:t>
      </w:r>
      <w:r>
        <w:rPr>
          <w:rFonts w:ascii="宋体" w:hAnsi="宋体" w:cs="Times New Roman" w:hint="eastAsia"/>
          <w:szCs w:val="21"/>
        </w:rPr>
        <w:t>6</w:t>
      </w:r>
      <w:r>
        <w:rPr>
          <w:rFonts w:ascii="宋体" w:hAnsi="宋体" w:cs="Times New Roman"/>
          <w:szCs w:val="21"/>
        </w:rPr>
        <w:t>）</w:t>
      </w:r>
      <w:r>
        <w:rPr>
          <w:rFonts w:ascii="宋体" w:hAnsi="宋体" w:cs="Times New Roman" w:hint="eastAsia"/>
          <w:szCs w:val="21"/>
        </w:rPr>
        <w:t>优化交易银行产品，积极应对市场变化</w:t>
      </w:r>
    </w:p>
    <w:p w:rsidR="00AD5BB5" w:rsidRDefault="00F87FF6">
      <w:pPr>
        <w:spacing w:line="360" w:lineRule="auto"/>
        <w:ind w:firstLineChars="200" w:firstLine="420"/>
        <w:rPr>
          <w:rFonts w:ascii="宋体" w:hAnsi="宋体" w:cs="微软雅黑"/>
          <w:szCs w:val="21"/>
        </w:rPr>
      </w:pPr>
      <w:r>
        <w:rPr>
          <w:rFonts w:ascii="宋体" w:hAnsi="宋体" w:cs="微软雅黑" w:hint="eastAsia"/>
          <w:szCs w:val="21"/>
        </w:rPr>
        <w:t>报告期内，本公司围绕战略重点产品，通过</w:t>
      </w:r>
      <w:proofErr w:type="gramStart"/>
      <w:r>
        <w:rPr>
          <w:rFonts w:ascii="宋体" w:hAnsi="宋体" w:cs="微软雅黑" w:hint="eastAsia"/>
          <w:szCs w:val="21"/>
        </w:rPr>
        <w:t>跨板块</w:t>
      </w:r>
      <w:proofErr w:type="gramEnd"/>
      <w:r>
        <w:rPr>
          <w:rFonts w:ascii="宋体" w:hAnsi="宋体" w:cs="微软雅黑" w:hint="eastAsia"/>
          <w:szCs w:val="21"/>
        </w:rPr>
        <w:t>协作、产品优化、定制方案等方式，健全交易银行对客服务体系。基于各分支机构特点构建产品销售团队、制定管理机制、优化资源整合、拓建渠道，做广做深客群，实现规模效益的提升。截至报告期末，交易银行业务中间收入同比增幅8.32%。</w:t>
      </w:r>
    </w:p>
    <w:p w:rsidR="00AD5BB5" w:rsidRDefault="00F87FF6">
      <w:pPr>
        <w:spacing w:line="360" w:lineRule="auto"/>
        <w:ind w:firstLineChars="200" w:firstLine="420"/>
        <w:rPr>
          <w:rFonts w:ascii="宋体" w:hAnsi="宋体" w:cs="微软雅黑"/>
          <w:szCs w:val="21"/>
        </w:rPr>
      </w:pPr>
      <w:r>
        <w:rPr>
          <w:rFonts w:ascii="宋体" w:hAnsi="宋体" w:cs="微软雅黑" w:hint="eastAsia"/>
          <w:szCs w:val="21"/>
        </w:rPr>
        <w:t>本公司持续注重账户结算场景营销，在服务好大中型集团企业现金管理需求的同时，注重</w:t>
      </w:r>
      <w:proofErr w:type="gramStart"/>
      <w:r>
        <w:rPr>
          <w:rFonts w:ascii="宋体" w:hAnsi="宋体" w:cs="微软雅黑" w:hint="eastAsia"/>
          <w:szCs w:val="21"/>
        </w:rPr>
        <w:t>小微客群</w:t>
      </w:r>
      <w:proofErr w:type="gramEnd"/>
      <w:r>
        <w:rPr>
          <w:rFonts w:ascii="宋体" w:hAnsi="宋体" w:cs="微软雅黑" w:hint="eastAsia"/>
          <w:szCs w:val="21"/>
        </w:rPr>
        <w:t>及场景化结算产品的创新。今年来，围绕重点行业建筑业，持续开展针对农民工工资账户的现金管理解决方案“e薪资”及工程项目共管、结算账户专项营销，截至报告期末，现金管理产品使用客户及电子渠道交易量增长显著，增幅分别为12.3%、22.48%。</w:t>
      </w:r>
    </w:p>
    <w:p w:rsidR="00AD5BB5" w:rsidRDefault="00F87FF6">
      <w:pPr>
        <w:spacing w:line="360" w:lineRule="auto"/>
        <w:ind w:firstLineChars="200" w:firstLine="420"/>
        <w:rPr>
          <w:rFonts w:ascii="宋体" w:hAnsi="宋体" w:cs="微软雅黑"/>
          <w:szCs w:val="21"/>
        </w:rPr>
      </w:pPr>
      <w:r>
        <w:rPr>
          <w:rFonts w:ascii="宋体" w:hAnsi="宋体" w:cs="微软雅黑" w:hint="eastAsia"/>
          <w:szCs w:val="21"/>
        </w:rPr>
        <w:t>本公司积极响应全面推进电子保函替代现金缴纳保证金的国家政策，继2022年成功上线电子投标保函业务以来，本公司通过金融科技技术，进一步推广电子保函应用，陆续在厦门、福州、宁德地区公共资源交易中心面向投标人上线电子投标保函。通过“全链条、闭环式、自动交互”实现了企业于一个平台即可完成招标投标全流程，有效降低了招投标交易双方的信息不对称与交易成本。</w:t>
      </w:r>
    </w:p>
    <w:p w:rsidR="00AD5BB5" w:rsidRDefault="00F87FF6">
      <w:pPr>
        <w:spacing w:line="360" w:lineRule="auto"/>
        <w:ind w:firstLineChars="200" w:firstLine="420"/>
        <w:rPr>
          <w:rFonts w:ascii="宋体" w:hAnsi="宋体" w:cs="微软雅黑"/>
          <w:szCs w:val="21"/>
        </w:rPr>
      </w:pPr>
      <w:r>
        <w:rPr>
          <w:rFonts w:ascii="宋体" w:hAnsi="宋体" w:cs="微软雅黑" w:hint="eastAsia"/>
          <w:szCs w:val="21"/>
        </w:rPr>
        <w:t>围绕“交易银行转型与供应链数字化探索”重要战略主题，本公司坚持以数字化赋能助</w:t>
      </w:r>
      <w:proofErr w:type="gramStart"/>
      <w:r>
        <w:rPr>
          <w:rFonts w:ascii="宋体" w:hAnsi="宋体" w:cs="微软雅黑" w:hint="eastAsia"/>
          <w:szCs w:val="21"/>
        </w:rPr>
        <w:t>推产业供应链金融</w:t>
      </w:r>
      <w:proofErr w:type="gramEnd"/>
      <w:r>
        <w:rPr>
          <w:rFonts w:ascii="宋体" w:hAnsi="宋体" w:cs="微软雅黑" w:hint="eastAsia"/>
          <w:szCs w:val="21"/>
        </w:rPr>
        <w:t>发展，持续完善供应</w:t>
      </w:r>
      <w:proofErr w:type="gramStart"/>
      <w:r>
        <w:rPr>
          <w:rFonts w:ascii="宋体" w:hAnsi="宋体" w:cs="微软雅黑" w:hint="eastAsia"/>
          <w:szCs w:val="21"/>
        </w:rPr>
        <w:t>链金融</w:t>
      </w:r>
      <w:proofErr w:type="gramEnd"/>
      <w:r>
        <w:rPr>
          <w:rFonts w:ascii="宋体" w:hAnsi="宋体" w:cs="微软雅黑" w:hint="eastAsia"/>
          <w:szCs w:val="21"/>
        </w:rPr>
        <w:t>产品体系，增强服务实体经济效能。</w:t>
      </w:r>
      <w:proofErr w:type="gramStart"/>
      <w:r>
        <w:rPr>
          <w:rFonts w:ascii="宋体" w:hAnsi="宋体" w:cs="微软雅黑" w:hint="eastAsia"/>
          <w:szCs w:val="21"/>
        </w:rPr>
        <w:t>继供应</w:t>
      </w:r>
      <w:proofErr w:type="gramEnd"/>
      <w:r>
        <w:rPr>
          <w:rFonts w:ascii="宋体" w:hAnsi="宋体" w:cs="微软雅黑" w:hint="eastAsia"/>
          <w:szCs w:val="21"/>
        </w:rPr>
        <w:t>链系统“厦E链”成功上线后，报告期内，本公司依托数字化</w:t>
      </w:r>
      <w:proofErr w:type="gramStart"/>
      <w:r>
        <w:rPr>
          <w:rFonts w:ascii="宋体" w:hAnsi="宋体" w:cs="微软雅黑" w:hint="eastAsia"/>
          <w:szCs w:val="21"/>
        </w:rPr>
        <w:t>风控手段</w:t>
      </w:r>
      <w:proofErr w:type="gramEnd"/>
      <w:r>
        <w:rPr>
          <w:rFonts w:ascii="宋体" w:hAnsi="宋体" w:cs="微软雅黑" w:hint="eastAsia"/>
          <w:szCs w:val="21"/>
        </w:rPr>
        <w:t>以及线上化便利渠道，围绕本地优质核心企业，以产业链中小</w:t>
      </w:r>
      <w:proofErr w:type="gramStart"/>
      <w:r>
        <w:rPr>
          <w:rFonts w:ascii="宋体" w:hAnsi="宋体" w:cs="微软雅黑" w:hint="eastAsia"/>
          <w:szCs w:val="21"/>
        </w:rPr>
        <w:t>微企业</w:t>
      </w:r>
      <w:proofErr w:type="gramEnd"/>
      <w:r>
        <w:rPr>
          <w:rFonts w:ascii="宋体" w:hAnsi="宋体" w:cs="微软雅黑" w:hint="eastAsia"/>
          <w:szCs w:val="21"/>
        </w:rPr>
        <w:t>作为目标客群，初步实现供应</w:t>
      </w:r>
      <w:proofErr w:type="gramStart"/>
      <w:r>
        <w:rPr>
          <w:rFonts w:ascii="宋体" w:hAnsi="宋体" w:cs="微软雅黑" w:hint="eastAsia"/>
          <w:szCs w:val="21"/>
        </w:rPr>
        <w:t>链业务</w:t>
      </w:r>
      <w:proofErr w:type="gramEnd"/>
      <w:r>
        <w:rPr>
          <w:rFonts w:ascii="宋体" w:hAnsi="宋体" w:cs="微软雅黑" w:hint="eastAsia"/>
          <w:szCs w:val="21"/>
        </w:rPr>
        <w:t>规模上量。截至报告期末，本公司年度内供应链系统累计投放2.5亿元，覆盖汽车制造、建筑、先进制造等多个行业。</w:t>
      </w:r>
    </w:p>
    <w:p w:rsidR="00AD5BB5" w:rsidRDefault="00F87FF6">
      <w:pPr>
        <w:spacing w:line="360" w:lineRule="auto"/>
        <w:ind w:firstLineChars="200" w:firstLine="420"/>
        <w:rPr>
          <w:rFonts w:ascii="宋体" w:hAnsi="宋体" w:cs="微软雅黑"/>
          <w:szCs w:val="21"/>
        </w:rPr>
      </w:pPr>
      <w:r>
        <w:rPr>
          <w:rFonts w:ascii="宋体" w:hAnsi="宋体" w:cs="微软雅黑" w:hint="eastAsia"/>
          <w:szCs w:val="21"/>
        </w:rPr>
        <w:t>报告期内，美元基准利率多次加息到达高位，企业美元融资成本高企、以人民币替代美元融资的意愿加强，本公司规范了</w:t>
      </w:r>
      <w:proofErr w:type="gramStart"/>
      <w:r>
        <w:rPr>
          <w:rFonts w:ascii="宋体" w:hAnsi="宋体" w:cs="微软雅黑" w:hint="eastAsia"/>
          <w:szCs w:val="21"/>
        </w:rPr>
        <w:t>跨境贸融错币</w:t>
      </w:r>
      <w:proofErr w:type="gramEnd"/>
      <w:r>
        <w:rPr>
          <w:rFonts w:ascii="宋体" w:hAnsi="宋体" w:cs="微软雅黑" w:hint="eastAsia"/>
          <w:szCs w:val="21"/>
        </w:rPr>
        <w:t>成人民币投放的相关流程，并积极推进跨境人民币结算及融资，助力</w:t>
      </w:r>
      <w:proofErr w:type="gramStart"/>
      <w:r>
        <w:rPr>
          <w:rFonts w:ascii="宋体" w:hAnsi="宋体" w:cs="微软雅黑" w:hint="eastAsia"/>
          <w:szCs w:val="21"/>
        </w:rPr>
        <w:t>跨境贸融企业</w:t>
      </w:r>
      <w:proofErr w:type="gramEnd"/>
      <w:r>
        <w:rPr>
          <w:rFonts w:ascii="宋体" w:hAnsi="宋体" w:cs="微软雅黑" w:hint="eastAsia"/>
          <w:szCs w:val="21"/>
        </w:rPr>
        <w:t>降本增效。作为首批“跨境金融区块链服务平台出口信保保单融资”应用场景试点银行，本公司成功落地跨境金融区块链平台中小企业险保单融资业务，精准高效地解决了企业的融资需求，助力企业经营生产正常开展。</w:t>
      </w:r>
    </w:p>
    <w:p w:rsidR="00AD5BB5" w:rsidRDefault="00F87FF6">
      <w:pPr>
        <w:spacing w:line="360" w:lineRule="auto"/>
        <w:outlineLvl w:val="2"/>
        <w:rPr>
          <w:rFonts w:ascii="宋体" w:hAnsi="宋体" w:cs="微软雅黑"/>
          <w:b/>
          <w:szCs w:val="21"/>
        </w:rPr>
      </w:pPr>
      <w:r>
        <w:rPr>
          <w:rFonts w:ascii="宋体" w:hAnsi="宋体" w:cs="微软雅黑"/>
          <w:b/>
          <w:szCs w:val="21"/>
        </w:rPr>
        <w:lastRenderedPageBreak/>
        <w:t>（</w:t>
      </w:r>
      <w:r>
        <w:rPr>
          <w:rFonts w:ascii="宋体" w:hAnsi="宋体" w:cs="微软雅黑" w:hint="eastAsia"/>
          <w:b/>
          <w:szCs w:val="21"/>
        </w:rPr>
        <w:t>7</w:t>
      </w:r>
      <w:r>
        <w:rPr>
          <w:rFonts w:ascii="宋体" w:hAnsi="宋体" w:cs="微软雅黑"/>
          <w:b/>
          <w:szCs w:val="21"/>
        </w:rPr>
        <w:t>）</w:t>
      </w:r>
      <w:r>
        <w:rPr>
          <w:rFonts w:ascii="宋体" w:hAnsi="宋体" w:cs="Times New Roman" w:hint="eastAsia"/>
          <w:b/>
          <w:szCs w:val="21"/>
        </w:rPr>
        <w:t>创新投行服务模式，提升投行服务能力</w:t>
      </w:r>
    </w:p>
    <w:p w:rsidR="00AD5BB5" w:rsidRDefault="00F87FF6">
      <w:pPr>
        <w:spacing w:line="360" w:lineRule="auto"/>
        <w:ind w:firstLineChars="200" w:firstLine="420"/>
        <w:rPr>
          <w:rFonts w:ascii="宋体" w:hAnsi="宋体" w:cs="微软雅黑"/>
          <w:szCs w:val="21"/>
        </w:rPr>
      </w:pPr>
      <w:r>
        <w:rPr>
          <w:rFonts w:ascii="宋体" w:hAnsi="宋体" w:cs="微软雅黑" w:hint="eastAsia"/>
          <w:szCs w:val="21"/>
        </w:rPr>
        <w:t>报告期内，本公司围绕债券承销、银团贷款和并购贷款三大核心投行业务，实施聚焦重点客群、加强渠道建设、扩大同业朋友圈交流、深化创新产品研究等多项举措，有效提升全行投行业务能力，推动整体投行业务稳健发展。</w:t>
      </w:r>
    </w:p>
    <w:p w:rsidR="00AD5BB5" w:rsidRDefault="00F87FF6">
      <w:pPr>
        <w:spacing w:line="360" w:lineRule="auto"/>
        <w:ind w:firstLineChars="200" w:firstLine="420"/>
        <w:rPr>
          <w:rFonts w:ascii="宋体" w:hAnsi="宋体" w:cs="微软雅黑"/>
          <w:szCs w:val="21"/>
        </w:rPr>
      </w:pPr>
      <w:r>
        <w:rPr>
          <w:rFonts w:ascii="宋体" w:hAnsi="宋体" w:cs="微软雅黑" w:hint="eastAsia"/>
          <w:szCs w:val="21"/>
        </w:rPr>
        <w:t>债券承销业务方面，本公司债券承销业务保持稳步增长。</w:t>
      </w:r>
      <w:r>
        <w:rPr>
          <w:rFonts w:ascii="宋体" w:hAnsi="宋体" w:cs="微软雅黑"/>
          <w:szCs w:val="21"/>
        </w:rPr>
        <w:t>报告期内，</w:t>
      </w:r>
      <w:r>
        <w:rPr>
          <w:rFonts w:ascii="宋体" w:hAnsi="宋体" w:cs="微软雅黑" w:hint="eastAsia"/>
          <w:szCs w:val="21"/>
        </w:rPr>
        <w:t>公司主承销债券金额合计74.50亿元，市场竞争力和影响力持续提升；此外，本公司积极创新投行服务模式，以“项目安排人”角色服务多家公司债券发行人，有效提升投行客户覆盖度和粘性。</w:t>
      </w:r>
    </w:p>
    <w:p w:rsidR="00AD5BB5" w:rsidRDefault="00F87FF6">
      <w:pPr>
        <w:spacing w:line="360" w:lineRule="auto"/>
        <w:ind w:firstLineChars="200" w:firstLine="420"/>
        <w:rPr>
          <w:rFonts w:ascii="宋体" w:hAnsi="宋体" w:cs="微软雅黑"/>
          <w:szCs w:val="21"/>
        </w:rPr>
      </w:pPr>
      <w:r>
        <w:rPr>
          <w:rFonts w:ascii="宋体" w:hAnsi="宋体" w:cs="微软雅黑" w:hint="eastAsia"/>
          <w:szCs w:val="21"/>
        </w:rPr>
        <w:t>银团、并购贷款业务方面，本公司银团贷款、并购贷款业务稳固发展，项目来源和同业合作渠道常态化。</w:t>
      </w:r>
      <w:r>
        <w:rPr>
          <w:rFonts w:ascii="宋体" w:hAnsi="宋体" w:cs="微软雅黑"/>
          <w:szCs w:val="21"/>
        </w:rPr>
        <w:t>报告期内，</w:t>
      </w:r>
      <w:r>
        <w:rPr>
          <w:rFonts w:ascii="宋体" w:hAnsi="宋体" w:cs="微软雅黑" w:hint="eastAsia"/>
          <w:szCs w:val="21"/>
        </w:rPr>
        <w:t>公司担任牵头行、代理行或联合牵头行角色银团贷款投放及并购贷款投放金额合计同比增长</w:t>
      </w:r>
      <w:r>
        <w:rPr>
          <w:rFonts w:ascii="Times New Roman" w:hAnsi="Times New Roman" w:cs="Times New Roman"/>
        </w:rPr>
        <w:t>136.96%</w:t>
      </w:r>
      <w:r>
        <w:rPr>
          <w:rFonts w:ascii="Times New Roman" w:hAnsi="Times New Roman" w:cs="Times New Roman" w:hint="eastAsia"/>
        </w:rPr>
        <w:t>。</w:t>
      </w:r>
    </w:p>
    <w:p w:rsidR="00AD5BB5" w:rsidRDefault="00F87FF6">
      <w:pPr>
        <w:spacing w:line="360" w:lineRule="auto"/>
        <w:outlineLvl w:val="2"/>
        <w:rPr>
          <w:b/>
        </w:rPr>
      </w:pPr>
      <w:r>
        <w:rPr>
          <w:rFonts w:hint="eastAsia"/>
          <w:b/>
        </w:rPr>
        <w:t>2.</w:t>
      </w:r>
      <w:r>
        <w:rPr>
          <w:rFonts w:hint="eastAsia"/>
          <w:b/>
        </w:rPr>
        <w:t>零售银行业务</w:t>
      </w:r>
    </w:p>
    <w:p w:rsidR="00AD5BB5" w:rsidRDefault="00F87FF6">
      <w:pPr>
        <w:spacing w:line="360" w:lineRule="auto"/>
        <w:ind w:firstLineChars="200" w:firstLine="420"/>
        <w:rPr>
          <w:rFonts w:asciiTheme="minorEastAsia" w:hAnsiTheme="minorEastAsia" w:cstheme="minorEastAsia"/>
        </w:rPr>
      </w:pPr>
      <w:r>
        <w:rPr>
          <w:rFonts w:asciiTheme="minorEastAsia" w:eastAsiaTheme="minorEastAsia" w:hAnsiTheme="minorEastAsia" w:cstheme="minorEastAsia" w:hint="eastAsia"/>
        </w:rPr>
        <w:t>报告期内，</w:t>
      </w:r>
      <w:r>
        <w:rPr>
          <w:rFonts w:asciiTheme="minorEastAsia" w:eastAsiaTheme="minorEastAsia" w:hAnsiTheme="minorEastAsia" w:cstheme="minorEastAsia" w:hint="eastAsia"/>
          <w:color w:val="000000"/>
          <w:kern w:val="0"/>
        </w:rPr>
        <w:t>本公司坚决贯彻大零售战略转型，聚焦</w:t>
      </w:r>
      <w:r>
        <w:rPr>
          <w:rFonts w:asciiTheme="minorEastAsia" w:eastAsiaTheme="minorEastAsia" w:hAnsiTheme="minorEastAsia" w:cstheme="minorEastAsia" w:hint="eastAsia"/>
        </w:rPr>
        <w:t>战略规划和项目，总体经营策略围绕健全产品体系、深耕客户经营、</w:t>
      </w:r>
      <w:r>
        <w:rPr>
          <w:rFonts w:asciiTheme="minorEastAsia" w:hAnsiTheme="minorEastAsia" w:cstheme="minorEastAsia" w:hint="eastAsia"/>
        </w:rPr>
        <w:t>细化</w:t>
      </w:r>
      <w:r>
        <w:rPr>
          <w:rFonts w:asciiTheme="minorEastAsia" w:eastAsiaTheme="minorEastAsia" w:hAnsiTheme="minorEastAsia" w:cstheme="minorEastAsia" w:hint="eastAsia"/>
        </w:rPr>
        <w:t>服务</w:t>
      </w:r>
      <w:r>
        <w:rPr>
          <w:rFonts w:asciiTheme="minorEastAsia" w:hAnsiTheme="minorEastAsia" w:cstheme="minorEastAsia" w:hint="eastAsia"/>
        </w:rPr>
        <w:t>模式</w:t>
      </w:r>
      <w:r>
        <w:rPr>
          <w:rFonts w:asciiTheme="minorEastAsia" w:eastAsiaTheme="minorEastAsia" w:hAnsiTheme="minorEastAsia" w:cstheme="minorEastAsia" w:hint="eastAsia"/>
        </w:rPr>
        <w:t>、提升渠道能力、加强科技赋能等方面，在</w:t>
      </w:r>
      <w:r>
        <w:rPr>
          <w:rFonts w:asciiTheme="minorEastAsia" w:eastAsiaTheme="minorEastAsia" w:hAnsiTheme="minorEastAsia" w:cstheme="minorEastAsia"/>
        </w:rPr>
        <w:t>优化业务结构</w:t>
      </w:r>
      <w:r>
        <w:rPr>
          <w:rFonts w:asciiTheme="minorEastAsia" w:eastAsiaTheme="minorEastAsia" w:hAnsiTheme="minorEastAsia" w:cstheme="minorEastAsia" w:hint="eastAsia"/>
        </w:rPr>
        <w:t>、改善客群</w:t>
      </w:r>
      <w:r>
        <w:rPr>
          <w:rFonts w:asciiTheme="minorEastAsia" w:eastAsiaTheme="minorEastAsia" w:hAnsiTheme="minorEastAsia" w:cstheme="minorEastAsia"/>
        </w:rPr>
        <w:t>品质</w:t>
      </w:r>
      <w:r>
        <w:rPr>
          <w:rFonts w:asciiTheme="minorEastAsia" w:eastAsiaTheme="minorEastAsia" w:hAnsiTheme="minorEastAsia" w:cstheme="minorEastAsia" w:hint="eastAsia"/>
        </w:rPr>
        <w:t>、</w:t>
      </w:r>
      <w:r>
        <w:rPr>
          <w:rFonts w:asciiTheme="minorEastAsia" w:eastAsiaTheme="minorEastAsia" w:hAnsiTheme="minorEastAsia" w:cstheme="minorEastAsia"/>
        </w:rPr>
        <w:t>提升</w:t>
      </w:r>
      <w:r>
        <w:rPr>
          <w:rFonts w:asciiTheme="minorEastAsia" w:eastAsiaTheme="minorEastAsia" w:hAnsiTheme="minorEastAsia" w:cstheme="minorEastAsia" w:hint="eastAsia"/>
        </w:rPr>
        <w:t>客户体验、巩固合</w:t>
      </w:r>
      <w:proofErr w:type="gramStart"/>
      <w:r>
        <w:rPr>
          <w:rFonts w:asciiTheme="minorEastAsia" w:eastAsiaTheme="minorEastAsia" w:hAnsiTheme="minorEastAsia" w:cstheme="minorEastAsia" w:hint="eastAsia"/>
        </w:rPr>
        <w:t>规</w:t>
      </w:r>
      <w:proofErr w:type="gramEnd"/>
      <w:r>
        <w:rPr>
          <w:rFonts w:asciiTheme="minorEastAsia" w:eastAsiaTheme="minorEastAsia" w:hAnsiTheme="minorEastAsia" w:cstheme="minorEastAsia" w:hint="eastAsia"/>
        </w:rPr>
        <w:t>管理等方面取得显著成果，</w:t>
      </w:r>
      <w:r>
        <w:rPr>
          <w:rFonts w:asciiTheme="minorEastAsia" w:hAnsiTheme="minorEastAsia" w:cstheme="minorEastAsia" w:hint="eastAsia"/>
        </w:rPr>
        <w:t>也</w:t>
      </w:r>
      <w:r>
        <w:rPr>
          <w:rFonts w:asciiTheme="minorEastAsia" w:eastAsiaTheme="minorEastAsia" w:hAnsiTheme="minorEastAsia" w:cstheme="minorEastAsia" w:hint="eastAsia"/>
        </w:rPr>
        <w:t>在</w:t>
      </w:r>
      <w:r>
        <w:rPr>
          <w:rFonts w:asciiTheme="minorEastAsia" w:eastAsiaTheme="minorEastAsia" w:hAnsiTheme="minorEastAsia" w:cstheme="minorEastAsia" w:hint="eastAsia"/>
          <w:szCs w:val="22"/>
        </w:rPr>
        <w:t>打造具有品牌美誉度和客户体验度的“零售”精品银行的道路上更进一步。</w:t>
      </w:r>
    </w:p>
    <w:p w:rsidR="00AD5BB5" w:rsidRDefault="00F87FF6">
      <w:pPr>
        <w:spacing w:line="360" w:lineRule="auto"/>
        <w:outlineLvl w:val="2"/>
        <w:rPr>
          <w:rFonts w:asciiTheme="minorEastAsia" w:hAnsiTheme="minorEastAsia" w:cstheme="minorEastAsia"/>
          <w:b/>
        </w:rPr>
      </w:pPr>
      <w:r>
        <w:rPr>
          <w:rFonts w:asciiTheme="minorEastAsia" w:eastAsiaTheme="minorEastAsia" w:hAnsiTheme="minorEastAsia" w:cstheme="minorEastAsia" w:hint="eastAsia"/>
          <w:b/>
        </w:rPr>
        <w:t>（1）做大做强财富管理业务，建设健全贷款产品体系</w:t>
      </w:r>
    </w:p>
    <w:p w:rsidR="00AD5BB5" w:rsidRDefault="00F87FF6">
      <w:pPr>
        <w:spacing w:line="360" w:lineRule="auto"/>
        <w:ind w:firstLineChars="200" w:firstLine="420"/>
        <w:rPr>
          <w:rFonts w:asciiTheme="minorEastAsia" w:hAnsiTheme="minorEastAsia" w:cstheme="minorEastAsia"/>
        </w:rPr>
      </w:pPr>
      <w:r>
        <w:rPr>
          <w:rFonts w:asciiTheme="minorEastAsia" w:eastAsiaTheme="minorEastAsia" w:hAnsiTheme="minorEastAsia" w:cstheme="minorEastAsia" w:hint="eastAsia"/>
          <w:szCs w:val="22"/>
        </w:rPr>
        <w:t>本公司</w:t>
      </w:r>
      <w:r>
        <w:rPr>
          <w:rFonts w:asciiTheme="minorEastAsia" w:hAnsiTheme="minorEastAsia" w:cstheme="minorEastAsia" w:hint="eastAsia"/>
          <w:szCs w:val="22"/>
        </w:rPr>
        <w:t>把握市场脉络，</w:t>
      </w:r>
      <w:r>
        <w:rPr>
          <w:rFonts w:asciiTheme="minorEastAsia" w:eastAsiaTheme="minorEastAsia" w:hAnsiTheme="minorEastAsia" w:cstheme="minorEastAsia" w:hint="eastAsia"/>
          <w:szCs w:val="22"/>
        </w:rPr>
        <w:t>聚焦</w:t>
      </w:r>
      <w:r>
        <w:rPr>
          <w:rFonts w:asciiTheme="minorEastAsia" w:hAnsiTheme="minorEastAsia" w:cstheme="minorEastAsia" w:hint="eastAsia"/>
          <w:szCs w:val="22"/>
        </w:rPr>
        <w:t>客户</w:t>
      </w:r>
      <w:r>
        <w:rPr>
          <w:rFonts w:asciiTheme="minorEastAsia" w:eastAsiaTheme="minorEastAsia" w:hAnsiTheme="minorEastAsia" w:cstheme="minorEastAsia" w:hint="eastAsia"/>
          <w:szCs w:val="22"/>
        </w:rPr>
        <w:t>需求，丰富产品货架，优化产品结构，升级业务模式，</w:t>
      </w:r>
      <w:r>
        <w:rPr>
          <w:rFonts w:asciiTheme="minorEastAsia" w:hAnsiTheme="minorEastAsia" w:cstheme="minorEastAsia" w:hint="eastAsia"/>
          <w:szCs w:val="22"/>
        </w:rPr>
        <w:t>提升</w:t>
      </w:r>
      <w:r>
        <w:rPr>
          <w:rFonts w:asciiTheme="minorEastAsia" w:eastAsiaTheme="minorEastAsia" w:hAnsiTheme="minorEastAsia" w:cstheme="minorEastAsia" w:hint="eastAsia"/>
          <w:szCs w:val="22"/>
        </w:rPr>
        <w:t>业务规模。</w:t>
      </w:r>
      <w:r>
        <w:rPr>
          <w:rFonts w:asciiTheme="minorEastAsia" w:eastAsiaTheme="minorEastAsia" w:hAnsiTheme="minorEastAsia" w:cstheme="minorEastAsia" w:hint="eastAsia"/>
        </w:rPr>
        <w:t>截至报告期末，本公司管理个人金融资产932.08亿元，较上年末增长47.58亿元，增幅5.38%</w:t>
      </w:r>
      <w:r>
        <w:rPr>
          <w:rFonts w:asciiTheme="minorEastAsia" w:hAnsiTheme="minorEastAsia" w:cstheme="minorEastAsia" w:hint="eastAsia"/>
        </w:rPr>
        <w:t>；</w:t>
      </w:r>
      <w:r>
        <w:rPr>
          <w:rFonts w:asciiTheme="minorEastAsia" w:eastAsiaTheme="minorEastAsia" w:hAnsiTheme="minorEastAsia" w:cstheme="minorEastAsia" w:hint="eastAsia"/>
        </w:rPr>
        <w:t>个人贷款余额</w:t>
      </w:r>
      <w:r>
        <w:rPr>
          <w:rFonts w:asciiTheme="minorEastAsia" w:hAnsiTheme="minorEastAsia" w:cstheme="minorEastAsia" w:hint="eastAsia"/>
        </w:rPr>
        <w:t>759.90</w:t>
      </w:r>
      <w:r>
        <w:rPr>
          <w:rFonts w:asciiTheme="minorEastAsia" w:eastAsiaTheme="minorEastAsia" w:hAnsiTheme="minorEastAsia" w:cstheme="minorEastAsia" w:hint="eastAsia"/>
        </w:rPr>
        <w:t>亿元，</w:t>
      </w:r>
      <w:r>
        <w:rPr>
          <w:rFonts w:asciiTheme="minorEastAsia" w:hAnsiTheme="minorEastAsia" w:cstheme="minorEastAsia" w:hint="eastAsia"/>
        </w:rPr>
        <w:t>较上年末减少7.04亿元，下降0</w:t>
      </w:r>
      <w:r>
        <w:rPr>
          <w:rFonts w:asciiTheme="minorEastAsia" w:hAnsiTheme="minorEastAsia" w:cstheme="minorEastAsia"/>
        </w:rPr>
        <w:t>.92%</w:t>
      </w:r>
      <w:r>
        <w:rPr>
          <w:rFonts w:asciiTheme="minorEastAsia" w:hAnsiTheme="minorEastAsia" w:cstheme="minorEastAsia" w:hint="eastAsia"/>
        </w:rPr>
        <w:t>，</w:t>
      </w:r>
      <w:r>
        <w:rPr>
          <w:rFonts w:asciiTheme="minorEastAsia" w:eastAsiaTheme="minorEastAsia" w:hAnsiTheme="minorEastAsia" w:cstheme="minorEastAsia" w:hint="eastAsia"/>
        </w:rPr>
        <w:t>其中</w:t>
      </w:r>
      <w:r>
        <w:rPr>
          <w:rFonts w:asciiTheme="minorEastAsia" w:hAnsiTheme="minorEastAsia" w:cstheme="minorEastAsia" w:hint="eastAsia"/>
        </w:rPr>
        <w:t>个人</w:t>
      </w:r>
      <w:r>
        <w:rPr>
          <w:rFonts w:asciiTheme="minorEastAsia" w:hAnsiTheme="minorEastAsia" w:cstheme="minorEastAsia"/>
        </w:rPr>
        <w:t>住房</w:t>
      </w:r>
      <w:r>
        <w:rPr>
          <w:rFonts w:asciiTheme="minorEastAsia" w:hAnsiTheme="minorEastAsia" w:cstheme="minorEastAsia" w:hint="eastAsia"/>
        </w:rPr>
        <w:t>贷款因市场交易量下降和利率快速下行的影响，较去年末减少30.9</w:t>
      </w:r>
      <w:r>
        <w:rPr>
          <w:rFonts w:asciiTheme="minorEastAsia" w:hAnsiTheme="minorEastAsia" w:cstheme="minorEastAsia"/>
        </w:rPr>
        <w:t>8</w:t>
      </w:r>
      <w:r>
        <w:rPr>
          <w:rFonts w:asciiTheme="minorEastAsia" w:hAnsiTheme="minorEastAsia" w:cstheme="minorEastAsia" w:hint="eastAsia"/>
        </w:rPr>
        <w:t>亿元，</w:t>
      </w:r>
      <w:r>
        <w:rPr>
          <w:rFonts w:asciiTheme="minorEastAsia" w:eastAsiaTheme="minorEastAsia" w:hAnsiTheme="minorEastAsia" w:cstheme="minorEastAsia" w:hint="eastAsia"/>
        </w:rPr>
        <w:t>个人经营贷款</w:t>
      </w:r>
      <w:r>
        <w:rPr>
          <w:rFonts w:asciiTheme="minorEastAsia" w:hAnsiTheme="minorEastAsia" w:cstheme="minorEastAsia" w:hint="eastAsia"/>
        </w:rPr>
        <w:t>437.81</w:t>
      </w:r>
      <w:r>
        <w:rPr>
          <w:rFonts w:asciiTheme="minorEastAsia" w:eastAsiaTheme="minorEastAsia" w:hAnsiTheme="minorEastAsia" w:cstheme="minorEastAsia" w:hint="eastAsia"/>
        </w:rPr>
        <w:t>亿元，较上年末增长</w:t>
      </w:r>
      <w:r>
        <w:rPr>
          <w:rFonts w:asciiTheme="minorEastAsia" w:hAnsiTheme="minorEastAsia" w:cstheme="minorEastAsia" w:hint="eastAsia"/>
        </w:rPr>
        <w:t>28.53</w:t>
      </w:r>
      <w:r>
        <w:rPr>
          <w:rFonts w:asciiTheme="minorEastAsia" w:eastAsiaTheme="minorEastAsia" w:hAnsiTheme="minorEastAsia" w:cstheme="minorEastAsia" w:hint="eastAsia"/>
        </w:rPr>
        <w:t>亿元，增幅</w:t>
      </w:r>
      <w:r>
        <w:rPr>
          <w:rFonts w:asciiTheme="minorEastAsia" w:hAnsiTheme="minorEastAsia" w:cstheme="minorEastAsia" w:hint="eastAsia"/>
        </w:rPr>
        <w:t>6.97</w:t>
      </w:r>
      <w:r>
        <w:rPr>
          <w:rFonts w:asciiTheme="minorEastAsia" w:eastAsiaTheme="minorEastAsia" w:hAnsiTheme="minorEastAsia" w:cstheme="minorEastAsia" w:hint="eastAsia"/>
        </w:rPr>
        <w:t>%。</w:t>
      </w:r>
    </w:p>
    <w:p w:rsidR="00AD5BB5" w:rsidRDefault="00F87FF6">
      <w:pPr>
        <w:spacing w:line="360" w:lineRule="auto"/>
        <w:rPr>
          <w:rFonts w:asciiTheme="minorEastAsia" w:hAnsiTheme="minorEastAsia" w:cstheme="minorEastAsia"/>
        </w:rPr>
      </w:pPr>
      <w:r>
        <w:rPr>
          <w:rFonts w:asciiTheme="minorEastAsia" w:eastAsiaTheme="minorEastAsia" w:hAnsiTheme="minorEastAsia" w:cstheme="minorEastAsia"/>
        </w:rPr>
        <w:fldChar w:fldCharType="begin"/>
      </w:r>
      <w:r>
        <w:rPr>
          <w:rFonts w:asciiTheme="minorEastAsia" w:eastAsiaTheme="minorEastAsia" w:hAnsiTheme="minorEastAsia" w:cstheme="minorEastAsia"/>
        </w:rPr>
        <w:instrText xml:space="preserve"> </w:instrText>
      </w:r>
      <w:r>
        <w:rPr>
          <w:rFonts w:asciiTheme="minorEastAsia" w:eastAsiaTheme="minorEastAsia" w:hAnsiTheme="minorEastAsia" w:cstheme="minorEastAsia" w:hint="eastAsia"/>
        </w:rPr>
        <w:instrText>= 1 \* GB3</w:instrText>
      </w:r>
      <w:r>
        <w:rPr>
          <w:rFonts w:asciiTheme="minorEastAsia" w:eastAsiaTheme="minorEastAsia" w:hAnsiTheme="minorEastAsia" w:cstheme="minorEastAsia"/>
        </w:rPr>
        <w:instrText xml:space="preserve"> </w:instrText>
      </w:r>
      <w:r>
        <w:rPr>
          <w:rFonts w:asciiTheme="minorEastAsia" w:eastAsiaTheme="minorEastAsia" w:hAnsiTheme="minorEastAsia" w:cstheme="minorEastAsia"/>
        </w:rPr>
        <w:fldChar w:fldCharType="separate"/>
      </w:r>
      <w:r>
        <w:rPr>
          <w:rFonts w:asciiTheme="minorEastAsia" w:eastAsiaTheme="minorEastAsia" w:hAnsiTheme="minorEastAsia" w:cstheme="minorEastAsia" w:hint="eastAsia"/>
        </w:rPr>
        <w:t>①</w:t>
      </w:r>
      <w:r>
        <w:rPr>
          <w:rFonts w:asciiTheme="minorEastAsia" w:eastAsiaTheme="minorEastAsia" w:hAnsiTheme="minorEastAsia" w:cstheme="minorEastAsia"/>
        </w:rPr>
        <w:fldChar w:fldCharType="end"/>
      </w:r>
      <w:r>
        <w:rPr>
          <w:rFonts w:asciiTheme="minorEastAsia" w:eastAsiaTheme="minorEastAsia" w:hAnsiTheme="minorEastAsia" w:cstheme="minorEastAsia" w:hint="eastAsia"/>
        </w:rPr>
        <w:t>存款业务降本增效，</w:t>
      </w:r>
      <w:r>
        <w:rPr>
          <w:rFonts w:asciiTheme="minorEastAsia" w:eastAsiaTheme="minorEastAsia" w:hAnsiTheme="minorEastAsia" w:cstheme="minorEastAsia"/>
        </w:rPr>
        <w:t>财富</w:t>
      </w:r>
      <w:r>
        <w:rPr>
          <w:rFonts w:asciiTheme="minorEastAsia" w:eastAsiaTheme="minorEastAsia" w:hAnsiTheme="minorEastAsia" w:cstheme="minorEastAsia" w:hint="eastAsia"/>
        </w:rPr>
        <w:t>业务再获突破</w:t>
      </w:r>
    </w:p>
    <w:p w:rsidR="00AD5BB5" w:rsidRDefault="00F87FF6">
      <w:pPr>
        <w:spacing w:line="360" w:lineRule="auto"/>
        <w:ind w:firstLineChars="200" w:firstLine="420"/>
        <w:rPr>
          <w:rFonts w:asciiTheme="minorEastAsia" w:hAnsiTheme="minorEastAsia" w:cstheme="minorEastAsia"/>
        </w:rPr>
      </w:pPr>
      <w:r>
        <w:rPr>
          <w:rFonts w:asciiTheme="minorEastAsia" w:eastAsiaTheme="minorEastAsia" w:hAnsiTheme="minorEastAsia" w:cstheme="minorEastAsia" w:hint="eastAsia"/>
        </w:rPr>
        <w:t>本公司主动进行业务策略调整，</w:t>
      </w:r>
      <w:r>
        <w:rPr>
          <w:rFonts w:asciiTheme="minorEastAsia" w:hAnsiTheme="minorEastAsia" w:cstheme="minorEastAsia" w:hint="eastAsia"/>
        </w:rPr>
        <w:t>在</w:t>
      </w:r>
      <w:r>
        <w:rPr>
          <w:rFonts w:asciiTheme="minorEastAsia" w:eastAsiaTheme="minorEastAsia" w:hAnsiTheme="minorEastAsia" w:cstheme="minorEastAsia" w:hint="eastAsia"/>
        </w:rPr>
        <w:t>确保规模</w:t>
      </w:r>
      <w:r>
        <w:rPr>
          <w:rFonts w:asciiTheme="minorEastAsia" w:hAnsiTheme="minorEastAsia" w:cstheme="minorEastAsia" w:hint="eastAsia"/>
        </w:rPr>
        <w:t>继续稳定</w:t>
      </w:r>
      <w:r>
        <w:rPr>
          <w:rFonts w:asciiTheme="minorEastAsia" w:eastAsiaTheme="minorEastAsia" w:hAnsiTheme="minorEastAsia" w:cstheme="minorEastAsia" w:hint="eastAsia"/>
        </w:rPr>
        <w:t>增长的同时，</w:t>
      </w:r>
      <w:r>
        <w:rPr>
          <w:rFonts w:asciiTheme="minorEastAsia" w:hAnsiTheme="minorEastAsia" w:cstheme="minorEastAsia" w:hint="eastAsia"/>
        </w:rPr>
        <w:t>注重降低负债成本，通过</w:t>
      </w:r>
      <w:r>
        <w:rPr>
          <w:rFonts w:hint="eastAsia"/>
        </w:rPr>
        <w:t>主动引导客户进行多元化资产配置，有计划的吸纳多期限的存款</w:t>
      </w:r>
      <w:r>
        <w:rPr>
          <w:rFonts w:asciiTheme="minorEastAsia" w:hAnsiTheme="minorEastAsia" w:cstheme="minorEastAsia" w:hint="eastAsia"/>
        </w:rPr>
        <w:t>，以尽量避免存款长期限化，使得个人零售存款成本持续降低</w:t>
      </w:r>
      <w:r>
        <w:rPr>
          <w:rFonts w:asciiTheme="minorEastAsia" w:eastAsiaTheme="minorEastAsia" w:hAnsiTheme="minorEastAsia" w:cstheme="minorEastAsia" w:hint="eastAsia"/>
        </w:rPr>
        <w:t>。截至报告期末，个人存款余额</w:t>
      </w:r>
      <w:r>
        <w:rPr>
          <w:rFonts w:asciiTheme="minorEastAsia" w:hAnsiTheme="minorEastAsia" w:cstheme="minorEastAsia" w:hint="eastAsia"/>
        </w:rPr>
        <w:t>604.48</w:t>
      </w:r>
      <w:r>
        <w:rPr>
          <w:rFonts w:asciiTheme="minorEastAsia" w:eastAsiaTheme="minorEastAsia" w:hAnsiTheme="minorEastAsia" w:cstheme="minorEastAsia" w:hint="eastAsia"/>
        </w:rPr>
        <w:t>亿元，较上年末增长</w:t>
      </w:r>
      <w:r>
        <w:rPr>
          <w:rFonts w:asciiTheme="minorEastAsia" w:hAnsiTheme="minorEastAsia" w:cstheme="minorEastAsia" w:hint="eastAsia"/>
        </w:rPr>
        <w:t>50.57</w:t>
      </w:r>
      <w:r>
        <w:rPr>
          <w:rFonts w:asciiTheme="minorEastAsia" w:eastAsiaTheme="minorEastAsia" w:hAnsiTheme="minorEastAsia" w:cstheme="minorEastAsia" w:hint="eastAsia"/>
        </w:rPr>
        <w:t>亿元，增幅</w:t>
      </w:r>
      <w:r>
        <w:rPr>
          <w:rFonts w:asciiTheme="minorEastAsia" w:hAnsiTheme="minorEastAsia" w:cstheme="minorEastAsia" w:hint="eastAsia"/>
        </w:rPr>
        <w:t>9.13</w:t>
      </w:r>
      <w:r>
        <w:rPr>
          <w:rFonts w:asciiTheme="minorEastAsia" w:eastAsiaTheme="minorEastAsia" w:hAnsiTheme="minorEastAsia" w:cstheme="minorEastAsia" w:hint="eastAsia"/>
        </w:rPr>
        <w:t>%。零售存款</w:t>
      </w:r>
      <w:r>
        <w:rPr>
          <w:rFonts w:asciiTheme="minorEastAsia" w:eastAsiaTheme="minorEastAsia" w:hAnsiTheme="minorEastAsia" w:cstheme="minorEastAsia"/>
        </w:rPr>
        <w:t>平均付息率</w:t>
      </w:r>
      <w:r>
        <w:rPr>
          <w:rFonts w:asciiTheme="minorEastAsia" w:eastAsiaTheme="minorEastAsia" w:hAnsiTheme="minorEastAsia" w:cstheme="minorEastAsia" w:hint="eastAsia"/>
        </w:rPr>
        <w:t>较上年同期</w:t>
      </w:r>
      <w:r>
        <w:rPr>
          <w:rFonts w:asciiTheme="minorEastAsia" w:eastAsiaTheme="minorEastAsia" w:hAnsiTheme="minorEastAsia" w:cstheme="minorEastAsia"/>
        </w:rPr>
        <w:t>下降</w:t>
      </w:r>
      <w:r>
        <w:rPr>
          <w:rFonts w:asciiTheme="minorEastAsia" w:eastAsiaTheme="minorEastAsia" w:hAnsiTheme="minorEastAsia" w:cstheme="minorEastAsia" w:hint="eastAsia"/>
        </w:rPr>
        <w:t>0</w:t>
      </w:r>
      <w:r>
        <w:rPr>
          <w:rFonts w:asciiTheme="minorEastAsia" w:eastAsiaTheme="minorEastAsia" w:hAnsiTheme="minorEastAsia" w:cstheme="minorEastAsia"/>
        </w:rPr>
        <w:t>.33个百分点。</w:t>
      </w:r>
    </w:p>
    <w:p w:rsidR="00AD5BB5" w:rsidRDefault="00F87FF6">
      <w:pPr>
        <w:spacing w:line="360" w:lineRule="auto"/>
        <w:ind w:firstLineChars="200" w:firstLine="420"/>
        <w:rPr>
          <w:rFonts w:asciiTheme="minorEastAsia" w:hAnsiTheme="minorEastAsia" w:cstheme="minorEastAsia"/>
        </w:rPr>
      </w:pPr>
      <w:r>
        <w:rPr>
          <w:rFonts w:asciiTheme="minorEastAsia" w:hAnsiTheme="minorEastAsia" w:cstheme="minorEastAsia"/>
        </w:rPr>
        <w:t>近年来，</w:t>
      </w:r>
      <w:r>
        <w:rPr>
          <w:rFonts w:asciiTheme="minorEastAsia" w:eastAsiaTheme="minorEastAsia" w:hAnsiTheme="minorEastAsia" w:cstheme="minorEastAsia"/>
        </w:rPr>
        <w:t>本公司</w:t>
      </w:r>
      <w:r>
        <w:rPr>
          <w:rFonts w:asciiTheme="minorEastAsia" w:hAnsiTheme="minorEastAsia" w:cstheme="minorEastAsia" w:hint="eastAsia"/>
        </w:rPr>
        <w:t>重视对个人客户资产的多元化配置</w:t>
      </w:r>
      <w:r>
        <w:rPr>
          <w:rFonts w:asciiTheme="minorEastAsia" w:eastAsiaTheme="minorEastAsia" w:hAnsiTheme="minorEastAsia" w:cstheme="minorEastAsia"/>
        </w:rPr>
        <w:t>，</w:t>
      </w:r>
      <w:r>
        <w:rPr>
          <w:rFonts w:asciiTheme="minorEastAsia" w:hAnsiTheme="minorEastAsia" w:cstheme="minorEastAsia" w:hint="eastAsia"/>
        </w:rPr>
        <w:t>基于客户在投资理财、保险保障等方面的需求，加大了银行理财、公募基金、信托资管、个人保险等产品的配置。</w:t>
      </w:r>
      <w:r>
        <w:rPr>
          <w:rFonts w:asciiTheme="minorEastAsia" w:eastAsiaTheme="minorEastAsia" w:hAnsiTheme="minorEastAsia" w:cstheme="minorEastAsia" w:hint="eastAsia"/>
        </w:rPr>
        <w:t>报告期内，</w:t>
      </w:r>
      <w:r>
        <w:rPr>
          <w:rFonts w:asciiTheme="minorEastAsia" w:hAnsiTheme="minorEastAsia" w:cstheme="minorEastAsia" w:hint="eastAsia"/>
        </w:rPr>
        <w:t>个人客户配置的银行及银行理财子公司的理财产品余额超290亿元，</w:t>
      </w:r>
      <w:proofErr w:type="gramStart"/>
      <w:r>
        <w:rPr>
          <w:rFonts w:asciiTheme="minorEastAsia" w:hAnsiTheme="minorEastAsia" w:cstheme="minorEastAsia" w:hint="eastAsia"/>
        </w:rPr>
        <w:t>非货基金</w:t>
      </w:r>
      <w:proofErr w:type="gramEnd"/>
      <w:r>
        <w:rPr>
          <w:rFonts w:asciiTheme="minorEastAsia" w:hAnsiTheme="minorEastAsia" w:cstheme="minorEastAsia" w:hint="eastAsia"/>
        </w:rPr>
        <w:t>余额超11亿元，</w:t>
      </w:r>
      <w:r>
        <w:rPr>
          <w:rFonts w:asciiTheme="minorEastAsia" w:eastAsiaTheme="minorEastAsia" w:hAnsiTheme="minorEastAsia" w:cstheme="minorEastAsia" w:hint="eastAsia"/>
        </w:rPr>
        <w:t>代理保险首年保费</w:t>
      </w:r>
      <w:r>
        <w:rPr>
          <w:rFonts w:asciiTheme="minorEastAsia" w:eastAsiaTheme="minorEastAsia" w:hAnsiTheme="minorEastAsia" w:cstheme="minorEastAsia"/>
        </w:rPr>
        <w:t>达</w:t>
      </w:r>
      <w:r>
        <w:rPr>
          <w:rFonts w:asciiTheme="minorEastAsia" w:eastAsiaTheme="minorEastAsia" w:hAnsiTheme="minorEastAsia" w:cstheme="minorEastAsia" w:hint="eastAsia"/>
        </w:rPr>
        <w:t>3亿元。</w:t>
      </w:r>
    </w:p>
    <w:p w:rsidR="00AD5BB5" w:rsidRDefault="00F87FF6">
      <w:pPr>
        <w:spacing w:line="360" w:lineRule="auto"/>
        <w:rPr>
          <w:rFonts w:asciiTheme="minorEastAsia" w:hAnsiTheme="minorEastAsia" w:cstheme="minorEastAsia"/>
        </w:rPr>
      </w:pPr>
      <w:r>
        <w:rPr>
          <w:rFonts w:asciiTheme="minorEastAsia" w:hAnsiTheme="minorEastAsia" w:cstheme="minorEastAsia"/>
        </w:rPr>
        <w:fldChar w:fldCharType="begin"/>
      </w:r>
      <w:r>
        <w:rPr>
          <w:rFonts w:asciiTheme="minorEastAsia" w:hAnsiTheme="minorEastAsia" w:cstheme="minorEastAsia"/>
        </w:rPr>
        <w:instrText xml:space="preserve"> </w:instrText>
      </w:r>
      <w:r>
        <w:rPr>
          <w:rFonts w:asciiTheme="minorEastAsia" w:hAnsiTheme="minorEastAsia" w:cstheme="minorEastAsia" w:hint="eastAsia"/>
        </w:rPr>
        <w:instrText>= 2 \* GB3</w:instrText>
      </w:r>
      <w:r>
        <w:rPr>
          <w:rFonts w:asciiTheme="minorEastAsia" w:hAnsiTheme="minorEastAsia" w:cstheme="minorEastAsia"/>
        </w:rPr>
        <w:instrText xml:space="preserve"> </w:instrText>
      </w:r>
      <w:r>
        <w:rPr>
          <w:rFonts w:asciiTheme="minorEastAsia" w:hAnsiTheme="minorEastAsia" w:cstheme="minorEastAsia"/>
        </w:rPr>
        <w:fldChar w:fldCharType="separate"/>
      </w:r>
      <w:r>
        <w:rPr>
          <w:rFonts w:asciiTheme="minorEastAsia" w:hAnsiTheme="minorEastAsia" w:cstheme="minorEastAsia" w:hint="eastAsia"/>
        </w:rPr>
        <w:t>②</w:t>
      </w:r>
      <w:r>
        <w:rPr>
          <w:rFonts w:asciiTheme="minorEastAsia" w:hAnsiTheme="minorEastAsia" w:cstheme="minorEastAsia"/>
        </w:rPr>
        <w:fldChar w:fldCharType="end"/>
      </w:r>
      <w:r>
        <w:rPr>
          <w:rFonts w:asciiTheme="minorEastAsia" w:hAnsiTheme="minorEastAsia" w:cstheme="minorEastAsia" w:hint="eastAsia"/>
        </w:rPr>
        <w:t>优化自营理财</w:t>
      </w:r>
      <w:r>
        <w:rPr>
          <w:rFonts w:asciiTheme="minorEastAsia" w:eastAsiaTheme="minorEastAsia" w:hAnsiTheme="minorEastAsia" w:cstheme="minorEastAsia" w:hint="eastAsia"/>
        </w:rPr>
        <w:t>产品策略布局，提升资产管理能力</w:t>
      </w:r>
    </w:p>
    <w:p w:rsidR="00AD5BB5" w:rsidRDefault="00F87FF6">
      <w:pPr>
        <w:spacing w:line="360" w:lineRule="auto"/>
        <w:ind w:firstLineChars="200" w:firstLine="420"/>
        <w:rPr>
          <w:rFonts w:asciiTheme="minorEastAsia" w:hAnsiTheme="minorEastAsia" w:cstheme="minorEastAsia"/>
        </w:rPr>
      </w:pPr>
      <w:r>
        <w:rPr>
          <w:rFonts w:asciiTheme="minorEastAsia" w:eastAsiaTheme="minorEastAsia" w:hAnsiTheme="minorEastAsia" w:cstheme="minorEastAsia" w:hint="eastAsia"/>
        </w:rPr>
        <w:t>报告期内，本公司在</w:t>
      </w:r>
      <w:proofErr w:type="gramStart"/>
      <w:r>
        <w:rPr>
          <w:rFonts w:asciiTheme="minorEastAsia" w:eastAsiaTheme="minorEastAsia" w:hAnsiTheme="minorEastAsia" w:cstheme="minorEastAsia" w:hint="eastAsia"/>
        </w:rPr>
        <w:t>资管新规</w:t>
      </w:r>
      <w:proofErr w:type="gramEnd"/>
      <w:r>
        <w:rPr>
          <w:rFonts w:asciiTheme="minorEastAsia" w:eastAsiaTheme="minorEastAsia" w:hAnsiTheme="minorEastAsia" w:cstheme="minorEastAsia" w:hint="eastAsia"/>
        </w:rPr>
        <w:t>、理财新</w:t>
      </w:r>
      <w:proofErr w:type="gramStart"/>
      <w:r>
        <w:rPr>
          <w:rFonts w:asciiTheme="minorEastAsia" w:eastAsiaTheme="minorEastAsia" w:hAnsiTheme="minorEastAsia" w:cstheme="minorEastAsia" w:hint="eastAsia"/>
        </w:rPr>
        <w:t>规</w:t>
      </w:r>
      <w:proofErr w:type="gramEnd"/>
      <w:r>
        <w:rPr>
          <w:rFonts w:asciiTheme="minorEastAsia" w:eastAsiaTheme="minorEastAsia" w:hAnsiTheme="minorEastAsia" w:cstheme="minorEastAsia" w:hint="eastAsia"/>
        </w:rPr>
        <w:t>的指引下，围绕“调整资产结构、丰富产品货架、深挖客户需求”等多方面开展工作，</w:t>
      </w:r>
      <w:proofErr w:type="gramStart"/>
      <w:r>
        <w:rPr>
          <w:rFonts w:asciiTheme="minorEastAsia" w:eastAsiaTheme="minorEastAsia" w:hAnsiTheme="minorEastAsia" w:cstheme="minorEastAsia" w:hint="eastAsia"/>
        </w:rPr>
        <w:t>实现资管业务</w:t>
      </w:r>
      <w:proofErr w:type="gramEnd"/>
      <w:r>
        <w:rPr>
          <w:rFonts w:asciiTheme="minorEastAsia" w:eastAsiaTheme="minorEastAsia" w:hAnsiTheme="minorEastAsia" w:cstheme="minorEastAsia" w:hint="eastAsia"/>
        </w:rPr>
        <w:t>的高质量发展。投资方面，顺应市场走势开展组合资产期限摆布及资产结构调整，增加交易性资产和交易性策略增厚组合收益；</w:t>
      </w:r>
      <w:r>
        <w:rPr>
          <w:rFonts w:asciiTheme="minorEastAsia" w:eastAsiaTheme="minorEastAsia" w:hAnsiTheme="minorEastAsia" w:cstheme="minorEastAsia" w:hint="eastAsia"/>
        </w:rPr>
        <w:lastRenderedPageBreak/>
        <w:t>产品方面，聚焦现金管理、中短债策略理财产品和收益凭证策略产品三大核心产品，并新推出</w:t>
      </w:r>
      <w:proofErr w:type="gramStart"/>
      <w:r>
        <w:rPr>
          <w:rFonts w:asciiTheme="minorEastAsia" w:eastAsiaTheme="minorEastAsia" w:hAnsiTheme="minorEastAsia" w:cstheme="minorEastAsia" w:hint="eastAsia"/>
        </w:rPr>
        <w:t>日申季赎</w:t>
      </w:r>
      <w:proofErr w:type="gramEnd"/>
      <w:r>
        <w:rPr>
          <w:rFonts w:asciiTheme="minorEastAsia" w:eastAsiaTheme="minorEastAsia" w:hAnsiTheme="minorEastAsia" w:cstheme="minorEastAsia" w:hint="eastAsia"/>
        </w:rPr>
        <w:t>理财产品，自营理财产品体系进一步完善，不断满足客户多样化的投资需求；渠道方面，深耕行内渠道，挖掘零售大客户的定制需求，加强分支机构联动。此外，本公司持续强化投资策略研究和市场</w:t>
      </w:r>
      <w:proofErr w:type="gramStart"/>
      <w:r>
        <w:rPr>
          <w:rFonts w:asciiTheme="minorEastAsia" w:eastAsiaTheme="minorEastAsia" w:hAnsiTheme="minorEastAsia" w:cstheme="minorEastAsia" w:hint="eastAsia"/>
        </w:rPr>
        <w:t>研</w:t>
      </w:r>
      <w:proofErr w:type="gramEnd"/>
      <w:r>
        <w:rPr>
          <w:rFonts w:asciiTheme="minorEastAsia" w:eastAsiaTheme="minorEastAsia" w:hAnsiTheme="minorEastAsia" w:cstheme="minorEastAsia" w:hint="eastAsia"/>
        </w:rPr>
        <w:t>判，提升精细化运营管理水平和风险防控能力，开展丰富的投资者宣传教育活动，不断夯实理财业务的发展基础。</w:t>
      </w:r>
    </w:p>
    <w:p w:rsidR="00AD5BB5" w:rsidRDefault="00F87FF6">
      <w:pPr>
        <w:spacing w:line="360" w:lineRule="auto"/>
        <w:rPr>
          <w:rFonts w:asciiTheme="minorEastAsia" w:hAnsiTheme="minorEastAsia" w:cstheme="minorEastAsia"/>
        </w:rPr>
      </w:pPr>
      <w:r>
        <w:rPr>
          <w:rFonts w:asciiTheme="minorEastAsia" w:eastAsiaTheme="minorEastAsia" w:hAnsiTheme="minorEastAsia" w:cstheme="minorEastAsia"/>
        </w:rPr>
        <w:fldChar w:fldCharType="begin"/>
      </w:r>
      <w:r>
        <w:rPr>
          <w:rFonts w:asciiTheme="minorEastAsia" w:eastAsiaTheme="minorEastAsia" w:hAnsiTheme="minorEastAsia" w:cstheme="minorEastAsia"/>
        </w:rPr>
        <w:instrText xml:space="preserve"> </w:instrText>
      </w:r>
      <w:r>
        <w:rPr>
          <w:rFonts w:asciiTheme="minorEastAsia" w:eastAsiaTheme="minorEastAsia" w:hAnsiTheme="minorEastAsia" w:cstheme="minorEastAsia" w:hint="eastAsia"/>
        </w:rPr>
        <w:instrText>= 3 \* GB3</w:instrText>
      </w:r>
      <w:r>
        <w:rPr>
          <w:rFonts w:asciiTheme="minorEastAsia" w:eastAsiaTheme="minorEastAsia" w:hAnsiTheme="minorEastAsia" w:cstheme="minorEastAsia"/>
        </w:rPr>
        <w:instrText xml:space="preserve"> </w:instrText>
      </w:r>
      <w:r>
        <w:rPr>
          <w:rFonts w:asciiTheme="minorEastAsia" w:eastAsiaTheme="minorEastAsia" w:hAnsiTheme="minorEastAsia" w:cstheme="minorEastAsia"/>
        </w:rPr>
        <w:fldChar w:fldCharType="separate"/>
      </w:r>
      <w:r>
        <w:rPr>
          <w:rFonts w:asciiTheme="minorEastAsia" w:eastAsiaTheme="minorEastAsia" w:hAnsiTheme="minorEastAsia" w:cstheme="minorEastAsia" w:hint="eastAsia"/>
        </w:rPr>
        <w:t>③</w:t>
      </w:r>
      <w:r>
        <w:rPr>
          <w:rFonts w:asciiTheme="minorEastAsia" w:eastAsiaTheme="minorEastAsia" w:hAnsiTheme="minorEastAsia" w:cstheme="minorEastAsia"/>
        </w:rPr>
        <w:fldChar w:fldCharType="end"/>
      </w:r>
      <w:r>
        <w:rPr>
          <w:rFonts w:asciiTheme="minorEastAsia" w:eastAsiaTheme="minorEastAsia" w:hAnsiTheme="minorEastAsia" w:cstheme="minorEastAsia" w:hint="eastAsia"/>
        </w:rPr>
        <w:t>满足重点客群需求，落地多项专属产品</w:t>
      </w:r>
    </w:p>
    <w:p w:rsidR="00AD5BB5" w:rsidRDefault="00F87FF6">
      <w:pPr>
        <w:spacing w:line="360" w:lineRule="auto"/>
        <w:ind w:firstLineChars="200" w:firstLine="420"/>
        <w:rPr>
          <w:rFonts w:asciiTheme="minorEastAsia" w:hAnsiTheme="minorEastAsia" w:cstheme="minorEastAsia"/>
        </w:rPr>
      </w:pPr>
      <w:r>
        <w:rPr>
          <w:rFonts w:asciiTheme="minorEastAsia" w:eastAsiaTheme="minorEastAsia" w:hAnsiTheme="minorEastAsia" w:cstheme="minorEastAsia" w:hint="eastAsia"/>
        </w:rPr>
        <w:t>本公司积极响应国家对台籍、新市民等重点客群的金融服务工作的部署，着眼</w:t>
      </w:r>
      <w:r>
        <w:rPr>
          <w:rFonts w:asciiTheme="minorEastAsia" w:hAnsiTheme="minorEastAsia" w:cstheme="minorEastAsia" w:hint="eastAsia"/>
        </w:rPr>
        <w:t>客户</w:t>
      </w:r>
      <w:r>
        <w:rPr>
          <w:rFonts w:asciiTheme="minorEastAsia" w:eastAsiaTheme="minorEastAsia" w:hAnsiTheme="minorEastAsia" w:cstheme="minorEastAsia" w:hint="eastAsia"/>
        </w:rPr>
        <w:t>资金需求，发布“新市民快E贷”、“新市民安居易”、“新市民消费易”</w:t>
      </w:r>
      <w:r>
        <w:rPr>
          <w:rFonts w:asciiTheme="minorEastAsia" w:hAnsiTheme="minorEastAsia" w:cstheme="minorEastAsia" w:hint="eastAsia"/>
        </w:rPr>
        <w:t>、</w:t>
      </w:r>
      <w:r>
        <w:rPr>
          <w:rFonts w:asciiTheme="minorEastAsia" w:eastAsiaTheme="minorEastAsia" w:hAnsiTheme="minorEastAsia" w:cstheme="minorEastAsia" w:hint="eastAsia"/>
        </w:rPr>
        <w:t>“新市民贷”</w:t>
      </w:r>
      <w:r>
        <w:rPr>
          <w:rFonts w:asciiTheme="minorEastAsia" w:hAnsiTheme="minorEastAsia" w:cstheme="minorEastAsia" w:hint="eastAsia"/>
        </w:rPr>
        <w:t>和</w:t>
      </w:r>
      <w:r>
        <w:rPr>
          <w:rFonts w:asciiTheme="minorEastAsia" w:eastAsiaTheme="minorEastAsia" w:hAnsiTheme="minorEastAsia" w:cstheme="minorEastAsia" w:hint="eastAsia"/>
        </w:rPr>
        <w:t>“台e贷”等</w:t>
      </w:r>
      <w:r>
        <w:rPr>
          <w:rFonts w:asciiTheme="minorEastAsia" w:hAnsiTheme="minorEastAsia" w:cstheme="minorEastAsia" w:hint="eastAsia"/>
        </w:rPr>
        <w:t>客群</w:t>
      </w:r>
      <w:r>
        <w:rPr>
          <w:rFonts w:asciiTheme="minorEastAsia" w:eastAsiaTheme="minorEastAsia" w:hAnsiTheme="minorEastAsia" w:cstheme="minorEastAsia" w:hint="eastAsia"/>
        </w:rPr>
        <w:t>专属产品。</w:t>
      </w:r>
    </w:p>
    <w:p w:rsidR="00AD5BB5" w:rsidRDefault="00F87FF6">
      <w:pPr>
        <w:spacing w:line="360" w:lineRule="auto"/>
        <w:ind w:firstLineChars="200" w:firstLine="420"/>
        <w:rPr>
          <w:rFonts w:ascii="Times New Roman" w:hAnsi="Times New Roman" w:cs="Times New Roman"/>
        </w:rPr>
      </w:pPr>
      <w:r>
        <w:rPr>
          <w:rFonts w:ascii="Times New Roman" w:eastAsiaTheme="minorEastAsia" w:hAnsi="Times New Roman" w:cs="Times New Roman"/>
          <w:lang w:val="zh-CN"/>
        </w:rPr>
        <w:t>新市民专属系列产品</w:t>
      </w:r>
      <w:r>
        <w:rPr>
          <w:rFonts w:ascii="Times New Roman" w:hAnsi="Times New Roman" w:cs="Times New Roman"/>
        </w:rPr>
        <w:t>各具特色，</w:t>
      </w:r>
      <w:r>
        <w:rPr>
          <w:rFonts w:ascii="Times New Roman" w:eastAsiaTheme="minorEastAsia" w:hAnsi="Times New Roman" w:cs="Times New Roman"/>
        </w:rPr>
        <w:t>对于新市民快</w:t>
      </w:r>
      <w:r>
        <w:rPr>
          <w:rFonts w:ascii="Times New Roman" w:eastAsiaTheme="minorEastAsia" w:hAnsi="Times New Roman" w:cs="Times New Roman"/>
        </w:rPr>
        <w:t>E</w:t>
      </w:r>
      <w:r>
        <w:rPr>
          <w:rFonts w:ascii="Times New Roman" w:eastAsiaTheme="minorEastAsia" w:hAnsi="Times New Roman" w:cs="Times New Roman"/>
        </w:rPr>
        <w:t>贷和新市民消费易产品，客户可享受利率优惠专属权益；对于新市民安居易产品，</w:t>
      </w:r>
      <w:r>
        <w:rPr>
          <w:rFonts w:ascii="Times New Roman" w:hAnsi="Times New Roman" w:cs="Times New Roman"/>
        </w:rPr>
        <w:t>本</w:t>
      </w:r>
      <w:r>
        <w:rPr>
          <w:rFonts w:ascii="Times New Roman" w:eastAsiaTheme="minorEastAsia" w:hAnsi="Times New Roman" w:cs="Times New Roman"/>
        </w:rPr>
        <w:t>公司提供一对一上门签约的专属金融服务</w:t>
      </w:r>
      <w:r>
        <w:rPr>
          <w:rFonts w:ascii="Times New Roman" w:hAnsi="Times New Roman" w:cs="Times New Roman"/>
        </w:rPr>
        <w:t>，</w:t>
      </w:r>
      <w:r>
        <w:rPr>
          <w:rFonts w:ascii="Times New Roman" w:eastAsiaTheme="minorEastAsia" w:hAnsi="Times New Roman" w:cs="Times New Roman"/>
        </w:rPr>
        <w:t>开辟审批绿色通道；</w:t>
      </w:r>
      <w:r>
        <w:rPr>
          <w:rFonts w:ascii="Times New Roman" w:eastAsiaTheme="minorEastAsia" w:hAnsi="Times New Roman" w:cs="Times New Roman"/>
        </w:rPr>
        <w:t>“</w:t>
      </w:r>
      <w:r>
        <w:rPr>
          <w:rFonts w:ascii="Times New Roman" w:eastAsiaTheme="minorEastAsia" w:hAnsi="Times New Roman" w:cs="Times New Roman"/>
        </w:rPr>
        <w:t>台</w:t>
      </w:r>
      <w:r>
        <w:rPr>
          <w:rFonts w:ascii="Times New Roman" w:eastAsiaTheme="minorEastAsia" w:hAnsi="Times New Roman" w:cs="Times New Roman"/>
        </w:rPr>
        <w:t>e</w:t>
      </w:r>
      <w:r>
        <w:rPr>
          <w:rFonts w:ascii="Times New Roman" w:eastAsiaTheme="minorEastAsia" w:hAnsi="Times New Roman" w:cs="Times New Roman"/>
        </w:rPr>
        <w:t>贷</w:t>
      </w:r>
      <w:r>
        <w:rPr>
          <w:rFonts w:ascii="Times New Roman" w:eastAsiaTheme="minorEastAsia" w:hAnsi="Times New Roman" w:cs="Times New Roman"/>
        </w:rPr>
        <w:t>”</w:t>
      </w:r>
      <w:r>
        <w:rPr>
          <w:rFonts w:ascii="Times New Roman" w:hAnsi="Times New Roman" w:cs="Times New Roman"/>
        </w:rPr>
        <w:t>和</w:t>
      </w:r>
      <w:r>
        <w:rPr>
          <w:rFonts w:ascii="Times New Roman" w:eastAsiaTheme="minorEastAsia" w:hAnsi="Times New Roman" w:cs="Times New Roman"/>
        </w:rPr>
        <w:t>“</w:t>
      </w:r>
      <w:r>
        <w:rPr>
          <w:rFonts w:ascii="Times New Roman" w:eastAsiaTheme="minorEastAsia" w:hAnsi="Times New Roman" w:cs="Times New Roman"/>
        </w:rPr>
        <w:t>新市民贷</w:t>
      </w:r>
      <w:r>
        <w:rPr>
          <w:rFonts w:ascii="Times New Roman" w:eastAsiaTheme="minorEastAsia" w:hAnsi="Times New Roman" w:cs="Times New Roman"/>
        </w:rPr>
        <w:t>”</w:t>
      </w:r>
      <w:r>
        <w:rPr>
          <w:rFonts w:ascii="Times New Roman" w:hAnsi="Times New Roman" w:cs="Times New Roman"/>
        </w:rPr>
        <w:t>同属</w:t>
      </w:r>
      <w:r>
        <w:rPr>
          <w:rFonts w:ascii="Times New Roman" w:eastAsiaTheme="minorEastAsia" w:hAnsi="Times New Roman" w:cs="Times New Roman"/>
        </w:rPr>
        <w:t>本公司力推的线上自动化审批信用消费贷款</w:t>
      </w:r>
      <w:r>
        <w:rPr>
          <w:rFonts w:ascii="Times New Roman" w:eastAsiaTheme="minorEastAsia" w:hAnsi="Times New Roman" w:cs="Times New Roman"/>
        </w:rPr>
        <w:t>E</w:t>
      </w:r>
      <w:proofErr w:type="gramStart"/>
      <w:r>
        <w:rPr>
          <w:rFonts w:ascii="Times New Roman" w:eastAsiaTheme="minorEastAsia" w:hAnsi="Times New Roman" w:cs="Times New Roman"/>
        </w:rPr>
        <w:t>秒贷的</w:t>
      </w:r>
      <w:proofErr w:type="gramEnd"/>
      <w:r>
        <w:rPr>
          <w:rFonts w:ascii="Times New Roman" w:eastAsiaTheme="minorEastAsia" w:hAnsi="Times New Roman" w:cs="Times New Roman"/>
        </w:rPr>
        <w:t>子产品</w:t>
      </w:r>
      <w:r>
        <w:rPr>
          <w:rFonts w:ascii="Times New Roman" w:hAnsi="Times New Roman" w:cs="Times New Roman"/>
        </w:rPr>
        <w:t>，</w:t>
      </w:r>
      <w:r>
        <w:rPr>
          <w:rFonts w:ascii="Times New Roman" w:eastAsiaTheme="minorEastAsia" w:hAnsi="Times New Roman" w:cs="Times New Roman"/>
        </w:rPr>
        <w:t>“</w:t>
      </w:r>
      <w:r>
        <w:rPr>
          <w:rFonts w:ascii="Times New Roman" w:eastAsiaTheme="minorEastAsia" w:hAnsi="Times New Roman" w:cs="Times New Roman"/>
        </w:rPr>
        <w:t>台</w:t>
      </w:r>
      <w:r>
        <w:rPr>
          <w:rFonts w:ascii="Times New Roman" w:eastAsiaTheme="minorEastAsia" w:hAnsi="Times New Roman" w:cs="Times New Roman"/>
        </w:rPr>
        <w:t>e</w:t>
      </w:r>
      <w:r>
        <w:rPr>
          <w:rFonts w:ascii="Times New Roman" w:eastAsiaTheme="minorEastAsia" w:hAnsi="Times New Roman" w:cs="Times New Roman"/>
        </w:rPr>
        <w:t>贷</w:t>
      </w:r>
      <w:r>
        <w:rPr>
          <w:rFonts w:ascii="Times New Roman" w:eastAsiaTheme="minorEastAsia" w:hAnsi="Times New Roman" w:cs="Times New Roman"/>
        </w:rPr>
        <w:t>”</w:t>
      </w:r>
      <w:r>
        <w:rPr>
          <w:rFonts w:ascii="Times New Roman" w:hAnsi="Times New Roman" w:cs="Times New Roman"/>
        </w:rPr>
        <w:t>还是本</w:t>
      </w:r>
      <w:r>
        <w:rPr>
          <w:rFonts w:ascii="Times New Roman" w:eastAsiaTheme="minorEastAsia" w:hAnsi="Times New Roman" w:cs="Times New Roman"/>
        </w:rPr>
        <w:t>公司首款台胞线上自动化审批的信用消费贷款。</w:t>
      </w:r>
      <w:r>
        <w:rPr>
          <w:rFonts w:ascii="Times New Roman" w:hAnsi="Times New Roman" w:cs="Times New Roman"/>
        </w:rPr>
        <w:t>通过多种产品</w:t>
      </w:r>
      <w:r>
        <w:rPr>
          <w:rFonts w:ascii="Times New Roman" w:eastAsiaTheme="minorEastAsia" w:hAnsi="Times New Roman" w:cs="Times New Roman"/>
        </w:rPr>
        <w:t>聚集拉动，切实加强对新市民客</w:t>
      </w:r>
      <w:proofErr w:type="gramStart"/>
      <w:r>
        <w:rPr>
          <w:rFonts w:ascii="Times New Roman" w:eastAsiaTheme="minorEastAsia" w:hAnsi="Times New Roman" w:cs="Times New Roman"/>
        </w:rPr>
        <w:t>群</w:t>
      </w:r>
      <w:r>
        <w:rPr>
          <w:rFonts w:ascii="Times New Roman" w:eastAsiaTheme="minorEastAsia" w:hAnsi="Times New Roman" w:cs="Times New Roman"/>
          <w:szCs w:val="24"/>
        </w:rPr>
        <w:t>创业</w:t>
      </w:r>
      <w:proofErr w:type="gramEnd"/>
      <w:r>
        <w:rPr>
          <w:rFonts w:ascii="Times New Roman" w:eastAsiaTheme="minorEastAsia" w:hAnsi="Times New Roman" w:cs="Times New Roman"/>
          <w:szCs w:val="24"/>
        </w:rPr>
        <w:t>就业、住房按揭、安居消费方面的资金</w:t>
      </w:r>
      <w:r>
        <w:rPr>
          <w:rFonts w:ascii="Times New Roman" w:eastAsiaTheme="minorEastAsia" w:hAnsi="Times New Roman" w:cs="Times New Roman"/>
        </w:rPr>
        <w:t>支持。</w:t>
      </w:r>
    </w:p>
    <w:p w:rsidR="00AD5BB5" w:rsidRDefault="00F87FF6">
      <w:pPr>
        <w:spacing w:line="360" w:lineRule="auto"/>
        <w:ind w:firstLineChars="200" w:firstLine="420"/>
        <w:rPr>
          <w:rFonts w:ascii="Times New Roman" w:hAnsi="Times New Roman" w:cs="Times New Roman"/>
        </w:rPr>
      </w:pPr>
      <w:r>
        <w:rPr>
          <w:rFonts w:ascii="Times New Roman" w:hAnsi="Times New Roman" w:cs="Times New Roman"/>
        </w:rPr>
        <w:t>得益于</w:t>
      </w:r>
      <w:r>
        <w:rPr>
          <w:rFonts w:ascii="Times New Roman" w:eastAsiaTheme="minorEastAsia" w:hAnsi="Times New Roman" w:cs="Times New Roman"/>
        </w:rPr>
        <w:t>“</w:t>
      </w:r>
      <w:r>
        <w:rPr>
          <w:rFonts w:ascii="Times New Roman" w:eastAsiaTheme="minorEastAsia" w:hAnsi="Times New Roman" w:cs="Times New Roman"/>
        </w:rPr>
        <w:t>新市民贷</w:t>
      </w:r>
      <w:r>
        <w:rPr>
          <w:rFonts w:ascii="Times New Roman" w:eastAsiaTheme="minorEastAsia" w:hAnsi="Times New Roman" w:cs="Times New Roman"/>
        </w:rPr>
        <w:t>”</w:t>
      </w:r>
      <w:r>
        <w:rPr>
          <w:rFonts w:ascii="Times New Roman" w:hAnsi="Times New Roman" w:cs="Times New Roman"/>
        </w:rPr>
        <w:t>和</w:t>
      </w:r>
      <w:r>
        <w:rPr>
          <w:rFonts w:ascii="Times New Roman" w:eastAsiaTheme="minorEastAsia" w:hAnsi="Times New Roman" w:cs="Times New Roman"/>
        </w:rPr>
        <w:t>“</w:t>
      </w:r>
      <w:r>
        <w:rPr>
          <w:rFonts w:ascii="Times New Roman" w:eastAsiaTheme="minorEastAsia" w:hAnsi="Times New Roman" w:cs="Times New Roman"/>
        </w:rPr>
        <w:t>台</w:t>
      </w:r>
      <w:r>
        <w:rPr>
          <w:rFonts w:ascii="Times New Roman" w:eastAsiaTheme="minorEastAsia" w:hAnsi="Times New Roman" w:cs="Times New Roman"/>
        </w:rPr>
        <w:t>e</w:t>
      </w:r>
      <w:r>
        <w:rPr>
          <w:rFonts w:ascii="Times New Roman" w:eastAsiaTheme="minorEastAsia" w:hAnsi="Times New Roman" w:cs="Times New Roman"/>
        </w:rPr>
        <w:t>贷</w:t>
      </w:r>
      <w:r>
        <w:rPr>
          <w:rFonts w:ascii="Times New Roman" w:eastAsiaTheme="minorEastAsia" w:hAnsi="Times New Roman" w:cs="Times New Roman"/>
        </w:rPr>
        <w:t>”</w:t>
      </w:r>
      <w:r>
        <w:rPr>
          <w:rFonts w:ascii="Times New Roman" w:hAnsi="Times New Roman" w:cs="Times New Roman"/>
        </w:rPr>
        <w:t>补充，</w:t>
      </w:r>
      <w:r>
        <w:rPr>
          <w:rFonts w:ascii="Times New Roman" w:hAnsi="Times New Roman" w:cs="Times New Roman"/>
        </w:rPr>
        <w:t>E</w:t>
      </w:r>
      <w:proofErr w:type="gramStart"/>
      <w:r>
        <w:rPr>
          <w:rFonts w:ascii="Times New Roman" w:hAnsi="Times New Roman" w:cs="Times New Roman"/>
        </w:rPr>
        <w:t>秒贷产品</w:t>
      </w:r>
      <w:proofErr w:type="gramEnd"/>
      <w:r>
        <w:rPr>
          <w:rFonts w:ascii="Times New Roman" w:hAnsi="Times New Roman" w:cs="Times New Roman"/>
        </w:rPr>
        <w:t>体系日趋完备，</w:t>
      </w:r>
      <w:r>
        <w:rPr>
          <w:rFonts w:ascii="Times New Roman" w:eastAsiaTheme="minorEastAsia" w:hAnsi="Times New Roman" w:cs="Times New Roman"/>
        </w:rPr>
        <w:t>获评</w:t>
      </w:r>
      <w:r>
        <w:rPr>
          <w:rFonts w:ascii="Times New Roman" w:eastAsiaTheme="minorEastAsia" w:hAnsi="Times New Roman" w:cs="Times New Roman"/>
        </w:rPr>
        <w:t>“</w:t>
      </w:r>
      <w:r>
        <w:rPr>
          <w:rFonts w:ascii="Times New Roman" w:eastAsiaTheme="minorEastAsia" w:hAnsi="Times New Roman" w:cs="Times New Roman"/>
        </w:rPr>
        <w:t>福建首届服务新市民十佳金融产品</w:t>
      </w:r>
      <w:r>
        <w:rPr>
          <w:rFonts w:ascii="Times New Roman" w:eastAsiaTheme="minorEastAsia" w:hAnsi="Times New Roman" w:cs="Times New Roman"/>
        </w:rPr>
        <w:t>”</w:t>
      </w:r>
      <w:r>
        <w:rPr>
          <w:rFonts w:ascii="Times New Roman" w:hAnsi="Times New Roman" w:cs="Times New Roman"/>
        </w:rPr>
        <w:t>，品牌知名度增加。</w:t>
      </w:r>
      <w:r>
        <w:rPr>
          <w:rFonts w:ascii="Times New Roman" w:eastAsiaTheme="minorEastAsia" w:hAnsi="Times New Roman" w:cs="Times New Roman"/>
        </w:rPr>
        <w:t>E</w:t>
      </w:r>
      <w:proofErr w:type="gramStart"/>
      <w:r>
        <w:rPr>
          <w:rFonts w:ascii="Times New Roman" w:eastAsiaTheme="minorEastAsia" w:hAnsi="Times New Roman" w:cs="Times New Roman"/>
        </w:rPr>
        <w:t>秒贷</w:t>
      </w:r>
      <w:r>
        <w:rPr>
          <w:rFonts w:ascii="Times New Roman" w:hAnsi="Times New Roman" w:cs="Times New Roman"/>
        </w:rPr>
        <w:t>上线</w:t>
      </w:r>
      <w:proofErr w:type="gramEnd"/>
      <w:r>
        <w:rPr>
          <w:rFonts w:ascii="Times New Roman" w:hAnsi="Times New Roman" w:cs="Times New Roman"/>
        </w:rPr>
        <w:t>约一年时间，余额达到</w:t>
      </w:r>
      <w:r>
        <w:rPr>
          <w:rFonts w:ascii="Times New Roman" w:hAnsi="Times New Roman" w:cs="Times New Roman"/>
        </w:rPr>
        <w:t>21.64</w:t>
      </w:r>
      <w:r>
        <w:rPr>
          <w:rFonts w:ascii="Times New Roman" w:hAnsi="Times New Roman" w:cs="Times New Roman"/>
        </w:rPr>
        <w:t>亿元，</w:t>
      </w:r>
      <w:r>
        <w:rPr>
          <w:rFonts w:ascii="Times New Roman" w:eastAsiaTheme="minorEastAsia" w:hAnsi="Times New Roman" w:cs="Times New Roman"/>
        </w:rPr>
        <w:t>较上年末增长</w:t>
      </w:r>
      <w:r>
        <w:rPr>
          <w:rFonts w:ascii="Times New Roman" w:hAnsi="Times New Roman" w:cs="Times New Roman"/>
        </w:rPr>
        <w:t>7.63</w:t>
      </w:r>
      <w:r>
        <w:rPr>
          <w:rFonts w:ascii="Times New Roman" w:eastAsiaTheme="minorEastAsia" w:hAnsi="Times New Roman" w:cs="Times New Roman"/>
        </w:rPr>
        <w:t>亿元，增幅</w:t>
      </w:r>
      <w:r>
        <w:rPr>
          <w:rFonts w:ascii="Times New Roman" w:hAnsi="Times New Roman" w:cs="Times New Roman"/>
        </w:rPr>
        <w:t>54.40</w:t>
      </w:r>
      <w:r>
        <w:rPr>
          <w:rFonts w:ascii="Times New Roman" w:eastAsiaTheme="minorEastAsia" w:hAnsi="Times New Roman" w:cs="Times New Roman"/>
        </w:rPr>
        <w:t>%</w:t>
      </w:r>
      <w:r>
        <w:rPr>
          <w:rFonts w:ascii="Times New Roman" w:eastAsiaTheme="minorEastAsia" w:hAnsi="Times New Roman" w:cs="Times New Roman"/>
        </w:rPr>
        <w:t>，</w:t>
      </w:r>
      <w:r>
        <w:rPr>
          <w:rFonts w:ascii="Times New Roman" w:hAnsi="Times New Roman" w:cs="Times New Roman"/>
        </w:rPr>
        <w:t>对贷款</w:t>
      </w:r>
      <w:r>
        <w:rPr>
          <w:rFonts w:ascii="Times New Roman" w:eastAsiaTheme="minorEastAsia" w:hAnsi="Times New Roman" w:cs="Times New Roman"/>
        </w:rPr>
        <w:t>产品结构优化</w:t>
      </w:r>
      <w:r>
        <w:rPr>
          <w:rFonts w:ascii="Times New Roman" w:hAnsi="Times New Roman" w:cs="Times New Roman"/>
        </w:rPr>
        <w:t>和</w:t>
      </w:r>
      <w:r>
        <w:rPr>
          <w:rFonts w:ascii="Times New Roman" w:eastAsiaTheme="minorEastAsia" w:hAnsi="Times New Roman" w:cs="Times New Roman"/>
        </w:rPr>
        <w:t>综合收益率提升</w:t>
      </w:r>
      <w:r>
        <w:rPr>
          <w:rFonts w:ascii="Times New Roman" w:hAnsi="Times New Roman" w:cs="Times New Roman"/>
        </w:rPr>
        <w:t>作用逐渐凸显</w:t>
      </w:r>
      <w:r>
        <w:rPr>
          <w:rFonts w:ascii="Times New Roman" w:eastAsiaTheme="minorEastAsia" w:hAnsi="Times New Roman" w:cs="Times New Roman"/>
        </w:rPr>
        <w:t>。</w:t>
      </w:r>
    </w:p>
    <w:p w:rsidR="00AD5BB5" w:rsidRDefault="00F87FF6">
      <w:pPr>
        <w:spacing w:line="360" w:lineRule="auto"/>
        <w:ind w:firstLineChars="200" w:firstLine="420"/>
        <w:rPr>
          <w:rFonts w:asciiTheme="minorEastAsia" w:hAnsiTheme="minorEastAsia" w:cstheme="minorEastAsia"/>
        </w:rPr>
      </w:pPr>
      <w:r>
        <w:rPr>
          <w:rFonts w:ascii="Times New Roman" w:eastAsiaTheme="minorEastAsia" w:hAnsi="Times New Roman" w:cs="Times New Roman"/>
        </w:rPr>
        <w:t>此外，本公司完成原凤凰</w:t>
      </w:r>
      <w:proofErr w:type="gramStart"/>
      <w:r>
        <w:rPr>
          <w:rFonts w:ascii="Times New Roman" w:eastAsiaTheme="minorEastAsia" w:hAnsi="Times New Roman" w:cs="Times New Roman"/>
        </w:rPr>
        <w:t>花</w:t>
      </w:r>
      <w:r>
        <w:rPr>
          <w:rFonts w:ascii="Times New Roman" w:hAnsi="Times New Roman" w:cs="Times New Roman"/>
        </w:rPr>
        <w:t>标准</w:t>
      </w:r>
      <w:proofErr w:type="gramEnd"/>
      <w:r>
        <w:rPr>
          <w:rFonts w:ascii="Times New Roman" w:hAnsi="Times New Roman" w:cs="Times New Roman"/>
        </w:rPr>
        <w:t>信用卡</w:t>
      </w:r>
      <w:r>
        <w:rPr>
          <w:rFonts w:ascii="Times New Roman" w:eastAsiaTheme="minorEastAsia" w:hAnsi="Times New Roman" w:cs="Times New Roman"/>
        </w:rPr>
        <w:t>的迭代升级，正式</w:t>
      </w:r>
      <w:r>
        <w:rPr>
          <w:rFonts w:ascii="Times New Roman" w:hAnsi="Times New Roman" w:cs="Times New Roman"/>
        </w:rPr>
        <w:t>发布</w:t>
      </w:r>
      <w:r>
        <w:rPr>
          <w:rFonts w:ascii="Times New Roman" w:eastAsiaTheme="minorEastAsia" w:hAnsi="Times New Roman" w:cs="Times New Roman"/>
        </w:rPr>
        <w:t>自营无界</w:t>
      </w:r>
      <w:r>
        <w:rPr>
          <w:rFonts w:ascii="Times New Roman" w:hAnsi="Times New Roman" w:cs="Times New Roman"/>
        </w:rPr>
        <w:t>数字</w:t>
      </w:r>
      <w:r>
        <w:rPr>
          <w:rFonts w:ascii="Times New Roman" w:eastAsiaTheme="minorEastAsia" w:hAnsi="Times New Roman" w:cs="Times New Roman"/>
        </w:rPr>
        <w:t>信用卡产品，</w:t>
      </w:r>
      <w:r>
        <w:rPr>
          <w:rFonts w:asciiTheme="minorEastAsia" w:eastAsiaTheme="minorEastAsia" w:hAnsiTheme="minorEastAsia" w:cstheme="minorEastAsia" w:hint="eastAsia"/>
        </w:rPr>
        <w:t>实现无需实体卡即可激活使用，提升</w:t>
      </w:r>
      <w:r>
        <w:rPr>
          <w:rFonts w:asciiTheme="minorEastAsia" w:hAnsiTheme="minorEastAsia" w:cstheme="minorEastAsia" w:hint="eastAsia"/>
        </w:rPr>
        <w:t>从发卡到用卡的营销</w:t>
      </w:r>
      <w:r>
        <w:rPr>
          <w:rFonts w:asciiTheme="minorEastAsia" w:eastAsiaTheme="minorEastAsia" w:hAnsiTheme="minorEastAsia" w:cstheme="minorEastAsia" w:hint="eastAsia"/>
        </w:rPr>
        <w:t>效率</w:t>
      </w:r>
      <w:r>
        <w:rPr>
          <w:rFonts w:asciiTheme="minorEastAsia" w:hAnsiTheme="minorEastAsia" w:cstheme="minorEastAsia" w:hint="eastAsia"/>
        </w:rPr>
        <w:t>，增进</w:t>
      </w:r>
      <w:r>
        <w:rPr>
          <w:rFonts w:asciiTheme="minorEastAsia" w:eastAsiaTheme="minorEastAsia" w:hAnsiTheme="minorEastAsia" w:cstheme="minorEastAsia" w:hint="eastAsia"/>
        </w:rPr>
        <w:t>品牌自营能力。</w:t>
      </w:r>
    </w:p>
    <w:p w:rsidR="00AD5BB5" w:rsidRDefault="00F87FF6" w:rsidP="0000294C">
      <w:pPr>
        <w:spacing w:line="360" w:lineRule="auto"/>
        <w:outlineLvl w:val="2"/>
        <w:rPr>
          <w:rFonts w:asciiTheme="minorEastAsia" w:hAnsiTheme="minorEastAsia" w:cstheme="minorEastAsia"/>
          <w:b/>
        </w:rPr>
      </w:pPr>
      <w:r>
        <w:rPr>
          <w:rFonts w:asciiTheme="minorEastAsia" w:eastAsiaTheme="minorEastAsia" w:hAnsiTheme="minorEastAsia" w:cstheme="minorEastAsia"/>
          <w:b/>
        </w:rPr>
        <w:t>（</w:t>
      </w:r>
      <w:r>
        <w:rPr>
          <w:rFonts w:asciiTheme="minorEastAsia" w:eastAsiaTheme="minorEastAsia" w:hAnsiTheme="minorEastAsia" w:cstheme="minorEastAsia" w:hint="eastAsia"/>
          <w:b/>
        </w:rPr>
        <w:t>2</w:t>
      </w:r>
      <w:r>
        <w:rPr>
          <w:rFonts w:asciiTheme="minorEastAsia" w:eastAsiaTheme="minorEastAsia" w:hAnsiTheme="minorEastAsia" w:cstheme="minorEastAsia"/>
          <w:b/>
        </w:rPr>
        <w:t>）</w:t>
      </w:r>
      <w:r>
        <w:rPr>
          <w:rFonts w:asciiTheme="minorEastAsia" w:hAnsiTheme="minorEastAsia" w:cstheme="minorEastAsia" w:hint="eastAsia"/>
          <w:b/>
        </w:rPr>
        <w:t>深入实践</w:t>
      </w:r>
      <w:r>
        <w:rPr>
          <w:rFonts w:asciiTheme="minorEastAsia" w:eastAsiaTheme="minorEastAsia" w:hAnsiTheme="minorEastAsia" w:cstheme="minorEastAsia" w:hint="eastAsia"/>
          <w:b/>
        </w:rPr>
        <w:t>客群分层经营，</w:t>
      </w:r>
      <w:r>
        <w:rPr>
          <w:rFonts w:asciiTheme="minorEastAsia" w:hAnsiTheme="minorEastAsia" w:cstheme="minorEastAsia" w:hint="eastAsia"/>
          <w:b/>
        </w:rPr>
        <w:t>稳步提高客户综合贡献</w:t>
      </w:r>
    </w:p>
    <w:p w:rsidR="00AD5BB5" w:rsidRDefault="00F87FF6">
      <w:pPr>
        <w:spacing w:line="360" w:lineRule="auto"/>
        <w:ind w:firstLineChars="200" w:firstLine="420"/>
        <w:rPr>
          <w:rFonts w:ascii="Times New Roman" w:hAnsi="Times New Roman" w:cs="Times New Roman"/>
        </w:rPr>
      </w:pPr>
      <w:r>
        <w:rPr>
          <w:rFonts w:ascii="Times New Roman" w:eastAsiaTheme="minorEastAsia" w:hAnsi="Times New Roman" w:cs="Times New Roman"/>
        </w:rPr>
        <w:t>本公司始终坚持客户分层经营策略，深化客</w:t>
      </w:r>
      <w:proofErr w:type="gramStart"/>
      <w:r>
        <w:rPr>
          <w:rFonts w:ascii="Times New Roman" w:eastAsiaTheme="minorEastAsia" w:hAnsi="Times New Roman" w:cs="Times New Roman"/>
        </w:rPr>
        <w:t>群专业</w:t>
      </w:r>
      <w:proofErr w:type="gramEnd"/>
      <w:r>
        <w:rPr>
          <w:rFonts w:ascii="Times New Roman" w:eastAsiaTheme="minorEastAsia" w:hAnsi="Times New Roman" w:cs="Times New Roman"/>
        </w:rPr>
        <w:t>运营，以</w:t>
      </w:r>
      <w:r>
        <w:rPr>
          <w:rFonts w:ascii="Times New Roman" w:eastAsiaTheme="minorEastAsia" w:hAnsi="Times New Roman" w:cs="Times New Roman"/>
        </w:rPr>
        <w:t>“</w:t>
      </w:r>
      <w:proofErr w:type="gramStart"/>
      <w:r>
        <w:rPr>
          <w:rFonts w:ascii="Times New Roman" w:eastAsiaTheme="minorEastAsia" w:hAnsi="Times New Roman" w:cs="Times New Roman"/>
        </w:rPr>
        <w:t>做对</w:t>
      </w:r>
      <w:proofErr w:type="gramEnd"/>
      <w:r>
        <w:rPr>
          <w:rFonts w:ascii="Times New Roman" w:eastAsiaTheme="minorEastAsia" w:hAnsi="Times New Roman" w:cs="Times New Roman"/>
        </w:rPr>
        <w:t>客户有价值的渠道</w:t>
      </w:r>
      <w:r>
        <w:rPr>
          <w:rFonts w:ascii="Times New Roman" w:eastAsiaTheme="minorEastAsia" w:hAnsi="Times New Roman" w:cs="Times New Roman"/>
        </w:rPr>
        <w:t>”</w:t>
      </w:r>
      <w:r>
        <w:rPr>
          <w:rFonts w:ascii="Times New Roman" w:eastAsiaTheme="minorEastAsia" w:hAnsi="Times New Roman" w:cs="Times New Roman"/>
        </w:rPr>
        <w:t>为出发点，围绕做大做实大众客户、做透做深财富私行客户、做活做精信贷客户的策略，筛选与客户适配的产品，提供有温度的</w:t>
      </w:r>
      <w:r>
        <w:rPr>
          <w:rFonts w:ascii="Times New Roman" w:hAnsi="Times New Roman" w:cs="Times New Roman"/>
        </w:rPr>
        <w:t>综合</w:t>
      </w:r>
      <w:r>
        <w:rPr>
          <w:rFonts w:ascii="Times New Roman" w:eastAsiaTheme="minorEastAsia" w:hAnsi="Times New Roman" w:cs="Times New Roman"/>
        </w:rPr>
        <w:t>服务，扎实推进差异</w:t>
      </w:r>
      <w:proofErr w:type="gramStart"/>
      <w:r>
        <w:rPr>
          <w:rFonts w:ascii="Times New Roman" w:eastAsiaTheme="minorEastAsia" w:hAnsi="Times New Roman" w:cs="Times New Roman"/>
        </w:rPr>
        <w:t>化客户</w:t>
      </w:r>
      <w:proofErr w:type="gramEnd"/>
      <w:r>
        <w:rPr>
          <w:rFonts w:ascii="Times New Roman" w:eastAsiaTheme="minorEastAsia" w:hAnsi="Times New Roman" w:cs="Times New Roman"/>
        </w:rPr>
        <w:t>营销，夯实零售客户</w:t>
      </w:r>
      <w:r>
        <w:rPr>
          <w:rFonts w:ascii="Times New Roman" w:hAnsi="Times New Roman" w:cs="Times New Roman"/>
        </w:rPr>
        <w:t>经营</w:t>
      </w:r>
      <w:r>
        <w:rPr>
          <w:rFonts w:ascii="Times New Roman" w:eastAsiaTheme="minorEastAsia" w:hAnsi="Times New Roman" w:cs="Times New Roman"/>
        </w:rPr>
        <w:t>基础，进一步改善客户体验感和满意度。</w:t>
      </w:r>
      <w:r>
        <w:rPr>
          <w:rFonts w:ascii="Times New Roman" w:hAnsi="Times New Roman" w:cs="Times New Roman"/>
        </w:rPr>
        <w:t>截至报告期末，本公司零售客户</w:t>
      </w:r>
      <w:r>
        <w:rPr>
          <w:rFonts w:ascii="Times New Roman" w:hAnsi="Times New Roman" w:cs="Times New Roman"/>
        </w:rPr>
        <w:t>247.77</w:t>
      </w:r>
      <w:r>
        <w:rPr>
          <w:rFonts w:ascii="Times New Roman" w:hAnsi="Times New Roman" w:cs="Times New Roman"/>
        </w:rPr>
        <w:t>万户，较上年末增长</w:t>
      </w:r>
      <w:r>
        <w:rPr>
          <w:rFonts w:ascii="Times New Roman" w:hAnsi="Times New Roman" w:cs="Times New Roman"/>
        </w:rPr>
        <w:t>7.33</w:t>
      </w:r>
      <w:r>
        <w:rPr>
          <w:rFonts w:ascii="Times New Roman" w:hAnsi="Times New Roman" w:cs="Times New Roman"/>
        </w:rPr>
        <w:t>万户，增幅</w:t>
      </w:r>
      <w:r>
        <w:rPr>
          <w:rFonts w:ascii="Times New Roman" w:hAnsi="Times New Roman" w:cs="Times New Roman"/>
        </w:rPr>
        <w:t>3.05%</w:t>
      </w:r>
      <w:r>
        <w:rPr>
          <w:rFonts w:ascii="Times New Roman" w:hAnsi="Times New Roman" w:cs="Times New Roman"/>
        </w:rPr>
        <w:t>。</w:t>
      </w:r>
    </w:p>
    <w:p w:rsidR="00AD5BB5" w:rsidRDefault="00F87FF6">
      <w:pPr>
        <w:spacing w:line="360" w:lineRule="auto"/>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 1 \* GB3 </w:instrText>
      </w:r>
      <w:r>
        <w:rPr>
          <w:rFonts w:ascii="Times New Roman" w:hAnsi="Times New Roman" w:cs="Times New Roman"/>
        </w:rPr>
        <w:fldChar w:fldCharType="separate"/>
      </w:r>
      <w:r>
        <w:rPr>
          <w:rFonts w:ascii="宋体" w:hAnsi="宋体" w:cs="宋体" w:hint="eastAsia"/>
        </w:rPr>
        <w:t>①</w:t>
      </w:r>
      <w:r>
        <w:rPr>
          <w:rFonts w:ascii="Times New Roman" w:hAnsi="Times New Roman" w:cs="Times New Roman"/>
        </w:rPr>
        <w:fldChar w:fldCharType="end"/>
      </w:r>
      <w:r>
        <w:rPr>
          <w:rFonts w:ascii="Times New Roman" w:hAnsi="Times New Roman" w:cs="Times New Roman"/>
        </w:rPr>
        <w:t>细化</w:t>
      </w:r>
      <w:r>
        <w:rPr>
          <w:rFonts w:ascii="Times New Roman" w:eastAsiaTheme="minorEastAsia" w:hAnsi="Times New Roman" w:cs="Times New Roman"/>
        </w:rPr>
        <w:t>大众客群服务，</w:t>
      </w:r>
      <w:r>
        <w:rPr>
          <w:rFonts w:ascii="Times New Roman" w:hAnsi="Times New Roman" w:cs="Times New Roman"/>
        </w:rPr>
        <w:t>助</w:t>
      </w:r>
      <w:proofErr w:type="gramStart"/>
      <w:r>
        <w:rPr>
          <w:rFonts w:ascii="Times New Roman" w:hAnsi="Times New Roman" w:cs="Times New Roman"/>
        </w:rPr>
        <w:t>推</w:t>
      </w:r>
      <w:r>
        <w:rPr>
          <w:rFonts w:ascii="Times New Roman" w:eastAsiaTheme="minorEastAsia" w:hAnsi="Times New Roman" w:cs="Times New Roman"/>
        </w:rPr>
        <w:t>客户</w:t>
      </w:r>
      <w:proofErr w:type="gramEnd"/>
      <w:r>
        <w:rPr>
          <w:rFonts w:ascii="Times New Roman" w:eastAsiaTheme="minorEastAsia" w:hAnsi="Times New Roman" w:cs="Times New Roman"/>
        </w:rPr>
        <w:t>联动营销</w:t>
      </w:r>
    </w:p>
    <w:p w:rsidR="00AD5BB5" w:rsidRDefault="00F87FF6">
      <w:pPr>
        <w:spacing w:line="360" w:lineRule="auto"/>
        <w:ind w:firstLineChars="200" w:firstLine="420"/>
        <w:rPr>
          <w:rFonts w:asciiTheme="minorEastAsia" w:hAnsiTheme="minorEastAsia" w:cstheme="minorEastAsia"/>
        </w:rPr>
      </w:pPr>
      <w:r>
        <w:rPr>
          <w:rFonts w:ascii="Times New Roman" w:eastAsiaTheme="minorEastAsia" w:hAnsi="Times New Roman" w:cs="Times New Roman"/>
        </w:rPr>
        <w:t>本公司将</w:t>
      </w:r>
      <w:r>
        <w:rPr>
          <w:rFonts w:ascii="Times New Roman" w:hAnsi="Times New Roman" w:cs="Times New Roman"/>
        </w:rPr>
        <w:t>代发</w:t>
      </w:r>
      <w:r>
        <w:rPr>
          <w:rFonts w:ascii="Times New Roman" w:eastAsiaTheme="minorEastAsia" w:hAnsi="Times New Roman" w:cs="Times New Roman"/>
        </w:rPr>
        <w:t>客</w:t>
      </w:r>
      <w:proofErr w:type="gramStart"/>
      <w:r>
        <w:rPr>
          <w:rFonts w:ascii="Times New Roman" w:eastAsiaTheme="minorEastAsia" w:hAnsi="Times New Roman" w:cs="Times New Roman"/>
        </w:rPr>
        <w:t>群综合</w:t>
      </w:r>
      <w:proofErr w:type="gramEnd"/>
      <w:r>
        <w:rPr>
          <w:rFonts w:ascii="Times New Roman" w:eastAsiaTheme="minorEastAsia" w:hAnsi="Times New Roman" w:cs="Times New Roman"/>
        </w:rPr>
        <w:t>经营、潜力客户资产提升</w:t>
      </w:r>
      <w:r>
        <w:rPr>
          <w:rFonts w:ascii="Times New Roman" w:hAnsi="Times New Roman" w:cs="Times New Roman"/>
        </w:rPr>
        <w:t>和产品</w:t>
      </w:r>
      <w:r>
        <w:rPr>
          <w:rFonts w:asciiTheme="minorEastAsia" w:hAnsiTheme="minorEastAsia" w:cstheme="minorEastAsia" w:hint="eastAsia"/>
        </w:rPr>
        <w:t>渗透</w:t>
      </w:r>
      <w:r>
        <w:rPr>
          <w:rFonts w:asciiTheme="minorEastAsia" w:eastAsiaTheme="minorEastAsia" w:hAnsiTheme="minorEastAsia" w:cstheme="minorEastAsia" w:hint="eastAsia"/>
        </w:rPr>
        <w:t>等</w:t>
      </w:r>
      <w:r>
        <w:rPr>
          <w:rFonts w:asciiTheme="minorEastAsia" w:hAnsiTheme="minorEastAsia" w:cstheme="minorEastAsia" w:hint="eastAsia"/>
        </w:rPr>
        <w:t>举措</w:t>
      </w:r>
      <w:r>
        <w:rPr>
          <w:rFonts w:asciiTheme="minorEastAsia" w:eastAsiaTheme="minorEastAsia" w:hAnsiTheme="minorEastAsia" w:cstheme="minorEastAsia" w:hint="eastAsia"/>
        </w:rPr>
        <w:t>作为</w:t>
      </w:r>
      <w:r>
        <w:rPr>
          <w:rFonts w:asciiTheme="minorEastAsia" w:hAnsiTheme="minorEastAsia" w:cstheme="minorEastAsia" w:hint="eastAsia"/>
        </w:rPr>
        <w:t>服务</w:t>
      </w:r>
      <w:r>
        <w:rPr>
          <w:rFonts w:asciiTheme="minorEastAsia" w:eastAsiaTheme="minorEastAsia" w:hAnsiTheme="minorEastAsia" w:cstheme="minorEastAsia" w:hint="eastAsia"/>
        </w:rPr>
        <w:t>大众客群的重点，带动大众客群财富管理、贷款</w:t>
      </w:r>
      <w:r>
        <w:rPr>
          <w:rFonts w:asciiTheme="minorEastAsia" w:hAnsiTheme="minorEastAsia" w:cstheme="minorEastAsia" w:hint="eastAsia"/>
        </w:rPr>
        <w:t>、信用卡</w:t>
      </w:r>
      <w:r>
        <w:rPr>
          <w:rFonts w:asciiTheme="minorEastAsia" w:eastAsiaTheme="minorEastAsia" w:hAnsiTheme="minorEastAsia" w:cstheme="minorEastAsia" w:hint="eastAsia"/>
        </w:rPr>
        <w:t>业务全面发展，提升对于零售业务的综合贡献。</w:t>
      </w:r>
    </w:p>
    <w:p w:rsidR="00AD5BB5" w:rsidRDefault="00F87FF6">
      <w:pPr>
        <w:spacing w:line="360" w:lineRule="auto"/>
        <w:ind w:firstLineChars="200" w:firstLine="420"/>
        <w:rPr>
          <w:rFonts w:asciiTheme="minorEastAsia" w:hAnsiTheme="minorEastAsia" w:cstheme="minorEastAsia"/>
        </w:rPr>
      </w:pPr>
      <w:r>
        <w:rPr>
          <w:rFonts w:asciiTheme="minorEastAsia" w:eastAsiaTheme="minorEastAsia" w:hAnsiTheme="minorEastAsia" w:cstheme="minorEastAsia" w:hint="eastAsia"/>
        </w:rPr>
        <w:t>本公司持续</w:t>
      </w:r>
      <w:proofErr w:type="gramStart"/>
      <w:r>
        <w:rPr>
          <w:rFonts w:asciiTheme="minorEastAsia" w:eastAsiaTheme="minorEastAsia" w:hAnsiTheme="minorEastAsia" w:cstheme="minorEastAsia" w:hint="eastAsia"/>
        </w:rPr>
        <w:t>完善代</w:t>
      </w:r>
      <w:proofErr w:type="gramEnd"/>
      <w:r>
        <w:rPr>
          <w:rFonts w:asciiTheme="minorEastAsia" w:eastAsiaTheme="minorEastAsia" w:hAnsiTheme="minorEastAsia" w:cstheme="minorEastAsia" w:hint="eastAsia"/>
        </w:rPr>
        <w:t>发工资零售综合服务方案，以点带面做大做实大众客户。</w:t>
      </w:r>
      <w:r>
        <w:rPr>
          <w:rFonts w:asciiTheme="minorEastAsia" w:hAnsiTheme="minorEastAsia" w:cstheme="minorEastAsia" w:hint="eastAsia"/>
        </w:rPr>
        <w:t>一方面完善员工综合服务方案，精进</w:t>
      </w:r>
      <w:proofErr w:type="gramStart"/>
      <w:r>
        <w:rPr>
          <w:rFonts w:asciiTheme="minorEastAsia" w:eastAsiaTheme="minorEastAsia" w:hAnsiTheme="minorEastAsia" w:cstheme="minorEastAsia" w:hint="eastAsia"/>
        </w:rPr>
        <w:t>进</w:t>
      </w:r>
      <w:proofErr w:type="gramEnd"/>
      <w:r>
        <w:rPr>
          <w:rFonts w:asciiTheme="minorEastAsia" w:eastAsiaTheme="minorEastAsia" w:hAnsiTheme="minorEastAsia" w:cstheme="minorEastAsia" w:hint="eastAsia"/>
        </w:rPr>
        <w:t>企营销的零售产品服务质量</w:t>
      </w:r>
      <w:r>
        <w:rPr>
          <w:rFonts w:asciiTheme="minorEastAsia" w:hAnsiTheme="minorEastAsia" w:cstheme="minorEastAsia" w:hint="eastAsia"/>
        </w:rPr>
        <w:t>，促进代发企业新拓；另一方面理顺</w:t>
      </w:r>
      <w:r>
        <w:rPr>
          <w:rFonts w:asciiTheme="minorEastAsia" w:eastAsiaTheme="minorEastAsia" w:hAnsiTheme="minorEastAsia" w:cstheme="minorEastAsia" w:hint="eastAsia"/>
        </w:rPr>
        <w:t>代发企业银</w:t>
      </w:r>
      <w:proofErr w:type="gramStart"/>
      <w:r>
        <w:rPr>
          <w:rFonts w:asciiTheme="minorEastAsia" w:eastAsiaTheme="minorEastAsia" w:hAnsiTheme="minorEastAsia" w:cstheme="minorEastAsia" w:hint="eastAsia"/>
        </w:rPr>
        <w:t>企维护</w:t>
      </w:r>
      <w:proofErr w:type="gramEnd"/>
      <w:r>
        <w:rPr>
          <w:rFonts w:asciiTheme="minorEastAsia" w:eastAsiaTheme="minorEastAsia" w:hAnsiTheme="minorEastAsia" w:cstheme="minorEastAsia" w:hint="eastAsia"/>
        </w:rPr>
        <w:t>机制，将日常企业维护要求与责任切实落到位</w:t>
      </w:r>
      <w:r>
        <w:rPr>
          <w:rFonts w:asciiTheme="minorEastAsia" w:hAnsiTheme="minorEastAsia" w:cstheme="minorEastAsia" w:hint="eastAsia"/>
        </w:rPr>
        <w:t>。</w:t>
      </w:r>
      <w:r>
        <w:rPr>
          <w:rFonts w:asciiTheme="minorEastAsia" w:eastAsiaTheme="minorEastAsia" w:hAnsiTheme="minorEastAsia" w:cstheme="minorEastAsia" w:hint="eastAsia"/>
        </w:rPr>
        <w:t>本公司还不断创新代发</w:t>
      </w:r>
      <w:r>
        <w:rPr>
          <w:rFonts w:asciiTheme="minorEastAsia" w:hAnsiTheme="minorEastAsia" w:cstheme="minorEastAsia" w:hint="eastAsia"/>
        </w:rPr>
        <w:t>客户</w:t>
      </w:r>
      <w:r>
        <w:rPr>
          <w:rFonts w:asciiTheme="minorEastAsia" w:eastAsiaTheme="minorEastAsia" w:hAnsiTheme="minorEastAsia" w:cstheme="minorEastAsia" w:hint="eastAsia"/>
        </w:rPr>
        <w:t>基础运营方式，结合</w:t>
      </w:r>
      <w:r>
        <w:rPr>
          <w:rFonts w:asciiTheme="minorEastAsia" w:hAnsiTheme="minorEastAsia" w:cstheme="minorEastAsia" w:hint="eastAsia"/>
        </w:rPr>
        <w:t>个人</w:t>
      </w:r>
      <w:r>
        <w:rPr>
          <w:rFonts w:asciiTheme="minorEastAsia" w:eastAsiaTheme="minorEastAsia" w:hAnsiTheme="minorEastAsia" w:cstheme="minorEastAsia" w:hint="eastAsia"/>
        </w:rPr>
        <w:t>手机银行“薪客专享”专区上线的便捷服务与“开薪红包月月抽”</w:t>
      </w:r>
      <w:r>
        <w:rPr>
          <w:rFonts w:asciiTheme="minorEastAsia" w:hAnsiTheme="minorEastAsia" w:cstheme="minorEastAsia" w:hint="eastAsia"/>
        </w:rPr>
        <w:t>等</w:t>
      </w:r>
      <w:r>
        <w:rPr>
          <w:rFonts w:asciiTheme="minorEastAsia" w:eastAsiaTheme="minorEastAsia" w:hAnsiTheme="minorEastAsia" w:cstheme="minorEastAsia" w:hint="eastAsia"/>
        </w:rPr>
        <w:t>专</w:t>
      </w:r>
      <w:proofErr w:type="gramStart"/>
      <w:r>
        <w:rPr>
          <w:rFonts w:asciiTheme="minorEastAsia" w:eastAsiaTheme="minorEastAsia" w:hAnsiTheme="minorEastAsia" w:cstheme="minorEastAsia" w:hint="eastAsia"/>
        </w:rPr>
        <w:t>属活动</w:t>
      </w:r>
      <w:proofErr w:type="gramEnd"/>
      <w:r>
        <w:rPr>
          <w:rFonts w:asciiTheme="minorEastAsia" w:hAnsiTheme="minorEastAsia" w:cstheme="minorEastAsia" w:hint="eastAsia"/>
        </w:rPr>
        <w:t>及产品</w:t>
      </w:r>
      <w:r>
        <w:rPr>
          <w:rFonts w:asciiTheme="minorEastAsia" w:eastAsiaTheme="minorEastAsia" w:hAnsiTheme="minorEastAsia" w:cstheme="minorEastAsia" w:hint="eastAsia"/>
        </w:rPr>
        <w:t>福利，</w:t>
      </w:r>
      <w:r>
        <w:rPr>
          <w:rFonts w:asciiTheme="minorEastAsia" w:hAnsiTheme="minorEastAsia" w:cstheme="minorEastAsia" w:hint="eastAsia"/>
        </w:rPr>
        <w:t>提升代发客户服务体验。</w:t>
      </w:r>
      <w:r>
        <w:rPr>
          <w:rFonts w:asciiTheme="minorEastAsia" w:eastAsiaTheme="minorEastAsia" w:hAnsiTheme="minorEastAsia" w:cstheme="minorEastAsia"/>
          <w:szCs w:val="21"/>
        </w:rPr>
        <w:t>截至6月末，代发</w:t>
      </w:r>
      <w:r>
        <w:rPr>
          <w:rFonts w:asciiTheme="minorEastAsia" w:eastAsiaTheme="minorEastAsia" w:hAnsiTheme="minorEastAsia" w:cstheme="minorEastAsia" w:hint="eastAsia"/>
          <w:szCs w:val="21"/>
        </w:rPr>
        <w:t>薪资</w:t>
      </w:r>
      <w:r>
        <w:rPr>
          <w:rFonts w:asciiTheme="minorEastAsia" w:eastAsiaTheme="minorEastAsia" w:hAnsiTheme="minorEastAsia" w:cstheme="minorEastAsia"/>
          <w:szCs w:val="21"/>
        </w:rPr>
        <w:t>客户数较去年同期增长16.34%</w:t>
      </w:r>
      <w:r>
        <w:rPr>
          <w:rFonts w:asciiTheme="minorEastAsia" w:eastAsiaTheme="minorEastAsia" w:hAnsiTheme="minorEastAsia" w:cstheme="minorEastAsia" w:hint="eastAsia"/>
          <w:szCs w:val="21"/>
        </w:rPr>
        <w:t>。</w:t>
      </w:r>
    </w:p>
    <w:p w:rsidR="00AD5BB5" w:rsidRDefault="00F87FF6">
      <w:pPr>
        <w:spacing w:line="360" w:lineRule="auto"/>
        <w:ind w:firstLineChars="200" w:firstLine="420"/>
        <w:rPr>
          <w:rFonts w:ascii="Times New Roman" w:hAnsi="Times New Roman" w:cs="Times New Roman"/>
        </w:rPr>
      </w:pPr>
      <w:r>
        <w:rPr>
          <w:rFonts w:asciiTheme="minorEastAsia" w:eastAsiaTheme="minorEastAsia" w:hAnsiTheme="minorEastAsia" w:cstheme="minorEastAsia" w:hint="eastAsia"/>
        </w:rPr>
        <w:lastRenderedPageBreak/>
        <w:t>本公司积极</w:t>
      </w:r>
      <w:r>
        <w:rPr>
          <w:rFonts w:asciiTheme="minorEastAsia" w:hAnsiTheme="minorEastAsia" w:cstheme="minorEastAsia" w:hint="eastAsia"/>
        </w:rPr>
        <w:t>促进</w:t>
      </w:r>
      <w:r>
        <w:rPr>
          <w:rFonts w:asciiTheme="minorEastAsia" w:eastAsiaTheme="minorEastAsia" w:hAnsiTheme="minorEastAsia" w:cstheme="minorEastAsia" w:hint="eastAsia"/>
        </w:rPr>
        <w:t>大众</w:t>
      </w:r>
      <w:proofErr w:type="gramStart"/>
      <w:r>
        <w:rPr>
          <w:rFonts w:asciiTheme="minorEastAsia" w:eastAsiaTheme="minorEastAsia" w:hAnsiTheme="minorEastAsia" w:cstheme="minorEastAsia" w:hint="eastAsia"/>
        </w:rPr>
        <w:t>客群线上</w:t>
      </w:r>
      <w:proofErr w:type="gramEnd"/>
      <w:r>
        <w:rPr>
          <w:rFonts w:asciiTheme="minorEastAsia" w:eastAsiaTheme="minorEastAsia" w:hAnsiTheme="minorEastAsia" w:cstheme="minorEastAsia" w:hint="eastAsia"/>
        </w:rPr>
        <w:t>、线下联动经营，</w:t>
      </w:r>
      <w:r>
        <w:rPr>
          <w:rFonts w:asciiTheme="minorEastAsia" w:hAnsiTheme="minorEastAsia" w:cstheme="minorEastAsia" w:hint="eastAsia"/>
        </w:rPr>
        <w:t>覆盖</w:t>
      </w:r>
      <w:r>
        <w:rPr>
          <w:rFonts w:asciiTheme="minorEastAsia" w:eastAsiaTheme="minorEastAsia" w:hAnsiTheme="minorEastAsia" w:cstheme="minorEastAsia" w:hint="eastAsia"/>
        </w:rPr>
        <w:t>全量大众</w:t>
      </w:r>
      <w:r>
        <w:rPr>
          <w:rFonts w:asciiTheme="minorEastAsia" w:hAnsiTheme="minorEastAsia" w:cstheme="minorEastAsia" w:hint="eastAsia"/>
        </w:rPr>
        <w:t>客户</w:t>
      </w:r>
      <w:r>
        <w:rPr>
          <w:rFonts w:asciiTheme="minorEastAsia" w:eastAsiaTheme="minorEastAsia" w:hAnsiTheme="minorEastAsia" w:cstheme="minorEastAsia" w:hint="eastAsia"/>
        </w:rPr>
        <w:t>开展线上金融资产提</w:t>
      </w:r>
      <w:r>
        <w:rPr>
          <w:rFonts w:ascii="Times New Roman" w:eastAsiaTheme="minorEastAsia" w:hAnsi="Times New Roman" w:cs="Times New Roman"/>
        </w:rPr>
        <w:t>升活动</w:t>
      </w:r>
      <w:r>
        <w:rPr>
          <w:rFonts w:ascii="Times New Roman" w:hAnsi="Times New Roman" w:cs="Times New Roman"/>
        </w:rPr>
        <w:t>、</w:t>
      </w:r>
      <w:r>
        <w:rPr>
          <w:rFonts w:ascii="Times New Roman" w:eastAsiaTheme="minorEastAsia" w:hAnsi="Times New Roman" w:cs="Times New Roman"/>
        </w:rPr>
        <w:t>重点事件实时营销，挖掘</w:t>
      </w:r>
      <w:r>
        <w:rPr>
          <w:rFonts w:ascii="Times New Roman" w:hAnsi="Times New Roman" w:cs="Times New Roman"/>
        </w:rPr>
        <w:t>出</w:t>
      </w:r>
      <w:r>
        <w:rPr>
          <w:rFonts w:ascii="Times New Roman" w:eastAsiaTheme="minorEastAsia" w:hAnsi="Times New Roman" w:cs="Times New Roman"/>
        </w:rPr>
        <w:t>高潜力重点</w:t>
      </w:r>
      <w:r>
        <w:rPr>
          <w:rFonts w:ascii="Times New Roman" w:hAnsi="Times New Roman" w:cs="Times New Roman"/>
        </w:rPr>
        <w:t>客群</w:t>
      </w:r>
      <w:r>
        <w:rPr>
          <w:rFonts w:ascii="Times New Roman" w:eastAsiaTheme="minorEastAsia" w:hAnsi="Times New Roman" w:cs="Times New Roman"/>
        </w:rPr>
        <w:t>名单</w:t>
      </w:r>
      <w:r>
        <w:rPr>
          <w:rFonts w:ascii="Times New Roman" w:hAnsi="Times New Roman" w:cs="Times New Roman"/>
        </w:rPr>
        <w:t>传导线下</w:t>
      </w:r>
      <w:r>
        <w:rPr>
          <w:rFonts w:ascii="Times New Roman" w:eastAsiaTheme="minorEastAsia" w:hAnsi="Times New Roman" w:cs="Times New Roman"/>
        </w:rPr>
        <w:t>客户经理定向触达</w:t>
      </w:r>
      <w:r>
        <w:rPr>
          <w:rFonts w:ascii="Times New Roman" w:hAnsi="Times New Roman" w:cs="Times New Roman"/>
        </w:rPr>
        <w:t>。</w:t>
      </w:r>
      <w:r>
        <w:rPr>
          <w:rFonts w:ascii="Times New Roman" w:eastAsiaTheme="minorEastAsia" w:hAnsi="Times New Roman" w:cs="Times New Roman"/>
        </w:rPr>
        <w:t>6</w:t>
      </w:r>
      <w:r>
        <w:rPr>
          <w:rFonts w:ascii="Times New Roman" w:eastAsiaTheme="minorEastAsia" w:hAnsi="Times New Roman" w:cs="Times New Roman"/>
        </w:rPr>
        <w:t>月参与提升活动的大众客户金融资产提升破亿。报告期内，</w:t>
      </w:r>
      <w:r>
        <w:rPr>
          <w:rFonts w:ascii="Times New Roman" w:hAnsi="Times New Roman" w:cs="Times New Roman"/>
        </w:rPr>
        <w:t>负债新客的</w:t>
      </w:r>
      <w:r>
        <w:rPr>
          <w:rFonts w:ascii="Times New Roman" w:eastAsiaTheme="minorEastAsia" w:hAnsi="Times New Roman" w:cs="Times New Roman"/>
        </w:rPr>
        <w:t>一户多开比率、基础户转化率、</w:t>
      </w:r>
      <w:r>
        <w:rPr>
          <w:rFonts w:ascii="Times New Roman" w:hAnsi="Times New Roman" w:cs="Times New Roman"/>
        </w:rPr>
        <w:t>投资</w:t>
      </w:r>
      <w:r>
        <w:rPr>
          <w:rFonts w:ascii="Times New Roman" w:eastAsiaTheme="minorEastAsia" w:hAnsi="Times New Roman" w:cs="Times New Roman"/>
        </w:rPr>
        <w:t>理财破冰比率等指标</w:t>
      </w:r>
      <w:r>
        <w:rPr>
          <w:rFonts w:ascii="Times New Roman" w:hAnsi="Times New Roman" w:cs="Times New Roman"/>
        </w:rPr>
        <w:t>也实现</w:t>
      </w:r>
      <w:r>
        <w:rPr>
          <w:rFonts w:ascii="Times New Roman" w:eastAsiaTheme="minorEastAsia" w:hAnsi="Times New Roman" w:cs="Times New Roman"/>
        </w:rPr>
        <w:t>持续增长，当年新开</w:t>
      </w:r>
      <w:r>
        <w:rPr>
          <w:rFonts w:ascii="Times New Roman" w:hAnsi="Times New Roman" w:cs="Times New Roman"/>
        </w:rPr>
        <w:t>负债</w:t>
      </w:r>
      <w:r>
        <w:rPr>
          <w:rFonts w:ascii="Times New Roman" w:eastAsiaTheme="minorEastAsia" w:hAnsi="Times New Roman" w:cs="Times New Roman"/>
        </w:rPr>
        <w:t>客户达标基础户转化率</w:t>
      </w:r>
      <w:r>
        <w:rPr>
          <w:rFonts w:ascii="Times New Roman" w:eastAsiaTheme="minorEastAsia" w:hAnsi="Times New Roman" w:cs="Times New Roman"/>
        </w:rPr>
        <w:t>75.18%</w:t>
      </w:r>
      <w:r>
        <w:rPr>
          <w:rFonts w:ascii="Times New Roman" w:eastAsiaTheme="minorEastAsia" w:hAnsi="Times New Roman" w:cs="Times New Roman"/>
        </w:rPr>
        <w:t>，较去年同期提升</w:t>
      </w:r>
      <w:r>
        <w:rPr>
          <w:rFonts w:ascii="Times New Roman" w:eastAsiaTheme="minorEastAsia" w:hAnsi="Times New Roman" w:cs="Times New Roman"/>
        </w:rPr>
        <w:t>3.24</w:t>
      </w:r>
      <w:r>
        <w:rPr>
          <w:rFonts w:ascii="Times New Roman" w:eastAsiaTheme="minorEastAsia" w:hAnsi="Times New Roman" w:cs="Times New Roman"/>
        </w:rPr>
        <w:t>个百分点。</w:t>
      </w:r>
      <w:r>
        <w:rPr>
          <w:rFonts w:ascii="Times New Roman" w:hAnsi="Times New Roman" w:cs="Times New Roman"/>
        </w:rPr>
        <w:t>本公司综合应用人工电销、智能外呼、个人手机银行、短信等线</w:t>
      </w:r>
      <w:proofErr w:type="gramStart"/>
      <w:r>
        <w:rPr>
          <w:rFonts w:ascii="Times New Roman" w:hAnsi="Times New Roman" w:cs="Times New Roman"/>
        </w:rPr>
        <w:t>上渠道</w:t>
      </w:r>
      <w:proofErr w:type="gramEnd"/>
      <w:r>
        <w:rPr>
          <w:rFonts w:ascii="Times New Roman" w:hAnsi="Times New Roman" w:cs="Times New Roman"/>
        </w:rPr>
        <w:t>针对大众客群开展信用消费贷款营销，报告期内线</w:t>
      </w:r>
      <w:proofErr w:type="gramStart"/>
      <w:r>
        <w:rPr>
          <w:rFonts w:ascii="Times New Roman" w:hAnsi="Times New Roman" w:cs="Times New Roman"/>
        </w:rPr>
        <w:t>上渠道</w:t>
      </w:r>
      <w:proofErr w:type="gramEnd"/>
      <w:r>
        <w:rPr>
          <w:rFonts w:ascii="Times New Roman" w:hAnsi="Times New Roman" w:cs="Times New Roman"/>
        </w:rPr>
        <w:t>营销收获</w:t>
      </w:r>
      <w:r>
        <w:rPr>
          <w:rFonts w:ascii="Times New Roman" w:hAnsi="Times New Roman" w:cs="Times New Roman"/>
        </w:rPr>
        <w:t>1.5</w:t>
      </w:r>
      <w:r>
        <w:rPr>
          <w:rFonts w:ascii="Times New Roman" w:hAnsi="Times New Roman" w:cs="Times New Roman"/>
        </w:rPr>
        <w:t>万户</w:t>
      </w:r>
      <w:r>
        <w:rPr>
          <w:rFonts w:ascii="Times New Roman" w:hAnsi="Times New Roman" w:cs="Times New Roman"/>
        </w:rPr>
        <w:t>E</w:t>
      </w:r>
      <w:proofErr w:type="gramStart"/>
      <w:r>
        <w:rPr>
          <w:rFonts w:ascii="Times New Roman" w:hAnsi="Times New Roman" w:cs="Times New Roman"/>
        </w:rPr>
        <w:t>秒贷申请</w:t>
      </w:r>
      <w:proofErr w:type="gramEnd"/>
      <w:r>
        <w:rPr>
          <w:rFonts w:ascii="Times New Roman" w:hAnsi="Times New Roman" w:cs="Times New Roman"/>
        </w:rPr>
        <w:t>，新增授信余额占比全行约</w:t>
      </w:r>
      <w:r>
        <w:rPr>
          <w:rFonts w:ascii="Times New Roman" w:hAnsi="Times New Roman" w:cs="Times New Roman"/>
        </w:rPr>
        <w:t>14%</w:t>
      </w:r>
      <w:r>
        <w:rPr>
          <w:rFonts w:ascii="Times New Roman" w:hAnsi="Times New Roman" w:cs="Times New Roman"/>
        </w:rPr>
        <w:t>，成为线下机构展业之外的增长来源。</w:t>
      </w:r>
    </w:p>
    <w:p w:rsidR="00AD5BB5" w:rsidRDefault="00F87FF6">
      <w:pPr>
        <w:spacing w:line="360" w:lineRule="auto"/>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 2 \* GB3 </w:instrText>
      </w:r>
      <w:r>
        <w:rPr>
          <w:rFonts w:ascii="Times New Roman" w:hAnsi="Times New Roman" w:cs="Times New Roman"/>
        </w:rPr>
        <w:fldChar w:fldCharType="separate"/>
      </w:r>
      <w:r>
        <w:rPr>
          <w:rFonts w:ascii="宋体" w:hAnsi="宋体" w:cs="宋体" w:hint="eastAsia"/>
        </w:rPr>
        <w:t>②</w:t>
      </w:r>
      <w:r>
        <w:rPr>
          <w:rFonts w:ascii="Times New Roman" w:hAnsi="Times New Roman" w:cs="Times New Roman"/>
        </w:rPr>
        <w:fldChar w:fldCharType="end"/>
      </w:r>
      <w:r>
        <w:rPr>
          <w:rFonts w:ascii="Times New Roman" w:hAnsi="Times New Roman" w:cs="Times New Roman"/>
        </w:rPr>
        <w:t>固化财富客户</w:t>
      </w:r>
      <w:r>
        <w:rPr>
          <w:rFonts w:ascii="Times New Roman" w:eastAsiaTheme="minorEastAsia" w:hAnsi="Times New Roman" w:cs="Times New Roman"/>
        </w:rPr>
        <w:t>精细管理，</w:t>
      </w:r>
      <w:r>
        <w:rPr>
          <w:rFonts w:ascii="Times New Roman" w:hAnsi="Times New Roman" w:cs="Times New Roman"/>
        </w:rPr>
        <w:t>增强团队经营能力</w:t>
      </w:r>
    </w:p>
    <w:p w:rsidR="00AD5BB5" w:rsidRDefault="00F87FF6">
      <w:pPr>
        <w:spacing w:line="360" w:lineRule="auto"/>
        <w:ind w:firstLineChars="200" w:firstLine="420"/>
        <w:rPr>
          <w:rFonts w:asciiTheme="minorEastAsia" w:hAnsiTheme="minorEastAsia" w:cstheme="minorEastAsia"/>
        </w:rPr>
      </w:pPr>
      <w:r>
        <w:rPr>
          <w:rFonts w:asciiTheme="minorEastAsia" w:eastAsiaTheme="minorEastAsia" w:hAnsiTheme="minorEastAsia" w:cstheme="minorEastAsia" w:hint="eastAsia"/>
        </w:rPr>
        <w:t>本公司贯彻“以客户为中心”的业务策略，将客户经营作为财富管理业务长久持续发展的基石，围绕“产品、服务、运营”3大主题，在打造“以多元化产品供给为核心、智能化</w:t>
      </w:r>
      <w:r>
        <w:rPr>
          <w:rFonts w:ascii="Times New Roman" w:eastAsiaTheme="minorEastAsia" w:hAnsi="Times New Roman" w:cs="Times New Roman"/>
        </w:rPr>
        <w:t>渠道服务为抓手、数字化运营为支撑的财富管理体系</w:t>
      </w:r>
      <w:r>
        <w:rPr>
          <w:rFonts w:ascii="Times New Roman" w:eastAsiaTheme="minorEastAsia" w:hAnsi="Times New Roman" w:cs="Times New Roman"/>
        </w:rPr>
        <w:t>”</w:t>
      </w:r>
      <w:r>
        <w:rPr>
          <w:rFonts w:ascii="Times New Roman" w:eastAsiaTheme="minorEastAsia" w:hAnsi="Times New Roman" w:cs="Times New Roman"/>
        </w:rPr>
        <w:t>上发力，拓展提升财富客户。截至报告期末，本公司</w:t>
      </w:r>
      <w:r>
        <w:rPr>
          <w:rFonts w:ascii="Times New Roman" w:hAnsi="Times New Roman" w:cs="Times New Roman"/>
        </w:rPr>
        <w:t>创富层级及以上</w:t>
      </w:r>
      <w:r>
        <w:rPr>
          <w:rFonts w:ascii="Times New Roman" w:eastAsiaTheme="minorEastAsia" w:hAnsi="Times New Roman" w:cs="Times New Roman"/>
        </w:rPr>
        <w:t>客户</w:t>
      </w:r>
      <w:r>
        <w:rPr>
          <w:rFonts w:ascii="Times New Roman" w:eastAsiaTheme="minorEastAsia" w:hAnsi="Times New Roman" w:cs="Times New Roman"/>
        </w:rPr>
        <w:t>16.72</w:t>
      </w:r>
      <w:r>
        <w:rPr>
          <w:rFonts w:ascii="Times New Roman" w:eastAsiaTheme="minorEastAsia" w:hAnsi="Times New Roman" w:cs="Times New Roman"/>
        </w:rPr>
        <w:t>万户，较上年末增长</w:t>
      </w:r>
      <w:r>
        <w:rPr>
          <w:rFonts w:ascii="Times New Roman" w:eastAsiaTheme="minorEastAsia" w:hAnsi="Times New Roman" w:cs="Times New Roman"/>
        </w:rPr>
        <w:t>1.21</w:t>
      </w:r>
      <w:r>
        <w:rPr>
          <w:rFonts w:ascii="Times New Roman" w:eastAsiaTheme="minorEastAsia" w:hAnsi="Times New Roman" w:cs="Times New Roman"/>
        </w:rPr>
        <w:t>万户，增幅</w:t>
      </w:r>
      <w:r>
        <w:rPr>
          <w:rFonts w:ascii="Times New Roman" w:eastAsiaTheme="minorEastAsia" w:hAnsi="Times New Roman" w:cs="Times New Roman"/>
        </w:rPr>
        <w:t>7.79%</w:t>
      </w:r>
      <w:r>
        <w:rPr>
          <w:rFonts w:ascii="Times New Roman" w:eastAsiaTheme="minorEastAsia" w:hAnsi="Times New Roman" w:cs="Times New Roman"/>
        </w:rPr>
        <w:t>，其中私行客户</w:t>
      </w:r>
      <w:r>
        <w:rPr>
          <w:rFonts w:ascii="Times New Roman" w:hAnsi="Times New Roman" w:cs="Times New Roman"/>
        </w:rPr>
        <w:t>数</w:t>
      </w:r>
      <w:r>
        <w:rPr>
          <w:rFonts w:ascii="Times New Roman" w:eastAsiaTheme="minorEastAsia" w:hAnsi="Times New Roman" w:cs="Times New Roman"/>
        </w:rPr>
        <w:t>突破</w:t>
      </w:r>
      <w:r>
        <w:rPr>
          <w:rFonts w:ascii="Times New Roman" w:eastAsiaTheme="minorEastAsia" w:hAnsi="Times New Roman" w:cs="Times New Roman"/>
        </w:rPr>
        <w:t>4</w:t>
      </w:r>
      <w:r>
        <w:rPr>
          <w:rFonts w:ascii="Times New Roman" w:eastAsiaTheme="minorEastAsia" w:hAnsi="Times New Roman" w:cs="Times New Roman" w:hint="eastAsia"/>
        </w:rPr>
        <w:t>,</w:t>
      </w:r>
      <w:r>
        <w:rPr>
          <w:rFonts w:ascii="Times New Roman" w:eastAsiaTheme="minorEastAsia" w:hAnsi="Times New Roman" w:cs="Times New Roman"/>
        </w:rPr>
        <w:t>000</w:t>
      </w:r>
      <w:r>
        <w:rPr>
          <w:rFonts w:ascii="Times New Roman" w:eastAsiaTheme="minorEastAsia" w:hAnsi="Times New Roman" w:cs="Times New Roman"/>
        </w:rPr>
        <w:t>户</w:t>
      </w:r>
      <w:r>
        <w:rPr>
          <w:rFonts w:ascii="Times New Roman" w:hAnsi="Times New Roman" w:cs="Times New Roman"/>
        </w:rPr>
        <w:t>，增幅</w:t>
      </w:r>
      <w:r>
        <w:rPr>
          <w:rFonts w:ascii="Times New Roman" w:hAnsi="Times New Roman" w:cs="Times New Roman"/>
        </w:rPr>
        <w:t>4.09%</w:t>
      </w:r>
      <w:r>
        <w:rPr>
          <w:rFonts w:ascii="Times New Roman" w:hAnsi="Times New Roman" w:cs="Times New Roman"/>
        </w:rPr>
        <w:t>。</w:t>
      </w:r>
    </w:p>
    <w:p w:rsidR="00AD5BB5" w:rsidRDefault="00F87FF6">
      <w:pPr>
        <w:spacing w:line="360" w:lineRule="auto"/>
        <w:ind w:firstLineChars="200" w:firstLine="420"/>
        <w:rPr>
          <w:rFonts w:asciiTheme="minorEastAsia" w:hAnsiTheme="minorEastAsia" w:cstheme="minorEastAsia"/>
        </w:rPr>
      </w:pPr>
      <w:r>
        <w:rPr>
          <w:rFonts w:asciiTheme="minorEastAsia" w:eastAsiaTheme="minorEastAsia" w:hAnsiTheme="minorEastAsia" w:cstheme="minorEastAsia" w:hint="eastAsia"/>
        </w:rPr>
        <w:t>本公司</w:t>
      </w:r>
      <w:proofErr w:type="gramStart"/>
      <w:r>
        <w:rPr>
          <w:rFonts w:asciiTheme="minorEastAsia" w:eastAsiaTheme="minorEastAsia" w:hAnsiTheme="minorEastAsia" w:cstheme="minorEastAsia" w:hint="eastAsia"/>
        </w:rPr>
        <w:t>践行</w:t>
      </w:r>
      <w:proofErr w:type="gramEnd"/>
      <w:r>
        <w:rPr>
          <w:rFonts w:asciiTheme="minorEastAsia" w:eastAsiaTheme="minorEastAsia" w:hAnsiTheme="minorEastAsia" w:cstheme="minorEastAsia" w:hint="eastAsia"/>
        </w:rPr>
        <w:t>精细化的财富客户管理体系，</w:t>
      </w:r>
      <w:r>
        <w:rPr>
          <w:rFonts w:asciiTheme="minorEastAsia" w:hAnsiTheme="minorEastAsia" w:cstheme="minorEastAsia" w:hint="eastAsia"/>
        </w:rPr>
        <w:t>强调</w:t>
      </w:r>
      <w:r>
        <w:rPr>
          <w:rFonts w:asciiTheme="minorEastAsia" w:eastAsiaTheme="minorEastAsia" w:hAnsiTheme="minorEastAsia" w:cstheme="minorEastAsia" w:hint="eastAsia"/>
        </w:rPr>
        <w:t>零售管理人员的业务组织及团队营销管理职责，围绕客户管</w:t>
      </w:r>
      <w:proofErr w:type="gramStart"/>
      <w:r>
        <w:rPr>
          <w:rFonts w:asciiTheme="minorEastAsia" w:eastAsiaTheme="minorEastAsia" w:hAnsiTheme="minorEastAsia" w:cstheme="minorEastAsia" w:hint="eastAsia"/>
        </w:rPr>
        <w:t>户触达</w:t>
      </w:r>
      <w:proofErr w:type="gramEnd"/>
      <w:r>
        <w:rPr>
          <w:rFonts w:asciiTheme="minorEastAsia" w:eastAsiaTheme="minorEastAsia" w:hAnsiTheme="minorEastAsia" w:cstheme="minorEastAsia" w:hint="eastAsia"/>
        </w:rPr>
        <w:t>和团队绩效管理，对财富管理业务的过程管理提出标准化的执行要求和评价细则，</w:t>
      </w:r>
      <w:r>
        <w:rPr>
          <w:rFonts w:asciiTheme="minorEastAsia" w:hAnsiTheme="minorEastAsia" w:cstheme="minorEastAsia" w:hint="eastAsia"/>
        </w:rPr>
        <w:t>建设</w:t>
      </w:r>
      <w:r>
        <w:rPr>
          <w:rFonts w:asciiTheme="minorEastAsia" w:eastAsiaTheme="minorEastAsia" w:hAnsiTheme="minorEastAsia" w:cstheme="minorEastAsia" w:hint="eastAsia"/>
        </w:rPr>
        <w:t>团队</w:t>
      </w:r>
      <w:r>
        <w:rPr>
          <w:rFonts w:asciiTheme="minorEastAsia" w:hAnsiTheme="minorEastAsia" w:cstheme="minorEastAsia" w:hint="eastAsia"/>
        </w:rPr>
        <w:t>经营</w:t>
      </w:r>
      <w:r>
        <w:rPr>
          <w:rFonts w:asciiTheme="minorEastAsia" w:eastAsiaTheme="minorEastAsia" w:hAnsiTheme="minorEastAsia" w:cstheme="minorEastAsia" w:hint="eastAsia"/>
        </w:rPr>
        <w:t>能力</w:t>
      </w:r>
      <w:r>
        <w:rPr>
          <w:rFonts w:asciiTheme="minorEastAsia" w:hAnsiTheme="minorEastAsia" w:cstheme="minorEastAsia" w:hint="eastAsia"/>
        </w:rPr>
        <w:t>；</w:t>
      </w:r>
      <w:r>
        <w:rPr>
          <w:rFonts w:asciiTheme="minorEastAsia" w:eastAsiaTheme="minorEastAsia" w:hAnsiTheme="minorEastAsia" w:cstheme="minorEastAsia" w:hint="eastAsia"/>
        </w:rPr>
        <w:t>培育梯队化、专业化的理财经理队伍，</w:t>
      </w:r>
      <w:r>
        <w:rPr>
          <w:rFonts w:asciiTheme="minorEastAsia" w:hAnsiTheme="minorEastAsia" w:cstheme="minorEastAsia" w:hint="eastAsia"/>
        </w:rPr>
        <w:t>制定</w:t>
      </w:r>
      <w:r>
        <w:rPr>
          <w:rFonts w:asciiTheme="minorEastAsia" w:eastAsiaTheme="minorEastAsia" w:hAnsiTheme="minorEastAsia" w:cstheme="minorEastAsia" w:hint="eastAsia"/>
        </w:rPr>
        <w:t>培训计划，强化客户营销日志、商机、产品画像、业务督导报表等营销工具使用，</w:t>
      </w:r>
      <w:r>
        <w:rPr>
          <w:rFonts w:asciiTheme="minorEastAsia" w:hAnsiTheme="minorEastAsia" w:cstheme="minorEastAsia" w:hint="eastAsia"/>
        </w:rPr>
        <w:t>增进</w:t>
      </w:r>
      <w:r>
        <w:rPr>
          <w:rFonts w:asciiTheme="minorEastAsia" w:eastAsiaTheme="minorEastAsia" w:hAnsiTheme="minorEastAsia" w:cstheme="minorEastAsia" w:hint="eastAsia"/>
        </w:rPr>
        <w:t>客户</w:t>
      </w:r>
      <w:r>
        <w:rPr>
          <w:rFonts w:asciiTheme="minorEastAsia" w:hAnsiTheme="minorEastAsia" w:cstheme="minorEastAsia" w:hint="eastAsia"/>
        </w:rPr>
        <w:t>管理</w:t>
      </w:r>
      <w:r>
        <w:rPr>
          <w:rFonts w:asciiTheme="minorEastAsia" w:eastAsiaTheme="minorEastAsia" w:hAnsiTheme="minorEastAsia" w:cstheme="minorEastAsia" w:hint="eastAsia"/>
        </w:rPr>
        <w:t>效能。</w:t>
      </w:r>
    </w:p>
    <w:p w:rsidR="00AD5BB5" w:rsidRDefault="00F87FF6">
      <w:pPr>
        <w:spacing w:line="360" w:lineRule="auto"/>
        <w:rPr>
          <w:rFonts w:asciiTheme="minorEastAsia" w:hAnsiTheme="minorEastAsia" w:cstheme="minorEastAsia"/>
        </w:rPr>
      </w:pPr>
      <w:r>
        <w:rPr>
          <w:rFonts w:asciiTheme="minorEastAsia" w:hAnsiTheme="minorEastAsia" w:cstheme="minorEastAsia"/>
        </w:rPr>
        <w:fldChar w:fldCharType="begin"/>
      </w:r>
      <w:r>
        <w:rPr>
          <w:rFonts w:asciiTheme="minorEastAsia" w:hAnsiTheme="minorEastAsia" w:cstheme="minorEastAsia"/>
        </w:rPr>
        <w:instrText xml:space="preserve"> </w:instrText>
      </w:r>
      <w:r>
        <w:rPr>
          <w:rFonts w:asciiTheme="minorEastAsia" w:hAnsiTheme="minorEastAsia" w:cstheme="minorEastAsia" w:hint="eastAsia"/>
        </w:rPr>
        <w:instrText>= 3 \* GB3</w:instrText>
      </w:r>
      <w:r>
        <w:rPr>
          <w:rFonts w:asciiTheme="minorEastAsia" w:hAnsiTheme="minorEastAsia" w:cstheme="minorEastAsia"/>
        </w:rPr>
        <w:instrText xml:space="preserve"> </w:instrText>
      </w:r>
      <w:r>
        <w:rPr>
          <w:rFonts w:asciiTheme="minorEastAsia" w:hAnsiTheme="minorEastAsia" w:cstheme="minorEastAsia"/>
        </w:rPr>
        <w:fldChar w:fldCharType="separate"/>
      </w:r>
      <w:r>
        <w:rPr>
          <w:rFonts w:asciiTheme="minorEastAsia" w:hAnsiTheme="minorEastAsia" w:cstheme="minorEastAsia" w:hint="eastAsia"/>
        </w:rPr>
        <w:t>③</w:t>
      </w:r>
      <w:r>
        <w:rPr>
          <w:rFonts w:asciiTheme="minorEastAsia" w:hAnsiTheme="minorEastAsia" w:cstheme="minorEastAsia"/>
        </w:rPr>
        <w:fldChar w:fldCharType="end"/>
      </w:r>
      <w:r>
        <w:rPr>
          <w:rFonts w:asciiTheme="minorEastAsia" w:hAnsiTheme="minorEastAsia" w:cstheme="minorEastAsia" w:hint="eastAsia"/>
        </w:rPr>
        <w:t>搭建过程</w:t>
      </w:r>
      <w:r>
        <w:rPr>
          <w:rFonts w:asciiTheme="minorEastAsia" w:eastAsiaTheme="minorEastAsia" w:hAnsiTheme="minorEastAsia" w:cstheme="minorEastAsia" w:hint="eastAsia"/>
        </w:rPr>
        <w:t>管理</w:t>
      </w:r>
      <w:r>
        <w:rPr>
          <w:rFonts w:asciiTheme="minorEastAsia" w:hAnsiTheme="minorEastAsia" w:cstheme="minorEastAsia" w:hint="eastAsia"/>
        </w:rPr>
        <w:t>体系</w:t>
      </w:r>
      <w:r>
        <w:rPr>
          <w:rFonts w:asciiTheme="minorEastAsia" w:eastAsiaTheme="minorEastAsia" w:hAnsiTheme="minorEastAsia" w:cstheme="minorEastAsia" w:hint="eastAsia"/>
        </w:rPr>
        <w:t>，</w:t>
      </w:r>
      <w:r>
        <w:rPr>
          <w:rFonts w:asciiTheme="minorEastAsia" w:hAnsiTheme="minorEastAsia" w:cstheme="minorEastAsia" w:hint="eastAsia"/>
        </w:rPr>
        <w:t>盘活</w:t>
      </w:r>
      <w:r>
        <w:rPr>
          <w:rFonts w:asciiTheme="minorEastAsia" w:eastAsiaTheme="minorEastAsia" w:hAnsiTheme="minorEastAsia" w:cstheme="minorEastAsia" w:hint="eastAsia"/>
        </w:rPr>
        <w:t>促活信贷客户</w:t>
      </w:r>
    </w:p>
    <w:p w:rsidR="00AD5BB5" w:rsidRDefault="00F87FF6">
      <w:pPr>
        <w:spacing w:line="360" w:lineRule="auto"/>
        <w:ind w:firstLineChars="200" w:firstLine="420"/>
        <w:rPr>
          <w:rFonts w:asciiTheme="minorEastAsia" w:hAnsiTheme="minorEastAsia" w:cstheme="minorEastAsia"/>
        </w:rPr>
      </w:pPr>
      <w:r>
        <w:rPr>
          <w:rFonts w:asciiTheme="minorEastAsia" w:eastAsiaTheme="minorEastAsia" w:hAnsiTheme="minorEastAsia" w:cstheme="minorEastAsia" w:hint="eastAsia"/>
        </w:rPr>
        <w:t>本公司</w:t>
      </w:r>
      <w:r>
        <w:rPr>
          <w:rFonts w:asciiTheme="minorEastAsia" w:hAnsiTheme="minorEastAsia" w:cstheme="minorEastAsia" w:hint="eastAsia"/>
        </w:rPr>
        <w:t>搭建标准化的</w:t>
      </w:r>
      <w:r>
        <w:rPr>
          <w:rFonts w:asciiTheme="minorEastAsia" w:eastAsiaTheme="minorEastAsia" w:hAnsiTheme="minorEastAsia" w:cstheme="minorEastAsia" w:hint="eastAsia"/>
        </w:rPr>
        <w:t>信贷客户营销管理体系，优化过程管理</w:t>
      </w:r>
      <w:r>
        <w:rPr>
          <w:rFonts w:asciiTheme="minorEastAsia" w:hAnsiTheme="minorEastAsia" w:cstheme="minorEastAsia" w:hint="eastAsia"/>
        </w:rPr>
        <w:t>机制体制</w:t>
      </w:r>
      <w:r>
        <w:rPr>
          <w:rFonts w:asciiTheme="minorEastAsia" w:eastAsiaTheme="minorEastAsia" w:hAnsiTheme="minorEastAsia" w:cstheme="minorEastAsia" w:hint="eastAsia"/>
        </w:rPr>
        <w:t>，</w:t>
      </w:r>
      <w:r>
        <w:rPr>
          <w:rFonts w:asciiTheme="minorEastAsia" w:hAnsiTheme="minorEastAsia" w:cstheme="minorEastAsia" w:hint="eastAsia"/>
        </w:rPr>
        <w:t>充分挖掘内、</w:t>
      </w:r>
      <w:r>
        <w:rPr>
          <w:rFonts w:asciiTheme="minorEastAsia" w:eastAsiaTheme="minorEastAsia" w:hAnsiTheme="minorEastAsia" w:cstheme="minorEastAsia" w:hint="eastAsia"/>
        </w:rPr>
        <w:t>外部</w:t>
      </w:r>
      <w:r>
        <w:rPr>
          <w:rFonts w:asciiTheme="minorEastAsia" w:hAnsiTheme="minorEastAsia" w:cstheme="minorEastAsia" w:hint="eastAsia"/>
        </w:rPr>
        <w:t>渠道资源</w:t>
      </w:r>
      <w:r>
        <w:rPr>
          <w:rFonts w:asciiTheme="minorEastAsia" w:eastAsiaTheme="minorEastAsia" w:hAnsiTheme="minorEastAsia" w:cstheme="minorEastAsia" w:hint="eastAsia"/>
        </w:rPr>
        <w:t>，</w:t>
      </w:r>
      <w:proofErr w:type="gramStart"/>
      <w:r>
        <w:rPr>
          <w:rFonts w:asciiTheme="minorEastAsia" w:eastAsiaTheme="minorEastAsia" w:hAnsiTheme="minorEastAsia" w:cstheme="minorEastAsia" w:hint="eastAsia"/>
        </w:rPr>
        <w:t>促交易提</w:t>
      </w:r>
      <w:proofErr w:type="gramEnd"/>
      <w:r>
        <w:rPr>
          <w:rFonts w:asciiTheme="minorEastAsia" w:eastAsiaTheme="minorEastAsia" w:hAnsiTheme="minorEastAsia" w:cstheme="minorEastAsia" w:hint="eastAsia"/>
        </w:rPr>
        <w:t>规模，</w:t>
      </w:r>
      <w:r>
        <w:rPr>
          <w:rFonts w:asciiTheme="minorEastAsia" w:hAnsiTheme="minorEastAsia" w:cstheme="minorEastAsia" w:hint="eastAsia"/>
        </w:rPr>
        <w:t>有效增强</w:t>
      </w:r>
      <w:r>
        <w:rPr>
          <w:rFonts w:asciiTheme="minorEastAsia" w:eastAsiaTheme="minorEastAsia" w:hAnsiTheme="minorEastAsia" w:cstheme="minorEastAsia" w:hint="eastAsia"/>
        </w:rPr>
        <w:t>客户粘性</w:t>
      </w:r>
      <w:r>
        <w:rPr>
          <w:rFonts w:asciiTheme="minorEastAsia" w:hAnsiTheme="minorEastAsia" w:cstheme="minorEastAsia" w:hint="eastAsia"/>
        </w:rPr>
        <w:t>和</w:t>
      </w:r>
      <w:r>
        <w:rPr>
          <w:rFonts w:asciiTheme="minorEastAsia" w:eastAsiaTheme="minorEastAsia" w:hAnsiTheme="minorEastAsia" w:cstheme="minorEastAsia" w:hint="eastAsia"/>
        </w:rPr>
        <w:t>品牌认同感。截至报告期末，个人</w:t>
      </w:r>
      <w:r>
        <w:rPr>
          <w:rFonts w:asciiTheme="minorEastAsia" w:hAnsiTheme="minorEastAsia" w:cstheme="minorEastAsia" w:hint="eastAsia"/>
        </w:rPr>
        <w:t>非</w:t>
      </w:r>
      <w:r>
        <w:rPr>
          <w:rFonts w:asciiTheme="minorEastAsia" w:hAnsiTheme="minorEastAsia" w:cstheme="minorEastAsia"/>
        </w:rPr>
        <w:t>住房</w:t>
      </w:r>
      <w:r>
        <w:rPr>
          <w:rFonts w:asciiTheme="minorEastAsia" w:hAnsiTheme="minorEastAsia" w:cstheme="minorEastAsia" w:hint="eastAsia"/>
        </w:rPr>
        <w:t>类</w:t>
      </w:r>
      <w:r>
        <w:rPr>
          <w:rFonts w:asciiTheme="minorEastAsia" w:eastAsiaTheme="minorEastAsia" w:hAnsiTheme="minorEastAsia" w:cstheme="minorEastAsia" w:hint="eastAsia"/>
        </w:rPr>
        <w:t>贷款客户</w:t>
      </w:r>
      <w:r>
        <w:rPr>
          <w:rFonts w:asciiTheme="minorEastAsia" w:hAnsiTheme="minorEastAsia" w:cstheme="minorEastAsia" w:hint="eastAsia"/>
        </w:rPr>
        <w:t>数6.36</w:t>
      </w:r>
      <w:r>
        <w:rPr>
          <w:rFonts w:asciiTheme="minorEastAsia" w:eastAsiaTheme="minorEastAsia" w:hAnsiTheme="minorEastAsia" w:cstheme="minorEastAsia" w:hint="eastAsia"/>
        </w:rPr>
        <w:t>万户，较上年末增长</w:t>
      </w:r>
      <w:r>
        <w:rPr>
          <w:rFonts w:asciiTheme="minorEastAsia" w:hAnsiTheme="minorEastAsia" w:cstheme="minorEastAsia" w:hint="eastAsia"/>
        </w:rPr>
        <w:t>0.67</w:t>
      </w:r>
      <w:r>
        <w:rPr>
          <w:rFonts w:asciiTheme="minorEastAsia" w:eastAsiaTheme="minorEastAsia" w:hAnsiTheme="minorEastAsia" w:cstheme="minorEastAsia" w:hint="eastAsia"/>
        </w:rPr>
        <w:t>万户，增幅</w:t>
      </w:r>
      <w:r>
        <w:rPr>
          <w:rFonts w:asciiTheme="minorEastAsia" w:hAnsiTheme="minorEastAsia" w:cstheme="minorEastAsia" w:hint="eastAsia"/>
        </w:rPr>
        <w:t>11.74</w:t>
      </w:r>
      <w:r>
        <w:rPr>
          <w:rFonts w:asciiTheme="minorEastAsia" w:eastAsiaTheme="minorEastAsia" w:hAnsiTheme="minorEastAsia" w:cstheme="minorEastAsia" w:hint="eastAsia"/>
        </w:rPr>
        <w:t>%</w:t>
      </w:r>
      <w:r>
        <w:rPr>
          <w:rFonts w:asciiTheme="minorEastAsia" w:hAnsiTheme="minorEastAsia" w:cstheme="minorEastAsia" w:hint="eastAsia"/>
        </w:rPr>
        <w:t>。</w:t>
      </w:r>
    </w:p>
    <w:p w:rsidR="00AD5BB5" w:rsidRDefault="00F87FF6">
      <w:pPr>
        <w:spacing w:line="360" w:lineRule="auto"/>
        <w:ind w:firstLineChars="200" w:firstLine="420"/>
        <w:rPr>
          <w:rFonts w:asciiTheme="minorEastAsia" w:hAnsiTheme="minorEastAsia" w:cstheme="minorEastAsia"/>
        </w:rPr>
      </w:pPr>
      <w:r>
        <w:rPr>
          <w:rFonts w:asciiTheme="minorEastAsia" w:eastAsiaTheme="minorEastAsia" w:hAnsiTheme="minorEastAsia" w:cstheme="minorEastAsia" w:hint="eastAsia"/>
        </w:rPr>
        <w:t>本公司上线普惠一体化营销过程管理方案，完成客户营销日志场景建设，</w:t>
      </w:r>
      <w:r>
        <w:rPr>
          <w:rFonts w:asciiTheme="minorEastAsia" w:hAnsiTheme="minorEastAsia" w:cstheme="minorEastAsia" w:hint="eastAsia"/>
        </w:rPr>
        <w:t>制定</w:t>
      </w:r>
      <w:r>
        <w:rPr>
          <w:rFonts w:asciiTheme="minorEastAsia" w:eastAsiaTheme="minorEastAsia" w:hAnsiTheme="minorEastAsia" w:cstheme="minorEastAsia" w:hint="eastAsia"/>
        </w:rPr>
        <w:t>客户营销日志使用操作手册，为客户营销过程管理的</w:t>
      </w:r>
      <w:r>
        <w:rPr>
          <w:rFonts w:asciiTheme="minorEastAsia" w:hAnsiTheme="minorEastAsia" w:cstheme="minorEastAsia" w:hint="eastAsia"/>
        </w:rPr>
        <w:t>交互</w:t>
      </w:r>
      <w:r>
        <w:rPr>
          <w:rFonts w:asciiTheme="minorEastAsia" w:eastAsiaTheme="minorEastAsia" w:hAnsiTheme="minorEastAsia" w:cstheme="minorEastAsia" w:hint="eastAsia"/>
        </w:rPr>
        <w:t>记录与零售主管</w:t>
      </w:r>
      <w:r>
        <w:rPr>
          <w:rFonts w:asciiTheme="minorEastAsia" w:hAnsiTheme="minorEastAsia" w:cstheme="minorEastAsia" w:hint="eastAsia"/>
        </w:rPr>
        <w:t>及时</w:t>
      </w:r>
      <w:r>
        <w:rPr>
          <w:rFonts w:asciiTheme="minorEastAsia" w:eastAsiaTheme="minorEastAsia" w:hAnsiTheme="minorEastAsia" w:cstheme="minorEastAsia" w:hint="eastAsia"/>
        </w:rPr>
        <w:t>督导提供了可视化、具象化的系统全流程支持</w:t>
      </w:r>
      <w:r>
        <w:rPr>
          <w:rFonts w:asciiTheme="minorEastAsia" w:hAnsiTheme="minorEastAsia" w:cstheme="minorEastAsia" w:hint="eastAsia"/>
        </w:rPr>
        <w:t>，助力普惠经理产能提升。</w:t>
      </w:r>
    </w:p>
    <w:p w:rsidR="00AD5BB5" w:rsidRDefault="00F87FF6">
      <w:pPr>
        <w:spacing w:line="360" w:lineRule="auto"/>
        <w:ind w:firstLineChars="200" w:firstLine="420"/>
        <w:rPr>
          <w:rFonts w:asciiTheme="minorEastAsia" w:hAnsiTheme="minorEastAsia" w:cstheme="minorEastAsia"/>
        </w:rPr>
      </w:pPr>
      <w:r>
        <w:rPr>
          <w:rFonts w:asciiTheme="minorEastAsia" w:eastAsiaTheme="minorEastAsia" w:hAnsiTheme="minorEastAsia" w:cstheme="minorEastAsia" w:hint="eastAsia"/>
        </w:rPr>
        <w:t>本公司</w:t>
      </w:r>
      <w:r>
        <w:rPr>
          <w:rFonts w:asciiTheme="minorEastAsia" w:hAnsiTheme="minorEastAsia" w:cstheme="minorEastAsia" w:hint="eastAsia"/>
        </w:rPr>
        <w:t>重视发挥渠道效能，一方面与外部渠道相互协作，形成合力，</w:t>
      </w:r>
      <w:r>
        <w:rPr>
          <w:rFonts w:asciiTheme="minorEastAsia" w:eastAsiaTheme="minorEastAsia" w:hAnsiTheme="minorEastAsia" w:cstheme="minorEastAsia" w:hint="eastAsia"/>
        </w:rPr>
        <w:t>结合</w:t>
      </w:r>
      <w:r>
        <w:rPr>
          <w:rFonts w:asciiTheme="minorEastAsia" w:hAnsiTheme="minorEastAsia" w:cstheme="minorEastAsia" w:hint="eastAsia"/>
        </w:rPr>
        <w:t>电商热点，规划多种与</w:t>
      </w:r>
      <w:proofErr w:type="gramStart"/>
      <w:r>
        <w:rPr>
          <w:rFonts w:asciiTheme="minorEastAsia" w:eastAsiaTheme="minorEastAsia" w:hAnsiTheme="minorEastAsia" w:cstheme="minorEastAsia" w:hint="eastAsia"/>
        </w:rPr>
        <w:t>云闪付</w:t>
      </w:r>
      <w:proofErr w:type="gramEnd"/>
      <w:r>
        <w:rPr>
          <w:rFonts w:asciiTheme="minorEastAsia" w:eastAsiaTheme="minorEastAsia" w:hAnsiTheme="minorEastAsia" w:cstheme="minorEastAsia" w:hint="eastAsia"/>
        </w:rPr>
        <w:t>、支付宝</w:t>
      </w:r>
      <w:r>
        <w:rPr>
          <w:rFonts w:asciiTheme="minorEastAsia" w:hAnsiTheme="minorEastAsia" w:cstheme="minorEastAsia" w:hint="eastAsia"/>
        </w:rPr>
        <w:t>合作的</w:t>
      </w:r>
      <w:proofErr w:type="gramStart"/>
      <w:r>
        <w:rPr>
          <w:rFonts w:asciiTheme="minorEastAsia" w:hAnsiTheme="minorEastAsia" w:cstheme="minorEastAsia" w:hint="eastAsia"/>
        </w:rPr>
        <w:t>信用卡</w:t>
      </w:r>
      <w:r>
        <w:rPr>
          <w:rFonts w:asciiTheme="minorEastAsia" w:eastAsiaTheme="minorEastAsia" w:hAnsiTheme="minorEastAsia" w:cstheme="minorEastAsia" w:hint="eastAsia"/>
        </w:rPr>
        <w:t>满减或</w:t>
      </w:r>
      <w:proofErr w:type="gramEnd"/>
      <w:r>
        <w:rPr>
          <w:rFonts w:asciiTheme="minorEastAsia" w:eastAsiaTheme="minorEastAsia" w:hAnsiTheme="minorEastAsia" w:cstheme="minorEastAsia" w:hint="eastAsia"/>
        </w:rPr>
        <w:t>随机减等营销活动，贴合客户生命周期和消费场景，带动活跃率、交易额</w:t>
      </w:r>
      <w:r>
        <w:rPr>
          <w:rFonts w:asciiTheme="minorEastAsia" w:hAnsiTheme="minorEastAsia" w:cstheme="minorEastAsia" w:hint="eastAsia"/>
        </w:rPr>
        <w:t>稳健</w:t>
      </w:r>
      <w:r>
        <w:rPr>
          <w:rFonts w:asciiTheme="minorEastAsia" w:eastAsiaTheme="minorEastAsia" w:hAnsiTheme="minorEastAsia" w:cstheme="minorEastAsia" w:hint="eastAsia"/>
        </w:rPr>
        <w:t>增长，信用卡</w:t>
      </w:r>
      <w:r>
        <w:rPr>
          <w:rFonts w:asciiTheme="minorEastAsia" w:hAnsiTheme="minorEastAsia" w:cstheme="minorEastAsia" w:hint="eastAsia"/>
        </w:rPr>
        <w:t>支付</w:t>
      </w:r>
      <w:proofErr w:type="gramStart"/>
      <w:r>
        <w:rPr>
          <w:rFonts w:asciiTheme="minorEastAsia" w:hAnsiTheme="minorEastAsia" w:cstheme="minorEastAsia" w:hint="eastAsia"/>
        </w:rPr>
        <w:t>宝渠道</w:t>
      </w:r>
      <w:proofErr w:type="gramEnd"/>
      <w:r>
        <w:rPr>
          <w:rFonts w:asciiTheme="minorEastAsia" w:hAnsiTheme="minorEastAsia" w:cstheme="minorEastAsia" w:hint="eastAsia"/>
        </w:rPr>
        <w:t>交易笔数较上年末提升72%，交易规模提升19%，进一步提升</w:t>
      </w:r>
      <w:r>
        <w:rPr>
          <w:rFonts w:asciiTheme="minorEastAsia" w:eastAsiaTheme="minorEastAsia" w:hAnsiTheme="minorEastAsia" w:cstheme="minorEastAsia" w:hint="eastAsia"/>
        </w:rPr>
        <w:t>客户的获得感和参与感，增加品牌曝光</w:t>
      </w:r>
      <w:r>
        <w:rPr>
          <w:rFonts w:asciiTheme="minorEastAsia" w:hAnsiTheme="minorEastAsia" w:cstheme="minorEastAsia" w:hint="eastAsia"/>
        </w:rPr>
        <w:t>。另一方面，深入盘活经营</w:t>
      </w:r>
      <w:proofErr w:type="gramStart"/>
      <w:r>
        <w:rPr>
          <w:rFonts w:asciiTheme="minorEastAsia" w:hAnsiTheme="minorEastAsia" w:cstheme="minorEastAsia" w:hint="eastAsia"/>
        </w:rPr>
        <w:t>贷内部</w:t>
      </w:r>
      <w:proofErr w:type="gramEnd"/>
      <w:r>
        <w:rPr>
          <w:rFonts w:asciiTheme="minorEastAsia" w:hAnsiTheme="minorEastAsia" w:cstheme="minorEastAsia" w:hint="eastAsia"/>
        </w:rPr>
        <w:t>资源渠道，借助模型筛选，对存量客户进行评分测试，有效识别普惠小微意向客户，通过商机发送营销任务，最大限度发挥现有客群潜力。</w:t>
      </w:r>
    </w:p>
    <w:p w:rsidR="00AD5BB5" w:rsidRDefault="00F87FF6" w:rsidP="00F22BE0">
      <w:pPr>
        <w:spacing w:line="360" w:lineRule="auto"/>
        <w:outlineLvl w:val="2"/>
        <w:rPr>
          <w:rFonts w:asciiTheme="minorEastAsia" w:hAnsiTheme="minorEastAsia" w:cstheme="minorEastAsia"/>
          <w:b/>
        </w:rPr>
      </w:pPr>
      <w:r>
        <w:rPr>
          <w:rFonts w:asciiTheme="minorEastAsia" w:hAnsiTheme="minorEastAsia" w:cstheme="minorEastAsia" w:hint="eastAsia"/>
          <w:b/>
          <w:color w:val="000000" w:themeColor="text1"/>
        </w:rPr>
        <w:t>（3）立足提升客户体验，</w:t>
      </w:r>
      <w:proofErr w:type="gramStart"/>
      <w:r>
        <w:rPr>
          <w:rFonts w:asciiTheme="minorEastAsia" w:hAnsiTheme="minorEastAsia" w:cstheme="minorEastAsia" w:hint="eastAsia"/>
          <w:b/>
          <w:color w:val="000000" w:themeColor="text1"/>
        </w:rPr>
        <w:t>推动</w:t>
      </w:r>
      <w:r>
        <w:rPr>
          <w:rFonts w:asciiTheme="minorEastAsia" w:hAnsiTheme="minorEastAsia" w:cstheme="minorEastAsia" w:hint="eastAsia"/>
          <w:b/>
        </w:rPr>
        <w:t>触客</w:t>
      </w:r>
      <w:r>
        <w:rPr>
          <w:rFonts w:asciiTheme="minorEastAsia" w:eastAsiaTheme="minorEastAsia" w:hAnsiTheme="minorEastAsia" w:cstheme="minorEastAsia" w:hint="eastAsia"/>
          <w:b/>
        </w:rPr>
        <w:t>渠道</w:t>
      </w:r>
      <w:proofErr w:type="gramEnd"/>
      <w:r>
        <w:rPr>
          <w:rFonts w:asciiTheme="minorEastAsia" w:hAnsiTheme="minorEastAsia" w:cstheme="minorEastAsia" w:hint="eastAsia"/>
          <w:b/>
        </w:rPr>
        <w:t>建设</w:t>
      </w:r>
    </w:p>
    <w:p w:rsidR="00AD5BB5" w:rsidRDefault="00F87FF6">
      <w:pPr>
        <w:spacing w:line="360" w:lineRule="auto"/>
        <w:ind w:firstLineChars="200" w:firstLine="420"/>
        <w:rPr>
          <w:rFonts w:asciiTheme="minorEastAsia" w:hAnsiTheme="minorEastAsia" w:cstheme="minorEastAsia"/>
        </w:rPr>
      </w:pPr>
      <w:r>
        <w:rPr>
          <w:rFonts w:asciiTheme="minorEastAsia" w:eastAsiaTheme="minorEastAsia" w:hAnsiTheme="minorEastAsia" w:cstheme="minorEastAsia" w:hint="eastAsia"/>
        </w:rPr>
        <w:t>本公司以提升客户体验为驱动，线下</w:t>
      </w:r>
      <w:r>
        <w:rPr>
          <w:rFonts w:asciiTheme="minorEastAsia" w:hAnsiTheme="minorEastAsia" w:cstheme="minorEastAsia" w:hint="eastAsia"/>
        </w:rPr>
        <w:t>网点</w:t>
      </w:r>
      <w:r>
        <w:rPr>
          <w:rFonts w:asciiTheme="minorEastAsia" w:eastAsiaTheme="minorEastAsia" w:hAnsiTheme="minorEastAsia" w:cstheme="minorEastAsia" w:hint="eastAsia"/>
        </w:rPr>
        <w:t>按规划继续铺设，线</w:t>
      </w:r>
      <w:proofErr w:type="gramStart"/>
      <w:r>
        <w:rPr>
          <w:rFonts w:asciiTheme="minorEastAsia" w:eastAsiaTheme="minorEastAsia" w:hAnsiTheme="minorEastAsia" w:cstheme="minorEastAsia" w:hint="eastAsia"/>
        </w:rPr>
        <w:t>上渠道</w:t>
      </w:r>
      <w:proofErr w:type="gramEnd"/>
      <w:r>
        <w:rPr>
          <w:rFonts w:asciiTheme="minorEastAsia" w:eastAsiaTheme="minorEastAsia" w:hAnsiTheme="minorEastAsia" w:cstheme="minorEastAsia" w:hint="eastAsia"/>
        </w:rPr>
        <w:t>将建设重点从功能完善进阶至服务升级，赋能高效营销，助力降本增效，为业务长期经营奠定坚实基础。</w:t>
      </w:r>
    </w:p>
    <w:p w:rsidR="00AD5BB5" w:rsidRDefault="00F87FF6">
      <w:pPr>
        <w:spacing w:line="360" w:lineRule="auto"/>
        <w:ind w:firstLineChars="200" w:firstLine="420"/>
        <w:rPr>
          <w:rFonts w:asciiTheme="minorEastAsia" w:hAnsiTheme="minorEastAsia" w:cstheme="minorEastAsia"/>
        </w:rPr>
      </w:pPr>
      <w:r>
        <w:rPr>
          <w:rFonts w:asciiTheme="minorEastAsia" w:hAnsiTheme="minorEastAsia" w:cstheme="minorEastAsia" w:hint="eastAsia"/>
        </w:rPr>
        <w:t>本公司秉持</w:t>
      </w:r>
      <w:r>
        <w:rPr>
          <w:rFonts w:asciiTheme="minorEastAsia" w:eastAsiaTheme="minorEastAsia" w:hAnsiTheme="minorEastAsia" w:cstheme="minorEastAsia" w:hint="eastAsia"/>
        </w:rPr>
        <w:t>加快回归本源、服务中小、服务本地居民</w:t>
      </w:r>
      <w:r>
        <w:rPr>
          <w:rFonts w:asciiTheme="minorEastAsia" w:hAnsiTheme="minorEastAsia" w:cstheme="minorEastAsia" w:hint="eastAsia"/>
        </w:rPr>
        <w:t>的理念，</w:t>
      </w:r>
      <w:r>
        <w:rPr>
          <w:rFonts w:asciiTheme="minorEastAsia" w:eastAsiaTheme="minorEastAsia" w:hAnsiTheme="minorEastAsia" w:cstheme="minorEastAsia" w:hint="eastAsia"/>
        </w:rPr>
        <w:t>网点建设和布局</w:t>
      </w:r>
      <w:r>
        <w:rPr>
          <w:rFonts w:asciiTheme="minorEastAsia" w:hAnsiTheme="minorEastAsia" w:cstheme="minorEastAsia" w:hint="eastAsia"/>
        </w:rPr>
        <w:t>以</w:t>
      </w:r>
      <w:r>
        <w:rPr>
          <w:rFonts w:asciiTheme="minorEastAsia" w:eastAsiaTheme="minorEastAsia" w:hAnsiTheme="minorEastAsia" w:cstheme="minorEastAsia" w:hint="eastAsia"/>
        </w:rPr>
        <w:t>补充空</w:t>
      </w:r>
      <w:r>
        <w:rPr>
          <w:rFonts w:asciiTheme="minorEastAsia" w:eastAsiaTheme="minorEastAsia" w:hAnsiTheme="minorEastAsia" w:cstheme="minorEastAsia" w:hint="eastAsia"/>
        </w:rPr>
        <w:lastRenderedPageBreak/>
        <w:t>白区域为主，稳步推进</w:t>
      </w:r>
      <w:r>
        <w:rPr>
          <w:rFonts w:asciiTheme="minorEastAsia" w:hAnsiTheme="minorEastAsia" w:cstheme="minorEastAsia" w:hint="eastAsia"/>
        </w:rPr>
        <w:t>网点</w:t>
      </w:r>
      <w:r>
        <w:rPr>
          <w:rFonts w:asciiTheme="minorEastAsia" w:eastAsiaTheme="minorEastAsia" w:hAnsiTheme="minorEastAsia" w:cstheme="minorEastAsia" w:hint="eastAsia"/>
        </w:rPr>
        <w:t>建设</w:t>
      </w:r>
      <w:r>
        <w:rPr>
          <w:rFonts w:asciiTheme="minorEastAsia" w:hAnsiTheme="minorEastAsia" w:cstheme="minorEastAsia" w:hint="eastAsia"/>
        </w:rPr>
        <w:t>，上半年开业5家新网点。报告期末，</w:t>
      </w:r>
      <w:r>
        <w:rPr>
          <w:rFonts w:asciiTheme="minorEastAsia" w:eastAsiaTheme="minorEastAsia" w:hAnsiTheme="minorEastAsia" w:cstheme="minorEastAsia" w:hint="eastAsia"/>
        </w:rPr>
        <w:t>网点合计114家</w:t>
      </w:r>
      <w:r>
        <w:rPr>
          <w:rFonts w:asciiTheme="minorEastAsia" w:hAnsiTheme="minorEastAsia" w:cstheme="minorEastAsia" w:hint="eastAsia"/>
        </w:rPr>
        <w:t>，其中县域网点17家，进一步</w:t>
      </w:r>
      <w:r>
        <w:rPr>
          <w:rFonts w:asciiTheme="minorEastAsia" w:eastAsiaTheme="minorEastAsia" w:hAnsiTheme="minorEastAsia" w:cstheme="minorEastAsia" w:hint="eastAsia"/>
        </w:rPr>
        <w:t>实现金融服务下沉。</w:t>
      </w:r>
    </w:p>
    <w:p w:rsidR="00AD5BB5" w:rsidRDefault="00F87FF6">
      <w:pPr>
        <w:spacing w:line="360" w:lineRule="auto"/>
        <w:ind w:firstLineChars="200" w:firstLine="420"/>
        <w:rPr>
          <w:rFonts w:asciiTheme="minorEastAsia" w:hAnsiTheme="minorEastAsia" w:cstheme="minorEastAsia"/>
        </w:rPr>
      </w:pPr>
      <w:r>
        <w:rPr>
          <w:rFonts w:asciiTheme="minorEastAsia" w:eastAsiaTheme="minorEastAsia" w:hAnsiTheme="minorEastAsia" w:cstheme="minorEastAsia" w:hint="eastAsia"/>
        </w:rPr>
        <w:t>本公司</w:t>
      </w:r>
      <w:r>
        <w:rPr>
          <w:rFonts w:asciiTheme="minorEastAsia" w:hAnsiTheme="minorEastAsia" w:cstheme="minorEastAsia" w:hint="eastAsia"/>
        </w:rPr>
        <w:t>全面</w:t>
      </w:r>
      <w:r>
        <w:rPr>
          <w:rFonts w:asciiTheme="minorEastAsia" w:eastAsiaTheme="minorEastAsia" w:hAnsiTheme="minorEastAsia" w:cstheme="minorEastAsia" w:hint="eastAsia"/>
        </w:rPr>
        <w:t>提升</w:t>
      </w:r>
      <w:r>
        <w:rPr>
          <w:rFonts w:asciiTheme="minorEastAsia" w:hAnsiTheme="minorEastAsia" w:cstheme="minorEastAsia" w:hint="eastAsia"/>
        </w:rPr>
        <w:t>线</w:t>
      </w:r>
      <w:proofErr w:type="gramStart"/>
      <w:r>
        <w:rPr>
          <w:rFonts w:asciiTheme="minorEastAsia" w:hAnsiTheme="minorEastAsia" w:cstheme="minorEastAsia" w:hint="eastAsia"/>
        </w:rPr>
        <w:t>上渠道</w:t>
      </w:r>
      <w:proofErr w:type="gramEnd"/>
      <w:r>
        <w:rPr>
          <w:rFonts w:asciiTheme="minorEastAsia" w:hAnsiTheme="minorEastAsia" w:cstheme="minorEastAsia" w:hint="eastAsia"/>
        </w:rPr>
        <w:t>的服务及运营能力，报告期内个人手机银行、电话银行、智能客</w:t>
      </w:r>
      <w:proofErr w:type="gramStart"/>
      <w:r>
        <w:rPr>
          <w:rFonts w:asciiTheme="minorEastAsia" w:hAnsiTheme="minorEastAsia" w:cstheme="minorEastAsia" w:hint="eastAsia"/>
        </w:rPr>
        <w:t>服建设</w:t>
      </w:r>
      <w:proofErr w:type="gramEnd"/>
      <w:r>
        <w:rPr>
          <w:rFonts w:asciiTheme="minorEastAsia" w:hAnsiTheme="minorEastAsia" w:cstheme="minorEastAsia" w:hint="eastAsia"/>
        </w:rPr>
        <w:t>均有显著进展。个人手机银行完成对</w:t>
      </w:r>
      <w:r>
        <w:rPr>
          <w:rFonts w:asciiTheme="minorEastAsia" w:eastAsiaTheme="minorEastAsia" w:hAnsiTheme="minorEastAsia" w:cstheme="minorEastAsia" w:hint="eastAsia"/>
        </w:rPr>
        <w:t>基金、存款模块</w:t>
      </w:r>
      <w:r>
        <w:rPr>
          <w:rFonts w:asciiTheme="minorEastAsia" w:hAnsiTheme="minorEastAsia" w:cstheme="minorEastAsia" w:hint="eastAsia"/>
        </w:rPr>
        <w:t>中</w:t>
      </w:r>
      <w:r>
        <w:rPr>
          <w:rFonts w:asciiTheme="minorEastAsia" w:eastAsiaTheme="minorEastAsia" w:hAnsiTheme="minorEastAsia" w:cstheme="minorEastAsia" w:hint="eastAsia"/>
        </w:rPr>
        <w:t>产品展示、产品查询、</w:t>
      </w:r>
      <w:r>
        <w:rPr>
          <w:rFonts w:asciiTheme="minorEastAsia" w:hAnsiTheme="minorEastAsia" w:cstheme="minorEastAsia" w:hint="eastAsia"/>
        </w:rPr>
        <w:t>产品</w:t>
      </w:r>
      <w:r>
        <w:rPr>
          <w:rFonts w:asciiTheme="minorEastAsia" w:eastAsiaTheme="minorEastAsia" w:hAnsiTheme="minorEastAsia" w:cstheme="minorEastAsia" w:hint="eastAsia"/>
        </w:rPr>
        <w:t>申购、持仓查询等流程</w:t>
      </w:r>
      <w:r>
        <w:rPr>
          <w:rFonts w:asciiTheme="minorEastAsia" w:hAnsiTheme="minorEastAsia" w:cstheme="minorEastAsia" w:hint="eastAsia"/>
        </w:rPr>
        <w:t>的全面优化，并</w:t>
      </w:r>
      <w:r>
        <w:rPr>
          <w:rFonts w:asciiTheme="minorEastAsia" w:eastAsiaTheme="minorEastAsia" w:hAnsiTheme="minorEastAsia" w:cstheme="minorEastAsia" w:hint="eastAsia"/>
        </w:rPr>
        <w:t>推进融合消息中心建设，整合APP消息、</w:t>
      </w:r>
      <w:proofErr w:type="gramStart"/>
      <w:r>
        <w:rPr>
          <w:rFonts w:asciiTheme="minorEastAsia" w:eastAsiaTheme="minorEastAsia" w:hAnsiTheme="minorEastAsia" w:cstheme="minorEastAsia" w:hint="eastAsia"/>
        </w:rPr>
        <w:t>微信消息</w:t>
      </w:r>
      <w:proofErr w:type="gramEnd"/>
      <w:r>
        <w:rPr>
          <w:rFonts w:asciiTheme="minorEastAsia" w:eastAsiaTheme="minorEastAsia" w:hAnsiTheme="minorEastAsia" w:cstheme="minorEastAsia" w:hint="eastAsia"/>
        </w:rPr>
        <w:t>和国际短信等消息通道，实现对</w:t>
      </w:r>
      <w:proofErr w:type="gramStart"/>
      <w:r>
        <w:rPr>
          <w:rFonts w:asciiTheme="minorEastAsia" w:eastAsiaTheme="minorEastAsia" w:hAnsiTheme="minorEastAsia" w:cstheme="minorEastAsia" w:hint="eastAsia"/>
        </w:rPr>
        <w:t>客</w:t>
      </w:r>
      <w:r>
        <w:rPr>
          <w:rFonts w:asciiTheme="minorEastAsia" w:hAnsiTheme="minorEastAsia" w:cstheme="minorEastAsia" w:hint="eastAsia"/>
        </w:rPr>
        <w:t>消息</w:t>
      </w:r>
      <w:proofErr w:type="gramEnd"/>
      <w:r>
        <w:rPr>
          <w:rFonts w:asciiTheme="minorEastAsia" w:eastAsiaTheme="minorEastAsia" w:hAnsiTheme="minorEastAsia" w:cstheme="minorEastAsia" w:hint="eastAsia"/>
        </w:rPr>
        <w:t>一站式管理，</w:t>
      </w:r>
      <w:r>
        <w:rPr>
          <w:rFonts w:asciiTheme="minorEastAsia" w:hAnsiTheme="minorEastAsia" w:cstheme="minorEastAsia" w:hint="eastAsia"/>
        </w:rPr>
        <w:t>切实提升客户交互体验</w:t>
      </w:r>
      <w:r>
        <w:rPr>
          <w:rFonts w:asciiTheme="minorEastAsia" w:eastAsiaTheme="minorEastAsia" w:hAnsiTheme="minorEastAsia" w:cstheme="minorEastAsia" w:hint="eastAsia"/>
        </w:rPr>
        <w:t>。截至报告期末，</w:t>
      </w:r>
      <w:r>
        <w:rPr>
          <w:rFonts w:asciiTheme="minorEastAsia" w:hAnsiTheme="minorEastAsia" w:cstheme="minorEastAsia" w:hint="eastAsia"/>
        </w:rPr>
        <w:t>个人手机银行</w:t>
      </w:r>
      <w:r>
        <w:rPr>
          <w:rFonts w:asciiTheme="minorEastAsia" w:eastAsiaTheme="minorEastAsia" w:hAnsiTheme="minorEastAsia" w:cstheme="minorEastAsia" w:hint="eastAsia"/>
        </w:rPr>
        <w:t>签约客户达到127.75万户，平均</w:t>
      </w:r>
      <w:proofErr w:type="gramStart"/>
      <w:r>
        <w:rPr>
          <w:rFonts w:asciiTheme="minorEastAsia" w:eastAsiaTheme="minorEastAsia" w:hAnsiTheme="minorEastAsia" w:cstheme="minorEastAsia" w:hint="eastAsia"/>
        </w:rPr>
        <w:t>月活跃</w:t>
      </w:r>
      <w:proofErr w:type="gramEnd"/>
      <w:r>
        <w:rPr>
          <w:rFonts w:asciiTheme="minorEastAsia" w:eastAsiaTheme="minorEastAsia" w:hAnsiTheme="minorEastAsia" w:cstheme="minorEastAsia" w:hint="eastAsia"/>
        </w:rPr>
        <w:t>客户32.81万户，</w:t>
      </w:r>
      <w:r>
        <w:rPr>
          <w:rFonts w:asciiTheme="minorEastAsia" w:hAnsiTheme="minorEastAsia" w:cstheme="minorEastAsia" w:hint="eastAsia"/>
        </w:rPr>
        <w:t>较上年同期</w:t>
      </w:r>
      <w:r>
        <w:rPr>
          <w:rFonts w:asciiTheme="minorEastAsia" w:eastAsiaTheme="minorEastAsia" w:hAnsiTheme="minorEastAsia" w:cstheme="minorEastAsia" w:hint="eastAsia"/>
        </w:rPr>
        <w:t>提升8.08万户，增幅32.67%。</w:t>
      </w:r>
      <w:r>
        <w:rPr>
          <w:rFonts w:asciiTheme="minorEastAsia" w:hAnsiTheme="minorEastAsia" w:cstheme="minorEastAsia" w:hint="eastAsia"/>
        </w:rPr>
        <w:t>随着</w:t>
      </w:r>
      <w:r>
        <w:rPr>
          <w:rFonts w:asciiTheme="minorEastAsia" w:eastAsiaTheme="minorEastAsia" w:hAnsiTheme="minorEastAsia" w:cstheme="minorEastAsia" w:hint="eastAsia"/>
        </w:rPr>
        <w:t>在线客服一键查询</w:t>
      </w:r>
      <w:r>
        <w:rPr>
          <w:rFonts w:asciiTheme="minorEastAsia" w:hAnsiTheme="minorEastAsia" w:cstheme="minorEastAsia" w:hint="eastAsia"/>
        </w:rPr>
        <w:t>、</w:t>
      </w:r>
      <w:r>
        <w:rPr>
          <w:rFonts w:asciiTheme="minorEastAsia" w:eastAsiaTheme="minorEastAsia" w:hAnsiTheme="minorEastAsia" w:cstheme="minorEastAsia" w:hint="eastAsia"/>
        </w:rPr>
        <w:t>电话银行增加客户身份识别</w:t>
      </w:r>
      <w:r>
        <w:rPr>
          <w:rFonts w:asciiTheme="minorEastAsia" w:hAnsiTheme="minorEastAsia" w:cstheme="minorEastAsia" w:hint="eastAsia"/>
        </w:rPr>
        <w:t>、</w:t>
      </w:r>
      <w:r>
        <w:rPr>
          <w:rFonts w:asciiTheme="minorEastAsia" w:eastAsiaTheme="minorEastAsia" w:hAnsiTheme="minorEastAsia" w:cstheme="minorEastAsia" w:hint="eastAsia"/>
        </w:rPr>
        <w:t>开通老年人服务通道</w:t>
      </w:r>
      <w:r>
        <w:rPr>
          <w:rFonts w:asciiTheme="minorEastAsia" w:hAnsiTheme="minorEastAsia" w:cstheme="minorEastAsia" w:hint="eastAsia"/>
        </w:rPr>
        <w:t>等新功能落地，本公司能够更精准地</w:t>
      </w:r>
      <w:r>
        <w:rPr>
          <w:rFonts w:asciiTheme="minorEastAsia" w:eastAsiaTheme="minorEastAsia" w:hAnsiTheme="minorEastAsia" w:cstheme="minorEastAsia" w:hint="eastAsia"/>
        </w:rPr>
        <w:t>为客户提供专项服务</w:t>
      </w:r>
      <w:r>
        <w:rPr>
          <w:rFonts w:asciiTheme="minorEastAsia" w:hAnsiTheme="minorEastAsia" w:cstheme="minorEastAsia" w:hint="eastAsia"/>
        </w:rPr>
        <w:t>，</w:t>
      </w:r>
      <w:r>
        <w:rPr>
          <w:rFonts w:asciiTheme="minorEastAsia" w:eastAsiaTheme="minorEastAsia" w:hAnsiTheme="minorEastAsia" w:cstheme="minorEastAsia" w:hint="eastAsia"/>
        </w:rPr>
        <w:t>加速话务分流</w:t>
      </w:r>
      <w:r>
        <w:rPr>
          <w:rFonts w:asciiTheme="minorEastAsia" w:hAnsiTheme="minorEastAsia" w:cstheme="minorEastAsia" w:hint="eastAsia"/>
        </w:rPr>
        <w:t>，</w:t>
      </w:r>
      <w:r>
        <w:rPr>
          <w:rFonts w:asciiTheme="minorEastAsia" w:eastAsiaTheme="minorEastAsia" w:hAnsiTheme="minorEastAsia" w:cstheme="minorEastAsia" w:hint="eastAsia"/>
        </w:rPr>
        <w:t>提</w:t>
      </w:r>
      <w:r>
        <w:rPr>
          <w:rFonts w:asciiTheme="minorEastAsia" w:hAnsiTheme="minorEastAsia" w:cstheme="minorEastAsia" w:hint="eastAsia"/>
        </w:rPr>
        <w:t>高客户使用</w:t>
      </w:r>
      <w:r>
        <w:rPr>
          <w:rFonts w:asciiTheme="minorEastAsia" w:eastAsiaTheme="minorEastAsia" w:hAnsiTheme="minorEastAsia" w:cstheme="minorEastAsia" w:hint="eastAsia"/>
        </w:rPr>
        <w:t>便捷性</w:t>
      </w:r>
      <w:r>
        <w:rPr>
          <w:rFonts w:asciiTheme="minorEastAsia" w:hAnsiTheme="minorEastAsia" w:cstheme="minorEastAsia" w:hint="eastAsia"/>
        </w:rPr>
        <w:t>和</w:t>
      </w:r>
      <w:r>
        <w:rPr>
          <w:rFonts w:asciiTheme="minorEastAsia" w:eastAsiaTheme="minorEastAsia" w:hAnsiTheme="minorEastAsia" w:cstheme="minorEastAsia" w:hint="eastAsia"/>
        </w:rPr>
        <w:t>一次性解决率</w:t>
      </w:r>
      <w:r>
        <w:rPr>
          <w:rFonts w:asciiTheme="minorEastAsia" w:hAnsiTheme="minorEastAsia" w:cstheme="minorEastAsia" w:hint="eastAsia"/>
        </w:rPr>
        <w:t>。本公司客</w:t>
      </w:r>
      <w:proofErr w:type="gramStart"/>
      <w:r>
        <w:rPr>
          <w:rFonts w:asciiTheme="minorEastAsia" w:hAnsiTheme="minorEastAsia" w:cstheme="minorEastAsia" w:hint="eastAsia"/>
        </w:rPr>
        <w:t>服中心</w:t>
      </w:r>
      <w:proofErr w:type="gramEnd"/>
      <w:r>
        <w:rPr>
          <w:rFonts w:asciiTheme="minorEastAsia" w:eastAsiaTheme="minorEastAsia" w:hAnsiTheme="minorEastAsia" w:cstheme="minorEastAsia" w:hint="eastAsia"/>
        </w:rPr>
        <w:t>实现厦门、泉州两地运营，增强</w:t>
      </w:r>
      <w:proofErr w:type="gramStart"/>
      <w:r>
        <w:rPr>
          <w:rFonts w:asciiTheme="minorEastAsia" w:eastAsiaTheme="minorEastAsia" w:hAnsiTheme="minorEastAsia" w:cstheme="minorEastAsia" w:hint="eastAsia"/>
        </w:rPr>
        <w:t>系统灾备能力</w:t>
      </w:r>
      <w:proofErr w:type="gramEnd"/>
      <w:r>
        <w:rPr>
          <w:rFonts w:asciiTheme="minorEastAsia" w:eastAsiaTheme="minorEastAsia" w:hAnsiTheme="minorEastAsia" w:cstheme="minorEastAsia" w:hint="eastAsia"/>
        </w:rPr>
        <w:t>，保障服务连续性</w:t>
      </w:r>
      <w:r>
        <w:rPr>
          <w:rFonts w:asciiTheme="minorEastAsia" w:hAnsiTheme="minorEastAsia" w:cstheme="minorEastAsia" w:hint="eastAsia"/>
        </w:rPr>
        <w:t>。</w:t>
      </w:r>
    </w:p>
    <w:p w:rsidR="00AD5BB5" w:rsidRDefault="00F87FF6" w:rsidP="00F22BE0">
      <w:pPr>
        <w:spacing w:line="360" w:lineRule="auto"/>
        <w:outlineLvl w:val="2"/>
        <w:rPr>
          <w:rFonts w:asciiTheme="minorEastAsia" w:hAnsiTheme="minorEastAsia" w:cstheme="minorEastAsia"/>
          <w:b/>
        </w:rPr>
      </w:pPr>
      <w:r>
        <w:rPr>
          <w:rFonts w:asciiTheme="minorEastAsia" w:hAnsiTheme="minorEastAsia" w:cstheme="minorEastAsia"/>
          <w:b/>
        </w:rPr>
        <w:t>（</w:t>
      </w:r>
      <w:r>
        <w:rPr>
          <w:rFonts w:asciiTheme="minorEastAsia" w:hAnsiTheme="minorEastAsia" w:cstheme="minorEastAsia" w:hint="eastAsia"/>
          <w:b/>
        </w:rPr>
        <w:t>4</w:t>
      </w:r>
      <w:r>
        <w:rPr>
          <w:rFonts w:asciiTheme="minorEastAsia" w:hAnsiTheme="minorEastAsia" w:cstheme="minorEastAsia"/>
          <w:b/>
        </w:rPr>
        <w:t>）</w:t>
      </w:r>
      <w:r>
        <w:rPr>
          <w:rFonts w:asciiTheme="minorEastAsia" w:hAnsiTheme="minorEastAsia" w:cstheme="minorEastAsia" w:hint="eastAsia"/>
          <w:b/>
        </w:rPr>
        <w:t>加强金融科技赋能，夯实系统支撑能力</w:t>
      </w:r>
    </w:p>
    <w:p w:rsidR="00AD5BB5" w:rsidRDefault="00F87FF6">
      <w:pPr>
        <w:spacing w:line="360" w:lineRule="auto"/>
        <w:ind w:firstLineChars="200" w:firstLine="420"/>
        <w:rPr>
          <w:rFonts w:asciiTheme="minorEastAsia" w:hAnsiTheme="minorEastAsia" w:cstheme="minorEastAsia"/>
        </w:rPr>
      </w:pPr>
      <w:r>
        <w:rPr>
          <w:rFonts w:asciiTheme="minorEastAsia" w:eastAsiaTheme="minorEastAsia" w:hAnsiTheme="minorEastAsia" w:cstheme="minorEastAsia" w:hint="eastAsia"/>
          <w:color w:val="000000" w:themeColor="text1"/>
        </w:rPr>
        <w:t>本公司以提升“智能风控、精准营销、客户服务”三大核心能力为主线，</w:t>
      </w:r>
      <w:r>
        <w:rPr>
          <w:rFonts w:asciiTheme="minorEastAsia" w:hAnsiTheme="minorEastAsia" w:cstheme="minorEastAsia" w:hint="eastAsia"/>
          <w:color w:val="000000" w:themeColor="text1"/>
        </w:rPr>
        <w:t>全面提升数字化营运能力</w:t>
      </w:r>
      <w:r>
        <w:rPr>
          <w:rFonts w:asciiTheme="minorEastAsia" w:eastAsiaTheme="minorEastAsia" w:hAnsiTheme="minorEastAsia" w:cstheme="minorEastAsia" w:hint="eastAsia"/>
          <w:color w:val="000000" w:themeColor="text1"/>
        </w:rPr>
        <w:t>，</w:t>
      </w:r>
      <w:r>
        <w:rPr>
          <w:rFonts w:asciiTheme="minorEastAsia" w:hAnsiTheme="minorEastAsia" w:cstheme="minorEastAsia" w:hint="eastAsia"/>
          <w:color w:val="000000" w:themeColor="text1"/>
        </w:rPr>
        <w:t>充分发挥金融科技对业务的支撑作用。</w:t>
      </w:r>
    </w:p>
    <w:p w:rsidR="00AD5BB5" w:rsidRDefault="00F87FF6">
      <w:pPr>
        <w:spacing w:line="360" w:lineRule="auto"/>
        <w:ind w:firstLineChars="200" w:firstLine="420"/>
        <w:rPr>
          <w:rFonts w:asciiTheme="minorEastAsia" w:hAnsiTheme="minorEastAsia" w:cstheme="minorEastAsia"/>
        </w:rPr>
      </w:pPr>
      <w:r>
        <w:rPr>
          <w:rFonts w:asciiTheme="minorEastAsia" w:hAnsiTheme="minorEastAsia" w:cstheme="minorEastAsia" w:hint="eastAsia"/>
        </w:rPr>
        <w:t>报告期内，</w:t>
      </w:r>
      <w:r>
        <w:rPr>
          <w:rFonts w:asciiTheme="minorEastAsia" w:eastAsiaTheme="minorEastAsia" w:hAnsiTheme="minorEastAsia" w:cstheme="minorEastAsia" w:hint="eastAsia"/>
        </w:rPr>
        <w:t>信贷工厂2.0抵押及信用经营</w:t>
      </w:r>
      <w:proofErr w:type="gramStart"/>
      <w:r>
        <w:rPr>
          <w:rFonts w:asciiTheme="minorEastAsia" w:eastAsiaTheme="minorEastAsia" w:hAnsiTheme="minorEastAsia" w:cstheme="minorEastAsia" w:hint="eastAsia"/>
        </w:rPr>
        <w:t>贷正式</w:t>
      </w:r>
      <w:proofErr w:type="gramEnd"/>
      <w:r>
        <w:rPr>
          <w:rFonts w:asciiTheme="minorEastAsia" w:hAnsiTheme="minorEastAsia" w:cstheme="minorEastAsia" w:hint="eastAsia"/>
        </w:rPr>
        <w:t>全面</w:t>
      </w:r>
      <w:r>
        <w:rPr>
          <w:rFonts w:asciiTheme="minorEastAsia" w:eastAsiaTheme="minorEastAsia" w:hAnsiTheme="minorEastAsia" w:cstheme="minorEastAsia" w:hint="eastAsia"/>
        </w:rPr>
        <w:t>运行。信贷工厂2.0具有便捷、智能的客户线</w:t>
      </w:r>
      <w:proofErr w:type="gramStart"/>
      <w:r>
        <w:rPr>
          <w:rFonts w:asciiTheme="minorEastAsia" w:eastAsiaTheme="minorEastAsia" w:hAnsiTheme="minorEastAsia" w:cstheme="minorEastAsia" w:hint="eastAsia"/>
        </w:rPr>
        <w:t>上进件</w:t>
      </w:r>
      <w:proofErr w:type="gramEnd"/>
      <w:r>
        <w:rPr>
          <w:rFonts w:asciiTheme="minorEastAsia" w:eastAsiaTheme="minorEastAsia" w:hAnsiTheme="minorEastAsia" w:cstheme="minorEastAsia" w:hint="eastAsia"/>
        </w:rPr>
        <w:t>交互流程，</w:t>
      </w:r>
      <w:r>
        <w:rPr>
          <w:rFonts w:asciiTheme="minorEastAsia" w:hAnsiTheme="minorEastAsia" w:cstheme="minorEastAsia" w:hint="eastAsia"/>
        </w:rPr>
        <w:t>优化</w:t>
      </w:r>
      <w:r>
        <w:rPr>
          <w:rFonts w:asciiTheme="minorEastAsia" w:eastAsiaTheme="minorEastAsia" w:hAnsiTheme="minorEastAsia" w:cstheme="minorEastAsia" w:hint="eastAsia"/>
        </w:rPr>
        <w:t>了客户</w:t>
      </w:r>
      <w:r>
        <w:rPr>
          <w:rFonts w:asciiTheme="minorEastAsia" w:hAnsiTheme="minorEastAsia" w:cstheme="minorEastAsia" w:hint="eastAsia"/>
        </w:rPr>
        <w:t>操作</w:t>
      </w:r>
      <w:r>
        <w:rPr>
          <w:rFonts w:asciiTheme="minorEastAsia" w:eastAsiaTheme="minorEastAsia" w:hAnsiTheme="minorEastAsia" w:cstheme="minorEastAsia" w:hint="eastAsia"/>
        </w:rPr>
        <w:t>体验；标准化</w:t>
      </w:r>
      <w:proofErr w:type="gramStart"/>
      <w:r>
        <w:rPr>
          <w:rFonts w:asciiTheme="minorEastAsia" w:eastAsiaTheme="minorEastAsia" w:hAnsiTheme="minorEastAsia" w:cstheme="minorEastAsia" w:hint="eastAsia"/>
        </w:rPr>
        <w:t>的尽调模板</w:t>
      </w:r>
      <w:proofErr w:type="gramEnd"/>
      <w:r>
        <w:rPr>
          <w:rFonts w:asciiTheme="minorEastAsia" w:hAnsiTheme="minorEastAsia" w:cstheme="minorEastAsia" w:hint="eastAsia"/>
        </w:rPr>
        <w:t>和</w:t>
      </w:r>
      <w:r>
        <w:rPr>
          <w:rFonts w:asciiTheme="minorEastAsia" w:eastAsiaTheme="minorEastAsia" w:hAnsiTheme="minorEastAsia" w:cstheme="minorEastAsia" w:hint="eastAsia"/>
        </w:rPr>
        <w:t>线上化</w:t>
      </w:r>
      <w:proofErr w:type="gramStart"/>
      <w:r>
        <w:rPr>
          <w:rFonts w:asciiTheme="minorEastAsia" w:eastAsiaTheme="minorEastAsia" w:hAnsiTheme="minorEastAsia" w:cstheme="minorEastAsia" w:hint="eastAsia"/>
        </w:rPr>
        <w:t>的尽调作业</w:t>
      </w:r>
      <w:proofErr w:type="gramEnd"/>
      <w:r>
        <w:rPr>
          <w:rFonts w:asciiTheme="minorEastAsia" w:eastAsiaTheme="minorEastAsia" w:hAnsiTheme="minorEastAsia" w:cstheme="minorEastAsia" w:hint="eastAsia"/>
        </w:rPr>
        <w:t>流程，提高</w:t>
      </w:r>
      <w:r>
        <w:rPr>
          <w:rFonts w:asciiTheme="minorEastAsia" w:hAnsiTheme="minorEastAsia" w:cstheme="minorEastAsia" w:hint="eastAsia"/>
        </w:rPr>
        <w:t>了</w:t>
      </w:r>
      <w:r>
        <w:rPr>
          <w:rFonts w:asciiTheme="minorEastAsia" w:eastAsiaTheme="minorEastAsia" w:hAnsiTheme="minorEastAsia" w:cstheme="minorEastAsia" w:hint="eastAsia"/>
        </w:rPr>
        <w:t>客户经理展业效率；多维度的审批策略，精准的客户评级模型，动态的预警监测体系，完善了</w:t>
      </w:r>
      <w:proofErr w:type="gramStart"/>
      <w:r>
        <w:rPr>
          <w:rFonts w:asciiTheme="minorEastAsia" w:eastAsiaTheme="minorEastAsia" w:hAnsiTheme="minorEastAsia" w:cstheme="minorEastAsia" w:hint="eastAsia"/>
        </w:rPr>
        <w:t>产品风控体系</w:t>
      </w:r>
      <w:proofErr w:type="gramEnd"/>
      <w:r>
        <w:rPr>
          <w:rFonts w:asciiTheme="minorEastAsia" w:eastAsiaTheme="minorEastAsia" w:hAnsiTheme="minorEastAsia" w:cstheme="minorEastAsia" w:hint="eastAsia"/>
        </w:rPr>
        <w:t>；对不同客</w:t>
      </w:r>
      <w:proofErr w:type="gramStart"/>
      <w:r>
        <w:rPr>
          <w:rFonts w:asciiTheme="minorEastAsia" w:eastAsiaTheme="minorEastAsia" w:hAnsiTheme="minorEastAsia" w:cstheme="minorEastAsia" w:hint="eastAsia"/>
        </w:rPr>
        <w:t>群实现</w:t>
      </w:r>
      <w:proofErr w:type="gramEnd"/>
      <w:r>
        <w:rPr>
          <w:rFonts w:asciiTheme="minorEastAsia" w:eastAsiaTheme="minorEastAsia" w:hAnsiTheme="minorEastAsia" w:cstheme="minorEastAsia" w:hint="eastAsia"/>
        </w:rPr>
        <w:t>差异化定额定价，</w:t>
      </w:r>
      <w:r>
        <w:rPr>
          <w:rFonts w:asciiTheme="minorEastAsia" w:hAnsiTheme="minorEastAsia" w:cstheme="minorEastAsia" w:hint="eastAsia"/>
        </w:rPr>
        <w:t>提升了</w:t>
      </w:r>
      <w:r>
        <w:rPr>
          <w:rFonts w:asciiTheme="minorEastAsia" w:eastAsiaTheme="minorEastAsia" w:hAnsiTheme="minorEastAsia" w:cstheme="minorEastAsia" w:hint="eastAsia"/>
        </w:rPr>
        <w:t>信贷</w:t>
      </w:r>
      <w:r>
        <w:rPr>
          <w:rFonts w:asciiTheme="minorEastAsia" w:hAnsiTheme="minorEastAsia" w:cstheme="minorEastAsia" w:hint="eastAsia"/>
        </w:rPr>
        <w:t>业务拓展质效</w:t>
      </w:r>
      <w:r>
        <w:rPr>
          <w:rFonts w:asciiTheme="minorEastAsia" w:eastAsiaTheme="minorEastAsia" w:hAnsiTheme="minorEastAsia" w:cstheme="minorEastAsia" w:hint="eastAsia"/>
        </w:rPr>
        <w:t>。信贷工厂2.0有助于进一步打造“一体化、数字化、智能化”的管理体系，</w:t>
      </w:r>
      <w:r>
        <w:rPr>
          <w:rFonts w:asciiTheme="minorEastAsia" w:hAnsiTheme="minorEastAsia" w:cstheme="minorEastAsia" w:hint="eastAsia"/>
        </w:rPr>
        <w:t>全面运行后迅速铺开，</w:t>
      </w:r>
      <w:r>
        <w:rPr>
          <w:rFonts w:asciiTheme="minorEastAsia" w:eastAsiaTheme="minorEastAsia" w:hAnsiTheme="minorEastAsia" w:cstheme="minorEastAsia" w:hint="eastAsia"/>
        </w:rPr>
        <w:t>6月通过信贷工厂2.0进件的零售抵押经营贷覆盖率已达</w:t>
      </w:r>
      <w:r>
        <w:rPr>
          <w:rFonts w:asciiTheme="minorEastAsia" w:hAnsiTheme="minorEastAsia" w:cstheme="minorEastAsia" w:hint="eastAsia"/>
        </w:rPr>
        <w:t>88.45</w:t>
      </w:r>
      <w:r>
        <w:rPr>
          <w:rFonts w:asciiTheme="minorEastAsia" w:eastAsiaTheme="minorEastAsia" w:hAnsiTheme="minorEastAsia" w:cstheme="minorEastAsia" w:hint="eastAsia"/>
        </w:rPr>
        <w:t>%。</w:t>
      </w:r>
    </w:p>
    <w:p w:rsidR="00AD5BB5" w:rsidRDefault="00F87FF6">
      <w:pPr>
        <w:spacing w:line="360" w:lineRule="auto"/>
        <w:ind w:firstLineChars="200" w:firstLine="420"/>
        <w:rPr>
          <w:rFonts w:asciiTheme="minorEastAsia" w:hAnsiTheme="minorEastAsia" w:cstheme="minorEastAsia"/>
        </w:rPr>
      </w:pPr>
      <w:r>
        <w:rPr>
          <w:rFonts w:asciiTheme="minorEastAsia" w:eastAsiaTheme="minorEastAsia" w:hAnsiTheme="minorEastAsia" w:cstheme="minorEastAsia" w:hint="eastAsia"/>
        </w:rPr>
        <w:t>本公司</w:t>
      </w:r>
      <w:r>
        <w:rPr>
          <w:rFonts w:asciiTheme="minorEastAsia" w:hAnsiTheme="minorEastAsia" w:cstheme="minorEastAsia" w:hint="eastAsia"/>
        </w:rPr>
        <w:t>融合业务需求和</w:t>
      </w:r>
      <w:r>
        <w:rPr>
          <w:rFonts w:asciiTheme="minorEastAsia" w:eastAsiaTheme="minorEastAsia" w:hAnsiTheme="minorEastAsia" w:cstheme="minorEastAsia" w:hint="eastAsia"/>
        </w:rPr>
        <w:t>数据应用</w:t>
      </w:r>
      <w:r>
        <w:rPr>
          <w:rFonts w:asciiTheme="minorEastAsia" w:hAnsiTheme="minorEastAsia" w:cstheme="minorEastAsia" w:hint="eastAsia"/>
        </w:rPr>
        <w:t>，配套</w:t>
      </w:r>
      <w:r>
        <w:rPr>
          <w:rFonts w:asciiTheme="minorEastAsia" w:eastAsiaTheme="minorEastAsia" w:hAnsiTheme="minorEastAsia" w:cstheme="minorEastAsia" w:hint="eastAsia"/>
        </w:rPr>
        <w:t>系统支持，赋能高效服务和精准营销</w:t>
      </w:r>
      <w:r>
        <w:rPr>
          <w:rFonts w:asciiTheme="minorEastAsia" w:hAnsiTheme="minorEastAsia" w:cstheme="minorEastAsia" w:hint="eastAsia"/>
        </w:rPr>
        <w:t>。</w:t>
      </w:r>
      <w:r>
        <w:rPr>
          <w:rFonts w:asciiTheme="minorEastAsia" w:eastAsiaTheme="minorEastAsia" w:hAnsiTheme="minorEastAsia" w:cstheme="minorEastAsia" w:hint="eastAsia"/>
        </w:rPr>
        <w:t>依托客户关系管理系统（CRM），</w:t>
      </w:r>
      <w:r>
        <w:rPr>
          <w:rFonts w:asciiTheme="minorEastAsia" w:hAnsiTheme="minorEastAsia" w:cstheme="minorEastAsia" w:hint="eastAsia"/>
        </w:rPr>
        <w:t>完善财富管理和普惠信贷的过程管理场景应用，贯穿整个</w:t>
      </w:r>
      <w:r>
        <w:rPr>
          <w:rFonts w:asciiTheme="minorEastAsia" w:eastAsiaTheme="minorEastAsia" w:hAnsiTheme="minorEastAsia" w:cstheme="minorEastAsia" w:hint="eastAsia"/>
        </w:rPr>
        <w:t>客户关系管理活动</w:t>
      </w:r>
      <w:r>
        <w:rPr>
          <w:rFonts w:asciiTheme="minorEastAsia" w:hAnsiTheme="minorEastAsia" w:cstheme="minorEastAsia" w:hint="eastAsia"/>
        </w:rPr>
        <w:t>，迭代客户认领、</w:t>
      </w:r>
      <w:r>
        <w:rPr>
          <w:rFonts w:asciiTheme="minorEastAsia" w:eastAsiaTheme="minorEastAsia" w:hAnsiTheme="minorEastAsia" w:cstheme="minorEastAsia" w:hint="eastAsia"/>
        </w:rPr>
        <w:t>商机</w:t>
      </w:r>
      <w:r>
        <w:rPr>
          <w:rFonts w:asciiTheme="minorEastAsia" w:hAnsiTheme="minorEastAsia" w:cstheme="minorEastAsia" w:hint="eastAsia"/>
        </w:rPr>
        <w:t>管理</w:t>
      </w:r>
      <w:r>
        <w:rPr>
          <w:rFonts w:asciiTheme="minorEastAsia" w:eastAsiaTheme="minorEastAsia" w:hAnsiTheme="minorEastAsia" w:cstheme="minorEastAsia" w:hint="eastAsia"/>
        </w:rPr>
        <w:t>等功能，为</w:t>
      </w:r>
      <w:r>
        <w:rPr>
          <w:rFonts w:asciiTheme="minorEastAsia" w:hAnsiTheme="minorEastAsia" w:cstheme="minorEastAsia" w:hint="eastAsia"/>
        </w:rPr>
        <w:t>营销人员</w:t>
      </w:r>
      <w:r>
        <w:rPr>
          <w:rFonts w:asciiTheme="minorEastAsia" w:eastAsiaTheme="minorEastAsia" w:hAnsiTheme="minorEastAsia" w:cstheme="minorEastAsia" w:hint="eastAsia"/>
        </w:rPr>
        <w:t>提供有效助力</w:t>
      </w:r>
      <w:r>
        <w:rPr>
          <w:rFonts w:asciiTheme="minorEastAsia" w:hAnsiTheme="minorEastAsia" w:cstheme="minorEastAsia" w:hint="eastAsia"/>
        </w:rPr>
        <w:t>；推进指标管理功能建设，快速实现数据加工配置，可高效完成客户营销和分析，大幅减少开发成本和时间；延续数据模型开发建设，改进</w:t>
      </w:r>
      <w:proofErr w:type="gramStart"/>
      <w:r>
        <w:rPr>
          <w:rFonts w:asciiTheme="minorEastAsia" w:eastAsiaTheme="minorEastAsia" w:hAnsiTheme="minorEastAsia" w:cstheme="minorEastAsia" w:hint="eastAsia"/>
        </w:rPr>
        <w:t>进</w:t>
      </w:r>
      <w:proofErr w:type="gramEnd"/>
      <w:r>
        <w:rPr>
          <w:rFonts w:asciiTheme="minorEastAsia" w:eastAsiaTheme="minorEastAsia" w:hAnsiTheme="minorEastAsia" w:cstheme="minorEastAsia" w:hint="eastAsia"/>
        </w:rPr>
        <w:t>件、合同、借据基础数据模型，夯实贷款金融服务能力</w:t>
      </w:r>
      <w:r>
        <w:rPr>
          <w:rFonts w:asciiTheme="minorEastAsia" w:hAnsiTheme="minorEastAsia" w:cstheme="minorEastAsia" w:hint="eastAsia"/>
        </w:rPr>
        <w:t>和</w:t>
      </w:r>
      <w:proofErr w:type="gramStart"/>
      <w:r>
        <w:rPr>
          <w:rFonts w:asciiTheme="minorEastAsia" w:eastAsiaTheme="minorEastAsia" w:hAnsiTheme="minorEastAsia" w:cstheme="minorEastAsia" w:hint="eastAsia"/>
        </w:rPr>
        <w:t>自主风控能力</w:t>
      </w:r>
      <w:proofErr w:type="gramEnd"/>
      <w:r>
        <w:rPr>
          <w:rFonts w:asciiTheme="minorEastAsia" w:eastAsiaTheme="minorEastAsia" w:hAnsiTheme="minorEastAsia" w:cstheme="minorEastAsia" w:hint="eastAsia"/>
        </w:rPr>
        <w:t>。</w:t>
      </w:r>
    </w:p>
    <w:p w:rsidR="00AD5BB5" w:rsidRDefault="00F87FF6">
      <w:pPr>
        <w:spacing w:line="360" w:lineRule="auto"/>
        <w:ind w:firstLineChars="200" w:firstLine="420"/>
        <w:rPr>
          <w:rFonts w:asciiTheme="minorEastAsia" w:hAnsiTheme="minorEastAsia" w:cstheme="minorEastAsia"/>
        </w:rPr>
      </w:pPr>
      <w:r>
        <w:rPr>
          <w:rFonts w:asciiTheme="minorEastAsia" w:hAnsiTheme="minorEastAsia" w:cstheme="minorEastAsia" w:hint="eastAsia"/>
        </w:rPr>
        <w:t>本公司借助科技赋能，扩大智能外呼机器人使用范围，</w:t>
      </w:r>
      <w:r>
        <w:t>上半年智能外呼</w:t>
      </w:r>
      <w:r>
        <w:t>174.2</w:t>
      </w:r>
      <w:r>
        <w:t>万次，每月节约人力投入约</w:t>
      </w:r>
      <w:r>
        <w:t>60</w:t>
      </w:r>
      <w:r>
        <w:t>人，实现降本增效</w:t>
      </w:r>
      <w:r>
        <w:rPr>
          <w:rFonts w:asciiTheme="minorEastAsia" w:hAnsiTheme="minorEastAsia" w:cstheme="minorEastAsia" w:hint="eastAsia"/>
        </w:rPr>
        <w:t>。此外，本公司依托电话银行的通路优势，赋能全行建立各分行的外呼渠道，各项业务发展</w:t>
      </w:r>
      <w:proofErr w:type="gramStart"/>
      <w:r>
        <w:rPr>
          <w:rFonts w:asciiTheme="minorEastAsia" w:hAnsiTheme="minorEastAsia" w:cstheme="minorEastAsia" w:hint="eastAsia"/>
        </w:rPr>
        <w:t>提供触客平台</w:t>
      </w:r>
      <w:proofErr w:type="gramEnd"/>
      <w:r>
        <w:rPr>
          <w:rFonts w:asciiTheme="minorEastAsia" w:hAnsiTheme="minorEastAsia" w:cstheme="minorEastAsia" w:hint="eastAsia"/>
        </w:rPr>
        <w:t>，并配备去电名片提示，</w:t>
      </w:r>
      <w:proofErr w:type="gramStart"/>
      <w:r>
        <w:rPr>
          <w:rFonts w:asciiTheme="minorEastAsia" w:hAnsiTheme="minorEastAsia" w:cstheme="minorEastAsia" w:hint="eastAsia"/>
        </w:rPr>
        <w:t>提高触客成功率</w:t>
      </w:r>
      <w:proofErr w:type="gramEnd"/>
      <w:r>
        <w:rPr>
          <w:rFonts w:asciiTheme="minorEastAsia" w:hAnsiTheme="minorEastAsia" w:cstheme="minorEastAsia" w:hint="eastAsia"/>
        </w:rPr>
        <w:t>。</w:t>
      </w:r>
    </w:p>
    <w:p w:rsidR="00AD5BB5" w:rsidRDefault="00F87FF6" w:rsidP="00F22BE0">
      <w:pPr>
        <w:spacing w:line="360" w:lineRule="auto"/>
        <w:outlineLvl w:val="2"/>
        <w:rPr>
          <w:rFonts w:asciiTheme="minorEastAsia" w:hAnsiTheme="minorEastAsia" w:cstheme="minorEastAsia"/>
          <w:b/>
        </w:rPr>
      </w:pPr>
      <w:r>
        <w:rPr>
          <w:rFonts w:asciiTheme="minorEastAsia" w:hAnsiTheme="minorEastAsia" w:cstheme="minorEastAsia"/>
          <w:b/>
        </w:rPr>
        <w:t>（</w:t>
      </w:r>
      <w:r>
        <w:rPr>
          <w:rFonts w:asciiTheme="minorEastAsia" w:hAnsiTheme="minorEastAsia" w:cstheme="minorEastAsia" w:hint="eastAsia"/>
          <w:b/>
        </w:rPr>
        <w:t>5</w:t>
      </w:r>
      <w:r>
        <w:rPr>
          <w:rFonts w:asciiTheme="minorEastAsia" w:hAnsiTheme="minorEastAsia" w:cstheme="minorEastAsia"/>
          <w:b/>
        </w:rPr>
        <w:t>）</w:t>
      </w:r>
      <w:r>
        <w:rPr>
          <w:rFonts w:asciiTheme="minorEastAsia" w:hAnsiTheme="minorEastAsia" w:cstheme="minorEastAsia" w:hint="eastAsia"/>
          <w:b/>
        </w:rPr>
        <w:t>保持资产质量稳定，筑牢业务合</w:t>
      </w:r>
      <w:proofErr w:type="gramStart"/>
      <w:r>
        <w:rPr>
          <w:rFonts w:asciiTheme="minorEastAsia" w:hAnsiTheme="minorEastAsia" w:cstheme="minorEastAsia" w:hint="eastAsia"/>
          <w:b/>
        </w:rPr>
        <w:t>规</w:t>
      </w:r>
      <w:proofErr w:type="gramEnd"/>
      <w:r>
        <w:rPr>
          <w:rFonts w:asciiTheme="minorEastAsia" w:hAnsiTheme="minorEastAsia" w:cstheme="minorEastAsia" w:hint="eastAsia"/>
          <w:b/>
        </w:rPr>
        <w:t>防线</w:t>
      </w:r>
    </w:p>
    <w:p w:rsidR="00AD5BB5" w:rsidRDefault="00F87FF6">
      <w:pPr>
        <w:spacing w:line="360" w:lineRule="auto"/>
        <w:ind w:firstLineChars="200" w:firstLine="420"/>
        <w:rPr>
          <w:rFonts w:asciiTheme="minorEastAsia" w:hAnsiTheme="minorEastAsia" w:cstheme="minorEastAsia"/>
        </w:rPr>
      </w:pPr>
      <w:r>
        <w:rPr>
          <w:rFonts w:asciiTheme="minorEastAsia" w:hAnsiTheme="minorEastAsia" w:cstheme="minorEastAsia" w:hint="eastAsia"/>
        </w:rPr>
        <w:t>本公司聚焦“控不良”及“优体验”两大核心职能，以精细化、数字化、智能化为工作目标，持续做好零售信贷资产信用风险管理。“控不良”就是持续做好风险策略</w:t>
      </w:r>
      <w:proofErr w:type="gramStart"/>
      <w:r>
        <w:rPr>
          <w:rFonts w:asciiTheme="minorEastAsia" w:hAnsiTheme="minorEastAsia" w:cstheme="minorEastAsia" w:hint="eastAsia"/>
        </w:rPr>
        <w:t>迭代及催清收</w:t>
      </w:r>
      <w:proofErr w:type="gramEnd"/>
      <w:r>
        <w:rPr>
          <w:rFonts w:asciiTheme="minorEastAsia" w:hAnsiTheme="minorEastAsia" w:cstheme="minorEastAsia" w:hint="eastAsia"/>
        </w:rPr>
        <w:t>管理，确保资产质量稳定；“优体验”就是加强量化分析在风险管理中的运用，提升风险</w:t>
      </w:r>
      <w:r>
        <w:rPr>
          <w:rFonts w:asciiTheme="minorEastAsia" w:hAnsiTheme="minorEastAsia" w:cstheme="minorEastAsia" w:hint="eastAsia"/>
        </w:rPr>
        <w:lastRenderedPageBreak/>
        <w:t>管理的一致性，有效加强作业标准化及规范化。报告期内，零售整体资产质量保持平稳，个人贷款不良率为0.50%，在市场上处于较低水平。</w:t>
      </w:r>
    </w:p>
    <w:p w:rsidR="00AD5BB5" w:rsidRDefault="00F87FF6">
      <w:pPr>
        <w:spacing w:line="360" w:lineRule="auto"/>
        <w:ind w:firstLineChars="200" w:firstLine="420"/>
        <w:rPr>
          <w:rFonts w:asciiTheme="minorEastAsia" w:hAnsiTheme="minorEastAsia" w:cstheme="minorEastAsia"/>
        </w:rPr>
      </w:pPr>
      <w:r>
        <w:rPr>
          <w:rFonts w:asciiTheme="minorEastAsia" w:hAnsiTheme="minorEastAsia" w:cstheme="minorEastAsia" w:hint="eastAsia"/>
        </w:rPr>
        <w:t>本公司全面整合业务管理及合</w:t>
      </w:r>
      <w:proofErr w:type="gramStart"/>
      <w:r>
        <w:rPr>
          <w:rFonts w:asciiTheme="minorEastAsia" w:hAnsiTheme="minorEastAsia" w:cstheme="minorEastAsia" w:hint="eastAsia"/>
        </w:rPr>
        <w:t>规</w:t>
      </w:r>
      <w:proofErr w:type="gramEnd"/>
      <w:r>
        <w:rPr>
          <w:rFonts w:asciiTheme="minorEastAsia" w:hAnsiTheme="minorEastAsia" w:cstheme="minorEastAsia" w:hint="eastAsia"/>
        </w:rPr>
        <w:t>管控，一是着眼数据安全规范，坚决保护个人信息，从机制上落实分级分层管理，按照最小、必要原则，从系统上控制不同类型用户的数据处理权限，规范个人信息的处理使用，保证安全责任有责可依，有迹可循。二是狠抓消费者权益保护工作，明确各层级机构在投诉处理时的职责分工和边界，形成总分支协同的常态化处理机制，持续提升</w:t>
      </w:r>
      <w:proofErr w:type="gramStart"/>
      <w:r>
        <w:rPr>
          <w:rFonts w:asciiTheme="minorEastAsia" w:hAnsiTheme="minorEastAsia" w:cstheme="minorEastAsia" w:hint="eastAsia"/>
        </w:rPr>
        <w:t>事前消保</w:t>
      </w:r>
      <w:proofErr w:type="gramEnd"/>
      <w:r>
        <w:rPr>
          <w:rFonts w:asciiTheme="minorEastAsia" w:hAnsiTheme="minorEastAsia" w:cstheme="minorEastAsia" w:hint="eastAsia"/>
        </w:rPr>
        <w:t>审核及</w:t>
      </w:r>
      <w:proofErr w:type="gramStart"/>
      <w:r>
        <w:rPr>
          <w:rFonts w:asciiTheme="minorEastAsia" w:hAnsiTheme="minorEastAsia" w:cstheme="minorEastAsia" w:hint="eastAsia"/>
        </w:rPr>
        <w:t>事后客诉处理</w:t>
      </w:r>
      <w:proofErr w:type="gramEnd"/>
      <w:r>
        <w:rPr>
          <w:rFonts w:asciiTheme="minorEastAsia" w:hAnsiTheme="minorEastAsia" w:cstheme="minorEastAsia" w:hint="eastAsia"/>
        </w:rPr>
        <w:t>的质效，层层发力维护消费者权益。</w:t>
      </w:r>
    </w:p>
    <w:p w:rsidR="00AD5BB5" w:rsidRDefault="00F87FF6">
      <w:pPr>
        <w:spacing w:line="360" w:lineRule="auto"/>
        <w:outlineLvl w:val="2"/>
        <w:rPr>
          <w:b/>
        </w:rPr>
      </w:pPr>
      <w:r>
        <w:rPr>
          <w:rFonts w:ascii="Times New Roman" w:hAnsi="Times New Roman" w:cs="Times New Roman"/>
          <w:b/>
        </w:rPr>
        <w:t>3.</w:t>
      </w:r>
      <w:r>
        <w:rPr>
          <w:rFonts w:hint="eastAsia"/>
          <w:b/>
        </w:rPr>
        <w:t>金融市场业务</w:t>
      </w:r>
    </w:p>
    <w:p w:rsidR="00AD5BB5" w:rsidRDefault="00F87FF6">
      <w:pPr>
        <w:spacing w:line="360" w:lineRule="auto"/>
        <w:ind w:firstLineChars="200" w:firstLine="420"/>
        <w:rPr>
          <w:rFonts w:ascii="Times New Roman" w:hAnsi="Times New Roman"/>
        </w:rPr>
      </w:pPr>
      <w:r>
        <w:rPr>
          <w:rFonts w:ascii="Times New Roman" w:hAnsi="Times New Roman" w:hint="eastAsia"/>
        </w:rPr>
        <w:t>报告期内，本公司金融市场业务秉承稳健经营、综合发展、服务实体的宗旨，深入服务金融市场、同业客户与实体客户。报告期内，本公司持续加强宏观研究及行情</w:t>
      </w:r>
      <w:proofErr w:type="gramStart"/>
      <w:r>
        <w:rPr>
          <w:rFonts w:ascii="Times New Roman" w:hAnsi="Times New Roman" w:hint="eastAsia"/>
        </w:rPr>
        <w:t>研</w:t>
      </w:r>
      <w:proofErr w:type="gramEnd"/>
      <w:r>
        <w:rPr>
          <w:rFonts w:ascii="Times New Roman" w:hAnsi="Times New Roman" w:hint="eastAsia"/>
        </w:rPr>
        <w:t>判，合理摆布资产组合，套</w:t>
      </w:r>
      <w:proofErr w:type="gramStart"/>
      <w:r>
        <w:rPr>
          <w:rFonts w:ascii="Times New Roman" w:hAnsi="Times New Roman" w:hint="eastAsia"/>
        </w:rPr>
        <w:t>息收入</w:t>
      </w:r>
      <w:proofErr w:type="gramEnd"/>
      <w:r>
        <w:rPr>
          <w:rFonts w:ascii="Times New Roman" w:hAnsi="Times New Roman" w:hint="eastAsia"/>
        </w:rPr>
        <w:t>稳定增长；推进交易策略组合管理，构建多元化交易体系，着力发展量化交易，交易策略持续丰富；提升代客服务品质，加大对</w:t>
      </w:r>
      <w:proofErr w:type="gramStart"/>
      <w:r>
        <w:rPr>
          <w:rFonts w:ascii="Times New Roman" w:hAnsi="Times New Roman" w:hint="eastAsia"/>
        </w:rPr>
        <w:t>企业汇率</w:t>
      </w:r>
      <w:proofErr w:type="gramEnd"/>
      <w:r>
        <w:rPr>
          <w:rFonts w:ascii="Times New Roman" w:hAnsi="Times New Roman" w:hint="eastAsia"/>
        </w:rPr>
        <w:t>避险的支持力度，履行服务实体责任。报告期内，本公司金融市场业务交易能力持续加强，利润贡献稳步提升，金融同业合作朋友圈不断扩大，综合效益持续提升。</w:t>
      </w:r>
    </w:p>
    <w:p w:rsidR="00AD5BB5" w:rsidRDefault="00F87FF6">
      <w:pPr>
        <w:spacing w:line="360" w:lineRule="auto"/>
        <w:outlineLvl w:val="2"/>
        <w:rPr>
          <w:rFonts w:ascii="Times New Roman" w:hAnsi="Times New Roman"/>
          <w:b/>
        </w:rPr>
      </w:pPr>
      <w:r>
        <w:rPr>
          <w:rFonts w:ascii="Times New Roman" w:hAnsi="Times New Roman"/>
          <w:b/>
        </w:rPr>
        <w:t>（</w:t>
      </w:r>
      <w:r>
        <w:rPr>
          <w:rFonts w:ascii="Times New Roman" w:hAnsi="Times New Roman" w:hint="eastAsia"/>
          <w:b/>
        </w:rPr>
        <w:t>1</w:t>
      </w:r>
      <w:r>
        <w:rPr>
          <w:rFonts w:ascii="Times New Roman" w:hAnsi="Times New Roman"/>
          <w:b/>
        </w:rPr>
        <w:t>）</w:t>
      </w:r>
      <w:r>
        <w:rPr>
          <w:rFonts w:ascii="Times New Roman" w:hAnsi="Times New Roman" w:hint="eastAsia"/>
          <w:b/>
        </w:rPr>
        <w:t>自营业务强化战略执行，全面发展</w:t>
      </w:r>
    </w:p>
    <w:p w:rsidR="00AD5BB5" w:rsidRDefault="00F87FF6">
      <w:pPr>
        <w:spacing w:line="360" w:lineRule="auto"/>
        <w:ind w:firstLineChars="200" w:firstLine="422"/>
        <w:rPr>
          <w:rFonts w:ascii="Times New Roman" w:hAnsi="Times New Roman"/>
        </w:rPr>
      </w:pPr>
      <w:r>
        <w:rPr>
          <w:rFonts w:hint="eastAsia"/>
          <w:b/>
          <w:color w:val="000000" w:themeColor="text1"/>
          <w:szCs w:val="21"/>
        </w:rPr>
        <w:t>①</w:t>
      </w:r>
      <w:r>
        <w:rPr>
          <w:rFonts w:ascii="Times New Roman" w:hAnsi="Times New Roman" w:hint="eastAsia"/>
        </w:rPr>
        <w:t>优化资产负债结构布局，</w:t>
      </w:r>
      <w:r>
        <w:rPr>
          <w:rFonts w:ascii="Times New Roman" w:hAnsi="Times New Roman"/>
        </w:rPr>
        <w:t>稳定息差表现</w:t>
      </w:r>
    </w:p>
    <w:p w:rsidR="00AD5BB5" w:rsidRDefault="00F87FF6">
      <w:pPr>
        <w:spacing w:line="360" w:lineRule="auto"/>
        <w:ind w:firstLineChars="200" w:firstLine="420"/>
        <w:rPr>
          <w:rFonts w:ascii="Times New Roman" w:hAnsi="Times New Roman"/>
        </w:rPr>
      </w:pPr>
      <w:r>
        <w:rPr>
          <w:rFonts w:ascii="Times New Roman" w:hAnsi="Times New Roman" w:hint="eastAsia"/>
        </w:rPr>
        <w:t>报告期内，国内外宏观经济形势波动，本公司金融市场板块发挥专业优势，准确</w:t>
      </w:r>
      <w:proofErr w:type="gramStart"/>
      <w:r>
        <w:rPr>
          <w:rFonts w:ascii="Times New Roman" w:hAnsi="Times New Roman" w:hint="eastAsia"/>
        </w:rPr>
        <w:t>研</w:t>
      </w:r>
      <w:proofErr w:type="gramEnd"/>
      <w:r>
        <w:rPr>
          <w:rFonts w:ascii="Times New Roman" w:hAnsi="Times New Roman" w:hint="eastAsia"/>
        </w:rPr>
        <w:t>判宏观形势，强化策略决策执行，</w:t>
      </w:r>
      <w:proofErr w:type="gramStart"/>
      <w:r>
        <w:rPr>
          <w:rFonts w:ascii="Times New Roman" w:hAnsi="Times New Roman" w:hint="eastAsia"/>
        </w:rPr>
        <w:t>做优资产</w:t>
      </w:r>
      <w:proofErr w:type="gramEnd"/>
      <w:r>
        <w:rPr>
          <w:rFonts w:ascii="Times New Roman" w:hAnsi="Times New Roman" w:hint="eastAsia"/>
        </w:rPr>
        <w:t>负债结构，稳定营收表现。</w:t>
      </w:r>
    </w:p>
    <w:p w:rsidR="00AD5BB5" w:rsidRDefault="00F87FF6">
      <w:pPr>
        <w:spacing w:line="360" w:lineRule="auto"/>
        <w:ind w:firstLineChars="200" w:firstLine="420"/>
        <w:rPr>
          <w:rFonts w:ascii="Times New Roman" w:hAnsi="Times New Roman"/>
        </w:rPr>
      </w:pPr>
      <w:r>
        <w:rPr>
          <w:rFonts w:ascii="Times New Roman" w:hAnsi="Times New Roman" w:hint="eastAsia"/>
        </w:rPr>
        <w:t>报告期内，本公司着力加强资产配置、优化负债成本和结构。资产方面，上半年采取“靠前配置、重视收益”的配置策略，加快资产配置，重点提升地方债、信用债等债券配置量，有效稳定利差，提升套息收入。负债方面，把握货币市场利率下行趋势，降低负债成本，择机拉长负债久期，优化负债结构。</w:t>
      </w:r>
    </w:p>
    <w:p w:rsidR="00AD5BB5" w:rsidRDefault="00F87FF6">
      <w:pPr>
        <w:spacing w:line="360" w:lineRule="auto"/>
        <w:ind w:firstLineChars="200" w:firstLine="422"/>
        <w:rPr>
          <w:rFonts w:ascii="Times New Roman" w:hAnsi="Times New Roman"/>
        </w:rPr>
      </w:pPr>
      <w:r>
        <w:rPr>
          <w:rFonts w:hint="eastAsia"/>
          <w:b/>
          <w:bCs/>
          <w:color w:val="000000" w:themeColor="text1"/>
          <w:szCs w:val="21"/>
        </w:rPr>
        <w:t>②</w:t>
      </w:r>
      <w:r>
        <w:rPr>
          <w:rFonts w:ascii="Times New Roman" w:hAnsi="Times New Roman" w:hint="eastAsia"/>
        </w:rPr>
        <w:t>深化交易能力建设，完善交易策略体系</w:t>
      </w:r>
    </w:p>
    <w:p w:rsidR="00AD5BB5" w:rsidRDefault="00F87FF6">
      <w:pPr>
        <w:spacing w:line="360" w:lineRule="auto"/>
        <w:ind w:firstLineChars="200" w:firstLine="420"/>
        <w:rPr>
          <w:rFonts w:ascii="Times New Roman" w:hAnsi="Times New Roman"/>
        </w:rPr>
      </w:pPr>
      <w:r>
        <w:rPr>
          <w:rFonts w:ascii="Times New Roman" w:hAnsi="Times New Roman" w:hint="eastAsia"/>
        </w:rPr>
        <w:t>本公司持续深化金融市场交易能力建设。报告期内，本公司结合宏观趋势与交易特征，构建以日内高频交易、</w:t>
      </w:r>
      <w:proofErr w:type="gramStart"/>
      <w:r>
        <w:rPr>
          <w:rFonts w:ascii="Times New Roman" w:hAnsi="Times New Roman" w:hint="eastAsia"/>
        </w:rPr>
        <w:t>跨日短</w:t>
      </w:r>
      <w:proofErr w:type="gramEnd"/>
      <w:r>
        <w:rPr>
          <w:rFonts w:ascii="Times New Roman" w:hAnsi="Times New Roman" w:hint="eastAsia"/>
        </w:rPr>
        <w:t>周期策略、中长期趋势策略为框架的策略体系，同时丰富对冲交易、</w:t>
      </w:r>
      <w:proofErr w:type="gramStart"/>
      <w:r>
        <w:rPr>
          <w:rFonts w:ascii="Times New Roman" w:hAnsi="Times New Roman" w:hint="eastAsia"/>
        </w:rPr>
        <w:t>基差套利</w:t>
      </w:r>
      <w:proofErr w:type="gramEnd"/>
      <w:r>
        <w:rPr>
          <w:rFonts w:ascii="Times New Roman" w:hAnsi="Times New Roman" w:hint="eastAsia"/>
        </w:rPr>
        <w:t>等交易策略，交易产品涵盖债券业务、外汇业务、衍生品业务、贵金属业务、基金投资业务等，交易策略体系进一步完善。</w:t>
      </w:r>
    </w:p>
    <w:p w:rsidR="00AD5BB5" w:rsidRDefault="00F87FF6">
      <w:pPr>
        <w:spacing w:line="360" w:lineRule="auto"/>
        <w:ind w:firstLineChars="200" w:firstLine="420"/>
        <w:rPr>
          <w:rFonts w:ascii="Times New Roman" w:hAnsi="Times New Roman"/>
        </w:rPr>
      </w:pPr>
      <w:r>
        <w:rPr>
          <w:rFonts w:ascii="Times New Roman" w:hAnsi="Times New Roman" w:hint="eastAsia"/>
        </w:rPr>
        <w:t>报告期内，本公司推动量化交易发展，实现自动做市、量化盈利的目标。债券做市方面，本公司已实现程序自动化做市，上半年</w:t>
      </w:r>
      <w:proofErr w:type="gramStart"/>
      <w:r>
        <w:rPr>
          <w:rFonts w:ascii="Times New Roman" w:hAnsi="Times New Roman" w:hint="eastAsia"/>
        </w:rPr>
        <w:t>经调优做</w:t>
      </w:r>
      <w:proofErr w:type="gramEnd"/>
      <w:r>
        <w:rPr>
          <w:rFonts w:ascii="Times New Roman" w:hAnsi="Times New Roman" w:hint="eastAsia"/>
        </w:rPr>
        <w:t>市策略程序参数，做市成交量显著提升；量化盈利方面，优化完善了量化交易策略四象限分类管理框架，制定了短、中、长期量化策略研发路线，并上线了首个量化利差套利策略。</w:t>
      </w:r>
    </w:p>
    <w:p w:rsidR="00AD5BB5" w:rsidRDefault="00F87FF6">
      <w:pPr>
        <w:spacing w:line="360" w:lineRule="auto"/>
        <w:ind w:firstLineChars="200" w:firstLine="422"/>
        <w:rPr>
          <w:rFonts w:ascii="Times New Roman" w:hAnsi="Times New Roman"/>
        </w:rPr>
      </w:pPr>
      <w:r>
        <w:rPr>
          <w:rFonts w:hint="eastAsia"/>
          <w:b/>
          <w:bCs/>
          <w:color w:val="000000" w:themeColor="text1"/>
          <w:szCs w:val="21"/>
        </w:rPr>
        <w:t>③</w:t>
      </w:r>
      <w:r>
        <w:rPr>
          <w:rFonts w:ascii="Times New Roman" w:hAnsi="Times New Roman" w:hint="eastAsia"/>
        </w:rPr>
        <w:t>深入服务金融市场，保持市场领先地位</w:t>
      </w:r>
    </w:p>
    <w:p w:rsidR="00AD5BB5" w:rsidRDefault="00F87FF6">
      <w:pPr>
        <w:spacing w:line="360" w:lineRule="auto"/>
        <w:ind w:firstLineChars="200" w:firstLine="420"/>
        <w:rPr>
          <w:rFonts w:ascii="Times New Roman" w:hAnsi="Times New Roman"/>
        </w:rPr>
      </w:pPr>
      <w:r>
        <w:rPr>
          <w:rFonts w:ascii="Times New Roman" w:hAnsi="Times New Roman" w:hint="eastAsia"/>
        </w:rPr>
        <w:t>报告期内，本公司作为“银行间债券市场现券做市商”、“银行间人民币外汇市场即期尝试做市机构”、“银行间人民币外汇市场远掉尝试做市机构”、债券通“北向通”报价机</w:t>
      </w:r>
      <w:r>
        <w:rPr>
          <w:rFonts w:ascii="Times New Roman" w:hAnsi="Times New Roman" w:hint="eastAsia"/>
        </w:rPr>
        <w:lastRenderedPageBreak/>
        <w:t>构，积极履行做市商义务，助力金融市场发展。</w:t>
      </w:r>
    </w:p>
    <w:p w:rsidR="00AD5BB5" w:rsidRDefault="00F87FF6">
      <w:pPr>
        <w:spacing w:line="360" w:lineRule="auto"/>
        <w:ind w:firstLineChars="200" w:firstLine="420"/>
        <w:rPr>
          <w:rFonts w:ascii="Times New Roman" w:hAnsi="Times New Roman"/>
        </w:rPr>
      </w:pPr>
      <w:r>
        <w:rPr>
          <w:rFonts w:ascii="Times New Roman" w:hAnsi="Times New Roman" w:hint="eastAsia"/>
        </w:rPr>
        <w:t>本公司进一步丰富金融市场中间业务收入来源，发展债券借贷业务。截</w:t>
      </w:r>
      <w:r>
        <w:rPr>
          <w:rFonts w:ascii="Times New Roman" w:hAnsi="Times New Roman"/>
        </w:rPr>
        <w:t>至</w:t>
      </w:r>
      <w:r>
        <w:rPr>
          <w:rFonts w:ascii="Times New Roman" w:hAnsi="Times New Roman" w:hint="eastAsia"/>
        </w:rPr>
        <w:t>报告期末，债券借贷业务交易量</w:t>
      </w:r>
      <w:r>
        <w:rPr>
          <w:rFonts w:ascii="Times New Roman" w:hAnsi="Times New Roman"/>
        </w:rPr>
        <w:t>2</w:t>
      </w:r>
      <w:r>
        <w:rPr>
          <w:rFonts w:ascii="Times New Roman" w:hAnsi="Times New Roman" w:hint="eastAsia"/>
        </w:rPr>
        <w:t>,</w:t>
      </w:r>
      <w:r>
        <w:rPr>
          <w:rFonts w:ascii="Times New Roman" w:hAnsi="Times New Roman"/>
        </w:rPr>
        <w:t>546</w:t>
      </w:r>
      <w:r>
        <w:rPr>
          <w:rFonts w:ascii="Times New Roman" w:hAnsi="Times New Roman" w:hint="eastAsia"/>
        </w:rPr>
        <w:t>亿元，荣获中国外汇交易中心评选的“交易活跃机构”、“</w:t>
      </w:r>
      <w:r>
        <w:rPr>
          <w:rFonts w:ascii="Times New Roman" w:hAnsi="Times New Roman"/>
        </w:rPr>
        <w:t>X-Lending</w:t>
      </w:r>
      <w:r>
        <w:rPr>
          <w:rFonts w:ascii="Times New Roman" w:hAnsi="Times New Roman" w:hint="eastAsia"/>
        </w:rPr>
        <w:t>之星”等奖项。</w:t>
      </w:r>
    </w:p>
    <w:p w:rsidR="00AD5BB5" w:rsidRDefault="00F87FF6">
      <w:pPr>
        <w:spacing w:line="360" w:lineRule="auto"/>
        <w:ind w:firstLineChars="200" w:firstLine="420"/>
        <w:rPr>
          <w:rFonts w:ascii="Times New Roman" w:hAnsi="Times New Roman"/>
        </w:rPr>
      </w:pPr>
      <w:r>
        <w:rPr>
          <w:rFonts w:ascii="Times New Roman" w:hAnsi="Times New Roman"/>
        </w:rPr>
        <w:sym w:font="Wingdings 2" w:char="F06D"/>
      </w:r>
      <w:r>
        <w:rPr>
          <w:rFonts w:ascii="Times New Roman" w:hAnsi="Times New Roman" w:hint="eastAsia"/>
        </w:rPr>
        <w:t>深化客户管理机制，</w:t>
      </w:r>
      <w:proofErr w:type="gramStart"/>
      <w:r>
        <w:rPr>
          <w:rFonts w:ascii="Times New Roman" w:hAnsi="Times New Roman" w:hint="eastAsia"/>
        </w:rPr>
        <w:t>践行</w:t>
      </w:r>
      <w:proofErr w:type="gramEnd"/>
      <w:r>
        <w:rPr>
          <w:rFonts w:ascii="Times New Roman" w:hAnsi="Times New Roman" w:hint="eastAsia"/>
        </w:rPr>
        <w:t>服务实体责任</w:t>
      </w:r>
    </w:p>
    <w:p w:rsidR="00AD5BB5" w:rsidRDefault="00F87FF6">
      <w:pPr>
        <w:spacing w:line="360" w:lineRule="auto"/>
        <w:ind w:firstLineChars="200" w:firstLine="420"/>
        <w:rPr>
          <w:rFonts w:ascii="Times New Roman" w:hAnsi="Times New Roman"/>
        </w:rPr>
      </w:pPr>
      <w:r>
        <w:rPr>
          <w:rFonts w:ascii="Times New Roman" w:hAnsi="Times New Roman" w:hint="eastAsia"/>
        </w:rPr>
        <w:t>报告期内，本公司作为三大政策性银行金融债承销团成员，厦门市地方债主承销商、福建省及重庆市地方债承销团成员，深入参与债券承销业务，履行扶助实体经济发展责任。同时，信用债投资重点支持辖内实体企业，投资金额逐步提升，努力</w:t>
      </w:r>
      <w:proofErr w:type="gramStart"/>
      <w:r>
        <w:rPr>
          <w:rFonts w:ascii="Times New Roman" w:hAnsi="Times New Roman" w:hint="eastAsia"/>
        </w:rPr>
        <w:t>践行</w:t>
      </w:r>
      <w:proofErr w:type="gramEnd"/>
      <w:r>
        <w:rPr>
          <w:rFonts w:ascii="Times New Roman" w:hAnsi="Times New Roman" w:hint="eastAsia"/>
        </w:rPr>
        <w:t>社会责任。</w:t>
      </w:r>
    </w:p>
    <w:p w:rsidR="00AD5BB5" w:rsidRDefault="00F87FF6">
      <w:pPr>
        <w:spacing w:line="360" w:lineRule="auto"/>
        <w:outlineLvl w:val="2"/>
        <w:rPr>
          <w:rFonts w:ascii="Times New Roman" w:hAnsi="Times New Roman"/>
          <w:b/>
        </w:rPr>
      </w:pPr>
      <w:r>
        <w:rPr>
          <w:rFonts w:ascii="Times New Roman" w:hAnsi="Times New Roman"/>
          <w:b/>
        </w:rPr>
        <w:t>（</w:t>
      </w:r>
      <w:r>
        <w:rPr>
          <w:rFonts w:ascii="Times New Roman" w:hAnsi="Times New Roman"/>
          <w:b/>
        </w:rPr>
        <w:t>2</w:t>
      </w:r>
      <w:r>
        <w:rPr>
          <w:rFonts w:ascii="Times New Roman" w:hAnsi="Times New Roman"/>
          <w:b/>
        </w:rPr>
        <w:t>）</w:t>
      </w:r>
      <w:r>
        <w:rPr>
          <w:rFonts w:ascii="Times New Roman" w:hAnsi="Times New Roman" w:hint="eastAsia"/>
          <w:b/>
        </w:rPr>
        <w:t>销售业务有序精进，提升综合服务能力</w:t>
      </w:r>
    </w:p>
    <w:p w:rsidR="00AD5BB5" w:rsidRDefault="00F87FF6">
      <w:pPr>
        <w:spacing w:line="360" w:lineRule="auto"/>
        <w:ind w:firstLineChars="200" w:firstLine="422"/>
        <w:rPr>
          <w:rFonts w:ascii="Times New Roman" w:hAnsi="Times New Roman"/>
        </w:rPr>
      </w:pPr>
      <w:r>
        <w:rPr>
          <w:rFonts w:hint="eastAsia"/>
          <w:b/>
          <w:color w:val="000000" w:themeColor="text1"/>
          <w:szCs w:val="21"/>
        </w:rPr>
        <w:t>①</w:t>
      </w:r>
      <w:r>
        <w:rPr>
          <w:rFonts w:ascii="Times New Roman" w:hAnsi="Times New Roman" w:hint="eastAsia"/>
        </w:rPr>
        <w:t>服务实体，协助企业完善汇率风险管理体系</w:t>
      </w:r>
    </w:p>
    <w:p w:rsidR="00AD5BB5" w:rsidRDefault="00F87FF6">
      <w:pPr>
        <w:spacing w:line="360" w:lineRule="auto"/>
        <w:ind w:firstLineChars="200" w:firstLine="420"/>
        <w:rPr>
          <w:rFonts w:ascii="Times New Roman" w:hAnsi="Times New Roman"/>
        </w:rPr>
      </w:pPr>
      <w:r>
        <w:rPr>
          <w:rFonts w:ascii="Times New Roman" w:hAnsi="Times New Roman" w:hint="eastAsia"/>
        </w:rPr>
        <w:t>本公司依托专业的金融行销团队（</w:t>
      </w:r>
      <w:r>
        <w:rPr>
          <w:rFonts w:ascii="Times New Roman" w:hAnsi="Times New Roman"/>
        </w:rPr>
        <w:t>TMU</w:t>
      </w:r>
      <w:r>
        <w:rPr>
          <w:rFonts w:ascii="Times New Roman" w:hAnsi="Times New Roman" w:hint="eastAsia"/>
        </w:rPr>
        <w:t>），深化服务外汇需求企业。团队成员由两岸三地的资深经验人员组成，通过分享全球市场行情、举办宏观沙龙及主题活动等形式，为客户提供专业市场观点，协助客户完善自身汇率风险管理体系，让客户在对的行情下使用对的避险策略，减少因汇率波动而造成的汇兑损失。报告期内累计走访客户超</w:t>
      </w:r>
      <w:r>
        <w:rPr>
          <w:rFonts w:ascii="Times New Roman" w:hAnsi="Times New Roman"/>
        </w:rPr>
        <w:t>323</w:t>
      </w:r>
      <w:r>
        <w:rPr>
          <w:rFonts w:ascii="Times New Roman" w:hAnsi="Times New Roman" w:hint="eastAsia"/>
        </w:rPr>
        <w:t>次，开展专项培训</w:t>
      </w:r>
      <w:r>
        <w:rPr>
          <w:rFonts w:ascii="Times New Roman" w:hAnsi="Times New Roman"/>
        </w:rPr>
        <w:t>21</w:t>
      </w:r>
      <w:r>
        <w:rPr>
          <w:rFonts w:ascii="Times New Roman" w:hAnsi="Times New Roman" w:hint="eastAsia"/>
        </w:rPr>
        <w:t>场。</w:t>
      </w:r>
    </w:p>
    <w:p w:rsidR="00AD5BB5" w:rsidRDefault="00F87FF6">
      <w:pPr>
        <w:spacing w:line="360" w:lineRule="auto"/>
        <w:ind w:firstLineChars="200" w:firstLine="420"/>
        <w:rPr>
          <w:rFonts w:ascii="Times New Roman" w:hAnsi="Times New Roman"/>
        </w:rPr>
      </w:pPr>
      <w:r>
        <w:rPr>
          <w:rFonts w:ascii="Times New Roman" w:hAnsi="Times New Roman" w:hint="eastAsia"/>
        </w:rPr>
        <w:t>报告期内，本公司持续提升代客服务能力，满足外贸</w:t>
      </w:r>
      <w:proofErr w:type="gramStart"/>
      <w:r>
        <w:rPr>
          <w:rFonts w:ascii="Times New Roman" w:hAnsi="Times New Roman" w:hint="eastAsia"/>
        </w:rPr>
        <w:t>客户汇率</w:t>
      </w:r>
      <w:proofErr w:type="gramEnd"/>
      <w:r>
        <w:rPr>
          <w:rFonts w:ascii="Times New Roman" w:hAnsi="Times New Roman" w:hint="eastAsia"/>
        </w:rPr>
        <w:t>中性需求，实现专业外汇销售人员对全区域分行的全面覆盖，确保服务理念高度一致。此外，本公司根据客户特征，对客户细分为四大客群，为不同客群提供差异化产品，满足不同需求。加强总行和分行的联动合作，建立完善的代客服务模式。报告</w:t>
      </w:r>
      <w:proofErr w:type="gramStart"/>
      <w:r>
        <w:rPr>
          <w:rFonts w:ascii="Times New Roman" w:hAnsi="Times New Roman" w:hint="eastAsia"/>
        </w:rPr>
        <w:t>期内代客</w:t>
      </w:r>
      <w:proofErr w:type="gramEnd"/>
      <w:r>
        <w:rPr>
          <w:rFonts w:ascii="Times New Roman" w:hAnsi="Times New Roman" w:hint="eastAsia"/>
        </w:rPr>
        <w:t>业务服务客户数同比增长</w:t>
      </w:r>
      <w:r>
        <w:rPr>
          <w:rFonts w:ascii="Times New Roman" w:hAnsi="Times New Roman"/>
        </w:rPr>
        <w:t>19%</w:t>
      </w:r>
      <w:r>
        <w:rPr>
          <w:rFonts w:ascii="Times New Roman" w:hAnsi="Times New Roman" w:hint="eastAsia"/>
        </w:rPr>
        <w:t>，台商客户在代客业务中客户数量占比提升至</w:t>
      </w:r>
      <w:r>
        <w:rPr>
          <w:rFonts w:ascii="Times New Roman" w:hAnsi="Times New Roman"/>
        </w:rPr>
        <w:t>24%</w:t>
      </w:r>
      <w:r>
        <w:rPr>
          <w:rFonts w:ascii="Times New Roman" w:hAnsi="Times New Roman" w:hint="eastAsia"/>
        </w:rPr>
        <w:t>，体量占比提升至</w:t>
      </w:r>
      <w:r>
        <w:rPr>
          <w:rFonts w:ascii="Times New Roman" w:hAnsi="Times New Roman"/>
        </w:rPr>
        <w:t>25%</w:t>
      </w:r>
      <w:r>
        <w:rPr>
          <w:rFonts w:ascii="Times New Roman" w:hAnsi="Times New Roman" w:hint="eastAsia"/>
        </w:rPr>
        <w:t>。</w:t>
      </w:r>
    </w:p>
    <w:p w:rsidR="00AD5BB5" w:rsidRDefault="00F87FF6">
      <w:pPr>
        <w:spacing w:line="360" w:lineRule="auto"/>
        <w:ind w:firstLineChars="200" w:firstLine="422"/>
        <w:rPr>
          <w:rFonts w:ascii="Times New Roman" w:hAnsi="Times New Roman"/>
        </w:rPr>
      </w:pPr>
      <w:r>
        <w:rPr>
          <w:rFonts w:hint="eastAsia"/>
          <w:b/>
          <w:bCs/>
          <w:color w:val="000000" w:themeColor="text1"/>
          <w:szCs w:val="21"/>
        </w:rPr>
        <w:t>②</w:t>
      </w:r>
      <w:r>
        <w:rPr>
          <w:rFonts w:ascii="Times New Roman" w:hAnsi="Times New Roman" w:hint="eastAsia"/>
        </w:rPr>
        <w:t>完善同业综合经营体系，提升同业客户关系管理水平，推进同业销售专业化。</w:t>
      </w:r>
    </w:p>
    <w:p w:rsidR="00AD5BB5" w:rsidRDefault="00F87FF6">
      <w:pPr>
        <w:spacing w:line="360" w:lineRule="auto"/>
        <w:ind w:firstLineChars="200" w:firstLine="420"/>
        <w:rPr>
          <w:rFonts w:ascii="Times New Roman" w:hAnsi="Times New Roman"/>
        </w:rPr>
      </w:pPr>
      <w:r>
        <w:rPr>
          <w:rFonts w:ascii="Times New Roman" w:hAnsi="Times New Roman" w:hint="eastAsia"/>
        </w:rPr>
        <w:t>报告期内，本公司贯彻落实“提升同业客户关系管理水平”的战略任务目标，通过“</w:t>
      </w:r>
      <w:r>
        <w:rPr>
          <w:rFonts w:ascii="Times New Roman" w:hAnsi="Times New Roman"/>
        </w:rPr>
        <w:t>1+N</w:t>
      </w:r>
      <w:r>
        <w:rPr>
          <w:rFonts w:ascii="Times New Roman" w:hAnsi="Times New Roman" w:hint="eastAsia"/>
        </w:rPr>
        <w:t>”同业客户管理机制，提升全行同业资源整合统筹力、同业</w:t>
      </w:r>
      <w:proofErr w:type="gramStart"/>
      <w:r>
        <w:rPr>
          <w:rFonts w:ascii="Times New Roman" w:hAnsi="Times New Roman" w:hint="eastAsia"/>
        </w:rPr>
        <w:t>客户跨条线</w:t>
      </w:r>
      <w:proofErr w:type="gramEnd"/>
      <w:r>
        <w:rPr>
          <w:rFonts w:ascii="Times New Roman" w:hAnsi="Times New Roman" w:hint="eastAsia"/>
        </w:rPr>
        <w:t>联动营销能力，同时通过推进同业数字化管理水平提升、搭建同业</w:t>
      </w:r>
      <w:r>
        <w:rPr>
          <w:rFonts w:ascii="Times New Roman" w:hAnsi="Times New Roman"/>
        </w:rPr>
        <w:t>CRM</w:t>
      </w:r>
      <w:r>
        <w:rPr>
          <w:rFonts w:ascii="Times New Roman" w:hAnsi="Times New Roman" w:hint="eastAsia"/>
        </w:rPr>
        <w:t>系统等举措，数字赋能同业客户关系管理。致力于重点提升同业销售交易专业能力，本行设置了同业销售专岗，打造专业化同业销售交易团队，银团同业借款、债券借贷等产品的交易量和交易活跃度持续提升。此外，本公司通过同业走访调研、战略合作签约等方式，积极拓展同业合作广度及深度，同业合作朋友圈进一步扩大。</w:t>
      </w:r>
    </w:p>
    <w:p w:rsidR="00AD5BB5" w:rsidRDefault="00F87FF6">
      <w:pPr>
        <w:spacing w:line="360" w:lineRule="auto"/>
        <w:outlineLvl w:val="2"/>
        <w:rPr>
          <w:b/>
          <w:color w:val="000000" w:themeColor="text1"/>
          <w:szCs w:val="21"/>
        </w:rPr>
      </w:pPr>
      <w:r>
        <w:rPr>
          <w:rFonts w:hint="eastAsia"/>
          <w:b/>
          <w:szCs w:val="21"/>
        </w:rPr>
        <w:t>（</w:t>
      </w:r>
      <w:r>
        <w:rPr>
          <w:b/>
          <w:szCs w:val="21"/>
        </w:rPr>
        <w:t>3</w:t>
      </w:r>
      <w:r>
        <w:rPr>
          <w:rFonts w:hint="eastAsia"/>
          <w:b/>
          <w:szCs w:val="21"/>
        </w:rPr>
        <w:t>）持续健全金融市场全面风险管理体系</w:t>
      </w:r>
    </w:p>
    <w:p w:rsidR="00AD5BB5" w:rsidRDefault="00F87FF6">
      <w:pPr>
        <w:spacing w:line="360" w:lineRule="auto"/>
        <w:ind w:firstLineChars="200" w:firstLine="420"/>
        <w:rPr>
          <w:color w:val="000000" w:themeColor="text1"/>
          <w:szCs w:val="21"/>
        </w:rPr>
      </w:pPr>
      <w:r>
        <w:rPr>
          <w:rFonts w:hint="eastAsia"/>
          <w:color w:val="000000" w:themeColor="text1"/>
          <w:szCs w:val="21"/>
        </w:rPr>
        <w:t>①强化合</w:t>
      </w:r>
      <w:proofErr w:type="gramStart"/>
      <w:r>
        <w:rPr>
          <w:rFonts w:hint="eastAsia"/>
          <w:color w:val="000000" w:themeColor="text1"/>
          <w:szCs w:val="21"/>
        </w:rPr>
        <w:t>规</w:t>
      </w:r>
      <w:proofErr w:type="gramEnd"/>
      <w:r>
        <w:rPr>
          <w:rFonts w:hint="eastAsia"/>
          <w:color w:val="000000" w:themeColor="text1"/>
          <w:szCs w:val="21"/>
        </w:rPr>
        <w:t>风险管理力度</w:t>
      </w:r>
    </w:p>
    <w:p w:rsidR="00AD5BB5" w:rsidRDefault="00F87FF6">
      <w:pPr>
        <w:spacing w:line="360" w:lineRule="auto"/>
        <w:ind w:firstLineChars="200" w:firstLine="420"/>
        <w:rPr>
          <w:color w:val="000000" w:themeColor="text1"/>
          <w:szCs w:val="21"/>
        </w:rPr>
      </w:pPr>
      <w:r>
        <w:rPr>
          <w:rFonts w:hint="eastAsia"/>
          <w:color w:val="000000" w:themeColor="text1"/>
          <w:szCs w:val="21"/>
        </w:rPr>
        <w:t>本行高度重视金融市场业务合</w:t>
      </w:r>
      <w:proofErr w:type="gramStart"/>
      <w:r>
        <w:rPr>
          <w:rFonts w:hint="eastAsia"/>
          <w:color w:val="000000" w:themeColor="text1"/>
          <w:szCs w:val="21"/>
        </w:rPr>
        <w:t>规</w:t>
      </w:r>
      <w:proofErr w:type="gramEnd"/>
      <w:r>
        <w:rPr>
          <w:rFonts w:hint="eastAsia"/>
          <w:color w:val="000000" w:themeColor="text1"/>
          <w:szCs w:val="21"/>
        </w:rPr>
        <w:t>管理工作，不断建立健全管理体系，结合外</w:t>
      </w:r>
      <w:proofErr w:type="gramStart"/>
      <w:r>
        <w:rPr>
          <w:rFonts w:hint="eastAsia"/>
          <w:color w:val="000000" w:themeColor="text1"/>
          <w:szCs w:val="21"/>
        </w:rPr>
        <w:t>规</w:t>
      </w:r>
      <w:proofErr w:type="gramEnd"/>
      <w:r>
        <w:rPr>
          <w:rFonts w:hint="eastAsia"/>
          <w:color w:val="000000" w:themeColor="text1"/>
          <w:szCs w:val="21"/>
        </w:rPr>
        <w:t>要求完善内部管理机制，持续完善系统，强化合</w:t>
      </w:r>
      <w:proofErr w:type="gramStart"/>
      <w:r>
        <w:rPr>
          <w:rFonts w:hint="eastAsia"/>
          <w:color w:val="000000" w:themeColor="text1"/>
          <w:szCs w:val="21"/>
        </w:rPr>
        <w:t>规</w:t>
      </w:r>
      <w:proofErr w:type="gramEnd"/>
      <w:r>
        <w:rPr>
          <w:rFonts w:hint="eastAsia"/>
          <w:color w:val="000000" w:themeColor="text1"/>
          <w:szCs w:val="21"/>
        </w:rPr>
        <w:t>经营意识。</w:t>
      </w:r>
      <w:r>
        <w:rPr>
          <w:rFonts w:hint="eastAsia"/>
          <w:color w:val="000000" w:themeColor="text1"/>
          <w:szCs w:val="21"/>
        </w:rPr>
        <w:t xml:space="preserve"> </w:t>
      </w:r>
    </w:p>
    <w:p w:rsidR="00AD5BB5" w:rsidRDefault="00F87FF6">
      <w:pPr>
        <w:spacing w:line="360" w:lineRule="auto"/>
        <w:ind w:firstLineChars="200" w:firstLine="420"/>
        <w:rPr>
          <w:color w:val="000000" w:themeColor="text1"/>
          <w:szCs w:val="21"/>
          <w:highlight w:val="yellow"/>
        </w:rPr>
      </w:pPr>
      <w:r>
        <w:rPr>
          <w:rFonts w:hint="eastAsia"/>
          <w:color w:val="000000" w:themeColor="text1"/>
          <w:szCs w:val="21"/>
        </w:rPr>
        <w:t>一是在制度建设方面，及时解读报告期内主要外</w:t>
      </w:r>
      <w:proofErr w:type="gramStart"/>
      <w:r>
        <w:rPr>
          <w:rFonts w:hint="eastAsia"/>
          <w:color w:val="000000" w:themeColor="text1"/>
          <w:szCs w:val="21"/>
        </w:rPr>
        <w:t>规</w:t>
      </w:r>
      <w:proofErr w:type="gramEnd"/>
      <w:r>
        <w:rPr>
          <w:rFonts w:hint="eastAsia"/>
          <w:color w:val="000000" w:themeColor="text1"/>
          <w:szCs w:val="21"/>
        </w:rPr>
        <w:t>，明确本行后续工作计划，将外</w:t>
      </w:r>
      <w:proofErr w:type="gramStart"/>
      <w:r>
        <w:rPr>
          <w:rFonts w:hint="eastAsia"/>
          <w:color w:val="000000" w:themeColor="text1"/>
          <w:szCs w:val="21"/>
        </w:rPr>
        <w:t>规</w:t>
      </w:r>
      <w:proofErr w:type="gramEnd"/>
      <w:r>
        <w:rPr>
          <w:rFonts w:hint="eastAsia"/>
          <w:color w:val="000000" w:themeColor="text1"/>
          <w:szCs w:val="21"/>
        </w:rPr>
        <w:t>转化为内</w:t>
      </w:r>
      <w:proofErr w:type="gramStart"/>
      <w:r>
        <w:rPr>
          <w:rFonts w:hint="eastAsia"/>
          <w:color w:val="000000" w:themeColor="text1"/>
          <w:szCs w:val="21"/>
        </w:rPr>
        <w:t>规</w:t>
      </w:r>
      <w:proofErr w:type="gramEnd"/>
      <w:r>
        <w:rPr>
          <w:rFonts w:hint="eastAsia"/>
          <w:color w:val="000000" w:themeColor="text1"/>
          <w:szCs w:val="21"/>
        </w:rPr>
        <w:t>，有效落实外</w:t>
      </w:r>
      <w:proofErr w:type="gramStart"/>
      <w:r>
        <w:rPr>
          <w:rFonts w:hint="eastAsia"/>
          <w:color w:val="000000" w:themeColor="text1"/>
          <w:szCs w:val="21"/>
        </w:rPr>
        <w:t>规</w:t>
      </w:r>
      <w:proofErr w:type="gramEnd"/>
      <w:r>
        <w:rPr>
          <w:rFonts w:hint="eastAsia"/>
          <w:color w:val="000000" w:themeColor="text1"/>
          <w:szCs w:val="21"/>
        </w:rPr>
        <w:t>要求。对授权管理、业务</w:t>
      </w:r>
      <w:proofErr w:type="gramStart"/>
      <w:r>
        <w:rPr>
          <w:rFonts w:hint="eastAsia"/>
          <w:color w:val="000000" w:themeColor="text1"/>
          <w:szCs w:val="21"/>
        </w:rPr>
        <w:t>核签管理</w:t>
      </w:r>
      <w:proofErr w:type="gramEnd"/>
      <w:r>
        <w:rPr>
          <w:rFonts w:hint="eastAsia"/>
          <w:color w:val="000000" w:themeColor="text1"/>
          <w:szCs w:val="21"/>
        </w:rPr>
        <w:t>等制度进行修订，细化和完善合</w:t>
      </w:r>
      <w:proofErr w:type="gramStart"/>
      <w:r>
        <w:rPr>
          <w:rFonts w:hint="eastAsia"/>
          <w:color w:val="000000" w:themeColor="text1"/>
          <w:szCs w:val="21"/>
        </w:rPr>
        <w:lastRenderedPageBreak/>
        <w:t>规</w:t>
      </w:r>
      <w:proofErr w:type="gramEnd"/>
      <w:r>
        <w:rPr>
          <w:rFonts w:hint="eastAsia"/>
          <w:color w:val="000000" w:themeColor="text1"/>
          <w:szCs w:val="21"/>
        </w:rPr>
        <w:t>管理制度体系。二是在系统建设方面，完成反洗钱、关联交易及交易合</w:t>
      </w:r>
      <w:proofErr w:type="gramStart"/>
      <w:r>
        <w:rPr>
          <w:rFonts w:hint="eastAsia"/>
          <w:color w:val="000000" w:themeColor="text1"/>
          <w:szCs w:val="21"/>
        </w:rPr>
        <w:t>规</w:t>
      </w:r>
      <w:proofErr w:type="gramEnd"/>
      <w:r>
        <w:rPr>
          <w:rFonts w:hint="eastAsia"/>
          <w:color w:val="000000" w:themeColor="text1"/>
          <w:szCs w:val="21"/>
        </w:rPr>
        <w:t>监测阶段性系统建设工作，从识别、监测及控制等维度加强了系统对合</w:t>
      </w:r>
      <w:proofErr w:type="gramStart"/>
      <w:r>
        <w:rPr>
          <w:rFonts w:hint="eastAsia"/>
          <w:color w:val="000000" w:themeColor="text1"/>
          <w:szCs w:val="21"/>
        </w:rPr>
        <w:t>规</w:t>
      </w:r>
      <w:proofErr w:type="gramEnd"/>
      <w:r>
        <w:rPr>
          <w:rFonts w:hint="eastAsia"/>
          <w:color w:val="000000" w:themeColor="text1"/>
          <w:szCs w:val="21"/>
        </w:rPr>
        <w:t>管理的支持。三是在合</w:t>
      </w:r>
      <w:proofErr w:type="gramStart"/>
      <w:r>
        <w:rPr>
          <w:rFonts w:hint="eastAsia"/>
          <w:color w:val="000000" w:themeColor="text1"/>
          <w:szCs w:val="21"/>
        </w:rPr>
        <w:t>规</w:t>
      </w:r>
      <w:proofErr w:type="gramEnd"/>
      <w:r>
        <w:rPr>
          <w:rFonts w:hint="eastAsia"/>
          <w:color w:val="000000" w:themeColor="text1"/>
          <w:szCs w:val="21"/>
        </w:rPr>
        <w:t>文化建设方面，内部检查、培训宣导并重，持续开展合</w:t>
      </w:r>
      <w:proofErr w:type="gramStart"/>
      <w:r>
        <w:rPr>
          <w:rFonts w:hint="eastAsia"/>
          <w:color w:val="000000" w:themeColor="text1"/>
          <w:szCs w:val="21"/>
        </w:rPr>
        <w:t>规</w:t>
      </w:r>
      <w:proofErr w:type="gramEnd"/>
      <w:r>
        <w:rPr>
          <w:rFonts w:hint="eastAsia"/>
          <w:color w:val="000000" w:themeColor="text1"/>
          <w:szCs w:val="21"/>
        </w:rPr>
        <w:t>培训及内部宣导，提升交易员的交易规范意识。</w:t>
      </w:r>
    </w:p>
    <w:p w:rsidR="00AD5BB5" w:rsidRDefault="00F87FF6">
      <w:pPr>
        <w:spacing w:line="360" w:lineRule="auto"/>
        <w:ind w:firstLineChars="200" w:firstLine="420"/>
        <w:rPr>
          <w:bCs/>
          <w:color w:val="000000" w:themeColor="text1"/>
          <w:szCs w:val="21"/>
        </w:rPr>
      </w:pPr>
      <w:r>
        <w:rPr>
          <w:rFonts w:hint="eastAsia"/>
          <w:bCs/>
          <w:color w:val="000000" w:themeColor="text1"/>
          <w:szCs w:val="21"/>
        </w:rPr>
        <w:t>②提升信用风险管理质效</w:t>
      </w:r>
    </w:p>
    <w:p w:rsidR="00AD5BB5" w:rsidRDefault="00F87FF6">
      <w:pPr>
        <w:spacing w:line="360" w:lineRule="auto"/>
        <w:ind w:firstLineChars="200" w:firstLine="420"/>
        <w:rPr>
          <w:color w:val="000000" w:themeColor="text1"/>
          <w:szCs w:val="21"/>
        </w:rPr>
      </w:pPr>
      <w:r>
        <w:rPr>
          <w:rFonts w:hint="eastAsia"/>
          <w:color w:val="000000" w:themeColor="text1"/>
          <w:szCs w:val="21"/>
        </w:rPr>
        <w:t>本行扎实推进信用风险管理各项工作，强化行业分析及实地调研，</w:t>
      </w:r>
      <w:proofErr w:type="gramStart"/>
      <w:r>
        <w:rPr>
          <w:rFonts w:hint="eastAsia"/>
          <w:color w:val="000000" w:themeColor="text1"/>
          <w:szCs w:val="21"/>
        </w:rPr>
        <w:t>审慎把控授</w:t>
      </w:r>
      <w:proofErr w:type="gramEnd"/>
      <w:r>
        <w:rPr>
          <w:rFonts w:hint="eastAsia"/>
          <w:color w:val="000000" w:themeColor="text1"/>
          <w:szCs w:val="21"/>
        </w:rPr>
        <w:t>信审查，优化投后检视工作机制。一是强化行业分析及实地调研，开展行业研究，持续跟进行业变化情况，积极参加实地调研及线上交流。二是</w:t>
      </w:r>
      <w:proofErr w:type="gramStart"/>
      <w:r>
        <w:rPr>
          <w:rFonts w:hint="eastAsia"/>
          <w:color w:val="000000" w:themeColor="text1"/>
          <w:szCs w:val="21"/>
        </w:rPr>
        <w:t>审慎把控授</w:t>
      </w:r>
      <w:proofErr w:type="gramEnd"/>
      <w:r>
        <w:rPr>
          <w:rFonts w:hint="eastAsia"/>
          <w:color w:val="000000" w:themeColor="text1"/>
          <w:szCs w:val="21"/>
        </w:rPr>
        <w:t>信额度审核，深入分析授</w:t>
      </w:r>
      <w:proofErr w:type="gramStart"/>
      <w:r>
        <w:rPr>
          <w:rFonts w:hint="eastAsia"/>
          <w:color w:val="000000" w:themeColor="text1"/>
          <w:szCs w:val="21"/>
        </w:rPr>
        <w:t>信主体</w:t>
      </w:r>
      <w:proofErr w:type="gramEnd"/>
      <w:r>
        <w:rPr>
          <w:rFonts w:hint="eastAsia"/>
          <w:color w:val="000000" w:themeColor="text1"/>
          <w:szCs w:val="21"/>
        </w:rPr>
        <w:t>信用资质情况，结合趋势性判断，审慎核定授信额度。三是做好投后管理工作，持续开展负面舆情监测，并通过常态化的定期检视、不定期的专题检视，根据特定形势及时调整业务策略。</w:t>
      </w:r>
    </w:p>
    <w:p w:rsidR="00AD5BB5" w:rsidRDefault="00F87FF6">
      <w:pPr>
        <w:spacing w:line="360" w:lineRule="auto"/>
        <w:ind w:firstLineChars="200" w:firstLine="420"/>
        <w:rPr>
          <w:bCs/>
          <w:color w:val="000000" w:themeColor="text1"/>
          <w:szCs w:val="21"/>
        </w:rPr>
      </w:pPr>
      <w:r>
        <w:rPr>
          <w:rFonts w:hint="eastAsia"/>
          <w:bCs/>
          <w:color w:val="000000" w:themeColor="text1"/>
          <w:szCs w:val="21"/>
        </w:rPr>
        <w:t>③完善市场风险管理措施</w:t>
      </w:r>
    </w:p>
    <w:p w:rsidR="00AD5BB5" w:rsidRDefault="00F87FF6">
      <w:pPr>
        <w:spacing w:line="360" w:lineRule="auto"/>
        <w:ind w:firstLineChars="200" w:firstLine="420"/>
        <w:rPr>
          <w:color w:val="000000" w:themeColor="text1"/>
          <w:szCs w:val="21"/>
        </w:rPr>
      </w:pPr>
      <w:r>
        <w:rPr>
          <w:rFonts w:hint="eastAsia"/>
          <w:color w:val="000000" w:themeColor="text1"/>
          <w:szCs w:val="21"/>
        </w:rPr>
        <w:t>本行始终坚持完善市场风险限额管理机制，持续推进市场风险管理机制的精细化和系统化。一是完成年度市场风险限额核定工作，优化核定及管控逻辑。二是持续优化系统建设，完善市场风险监测、</w:t>
      </w:r>
      <w:proofErr w:type="gramStart"/>
      <w:r>
        <w:rPr>
          <w:rFonts w:hint="eastAsia"/>
          <w:color w:val="000000" w:themeColor="text1"/>
          <w:szCs w:val="21"/>
        </w:rPr>
        <w:t>量化风控系统</w:t>
      </w:r>
      <w:proofErr w:type="gramEnd"/>
      <w:r>
        <w:rPr>
          <w:rFonts w:hint="eastAsia"/>
          <w:color w:val="000000" w:themeColor="text1"/>
          <w:szCs w:val="21"/>
        </w:rPr>
        <w:t>模块。</w:t>
      </w:r>
    </w:p>
    <w:p w:rsidR="00AD5BB5" w:rsidRDefault="00F87FF6">
      <w:pPr>
        <w:spacing w:line="360" w:lineRule="auto"/>
        <w:outlineLvl w:val="2"/>
        <w:rPr>
          <w:b/>
          <w:bCs/>
          <w:color w:val="000000" w:themeColor="text1"/>
          <w:szCs w:val="21"/>
        </w:rPr>
      </w:pPr>
      <w:r>
        <w:rPr>
          <w:rFonts w:hint="eastAsia"/>
          <w:b/>
          <w:bCs/>
          <w:color w:val="000000" w:themeColor="text1"/>
          <w:szCs w:val="21"/>
        </w:rPr>
        <w:t>（</w:t>
      </w:r>
      <w:r>
        <w:rPr>
          <w:b/>
          <w:bCs/>
          <w:color w:val="000000" w:themeColor="text1"/>
          <w:szCs w:val="21"/>
        </w:rPr>
        <w:t>4</w:t>
      </w:r>
      <w:r>
        <w:rPr>
          <w:rFonts w:hint="eastAsia"/>
          <w:b/>
          <w:bCs/>
          <w:color w:val="000000" w:themeColor="text1"/>
          <w:szCs w:val="21"/>
        </w:rPr>
        <w:t>）全面布局数字化转型助力业务发展</w:t>
      </w:r>
    </w:p>
    <w:p w:rsidR="00AD5BB5" w:rsidRDefault="00F87FF6">
      <w:pPr>
        <w:pStyle w:val="ad"/>
        <w:spacing w:line="360" w:lineRule="auto"/>
        <w:ind w:firstLineChars="200" w:firstLine="420"/>
        <w:rPr>
          <w:rFonts w:hint="default"/>
          <w:szCs w:val="21"/>
        </w:rPr>
      </w:pPr>
      <w:r>
        <w:rPr>
          <w:szCs w:val="21"/>
        </w:rPr>
        <w:t>报告期内，本行制定与业务发展相适应的数字化转型规划，持续将数字化转型贯穿日常经营：夯实基础设施建设，不断提升自动化水平；不断挖掘数据价值创造能力，提升金融市场管理质效。</w:t>
      </w:r>
    </w:p>
    <w:p w:rsidR="00AD5BB5" w:rsidRDefault="00F87FF6">
      <w:pPr>
        <w:pStyle w:val="ad"/>
        <w:spacing w:line="360" w:lineRule="auto"/>
        <w:ind w:firstLineChars="200" w:firstLine="420"/>
        <w:rPr>
          <w:rFonts w:hint="default"/>
          <w:bCs/>
          <w:szCs w:val="21"/>
        </w:rPr>
      </w:pPr>
      <w:r>
        <w:rPr>
          <w:bCs/>
          <w:szCs w:val="21"/>
        </w:rPr>
        <w:t>①智能运营系统三期上线</w:t>
      </w:r>
    </w:p>
    <w:p w:rsidR="00AD5BB5" w:rsidRDefault="00F87FF6">
      <w:pPr>
        <w:pStyle w:val="ad"/>
        <w:spacing w:line="360" w:lineRule="auto"/>
        <w:ind w:firstLineChars="200" w:firstLine="420"/>
        <w:rPr>
          <w:rFonts w:hint="default"/>
          <w:szCs w:val="21"/>
        </w:rPr>
      </w:pPr>
      <w:r>
        <w:rPr>
          <w:szCs w:val="21"/>
          <w:lang w:eastAsia="zh-Hans"/>
        </w:rPr>
        <w:t>“金市智能运营系统”是</w:t>
      </w:r>
      <w:r>
        <w:rPr>
          <w:szCs w:val="21"/>
        </w:rPr>
        <w:t>本行</w:t>
      </w:r>
      <w:r>
        <w:rPr>
          <w:szCs w:val="21"/>
          <w:lang w:eastAsia="zh-Hans"/>
        </w:rPr>
        <w:t>金融市场</w:t>
      </w:r>
      <w:r>
        <w:rPr>
          <w:szCs w:val="21"/>
        </w:rPr>
        <w:t>业务</w:t>
      </w:r>
      <w:r>
        <w:rPr>
          <w:szCs w:val="21"/>
          <w:lang w:eastAsia="zh-Hans"/>
        </w:rPr>
        <w:t>在数字化转型过程中</w:t>
      </w:r>
      <w:r>
        <w:rPr>
          <w:szCs w:val="21"/>
        </w:rPr>
        <w:t>的</w:t>
      </w:r>
      <w:r>
        <w:rPr>
          <w:szCs w:val="21"/>
          <w:lang w:eastAsia="zh-Hans"/>
        </w:rPr>
        <w:t>重要</w:t>
      </w:r>
      <w:r>
        <w:rPr>
          <w:szCs w:val="21"/>
        </w:rPr>
        <w:t>抓手</w:t>
      </w:r>
      <w:r>
        <w:rPr>
          <w:szCs w:val="21"/>
          <w:lang w:eastAsia="zh-Hans"/>
        </w:rPr>
        <w:t>，</w:t>
      </w:r>
      <w:r>
        <w:rPr>
          <w:szCs w:val="21"/>
        </w:rPr>
        <w:t>该系统整合本行金融市场业务多个系统的基础数据，结合新技术及应用场景，实现优化业务流程、提升自动化水平、完善风险控制机制，形成</w:t>
      </w:r>
      <w:r>
        <w:rPr>
          <w:szCs w:val="21"/>
          <w:lang w:eastAsia="zh-Hans"/>
        </w:rPr>
        <w:t>全生命周期全面管理的统一平台</w:t>
      </w:r>
      <w:r>
        <w:rPr>
          <w:szCs w:val="21"/>
        </w:rPr>
        <w:t>。今年初该系统三期建设完成上线，自此形成了前台经营分析、中台风险监控、后台运营管理三大功能布局，助力本行金融市场业务稳健发展。上半年在系统运营推广过程中同步探讨四期建设需求。</w:t>
      </w:r>
    </w:p>
    <w:p w:rsidR="00AD5BB5" w:rsidRDefault="00F87FF6">
      <w:pPr>
        <w:pStyle w:val="ad"/>
        <w:spacing w:line="360" w:lineRule="auto"/>
        <w:ind w:firstLineChars="200" w:firstLine="420"/>
        <w:rPr>
          <w:rFonts w:hint="default"/>
          <w:bCs/>
          <w:szCs w:val="21"/>
        </w:rPr>
      </w:pPr>
      <w:r>
        <w:rPr>
          <w:bCs/>
          <w:szCs w:val="21"/>
        </w:rPr>
        <w:t>②夯实数据基础建设，不断提升自动化水平</w:t>
      </w:r>
    </w:p>
    <w:p w:rsidR="00AD5BB5" w:rsidRDefault="00F87FF6">
      <w:pPr>
        <w:pStyle w:val="ad"/>
        <w:spacing w:line="360" w:lineRule="auto"/>
        <w:ind w:firstLineChars="200" w:firstLine="420"/>
        <w:rPr>
          <w:rFonts w:hint="default"/>
          <w:szCs w:val="21"/>
        </w:rPr>
      </w:pPr>
      <w:r>
        <w:rPr>
          <w:szCs w:val="21"/>
        </w:rPr>
        <w:t>一是启动金融市场数据集市建设，有效支持各项数据应用的价值挖掘、形成面向金融市场业务视角的数据整合和衍生加工，不断挖掘数据价值创造能力。二是完成监管检核自动化一期建设，在持续提升报送自动化率的基础上，</w:t>
      </w:r>
      <w:r>
        <w:rPr>
          <w:rFonts w:hint="default"/>
          <w:szCs w:val="21"/>
        </w:rPr>
        <w:t>分阶段逐步建立自动检核监测机制，定期审视检核问题，</w:t>
      </w:r>
      <w:r>
        <w:rPr>
          <w:szCs w:val="21"/>
        </w:rPr>
        <w:t>完善</w:t>
      </w:r>
      <w:r>
        <w:rPr>
          <w:rFonts w:hint="default"/>
          <w:szCs w:val="21"/>
        </w:rPr>
        <w:t>报表全流程数据质量检核。</w:t>
      </w:r>
      <w:r>
        <w:rPr>
          <w:szCs w:val="21"/>
        </w:rPr>
        <w:t>三是持续推进法报数据标准建设，不断提升报送数据质量。</w:t>
      </w:r>
    </w:p>
    <w:p w:rsidR="00AD5BB5" w:rsidRDefault="00F87FF6">
      <w:pPr>
        <w:pStyle w:val="ad"/>
        <w:spacing w:line="360" w:lineRule="auto"/>
        <w:ind w:firstLineChars="200" w:firstLine="420"/>
        <w:rPr>
          <w:rFonts w:hint="default"/>
          <w:bCs/>
          <w:szCs w:val="21"/>
        </w:rPr>
      </w:pPr>
      <w:r>
        <w:rPr>
          <w:bCs/>
          <w:szCs w:val="21"/>
        </w:rPr>
        <w:t>③加强自主研发知识产权保护</w:t>
      </w:r>
    </w:p>
    <w:p w:rsidR="00AD5BB5" w:rsidRDefault="00F87FF6">
      <w:pPr>
        <w:pStyle w:val="ad"/>
        <w:spacing w:line="360" w:lineRule="auto"/>
        <w:ind w:firstLineChars="200" w:firstLine="420"/>
        <w:rPr>
          <w:rFonts w:hint="default"/>
          <w:szCs w:val="21"/>
        </w:rPr>
      </w:pPr>
      <w:r>
        <w:rPr>
          <w:szCs w:val="21"/>
        </w:rPr>
        <w:t>2023</w:t>
      </w:r>
      <w:r>
        <w:rPr>
          <w:szCs w:val="21"/>
          <w:lang w:eastAsia="zh-Hans"/>
        </w:rPr>
        <w:t>年5月</w:t>
      </w:r>
      <w:r>
        <w:rPr>
          <w:szCs w:val="21"/>
        </w:rPr>
        <w:t>，本行</w:t>
      </w:r>
      <w:r>
        <w:rPr>
          <w:szCs w:val="21"/>
          <w:lang w:eastAsia="zh-Hans"/>
        </w:rPr>
        <w:t>“金市智能运营</w:t>
      </w:r>
      <w:r>
        <w:rPr>
          <w:rFonts w:hint="default"/>
          <w:szCs w:val="21"/>
          <w:lang w:eastAsia="zh-Hans"/>
        </w:rPr>
        <w:t>”</w:t>
      </w:r>
      <w:r>
        <w:rPr>
          <w:szCs w:val="21"/>
          <w:lang w:eastAsia="zh-Hans"/>
        </w:rPr>
        <w:t>、“程序化交易”和“程序化做市”三个自主研发系统成功申请</w:t>
      </w:r>
      <w:r>
        <w:rPr>
          <w:szCs w:val="21"/>
        </w:rPr>
        <w:t>获得</w:t>
      </w:r>
      <w:r>
        <w:rPr>
          <w:szCs w:val="21"/>
          <w:lang w:eastAsia="zh-Hans"/>
        </w:rPr>
        <w:t>计算机软件著作权</w:t>
      </w:r>
      <w:r>
        <w:rPr>
          <w:szCs w:val="21"/>
        </w:rPr>
        <w:t>。</w:t>
      </w:r>
    </w:p>
    <w:p w:rsidR="00AD5BB5" w:rsidRDefault="00F87FF6">
      <w:pPr>
        <w:spacing w:line="360" w:lineRule="auto"/>
        <w:outlineLvl w:val="2"/>
        <w:rPr>
          <w:b/>
        </w:rPr>
      </w:pPr>
      <w:r>
        <w:rPr>
          <w:rFonts w:hint="eastAsia"/>
          <w:b/>
        </w:rPr>
        <w:t>4.</w:t>
      </w:r>
      <w:r>
        <w:rPr>
          <w:rFonts w:hint="eastAsia"/>
          <w:b/>
        </w:rPr>
        <w:t>两岸金融业务</w:t>
      </w:r>
    </w:p>
    <w:p w:rsidR="00AD5BB5" w:rsidRDefault="00F87FF6">
      <w:pPr>
        <w:spacing w:line="360" w:lineRule="auto"/>
        <w:ind w:firstLineChars="200" w:firstLine="420"/>
        <w:rPr>
          <w:rFonts w:ascii="Times New Roman" w:hAnsi="Times New Roman"/>
        </w:rPr>
      </w:pPr>
      <w:r>
        <w:rPr>
          <w:rFonts w:ascii="Times New Roman" w:hAnsi="Times New Roman" w:hint="eastAsia"/>
        </w:rPr>
        <w:lastRenderedPageBreak/>
        <w:t>本公司</w:t>
      </w:r>
      <w:r>
        <w:rPr>
          <w:rFonts w:ascii="Times New Roman" w:hAnsi="Times New Roman"/>
        </w:rPr>
        <w:t>依托台资股东背景及区位优势，</w:t>
      </w:r>
      <w:r>
        <w:rPr>
          <w:rFonts w:ascii="Times New Roman" w:hAnsi="Times New Roman" w:hint="eastAsia"/>
        </w:rPr>
        <w:t>在两岸金融合作方面不断先行先试，围绕个人、公司及同业构建全面的两岸金融业务体系，致力于成为最懂台商的银行以及两岸金融合作样板银行。报告期内，本公司</w:t>
      </w:r>
      <w:proofErr w:type="gramStart"/>
      <w:r>
        <w:rPr>
          <w:rFonts w:ascii="Times New Roman" w:hAnsi="Times New Roman" w:hint="eastAsia"/>
        </w:rPr>
        <w:t>创新台</w:t>
      </w:r>
      <w:proofErr w:type="gramEnd"/>
      <w:r>
        <w:rPr>
          <w:rFonts w:ascii="Times New Roman" w:hAnsi="Times New Roman" w:hint="eastAsia"/>
        </w:rPr>
        <w:t>企台胞专属产品和服务，推动两岸交流合作，实现客户覆盖度和市场优势的持续提升。</w:t>
      </w:r>
    </w:p>
    <w:p w:rsidR="00AD5BB5" w:rsidRDefault="00F87FF6">
      <w:pPr>
        <w:spacing w:line="360" w:lineRule="auto"/>
        <w:ind w:firstLineChars="200" w:firstLine="420"/>
        <w:rPr>
          <w:rFonts w:ascii="Times New Roman" w:hAnsi="Times New Roman"/>
        </w:rPr>
      </w:pPr>
      <w:r>
        <w:rPr>
          <w:rFonts w:ascii="Times New Roman" w:hAnsi="Times New Roman" w:hint="eastAsia"/>
          <w:bCs/>
        </w:rPr>
        <w:t>本公司保持并不断提升两岸金融业务的市场优势，目前是福建省</w:t>
      </w:r>
      <w:proofErr w:type="gramStart"/>
      <w:r>
        <w:rPr>
          <w:rFonts w:ascii="Times New Roman" w:hAnsi="Times New Roman" w:hint="eastAsia"/>
          <w:bCs/>
        </w:rPr>
        <w:t>台企授信</w:t>
      </w:r>
      <w:proofErr w:type="gramEnd"/>
      <w:r>
        <w:rPr>
          <w:rFonts w:ascii="Times New Roman" w:hAnsi="Times New Roman" w:hint="eastAsia"/>
          <w:bCs/>
        </w:rPr>
        <w:t>户数、针对台胞发放信用卡数最多的金融机构。</w:t>
      </w:r>
      <w:r>
        <w:rPr>
          <w:rFonts w:ascii="Times New Roman" w:hAnsi="Times New Roman" w:hint="eastAsia"/>
        </w:rPr>
        <w:t>截至</w:t>
      </w:r>
      <w:r>
        <w:rPr>
          <w:rFonts w:ascii="Times New Roman" w:hAnsi="Times New Roman" w:hint="eastAsia"/>
        </w:rPr>
        <w:t>2023</w:t>
      </w:r>
      <w:r>
        <w:rPr>
          <w:rFonts w:ascii="Times New Roman" w:hAnsi="Times New Roman" w:hint="eastAsia"/>
        </w:rPr>
        <w:t>年</w:t>
      </w:r>
      <w:r>
        <w:rPr>
          <w:rFonts w:ascii="Times New Roman" w:hAnsi="Times New Roman" w:hint="eastAsia"/>
        </w:rPr>
        <w:t>6</w:t>
      </w:r>
      <w:r>
        <w:rPr>
          <w:rFonts w:ascii="Times New Roman" w:hAnsi="Times New Roman" w:hint="eastAsia"/>
        </w:rPr>
        <w:t>月</w:t>
      </w:r>
      <w:r>
        <w:rPr>
          <w:rFonts w:ascii="Times New Roman" w:hAnsi="Times New Roman" w:hint="eastAsia"/>
        </w:rPr>
        <w:t>30</w:t>
      </w:r>
      <w:r>
        <w:rPr>
          <w:rFonts w:ascii="Times New Roman" w:hAnsi="Times New Roman" w:hint="eastAsia"/>
        </w:rPr>
        <w:t>日，本公司台</w:t>
      </w:r>
      <w:proofErr w:type="gramStart"/>
      <w:r>
        <w:rPr>
          <w:rFonts w:ascii="Times New Roman" w:hAnsi="Times New Roman" w:hint="eastAsia"/>
        </w:rPr>
        <w:t>企客户</w:t>
      </w:r>
      <w:proofErr w:type="gramEnd"/>
      <w:r>
        <w:rPr>
          <w:rFonts w:ascii="Times New Roman" w:hAnsi="Times New Roman" w:hint="eastAsia"/>
        </w:rPr>
        <w:t>数相比年初增长</w:t>
      </w:r>
      <w:r>
        <w:rPr>
          <w:rFonts w:ascii="Times New Roman" w:hAnsi="Times New Roman" w:hint="eastAsia"/>
        </w:rPr>
        <w:t>17%</w:t>
      </w:r>
      <w:r>
        <w:rPr>
          <w:rFonts w:ascii="Times New Roman" w:hAnsi="Times New Roman" w:hint="eastAsia"/>
        </w:rPr>
        <w:t>；</w:t>
      </w:r>
      <w:proofErr w:type="gramStart"/>
      <w:r>
        <w:rPr>
          <w:rFonts w:ascii="Times New Roman" w:hAnsi="Times New Roman" w:hint="eastAsia"/>
        </w:rPr>
        <w:t>台企授信</w:t>
      </w:r>
      <w:proofErr w:type="gramEnd"/>
      <w:r>
        <w:rPr>
          <w:rFonts w:ascii="Times New Roman" w:hAnsi="Times New Roman" w:hint="eastAsia"/>
        </w:rPr>
        <w:t>户数相比年初增长</w:t>
      </w:r>
      <w:r>
        <w:rPr>
          <w:rFonts w:ascii="Times New Roman" w:hAnsi="Times New Roman" w:hint="eastAsia"/>
        </w:rPr>
        <w:t>14%</w:t>
      </w:r>
      <w:r>
        <w:rPr>
          <w:rFonts w:ascii="Times New Roman" w:hAnsi="Times New Roman" w:hint="eastAsia"/>
        </w:rPr>
        <w:t>；受美元加息影响，本公司主动压降美元存款、贷款规模，</w:t>
      </w:r>
      <w:proofErr w:type="gramStart"/>
      <w:r>
        <w:rPr>
          <w:rFonts w:ascii="Times New Roman" w:hAnsi="Times New Roman" w:hint="eastAsia"/>
        </w:rPr>
        <w:t>故台企存款</w:t>
      </w:r>
      <w:proofErr w:type="gramEnd"/>
      <w:r>
        <w:rPr>
          <w:rFonts w:ascii="Times New Roman" w:hAnsi="Times New Roman" w:hint="eastAsia"/>
        </w:rPr>
        <w:t>余额相比年初下降</w:t>
      </w:r>
      <w:r>
        <w:rPr>
          <w:rFonts w:ascii="Times New Roman" w:hAnsi="Times New Roman" w:hint="eastAsia"/>
        </w:rPr>
        <w:t>11%</w:t>
      </w:r>
      <w:r>
        <w:rPr>
          <w:rFonts w:ascii="Times New Roman" w:hAnsi="Times New Roman" w:hint="eastAsia"/>
        </w:rPr>
        <w:t>，台</w:t>
      </w:r>
      <w:proofErr w:type="gramStart"/>
      <w:r>
        <w:rPr>
          <w:rFonts w:ascii="Times New Roman" w:hAnsi="Times New Roman" w:hint="eastAsia"/>
        </w:rPr>
        <w:t>企贷款</w:t>
      </w:r>
      <w:proofErr w:type="gramEnd"/>
      <w:r>
        <w:rPr>
          <w:rFonts w:ascii="Times New Roman" w:hAnsi="Times New Roman" w:hint="eastAsia"/>
        </w:rPr>
        <w:t>余额相比年初下降</w:t>
      </w:r>
      <w:r>
        <w:rPr>
          <w:rFonts w:ascii="Times New Roman" w:hAnsi="Times New Roman" w:hint="eastAsia"/>
        </w:rPr>
        <w:t>27%</w:t>
      </w:r>
      <w:r>
        <w:rPr>
          <w:rFonts w:ascii="Times New Roman" w:hAnsi="Times New Roman" w:hint="eastAsia"/>
        </w:rPr>
        <w:t>，本公司将持续发力</w:t>
      </w:r>
      <w:proofErr w:type="gramStart"/>
      <w:r>
        <w:rPr>
          <w:rFonts w:ascii="Times New Roman" w:hAnsi="Times New Roman" w:hint="eastAsia"/>
        </w:rPr>
        <w:t>提升台</w:t>
      </w:r>
      <w:proofErr w:type="gramEnd"/>
      <w:r>
        <w:rPr>
          <w:rFonts w:ascii="Times New Roman" w:hAnsi="Times New Roman" w:hint="eastAsia"/>
        </w:rPr>
        <w:t>企人民币存款、贷款的规模；台胞客户数相比年初增长</w:t>
      </w:r>
      <w:r>
        <w:rPr>
          <w:rFonts w:ascii="Times New Roman" w:hAnsi="Times New Roman" w:hint="eastAsia"/>
        </w:rPr>
        <w:t>8%</w:t>
      </w:r>
      <w:r>
        <w:rPr>
          <w:rFonts w:ascii="Times New Roman" w:hAnsi="Times New Roman" w:hint="eastAsia"/>
        </w:rPr>
        <w:t>；台胞信用卡发卡数相比年初增长</w:t>
      </w:r>
      <w:r>
        <w:rPr>
          <w:rFonts w:ascii="Times New Roman" w:hAnsi="Times New Roman" w:hint="eastAsia"/>
        </w:rPr>
        <w:t>9%</w:t>
      </w:r>
      <w:r>
        <w:rPr>
          <w:rFonts w:ascii="Times New Roman" w:hAnsi="Times New Roman" w:hint="eastAsia"/>
        </w:rPr>
        <w:t>；台胞金融资产余额相比年初增长</w:t>
      </w:r>
      <w:r>
        <w:rPr>
          <w:rFonts w:ascii="Times New Roman" w:hAnsi="Times New Roman" w:hint="eastAsia"/>
        </w:rPr>
        <w:t>6%</w:t>
      </w:r>
      <w:r>
        <w:rPr>
          <w:rFonts w:ascii="Times New Roman" w:hAnsi="Times New Roman" w:hint="eastAsia"/>
        </w:rPr>
        <w:t>。台企户均存款余额是全行企业客户的</w:t>
      </w:r>
      <w:r>
        <w:rPr>
          <w:rFonts w:ascii="Times New Roman" w:hAnsi="Times New Roman" w:hint="eastAsia"/>
        </w:rPr>
        <w:t>1.76</w:t>
      </w:r>
      <w:r>
        <w:rPr>
          <w:rFonts w:ascii="Times New Roman" w:hAnsi="Times New Roman" w:hint="eastAsia"/>
        </w:rPr>
        <w:t>倍，台</w:t>
      </w:r>
      <w:proofErr w:type="gramStart"/>
      <w:r>
        <w:rPr>
          <w:rFonts w:ascii="Times New Roman" w:hAnsi="Times New Roman" w:hint="eastAsia"/>
        </w:rPr>
        <w:t>企国际</w:t>
      </w:r>
      <w:proofErr w:type="gramEnd"/>
      <w:r>
        <w:rPr>
          <w:rFonts w:ascii="Times New Roman" w:hAnsi="Times New Roman" w:hint="eastAsia"/>
        </w:rPr>
        <w:t>结算量占全行国际结算量的</w:t>
      </w:r>
      <w:r>
        <w:rPr>
          <w:rFonts w:ascii="Times New Roman" w:hAnsi="Times New Roman" w:hint="eastAsia"/>
        </w:rPr>
        <w:t>78%</w:t>
      </w:r>
      <w:r>
        <w:rPr>
          <w:rFonts w:ascii="Times New Roman" w:hAnsi="Times New Roman" w:hint="eastAsia"/>
        </w:rPr>
        <w:t>，台胞户均金融资产是全行零售客户的</w:t>
      </w:r>
      <w:r>
        <w:rPr>
          <w:rFonts w:ascii="Times New Roman" w:hAnsi="Times New Roman" w:hint="eastAsia"/>
        </w:rPr>
        <w:t>2.52</w:t>
      </w:r>
      <w:r>
        <w:rPr>
          <w:rFonts w:ascii="Times New Roman" w:hAnsi="Times New Roman" w:hint="eastAsia"/>
        </w:rPr>
        <w:t>倍。</w:t>
      </w:r>
    </w:p>
    <w:p w:rsidR="00AD5BB5" w:rsidRDefault="00F87FF6">
      <w:pPr>
        <w:widowControl/>
        <w:spacing w:line="360" w:lineRule="auto"/>
        <w:ind w:firstLineChars="200" w:firstLine="422"/>
        <w:jc w:val="left"/>
        <w:rPr>
          <w:rFonts w:ascii="Times New Roman" w:hAnsi="Times New Roman"/>
        </w:rPr>
      </w:pPr>
      <w:r>
        <w:rPr>
          <w:rFonts w:ascii="Times New Roman" w:hAnsi="Times New Roman" w:hint="eastAsia"/>
          <w:b/>
          <w:bCs/>
        </w:rPr>
        <w:t>在便捷台胞在陆安居乐业上，</w:t>
      </w:r>
      <w:r>
        <w:rPr>
          <w:rFonts w:ascii="Times New Roman" w:hAnsi="Times New Roman"/>
        </w:rPr>
        <w:t>本公司发力便民金融和旅游金融，推出</w:t>
      </w:r>
      <w:r>
        <w:rPr>
          <w:rFonts w:ascii="Times New Roman" w:hAnsi="Times New Roman" w:hint="eastAsia"/>
        </w:rPr>
        <w:t>“</w:t>
      </w:r>
      <w:r>
        <w:rPr>
          <w:rFonts w:ascii="Times New Roman" w:hAnsi="Times New Roman"/>
        </w:rPr>
        <w:t>资金大三通</w:t>
      </w:r>
      <w:r>
        <w:rPr>
          <w:rFonts w:ascii="Times New Roman" w:hAnsi="Times New Roman" w:hint="eastAsia"/>
        </w:rPr>
        <w:t>”</w:t>
      </w:r>
      <w:r>
        <w:rPr>
          <w:rFonts w:ascii="Times New Roman" w:hAnsi="Times New Roman"/>
        </w:rPr>
        <w:t>服务体系，创新打造在台旅游全产业</w:t>
      </w:r>
      <w:proofErr w:type="gramStart"/>
      <w:r>
        <w:rPr>
          <w:rFonts w:ascii="Times New Roman" w:hAnsi="Times New Roman"/>
        </w:rPr>
        <w:t>链服务</w:t>
      </w:r>
      <w:proofErr w:type="gramEnd"/>
      <w:r>
        <w:rPr>
          <w:rFonts w:ascii="Times New Roman" w:hAnsi="Times New Roman"/>
        </w:rPr>
        <w:t>平台</w:t>
      </w:r>
      <w:r>
        <w:rPr>
          <w:rFonts w:ascii="Times New Roman" w:hAnsi="Times New Roman" w:hint="eastAsia"/>
        </w:rPr>
        <w:t>，</w:t>
      </w:r>
      <w:r>
        <w:rPr>
          <w:rFonts w:ascii="Times New Roman" w:hAnsi="Times New Roman"/>
        </w:rPr>
        <w:t>推出大陆首张面向台胞的专属信用卡，推出</w:t>
      </w:r>
      <w:r>
        <w:rPr>
          <w:rFonts w:ascii="Times New Roman" w:hAnsi="Times New Roman" w:hint="eastAsia"/>
        </w:rPr>
        <w:t>大陆</w:t>
      </w:r>
      <w:r>
        <w:rPr>
          <w:rFonts w:ascii="Times New Roman" w:hAnsi="Times New Roman"/>
        </w:rPr>
        <w:t>首个台胞专</w:t>
      </w:r>
      <w:proofErr w:type="gramStart"/>
      <w:r>
        <w:rPr>
          <w:rFonts w:ascii="Times New Roman" w:hAnsi="Times New Roman"/>
        </w:rPr>
        <w:t>属线上化汇薪产品</w:t>
      </w:r>
      <w:proofErr w:type="gramEnd"/>
      <w:r>
        <w:rPr>
          <w:rFonts w:ascii="Times New Roman" w:hAnsi="Times New Roman"/>
        </w:rPr>
        <w:t>——</w:t>
      </w:r>
      <w:r>
        <w:rPr>
          <w:rFonts w:ascii="Times New Roman" w:hAnsi="Times New Roman" w:hint="eastAsia"/>
        </w:rPr>
        <w:t>“</w:t>
      </w:r>
      <w:r>
        <w:rPr>
          <w:rFonts w:ascii="Times New Roman" w:hAnsi="Times New Roman"/>
        </w:rPr>
        <w:t>薪速汇</w:t>
      </w:r>
      <w:r>
        <w:rPr>
          <w:rFonts w:ascii="Times New Roman" w:hAnsi="Times New Roman" w:hint="eastAsia"/>
        </w:rPr>
        <w:t>”</w:t>
      </w:r>
      <w:r>
        <w:rPr>
          <w:rFonts w:ascii="Times New Roman" w:hAnsi="Times New Roman"/>
        </w:rPr>
        <w:t>线上化，台胞通过手机银行足不出户将在陆完税薪水汇给对岸的亲属</w:t>
      </w:r>
      <w:r>
        <w:rPr>
          <w:rFonts w:ascii="Times New Roman" w:hAnsi="Times New Roman" w:hint="eastAsia"/>
        </w:rPr>
        <w:t>。报告期内</w:t>
      </w:r>
      <w:r>
        <w:rPr>
          <w:rFonts w:ascii="Times New Roman" w:hAnsi="Times New Roman"/>
        </w:rPr>
        <w:t>，</w:t>
      </w:r>
      <w:r>
        <w:rPr>
          <w:rFonts w:ascii="Times New Roman" w:hAnsi="Times New Roman" w:hint="eastAsia"/>
        </w:rPr>
        <w:t>本公司持续优化</w:t>
      </w:r>
      <w:r>
        <w:rPr>
          <w:rFonts w:ascii="Times New Roman" w:hAnsi="Times New Roman"/>
        </w:rPr>
        <w:t>远程业务办理的渠道</w:t>
      </w:r>
      <w:r>
        <w:rPr>
          <w:rFonts w:ascii="Times New Roman" w:hAnsi="Times New Roman" w:hint="eastAsia"/>
        </w:rPr>
        <w:t>“</w:t>
      </w:r>
      <w:r>
        <w:rPr>
          <w:rFonts w:ascii="Times New Roman" w:hAnsi="Times New Roman"/>
        </w:rPr>
        <w:t>空中柜台</w:t>
      </w:r>
      <w:r>
        <w:rPr>
          <w:rFonts w:ascii="Times New Roman" w:hAnsi="Times New Roman" w:hint="eastAsia"/>
        </w:rPr>
        <w:t>”</w:t>
      </w:r>
      <w:r>
        <w:rPr>
          <w:rFonts w:ascii="Times New Roman" w:hAnsi="Times New Roman"/>
        </w:rPr>
        <w:t>，</w:t>
      </w:r>
      <w:r>
        <w:rPr>
          <w:rFonts w:ascii="Times New Roman" w:hAnsi="Times New Roman" w:hint="eastAsia"/>
        </w:rPr>
        <w:t>提高</w:t>
      </w:r>
      <w:r>
        <w:rPr>
          <w:rFonts w:ascii="Times New Roman" w:hAnsi="Times New Roman"/>
        </w:rPr>
        <w:t>台胞远程办理证件有效期</w:t>
      </w:r>
      <w:r>
        <w:rPr>
          <w:rFonts w:ascii="Times New Roman" w:hAnsi="Times New Roman" w:hint="eastAsia"/>
        </w:rPr>
        <w:t>更新的效率。</w:t>
      </w:r>
    </w:p>
    <w:p w:rsidR="00AD5BB5" w:rsidRDefault="00F87FF6">
      <w:pPr>
        <w:spacing w:line="360" w:lineRule="auto"/>
        <w:ind w:firstLineChars="200" w:firstLine="422"/>
        <w:rPr>
          <w:rFonts w:ascii="Times New Roman" w:hAnsi="Times New Roman"/>
        </w:rPr>
      </w:pPr>
      <w:r>
        <w:rPr>
          <w:rFonts w:ascii="Times New Roman" w:hAnsi="Times New Roman" w:hint="eastAsia"/>
          <w:b/>
          <w:bCs/>
        </w:rPr>
        <w:t>在支持台企在陆深耕展业上，</w:t>
      </w:r>
      <w:r>
        <w:rPr>
          <w:rFonts w:ascii="Times New Roman" w:hAnsi="Times New Roman"/>
        </w:rPr>
        <w:t>本公司推出两岸通速汇</w:t>
      </w:r>
      <w:r>
        <w:rPr>
          <w:rFonts w:ascii="Times New Roman" w:hAnsi="Times New Roman" w:hint="eastAsia"/>
        </w:rPr>
        <w:t>，便利两岸资金往来；推出</w:t>
      </w:r>
      <w:r>
        <w:rPr>
          <w:rFonts w:ascii="Times New Roman" w:hAnsi="Times New Roman"/>
        </w:rPr>
        <w:t>台</w:t>
      </w:r>
      <w:proofErr w:type="gramStart"/>
      <w:r>
        <w:rPr>
          <w:rFonts w:ascii="Times New Roman" w:hAnsi="Times New Roman"/>
        </w:rPr>
        <w:t>商税易贷</w:t>
      </w:r>
      <w:proofErr w:type="gramEnd"/>
      <w:r>
        <w:rPr>
          <w:rFonts w:ascii="Times New Roman" w:hAnsi="Times New Roman" w:hint="eastAsia"/>
        </w:rPr>
        <w:t>、</w:t>
      </w:r>
      <w:r>
        <w:rPr>
          <w:rFonts w:ascii="Times New Roman" w:hAnsi="Times New Roman"/>
        </w:rPr>
        <w:t>台商流水贷、</w:t>
      </w:r>
      <w:r>
        <w:rPr>
          <w:rFonts w:ascii="Times New Roman" w:hAnsi="Times New Roman" w:hint="eastAsia"/>
        </w:rPr>
        <w:t>台商</w:t>
      </w:r>
      <w:r>
        <w:rPr>
          <w:rFonts w:ascii="Times New Roman" w:hAnsi="Times New Roman" w:hint="eastAsia"/>
        </w:rPr>
        <w:t>e</w:t>
      </w:r>
      <w:proofErr w:type="gramStart"/>
      <w:r>
        <w:rPr>
          <w:rFonts w:ascii="Times New Roman" w:hAnsi="Times New Roman" w:hint="eastAsia"/>
        </w:rPr>
        <w:t>企贷等免</w:t>
      </w:r>
      <w:proofErr w:type="gramEnd"/>
      <w:r>
        <w:rPr>
          <w:rFonts w:ascii="Times New Roman" w:hAnsi="Times New Roman" w:hint="eastAsia"/>
        </w:rPr>
        <w:t>抵押信用贷产品</w:t>
      </w:r>
      <w:r>
        <w:rPr>
          <w:rFonts w:ascii="Times New Roman" w:hAnsi="Times New Roman"/>
        </w:rPr>
        <w:t>，便利台资企业融资</w:t>
      </w:r>
      <w:r>
        <w:rPr>
          <w:rFonts w:ascii="Times New Roman" w:hAnsi="Times New Roman" w:hint="eastAsia"/>
        </w:rPr>
        <w:t>。报告期内，本公司“台农贷”产品于</w:t>
      </w:r>
      <w:r>
        <w:rPr>
          <w:rFonts w:ascii="Times New Roman" w:hAnsi="Times New Roman" w:hint="eastAsia"/>
        </w:rPr>
        <w:t>2023</w:t>
      </w:r>
      <w:r>
        <w:rPr>
          <w:rFonts w:ascii="Times New Roman" w:hAnsi="Times New Roman" w:hint="eastAsia"/>
        </w:rPr>
        <w:t>年</w:t>
      </w:r>
      <w:r>
        <w:rPr>
          <w:rFonts w:ascii="Times New Roman" w:hAnsi="Times New Roman" w:hint="eastAsia"/>
        </w:rPr>
        <w:t>6</w:t>
      </w:r>
      <w:r>
        <w:rPr>
          <w:rFonts w:ascii="Times New Roman" w:hAnsi="Times New Roman" w:hint="eastAsia"/>
        </w:rPr>
        <w:t>月获得福建省地方金融监管局颁发的“</w:t>
      </w:r>
      <w:r>
        <w:rPr>
          <w:rFonts w:ascii="Times New Roman" w:hAnsi="Times New Roman" w:hint="eastAsia"/>
        </w:rPr>
        <w:t>2022</w:t>
      </w:r>
      <w:r>
        <w:rPr>
          <w:rFonts w:ascii="Times New Roman" w:hAnsi="Times New Roman" w:hint="eastAsia"/>
        </w:rPr>
        <w:t>年度福建省金融创新项目”。本公司发挥自身台资背景及对台服务优势，推进各分行与省内台湾农民创业园、闽台农业融合发展产业</w:t>
      </w:r>
      <w:proofErr w:type="gramStart"/>
      <w:r>
        <w:rPr>
          <w:rFonts w:ascii="Times New Roman" w:hAnsi="Times New Roman" w:hint="eastAsia"/>
        </w:rPr>
        <w:t>园签订</w:t>
      </w:r>
      <w:proofErr w:type="gramEnd"/>
      <w:r>
        <w:rPr>
          <w:rFonts w:ascii="Times New Roman" w:hAnsi="Times New Roman" w:hint="eastAsia"/>
        </w:rPr>
        <w:t>战略合作关系，累计与福建省内</w:t>
      </w:r>
      <w:r>
        <w:rPr>
          <w:rFonts w:ascii="Times New Roman" w:hAnsi="Times New Roman" w:hint="eastAsia"/>
        </w:rPr>
        <w:t>7</w:t>
      </w:r>
      <w:r>
        <w:rPr>
          <w:rFonts w:ascii="Times New Roman" w:hAnsi="Times New Roman" w:hint="eastAsia"/>
        </w:rPr>
        <w:t>个台农</w:t>
      </w:r>
      <w:proofErr w:type="gramStart"/>
      <w:r>
        <w:rPr>
          <w:rFonts w:ascii="Times New Roman" w:hAnsi="Times New Roman" w:hint="eastAsia"/>
        </w:rPr>
        <w:t>园区签署</w:t>
      </w:r>
      <w:proofErr w:type="gramEnd"/>
      <w:r>
        <w:rPr>
          <w:rFonts w:ascii="Times New Roman" w:hAnsi="Times New Roman" w:hint="eastAsia"/>
        </w:rPr>
        <w:t>战略合作。</w:t>
      </w:r>
    </w:p>
    <w:p w:rsidR="00AD5BB5" w:rsidRDefault="00F87FF6">
      <w:pPr>
        <w:spacing w:line="360" w:lineRule="auto"/>
        <w:ind w:firstLineChars="200" w:firstLine="422"/>
        <w:rPr>
          <w:rFonts w:ascii="Times New Roman" w:hAnsi="Times New Roman"/>
        </w:rPr>
      </w:pPr>
      <w:r>
        <w:rPr>
          <w:rFonts w:ascii="Times New Roman" w:hAnsi="Times New Roman" w:hint="eastAsia"/>
          <w:b/>
          <w:bCs/>
        </w:rPr>
        <w:t>在深化两岸同业合作共赢上</w:t>
      </w:r>
      <w:r>
        <w:rPr>
          <w:rFonts w:ascii="Times New Roman" w:hAnsi="Times New Roman" w:hint="eastAsia"/>
        </w:rPr>
        <w:t>，</w:t>
      </w:r>
      <w:r>
        <w:rPr>
          <w:rFonts w:ascii="Times New Roman" w:hAnsi="Times New Roman"/>
        </w:rPr>
        <w:t>本公司代理台湾同业参与大陆银行间债券市场，开展银行间人民币购售业务交易，持续与台湾同业建立战略合作关系，签署衍生性金融商业总协议（</w:t>
      </w:r>
      <w:r>
        <w:rPr>
          <w:rFonts w:ascii="Times New Roman" w:hAnsi="Times New Roman"/>
        </w:rPr>
        <w:t>ISDA</w:t>
      </w:r>
      <w:r>
        <w:rPr>
          <w:rFonts w:ascii="Times New Roman" w:hAnsi="Times New Roman"/>
        </w:rPr>
        <w:t>），开展外汇及衍生品业务，与</w:t>
      </w:r>
      <w:r>
        <w:rPr>
          <w:rFonts w:ascii="Times New Roman" w:hAnsi="Times New Roman"/>
        </w:rPr>
        <w:t>14</w:t>
      </w:r>
      <w:r>
        <w:rPr>
          <w:rFonts w:ascii="Times New Roman" w:hAnsi="Times New Roman"/>
        </w:rPr>
        <w:t>家在陆台资银行合作为台资企业提供了银团贷款。</w:t>
      </w:r>
    </w:p>
    <w:p w:rsidR="00AD5BB5" w:rsidRDefault="00F87FF6">
      <w:pPr>
        <w:spacing w:line="360" w:lineRule="auto"/>
        <w:ind w:firstLineChars="200" w:firstLine="422"/>
        <w:rPr>
          <w:rFonts w:ascii="Times New Roman" w:hAnsi="Times New Roman"/>
        </w:rPr>
      </w:pPr>
      <w:bookmarkStart w:id="24" w:name="_Toc16265"/>
      <w:bookmarkStart w:id="25" w:name="_Toc9402"/>
      <w:bookmarkStart w:id="26" w:name="_Toc1294"/>
      <w:r>
        <w:rPr>
          <w:rFonts w:hint="eastAsia"/>
          <w:b/>
        </w:rPr>
        <w:t>在搭建两岸交流合作平台</w:t>
      </w:r>
      <w:bookmarkEnd w:id="24"/>
      <w:bookmarkEnd w:id="25"/>
      <w:bookmarkEnd w:id="26"/>
      <w:r>
        <w:rPr>
          <w:rFonts w:hint="eastAsia"/>
          <w:b/>
        </w:rPr>
        <w:t>上，</w:t>
      </w:r>
      <w:r>
        <w:rPr>
          <w:rFonts w:ascii="Times New Roman" w:hAnsi="Times New Roman"/>
        </w:rPr>
        <w:t>本公司积极拓展两岸交流合作领域，</w:t>
      </w:r>
      <w:r>
        <w:rPr>
          <w:rFonts w:ascii="Times New Roman" w:hAnsi="Times New Roman" w:hint="eastAsia"/>
        </w:rPr>
        <w:t>连续十一年赞助对台交流项目“海峡两岸少儿美术大展”；</w:t>
      </w:r>
      <w:r>
        <w:rPr>
          <w:rFonts w:ascii="Times New Roman" w:hAnsi="Times New Roman"/>
        </w:rPr>
        <w:t>冠名第二届海峡两岸（厦门）青年企业家篮球邀请赛</w:t>
      </w:r>
      <w:r>
        <w:rPr>
          <w:rFonts w:ascii="Times New Roman" w:hAnsi="Times New Roman" w:hint="eastAsia"/>
        </w:rPr>
        <w:t>。报告期内，本公司开展</w:t>
      </w:r>
      <w:r>
        <w:rPr>
          <w:rFonts w:ascii="Times New Roman" w:hAnsi="Times New Roman" w:hint="eastAsia"/>
        </w:rPr>
        <w:t>2023</w:t>
      </w:r>
      <w:r>
        <w:rPr>
          <w:rFonts w:ascii="Times New Roman" w:hAnsi="Times New Roman" w:hint="eastAsia"/>
        </w:rPr>
        <w:t>年台湾高校青年实习计划</w:t>
      </w:r>
      <w:r>
        <w:rPr>
          <w:rFonts w:ascii="Times New Roman" w:hAnsi="Times New Roman"/>
        </w:rPr>
        <w:t>，至今已累计接待</w:t>
      </w:r>
      <w:r>
        <w:rPr>
          <w:rFonts w:ascii="Times New Roman" w:hAnsi="Times New Roman" w:hint="eastAsia"/>
        </w:rPr>
        <w:t>十二</w:t>
      </w:r>
      <w:r>
        <w:rPr>
          <w:rFonts w:ascii="Times New Roman" w:hAnsi="Times New Roman"/>
        </w:rPr>
        <w:t>批共</w:t>
      </w:r>
      <w:r>
        <w:rPr>
          <w:rFonts w:ascii="Times New Roman" w:hAnsi="Times New Roman" w:hint="eastAsia"/>
        </w:rPr>
        <w:t>614</w:t>
      </w:r>
      <w:r>
        <w:rPr>
          <w:rFonts w:ascii="Times New Roman" w:hAnsi="Times New Roman"/>
        </w:rPr>
        <w:t>名台籍学生到本公司实习</w:t>
      </w:r>
      <w:r>
        <w:rPr>
          <w:rFonts w:ascii="Times New Roman" w:hAnsi="Times New Roman" w:hint="eastAsia"/>
        </w:rPr>
        <w:t>；与厦门大学合作组织开展第一届海峡两岸大学生金融创新创意大赛。</w:t>
      </w:r>
    </w:p>
    <w:p w:rsidR="00AD5BB5" w:rsidRDefault="00F87FF6">
      <w:pPr>
        <w:pStyle w:val="2"/>
        <w:numPr>
          <w:ilvl w:val="0"/>
          <w:numId w:val="10"/>
        </w:numPr>
        <w:tabs>
          <w:tab w:val="left" w:pos="426"/>
        </w:tabs>
        <w:spacing w:line="360" w:lineRule="auto"/>
        <w:jc w:val="left"/>
        <w:rPr>
          <w:rFonts w:ascii="宋体" w:hAnsi="宋体"/>
          <w:color w:val="FF0000"/>
        </w:rPr>
      </w:pPr>
      <w:r>
        <w:rPr>
          <w:rFonts w:ascii="宋体" w:hAnsi="宋体" w:hint="eastAsia"/>
        </w:rPr>
        <w:t>报告期内核心竞争力分析</w:t>
      </w:r>
    </w:p>
    <w:p w:rsidR="00AD5BB5" w:rsidRDefault="00F87FF6">
      <w:pPr>
        <w:spacing w:line="360" w:lineRule="auto"/>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本公司的核心竞争力主要体现在以下六个方面：</w:t>
      </w:r>
    </w:p>
    <w:p w:rsidR="00AD5BB5" w:rsidRDefault="00F87FF6">
      <w:pPr>
        <w:spacing w:line="360" w:lineRule="auto"/>
        <w:ind w:firstLineChars="200" w:firstLine="420"/>
        <w:outlineLvl w:val="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是公司治理结构完善。本公司构建了以股东大会为最高权力机构、董事会为决策机构、监事会为监督机构、管理层为执行机构的现代公司治理架构，按照行业和资本市场监管要求，持续推动党的建设和公司治理的有机融合，完善公司治理机制，提升公司治理效能。本公司</w:t>
      </w:r>
      <w:r>
        <w:rPr>
          <w:rFonts w:asciiTheme="minorEastAsia" w:eastAsiaTheme="minorEastAsia" w:hAnsiTheme="minorEastAsia" w:hint="eastAsia"/>
          <w:color w:val="000000" w:themeColor="text1"/>
          <w:szCs w:val="21"/>
        </w:rPr>
        <w:lastRenderedPageBreak/>
        <w:t>具有较为稳定的混合所有制股权结构，为公司平稳运营和各项业务持续稳健发展提供支撑和助力。</w:t>
      </w:r>
    </w:p>
    <w:p w:rsidR="00AD5BB5" w:rsidRDefault="00F87FF6">
      <w:pPr>
        <w:spacing w:line="360" w:lineRule="auto"/>
        <w:ind w:firstLineChars="200" w:firstLine="420"/>
        <w:outlineLvl w:val="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是发展战略清晰且执行有力。本公司结合行业发展趋势和自身实际，每三年制定一轮发展战略规划，坚守城商行的市场定位，形成清晰的战略目标，并按年滚动实施，引领推动公司稳健经营发展。本公司高度重视战略执行，建立了自上而下、从董事会到总分行经营层的战略落地工作架构，以有效的战略执行力保障战略规划落到实处，持续为公司积蓄发展动能。</w:t>
      </w:r>
    </w:p>
    <w:p w:rsidR="00AD5BB5" w:rsidRDefault="00F87FF6">
      <w:pPr>
        <w:spacing w:line="360" w:lineRule="auto"/>
        <w:ind w:firstLineChars="200" w:firstLine="420"/>
        <w:rPr>
          <w:rFonts w:ascii="宋体" w:hAnsi="宋体" w:cs="宋体"/>
          <w:color w:val="FF0000"/>
          <w:szCs w:val="21"/>
        </w:rPr>
      </w:pPr>
      <w:r>
        <w:rPr>
          <w:rFonts w:ascii="宋体" w:hAnsi="宋体" w:cs="宋体" w:hint="eastAsia"/>
          <w:szCs w:val="21"/>
        </w:rPr>
        <w:t>三是小</w:t>
      </w:r>
      <w:proofErr w:type="gramStart"/>
      <w:r>
        <w:rPr>
          <w:rFonts w:ascii="宋体" w:hAnsi="宋体" w:cs="宋体" w:hint="eastAsia"/>
          <w:szCs w:val="21"/>
        </w:rPr>
        <w:t>微企业</w:t>
      </w:r>
      <w:proofErr w:type="gramEnd"/>
      <w:r>
        <w:rPr>
          <w:rFonts w:ascii="宋体" w:hAnsi="宋体" w:cs="宋体" w:hint="eastAsia"/>
          <w:szCs w:val="21"/>
        </w:rPr>
        <w:t>服务能力不断增强。本公司持续发挥城商行与生俱来的本土化、</w:t>
      </w:r>
      <w:proofErr w:type="gramStart"/>
      <w:r>
        <w:rPr>
          <w:rFonts w:ascii="宋体" w:hAnsi="宋体" w:cs="宋体" w:hint="eastAsia"/>
          <w:szCs w:val="21"/>
        </w:rPr>
        <w:t>地缘化</w:t>
      </w:r>
      <w:proofErr w:type="gramEnd"/>
      <w:r>
        <w:rPr>
          <w:rFonts w:ascii="宋体" w:hAnsi="宋体" w:cs="宋体" w:hint="eastAsia"/>
          <w:szCs w:val="21"/>
        </w:rPr>
        <w:t>优势，以市场需求为驱动，用科技手段赋能金融服务，持续提高金融服务效率、降低运营成本，不断提高小</w:t>
      </w:r>
      <w:proofErr w:type="gramStart"/>
      <w:r>
        <w:rPr>
          <w:rFonts w:ascii="宋体" w:hAnsi="宋体" w:cs="宋体" w:hint="eastAsia"/>
          <w:szCs w:val="21"/>
        </w:rPr>
        <w:t>微金融</w:t>
      </w:r>
      <w:proofErr w:type="gramEnd"/>
      <w:r>
        <w:rPr>
          <w:rFonts w:ascii="宋体" w:hAnsi="宋体" w:cs="宋体" w:hint="eastAsia"/>
          <w:szCs w:val="21"/>
        </w:rPr>
        <w:t>服务可获得性和商业可持续性。构建并持续优化普惠小微“信贷工厂”模式，研发了风险等级模型，通过自动审批的方式，实现了客户自主进件申请、在线获知额度，并完善了预警体系及动态监测体系，从而形成了普惠金融标准信贷流程，进一步夯实本公司普惠小</w:t>
      </w:r>
      <w:proofErr w:type="gramStart"/>
      <w:r>
        <w:rPr>
          <w:rFonts w:ascii="宋体" w:hAnsi="宋体" w:cs="宋体" w:hint="eastAsia"/>
          <w:szCs w:val="21"/>
        </w:rPr>
        <w:t>微业务</w:t>
      </w:r>
      <w:proofErr w:type="gramEnd"/>
      <w:r>
        <w:rPr>
          <w:rFonts w:ascii="宋体" w:hAnsi="宋体" w:cs="宋体" w:hint="eastAsia"/>
          <w:szCs w:val="21"/>
        </w:rPr>
        <w:t>的金融服务能力和</w:t>
      </w:r>
      <w:proofErr w:type="gramStart"/>
      <w:r>
        <w:rPr>
          <w:rFonts w:ascii="宋体" w:hAnsi="宋体" w:cs="宋体" w:hint="eastAsia"/>
          <w:szCs w:val="21"/>
        </w:rPr>
        <w:t>自主风控能力</w:t>
      </w:r>
      <w:proofErr w:type="gramEnd"/>
      <w:r>
        <w:rPr>
          <w:rFonts w:ascii="宋体" w:hAnsi="宋体" w:cs="宋体" w:hint="eastAsia"/>
          <w:szCs w:val="21"/>
        </w:rPr>
        <w:t>。同时，依托“信贷工厂”模式，本公司快速推出标准化的普惠小微抵押类贷款产品“厦e贷”以及“成长伴侣信用贷”，还同步启动了科技型企业贷款产品“科技信用贷”等的创设开发。</w:t>
      </w:r>
    </w:p>
    <w:p w:rsidR="00AD5BB5" w:rsidRDefault="00F87FF6">
      <w:pPr>
        <w:spacing w:line="360" w:lineRule="auto"/>
        <w:ind w:firstLineChars="200" w:firstLine="420"/>
        <w:outlineLvl w:val="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四是两岸金融服务特色鲜明。本公司多年来依托台资股东背景及区位优势，围绕个人、公司及同业构建全面的两岸金融业务体系，目前是福建省</w:t>
      </w:r>
      <w:proofErr w:type="gramStart"/>
      <w:r>
        <w:rPr>
          <w:rFonts w:asciiTheme="minorEastAsia" w:eastAsiaTheme="minorEastAsia" w:hAnsiTheme="minorEastAsia" w:hint="eastAsia"/>
          <w:color w:val="000000" w:themeColor="text1"/>
          <w:szCs w:val="21"/>
        </w:rPr>
        <w:t>台企授信</w:t>
      </w:r>
      <w:proofErr w:type="gramEnd"/>
      <w:r>
        <w:rPr>
          <w:rFonts w:asciiTheme="minorEastAsia" w:eastAsiaTheme="minorEastAsia" w:hAnsiTheme="minorEastAsia" w:hint="eastAsia"/>
          <w:color w:val="000000" w:themeColor="text1"/>
          <w:szCs w:val="21"/>
        </w:rPr>
        <w:t>户数最多、针对台胞发放信用卡数量最多的金融机构。本公司从总行、分行到支行搭建了完善的两岸金融服务组织架构，设立台商金融部、台商业务部等管理部门和台商专营团队、对</w:t>
      </w:r>
      <w:proofErr w:type="gramStart"/>
      <w:r>
        <w:rPr>
          <w:rFonts w:asciiTheme="minorEastAsia" w:eastAsiaTheme="minorEastAsia" w:hAnsiTheme="minorEastAsia" w:hint="eastAsia"/>
          <w:color w:val="000000" w:themeColor="text1"/>
          <w:szCs w:val="21"/>
        </w:rPr>
        <w:t>台特色</w:t>
      </w:r>
      <w:proofErr w:type="gramEnd"/>
      <w:r>
        <w:rPr>
          <w:rFonts w:asciiTheme="minorEastAsia" w:eastAsiaTheme="minorEastAsia" w:hAnsiTheme="minorEastAsia" w:hint="eastAsia"/>
          <w:color w:val="000000" w:themeColor="text1"/>
          <w:szCs w:val="21"/>
        </w:rPr>
        <w:t>支行，为</w:t>
      </w:r>
      <w:proofErr w:type="gramStart"/>
      <w:r>
        <w:rPr>
          <w:rFonts w:asciiTheme="minorEastAsia" w:eastAsiaTheme="minorEastAsia" w:hAnsiTheme="minorEastAsia" w:hint="eastAsia"/>
          <w:color w:val="000000" w:themeColor="text1"/>
          <w:szCs w:val="21"/>
        </w:rPr>
        <w:t>台胞台企提供</w:t>
      </w:r>
      <w:proofErr w:type="gramEnd"/>
      <w:r>
        <w:rPr>
          <w:rFonts w:asciiTheme="minorEastAsia" w:eastAsiaTheme="minorEastAsia" w:hAnsiTheme="minorEastAsia" w:hint="eastAsia"/>
          <w:color w:val="000000" w:themeColor="text1"/>
          <w:szCs w:val="21"/>
        </w:rPr>
        <w:t>专业化服务；创新推出薪速汇、资金大三通、两岸通速汇、台胞信用卡、台农贷、台</w:t>
      </w:r>
      <w:proofErr w:type="gramStart"/>
      <w:r>
        <w:rPr>
          <w:rFonts w:asciiTheme="minorEastAsia" w:eastAsiaTheme="minorEastAsia" w:hAnsiTheme="minorEastAsia" w:hint="eastAsia"/>
          <w:color w:val="000000" w:themeColor="text1"/>
          <w:szCs w:val="21"/>
        </w:rPr>
        <w:t>商税易贷</w:t>
      </w:r>
      <w:proofErr w:type="gramEnd"/>
      <w:r>
        <w:rPr>
          <w:rFonts w:asciiTheme="minorEastAsia" w:eastAsiaTheme="minorEastAsia" w:hAnsiTheme="minorEastAsia" w:hint="eastAsia"/>
          <w:color w:val="000000" w:themeColor="text1"/>
          <w:szCs w:val="21"/>
        </w:rPr>
        <w:t>、台商流水贷等特色产品；与多家台湾银行同业建立业务关系，开展外汇及衍生品业务，与在陆台资银行合作为台资企业提供了银团贷款。</w:t>
      </w:r>
    </w:p>
    <w:p w:rsidR="00AD5BB5" w:rsidRDefault="00F87FF6">
      <w:pPr>
        <w:spacing w:line="360" w:lineRule="auto"/>
        <w:ind w:firstLineChars="200" w:firstLine="420"/>
        <w:outlineLvl w:val="2"/>
        <w:rPr>
          <w:rFonts w:ascii="宋体" w:hAnsi="宋体"/>
          <w:color w:val="000000" w:themeColor="text1"/>
          <w:szCs w:val="21"/>
        </w:rPr>
      </w:pPr>
      <w:r>
        <w:rPr>
          <w:rFonts w:ascii="宋体" w:hAnsi="宋体" w:hint="eastAsia"/>
          <w:color w:val="000000" w:themeColor="text1"/>
          <w:szCs w:val="21"/>
        </w:rPr>
        <w:t>五是金融市场业务专业多元。本公司金融市场业务基础扎实，业务品种多元，牌照经营优势明显，深耕同业客户合作。本公司是最早一批成为银行间市场成员的城商行，现已发展成为金融市场业务资格和牌照较为齐全的城商行之一，具备在不同市场环境中准确</w:t>
      </w:r>
      <w:proofErr w:type="gramStart"/>
      <w:r>
        <w:rPr>
          <w:rFonts w:ascii="宋体" w:hAnsi="宋体" w:hint="eastAsia"/>
          <w:color w:val="000000" w:themeColor="text1"/>
          <w:szCs w:val="21"/>
        </w:rPr>
        <w:t>研</w:t>
      </w:r>
      <w:proofErr w:type="gramEnd"/>
      <w:r>
        <w:rPr>
          <w:rFonts w:ascii="宋体" w:hAnsi="宋体" w:hint="eastAsia"/>
          <w:color w:val="000000" w:themeColor="text1"/>
          <w:szCs w:val="21"/>
        </w:rPr>
        <w:t>判宏观形势，合理摆布资产组合，灵活运用多种工具，持续完善交易策略体系的能力。本公司深耕银行间市场并建立深厚的同业基础，</w:t>
      </w:r>
      <w:proofErr w:type="gramStart"/>
      <w:r>
        <w:rPr>
          <w:rFonts w:ascii="宋体" w:hAnsi="宋体" w:hint="eastAsia"/>
          <w:color w:val="000000" w:themeColor="text1"/>
          <w:szCs w:val="21"/>
        </w:rPr>
        <w:t>构建全</w:t>
      </w:r>
      <w:proofErr w:type="gramEnd"/>
      <w:r>
        <w:rPr>
          <w:rFonts w:ascii="宋体" w:hAnsi="宋体" w:hint="eastAsia"/>
          <w:color w:val="000000" w:themeColor="text1"/>
          <w:szCs w:val="21"/>
        </w:rPr>
        <w:t>公司同业客户综合经营体系及“</w:t>
      </w:r>
      <w:r>
        <w:rPr>
          <w:rFonts w:ascii="宋体" w:hAnsi="宋体"/>
          <w:color w:val="000000" w:themeColor="text1"/>
          <w:szCs w:val="21"/>
        </w:rPr>
        <w:t>1+N”同业客户关系管理模式；组建专业信用债投</w:t>
      </w:r>
      <w:proofErr w:type="gramStart"/>
      <w:r>
        <w:rPr>
          <w:rFonts w:ascii="宋体" w:hAnsi="宋体"/>
          <w:color w:val="000000" w:themeColor="text1"/>
          <w:szCs w:val="21"/>
        </w:rPr>
        <w:t>研</w:t>
      </w:r>
      <w:proofErr w:type="gramEnd"/>
      <w:r>
        <w:rPr>
          <w:rFonts w:ascii="宋体" w:hAnsi="宋体"/>
          <w:color w:val="000000" w:themeColor="text1"/>
          <w:szCs w:val="21"/>
        </w:rPr>
        <w:t>队伍，加强辖内企业信用债投资力度，</w:t>
      </w:r>
      <w:proofErr w:type="gramStart"/>
      <w:r>
        <w:rPr>
          <w:rFonts w:ascii="宋体" w:hAnsi="宋体"/>
          <w:color w:val="000000" w:themeColor="text1"/>
          <w:szCs w:val="21"/>
        </w:rPr>
        <w:t>践行</w:t>
      </w:r>
      <w:proofErr w:type="gramEnd"/>
      <w:r>
        <w:rPr>
          <w:rFonts w:ascii="宋体" w:hAnsi="宋体"/>
          <w:color w:val="000000" w:themeColor="text1"/>
          <w:szCs w:val="21"/>
        </w:rPr>
        <w:t>服务实体责任；持续扩展代</w:t>
      </w:r>
      <w:proofErr w:type="gramStart"/>
      <w:r>
        <w:rPr>
          <w:rFonts w:ascii="宋体" w:hAnsi="宋体"/>
          <w:color w:val="000000" w:themeColor="text1"/>
          <w:szCs w:val="21"/>
        </w:rPr>
        <w:t>客产品</w:t>
      </w:r>
      <w:proofErr w:type="gramEnd"/>
      <w:r>
        <w:rPr>
          <w:rFonts w:ascii="宋体" w:hAnsi="宋体"/>
          <w:color w:val="000000" w:themeColor="text1"/>
          <w:szCs w:val="21"/>
        </w:rPr>
        <w:t>范围，提高综合代客业务能力，满足企业客户个性化需求；持续健全风险及合</w:t>
      </w:r>
      <w:proofErr w:type="gramStart"/>
      <w:r>
        <w:rPr>
          <w:rFonts w:ascii="宋体" w:hAnsi="宋体"/>
          <w:color w:val="000000" w:themeColor="text1"/>
          <w:szCs w:val="21"/>
        </w:rPr>
        <w:t>规</w:t>
      </w:r>
      <w:proofErr w:type="gramEnd"/>
      <w:r>
        <w:rPr>
          <w:rFonts w:ascii="宋体" w:hAnsi="宋体"/>
          <w:color w:val="000000" w:themeColor="text1"/>
          <w:szCs w:val="21"/>
        </w:rPr>
        <w:t>管理体系，完善市场风险管理措施、提升信用风险管理质效、强化合</w:t>
      </w:r>
      <w:proofErr w:type="gramStart"/>
      <w:r>
        <w:rPr>
          <w:rFonts w:ascii="宋体" w:hAnsi="宋体"/>
          <w:color w:val="000000" w:themeColor="text1"/>
          <w:szCs w:val="21"/>
        </w:rPr>
        <w:t>规</w:t>
      </w:r>
      <w:proofErr w:type="gramEnd"/>
      <w:r>
        <w:rPr>
          <w:rFonts w:ascii="宋体" w:hAnsi="宋体"/>
          <w:color w:val="000000" w:themeColor="text1"/>
          <w:szCs w:val="21"/>
        </w:rPr>
        <w:t>风险管理力度；制定与业务发展相适应的数字化转型规划，构建前台经营分析、中台风险监控、后台运营管理三大功能布局，加速业务及管理模式的创新和重塑，不断提升数据价值创造能力。</w:t>
      </w:r>
    </w:p>
    <w:p w:rsidR="00AD5BB5" w:rsidRDefault="00F87FF6">
      <w:pPr>
        <w:spacing w:line="360" w:lineRule="auto"/>
        <w:ind w:firstLineChars="200" w:firstLine="420"/>
        <w:outlineLvl w:val="2"/>
        <w:rPr>
          <w:rFonts w:ascii="宋体" w:hAnsi="宋体"/>
          <w:color w:val="000000" w:themeColor="text1"/>
          <w:szCs w:val="21"/>
        </w:rPr>
      </w:pPr>
      <w:r>
        <w:rPr>
          <w:rFonts w:ascii="宋体" w:hAnsi="宋体" w:hint="eastAsia"/>
          <w:color w:val="000000" w:themeColor="text1"/>
          <w:szCs w:val="21"/>
        </w:rPr>
        <w:t>六是风险管理体系完善。本公司秉承稳健经营的发展理念，从风险管理组织架构、风险政策、风险工具建设等方面不断夯实风险管理基础、完善风险管理体系，积极优化风险全流</w:t>
      </w:r>
      <w:r>
        <w:rPr>
          <w:rFonts w:ascii="宋体" w:hAnsi="宋体" w:hint="eastAsia"/>
          <w:color w:val="000000" w:themeColor="text1"/>
          <w:szCs w:val="21"/>
        </w:rPr>
        <w:lastRenderedPageBreak/>
        <w:t>程管控模式，加快大</w:t>
      </w:r>
      <w:proofErr w:type="gramStart"/>
      <w:r>
        <w:rPr>
          <w:rFonts w:ascii="宋体" w:hAnsi="宋体" w:hint="eastAsia"/>
          <w:color w:val="000000" w:themeColor="text1"/>
          <w:szCs w:val="21"/>
        </w:rPr>
        <w:t>数据风控在</w:t>
      </w:r>
      <w:proofErr w:type="gramEnd"/>
      <w:r>
        <w:rPr>
          <w:rFonts w:ascii="宋体" w:hAnsi="宋体" w:hint="eastAsia"/>
          <w:color w:val="000000" w:themeColor="text1"/>
          <w:szCs w:val="21"/>
        </w:rPr>
        <w:t>授信审批、信贷额度、风险预警、差异化风险管理策略中的应用，提高潜在风险识别能力，多年来资产质量持续保持较好水平。</w:t>
      </w:r>
    </w:p>
    <w:p w:rsidR="00AD5BB5" w:rsidRDefault="00F87FF6">
      <w:pPr>
        <w:rPr>
          <w:b/>
        </w:rPr>
      </w:pPr>
      <w:r>
        <w:rPr>
          <w:rFonts w:hint="eastAsia"/>
          <w:b/>
        </w:rPr>
        <w:t xml:space="preserve">   </w:t>
      </w:r>
    </w:p>
    <w:p w:rsidR="00AD5BB5" w:rsidRDefault="00F87FF6">
      <w:pPr>
        <w:pStyle w:val="2"/>
        <w:spacing w:line="360" w:lineRule="auto"/>
        <w:ind w:left="450"/>
      </w:pPr>
      <w:r>
        <w:rPr>
          <w:rFonts w:hint="eastAsia"/>
        </w:rPr>
        <w:t>三、经营情况讨论与分析</w:t>
      </w:r>
    </w:p>
    <w:p w:rsidR="00AD5BB5" w:rsidRDefault="00F87FF6">
      <w:pPr>
        <w:spacing w:line="360" w:lineRule="auto"/>
        <w:ind w:firstLineChars="200" w:firstLine="420"/>
        <w:rPr>
          <w:rFonts w:ascii="Times New Roman" w:hAnsi="Times New Roman" w:cs="宋体"/>
          <w:bCs/>
        </w:rPr>
      </w:pPr>
      <w:r>
        <w:rPr>
          <w:rFonts w:ascii="Times New Roman" w:hAnsi="Times New Roman" w:cs="宋体" w:hint="eastAsia"/>
          <w:bCs/>
        </w:rPr>
        <w:t>2023</w:t>
      </w:r>
      <w:r>
        <w:rPr>
          <w:rFonts w:ascii="Times New Roman" w:hAnsi="Times New Roman" w:cs="宋体" w:hint="eastAsia"/>
          <w:bCs/>
        </w:rPr>
        <w:t>年上半年，在经济复苏态势偏弱的环境下，公司迎难而上，勇于转型，坚定围绕年度工作计划，不断优化业务结构，持续加大战略转型步伐，为全行长远高质量发展奋勇拼搏。报告期内，公司经营绩效保持稳中向好。</w:t>
      </w:r>
    </w:p>
    <w:p w:rsidR="00AD5BB5" w:rsidRDefault="00F87FF6">
      <w:pPr>
        <w:spacing w:line="360" w:lineRule="auto"/>
        <w:ind w:firstLineChars="200" w:firstLine="420"/>
        <w:rPr>
          <w:rFonts w:ascii="Times New Roman" w:hAnsi="Times New Roman" w:cs="宋体"/>
          <w:bCs/>
        </w:rPr>
      </w:pPr>
      <w:r>
        <w:rPr>
          <w:rFonts w:ascii="Times New Roman" w:hAnsi="Times New Roman" w:cs="宋体" w:hint="eastAsia"/>
          <w:bCs/>
        </w:rPr>
        <w:t>截至</w:t>
      </w:r>
      <w:r>
        <w:rPr>
          <w:rFonts w:ascii="Times New Roman" w:hAnsi="Times New Roman" w:cs="宋体" w:hint="eastAsia"/>
          <w:bCs/>
        </w:rPr>
        <w:t>2023</w:t>
      </w:r>
      <w:r>
        <w:rPr>
          <w:rFonts w:ascii="Times New Roman" w:hAnsi="Times New Roman" w:cs="宋体" w:hint="eastAsia"/>
          <w:bCs/>
        </w:rPr>
        <w:t>年</w:t>
      </w:r>
      <w:r>
        <w:rPr>
          <w:rFonts w:ascii="Times New Roman" w:hAnsi="Times New Roman" w:cs="宋体" w:hint="eastAsia"/>
          <w:bCs/>
        </w:rPr>
        <w:t>6</w:t>
      </w:r>
      <w:r>
        <w:rPr>
          <w:rFonts w:ascii="Times New Roman" w:hAnsi="Times New Roman" w:cs="宋体" w:hint="eastAsia"/>
          <w:bCs/>
        </w:rPr>
        <w:t>月末，公司总资产</w:t>
      </w:r>
      <w:r>
        <w:rPr>
          <w:rFonts w:ascii="Times New Roman" w:hAnsi="Times New Roman" w:cs="宋体" w:hint="eastAsia"/>
          <w:bCs/>
        </w:rPr>
        <w:t>3,529.16</w:t>
      </w:r>
      <w:r>
        <w:rPr>
          <w:rFonts w:ascii="Times New Roman" w:hAnsi="Times New Roman" w:cs="宋体" w:hint="eastAsia"/>
          <w:bCs/>
        </w:rPr>
        <w:t>亿元，较上年末下降</w:t>
      </w:r>
      <w:r>
        <w:rPr>
          <w:rFonts w:ascii="Times New Roman" w:hAnsi="Times New Roman" w:cs="宋体" w:hint="eastAsia"/>
          <w:bCs/>
        </w:rPr>
        <w:t>4.93%</w:t>
      </w:r>
      <w:r>
        <w:rPr>
          <w:rFonts w:ascii="Times New Roman" w:hAnsi="Times New Roman" w:cs="宋体" w:hint="eastAsia"/>
          <w:bCs/>
        </w:rPr>
        <w:t>，公司致力于持续优化资产负债结构，提升优质资产占比，将资源聚焦于支持实体经济，截至</w:t>
      </w:r>
      <w:r>
        <w:rPr>
          <w:rFonts w:ascii="Times New Roman" w:hAnsi="Times New Roman" w:cs="宋体" w:hint="eastAsia"/>
          <w:bCs/>
        </w:rPr>
        <w:t>6</w:t>
      </w:r>
      <w:r>
        <w:rPr>
          <w:rFonts w:ascii="Times New Roman" w:hAnsi="Times New Roman" w:cs="宋体" w:hint="eastAsia"/>
          <w:bCs/>
        </w:rPr>
        <w:t>月末贷款及垫款总额为</w:t>
      </w:r>
      <w:r>
        <w:rPr>
          <w:rFonts w:ascii="Times New Roman" w:hAnsi="Times New Roman" w:cs="宋体" w:hint="eastAsia"/>
          <w:bCs/>
        </w:rPr>
        <w:t>2,012.59</w:t>
      </w:r>
      <w:r>
        <w:rPr>
          <w:rFonts w:ascii="Times New Roman" w:hAnsi="Times New Roman" w:cs="宋体" w:hint="eastAsia"/>
          <w:bCs/>
        </w:rPr>
        <w:t>亿元，贷款占总资产比例为</w:t>
      </w:r>
      <w:r>
        <w:rPr>
          <w:rFonts w:ascii="Times New Roman" w:hAnsi="Times New Roman" w:cs="宋体" w:hint="eastAsia"/>
          <w:bCs/>
        </w:rPr>
        <w:t>57.03%</w:t>
      </w:r>
      <w:r>
        <w:rPr>
          <w:rFonts w:ascii="Times New Roman" w:hAnsi="Times New Roman" w:cs="宋体" w:hint="eastAsia"/>
          <w:bCs/>
        </w:rPr>
        <w:t>，较上年末增长</w:t>
      </w:r>
      <w:r>
        <w:rPr>
          <w:rFonts w:ascii="Times New Roman" w:hAnsi="Times New Roman" w:cs="宋体" w:hint="eastAsia"/>
          <w:bCs/>
        </w:rPr>
        <w:t>3.05</w:t>
      </w:r>
      <w:r>
        <w:rPr>
          <w:rFonts w:ascii="Times New Roman" w:hAnsi="Times New Roman" w:cs="宋体" w:hint="eastAsia"/>
          <w:bCs/>
        </w:rPr>
        <w:t>个百分点；总负债</w:t>
      </w:r>
      <w:r>
        <w:rPr>
          <w:rFonts w:ascii="Times New Roman" w:hAnsi="Times New Roman" w:cs="宋体" w:hint="eastAsia"/>
          <w:bCs/>
        </w:rPr>
        <w:t>3,271.79</w:t>
      </w:r>
      <w:r>
        <w:rPr>
          <w:rFonts w:ascii="Times New Roman" w:hAnsi="Times New Roman" w:cs="宋体" w:hint="eastAsia"/>
          <w:bCs/>
        </w:rPr>
        <w:t>亿元，其中吸收存款总额</w:t>
      </w:r>
      <w:r>
        <w:rPr>
          <w:rFonts w:ascii="Times New Roman" w:hAnsi="Times New Roman" w:cs="宋体" w:hint="eastAsia"/>
          <w:bCs/>
        </w:rPr>
        <w:t>1,850.64</w:t>
      </w:r>
      <w:r>
        <w:rPr>
          <w:rFonts w:ascii="Times New Roman" w:hAnsi="Times New Roman" w:cs="宋体" w:hint="eastAsia"/>
          <w:bCs/>
        </w:rPr>
        <w:t>亿元，较上年末下降</w:t>
      </w:r>
      <w:r>
        <w:rPr>
          <w:rFonts w:ascii="Times New Roman" w:hAnsi="Times New Roman" w:cs="宋体" w:hint="eastAsia"/>
          <w:bCs/>
        </w:rPr>
        <w:t>9.67%</w:t>
      </w:r>
      <w:r>
        <w:rPr>
          <w:rFonts w:ascii="Times New Roman" w:hAnsi="Times New Roman" w:cs="宋体" w:hint="eastAsia"/>
          <w:bCs/>
        </w:rPr>
        <w:t>，</w:t>
      </w:r>
      <w:r>
        <w:rPr>
          <w:rFonts w:ascii="Times New Roman" w:hAnsi="Times New Roman" w:cs="宋体" w:hint="eastAsia"/>
          <w:bCs/>
        </w:rPr>
        <w:t>2023</w:t>
      </w:r>
      <w:r>
        <w:rPr>
          <w:rFonts w:ascii="Times New Roman" w:hAnsi="Times New Roman" w:cs="宋体" w:hint="eastAsia"/>
          <w:bCs/>
        </w:rPr>
        <w:t>年上半年公司积极改善存款结构，压降高息存款，提高存款稳定性，截至</w:t>
      </w:r>
      <w:r>
        <w:rPr>
          <w:rFonts w:ascii="Times New Roman" w:hAnsi="Times New Roman" w:cs="宋体" w:hint="eastAsia"/>
          <w:bCs/>
        </w:rPr>
        <w:t>6</w:t>
      </w:r>
      <w:r>
        <w:rPr>
          <w:rFonts w:ascii="Times New Roman" w:hAnsi="Times New Roman" w:cs="宋体" w:hint="eastAsia"/>
          <w:bCs/>
        </w:rPr>
        <w:t>月末结构性存款及保证金存款总额较上年末下降</w:t>
      </w:r>
      <w:r>
        <w:rPr>
          <w:rFonts w:ascii="Times New Roman" w:hAnsi="Times New Roman" w:cs="宋体" w:hint="eastAsia"/>
          <w:bCs/>
        </w:rPr>
        <w:t>34.94%</w:t>
      </w:r>
      <w:r>
        <w:rPr>
          <w:rFonts w:ascii="Times New Roman" w:hAnsi="Times New Roman" w:cs="宋体" w:hint="eastAsia"/>
          <w:bCs/>
        </w:rPr>
        <w:t>，</w:t>
      </w:r>
      <w:r>
        <w:rPr>
          <w:rFonts w:ascii="Times New Roman" w:hAnsi="Times New Roman" w:cs="宋体" w:hint="eastAsia"/>
          <w:bCs/>
        </w:rPr>
        <w:t>2023</w:t>
      </w:r>
      <w:r>
        <w:rPr>
          <w:rFonts w:ascii="Times New Roman" w:hAnsi="Times New Roman" w:cs="宋体" w:hint="eastAsia"/>
          <w:bCs/>
        </w:rPr>
        <w:t>年上半年存款平均成本率较去年同期下降</w:t>
      </w:r>
      <w:r>
        <w:rPr>
          <w:rFonts w:ascii="Times New Roman" w:hAnsi="Times New Roman" w:cs="宋体" w:hint="eastAsia"/>
          <w:bCs/>
        </w:rPr>
        <w:t>0.17</w:t>
      </w:r>
      <w:r>
        <w:rPr>
          <w:rFonts w:ascii="Times New Roman" w:hAnsi="Times New Roman" w:cs="宋体" w:hint="eastAsia"/>
          <w:bCs/>
        </w:rPr>
        <w:t>个百分点。</w:t>
      </w:r>
    </w:p>
    <w:p w:rsidR="00AD5BB5" w:rsidRDefault="00F87FF6">
      <w:pPr>
        <w:spacing w:line="360" w:lineRule="auto"/>
        <w:ind w:firstLineChars="200" w:firstLine="420"/>
        <w:rPr>
          <w:rFonts w:ascii="Times New Roman" w:hAnsi="Times New Roman" w:cs="宋体"/>
          <w:bCs/>
        </w:rPr>
      </w:pPr>
      <w:r>
        <w:rPr>
          <w:rFonts w:ascii="Times New Roman" w:hAnsi="Times New Roman" w:cs="宋体" w:hint="eastAsia"/>
          <w:bCs/>
        </w:rPr>
        <w:t>2023</w:t>
      </w:r>
      <w:r>
        <w:rPr>
          <w:rFonts w:ascii="Times New Roman" w:hAnsi="Times New Roman" w:cs="宋体" w:hint="eastAsia"/>
          <w:bCs/>
        </w:rPr>
        <w:t>年</w:t>
      </w:r>
      <w:r>
        <w:rPr>
          <w:rFonts w:ascii="Times New Roman" w:hAnsi="Times New Roman" w:cs="宋体" w:hint="eastAsia"/>
          <w:bCs/>
        </w:rPr>
        <w:t>1-6</w:t>
      </w:r>
      <w:r>
        <w:rPr>
          <w:rFonts w:ascii="Times New Roman" w:hAnsi="Times New Roman" w:cs="宋体" w:hint="eastAsia"/>
          <w:bCs/>
        </w:rPr>
        <w:t>月，公司实现营业收入</w:t>
      </w:r>
      <w:r>
        <w:rPr>
          <w:rFonts w:ascii="Times New Roman" w:hAnsi="Times New Roman" w:cs="宋体" w:hint="eastAsia"/>
          <w:bCs/>
        </w:rPr>
        <w:t>29.58</w:t>
      </w:r>
      <w:r>
        <w:rPr>
          <w:rFonts w:ascii="Times New Roman" w:hAnsi="Times New Roman" w:cs="宋体" w:hint="eastAsia"/>
          <w:bCs/>
        </w:rPr>
        <w:t>亿元人民币，同比增长</w:t>
      </w:r>
      <w:r>
        <w:rPr>
          <w:rFonts w:ascii="Times New Roman" w:hAnsi="Times New Roman" w:cs="宋体" w:hint="eastAsia"/>
          <w:bCs/>
        </w:rPr>
        <w:t>3.60%</w:t>
      </w:r>
      <w:r>
        <w:rPr>
          <w:rFonts w:ascii="Times New Roman" w:hAnsi="Times New Roman" w:cs="宋体" w:hint="eastAsia"/>
          <w:bCs/>
        </w:rPr>
        <w:t>；实现利润总额</w:t>
      </w:r>
      <w:r>
        <w:rPr>
          <w:rFonts w:ascii="Times New Roman" w:hAnsi="Times New Roman" w:cs="宋体" w:hint="eastAsia"/>
          <w:bCs/>
        </w:rPr>
        <w:t>16.47</w:t>
      </w:r>
      <w:r>
        <w:rPr>
          <w:rFonts w:ascii="Times New Roman" w:hAnsi="Times New Roman" w:cs="宋体" w:hint="eastAsia"/>
          <w:bCs/>
        </w:rPr>
        <w:t>亿元人民币，同比增长</w:t>
      </w:r>
      <w:r>
        <w:rPr>
          <w:rFonts w:ascii="Times New Roman" w:hAnsi="Times New Roman" w:cs="宋体" w:hint="eastAsia"/>
          <w:bCs/>
        </w:rPr>
        <w:t>26.48%</w:t>
      </w:r>
      <w:r>
        <w:rPr>
          <w:rFonts w:ascii="Times New Roman" w:hAnsi="Times New Roman" w:cs="宋体" w:hint="eastAsia"/>
          <w:bCs/>
        </w:rPr>
        <w:t>；净利润</w:t>
      </w:r>
      <w:r>
        <w:rPr>
          <w:rFonts w:ascii="Times New Roman" w:hAnsi="Times New Roman" w:cs="宋体" w:hint="eastAsia"/>
          <w:bCs/>
        </w:rPr>
        <w:t>14.75</w:t>
      </w:r>
      <w:r>
        <w:rPr>
          <w:rFonts w:ascii="Times New Roman" w:hAnsi="Times New Roman" w:cs="宋体" w:hint="eastAsia"/>
          <w:bCs/>
        </w:rPr>
        <w:t>亿元人民币，同比增长</w:t>
      </w:r>
      <w:r>
        <w:rPr>
          <w:rFonts w:ascii="Times New Roman" w:hAnsi="Times New Roman" w:cs="宋体" w:hint="eastAsia"/>
          <w:bCs/>
        </w:rPr>
        <w:t>16.90%</w:t>
      </w:r>
      <w:r>
        <w:rPr>
          <w:rFonts w:ascii="Times New Roman" w:hAnsi="Times New Roman" w:cs="宋体" w:hint="eastAsia"/>
          <w:bCs/>
        </w:rPr>
        <w:t>；归属于上市公司股东的净利润</w:t>
      </w:r>
      <w:r>
        <w:rPr>
          <w:rFonts w:ascii="Times New Roman" w:hAnsi="Times New Roman" w:cs="宋体" w:hint="eastAsia"/>
          <w:bCs/>
        </w:rPr>
        <w:t>14.28</w:t>
      </w:r>
      <w:r>
        <w:rPr>
          <w:rFonts w:ascii="Times New Roman" w:hAnsi="Times New Roman" w:cs="宋体" w:hint="eastAsia"/>
          <w:bCs/>
        </w:rPr>
        <w:t>亿元人民币，同比增长</w:t>
      </w:r>
      <w:r>
        <w:rPr>
          <w:rFonts w:ascii="Times New Roman" w:hAnsi="Times New Roman" w:cs="宋体" w:hint="eastAsia"/>
          <w:bCs/>
        </w:rPr>
        <w:t>15.92%</w:t>
      </w:r>
      <w:r>
        <w:rPr>
          <w:rFonts w:ascii="Times New Roman" w:hAnsi="Times New Roman" w:cs="宋体" w:hint="eastAsia"/>
          <w:bCs/>
        </w:rPr>
        <w:t>，盈利能力保持稳定。</w:t>
      </w:r>
    </w:p>
    <w:p w:rsidR="00AD5BB5" w:rsidRDefault="00F87FF6">
      <w:pPr>
        <w:spacing w:line="360" w:lineRule="auto"/>
        <w:ind w:firstLineChars="200" w:firstLine="420"/>
        <w:rPr>
          <w:rFonts w:ascii="Times New Roman" w:hAnsi="Times New Roman" w:cs="宋体"/>
          <w:szCs w:val="21"/>
        </w:rPr>
      </w:pPr>
      <w:r>
        <w:rPr>
          <w:rFonts w:ascii="Times New Roman" w:hAnsi="Times New Roman" w:cs="宋体" w:hint="eastAsia"/>
          <w:bCs/>
        </w:rPr>
        <w:t>截至</w:t>
      </w:r>
      <w:r>
        <w:rPr>
          <w:rFonts w:ascii="Times New Roman" w:hAnsi="Times New Roman" w:cs="宋体" w:hint="eastAsia"/>
          <w:bCs/>
        </w:rPr>
        <w:t>2023</w:t>
      </w:r>
      <w:r>
        <w:rPr>
          <w:rFonts w:ascii="Times New Roman" w:hAnsi="Times New Roman" w:cs="宋体" w:hint="eastAsia"/>
          <w:bCs/>
        </w:rPr>
        <w:t>年</w:t>
      </w:r>
      <w:r>
        <w:rPr>
          <w:rFonts w:ascii="Times New Roman" w:hAnsi="Times New Roman" w:cs="宋体" w:hint="eastAsia"/>
          <w:bCs/>
        </w:rPr>
        <w:t>6</w:t>
      </w:r>
      <w:r>
        <w:rPr>
          <w:rFonts w:ascii="Times New Roman" w:hAnsi="Times New Roman" w:cs="宋体" w:hint="eastAsia"/>
          <w:bCs/>
        </w:rPr>
        <w:t>月末，公司不良贷款率</w:t>
      </w:r>
      <w:r>
        <w:rPr>
          <w:rFonts w:ascii="Times New Roman" w:hAnsi="Times New Roman" w:cs="宋体" w:hint="eastAsia"/>
          <w:bCs/>
        </w:rPr>
        <w:t>0.80%</w:t>
      </w:r>
      <w:r>
        <w:rPr>
          <w:rFonts w:ascii="Times New Roman" w:hAnsi="Times New Roman" w:cs="宋体" w:hint="eastAsia"/>
          <w:bCs/>
        </w:rPr>
        <w:t>，较上年末下降</w:t>
      </w:r>
      <w:r>
        <w:rPr>
          <w:rFonts w:ascii="Times New Roman" w:hAnsi="Times New Roman" w:cs="宋体" w:hint="eastAsia"/>
          <w:bCs/>
        </w:rPr>
        <w:t>0.06</w:t>
      </w:r>
      <w:r>
        <w:rPr>
          <w:rFonts w:ascii="Times New Roman" w:hAnsi="Times New Roman" w:cs="宋体" w:hint="eastAsia"/>
          <w:bCs/>
        </w:rPr>
        <w:t>个百分点，公司加大不良资产的清收、处置，资产质量稳中向好；拨备覆盖率</w:t>
      </w:r>
      <w:r>
        <w:rPr>
          <w:rFonts w:ascii="Times New Roman" w:hAnsi="Times New Roman" w:cs="宋体" w:hint="eastAsia"/>
          <w:bCs/>
        </w:rPr>
        <w:t>394.86%</w:t>
      </w:r>
      <w:r>
        <w:rPr>
          <w:rFonts w:ascii="Times New Roman" w:hAnsi="Times New Roman" w:cs="宋体" w:hint="eastAsia"/>
          <w:bCs/>
        </w:rPr>
        <w:t>，较上年末上升</w:t>
      </w:r>
      <w:r>
        <w:rPr>
          <w:rFonts w:ascii="Times New Roman" w:hAnsi="Times New Roman" w:cs="宋体" w:hint="eastAsia"/>
          <w:bCs/>
        </w:rPr>
        <w:t>6.93</w:t>
      </w:r>
      <w:r>
        <w:rPr>
          <w:rFonts w:ascii="Times New Roman" w:hAnsi="Times New Roman" w:cs="宋体" w:hint="eastAsia"/>
          <w:bCs/>
        </w:rPr>
        <w:t>个百分点，风险抵补能力进一步增强。</w:t>
      </w:r>
    </w:p>
    <w:p w:rsidR="00AD5BB5" w:rsidRDefault="00F87FF6">
      <w:pPr>
        <w:pStyle w:val="aff2"/>
        <w:spacing w:line="360" w:lineRule="auto"/>
        <w:ind w:leftChars="-135" w:left="-283" w:firstLineChars="135" w:firstLine="285"/>
        <w:outlineLvl w:val="1"/>
        <w:rPr>
          <w:rFonts w:ascii="Times New Roman" w:hAnsi="Times New Roman" w:cs="Times New Roman"/>
          <w:b/>
        </w:rPr>
      </w:pPr>
      <w:r>
        <w:rPr>
          <w:rFonts w:ascii="Times New Roman" w:hAnsi="Times New Roman" w:cs="Times New Roman" w:hint="eastAsia"/>
          <w:b/>
        </w:rPr>
        <w:t>四、报告期内主要经营情况</w:t>
      </w:r>
    </w:p>
    <w:p w:rsidR="00AD5BB5" w:rsidRDefault="00F87FF6">
      <w:pPr>
        <w:pStyle w:val="3"/>
        <w:spacing w:line="360" w:lineRule="auto"/>
        <w:ind w:leftChars="-175" w:left="-368" w:firstLineChars="300" w:firstLine="632"/>
        <w:rPr>
          <w:rFonts w:ascii="Times New Roman" w:hAnsi="Times New Roman" w:cs="Times New Roman"/>
          <w:bCs/>
          <w:kern w:val="0"/>
        </w:rPr>
      </w:pPr>
      <w:r>
        <w:rPr>
          <w:rFonts w:ascii="Times New Roman" w:hAnsi="Times New Roman" w:cs="Times New Roman"/>
        </w:rPr>
        <w:t>（一）</w:t>
      </w:r>
      <w:r>
        <w:rPr>
          <w:rFonts w:ascii="Times New Roman" w:hAnsi="Times New Roman" w:cs="Times New Roman"/>
          <w:bCs/>
          <w:kern w:val="0"/>
        </w:rPr>
        <w:t>利润表分析</w:t>
      </w:r>
    </w:p>
    <w:p w:rsidR="00AD5BB5" w:rsidRDefault="00F87FF6">
      <w:pPr>
        <w:spacing w:line="360" w:lineRule="auto"/>
        <w:ind w:firstLineChars="200" w:firstLine="420"/>
        <w:rPr>
          <w:rFonts w:ascii="Times New Roman" w:hAnsi="Times New Roman" w:cs="宋体"/>
          <w:szCs w:val="21"/>
        </w:rPr>
      </w:pPr>
      <w:r>
        <w:rPr>
          <w:rFonts w:ascii="Times New Roman" w:hAnsi="Times New Roman" w:cs="宋体" w:hint="eastAsia"/>
          <w:szCs w:val="21"/>
        </w:rPr>
        <w:t>报告期内，公司盈利能力保持稳定。</w:t>
      </w:r>
      <w:r>
        <w:rPr>
          <w:rFonts w:ascii="Times New Roman" w:hAnsi="Times New Roman" w:cs="宋体" w:hint="eastAsia"/>
          <w:szCs w:val="21"/>
        </w:rPr>
        <w:t>2023</w:t>
      </w:r>
      <w:r>
        <w:rPr>
          <w:rFonts w:ascii="Times New Roman" w:hAnsi="Times New Roman" w:cs="宋体" w:hint="eastAsia"/>
          <w:szCs w:val="21"/>
        </w:rPr>
        <w:t>年上半年，实现营业收入</w:t>
      </w:r>
      <w:r>
        <w:rPr>
          <w:rFonts w:ascii="Times New Roman" w:hAnsi="Times New Roman" w:cs="宋体" w:hint="eastAsia"/>
          <w:szCs w:val="21"/>
        </w:rPr>
        <w:t>29.58</w:t>
      </w:r>
      <w:r>
        <w:rPr>
          <w:rFonts w:ascii="Times New Roman" w:hAnsi="Times New Roman" w:cs="宋体" w:hint="eastAsia"/>
          <w:szCs w:val="21"/>
        </w:rPr>
        <w:t>亿元，同比增加</w:t>
      </w:r>
      <w:r>
        <w:rPr>
          <w:rFonts w:ascii="Times New Roman" w:hAnsi="Times New Roman" w:cs="宋体" w:hint="eastAsia"/>
          <w:szCs w:val="21"/>
        </w:rPr>
        <w:t>1.03</w:t>
      </w:r>
      <w:r>
        <w:rPr>
          <w:rFonts w:ascii="Times New Roman" w:hAnsi="Times New Roman" w:cs="宋体" w:hint="eastAsia"/>
          <w:szCs w:val="21"/>
        </w:rPr>
        <w:t>亿元，增长</w:t>
      </w:r>
      <w:r>
        <w:rPr>
          <w:rFonts w:ascii="Times New Roman" w:hAnsi="Times New Roman" w:cs="宋体" w:hint="eastAsia"/>
          <w:szCs w:val="21"/>
        </w:rPr>
        <w:t>3.60%</w:t>
      </w:r>
      <w:r>
        <w:rPr>
          <w:rFonts w:ascii="Times New Roman" w:hAnsi="Times New Roman" w:cs="宋体" w:hint="eastAsia"/>
          <w:szCs w:val="21"/>
        </w:rPr>
        <w:t>，其中非</w:t>
      </w:r>
      <w:r>
        <w:rPr>
          <w:rFonts w:ascii="Times New Roman" w:hAnsi="Times New Roman" w:cs="宋体" w:hint="eastAsia"/>
          <w:bCs/>
        </w:rPr>
        <w:t>利息收入增长显著</w:t>
      </w:r>
      <w:r>
        <w:rPr>
          <w:rFonts w:ascii="Times New Roman" w:hAnsi="Times New Roman" w:cs="宋体" w:hint="eastAsia"/>
          <w:szCs w:val="21"/>
        </w:rPr>
        <w:t>；实现归属于母公司股东的净利润</w:t>
      </w:r>
      <w:r>
        <w:rPr>
          <w:rFonts w:ascii="Times New Roman" w:hAnsi="Times New Roman" w:cs="宋体" w:hint="eastAsia"/>
          <w:szCs w:val="21"/>
        </w:rPr>
        <w:t>14.28</w:t>
      </w:r>
      <w:r>
        <w:rPr>
          <w:rFonts w:ascii="Times New Roman" w:hAnsi="Times New Roman" w:cs="宋体" w:hint="eastAsia"/>
          <w:szCs w:val="21"/>
        </w:rPr>
        <w:t>亿元，同比增加</w:t>
      </w:r>
      <w:r>
        <w:rPr>
          <w:rFonts w:ascii="Times New Roman" w:hAnsi="Times New Roman" w:cs="宋体" w:hint="eastAsia"/>
          <w:szCs w:val="21"/>
        </w:rPr>
        <w:t>1.96</w:t>
      </w:r>
      <w:r>
        <w:rPr>
          <w:rFonts w:ascii="Times New Roman" w:hAnsi="Times New Roman" w:cs="宋体" w:hint="eastAsia"/>
          <w:szCs w:val="21"/>
        </w:rPr>
        <w:t>亿元，增长</w:t>
      </w:r>
      <w:r>
        <w:rPr>
          <w:rFonts w:ascii="Times New Roman" w:hAnsi="Times New Roman" w:cs="宋体" w:hint="eastAsia"/>
          <w:szCs w:val="21"/>
        </w:rPr>
        <w:t>15.92%</w:t>
      </w:r>
      <w:r>
        <w:rPr>
          <w:rFonts w:ascii="Times New Roman" w:hAnsi="Times New Roman" w:cs="宋体" w:hint="eastAsia"/>
          <w:szCs w:val="21"/>
        </w:rPr>
        <w:t>。下表列出</w:t>
      </w:r>
      <w:r>
        <w:rPr>
          <w:rFonts w:ascii="Times New Roman" w:hAnsi="Times New Roman" w:cs="宋体" w:hint="eastAsia"/>
          <w:szCs w:val="21"/>
        </w:rPr>
        <w:t>2023</w:t>
      </w:r>
      <w:r>
        <w:rPr>
          <w:rFonts w:ascii="Times New Roman" w:hAnsi="Times New Roman" w:cs="宋体" w:hint="eastAsia"/>
          <w:szCs w:val="21"/>
        </w:rPr>
        <w:t>半年度公司主要损益项目变化：</w:t>
      </w:r>
    </w:p>
    <w:p w:rsidR="00AD5BB5" w:rsidRDefault="00F87FF6">
      <w:pPr>
        <w:pStyle w:val="aff2"/>
        <w:ind w:left="360" w:firstLineChars="0" w:firstLine="0"/>
        <w:jc w:val="right"/>
        <w:rPr>
          <w:rFonts w:ascii="Times New Roman" w:hAnsi="Times New Roman" w:cs="Times New Roman"/>
        </w:rPr>
      </w:pPr>
      <w:r>
        <w:rPr>
          <w:rFonts w:ascii="Times New Roman" w:hAnsi="Times New Roman" w:cs="Times New Roman"/>
        </w:rPr>
        <w:t>单位</w:t>
      </w:r>
      <w:r>
        <w:rPr>
          <w:rFonts w:ascii="Times New Roman" w:hAnsi="Times New Roman" w:cs="Times New Roman"/>
        </w:rPr>
        <w:t>:</w:t>
      </w:r>
      <w:r>
        <w:rPr>
          <w:rFonts w:ascii="Times New Roman" w:hAnsi="Times New Roman" w:cs="Times New Roman"/>
        </w:rPr>
        <w:t>人民币千元</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1928"/>
        <w:gridCol w:w="2057"/>
        <w:gridCol w:w="1562"/>
      </w:tblGrid>
      <w:tr w:rsidR="00AD5BB5">
        <w:tc>
          <w:tcPr>
            <w:tcW w:w="165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center"/>
              <w:rPr>
                <w:rFonts w:ascii="Times New Roman" w:hAnsi="Times New Roman" w:cs="宋体"/>
              </w:rPr>
            </w:pPr>
            <w:r>
              <w:rPr>
                <w:rFonts w:ascii="Times New Roman" w:hAnsi="Times New Roman" w:cs="宋体" w:hint="eastAsia"/>
              </w:rPr>
              <w:t>项目</w:t>
            </w:r>
          </w:p>
        </w:tc>
        <w:tc>
          <w:tcPr>
            <w:tcW w:w="116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center"/>
              <w:rPr>
                <w:rFonts w:ascii="Times New Roman" w:hAnsi="Times New Roman" w:cs="宋体"/>
              </w:rPr>
            </w:pPr>
            <w:r>
              <w:rPr>
                <w:rFonts w:ascii="Times New Roman" w:hAnsi="Times New Roman" w:cs="宋体" w:hint="eastAsia"/>
              </w:rPr>
              <w:t>2023</w:t>
            </w:r>
            <w:r>
              <w:rPr>
                <w:rFonts w:ascii="Times New Roman" w:hAnsi="Times New Roman" w:cs="宋体" w:hint="eastAsia"/>
              </w:rPr>
              <w:t>年</w:t>
            </w:r>
            <w:r>
              <w:rPr>
                <w:rFonts w:ascii="Times New Roman" w:hAnsi="Times New Roman" w:cs="宋体" w:hint="eastAsia"/>
              </w:rPr>
              <w:t>1-6</w:t>
            </w:r>
            <w:r>
              <w:rPr>
                <w:rFonts w:ascii="Times New Roman" w:hAnsi="Times New Roman" w:cs="宋体" w:hint="eastAsia"/>
              </w:rPr>
              <w:t>月</w:t>
            </w:r>
          </w:p>
        </w:tc>
        <w:tc>
          <w:tcPr>
            <w:tcW w:w="1239"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center"/>
              <w:rPr>
                <w:rFonts w:ascii="Times New Roman" w:hAnsi="Times New Roman" w:cs="宋体"/>
              </w:rPr>
            </w:pPr>
            <w:r>
              <w:rPr>
                <w:rFonts w:ascii="Times New Roman" w:hAnsi="Times New Roman" w:cs="宋体" w:hint="eastAsia"/>
              </w:rPr>
              <w:t>2022</w:t>
            </w:r>
            <w:r>
              <w:rPr>
                <w:rFonts w:ascii="Times New Roman" w:hAnsi="Times New Roman" w:cs="宋体" w:hint="eastAsia"/>
              </w:rPr>
              <w:t>年</w:t>
            </w:r>
            <w:r>
              <w:rPr>
                <w:rFonts w:ascii="Times New Roman" w:hAnsi="Times New Roman" w:cs="宋体" w:hint="eastAsia"/>
              </w:rPr>
              <w:t>1-6</w:t>
            </w:r>
            <w:r>
              <w:rPr>
                <w:rFonts w:ascii="Times New Roman" w:hAnsi="Times New Roman" w:cs="宋体" w:hint="eastAsia"/>
              </w:rPr>
              <w:t>月</w:t>
            </w:r>
          </w:p>
        </w:tc>
        <w:tc>
          <w:tcPr>
            <w:tcW w:w="94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center"/>
              <w:rPr>
                <w:rFonts w:ascii="Times New Roman" w:hAnsi="Times New Roman" w:cs="宋体"/>
              </w:rPr>
            </w:pPr>
            <w:r>
              <w:rPr>
                <w:rFonts w:ascii="Times New Roman" w:hAnsi="Times New Roman" w:cs="宋体" w:hint="eastAsia"/>
              </w:rPr>
              <w:t>同比变动（</w:t>
            </w:r>
            <w:r>
              <w:rPr>
                <w:rFonts w:ascii="Times New Roman" w:hAnsi="Times New Roman" w:cs="宋体" w:hint="eastAsia"/>
              </w:rPr>
              <w:t>%</w:t>
            </w:r>
            <w:r>
              <w:rPr>
                <w:rFonts w:ascii="Times New Roman" w:hAnsi="Times New Roman" w:cs="宋体" w:hint="eastAsia"/>
              </w:rPr>
              <w:t>）</w:t>
            </w:r>
          </w:p>
        </w:tc>
      </w:tr>
      <w:tr w:rsidR="00AD5BB5">
        <w:tc>
          <w:tcPr>
            <w:tcW w:w="165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cs="宋体"/>
              </w:rPr>
            </w:pPr>
            <w:r>
              <w:rPr>
                <w:rFonts w:ascii="Times New Roman" w:hAnsi="Times New Roman" w:cs="宋体" w:hint="eastAsia"/>
                <w:b/>
                <w:bCs/>
              </w:rPr>
              <w:t>营业收入</w:t>
            </w:r>
          </w:p>
        </w:tc>
        <w:tc>
          <w:tcPr>
            <w:tcW w:w="116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2,957,517 </w:t>
            </w:r>
          </w:p>
        </w:tc>
        <w:tc>
          <w:tcPr>
            <w:tcW w:w="123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2,854,759 </w:t>
            </w:r>
          </w:p>
        </w:tc>
        <w:tc>
          <w:tcPr>
            <w:tcW w:w="94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3.60 </w:t>
            </w:r>
          </w:p>
        </w:tc>
      </w:tr>
      <w:tr w:rsidR="00AD5BB5">
        <w:tc>
          <w:tcPr>
            <w:tcW w:w="165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leftChars="200" w:left="420" w:firstLineChars="0" w:firstLine="0"/>
              <w:rPr>
                <w:rFonts w:ascii="Times New Roman" w:hAnsi="Times New Roman" w:cs="宋体"/>
              </w:rPr>
            </w:pPr>
            <w:r>
              <w:rPr>
                <w:rFonts w:ascii="Times New Roman" w:hAnsi="Times New Roman" w:cs="宋体" w:hint="eastAsia"/>
              </w:rPr>
              <w:t>利息净收入</w:t>
            </w:r>
          </w:p>
        </w:tc>
        <w:tc>
          <w:tcPr>
            <w:tcW w:w="116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2,238,125 </w:t>
            </w:r>
          </w:p>
        </w:tc>
        <w:tc>
          <w:tcPr>
            <w:tcW w:w="123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2,274,713 </w:t>
            </w:r>
          </w:p>
        </w:tc>
        <w:tc>
          <w:tcPr>
            <w:tcW w:w="94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-1.61 </w:t>
            </w:r>
          </w:p>
        </w:tc>
      </w:tr>
      <w:tr w:rsidR="00AD5BB5">
        <w:tc>
          <w:tcPr>
            <w:tcW w:w="165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leftChars="200" w:left="420" w:firstLineChars="0" w:firstLine="0"/>
              <w:rPr>
                <w:rFonts w:ascii="Times New Roman" w:hAnsi="Times New Roman" w:cs="宋体"/>
              </w:rPr>
            </w:pPr>
            <w:r>
              <w:rPr>
                <w:rFonts w:ascii="Times New Roman" w:hAnsi="Times New Roman" w:cs="宋体" w:hint="eastAsia"/>
              </w:rPr>
              <w:t>非利息净收入</w:t>
            </w:r>
          </w:p>
        </w:tc>
        <w:tc>
          <w:tcPr>
            <w:tcW w:w="116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719,391 </w:t>
            </w:r>
          </w:p>
        </w:tc>
        <w:tc>
          <w:tcPr>
            <w:tcW w:w="123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580,046 </w:t>
            </w:r>
          </w:p>
        </w:tc>
        <w:tc>
          <w:tcPr>
            <w:tcW w:w="94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24.02 </w:t>
            </w:r>
          </w:p>
        </w:tc>
      </w:tr>
      <w:tr w:rsidR="00AD5BB5">
        <w:tc>
          <w:tcPr>
            <w:tcW w:w="165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b/>
                <w:bCs/>
              </w:rPr>
              <w:t>营业支出</w:t>
            </w:r>
          </w:p>
        </w:tc>
        <w:tc>
          <w:tcPr>
            <w:tcW w:w="116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1,308,043 </w:t>
            </w:r>
          </w:p>
        </w:tc>
        <w:tc>
          <w:tcPr>
            <w:tcW w:w="123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1,550,506 </w:t>
            </w:r>
          </w:p>
        </w:tc>
        <w:tc>
          <w:tcPr>
            <w:tcW w:w="94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-15.64 </w:t>
            </w:r>
          </w:p>
        </w:tc>
      </w:tr>
      <w:tr w:rsidR="00AD5BB5">
        <w:tc>
          <w:tcPr>
            <w:tcW w:w="165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ind w:leftChars="200" w:left="420"/>
              <w:rPr>
                <w:rFonts w:ascii="Times New Roman" w:hAnsi="Times New Roman" w:cs="宋体"/>
              </w:rPr>
            </w:pPr>
            <w:r>
              <w:rPr>
                <w:rFonts w:ascii="Times New Roman" w:hAnsi="Times New Roman" w:cs="宋体" w:hint="eastAsia"/>
              </w:rPr>
              <w:t>税金及附加</w:t>
            </w:r>
          </w:p>
        </w:tc>
        <w:tc>
          <w:tcPr>
            <w:tcW w:w="116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35,946 </w:t>
            </w:r>
          </w:p>
        </w:tc>
        <w:tc>
          <w:tcPr>
            <w:tcW w:w="123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38,060 </w:t>
            </w:r>
          </w:p>
        </w:tc>
        <w:tc>
          <w:tcPr>
            <w:tcW w:w="94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-5.55 </w:t>
            </w:r>
          </w:p>
        </w:tc>
      </w:tr>
      <w:tr w:rsidR="00AD5BB5">
        <w:tc>
          <w:tcPr>
            <w:tcW w:w="165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ind w:leftChars="200" w:left="420"/>
              <w:rPr>
                <w:rFonts w:ascii="Times New Roman" w:hAnsi="Times New Roman" w:cs="宋体"/>
              </w:rPr>
            </w:pPr>
            <w:r>
              <w:rPr>
                <w:rFonts w:ascii="Times New Roman" w:hAnsi="Times New Roman" w:cs="宋体" w:hint="eastAsia"/>
              </w:rPr>
              <w:t>业务及管理费</w:t>
            </w:r>
          </w:p>
        </w:tc>
        <w:tc>
          <w:tcPr>
            <w:tcW w:w="116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1,081,952 </w:t>
            </w:r>
          </w:p>
        </w:tc>
        <w:tc>
          <w:tcPr>
            <w:tcW w:w="123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949,120 </w:t>
            </w:r>
          </w:p>
        </w:tc>
        <w:tc>
          <w:tcPr>
            <w:tcW w:w="94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14.00 </w:t>
            </w:r>
          </w:p>
        </w:tc>
      </w:tr>
      <w:tr w:rsidR="00AD5BB5">
        <w:tc>
          <w:tcPr>
            <w:tcW w:w="165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ind w:leftChars="200" w:left="420"/>
              <w:rPr>
                <w:rFonts w:ascii="Times New Roman" w:hAnsi="Times New Roman" w:cs="宋体"/>
              </w:rPr>
            </w:pPr>
            <w:r>
              <w:rPr>
                <w:rFonts w:ascii="Times New Roman" w:hAnsi="Times New Roman" w:cs="宋体" w:hint="eastAsia"/>
              </w:rPr>
              <w:t>信用减值损失</w:t>
            </w:r>
          </w:p>
        </w:tc>
        <w:tc>
          <w:tcPr>
            <w:tcW w:w="116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189,823 </w:t>
            </w:r>
          </w:p>
        </w:tc>
        <w:tc>
          <w:tcPr>
            <w:tcW w:w="123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563,031 </w:t>
            </w:r>
          </w:p>
        </w:tc>
        <w:tc>
          <w:tcPr>
            <w:tcW w:w="94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-66.29 </w:t>
            </w:r>
          </w:p>
        </w:tc>
      </w:tr>
      <w:tr w:rsidR="00AD5BB5">
        <w:tc>
          <w:tcPr>
            <w:tcW w:w="165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ind w:leftChars="200" w:left="420"/>
              <w:rPr>
                <w:rFonts w:ascii="Times New Roman" w:hAnsi="Times New Roman" w:cs="宋体"/>
              </w:rPr>
            </w:pPr>
            <w:r>
              <w:rPr>
                <w:rFonts w:ascii="Times New Roman" w:hAnsi="Times New Roman" w:cs="宋体" w:hint="eastAsia"/>
              </w:rPr>
              <w:t>其他业务支出</w:t>
            </w:r>
          </w:p>
        </w:tc>
        <w:tc>
          <w:tcPr>
            <w:tcW w:w="116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322 </w:t>
            </w:r>
          </w:p>
        </w:tc>
        <w:tc>
          <w:tcPr>
            <w:tcW w:w="123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295 </w:t>
            </w:r>
          </w:p>
        </w:tc>
        <w:tc>
          <w:tcPr>
            <w:tcW w:w="94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9.11 </w:t>
            </w:r>
          </w:p>
        </w:tc>
      </w:tr>
      <w:tr w:rsidR="00AD5BB5">
        <w:trPr>
          <w:trHeight w:val="90"/>
        </w:trPr>
        <w:tc>
          <w:tcPr>
            <w:tcW w:w="165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left"/>
              <w:rPr>
                <w:rFonts w:ascii="Times New Roman" w:hAnsi="Times New Roman" w:cs="宋体"/>
              </w:rPr>
            </w:pPr>
            <w:r>
              <w:rPr>
                <w:rFonts w:ascii="Times New Roman" w:hAnsi="Times New Roman" w:cs="宋体" w:hint="eastAsia"/>
                <w:b/>
                <w:bCs/>
              </w:rPr>
              <w:t>营业利润</w:t>
            </w:r>
          </w:p>
        </w:tc>
        <w:tc>
          <w:tcPr>
            <w:tcW w:w="116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1,649,473 </w:t>
            </w:r>
          </w:p>
        </w:tc>
        <w:tc>
          <w:tcPr>
            <w:tcW w:w="123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1,304,253 </w:t>
            </w:r>
          </w:p>
        </w:tc>
        <w:tc>
          <w:tcPr>
            <w:tcW w:w="94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26.47 </w:t>
            </w:r>
          </w:p>
        </w:tc>
      </w:tr>
      <w:tr w:rsidR="00AD5BB5">
        <w:tc>
          <w:tcPr>
            <w:tcW w:w="165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leftChars="200" w:left="420" w:firstLineChars="0" w:firstLine="0"/>
              <w:rPr>
                <w:rFonts w:ascii="Times New Roman" w:hAnsi="Times New Roman" w:cs="宋体"/>
              </w:rPr>
            </w:pPr>
            <w:r>
              <w:rPr>
                <w:rFonts w:ascii="Times New Roman" w:hAnsi="Times New Roman" w:cs="宋体" w:hint="eastAsia"/>
              </w:rPr>
              <w:lastRenderedPageBreak/>
              <w:t>加：营业外收入</w:t>
            </w:r>
          </w:p>
        </w:tc>
        <w:tc>
          <w:tcPr>
            <w:tcW w:w="116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1,376 </w:t>
            </w:r>
          </w:p>
        </w:tc>
        <w:tc>
          <w:tcPr>
            <w:tcW w:w="123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2,240 </w:t>
            </w:r>
          </w:p>
        </w:tc>
        <w:tc>
          <w:tcPr>
            <w:tcW w:w="94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-38.57 </w:t>
            </w:r>
          </w:p>
        </w:tc>
      </w:tr>
      <w:tr w:rsidR="00AD5BB5">
        <w:tc>
          <w:tcPr>
            <w:tcW w:w="165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leftChars="200" w:left="420" w:firstLineChars="0" w:firstLine="0"/>
              <w:rPr>
                <w:rFonts w:ascii="Times New Roman" w:hAnsi="Times New Roman" w:cs="宋体"/>
              </w:rPr>
            </w:pPr>
            <w:r>
              <w:rPr>
                <w:rFonts w:ascii="Times New Roman" w:hAnsi="Times New Roman" w:cs="宋体" w:hint="eastAsia"/>
              </w:rPr>
              <w:t>减：营业外支出</w:t>
            </w:r>
          </w:p>
        </w:tc>
        <w:tc>
          <w:tcPr>
            <w:tcW w:w="116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3,512 </w:t>
            </w:r>
          </w:p>
        </w:tc>
        <w:tc>
          <w:tcPr>
            <w:tcW w:w="123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4,043 </w:t>
            </w:r>
          </w:p>
        </w:tc>
        <w:tc>
          <w:tcPr>
            <w:tcW w:w="94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-13.12 </w:t>
            </w:r>
          </w:p>
        </w:tc>
      </w:tr>
      <w:tr w:rsidR="00AD5BB5">
        <w:tc>
          <w:tcPr>
            <w:tcW w:w="165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cs="宋体"/>
              </w:rPr>
            </w:pPr>
            <w:r>
              <w:rPr>
                <w:rFonts w:ascii="Times New Roman" w:hAnsi="Times New Roman" w:cs="宋体" w:hint="eastAsia"/>
                <w:b/>
                <w:bCs/>
              </w:rPr>
              <w:t>利润总额</w:t>
            </w:r>
          </w:p>
        </w:tc>
        <w:tc>
          <w:tcPr>
            <w:tcW w:w="116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1,647,337 </w:t>
            </w:r>
          </w:p>
        </w:tc>
        <w:tc>
          <w:tcPr>
            <w:tcW w:w="123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1,302,450 </w:t>
            </w:r>
          </w:p>
        </w:tc>
        <w:tc>
          <w:tcPr>
            <w:tcW w:w="94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26.48 </w:t>
            </w:r>
          </w:p>
        </w:tc>
      </w:tr>
      <w:tr w:rsidR="00AD5BB5">
        <w:tc>
          <w:tcPr>
            <w:tcW w:w="165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leftChars="200" w:left="420" w:firstLineChars="0" w:firstLine="0"/>
              <w:rPr>
                <w:rFonts w:ascii="Times New Roman" w:hAnsi="Times New Roman" w:cs="宋体"/>
              </w:rPr>
            </w:pPr>
            <w:r>
              <w:rPr>
                <w:rFonts w:ascii="Times New Roman" w:hAnsi="Times New Roman" w:cs="宋体" w:hint="eastAsia"/>
              </w:rPr>
              <w:t>减：所得税费用</w:t>
            </w:r>
          </w:p>
        </w:tc>
        <w:tc>
          <w:tcPr>
            <w:tcW w:w="116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172,325 </w:t>
            </w:r>
          </w:p>
        </w:tc>
        <w:tc>
          <w:tcPr>
            <w:tcW w:w="123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40,728 </w:t>
            </w:r>
          </w:p>
        </w:tc>
        <w:tc>
          <w:tcPr>
            <w:tcW w:w="94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323.11 </w:t>
            </w:r>
          </w:p>
        </w:tc>
      </w:tr>
      <w:tr w:rsidR="00AD5BB5">
        <w:tc>
          <w:tcPr>
            <w:tcW w:w="165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cs="宋体"/>
              </w:rPr>
            </w:pPr>
            <w:r>
              <w:rPr>
                <w:rFonts w:ascii="Times New Roman" w:hAnsi="Times New Roman" w:cs="宋体" w:hint="eastAsia"/>
                <w:b/>
                <w:bCs/>
              </w:rPr>
              <w:t>净利润</w:t>
            </w:r>
          </w:p>
        </w:tc>
        <w:tc>
          <w:tcPr>
            <w:tcW w:w="116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1,475,011 </w:t>
            </w:r>
          </w:p>
        </w:tc>
        <w:tc>
          <w:tcPr>
            <w:tcW w:w="123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1,261,722 </w:t>
            </w:r>
          </w:p>
        </w:tc>
        <w:tc>
          <w:tcPr>
            <w:tcW w:w="94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16.90 </w:t>
            </w:r>
          </w:p>
        </w:tc>
      </w:tr>
      <w:tr w:rsidR="00AD5BB5">
        <w:tc>
          <w:tcPr>
            <w:tcW w:w="165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cs="宋体"/>
              </w:rPr>
            </w:pPr>
            <w:r>
              <w:rPr>
                <w:rFonts w:ascii="Times New Roman" w:hAnsi="Times New Roman" w:cs="宋体" w:hint="eastAsia"/>
              </w:rPr>
              <w:t>归属于母公司股东的净利润</w:t>
            </w:r>
          </w:p>
        </w:tc>
        <w:tc>
          <w:tcPr>
            <w:tcW w:w="116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1,428,441 </w:t>
            </w:r>
          </w:p>
        </w:tc>
        <w:tc>
          <w:tcPr>
            <w:tcW w:w="123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1,232,286 </w:t>
            </w:r>
          </w:p>
        </w:tc>
        <w:tc>
          <w:tcPr>
            <w:tcW w:w="94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15.92 </w:t>
            </w:r>
          </w:p>
        </w:tc>
      </w:tr>
      <w:tr w:rsidR="00AD5BB5">
        <w:tc>
          <w:tcPr>
            <w:tcW w:w="165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cs="宋体"/>
              </w:rPr>
            </w:pPr>
            <w:r>
              <w:rPr>
                <w:rFonts w:ascii="Times New Roman" w:hAnsi="Times New Roman" w:cs="宋体" w:hint="eastAsia"/>
              </w:rPr>
              <w:t>少数股东权益</w:t>
            </w:r>
          </w:p>
        </w:tc>
        <w:tc>
          <w:tcPr>
            <w:tcW w:w="116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46,570 </w:t>
            </w:r>
          </w:p>
        </w:tc>
        <w:tc>
          <w:tcPr>
            <w:tcW w:w="123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29,436 </w:t>
            </w:r>
          </w:p>
        </w:tc>
        <w:tc>
          <w:tcPr>
            <w:tcW w:w="94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58.21 </w:t>
            </w:r>
          </w:p>
        </w:tc>
      </w:tr>
    </w:tbl>
    <w:p w:rsidR="00AD5BB5" w:rsidRDefault="00F87FF6">
      <w:pPr>
        <w:pStyle w:val="Default"/>
        <w:rPr>
          <w:rFonts w:ascii="Times New Roman" w:eastAsia="宋体" w:cs="Times New Roman"/>
          <w:b/>
          <w:color w:val="auto"/>
        </w:rPr>
      </w:pPr>
      <w:r>
        <w:rPr>
          <w:rFonts w:ascii="Times New Roman" w:eastAsia="宋体" w:cs="Times New Roman"/>
          <w:color w:val="auto"/>
        </w:rPr>
        <w:t xml:space="preserve">  </w:t>
      </w:r>
    </w:p>
    <w:p w:rsidR="00AD5BB5" w:rsidRDefault="00F87FF6">
      <w:pPr>
        <w:pStyle w:val="4"/>
        <w:numPr>
          <w:ilvl w:val="0"/>
          <w:numId w:val="4"/>
        </w:numPr>
        <w:spacing w:line="360" w:lineRule="auto"/>
        <w:rPr>
          <w:rFonts w:ascii="Times New Roman" w:hAnsi="Times New Roman" w:cs="Times New Roman"/>
          <w:bCs/>
          <w:kern w:val="0"/>
        </w:rPr>
      </w:pPr>
      <w:r>
        <w:rPr>
          <w:rFonts w:ascii="Times New Roman" w:hAnsi="Times New Roman" w:cs="Times New Roman"/>
        </w:rPr>
        <w:t>生息资产和付息负债情况</w:t>
      </w:r>
    </w:p>
    <w:p w:rsidR="00AD5BB5" w:rsidRDefault="00F87FF6">
      <w:pPr>
        <w:spacing w:line="360" w:lineRule="auto"/>
        <w:ind w:firstLineChars="200" w:firstLine="420"/>
        <w:rPr>
          <w:rFonts w:ascii="宋体" w:hAnsi="宋体" w:cs="宋体"/>
          <w:szCs w:val="21"/>
        </w:rPr>
      </w:pPr>
      <w:r>
        <w:rPr>
          <w:rFonts w:ascii="Times New Roman" w:hAnsi="Times New Roman" w:cs="Times New Roman" w:hint="eastAsia"/>
          <w:color w:val="000000"/>
          <w:szCs w:val="21"/>
          <w:lang w:val="zh-CN"/>
        </w:rPr>
        <w:t>报告期内，公司净利差和净息差分别为</w:t>
      </w:r>
      <w:r>
        <w:rPr>
          <w:rFonts w:ascii="Times New Roman" w:hAnsi="Times New Roman" w:cs="Times New Roman"/>
          <w:color w:val="000000"/>
          <w:szCs w:val="21"/>
          <w:lang w:val="zh-CN"/>
        </w:rPr>
        <w:t>1.28%</w:t>
      </w:r>
      <w:r>
        <w:rPr>
          <w:rFonts w:ascii="Times New Roman" w:hAnsi="Times New Roman" w:cs="Times New Roman" w:hint="eastAsia"/>
          <w:color w:val="000000"/>
          <w:szCs w:val="21"/>
          <w:lang w:val="zh-CN"/>
        </w:rPr>
        <w:t>和</w:t>
      </w:r>
      <w:r>
        <w:rPr>
          <w:rFonts w:ascii="Times New Roman" w:hAnsi="Times New Roman" w:cs="Times New Roman"/>
          <w:color w:val="000000"/>
          <w:szCs w:val="21"/>
          <w:lang w:val="zh-CN"/>
        </w:rPr>
        <w:t>1.34%</w:t>
      </w:r>
      <w:r>
        <w:rPr>
          <w:rFonts w:ascii="Times New Roman" w:hAnsi="Times New Roman" w:cs="Times New Roman" w:hint="eastAsia"/>
          <w:color w:val="000000"/>
          <w:szCs w:val="21"/>
          <w:lang w:val="zh-CN"/>
        </w:rPr>
        <w:t>，同比分别下降</w:t>
      </w:r>
      <w:r>
        <w:rPr>
          <w:rFonts w:ascii="Times New Roman" w:hAnsi="Times New Roman" w:cs="Times New Roman"/>
          <w:color w:val="000000"/>
          <w:szCs w:val="21"/>
          <w:lang w:val="zh-CN"/>
        </w:rPr>
        <w:t>0.14</w:t>
      </w:r>
      <w:r>
        <w:rPr>
          <w:rFonts w:ascii="Times New Roman" w:hAnsi="Times New Roman" w:cs="Times New Roman" w:hint="eastAsia"/>
          <w:color w:val="000000"/>
          <w:szCs w:val="21"/>
          <w:lang w:val="zh-CN"/>
        </w:rPr>
        <w:t>个百分点和</w:t>
      </w:r>
      <w:r>
        <w:rPr>
          <w:rFonts w:ascii="Times New Roman" w:hAnsi="Times New Roman" w:cs="Times New Roman"/>
          <w:color w:val="000000"/>
          <w:szCs w:val="21"/>
          <w:lang w:val="zh-CN"/>
        </w:rPr>
        <w:t>0.15</w:t>
      </w:r>
      <w:r>
        <w:rPr>
          <w:rFonts w:ascii="Times New Roman" w:hAnsi="Times New Roman" w:cs="Times New Roman" w:hint="eastAsia"/>
          <w:color w:val="000000"/>
          <w:szCs w:val="21"/>
          <w:lang w:val="zh-CN"/>
        </w:rPr>
        <w:t>个百分点。</w:t>
      </w:r>
      <w:r>
        <w:rPr>
          <w:rFonts w:ascii="Times New Roman" w:hAnsi="Times New Roman" w:cs="Times New Roman"/>
          <w:color w:val="000000"/>
          <w:szCs w:val="21"/>
        </w:rPr>
        <w:t>2022</w:t>
      </w:r>
      <w:r>
        <w:rPr>
          <w:rFonts w:ascii="Times New Roman" w:hAnsi="Times New Roman" w:cs="Times New Roman" w:hint="eastAsia"/>
          <w:color w:val="000000"/>
          <w:szCs w:val="21"/>
        </w:rPr>
        <w:t>年</w:t>
      </w:r>
      <w:r>
        <w:rPr>
          <w:rFonts w:ascii="Times New Roman" w:hAnsi="Times New Roman" w:cs="Times New Roman"/>
          <w:color w:val="000000"/>
          <w:szCs w:val="21"/>
          <w:lang w:val="zh-CN"/>
        </w:rPr>
        <w:t>LPR</w:t>
      </w:r>
      <w:r>
        <w:rPr>
          <w:rFonts w:ascii="Times New Roman" w:hAnsi="Times New Roman" w:cs="Times New Roman" w:hint="eastAsia"/>
          <w:color w:val="000000"/>
          <w:szCs w:val="21"/>
          <w:lang w:val="zh-CN"/>
        </w:rPr>
        <w:t>下调政策频发，年初集中重定价导致贷款利率明显下降，叠加本公司积极响应国家支持实体</w:t>
      </w:r>
      <w:r>
        <w:rPr>
          <w:rFonts w:ascii="宋体" w:hAnsi="宋体" w:cs="宋体" w:hint="eastAsia"/>
          <w:color w:val="000000"/>
          <w:szCs w:val="21"/>
          <w:lang w:val="zh-CN"/>
        </w:rPr>
        <w:t>经济和减费让利政策，贷款平均利率提升存在一定困难；公司通过积极落实负债成本管控措施，在一定程度上压降了存款平均成本率，</w:t>
      </w:r>
      <w:proofErr w:type="gramStart"/>
      <w:r>
        <w:rPr>
          <w:rFonts w:ascii="宋体" w:hAnsi="宋体" w:cs="宋体" w:hint="eastAsia"/>
          <w:color w:val="000000"/>
          <w:szCs w:val="21"/>
          <w:lang w:val="zh-CN"/>
        </w:rPr>
        <w:t>但往期高息</w:t>
      </w:r>
      <w:proofErr w:type="gramEnd"/>
      <w:r>
        <w:rPr>
          <w:rFonts w:ascii="宋体" w:hAnsi="宋体" w:cs="宋体" w:hint="eastAsia"/>
          <w:color w:val="000000"/>
          <w:szCs w:val="21"/>
          <w:lang w:val="zh-CN"/>
        </w:rPr>
        <w:t>存款消化需要一定过程，故整体资产收益率下降幅度高于负债成本下降幅度，导致息差、利差</w:t>
      </w:r>
      <w:proofErr w:type="gramStart"/>
      <w:r>
        <w:rPr>
          <w:rFonts w:ascii="宋体" w:hAnsi="宋体" w:cs="宋体" w:hint="eastAsia"/>
          <w:color w:val="000000"/>
          <w:szCs w:val="21"/>
          <w:lang w:val="zh-CN"/>
        </w:rPr>
        <w:t>同比收</w:t>
      </w:r>
      <w:proofErr w:type="gramEnd"/>
      <w:r>
        <w:rPr>
          <w:rFonts w:ascii="宋体" w:hAnsi="宋体" w:cs="宋体" w:hint="eastAsia"/>
          <w:color w:val="000000"/>
          <w:szCs w:val="21"/>
          <w:lang w:val="zh-CN"/>
        </w:rPr>
        <w:t>窄。公司在持续加强贷款定价的精细化管理的同时，将调</w:t>
      </w:r>
      <w:proofErr w:type="gramStart"/>
      <w:r>
        <w:rPr>
          <w:rFonts w:ascii="宋体" w:hAnsi="宋体" w:cs="宋体" w:hint="eastAsia"/>
          <w:color w:val="000000"/>
          <w:szCs w:val="21"/>
          <w:lang w:val="zh-CN"/>
        </w:rPr>
        <w:t>优方向</w:t>
      </w:r>
      <w:proofErr w:type="gramEnd"/>
      <w:r>
        <w:rPr>
          <w:rFonts w:ascii="宋体" w:hAnsi="宋体" w:cs="宋体" w:hint="eastAsia"/>
          <w:color w:val="000000"/>
          <w:szCs w:val="21"/>
          <w:lang w:val="zh-CN"/>
        </w:rPr>
        <w:t>重点聚焦于存</w:t>
      </w:r>
      <w:proofErr w:type="gramStart"/>
      <w:r>
        <w:rPr>
          <w:rFonts w:ascii="宋体" w:hAnsi="宋体" w:cs="宋体" w:hint="eastAsia"/>
          <w:color w:val="000000"/>
          <w:szCs w:val="21"/>
          <w:lang w:val="zh-CN"/>
        </w:rPr>
        <w:t>贷内部</w:t>
      </w:r>
      <w:proofErr w:type="gramEnd"/>
      <w:r>
        <w:rPr>
          <w:rFonts w:ascii="宋体" w:hAnsi="宋体" w:cs="宋体" w:hint="eastAsia"/>
          <w:color w:val="000000"/>
          <w:szCs w:val="21"/>
          <w:lang w:val="zh-CN"/>
        </w:rPr>
        <w:t>结构调整，形成“双足并行”改善净息差。</w:t>
      </w:r>
    </w:p>
    <w:p w:rsidR="00AD5BB5" w:rsidRDefault="00F87FF6">
      <w:pPr>
        <w:pStyle w:val="aff2"/>
        <w:ind w:left="360" w:firstLineChars="0" w:firstLine="0"/>
        <w:jc w:val="right"/>
        <w:rPr>
          <w:rFonts w:ascii="Times New Roman" w:hAnsi="Times New Roman" w:cs="Times New Roman"/>
        </w:rPr>
      </w:pPr>
      <w:r>
        <w:rPr>
          <w:rFonts w:ascii="Times New Roman" w:hAnsi="Times New Roman" w:cs="Times New Roman"/>
        </w:rPr>
        <w:t>单位</w:t>
      </w:r>
      <w:r>
        <w:rPr>
          <w:rFonts w:ascii="Times New Roman" w:hAnsi="Times New Roman" w:cs="Times New Roman"/>
        </w:rPr>
        <w:t>:</w:t>
      </w:r>
      <w:r>
        <w:rPr>
          <w:rFonts w:ascii="Times New Roman" w:hAnsi="Times New Roman" w:cs="Times New Roman"/>
        </w:rPr>
        <w:t>人民币千元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1306"/>
        <w:gridCol w:w="1483"/>
        <w:gridCol w:w="1481"/>
        <w:gridCol w:w="1485"/>
      </w:tblGrid>
      <w:tr w:rsidR="00AD5BB5">
        <w:trPr>
          <w:trHeight w:val="329"/>
        </w:trPr>
        <w:tc>
          <w:tcPr>
            <w:tcW w:w="153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left"/>
              <w:rPr>
                <w:rFonts w:ascii="Times New Roman" w:hAnsi="Times New Roman" w:cs="宋体"/>
                <w:b/>
                <w:bCs/>
              </w:rPr>
            </w:pPr>
            <w:r>
              <w:rPr>
                <w:rFonts w:ascii="Times New Roman" w:hAnsi="Times New Roman" w:cs="宋体" w:hint="eastAsia"/>
                <w:b/>
                <w:bCs/>
              </w:rPr>
              <w:t>项目</w:t>
            </w:r>
          </w:p>
        </w:tc>
        <w:tc>
          <w:tcPr>
            <w:tcW w:w="1679" w:type="pct"/>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b/>
                <w:bCs/>
              </w:rPr>
            </w:pPr>
            <w:r>
              <w:rPr>
                <w:rFonts w:ascii="Times New Roman" w:hAnsi="Times New Roman" w:cs="宋体" w:hint="eastAsia"/>
                <w:b/>
                <w:bCs/>
              </w:rPr>
              <w:t>2023</w:t>
            </w:r>
            <w:r>
              <w:rPr>
                <w:rFonts w:ascii="Times New Roman" w:hAnsi="Times New Roman" w:cs="宋体" w:hint="eastAsia"/>
                <w:b/>
                <w:bCs/>
              </w:rPr>
              <w:t>年</w:t>
            </w:r>
            <w:r>
              <w:rPr>
                <w:rFonts w:ascii="Times New Roman" w:hAnsi="Times New Roman" w:cs="宋体" w:hint="eastAsia"/>
                <w:b/>
                <w:bCs/>
              </w:rPr>
              <w:t>1-6</w:t>
            </w:r>
            <w:r>
              <w:rPr>
                <w:rFonts w:ascii="Times New Roman" w:hAnsi="Times New Roman" w:cs="宋体" w:hint="eastAsia"/>
                <w:b/>
                <w:bCs/>
              </w:rPr>
              <w:t>月</w:t>
            </w:r>
          </w:p>
        </w:tc>
        <w:tc>
          <w:tcPr>
            <w:tcW w:w="1786" w:type="pct"/>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b/>
                <w:bCs/>
              </w:rPr>
            </w:pPr>
            <w:r>
              <w:rPr>
                <w:rFonts w:ascii="Times New Roman" w:hAnsi="Times New Roman" w:cs="宋体" w:hint="eastAsia"/>
                <w:b/>
                <w:bCs/>
              </w:rPr>
              <w:t>2022</w:t>
            </w:r>
            <w:r>
              <w:rPr>
                <w:rFonts w:ascii="Times New Roman" w:hAnsi="Times New Roman" w:cs="宋体" w:hint="eastAsia"/>
                <w:b/>
                <w:bCs/>
              </w:rPr>
              <w:t>年</w:t>
            </w:r>
            <w:r>
              <w:rPr>
                <w:rFonts w:ascii="Times New Roman" w:hAnsi="Times New Roman" w:cs="宋体" w:hint="eastAsia"/>
                <w:b/>
                <w:bCs/>
              </w:rPr>
              <w:t>1-6</w:t>
            </w:r>
            <w:r>
              <w:rPr>
                <w:rFonts w:ascii="Times New Roman" w:hAnsi="Times New Roman" w:cs="宋体" w:hint="eastAsia"/>
                <w:b/>
                <w:bCs/>
              </w:rPr>
              <w:t>月</w:t>
            </w:r>
          </w:p>
        </w:tc>
      </w:tr>
      <w:tr w:rsidR="00AD5BB5">
        <w:trPr>
          <w:trHeight w:val="329"/>
        </w:trPr>
        <w:tc>
          <w:tcPr>
            <w:tcW w:w="153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left"/>
              <w:rPr>
                <w:rFonts w:ascii="Times New Roman" w:hAnsi="Times New Roman" w:cs="宋体"/>
                <w:b/>
                <w:bCs/>
              </w:rPr>
            </w:pPr>
            <w:r>
              <w:rPr>
                <w:rFonts w:ascii="Times New Roman" w:hAnsi="Times New Roman" w:cs="宋体" w:hint="eastAsia"/>
                <w:b/>
                <w:bCs/>
              </w:rPr>
              <w:t>资产</w:t>
            </w:r>
          </w:p>
        </w:tc>
        <w:tc>
          <w:tcPr>
            <w:tcW w:w="78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b/>
                <w:bCs/>
              </w:rPr>
            </w:pPr>
            <w:r>
              <w:rPr>
                <w:rFonts w:ascii="Times New Roman" w:hAnsi="Times New Roman" w:cs="宋体" w:hint="eastAsia"/>
                <w:b/>
                <w:bCs/>
              </w:rPr>
              <w:t>平均余额</w:t>
            </w:r>
          </w:p>
        </w:tc>
        <w:tc>
          <w:tcPr>
            <w:tcW w:w="89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b/>
                <w:bCs/>
              </w:rPr>
            </w:pPr>
            <w:r>
              <w:rPr>
                <w:rFonts w:ascii="Times New Roman" w:hAnsi="Times New Roman" w:cs="宋体" w:hint="eastAsia"/>
                <w:b/>
                <w:bCs/>
              </w:rPr>
              <w:t>平均利率（</w:t>
            </w:r>
            <w:r>
              <w:rPr>
                <w:rFonts w:ascii="Times New Roman" w:hAnsi="Times New Roman" w:cs="宋体" w:hint="eastAsia"/>
                <w:b/>
                <w:bCs/>
              </w:rPr>
              <w:t>%</w:t>
            </w:r>
            <w:r>
              <w:rPr>
                <w:rFonts w:ascii="Times New Roman" w:hAnsi="Times New Roman" w:cs="宋体" w:hint="eastAsia"/>
                <w:b/>
                <w:bCs/>
              </w:rPr>
              <w:t>）</w:t>
            </w:r>
          </w:p>
        </w:tc>
        <w:tc>
          <w:tcPr>
            <w:tcW w:w="89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b/>
                <w:bCs/>
              </w:rPr>
            </w:pPr>
            <w:r>
              <w:rPr>
                <w:rFonts w:ascii="Times New Roman" w:hAnsi="Times New Roman" w:cs="宋体" w:hint="eastAsia"/>
                <w:b/>
                <w:bCs/>
              </w:rPr>
              <w:t>平均余额</w:t>
            </w:r>
          </w:p>
        </w:tc>
        <w:tc>
          <w:tcPr>
            <w:tcW w:w="89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b/>
                <w:bCs/>
              </w:rPr>
            </w:pPr>
            <w:r>
              <w:rPr>
                <w:rFonts w:ascii="Times New Roman" w:hAnsi="Times New Roman" w:cs="宋体" w:hint="eastAsia"/>
                <w:b/>
                <w:bCs/>
              </w:rPr>
              <w:t>平均利率（</w:t>
            </w:r>
            <w:r>
              <w:rPr>
                <w:rFonts w:ascii="Times New Roman" w:hAnsi="Times New Roman" w:cs="宋体" w:hint="eastAsia"/>
                <w:b/>
                <w:bCs/>
              </w:rPr>
              <w:t>%</w:t>
            </w:r>
            <w:r>
              <w:rPr>
                <w:rFonts w:ascii="Times New Roman" w:hAnsi="Times New Roman" w:cs="宋体" w:hint="eastAsia"/>
                <w:b/>
                <w:bCs/>
              </w:rPr>
              <w:t>）</w:t>
            </w:r>
          </w:p>
        </w:tc>
      </w:tr>
      <w:tr w:rsidR="00AD5BB5">
        <w:trPr>
          <w:trHeight w:val="329"/>
        </w:trPr>
        <w:tc>
          <w:tcPr>
            <w:tcW w:w="153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cs="宋体"/>
              </w:rPr>
            </w:pPr>
            <w:r>
              <w:rPr>
                <w:rFonts w:ascii="Times New Roman" w:hAnsi="Times New Roman" w:cs="宋体" w:hint="eastAsia"/>
              </w:rPr>
              <w:t>发放贷款和垫款</w:t>
            </w:r>
          </w:p>
        </w:tc>
        <w:tc>
          <w:tcPr>
            <w:tcW w:w="78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szCs w:val="21"/>
              </w:rPr>
            </w:pPr>
            <w:r>
              <w:rPr>
                <w:rFonts w:ascii="Times New Roman" w:hAnsi="Times New Roman" w:cs="Times New Roman"/>
                <w:kern w:val="0"/>
                <w:szCs w:val="21"/>
                <w:lang w:bidi="ar"/>
              </w:rPr>
              <w:t xml:space="preserve">198,132,465 </w:t>
            </w:r>
          </w:p>
        </w:tc>
        <w:tc>
          <w:tcPr>
            <w:tcW w:w="89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szCs w:val="21"/>
              </w:rPr>
            </w:pPr>
            <w:r>
              <w:rPr>
                <w:rFonts w:ascii="Times New Roman" w:hAnsi="Times New Roman" w:cs="Times New Roman"/>
                <w:kern w:val="0"/>
                <w:szCs w:val="21"/>
                <w:lang w:bidi="ar"/>
              </w:rPr>
              <w:t xml:space="preserve">4.41 </w:t>
            </w:r>
          </w:p>
        </w:tc>
        <w:tc>
          <w:tcPr>
            <w:tcW w:w="89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kern w:val="0"/>
                <w:szCs w:val="21"/>
                <w:lang w:bidi="ar"/>
              </w:rPr>
            </w:pPr>
            <w:r>
              <w:rPr>
                <w:rFonts w:ascii="Times New Roman" w:hAnsi="Times New Roman" w:cs="Times New Roman"/>
                <w:kern w:val="0"/>
                <w:szCs w:val="21"/>
                <w:lang w:bidi="ar"/>
              </w:rPr>
              <w:t xml:space="preserve">178,020,731 </w:t>
            </w:r>
          </w:p>
        </w:tc>
        <w:tc>
          <w:tcPr>
            <w:tcW w:w="89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kern w:val="0"/>
                <w:szCs w:val="21"/>
                <w:lang w:bidi="ar"/>
              </w:rPr>
            </w:pPr>
            <w:r>
              <w:rPr>
                <w:rFonts w:ascii="Times New Roman" w:hAnsi="Times New Roman" w:cs="Times New Roman"/>
                <w:kern w:val="0"/>
                <w:szCs w:val="21"/>
                <w:lang w:bidi="ar"/>
              </w:rPr>
              <w:t xml:space="preserve">4.82 </w:t>
            </w:r>
          </w:p>
        </w:tc>
      </w:tr>
      <w:tr w:rsidR="00AD5BB5">
        <w:trPr>
          <w:trHeight w:val="329"/>
        </w:trPr>
        <w:tc>
          <w:tcPr>
            <w:tcW w:w="153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cs="宋体"/>
              </w:rPr>
            </w:pPr>
            <w:r>
              <w:rPr>
                <w:rFonts w:ascii="Times New Roman" w:hAnsi="Times New Roman" w:cs="宋体" w:hint="eastAsia"/>
              </w:rPr>
              <w:t>存放中央银行款项</w:t>
            </w:r>
          </w:p>
        </w:tc>
        <w:tc>
          <w:tcPr>
            <w:tcW w:w="78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szCs w:val="21"/>
              </w:rPr>
            </w:pPr>
            <w:r>
              <w:rPr>
                <w:rFonts w:ascii="Times New Roman" w:hAnsi="Times New Roman" w:cs="Times New Roman"/>
                <w:kern w:val="0"/>
                <w:szCs w:val="21"/>
                <w:lang w:bidi="ar"/>
              </w:rPr>
              <w:t xml:space="preserve">17,193,096 </w:t>
            </w:r>
          </w:p>
        </w:tc>
        <w:tc>
          <w:tcPr>
            <w:tcW w:w="89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szCs w:val="21"/>
              </w:rPr>
            </w:pPr>
            <w:r>
              <w:rPr>
                <w:rFonts w:ascii="Times New Roman" w:hAnsi="Times New Roman" w:cs="Times New Roman"/>
                <w:kern w:val="0"/>
                <w:szCs w:val="21"/>
                <w:lang w:bidi="ar"/>
              </w:rPr>
              <w:t xml:space="preserve">1.31 </w:t>
            </w:r>
          </w:p>
        </w:tc>
        <w:tc>
          <w:tcPr>
            <w:tcW w:w="89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kern w:val="0"/>
                <w:szCs w:val="21"/>
                <w:lang w:bidi="ar"/>
              </w:rPr>
            </w:pPr>
            <w:r>
              <w:rPr>
                <w:rFonts w:ascii="Times New Roman" w:hAnsi="Times New Roman" w:cs="Times New Roman"/>
                <w:kern w:val="0"/>
                <w:szCs w:val="21"/>
                <w:lang w:bidi="ar"/>
              </w:rPr>
              <w:t xml:space="preserve">16,533,264 </w:t>
            </w:r>
          </w:p>
        </w:tc>
        <w:tc>
          <w:tcPr>
            <w:tcW w:w="89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kern w:val="0"/>
                <w:szCs w:val="21"/>
                <w:lang w:bidi="ar"/>
              </w:rPr>
            </w:pPr>
            <w:r>
              <w:rPr>
                <w:rFonts w:ascii="Times New Roman" w:hAnsi="Times New Roman" w:cs="Times New Roman"/>
                <w:kern w:val="0"/>
                <w:szCs w:val="21"/>
                <w:lang w:bidi="ar"/>
              </w:rPr>
              <w:t xml:space="preserve">1.38 </w:t>
            </w:r>
          </w:p>
        </w:tc>
      </w:tr>
      <w:tr w:rsidR="00AD5BB5">
        <w:trPr>
          <w:trHeight w:val="329"/>
        </w:trPr>
        <w:tc>
          <w:tcPr>
            <w:tcW w:w="153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cs="宋体"/>
              </w:rPr>
            </w:pPr>
            <w:proofErr w:type="gramStart"/>
            <w:r>
              <w:rPr>
                <w:rFonts w:ascii="Times New Roman" w:hAnsi="Times New Roman" w:cs="宋体" w:hint="eastAsia"/>
              </w:rPr>
              <w:t>存拆</w:t>
            </w:r>
            <w:proofErr w:type="gramEnd"/>
            <w:r>
              <w:rPr>
                <w:rFonts w:ascii="Times New Roman" w:hAnsi="Times New Roman" w:cs="宋体" w:hint="eastAsia"/>
              </w:rPr>
              <w:t>放同业和其他金融机构款项</w:t>
            </w:r>
          </w:p>
        </w:tc>
        <w:tc>
          <w:tcPr>
            <w:tcW w:w="78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szCs w:val="21"/>
              </w:rPr>
            </w:pPr>
            <w:r>
              <w:rPr>
                <w:rFonts w:ascii="Times New Roman" w:hAnsi="Times New Roman" w:cs="Times New Roman"/>
                <w:kern w:val="0"/>
                <w:szCs w:val="21"/>
                <w:lang w:bidi="ar"/>
              </w:rPr>
              <w:t xml:space="preserve">27,358,587 </w:t>
            </w:r>
          </w:p>
        </w:tc>
        <w:tc>
          <w:tcPr>
            <w:tcW w:w="89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szCs w:val="21"/>
              </w:rPr>
            </w:pPr>
            <w:r>
              <w:rPr>
                <w:rFonts w:ascii="Times New Roman" w:hAnsi="Times New Roman" w:cs="Times New Roman"/>
                <w:kern w:val="0"/>
                <w:szCs w:val="21"/>
                <w:lang w:bidi="ar"/>
              </w:rPr>
              <w:t xml:space="preserve">2.85 </w:t>
            </w:r>
          </w:p>
        </w:tc>
        <w:tc>
          <w:tcPr>
            <w:tcW w:w="89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kern w:val="0"/>
                <w:szCs w:val="21"/>
                <w:lang w:bidi="ar"/>
              </w:rPr>
            </w:pPr>
            <w:r>
              <w:rPr>
                <w:rFonts w:ascii="Times New Roman" w:hAnsi="Times New Roman" w:cs="Times New Roman"/>
                <w:kern w:val="0"/>
                <w:szCs w:val="21"/>
                <w:lang w:bidi="ar"/>
              </w:rPr>
              <w:t xml:space="preserve">29,759,993 </w:t>
            </w:r>
          </w:p>
        </w:tc>
        <w:tc>
          <w:tcPr>
            <w:tcW w:w="89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kern w:val="0"/>
                <w:szCs w:val="21"/>
                <w:lang w:bidi="ar"/>
              </w:rPr>
            </w:pPr>
            <w:r>
              <w:rPr>
                <w:rFonts w:ascii="Times New Roman" w:hAnsi="Times New Roman" w:cs="Times New Roman"/>
                <w:kern w:val="0"/>
                <w:szCs w:val="21"/>
                <w:lang w:bidi="ar"/>
              </w:rPr>
              <w:t xml:space="preserve">2.94 </w:t>
            </w:r>
          </w:p>
        </w:tc>
      </w:tr>
      <w:tr w:rsidR="00AD5BB5">
        <w:trPr>
          <w:trHeight w:val="329"/>
        </w:trPr>
        <w:tc>
          <w:tcPr>
            <w:tcW w:w="153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cs="宋体"/>
              </w:rPr>
            </w:pPr>
            <w:r>
              <w:rPr>
                <w:rFonts w:ascii="Times New Roman" w:hAnsi="Times New Roman" w:cs="宋体" w:hint="eastAsia"/>
              </w:rPr>
              <w:t>金融资产投资</w:t>
            </w:r>
          </w:p>
        </w:tc>
        <w:tc>
          <w:tcPr>
            <w:tcW w:w="78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szCs w:val="21"/>
              </w:rPr>
            </w:pPr>
            <w:r>
              <w:rPr>
                <w:rFonts w:ascii="Times New Roman" w:hAnsi="Times New Roman" w:cs="Times New Roman"/>
                <w:kern w:val="0"/>
                <w:szCs w:val="21"/>
                <w:lang w:bidi="ar"/>
              </w:rPr>
              <w:t xml:space="preserve">90,305,805 </w:t>
            </w:r>
          </w:p>
        </w:tc>
        <w:tc>
          <w:tcPr>
            <w:tcW w:w="89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szCs w:val="21"/>
              </w:rPr>
            </w:pPr>
            <w:r>
              <w:rPr>
                <w:rFonts w:ascii="Times New Roman" w:hAnsi="Times New Roman" w:cs="Times New Roman"/>
                <w:kern w:val="0"/>
                <w:szCs w:val="21"/>
                <w:lang w:bidi="ar"/>
              </w:rPr>
              <w:t xml:space="preserve">2.99 </w:t>
            </w:r>
          </w:p>
        </w:tc>
        <w:tc>
          <w:tcPr>
            <w:tcW w:w="89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kern w:val="0"/>
                <w:szCs w:val="21"/>
                <w:lang w:bidi="ar"/>
              </w:rPr>
            </w:pPr>
            <w:r>
              <w:rPr>
                <w:rFonts w:ascii="Times New Roman" w:hAnsi="Times New Roman" w:cs="Times New Roman"/>
                <w:kern w:val="0"/>
                <w:szCs w:val="21"/>
                <w:lang w:bidi="ar"/>
              </w:rPr>
              <w:t xml:space="preserve">81,237,214 </w:t>
            </w:r>
          </w:p>
        </w:tc>
        <w:tc>
          <w:tcPr>
            <w:tcW w:w="89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kern w:val="0"/>
                <w:szCs w:val="21"/>
                <w:lang w:bidi="ar"/>
              </w:rPr>
            </w:pPr>
            <w:r>
              <w:rPr>
                <w:rFonts w:ascii="Times New Roman" w:hAnsi="Times New Roman" w:cs="Times New Roman"/>
                <w:kern w:val="0"/>
                <w:szCs w:val="21"/>
                <w:lang w:bidi="ar"/>
              </w:rPr>
              <w:t xml:space="preserve">3.06 </w:t>
            </w:r>
          </w:p>
        </w:tc>
      </w:tr>
      <w:tr w:rsidR="00AD5BB5">
        <w:trPr>
          <w:trHeight w:val="329"/>
        </w:trPr>
        <w:tc>
          <w:tcPr>
            <w:tcW w:w="153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cs="宋体"/>
              </w:rPr>
            </w:pPr>
            <w:r>
              <w:rPr>
                <w:rFonts w:ascii="Times New Roman" w:hAnsi="Times New Roman" w:cs="宋体" w:hint="eastAsia"/>
                <w:b/>
                <w:bCs/>
              </w:rPr>
              <w:t>生息资产合计</w:t>
            </w:r>
          </w:p>
        </w:tc>
        <w:tc>
          <w:tcPr>
            <w:tcW w:w="78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szCs w:val="21"/>
              </w:rPr>
            </w:pPr>
            <w:r>
              <w:rPr>
                <w:rFonts w:ascii="Times New Roman" w:hAnsi="Times New Roman" w:cs="Times New Roman"/>
                <w:kern w:val="0"/>
                <w:szCs w:val="21"/>
                <w:lang w:bidi="ar"/>
              </w:rPr>
              <w:t xml:space="preserve">332,989,952 </w:t>
            </w:r>
          </w:p>
        </w:tc>
        <w:tc>
          <w:tcPr>
            <w:tcW w:w="89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szCs w:val="21"/>
              </w:rPr>
            </w:pPr>
            <w:r>
              <w:rPr>
                <w:rFonts w:ascii="Times New Roman" w:hAnsi="Times New Roman" w:cs="Times New Roman"/>
                <w:kern w:val="0"/>
                <w:szCs w:val="21"/>
                <w:lang w:bidi="ar"/>
              </w:rPr>
              <w:t xml:space="preserve">3.74 </w:t>
            </w:r>
          </w:p>
        </w:tc>
        <w:tc>
          <w:tcPr>
            <w:tcW w:w="89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kern w:val="0"/>
                <w:szCs w:val="21"/>
                <w:lang w:bidi="ar"/>
              </w:rPr>
            </w:pPr>
            <w:r>
              <w:rPr>
                <w:rFonts w:ascii="Times New Roman" w:hAnsi="Times New Roman" w:cs="Times New Roman"/>
                <w:kern w:val="0"/>
                <w:szCs w:val="21"/>
                <w:lang w:bidi="ar"/>
              </w:rPr>
              <w:t xml:space="preserve">305,551,202 </w:t>
            </w:r>
          </w:p>
        </w:tc>
        <w:tc>
          <w:tcPr>
            <w:tcW w:w="89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kern w:val="0"/>
                <w:szCs w:val="21"/>
                <w:lang w:bidi="ar"/>
              </w:rPr>
            </w:pPr>
            <w:r>
              <w:rPr>
                <w:rFonts w:ascii="Times New Roman" w:hAnsi="Times New Roman" w:cs="Times New Roman"/>
                <w:kern w:val="0"/>
                <w:szCs w:val="21"/>
                <w:lang w:bidi="ar"/>
              </w:rPr>
              <w:t xml:space="preserve">3.99 </w:t>
            </w:r>
          </w:p>
        </w:tc>
      </w:tr>
      <w:tr w:rsidR="00AD5BB5">
        <w:trPr>
          <w:trHeight w:val="329"/>
        </w:trPr>
        <w:tc>
          <w:tcPr>
            <w:tcW w:w="153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cs="宋体"/>
              </w:rPr>
            </w:pPr>
            <w:r>
              <w:rPr>
                <w:rFonts w:ascii="Times New Roman" w:hAnsi="Times New Roman" w:cs="宋体" w:hint="eastAsia"/>
                <w:b/>
                <w:bCs/>
              </w:rPr>
              <w:t>负债</w:t>
            </w:r>
          </w:p>
        </w:tc>
        <w:tc>
          <w:tcPr>
            <w:tcW w:w="78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szCs w:val="21"/>
              </w:rPr>
            </w:pPr>
            <w:r>
              <w:rPr>
                <w:rFonts w:ascii="Times New Roman" w:hAnsi="Times New Roman" w:cs="Times New Roman"/>
                <w:b/>
                <w:bCs/>
                <w:szCs w:val="21"/>
              </w:rPr>
              <w:t>平均余额</w:t>
            </w:r>
          </w:p>
        </w:tc>
        <w:tc>
          <w:tcPr>
            <w:tcW w:w="89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szCs w:val="21"/>
              </w:rPr>
            </w:pPr>
            <w:r>
              <w:rPr>
                <w:rFonts w:ascii="Times New Roman" w:hAnsi="Times New Roman" w:cs="Times New Roman"/>
                <w:b/>
                <w:bCs/>
                <w:szCs w:val="21"/>
              </w:rPr>
              <w:t>平均利率</w:t>
            </w:r>
            <w:r>
              <w:rPr>
                <w:rFonts w:ascii="Times New Roman" w:hAnsi="Times New Roman" w:cs="宋体" w:hint="eastAsia"/>
                <w:b/>
                <w:bCs/>
              </w:rPr>
              <w:t>（</w:t>
            </w:r>
            <w:r>
              <w:rPr>
                <w:rFonts w:ascii="Times New Roman" w:hAnsi="Times New Roman" w:cs="宋体" w:hint="eastAsia"/>
                <w:b/>
                <w:bCs/>
              </w:rPr>
              <w:t>%</w:t>
            </w:r>
            <w:r>
              <w:rPr>
                <w:rFonts w:ascii="Times New Roman" w:hAnsi="Times New Roman" w:cs="宋体" w:hint="eastAsia"/>
                <w:b/>
                <w:bCs/>
              </w:rPr>
              <w:t>）</w:t>
            </w:r>
          </w:p>
        </w:tc>
        <w:tc>
          <w:tcPr>
            <w:tcW w:w="89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szCs w:val="21"/>
              </w:rPr>
            </w:pPr>
            <w:r>
              <w:rPr>
                <w:rFonts w:ascii="Times New Roman" w:hAnsi="Times New Roman" w:cs="宋体" w:hint="eastAsia"/>
                <w:b/>
                <w:bCs/>
                <w:kern w:val="0"/>
                <w:szCs w:val="21"/>
                <w:lang w:bidi="ar"/>
              </w:rPr>
              <w:t>平均余额</w:t>
            </w:r>
          </w:p>
        </w:tc>
        <w:tc>
          <w:tcPr>
            <w:tcW w:w="89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szCs w:val="21"/>
              </w:rPr>
            </w:pPr>
            <w:r>
              <w:rPr>
                <w:rFonts w:ascii="Times New Roman" w:hAnsi="Times New Roman" w:cs="宋体" w:hint="eastAsia"/>
                <w:b/>
                <w:bCs/>
                <w:kern w:val="0"/>
                <w:szCs w:val="21"/>
                <w:lang w:bidi="ar"/>
              </w:rPr>
              <w:t>平均利率</w:t>
            </w:r>
            <w:r>
              <w:rPr>
                <w:rFonts w:ascii="Times New Roman" w:hAnsi="Times New Roman" w:cs="宋体" w:hint="eastAsia"/>
                <w:b/>
                <w:bCs/>
              </w:rPr>
              <w:t>（</w:t>
            </w:r>
            <w:r>
              <w:rPr>
                <w:rFonts w:ascii="Times New Roman" w:hAnsi="Times New Roman" w:cs="宋体" w:hint="eastAsia"/>
                <w:b/>
                <w:bCs/>
              </w:rPr>
              <w:t>%</w:t>
            </w:r>
            <w:r>
              <w:rPr>
                <w:rFonts w:ascii="Times New Roman" w:hAnsi="Times New Roman" w:cs="宋体" w:hint="eastAsia"/>
                <w:b/>
                <w:bCs/>
              </w:rPr>
              <w:t>）</w:t>
            </w:r>
          </w:p>
        </w:tc>
      </w:tr>
      <w:tr w:rsidR="00AD5BB5">
        <w:trPr>
          <w:trHeight w:val="329"/>
        </w:trPr>
        <w:tc>
          <w:tcPr>
            <w:tcW w:w="153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cs="宋体"/>
              </w:rPr>
            </w:pPr>
            <w:r>
              <w:rPr>
                <w:rFonts w:ascii="Times New Roman" w:hAnsi="Times New Roman" w:cs="宋体" w:hint="eastAsia"/>
              </w:rPr>
              <w:t>吸收存款</w:t>
            </w:r>
          </w:p>
        </w:tc>
        <w:tc>
          <w:tcPr>
            <w:tcW w:w="78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szCs w:val="21"/>
              </w:rPr>
            </w:pPr>
            <w:r>
              <w:rPr>
                <w:rFonts w:ascii="Times New Roman" w:hAnsi="Times New Roman" w:cs="Times New Roman"/>
                <w:kern w:val="0"/>
                <w:szCs w:val="21"/>
                <w:lang w:bidi="ar"/>
              </w:rPr>
              <w:t xml:space="preserve">181,007,607 </w:t>
            </w:r>
          </w:p>
        </w:tc>
        <w:tc>
          <w:tcPr>
            <w:tcW w:w="89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szCs w:val="21"/>
              </w:rPr>
            </w:pPr>
            <w:r>
              <w:rPr>
                <w:rFonts w:ascii="Times New Roman" w:hAnsi="Times New Roman" w:cs="Times New Roman"/>
                <w:kern w:val="0"/>
                <w:szCs w:val="21"/>
                <w:lang w:bidi="ar"/>
              </w:rPr>
              <w:t xml:space="preserve">2.45 </w:t>
            </w:r>
          </w:p>
        </w:tc>
        <w:tc>
          <w:tcPr>
            <w:tcW w:w="89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kern w:val="0"/>
                <w:szCs w:val="21"/>
                <w:lang w:bidi="ar"/>
              </w:rPr>
            </w:pPr>
            <w:r>
              <w:rPr>
                <w:rFonts w:ascii="Times New Roman" w:hAnsi="Times New Roman" w:cs="Times New Roman"/>
                <w:kern w:val="0"/>
                <w:szCs w:val="21"/>
                <w:lang w:bidi="ar"/>
              </w:rPr>
              <w:t xml:space="preserve">172,712,704 </w:t>
            </w:r>
          </w:p>
        </w:tc>
        <w:tc>
          <w:tcPr>
            <w:tcW w:w="89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kern w:val="0"/>
                <w:szCs w:val="21"/>
                <w:lang w:bidi="ar"/>
              </w:rPr>
            </w:pPr>
            <w:r>
              <w:rPr>
                <w:rFonts w:ascii="Times New Roman" w:hAnsi="Times New Roman" w:cs="Times New Roman"/>
                <w:kern w:val="0"/>
                <w:szCs w:val="21"/>
                <w:lang w:bidi="ar"/>
              </w:rPr>
              <w:t xml:space="preserve">2.62 </w:t>
            </w:r>
          </w:p>
        </w:tc>
      </w:tr>
      <w:tr w:rsidR="00AD5BB5">
        <w:trPr>
          <w:trHeight w:val="329"/>
        </w:trPr>
        <w:tc>
          <w:tcPr>
            <w:tcW w:w="153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cs="宋体"/>
              </w:rPr>
            </w:pPr>
            <w:r>
              <w:rPr>
                <w:rFonts w:ascii="Times New Roman" w:hAnsi="Times New Roman" w:cs="宋体" w:hint="eastAsia"/>
              </w:rPr>
              <w:t>向中央银行借款</w:t>
            </w:r>
          </w:p>
        </w:tc>
        <w:tc>
          <w:tcPr>
            <w:tcW w:w="78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szCs w:val="21"/>
              </w:rPr>
            </w:pPr>
            <w:r>
              <w:rPr>
                <w:rFonts w:ascii="Times New Roman" w:hAnsi="Times New Roman" w:cs="Times New Roman"/>
                <w:kern w:val="0"/>
                <w:szCs w:val="21"/>
                <w:lang w:bidi="ar"/>
              </w:rPr>
              <w:t xml:space="preserve">8,528,029 </w:t>
            </w:r>
          </w:p>
        </w:tc>
        <w:tc>
          <w:tcPr>
            <w:tcW w:w="89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szCs w:val="21"/>
              </w:rPr>
            </w:pPr>
            <w:r>
              <w:rPr>
                <w:rFonts w:ascii="Times New Roman" w:hAnsi="Times New Roman" w:cs="Times New Roman"/>
                <w:kern w:val="0"/>
                <w:szCs w:val="21"/>
                <w:lang w:bidi="ar"/>
              </w:rPr>
              <w:t xml:space="preserve">1.99 </w:t>
            </w:r>
          </w:p>
        </w:tc>
        <w:tc>
          <w:tcPr>
            <w:tcW w:w="89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kern w:val="0"/>
                <w:szCs w:val="21"/>
                <w:lang w:bidi="ar"/>
              </w:rPr>
            </w:pPr>
            <w:r>
              <w:rPr>
                <w:rFonts w:ascii="Times New Roman" w:hAnsi="Times New Roman" w:cs="Times New Roman"/>
                <w:kern w:val="0"/>
                <w:szCs w:val="21"/>
                <w:lang w:bidi="ar"/>
              </w:rPr>
              <w:t xml:space="preserve">9,239,812 </w:t>
            </w:r>
          </w:p>
        </w:tc>
        <w:tc>
          <w:tcPr>
            <w:tcW w:w="89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kern w:val="0"/>
                <w:szCs w:val="21"/>
                <w:lang w:bidi="ar"/>
              </w:rPr>
            </w:pPr>
            <w:r>
              <w:rPr>
                <w:rFonts w:ascii="Times New Roman" w:hAnsi="Times New Roman" w:cs="Times New Roman"/>
                <w:kern w:val="0"/>
                <w:szCs w:val="21"/>
                <w:lang w:bidi="ar"/>
              </w:rPr>
              <w:t xml:space="preserve">2.00 </w:t>
            </w:r>
          </w:p>
        </w:tc>
      </w:tr>
      <w:tr w:rsidR="00AD5BB5">
        <w:trPr>
          <w:trHeight w:val="329"/>
        </w:trPr>
        <w:tc>
          <w:tcPr>
            <w:tcW w:w="153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cs="宋体"/>
              </w:rPr>
            </w:pPr>
            <w:r>
              <w:rPr>
                <w:rFonts w:ascii="Times New Roman" w:hAnsi="Times New Roman" w:cs="宋体" w:hint="eastAsia"/>
              </w:rPr>
              <w:t>同业和其他金融机构存放款项</w:t>
            </w:r>
          </w:p>
        </w:tc>
        <w:tc>
          <w:tcPr>
            <w:tcW w:w="78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szCs w:val="21"/>
              </w:rPr>
            </w:pPr>
            <w:r>
              <w:rPr>
                <w:rFonts w:ascii="Times New Roman" w:hAnsi="Times New Roman" w:cs="Times New Roman"/>
                <w:kern w:val="0"/>
                <w:szCs w:val="21"/>
                <w:lang w:bidi="ar"/>
              </w:rPr>
              <w:t xml:space="preserve">60,826,109 </w:t>
            </w:r>
          </w:p>
        </w:tc>
        <w:tc>
          <w:tcPr>
            <w:tcW w:w="89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szCs w:val="21"/>
              </w:rPr>
            </w:pPr>
            <w:r>
              <w:rPr>
                <w:rFonts w:ascii="Times New Roman" w:hAnsi="Times New Roman" w:cs="Times New Roman"/>
                <w:kern w:val="0"/>
                <w:szCs w:val="21"/>
                <w:lang w:bidi="ar"/>
              </w:rPr>
              <w:t xml:space="preserve">2.47 </w:t>
            </w:r>
          </w:p>
        </w:tc>
        <w:tc>
          <w:tcPr>
            <w:tcW w:w="89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kern w:val="0"/>
                <w:szCs w:val="21"/>
                <w:lang w:bidi="ar"/>
              </w:rPr>
            </w:pPr>
            <w:r>
              <w:rPr>
                <w:rFonts w:ascii="Times New Roman" w:hAnsi="Times New Roman" w:cs="Times New Roman"/>
                <w:kern w:val="0"/>
                <w:szCs w:val="21"/>
                <w:lang w:bidi="ar"/>
              </w:rPr>
              <w:t xml:space="preserve">49,603,808 </w:t>
            </w:r>
          </w:p>
        </w:tc>
        <w:tc>
          <w:tcPr>
            <w:tcW w:w="89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kern w:val="0"/>
                <w:szCs w:val="21"/>
                <w:lang w:bidi="ar"/>
              </w:rPr>
            </w:pPr>
            <w:r>
              <w:rPr>
                <w:rFonts w:ascii="Times New Roman" w:hAnsi="Times New Roman" w:cs="Times New Roman"/>
                <w:kern w:val="0"/>
                <w:szCs w:val="21"/>
                <w:lang w:bidi="ar"/>
              </w:rPr>
              <w:t xml:space="preserve">2.19 </w:t>
            </w:r>
          </w:p>
        </w:tc>
      </w:tr>
      <w:tr w:rsidR="00AD5BB5">
        <w:trPr>
          <w:trHeight w:val="329"/>
        </w:trPr>
        <w:tc>
          <w:tcPr>
            <w:tcW w:w="153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cs="宋体"/>
              </w:rPr>
            </w:pPr>
            <w:r>
              <w:rPr>
                <w:rFonts w:ascii="Times New Roman" w:hAnsi="Times New Roman" w:cs="宋体" w:hint="eastAsia"/>
              </w:rPr>
              <w:t>应付债券</w:t>
            </w:r>
          </w:p>
        </w:tc>
        <w:tc>
          <w:tcPr>
            <w:tcW w:w="78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szCs w:val="21"/>
              </w:rPr>
            </w:pPr>
            <w:r>
              <w:rPr>
                <w:rFonts w:ascii="Times New Roman" w:hAnsi="Times New Roman" w:cs="Times New Roman"/>
                <w:kern w:val="0"/>
                <w:szCs w:val="21"/>
                <w:lang w:bidi="ar"/>
              </w:rPr>
              <w:t xml:space="preserve">74,587,592 </w:t>
            </w:r>
          </w:p>
        </w:tc>
        <w:tc>
          <w:tcPr>
            <w:tcW w:w="89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szCs w:val="21"/>
              </w:rPr>
            </w:pPr>
            <w:r>
              <w:rPr>
                <w:rFonts w:ascii="Times New Roman" w:hAnsi="Times New Roman" w:cs="Times New Roman"/>
                <w:kern w:val="0"/>
                <w:szCs w:val="21"/>
                <w:lang w:bidi="ar"/>
              </w:rPr>
              <w:t xml:space="preserve">2.51 </w:t>
            </w:r>
          </w:p>
        </w:tc>
        <w:tc>
          <w:tcPr>
            <w:tcW w:w="89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kern w:val="0"/>
                <w:szCs w:val="21"/>
                <w:lang w:bidi="ar"/>
              </w:rPr>
            </w:pPr>
            <w:r>
              <w:rPr>
                <w:rFonts w:ascii="Times New Roman" w:hAnsi="Times New Roman" w:cs="Times New Roman"/>
                <w:kern w:val="0"/>
                <w:szCs w:val="21"/>
                <w:lang w:bidi="ar"/>
              </w:rPr>
              <w:t xml:space="preserve">65,446,138 </w:t>
            </w:r>
          </w:p>
        </w:tc>
        <w:tc>
          <w:tcPr>
            <w:tcW w:w="89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kern w:val="0"/>
                <w:szCs w:val="21"/>
                <w:lang w:bidi="ar"/>
              </w:rPr>
            </w:pPr>
            <w:r>
              <w:rPr>
                <w:rFonts w:ascii="Times New Roman" w:hAnsi="Times New Roman" w:cs="Times New Roman"/>
                <w:kern w:val="0"/>
                <w:szCs w:val="21"/>
                <w:lang w:bidi="ar"/>
              </w:rPr>
              <w:t xml:space="preserve">2.81 </w:t>
            </w:r>
          </w:p>
        </w:tc>
      </w:tr>
      <w:tr w:rsidR="00AD5BB5">
        <w:trPr>
          <w:trHeight w:val="329"/>
        </w:trPr>
        <w:tc>
          <w:tcPr>
            <w:tcW w:w="153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cs="宋体"/>
              </w:rPr>
            </w:pPr>
            <w:r>
              <w:rPr>
                <w:rFonts w:ascii="Times New Roman" w:hAnsi="Times New Roman" w:cs="宋体" w:hint="eastAsia"/>
                <w:b/>
                <w:bCs/>
              </w:rPr>
              <w:t>付息负债合计</w:t>
            </w:r>
          </w:p>
        </w:tc>
        <w:tc>
          <w:tcPr>
            <w:tcW w:w="78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szCs w:val="21"/>
              </w:rPr>
            </w:pPr>
            <w:r>
              <w:rPr>
                <w:rFonts w:ascii="Times New Roman" w:hAnsi="Times New Roman" w:cs="Times New Roman"/>
                <w:kern w:val="0"/>
                <w:szCs w:val="21"/>
                <w:lang w:bidi="ar"/>
              </w:rPr>
              <w:t xml:space="preserve">324,949,337 </w:t>
            </w:r>
          </w:p>
        </w:tc>
        <w:tc>
          <w:tcPr>
            <w:tcW w:w="89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rPr>
            </w:pPr>
            <w:r>
              <w:rPr>
                <w:rFonts w:ascii="Times New Roman" w:hAnsi="Times New Roman" w:cs="Times New Roman"/>
                <w:kern w:val="0"/>
                <w:szCs w:val="21"/>
                <w:lang w:bidi="ar"/>
              </w:rPr>
              <w:t xml:space="preserve">2.45 </w:t>
            </w:r>
          </w:p>
        </w:tc>
        <w:tc>
          <w:tcPr>
            <w:tcW w:w="89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kern w:val="0"/>
                <w:szCs w:val="21"/>
                <w:lang w:bidi="ar"/>
              </w:rPr>
            </w:pPr>
            <w:r>
              <w:rPr>
                <w:rFonts w:ascii="Times New Roman" w:hAnsi="Times New Roman" w:cs="Times New Roman"/>
                <w:kern w:val="0"/>
                <w:szCs w:val="21"/>
                <w:lang w:bidi="ar"/>
              </w:rPr>
              <w:t xml:space="preserve">297,002,462 </w:t>
            </w:r>
          </w:p>
        </w:tc>
        <w:tc>
          <w:tcPr>
            <w:tcW w:w="89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rPr>
            </w:pPr>
            <w:r>
              <w:rPr>
                <w:rFonts w:ascii="Times New Roman" w:hAnsi="Times New Roman" w:cs="Times New Roman"/>
                <w:kern w:val="0"/>
                <w:szCs w:val="21"/>
                <w:lang w:bidi="ar"/>
              </w:rPr>
              <w:t xml:space="preserve">2.57 </w:t>
            </w:r>
          </w:p>
        </w:tc>
      </w:tr>
      <w:tr w:rsidR="00AD5BB5">
        <w:trPr>
          <w:trHeight w:val="329"/>
        </w:trPr>
        <w:tc>
          <w:tcPr>
            <w:tcW w:w="153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cs="宋体"/>
                <w:b/>
                <w:bCs/>
              </w:rPr>
            </w:pPr>
            <w:r>
              <w:rPr>
                <w:rFonts w:ascii="Times New Roman" w:hAnsi="Times New Roman" w:cs="宋体" w:hint="eastAsia"/>
                <w:b/>
                <w:bCs/>
              </w:rPr>
              <w:t>净利差（</w:t>
            </w:r>
            <w:r>
              <w:rPr>
                <w:rFonts w:ascii="Times New Roman" w:hAnsi="Times New Roman" w:cs="宋体" w:hint="eastAsia"/>
                <w:b/>
                <w:bCs/>
              </w:rPr>
              <w:t>%</w:t>
            </w:r>
            <w:r>
              <w:rPr>
                <w:rFonts w:ascii="Times New Roman" w:hAnsi="Times New Roman" w:cs="宋体" w:hint="eastAsia"/>
                <w:b/>
                <w:bCs/>
              </w:rPr>
              <w:t>）</w:t>
            </w:r>
          </w:p>
        </w:tc>
        <w:tc>
          <w:tcPr>
            <w:tcW w:w="1679" w:type="pct"/>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center"/>
              <w:textAlignment w:val="top"/>
              <w:rPr>
                <w:rFonts w:ascii="Times New Roman" w:hAnsi="Times New Roman" w:cs="Times New Roman"/>
                <w:szCs w:val="21"/>
              </w:rPr>
            </w:pPr>
            <w:r>
              <w:rPr>
                <w:rFonts w:ascii="Times New Roman" w:hAnsi="Times New Roman" w:cs="Times New Roman"/>
                <w:kern w:val="0"/>
                <w:szCs w:val="21"/>
                <w:lang w:bidi="ar"/>
              </w:rPr>
              <w:t xml:space="preserve">1.28 </w:t>
            </w:r>
          </w:p>
        </w:tc>
        <w:tc>
          <w:tcPr>
            <w:tcW w:w="1786" w:type="pct"/>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center"/>
              <w:textAlignment w:val="top"/>
              <w:rPr>
                <w:rFonts w:ascii="Times New Roman" w:hAnsi="Times New Roman" w:cs="Times New Roman"/>
                <w:kern w:val="0"/>
                <w:szCs w:val="21"/>
                <w:lang w:bidi="ar"/>
              </w:rPr>
            </w:pPr>
            <w:r>
              <w:rPr>
                <w:rFonts w:ascii="Times New Roman" w:hAnsi="Times New Roman" w:cs="Times New Roman"/>
                <w:kern w:val="0"/>
                <w:szCs w:val="21"/>
                <w:lang w:bidi="ar"/>
              </w:rPr>
              <w:t xml:space="preserve">1.42 </w:t>
            </w:r>
          </w:p>
        </w:tc>
      </w:tr>
      <w:tr w:rsidR="00AD5BB5">
        <w:trPr>
          <w:trHeight w:val="339"/>
        </w:trPr>
        <w:tc>
          <w:tcPr>
            <w:tcW w:w="153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cs="宋体"/>
                <w:b/>
                <w:bCs/>
              </w:rPr>
            </w:pPr>
            <w:r>
              <w:rPr>
                <w:rFonts w:ascii="Times New Roman" w:hAnsi="Times New Roman" w:cs="宋体" w:hint="eastAsia"/>
                <w:b/>
                <w:bCs/>
              </w:rPr>
              <w:t>净息差（</w:t>
            </w:r>
            <w:r>
              <w:rPr>
                <w:rFonts w:ascii="Times New Roman" w:hAnsi="Times New Roman" w:cs="宋体" w:hint="eastAsia"/>
                <w:b/>
                <w:bCs/>
              </w:rPr>
              <w:t>%</w:t>
            </w:r>
            <w:r>
              <w:rPr>
                <w:rFonts w:ascii="Times New Roman" w:hAnsi="Times New Roman" w:cs="宋体" w:hint="eastAsia"/>
                <w:b/>
                <w:bCs/>
              </w:rPr>
              <w:t>）</w:t>
            </w:r>
          </w:p>
        </w:tc>
        <w:tc>
          <w:tcPr>
            <w:tcW w:w="1679" w:type="pct"/>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center"/>
              <w:textAlignment w:val="top"/>
              <w:rPr>
                <w:rFonts w:ascii="Times New Roman" w:hAnsi="Times New Roman"/>
              </w:rPr>
            </w:pPr>
            <w:r>
              <w:rPr>
                <w:rFonts w:ascii="Times New Roman" w:hAnsi="Times New Roman" w:cs="Times New Roman"/>
                <w:kern w:val="0"/>
                <w:szCs w:val="21"/>
                <w:lang w:bidi="ar"/>
              </w:rPr>
              <w:t xml:space="preserve">1.34 </w:t>
            </w:r>
          </w:p>
        </w:tc>
        <w:tc>
          <w:tcPr>
            <w:tcW w:w="1786" w:type="pct"/>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center"/>
              <w:textAlignment w:val="top"/>
              <w:rPr>
                <w:rFonts w:ascii="Times New Roman" w:hAnsi="Times New Roman"/>
              </w:rPr>
            </w:pPr>
            <w:r>
              <w:rPr>
                <w:rFonts w:ascii="Times New Roman" w:hAnsi="Times New Roman" w:cs="Times New Roman"/>
                <w:kern w:val="0"/>
                <w:szCs w:val="21"/>
                <w:lang w:bidi="ar"/>
              </w:rPr>
              <w:t xml:space="preserve">1.49 </w:t>
            </w:r>
          </w:p>
        </w:tc>
      </w:tr>
    </w:tbl>
    <w:p w:rsidR="00AD5BB5" w:rsidRDefault="00F87FF6">
      <w:pPr>
        <w:rPr>
          <w:rFonts w:ascii="Times New Roman" w:hAnsi="Times New Roman" w:cs="宋体"/>
          <w:sz w:val="18"/>
          <w:szCs w:val="18"/>
        </w:rPr>
      </w:pPr>
      <w:r>
        <w:rPr>
          <w:rFonts w:ascii="Times New Roman" w:hAnsi="Times New Roman" w:cs="宋体" w:hint="eastAsia"/>
          <w:sz w:val="18"/>
          <w:szCs w:val="18"/>
        </w:rPr>
        <w:t>注：</w:t>
      </w:r>
    </w:p>
    <w:p w:rsidR="00AD5BB5" w:rsidRDefault="00F87FF6">
      <w:pPr>
        <w:rPr>
          <w:rFonts w:ascii="Times New Roman" w:hAnsi="Times New Roman" w:cs="宋体"/>
          <w:sz w:val="18"/>
          <w:szCs w:val="18"/>
        </w:rPr>
      </w:pPr>
      <w:r>
        <w:rPr>
          <w:rFonts w:ascii="Times New Roman" w:hAnsi="Times New Roman" w:cs="宋体" w:hint="eastAsia"/>
          <w:sz w:val="18"/>
          <w:szCs w:val="18"/>
        </w:rPr>
        <w:t>1</w:t>
      </w:r>
      <w:r>
        <w:rPr>
          <w:rFonts w:ascii="Times New Roman" w:hAnsi="Times New Roman" w:cs="宋体" w:hint="eastAsia"/>
          <w:sz w:val="18"/>
          <w:szCs w:val="18"/>
        </w:rPr>
        <w:t>、生息资产、付息负债平均余额是公司的日均余额。</w:t>
      </w:r>
    </w:p>
    <w:p w:rsidR="00AD5BB5" w:rsidRDefault="00F87FF6">
      <w:pPr>
        <w:rPr>
          <w:rFonts w:ascii="Times New Roman" w:hAnsi="Times New Roman" w:cs="宋体"/>
          <w:sz w:val="18"/>
          <w:szCs w:val="18"/>
        </w:rPr>
      </w:pPr>
      <w:r>
        <w:rPr>
          <w:rFonts w:ascii="Times New Roman" w:hAnsi="Times New Roman" w:cs="宋体" w:hint="eastAsia"/>
          <w:sz w:val="18"/>
          <w:szCs w:val="18"/>
        </w:rPr>
        <w:t>2</w:t>
      </w:r>
      <w:r>
        <w:rPr>
          <w:rFonts w:ascii="Times New Roman" w:hAnsi="Times New Roman" w:cs="宋体" w:hint="eastAsia"/>
          <w:sz w:val="18"/>
          <w:szCs w:val="18"/>
        </w:rPr>
        <w:t>、平均利率计算公式为：利息收入（支出）</w:t>
      </w:r>
      <w:r>
        <w:rPr>
          <w:rFonts w:ascii="Times New Roman" w:hAnsi="Times New Roman" w:cs="宋体" w:hint="eastAsia"/>
          <w:sz w:val="18"/>
          <w:szCs w:val="18"/>
        </w:rPr>
        <w:t>/</w:t>
      </w:r>
      <w:r>
        <w:rPr>
          <w:rFonts w:ascii="Times New Roman" w:hAnsi="Times New Roman" w:cs="宋体" w:hint="eastAsia"/>
          <w:sz w:val="18"/>
          <w:szCs w:val="18"/>
        </w:rPr>
        <w:t>平均余额。</w:t>
      </w:r>
    </w:p>
    <w:p w:rsidR="00AD5BB5" w:rsidRDefault="00F87FF6">
      <w:pPr>
        <w:rPr>
          <w:rFonts w:ascii="Times New Roman" w:hAnsi="Times New Roman" w:cs="宋体"/>
          <w:sz w:val="18"/>
          <w:szCs w:val="18"/>
        </w:rPr>
      </w:pPr>
      <w:r>
        <w:rPr>
          <w:rFonts w:ascii="Times New Roman" w:hAnsi="Times New Roman" w:cs="宋体" w:hint="eastAsia"/>
          <w:sz w:val="18"/>
          <w:szCs w:val="18"/>
        </w:rPr>
        <w:t>3</w:t>
      </w:r>
      <w:r>
        <w:rPr>
          <w:rFonts w:ascii="Times New Roman" w:hAnsi="Times New Roman" w:cs="宋体" w:hint="eastAsia"/>
          <w:sz w:val="18"/>
          <w:szCs w:val="18"/>
        </w:rPr>
        <w:t>、</w:t>
      </w:r>
      <w:proofErr w:type="gramStart"/>
      <w:r>
        <w:rPr>
          <w:rFonts w:ascii="Times New Roman" w:hAnsi="Times New Roman" w:cs="宋体" w:hint="eastAsia"/>
          <w:sz w:val="18"/>
          <w:szCs w:val="18"/>
        </w:rPr>
        <w:t>存拆</w:t>
      </w:r>
      <w:proofErr w:type="gramEnd"/>
      <w:r>
        <w:rPr>
          <w:rFonts w:ascii="Times New Roman" w:hAnsi="Times New Roman" w:cs="宋体" w:hint="eastAsia"/>
          <w:sz w:val="18"/>
          <w:szCs w:val="18"/>
        </w:rPr>
        <w:t>放同业和其他金融机构款项包括：存放同业及其他金融机构款项、拆出资金及买入返售金融资产。</w:t>
      </w:r>
      <w:r>
        <w:rPr>
          <w:rFonts w:ascii="Times New Roman" w:hAnsi="Times New Roman" w:cs="宋体" w:hint="eastAsia"/>
          <w:sz w:val="18"/>
          <w:szCs w:val="18"/>
        </w:rPr>
        <w:t xml:space="preserve"> </w:t>
      </w:r>
    </w:p>
    <w:p w:rsidR="00AD5BB5" w:rsidRDefault="00F87FF6">
      <w:pPr>
        <w:rPr>
          <w:rFonts w:ascii="Times New Roman" w:hAnsi="Times New Roman" w:cs="宋体"/>
          <w:sz w:val="18"/>
          <w:szCs w:val="18"/>
        </w:rPr>
      </w:pPr>
      <w:r>
        <w:rPr>
          <w:rFonts w:ascii="Times New Roman" w:hAnsi="Times New Roman" w:cs="宋体" w:hint="eastAsia"/>
          <w:sz w:val="18"/>
          <w:szCs w:val="18"/>
        </w:rPr>
        <w:t>4</w:t>
      </w:r>
      <w:r>
        <w:rPr>
          <w:rFonts w:ascii="Times New Roman" w:hAnsi="Times New Roman" w:cs="宋体" w:hint="eastAsia"/>
          <w:sz w:val="18"/>
          <w:szCs w:val="18"/>
        </w:rPr>
        <w:t>、同业和其他金融性公司存放款项包括：同业及其他金融机构存放款项、拆入资金及卖出回购金融资产。</w:t>
      </w:r>
    </w:p>
    <w:p w:rsidR="00AD5BB5" w:rsidRDefault="00AD5BB5">
      <w:pPr>
        <w:rPr>
          <w:rFonts w:ascii="Times New Roman" w:hAnsi="Times New Roman" w:cs="宋体"/>
          <w:sz w:val="18"/>
          <w:szCs w:val="18"/>
        </w:rPr>
      </w:pPr>
    </w:p>
    <w:p w:rsidR="00AD5BB5" w:rsidRDefault="00F87FF6">
      <w:pPr>
        <w:pStyle w:val="4"/>
        <w:numPr>
          <w:ilvl w:val="0"/>
          <w:numId w:val="4"/>
        </w:numPr>
        <w:spacing w:line="360" w:lineRule="auto"/>
        <w:rPr>
          <w:rFonts w:ascii="Times New Roman" w:hAnsi="Times New Roman" w:cs="Times New Roman"/>
          <w:bCs/>
          <w:kern w:val="0"/>
        </w:rPr>
      </w:pPr>
      <w:r>
        <w:rPr>
          <w:rFonts w:ascii="Times New Roman" w:hAnsi="Times New Roman" w:cs="Times New Roman" w:hint="eastAsia"/>
        </w:rPr>
        <w:lastRenderedPageBreak/>
        <w:t>报告期营业收入分布</w:t>
      </w:r>
      <w:r>
        <w:rPr>
          <w:rFonts w:ascii="Times New Roman" w:hAnsi="Times New Roman" w:cs="Times New Roman"/>
        </w:rPr>
        <w:t>情况</w:t>
      </w:r>
    </w:p>
    <w:p w:rsidR="00AD5BB5" w:rsidRDefault="00F87FF6">
      <w:pPr>
        <w:spacing w:line="360" w:lineRule="auto"/>
        <w:ind w:firstLineChars="200" w:firstLine="420"/>
        <w:rPr>
          <w:rFonts w:ascii="Times New Roman" w:hAnsi="Times New Roman" w:cs="宋体"/>
        </w:rPr>
      </w:pPr>
      <w:r>
        <w:rPr>
          <w:rFonts w:ascii="Times New Roman" w:hAnsi="Times New Roman" w:cs="宋体" w:hint="eastAsia"/>
        </w:rPr>
        <w:t>报告期内，公司的业务主要分布在福建省厦门市、福建省其他部分市县及重庆市。公司</w:t>
      </w:r>
      <w:proofErr w:type="gramStart"/>
      <w:r>
        <w:rPr>
          <w:rFonts w:ascii="Times New Roman" w:hAnsi="Times New Roman" w:cs="宋体" w:hint="eastAsia"/>
        </w:rPr>
        <w:t>践行</w:t>
      </w:r>
      <w:proofErr w:type="gramEnd"/>
      <w:r>
        <w:rPr>
          <w:rFonts w:ascii="Times New Roman" w:hAnsi="Times New Roman" w:cs="宋体" w:hint="eastAsia"/>
        </w:rPr>
        <w:t>“持续深耕，重点突破”的区域战略，</w:t>
      </w:r>
      <w:proofErr w:type="gramStart"/>
      <w:r>
        <w:rPr>
          <w:rFonts w:ascii="Times New Roman" w:hAnsi="Times New Roman" w:cs="宋体" w:hint="eastAsia"/>
        </w:rPr>
        <w:t>通过全客群</w:t>
      </w:r>
      <w:proofErr w:type="gramEnd"/>
      <w:r>
        <w:rPr>
          <w:rFonts w:ascii="Times New Roman" w:hAnsi="Times New Roman" w:cs="宋体" w:hint="eastAsia"/>
        </w:rPr>
        <w:t>策略，在厦门本地价值深挖，服务地方经济。厦门地区实现营业收入</w:t>
      </w:r>
      <w:r>
        <w:rPr>
          <w:rFonts w:ascii="Times New Roman" w:hAnsi="Times New Roman" w:cs="宋体" w:hint="eastAsia"/>
        </w:rPr>
        <w:t>18.00</w:t>
      </w:r>
      <w:r>
        <w:rPr>
          <w:rFonts w:ascii="Times New Roman" w:hAnsi="Times New Roman" w:cs="宋体" w:hint="eastAsia"/>
        </w:rPr>
        <w:t>亿元，较上年同期增长</w:t>
      </w:r>
      <w:r>
        <w:rPr>
          <w:rFonts w:ascii="Times New Roman" w:hAnsi="Times New Roman" w:cs="宋体" w:hint="eastAsia"/>
        </w:rPr>
        <w:t>11.17%</w:t>
      </w:r>
      <w:r>
        <w:rPr>
          <w:rFonts w:ascii="Times New Roman" w:hAnsi="Times New Roman" w:cs="宋体" w:hint="eastAsia"/>
        </w:rPr>
        <w:t>。</w:t>
      </w:r>
    </w:p>
    <w:p w:rsidR="00AD5BB5" w:rsidRDefault="00AD5BB5"/>
    <w:p w:rsidR="00AD5BB5" w:rsidRDefault="00F87FF6">
      <w:pPr>
        <w:spacing w:line="360" w:lineRule="auto"/>
        <w:ind w:firstLineChars="200" w:firstLine="420"/>
        <w:rPr>
          <w:rFonts w:ascii="Times New Roman" w:hAnsi="Times New Roman" w:cs="宋体"/>
        </w:rPr>
      </w:pPr>
      <w:r>
        <w:rPr>
          <w:rFonts w:ascii="Times New Roman" w:hAnsi="Times New Roman" w:cs="宋体" w:hint="eastAsia"/>
        </w:rPr>
        <w:t>厦门地区及其他地区的营业收入和营业利润列示如下：</w:t>
      </w:r>
    </w:p>
    <w:p w:rsidR="00AD5BB5" w:rsidRDefault="00F87FF6">
      <w:pPr>
        <w:jc w:val="right"/>
        <w:rPr>
          <w:rFonts w:ascii="Times New Roman" w:hAnsi="Times New Roman" w:cs="Times New Roman"/>
        </w:rPr>
      </w:pPr>
      <w:r>
        <w:rPr>
          <w:rFonts w:ascii="Times New Roman" w:hAnsi="Times New Roman" w:cs="Times New Roman"/>
        </w:rPr>
        <w:t>单位</w:t>
      </w:r>
      <w:r>
        <w:rPr>
          <w:rFonts w:ascii="Times New Roman" w:hAnsi="Times New Roman" w:cs="Times New Roman"/>
        </w:rPr>
        <w:t>:</w:t>
      </w:r>
      <w:r>
        <w:rPr>
          <w:rFonts w:ascii="Times New Roman" w:hAnsi="Times New Roman" w:cs="Times New Roman"/>
        </w:rPr>
        <w:t>人民币千元</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347"/>
        <w:gridCol w:w="881"/>
        <w:gridCol w:w="1279"/>
        <w:gridCol w:w="1338"/>
        <w:gridCol w:w="1132"/>
        <w:gridCol w:w="1223"/>
      </w:tblGrid>
      <w:tr w:rsidR="00AD5BB5">
        <w:tc>
          <w:tcPr>
            <w:tcW w:w="66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center"/>
              <w:rPr>
                <w:rFonts w:ascii="Times New Roman" w:hAnsi="Times New Roman" w:cs="Times New Roman"/>
              </w:rPr>
            </w:pPr>
            <w:r>
              <w:rPr>
                <w:rFonts w:ascii="Times New Roman" w:hAnsi="Times New Roman" w:cs="Times New Roman"/>
              </w:rPr>
              <w:t>地区</w:t>
            </w:r>
          </w:p>
        </w:tc>
        <w:tc>
          <w:tcPr>
            <w:tcW w:w="81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center"/>
              <w:rPr>
                <w:rFonts w:ascii="Times New Roman" w:hAnsi="Times New Roman" w:cs="Times New Roman"/>
              </w:rPr>
            </w:pPr>
            <w:r>
              <w:rPr>
                <w:rFonts w:ascii="Times New Roman" w:hAnsi="Times New Roman" w:cs="Times New Roman"/>
              </w:rPr>
              <w:t>营业收入</w:t>
            </w:r>
          </w:p>
        </w:tc>
        <w:tc>
          <w:tcPr>
            <w:tcW w:w="53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center"/>
              <w:rPr>
                <w:rFonts w:ascii="Times New Roman" w:hAnsi="Times New Roman" w:cs="Times New Roman"/>
              </w:rPr>
            </w:pPr>
            <w:r>
              <w:rPr>
                <w:rFonts w:ascii="Times New Roman" w:hAnsi="Times New Roman" w:cs="Times New Roman"/>
              </w:rPr>
              <w:t>占比（</w:t>
            </w:r>
            <w:r>
              <w:rPr>
                <w:rFonts w:ascii="Times New Roman" w:hAnsi="Times New Roman" w:cs="Times New Roman"/>
              </w:rPr>
              <w:t>%</w:t>
            </w:r>
            <w:r>
              <w:rPr>
                <w:rFonts w:ascii="Times New Roman" w:hAnsi="Times New Roman" w:cs="Times New Roman"/>
              </w:rPr>
              <w:t>）</w:t>
            </w:r>
          </w:p>
        </w:tc>
        <w:tc>
          <w:tcPr>
            <w:tcW w:w="77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center"/>
              <w:rPr>
                <w:rFonts w:ascii="Times New Roman" w:hAnsi="Times New Roman" w:cs="Times New Roman"/>
              </w:rPr>
            </w:pPr>
            <w:r>
              <w:rPr>
                <w:rFonts w:ascii="Times New Roman" w:hAnsi="Times New Roman" w:cs="Times New Roman" w:hint="eastAsia"/>
              </w:rPr>
              <w:t>同比变动（</w:t>
            </w:r>
            <w:r>
              <w:rPr>
                <w:rFonts w:ascii="Times New Roman" w:hAnsi="Times New Roman" w:cs="Times New Roman" w:hint="eastAsia"/>
              </w:rPr>
              <w:t>%</w:t>
            </w:r>
            <w:r>
              <w:rPr>
                <w:rFonts w:ascii="Times New Roman" w:hAnsi="Times New Roman" w:cs="Times New Roman" w:hint="eastAsia"/>
              </w:rPr>
              <w:t>）</w:t>
            </w:r>
          </w:p>
        </w:tc>
        <w:tc>
          <w:tcPr>
            <w:tcW w:w="80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center"/>
              <w:rPr>
                <w:rFonts w:ascii="Times New Roman" w:hAnsi="Times New Roman" w:cs="Times New Roman"/>
              </w:rPr>
            </w:pPr>
            <w:r>
              <w:rPr>
                <w:rFonts w:ascii="Times New Roman" w:hAnsi="Times New Roman" w:cs="Times New Roman"/>
              </w:rPr>
              <w:t>营业利润</w:t>
            </w:r>
          </w:p>
        </w:tc>
        <w:tc>
          <w:tcPr>
            <w:tcW w:w="6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center"/>
              <w:rPr>
                <w:rFonts w:ascii="Times New Roman" w:hAnsi="Times New Roman" w:cs="Times New Roman"/>
              </w:rPr>
            </w:pPr>
            <w:r>
              <w:rPr>
                <w:rFonts w:ascii="Times New Roman" w:hAnsi="Times New Roman" w:cs="Times New Roman"/>
              </w:rPr>
              <w:t>占比（</w:t>
            </w:r>
            <w:r>
              <w:rPr>
                <w:rFonts w:ascii="Times New Roman" w:hAnsi="Times New Roman" w:cs="Times New Roman"/>
              </w:rPr>
              <w:t>%</w:t>
            </w:r>
            <w:r>
              <w:rPr>
                <w:rFonts w:ascii="Times New Roman" w:hAnsi="Times New Roman" w:cs="Times New Roman"/>
              </w:rPr>
              <w:t>）</w:t>
            </w:r>
          </w:p>
        </w:tc>
        <w:tc>
          <w:tcPr>
            <w:tcW w:w="73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center"/>
              <w:rPr>
                <w:rFonts w:ascii="Times New Roman" w:hAnsi="Times New Roman" w:cs="Times New Roman"/>
              </w:rPr>
            </w:pPr>
            <w:r>
              <w:rPr>
                <w:rFonts w:ascii="Times New Roman" w:hAnsi="Times New Roman" w:cs="Times New Roman" w:hint="eastAsia"/>
              </w:rPr>
              <w:t>同比变动（</w:t>
            </w:r>
            <w:r>
              <w:rPr>
                <w:rFonts w:ascii="Times New Roman" w:hAnsi="Times New Roman" w:cs="Times New Roman" w:hint="eastAsia"/>
              </w:rPr>
              <w:t>%</w:t>
            </w:r>
            <w:r>
              <w:rPr>
                <w:rFonts w:ascii="Times New Roman" w:hAnsi="Times New Roman" w:cs="Times New Roman" w:hint="eastAsia"/>
              </w:rPr>
              <w:t>）</w:t>
            </w:r>
          </w:p>
        </w:tc>
      </w:tr>
      <w:tr w:rsidR="00AD5BB5">
        <w:trPr>
          <w:trHeight w:val="90"/>
        </w:trPr>
        <w:tc>
          <w:tcPr>
            <w:tcW w:w="66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left"/>
              <w:rPr>
                <w:rFonts w:ascii="Times New Roman" w:hAnsi="Times New Roman" w:cs="Times New Roman"/>
              </w:rPr>
            </w:pPr>
            <w:r>
              <w:rPr>
                <w:rFonts w:ascii="Times New Roman" w:hAnsi="Times New Roman" w:cs="Times New Roman"/>
              </w:rPr>
              <w:t>厦门地区</w:t>
            </w:r>
          </w:p>
        </w:tc>
        <w:tc>
          <w:tcPr>
            <w:tcW w:w="81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kern w:val="0"/>
                <w:szCs w:val="21"/>
                <w:lang w:bidi="ar"/>
              </w:rPr>
            </w:pPr>
            <w:r>
              <w:rPr>
                <w:rFonts w:ascii="Times New Roman" w:hAnsi="Times New Roman" w:cs="Times New Roman" w:hint="eastAsia"/>
                <w:kern w:val="0"/>
                <w:szCs w:val="21"/>
                <w:lang w:bidi="ar"/>
              </w:rPr>
              <w:t xml:space="preserve"> 1,799,931 </w:t>
            </w:r>
          </w:p>
        </w:tc>
        <w:tc>
          <w:tcPr>
            <w:tcW w:w="53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kern w:val="0"/>
                <w:szCs w:val="21"/>
                <w:lang w:bidi="ar"/>
              </w:rPr>
            </w:pPr>
            <w:r>
              <w:rPr>
                <w:rFonts w:ascii="Times New Roman" w:hAnsi="Times New Roman" w:cs="Times New Roman"/>
                <w:kern w:val="0"/>
                <w:szCs w:val="21"/>
                <w:lang w:bidi="ar"/>
              </w:rPr>
              <w:t>60.</w:t>
            </w:r>
            <w:r>
              <w:rPr>
                <w:rFonts w:ascii="Times New Roman" w:hAnsi="Times New Roman" w:cs="Times New Roman" w:hint="eastAsia"/>
                <w:kern w:val="0"/>
                <w:szCs w:val="21"/>
                <w:lang w:bidi="ar"/>
              </w:rPr>
              <w:t>86</w:t>
            </w:r>
            <w:r>
              <w:rPr>
                <w:rFonts w:ascii="Times New Roman" w:hAnsi="Times New Roman" w:cs="Times New Roman"/>
                <w:kern w:val="0"/>
                <w:szCs w:val="21"/>
                <w:lang w:bidi="ar"/>
              </w:rPr>
              <w:t xml:space="preserve"> </w:t>
            </w:r>
          </w:p>
        </w:tc>
        <w:tc>
          <w:tcPr>
            <w:tcW w:w="77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kern w:val="0"/>
                <w:szCs w:val="21"/>
                <w:lang w:bidi="ar"/>
              </w:rPr>
            </w:pPr>
            <w:r>
              <w:rPr>
                <w:rFonts w:ascii="Times New Roman" w:hAnsi="Times New Roman" w:cs="Times New Roman"/>
                <w:kern w:val="0"/>
                <w:szCs w:val="21"/>
                <w:lang w:bidi="ar"/>
              </w:rPr>
              <w:t>1</w:t>
            </w:r>
            <w:r>
              <w:rPr>
                <w:rFonts w:ascii="Times New Roman" w:hAnsi="Times New Roman" w:cs="Times New Roman" w:hint="eastAsia"/>
                <w:kern w:val="0"/>
                <w:szCs w:val="21"/>
                <w:lang w:bidi="ar"/>
              </w:rPr>
              <w:t>1</w:t>
            </w:r>
            <w:r>
              <w:rPr>
                <w:rFonts w:ascii="Times New Roman" w:hAnsi="Times New Roman" w:cs="Times New Roman"/>
                <w:kern w:val="0"/>
                <w:szCs w:val="21"/>
                <w:lang w:bidi="ar"/>
              </w:rPr>
              <w:t>.</w:t>
            </w:r>
            <w:r>
              <w:rPr>
                <w:rFonts w:ascii="Times New Roman" w:hAnsi="Times New Roman" w:cs="Times New Roman" w:hint="eastAsia"/>
                <w:kern w:val="0"/>
                <w:szCs w:val="21"/>
                <w:lang w:bidi="ar"/>
              </w:rPr>
              <w:t>17</w:t>
            </w:r>
            <w:r>
              <w:rPr>
                <w:rFonts w:ascii="Times New Roman" w:hAnsi="Times New Roman" w:cs="Times New Roman"/>
                <w:kern w:val="0"/>
                <w:szCs w:val="21"/>
                <w:lang w:bidi="ar"/>
              </w:rPr>
              <w:t xml:space="preserve"> </w:t>
            </w:r>
          </w:p>
        </w:tc>
        <w:tc>
          <w:tcPr>
            <w:tcW w:w="80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kern w:val="0"/>
                <w:szCs w:val="21"/>
                <w:lang w:bidi="ar"/>
              </w:rPr>
            </w:pPr>
            <w:r>
              <w:rPr>
                <w:rFonts w:ascii="Times New Roman" w:hAnsi="Times New Roman" w:cs="Times New Roman" w:hint="eastAsia"/>
                <w:kern w:val="0"/>
                <w:szCs w:val="21"/>
                <w:lang w:bidi="ar"/>
              </w:rPr>
              <w:t xml:space="preserve"> 1,148,730 </w:t>
            </w:r>
          </w:p>
        </w:tc>
        <w:tc>
          <w:tcPr>
            <w:tcW w:w="6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kern w:val="0"/>
                <w:szCs w:val="21"/>
                <w:lang w:bidi="ar"/>
              </w:rPr>
            </w:pPr>
            <w:r>
              <w:rPr>
                <w:rFonts w:ascii="Times New Roman" w:hAnsi="Times New Roman" w:cs="Times New Roman" w:hint="eastAsia"/>
                <w:kern w:val="0"/>
                <w:szCs w:val="21"/>
                <w:lang w:bidi="ar"/>
              </w:rPr>
              <w:t>69.64</w:t>
            </w:r>
          </w:p>
        </w:tc>
        <w:tc>
          <w:tcPr>
            <w:tcW w:w="73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kern w:val="0"/>
                <w:szCs w:val="21"/>
                <w:lang w:bidi="ar"/>
              </w:rPr>
            </w:pPr>
            <w:r>
              <w:rPr>
                <w:rFonts w:ascii="Times New Roman" w:hAnsi="Times New Roman" w:cs="Times New Roman" w:hint="eastAsia"/>
                <w:kern w:val="0"/>
                <w:szCs w:val="21"/>
                <w:lang w:bidi="ar"/>
              </w:rPr>
              <w:t>43.78</w:t>
            </w:r>
          </w:p>
        </w:tc>
      </w:tr>
      <w:tr w:rsidR="00AD5BB5">
        <w:tc>
          <w:tcPr>
            <w:tcW w:w="66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left"/>
              <w:rPr>
                <w:rFonts w:ascii="Times New Roman" w:hAnsi="Times New Roman" w:cs="Times New Roman"/>
              </w:rPr>
            </w:pPr>
            <w:r>
              <w:rPr>
                <w:rFonts w:ascii="Times New Roman" w:hAnsi="Times New Roman" w:cs="Times New Roman"/>
              </w:rPr>
              <w:t>其他地区</w:t>
            </w:r>
          </w:p>
        </w:tc>
        <w:tc>
          <w:tcPr>
            <w:tcW w:w="81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kern w:val="0"/>
                <w:szCs w:val="21"/>
                <w:lang w:bidi="ar"/>
              </w:rPr>
            </w:pPr>
            <w:r>
              <w:rPr>
                <w:rFonts w:ascii="Times New Roman" w:hAnsi="Times New Roman" w:cs="Times New Roman" w:hint="eastAsia"/>
                <w:kern w:val="0"/>
                <w:szCs w:val="21"/>
                <w:lang w:bidi="ar"/>
              </w:rPr>
              <w:t xml:space="preserve"> 1,157,586 </w:t>
            </w:r>
          </w:p>
        </w:tc>
        <w:tc>
          <w:tcPr>
            <w:tcW w:w="53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kern w:val="0"/>
                <w:szCs w:val="21"/>
                <w:lang w:bidi="ar"/>
              </w:rPr>
            </w:pPr>
            <w:r>
              <w:rPr>
                <w:rFonts w:ascii="Times New Roman" w:hAnsi="Times New Roman" w:cs="Times New Roman"/>
                <w:kern w:val="0"/>
                <w:szCs w:val="21"/>
                <w:lang w:bidi="ar"/>
              </w:rPr>
              <w:t>39.</w:t>
            </w:r>
            <w:r>
              <w:rPr>
                <w:rFonts w:ascii="Times New Roman" w:hAnsi="Times New Roman" w:cs="Times New Roman" w:hint="eastAsia"/>
                <w:kern w:val="0"/>
                <w:szCs w:val="21"/>
                <w:lang w:bidi="ar"/>
              </w:rPr>
              <w:t>14</w:t>
            </w:r>
            <w:r>
              <w:rPr>
                <w:rFonts w:ascii="Times New Roman" w:hAnsi="Times New Roman" w:cs="Times New Roman"/>
                <w:kern w:val="0"/>
                <w:szCs w:val="21"/>
                <w:lang w:bidi="ar"/>
              </w:rPr>
              <w:t xml:space="preserve"> </w:t>
            </w:r>
          </w:p>
        </w:tc>
        <w:tc>
          <w:tcPr>
            <w:tcW w:w="77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kern w:val="0"/>
                <w:szCs w:val="21"/>
                <w:lang w:bidi="ar"/>
              </w:rPr>
            </w:pPr>
            <w:r>
              <w:rPr>
                <w:rFonts w:ascii="Times New Roman" w:hAnsi="Times New Roman" w:cs="Times New Roman"/>
                <w:kern w:val="0"/>
                <w:szCs w:val="21"/>
                <w:lang w:bidi="ar"/>
              </w:rPr>
              <w:t>-6.</w:t>
            </w:r>
            <w:r>
              <w:rPr>
                <w:rFonts w:ascii="Times New Roman" w:hAnsi="Times New Roman" w:cs="Times New Roman" w:hint="eastAsia"/>
                <w:kern w:val="0"/>
                <w:szCs w:val="21"/>
                <w:lang w:bidi="ar"/>
              </w:rPr>
              <w:t>32</w:t>
            </w:r>
            <w:r>
              <w:rPr>
                <w:rFonts w:ascii="Times New Roman" w:hAnsi="Times New Roman" w:cs="Times New Roman"/>
                <w:kern w:val="0"/>
                <w:szCs w:val="21"/>
                <w:lang w:bidi="ar"/>
              </w:rPr>
              <w:t xml:space="preserve"> </w:t>
            </w:r>
          </w:p>
        </w:tc>
        <w:tc>
          <w:tcPr>
            <w:tcW w:w="80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kern w:val="0"/>
                <w:szCs w:val="21"/>
                <w:lang w:bidi="ar"/>
              </w:rPr>
            </w:pPr>
            <w:r>
              <w:rPr>
                <w:rFonts w:ascii="Times New Roman" w:hAnsi="Times New Roman" w:cs="Times New Roman" w:hint="eastAsia"/>
                <w:kern w:val="0"/>
                <w:szCs w:val="21"/>
                <w:lang w:bidi="ar"/>
              </w:rPr>
              <w:t xml:space="preserve"> 500,744 </w:t>
            </w:r>
          </w:p>
        </w:tc>
        <w:tc>
          <w:tcPr>
            <w:tcW w:w="6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kern w:val="0"/>
                <w:szCs w:val="21"/>
                <w:lang w:bidi="ar"/>
              </w:rPr>
            </w:pPr>
            <w:r>
              <w:rPr>
                <w:rFonts w:ascii="Times New Roman" w:hAnsi="Times New Roman" w:cs="Times New Roman" w:hint="eastAsia"/>
                <w:kern w:val="0"/>
                <w:szCs w:val="21"/>
                <w:lang w:bidi="ar"/>
              </w:rPr>
              <w:t>30.36</w:t>
            </w:r>
          </w:p>
        </w:tc>
        <w:tc>
          <w:tcPr>
            <w:tcW w:w="73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kern w:val="0"/>
                <w:szCs w:val="21"/>
                <w:lang w:bidi="ar"/>
              </w:rPr>
            </w:pPr>
            <w:r>
              <w:rPr>
                <w:rFonts w:ascii="Times New Roman" w:hAnsi="Times New Roman" w:cs="Times New Roman" w:hint="eastAsia"/>
                <w:kern w:val="0"/>
                <w:szCs w:val="21"/>
                <w:lang w:bidi="ar"/>
              </w:rPr>
              <w:t>-0.90</w:t>
            </w:r>
          </w:p>
        </w:tc>
      </w:tr>
      <w:tr w:rsidR="00AD5BB5">
        <w:tc>
          <w:tcPr>
            <w:tcW w:w="66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left"/>
              <w:rPr>
                <w:rFonts w:ascii="Times New Roman" w:hAnsi="Times New Roman" w:cs="Times New Roman"/>
              </w:rPr>
            </w:pPr>
            <w:r>
              <w:rPr>
                <w:rFonts w:ascii="Times New Roman" w:hAnsi="Times New Roman" w:cs="Times New Roman"/>
              </w:rPr>
              <w:t>合计</w:t>
            </w:r>
          </w:p>
        </w:tc>
        <w:tc>
          <w:tcPr>
            <w:tcW w:w="81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kern w:val="0"/>
                <w:szCs w:val="21"/>
                <w:lang w:bidi="ar"/>
              </w:rPr>
            </w:pPr>
            <w:r>
              <w:rPr>
                <w:rFonts w:ascii="Times New Roman" w:hAnsi="Times New Roman" w:cs="Times New Roman" w:hint="eastAsia"/>
                <w:kern w:val="0"/>
                <w:szCs w:val="21"/>
                <w:lang w:bidi="ar"/>
              </w:rPr>
              <w:t xml:space="preserve"> 2,957,517 </w:t>
            </w:r>
          </w:p>
        </w:tc>
        <w:tc>
          <w:tcPr>
            <w:tcW w:w="53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kern w:val="0"/>
                <w:szCs w:val="21"/>
                <w:lang w:bidi="ar"/>
              </w:rPr>
            </w:pPr>
            <w:r>
              <w:rPr>
                <w:rFonts w:ascii="Times New Roman" w:hAnsi="Times New Roman" w:cs="Times New Roman" w:hint="eastAsia"/>
                <w:kern w:val="0"/>
                <w:szCs w:val="21"/>
                <w:lang w:bidi="ar"/>
              </w:rPr>
              <w:t>100.00</w:t>
            </w:r>
            <w:r>
              <w:rPr>
                <w:rFonts w:ascii="Times New Roman" w:hAnsi="Times New Roman" w:cs="Times New Roman"/>
                <w:kern w:val="0"/>
                <w:szCs w:val="21"/>
                <w:lang w:bidi="ar"/>
              </w:rPr>
              <w:t xml:space="preserve"> </w:t>
            </w:r>
          </w:p>
        </w:tc>
        <w:tc>
          <w:tcPr>
            <w:tcW w:w="77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kern w:val="0"/>
                <w:szCs w:val="21"/>
                <w:lang w:bidi="ar"/>
              </w:rPr>
            </w:pPr>
            <w:r>
              <w:rPr>
                <w:rFonts w:ascii="Times New Roman" w:hAnsi="Times New Roman" w:cs="Times New Roman"/>
                <w:kern w:val="0"/>
                <w:szCs w:val="21"/>
                <w:lang w:bidi="ar"/>
              </w:rPr>
              <w:t xml:space="preserve">3.60 </w:t>
            </w:r>
          </w:p>
        </w:tc>
        <w:tc>
          <w:tcPr>
            <w:tcW w:w="80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kern w:val="0"/>
                <w:szCs w:val="21"/>
                <w:lang w:bidi="ar"/>
              </w:rPr>
            </w:pPr>
            <w:r>
              <w:rPr>
                <w:rFonts w:ascii="Times New Roman" w:hAnsi="Times New Roman" w:cs="Times New Roman" w:hint="eastAsia"/>
                <w:kern w:val="0"/>
                <w:szCs w:val="21"/>
                <w:lang w:bidi="ar"/>
              </w:rPr>
              <w:t xml:space="preserve"> 1,649,473 </w:t>
            </w:r>
          </w:p>
        </w:tc>
        <w:tc>
          <w:tcPr>
            <w:tcW w:w="6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kern w:val="0"/>
                <w:szCs w:val="21"/>
                <w:lang w:bidi="ar"/>
              </w:rPr>
            </w:pPr>
            <w:r>
              <w:rPr>
                <w:rFonts w:ascii="Times New Roman" w:hAnsi="Times New Roman" w:cs="Times New Roman" w:hint="eastAsia"/>
                <w:kern w:val="0"/>
                <w:szCs w:val="21"/>
                <w:lang w:bidi="ar"/>
              </w:rPr>
              <w:t>100.00</w:t>
            </w:r>
            <w:r>
              <w:rPr>
                <w:rFonts w:ascii="Times New Roman" w:hAnsi="Times New Roman" w:cs="Times New Roman"/>
                <w:kern w:val="0"/>
                <w:szCs w:val="21"/>
                <w:lang w:bidi="ar"/>
              </w:rPr>
              <w:t xml:space="preserve"> </w:t>
            </w:r>
          </w:p>
        </w:tc>
        <w:tc>
          <w:tcPr>
            <w:tcW w:w="73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bottom"/>
              <w:rPr>
                <w:rFonts w:ascii="Times New Roman" w:hAnsi="Times New Roman" w:cs="Times New Roman"/>
                <w:kern w:val="0"/>
                <w:szCs w:val="21"/>
                <w:lang w:bidi="ar"/>
              </w:rPr>
            </w:pPr>
            <w:r>
              <w:rPr>
                <w:rFonts w:ascii="Times New Roman" w:hAnsi="Times New Roman" w:cs="Times New Roman"/>
                <w:kern w:val="0"/>
                <w:szCs w:val="21"/>
                <w:lang w:bidi="ar"/>
              </w:rPr>
              <w:t xml:space="preserve">26.47 </w:t>
            </w:r>
          </w:p>
        </w:tc>
      </w:tr>
    </w:tbl>
    <w:p w:rsidR="00AD5BB5" w:rsidRDefault="00AD5BB5">
      <w:pPr>
        <w:rPr>
          <w:rFonts w:ascii="Times New Roman" w:hAnsi="Times New Roman"/>
        </w:rPr>
      </w:pPr>
    </w:p>
    <w:p w:rsidR="00AD5BB5" w:rsidRDefault="00F87FF6">
      <w:pPr>
        <w:pStyle w:val="4"/>
        <w:numPr>
          <w:ilvl w:val="0"/>
          <w:numId w:val="4"/>
        </w:numPr>
        <w:spacing w:line="360" w:lineRule="auto"/>
        <w:rPr>
          <w:rFonts w:ascii="Times New Roman" w:hAnsi="Times New Roman" w:cs="Times New Roman"/>
        </w:rPr>
      </w:pPr>
      <w:r>
        <w:rPr>
          <w:rFonts w:ascii="Times New Roman" w:hAnsi="Times New Roman" w:cs="Times New Roman"/>
        </w:rPr>
        <w:t>利息净收入</w:t>
      </w:r>
    </w:p>
    <w:p w:rsidR="00AD5BB5" w:rsidRDefault="00F87FF6">
      <w:pPr>
        <w:spacing w:line="360" w:lineRule="auto"/>
        <w:ind w:firstLineChars="200" w:firstLine="420"/>
        <w:rPr>
          <w:rFonts w:ascii="Times New Roman" w:hAnsi="Times New Roman" w:cs="宋体"/>
        </w:rPr>
      </w:pPr>
      <w:r>
        <w:rPr>
          <w:rFonts w:ascii="Times New Roman" w:hAnsi="Times New Roman" w:cs="宋体" w:hint="eastAsia"/>
        </w:rPr>
        <w:t>报告期内，公司实现利息净收入</w:t>
      </w:r>
      <w:r>
        <w:rPr>
          <w:rFonts w:ascii="Times New Roman" w:hAnsi="Times New Roman" w:cs="宋体" w:hint="eastAsia"/>
        </w:rPr>
        <w:t>22.38</w:t>
      </w:r>
      <w:r>
        <w:rPr>
          <w:rFonts w:ascii="Times New Roman" w:hAnsi="Times New Roman" w:cs="宋体" w:hint="eastAsia"/>
        </w:rPr>
        <w:t>亿元，同比下降</w:t>
      </w:r>
      <w:r>
        <w:rPr>
          <w:rFonts w:ascii="Times New Roman" w:hAnsi="Times New Roman" w:cs="宋体" w:hint="eastAsia"/>
        </w:rPr>
        <w:t>1.61%</w:t>
      </w:r>
      <w:r>
        <w:rPr>
          <w:rFonts w:ascii="Times New Roman" w:hAnsi="Times New Roman" w:cs="宋体" w:hint="eastAsia"/>
        </w:rPr>
        <w:t>，在</w:t>
      </w:r>
      <w:r>
        <w:rPr>
          <w:rFonts w:ascii="Times New Roman" w:hAnsi="Times New Roman" w:cs="宋体" w:hint="eastAsia"/>
        </w:rPr>
        <w:t>LPR</w:t>
      </w:r>
      <w:r>
        <w:rPr>
          <w:rFonts w:ascii="Times New Roman" w:hAnsi="Times New Roman" w:cs="宋体" w:hint="eastAsia"/>
        </w:rPr>
        <w:t>下调、市场利率持续走低的环境下，公司</w:t>
      </w:r>
      <w:proofErr w:type="gramStart"/>
      <w:r>
        <w:rPr>
          <w:rFonts w:ascii="Times New Roman" w:hAnsi="Times New Roman" w:cs="宋体" w:hint="eastAsia"/>
        </w:rPr>
        <w:t>息差较同期</w:t>
      </w:r>
      <w:proofErr w:type="gramEnd"/>
      <w:r>
        <w:rPr>
          <w:rFonts w:ascii="Times New Roman" w:hAnsi="Times New Roman" w:cs="宋体" w:hint="eastAsia"/>
        </w:rPr>
        <w:t>收窄，影响净利息收入的实现。</w:t>
      </w:r>
    </w:p>
    <w:p w:rsidR="00AD5BB5" w:rsidRDefault="00F87FF6">
      <w:pPr>
        <w:spacing w:line="360" w:lineRule="auto"/>
        <w:jc w:val="right"/>
        <w:rPr>
          <w:rFonts w:ascii="Times New Roman" w:hAnsi="Times New Roman" w:cs="Times New Roman"/>
        </w:rPr>
      </w:pPr>
      <w:r>
        <w:rPr>
          <w:rFonts w:ascii="Times New Roman" w:hAnsi="Times New Roman" w:cs="Times New Roman"/>
        </w:rPr>
        <w:t>单位</w:t>
      </w:r>
      <w:r>
        <w:rPr>
          <w:rFonts w:ascii="Times New Roman" w:hAnsi="Times New Roman" w:cs="Times New Roman"/>
        </w:rPr>
        <w:t>:</w:t>
      </w:r>
      <w:r>
        <w:rPr>
          <w:rFonts w:ascii="Times New Roman" w:hAnsi="Times New Roman" w:cs="Times New Roman"/>
        </w:rPr>
        <w:t>人民币千元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1266"/>
        <w:gridCol w:w="1157"/>
        <w:gridCol w:w="1232"/>
        <w:gridCol w:w="1244"/>
        <w:gridCol w:w="1040"/>
      </w:tblGrid>
      <w:tr w:rsidR="00AD5BB5">
        <w:tc>
          <w:tcPr>
            <w:tcW w:w="1422"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b/>
                <w:bCs/>
              </w:rPr>
            </w:pPr>
            <w:r>
              <w:rPr>
                <w:rFonts w:ascii="Times New Roman" w:hAnsi="Times New Roman" w:cs="宋体" w:hint="eastAsia"/>
                <w:b/>
                <w:bCs/>
              </w:rPr>
              <w:t>项目</w:t>
            </w:r>
          </w:p>
        </w:tc>
        <w:tc>
          <w:tcPr>
            <w:tcW w:w="1459" w:type="pct"/>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b/>
                <w:bCs/>
              </w:rPr>
            </w:pPr>
            <w:r>
              <w:rPr>
                <w:rFonts w:ascii="Times New Roman" w:hAnsi="Times New Roman" w:cs="宋体" w:hint="eastAsia"/>
                <w:b/>
                <w:bCs/>
              </w:rPr>
              <w:t>2023</w:t>
            </w:r>
            <w:r>
              <w:rPr>
                <w:rFonts w:ascii="Times New Roman" w:hAnsi="Times New Roman" w:cs="宋体" w:hint="eastAsia"/>
                <w:b/>
                <w:bCs/>
              </w:rPr>
              <w:t>年</w:t>
            </w:r>
            <w:r>
              <w:rPr>
                <w:rFonts w:ascii="Times New Roman" w:hAnsi="Times New Roman" w:cs="宋体" w:hint="eastAsia"/>
                <w:b/>
                <w:bCs/>
              </w:rPr>
              <w:t>1-6</w:t>
            </w:r>
            <w:r>
              <w:rPr>
                <w:rFonts w:ascii="Times New Roman" w:hAnsi="Times New Roman" w:cs="宋体" w:hint="eastAsia"/>
                <w:b/>
                <w:bCs/>
              </w:rPr>
              <w:t>月</w:t>
            </w:r>
          </w:p>
        </w:tc>
        <w:tc>
          <w:tcPr>
            <w:tcW w:w="1491" w:type="pct"/>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b/>
                <w:bCs/>
              </w:rPr>
            </w:pPr>
            <w:r>
              <w:rPr>
                <w:rFonts w:ascii="Times New Roman" w:hAnsi="Times New Roman" w:cs="宋体" w:hint="eastAsia"/>
                <w:b/>
                <w:bCs/>
              </w:rPr>
              <w:t>2022</w:t>
            </w:r>
            <w:r>
              <w:rPr>
                <w:rFonts w:ascii="Times New Roman" w:hAnsi="Times New Roman" w:cs="宋体" w:hint="eastAsia"/>
                <w:b/>
                <w:bCs/>
              </w:rPr>
              <w:t>年</w:t>
            </w:r>
            <w:r>
              <w:rPr>
                <w:rFonts w:ascii="Times New Roman" w:hAnsi="Times New Roman" w:cs="宋体" w:hint="eastAsia"/>
                <w:b/>
                <w:bCs/>
              </w:rPr>
              <w:t>1-6</w:t>
            </w:r>
            <w:r>
              <w:rPr>
                <w:rFonts w:ascii="Times New Roman" w:hAnsi="Times New Roman" w:cs="宋体" w:hint="eastAsia"/>
                <w:b/>
                <w:bCs/>
              </w:rPr>
              <w:t>月</w:t>
            </w:r>
          </w:p>
        </w:tc>
        <w:tc>
          <w:tcPr>
            <w:tcW w:w="626" w:type="pct"/>
            <w:vMerge w:val="restart"/>
            <w:tcBorders>
              <w:top w:val="single" w:sz="4" w:space="0" w:color="auto"/>
              <w:left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rPr>
            </w:pPr>
            <w:r>
              <w:rPr>
                <w:rFonts w:ascii="Times New Roman" w:hAnsi="Times New Roman" w:cs="宋体" w:hint="eastAsia"/>
                <w:b/>
                <w:bCs/>
              </w:rPr>
              <w:t>同比变动（</w:t>
            </w:r>
            <w:r>
              <w:rPr>
                <w:rFonts w:ascii="Times New Roman" w:hAnsi="Times New Roman" w:cs="宋体" w:hint="eastAsia"/>
                <w:b/>
                <w:bCs/>
              </w:rPr>
              <w:t>%</w:t>
            </w:r>
            <w:r>
              <w:rPr>
                <w:rFonts w:ascii="Times New Roman" w:hAnsi="Times New Roman" w:cs="宋体" w:hint="eastAsia"/>
                <w:b/>
                <w:bCs/>
              </w:rPr>
              <w:t>）</w:t>
            </w:r>
          </w:p>
        </w:tc>
      </w:tr>
      <w:tr w:rsidR="00AD5BB5">
        <w:tc>
          <w:tcPr>
            <w:tcW w:w="1422" w:type="pct"/>
            <w:vMerge/>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rPr>
                <w:rFonts w:ascii="Times New Roman" w:hAnsi="Times New Roman" w:cs="宋体"/>
                <w:b/>
                <w:bCs/>
              </w:rPr>
            </w:pPr>
          </w:p>
        </w:tc>
        <w:tc>
          <w:tcPr>
            <w:tcW w:w="76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宋体"/>
                <w:b/>
                <w:bCs/>
              </w:rPr>
            </w:pPr>
            <w:r>
              <w:rPr>
                <w:rFonts w:ascii="Times New Roman" w:hAnsi="Times New Roman" w:cs="宋体" w:hint="eastAsia"/>
                <w:b/>
                <w:bCs/>
              </w:rPr>
              <w:t>金额</w:t>
            </w:r>
          </w:p>
        </w:tc>
        <w:tc>
          <w:tcPr>
            <w:tcW w:w="69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宋体"/>
                <w:b/>
                <w:bCs/>
              </w:rPr>
            </w:pPr>
            <w:r>
              <w:rPr>
                <w:rFonts w:ascii="Times New Roman" w:hAnsi="Times New Roman" w:cs="宋体" w:hint="eastAsia"/>
                <w:b/>
                <w:bCs/>
              </w:rPr>
              <w:t>占比</w:t>
            </w:r>
          </w:p>
          <w:p w:rsidR="00AD5BB5" w:rsidRDefault="00F87FF6">
            <w:pPr>
              <w:kinsoku w:val="0"/>
              <w:overflowPunct w:val="0"/>
              <w:autoSpaceDE w:val="0"/>
              <w:autoSpaceDN w:val="0"/>
              <w:adjustRightInd w:val="0"/>
              <w:snapToGrid w:val="0"/>
              <w:ind w:right="180"/>
              <w:jc w:val="center"/>
              <w:rPr>
                <w:rFonts w:ascii="Times New Roman" w:hAnsi="Times New Roman" w:cs="宋体"/>
                <w:b/>
                <w:bCs/>
              </w:rPr>
            </w:pPr>
            <w:r>
              <w:rPr>
                <w:rFonts w:ascii="Times New Roman" w:hAnsi="Times New Roman" w:cs="宋体" w:hint="eastAsia"/>
                <w:b/>
                <w:bCs/>
              </w:rPr>
              <w:t>（</w:t>
            </w:r>
            <w:r>
              <w:rPr>
                <w:rFonts w:ascii="Times New Roman" w:hAnsi="Times New Roman" w:cs="宋体" w:hint="eastAsia"/>
                <w:b/>
                <w:bCs/>
              </w:rPr>
              <w:t>%</w:t>
            </w:r>
            <w:r>
              <w:rPr>
                <w:rFonts w:ascii="Times New Roman" w:hAnsi="Times New Roman" w:cs="宋体" w:hint="eastAsia"/>
                <w:b/>
                <w:bCs/>
              </w:rPr>
              <w:t>）</w:t>
            </w:r>
          </w:p>
        </w:tc>
        <w:tc>
          <w:tcPr>
            <w:tcW w:w="74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宋体"/>
                <w:b/>
                <w:bCs/>
              </w:rPr>
            </w:pPr>
            <w:r>
              <w:rPr>
                <w:rFonts w:ascii="Times New Roman" w:hAnsi="Times New Roman" w:cs="宋体" w:hint="eastAsia"/>
                <w:b/>
                <w:bCs/>
              </w:rPr>
              <w:t>金额</w:t>
            </w:r>
          </w:p>
        </w:tc>
        <w:tc>
          <w:tcPr>
            <w:tcW w:w="749"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宋体"/>
                <w:b/>
                <w:bCs/>
              </w:rPr>
            </w:pPr>
            <w:r>
              <w:rPr>
                <w:rFonts w:ascii="Times New Roman" w:hAnsi="Times New Roman" w:cs="宋体" w:hint="eastAsia"/>
                <w:b/>
                <w:bCs/>
              </w:rPr>
              <w:t>占比</w:t>
            </w:r>
          </w:p>
          <w:p w:rsidR="00AD5BB5" w:rsidRDefault="00F87FF6">
            <w:pPr>
              <w:kinsoku w:val="0"/>
              <w:overflowPunct w:val="0"/>
              <w:autoSpaceDE w:val="0"/>
              <w:autoSpaceDN w:val="0"/>
              <w:adjustRightInd w:val="0"/>
              <w:snapToGrid w:val="0"/>
              <w:ind w:right="180"/>
              <w:jc w:val="center"/>
              <w:rPr>
                <w:rFonts w:ascii="Times New Roman" w:hAnsi="Times New Roman" w:cs="宋体"/>
                <w:b/>
                <w:bCs/>
              </w:rPr>
            </w:pPr>
            <w:r>
              <w:rPr>
                <w:rFonts w:ascii="Times New Roman" w:hAnsi="Times New Roman" w:cs="宋体" w:hint="eastAsia"/>
                <w:b/>
                <w:bCs/>
              </w:rPr>
              <w:t>（</w:t>
            </w:r>
            <w:r>
              <w:rPr>
                <w:rFonts w:ascii="Times New Roman" w:hAnsi="Times New Roman" w:cs="宋体" w:hint="eastAsia"/>
                <w:b/>
                <w:bCs/>
              </w:rPr>
              <w:t>%</w:t>
            </w:r>
            <w:r>
              <w:rPr>
                <w:rFonts w:ascii="Times New Roman" w:hAnsi="Times New Roman" w:cs="宋体" w:hint="eastAsia"/>
                <w:b/>
                <w:bCs/>
              </w:rPr>
              <w:t>）</w:t>
            </w:r>
          </w:p>
        </w:tc>
        <w:tc>
          <w:tcPr>
            <w:tcW w:w="626" w:type="pct"/>
            <w:vMerge/>
            <w:tcBorders>
              <w:left w:val="single" w:sz="4" w:space="0" w:color="auto"/>
              <w:right w:val="single" w:sz="4" w:space="0" w:color="auto"/>
              <w:tl2br w:val="nil"/>
              <w:tr2bl w:val="nil"/>
            </w:tcBorders>
            <w:vAlign w:val="center"/>
          </w:tcPr>
          <w:p w:rsidR="00AD5BB5" w:rsidRDefault="00AD5BB5">
            <w:pPr>
              <w:kinsoku w:val="0"/>
              <w:overflowPunct w:val="0"/>
              <w:autoSpaceDE w:val="0"/>
              <w:autoSpaceDN w:val="0"/>
              <w:adjustRightInd w:val="0"/>
              <w:snapToGrid w:val="0"/>
              <w:ind w:right="180"/>
              <w:jc w:val="center"/>
              <w:rPr>
                <w:rFonts w:ascii="Times New Roman" w:hAnsi="Times New Roman" w:cs="Times New Roman"/>
                <w:b/>
                <w:bCs/>
              </w:rPr>
            </w:pPr>
          </w:p>
        </w:tc>
      </w:tr>
      <w:tr w:rsidR="00AD5BB5">
        <w:tc>
          <w:tcPr>
            <w:tcW w:w="142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b/>
                <w:bCs/>
              </w:rPr>
              <w:t>利息收入</w:t>
            </w:r>
          </w:p>
        </w:tc>
        <w:tc>
          <w:tcPr>
            <w:tcW w:w="76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6,225,832 </w:t>
            </w:r>
          </w:p>
        </w:tc>
        <w:tc>
          <w:tcPr>
            <w:tcW w:w="69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hint="eastAsia"/>
                <w:kern w:val="0"/>
                <w:szCs w:val="21"/>
                <w:lang w:bidi="ar"/>
              </w:rPr>
              <w:t>100.00</w:t>
            </w:r>
            <w:r>
              <w:rPr>
                <w:rFonts w:ascii="Times New Roman" w:hAnsi="Times New Roman" w:cs="Times New Roman"/>
                <w:kern w:val="0"/>
                <w:szCs w:val="21"/>
                <w:lang w:bidi="ar"/>
              </w:rPr>
              <w:t xml:space="preserve"> </w:t>
            </w:r>
          </w:p>
        </w:tc>
        <w:tc>
          <w:tcPr>
            <w:tcW w:w="74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6,090,577 </w:t>
            </w:r>
          </w:p>
        </w:tc>
        <w:tc>
          <w:tcPr>
            <w:tcW w:w="749"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hint="eastAsia"/>
                <w:kern w:val="0"/>
                <w:szCs w:val="21"/>
                <w:lang w:bidi="ar"/>
              </w:rPr>
              <w:t>100.00</w:t>
            </w:r>
            <w:r>
              <w:rPr>
                <w:rFonts w:ascii="Times New Roman" w:hAnsi="Times New Roman" w:cs="Times New Roman"/>
                <w:kern w:val="0"/>
                <w:szCs w:val="21"/>
                <w:lang w:bidi="ar"/>
              </w:rPr>
              <w:t xml:space="preserve"> </w:t>
            </w:r>
          </w:p>
        </w:tc>
        <w:tc>
          <w:tcPr>
            <w:tcW w:w="62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2.22 </w:t>
            </w:r>
          </w:p>
        </w:tc>
      </w:tr>
      <w:tr w:rsidR="00AD5BB5">
        <w:tc>
          <w:tcPr>
            <w:tcW w:w="142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ind w:leftChars="200" w:left="420"/>
              <w:rPr>
                <w:rFonts w:ascii="Times New Roman" w:hAnsi="Times New Roman" w:cs="宋体"/>
              </w:rPr>
            </w:pPr>
            <w:r>
              <w:rPr>
                <w:rFonts w:ascii="Times New Roman" w:hAnsi="Times New Roman" w:cs="宋体" w:hint="eastAsia"/>
              </w:rPr>
              <w:t>存放中央银行款项</w:t>
            </w:r>
          </w:p>
        </w:tc>
        <w:tc>
          <w:tcPr>
            <w:tcW w:w="76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112,431 </w:t>
            </w:r>
          </w:p>
        </w:tc>
        <w:tc>
          <w:tcPr>
            <w:tcW w:w="69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1.81 </w:t>
            </w:r>
          </w:p>
        </w:tc>
        <w:tc>
          <w:tcPr>
            <w:tcW w:w="74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113,691 </w:t>
            </w:r>
          </w:p>
        </w:tc>
        <w:tc>
          <w:tcPr>
            <w:tcW w:w="749"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1.87 </w:t>
            </w:r>
          </w:p>
        </w:tc>
        <w:tc>
          <w:tcPr>
            <w:tcW w:w="62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-1.11 </w:t>
            </w:r>
          </w:p>
        </w:tc>
      </w:tr>
      <w:tr w:rsidR="00AD5BB5">
        <w:tc>
          <w:tcPr>
            <w:tcW w:w="142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 xml:space="preserve">    </w:t>
            </w:r>
            <w:r>
              <w:rPr>
                <w:rFonts w:ascii="Times New Roman" w:hAnsi="Times New Roman" w:cs="宋体" w:hint="eastAsia"/>
              </w:rPr>
              <w:t>存放同业及其他金融机构款项</w:t>
            </w:r>
          </w:p>
        </w:tc>
        <w:tc>
          <w:tcPr>
            <w:tcW w:w="76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90,065 </w:t>
            </w:r>
          </w:p>
        </w:tc>
        <w:tc>
          <w:tcPr>
            <w:tcW w:w="69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1.45 </w:t>
            </w:r>
          </w:p>
        </w:tc>
        <w:tc>
          <w:tcPr>
            <w:tcW w:w="74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236,585 </w:t>
            </w:r>
          </w:p>
        </w:tc>
        <w:tc>
          <w:tcPr>
            <w:tcW w:w="749"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3.88 </w:t>
            </w:r>
          </w:p>
        </w:tc>
        <w:tc>
          <w:tcPr>
            <w:tcW w:w="62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-61.93 </w:t>
            </w:r>
          </w:p>
        </w:tc>
      </w:tr>
      <w:tr w:rsidR="00AD5BB5">
        <w:tc>
          <w:tcPr>
            <w:tcW w:w="142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ind w:firstLineChars="200" w:firstLine="420"/>
              <w:rPr>
                <w:rFonts w:ascii="Times New Roman" w:hAnsi="Times New Roman" w:cs="宋体"/>
              </w:rPr>
            </w:pPr>
            <w:r>
              <w:rPr>
                <w:rFonts w:ascii="Times New Roman" w:hAnsi="Times New Roman" w:cs="宋体" w:hint="eastAsia"/>
              </w:rPr>
              <w:t>拆出资金</w:t>
            </w:r>
          </w:p>
        </w:tc>
        <w:tc>
          <w:tcPr>
            <w:tcW w:w="76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287,598 </w:t>
            </w:r>
          </w:p>
        </w:tc>
        <w:tc>
          <w:tcPr>
            <w:tcW w:w="69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4.62 </w:t>
            </w:r>
          </w:p>
        </w:tc>
        <w:tc>
          <w:tcPr>
            <w:tcW w:w="74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186,197 </w:t>
            </w:r>
          </w:p>
        </w:tc>
        <w:tc>
          <w:tcPr>
            <w:tcW w:w="749"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3.06 </w:t>
            </w:r>
          </w:p>
        </w:tc>
        <w:tc>
          <w:tcPr>
            <w:tcW w:w="62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54.46 </w:t>
            </w:r>
          </w:p>
        </w:tc>
      </w:tr>
      <w:tr w:rsidR="00AD5BB5">
        <w:trPr>
          <w:trHeight w:val="90"/>
        </w:trPr>
        <w:tc>
          <w:tcPr>
            <w:tcW w:w="142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ind w:firstLineChars="200" w:firstLine="420"/>
              <w:rPr>
                <w:rFonts w:ascii="Times New Roman" w:hAnsi="Times New Roman" w:cs="宋体"/>
              </w:rPr>
            </w:pPr>
            <w:r>
              <w:rPr>
                <w:rFonts w:ascii="Times New Roman" w:hAnsi="Times New Roman" w:cs="宋体" w:hint="eastAsia"/>
              </w:rPr>
              <w:t>买入返售金融资产</w:t>
            </w:r>
          </w:p>
        </w:tc>
        <w:tc>
          <w:tcPr>
            <w:tcW w:w="76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12,140 </w:t>
            </w:r>
          </w:p>
        </w:tc>
        <w:tc>
          <w:tcPr>
            <w:tcW w:w="69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0.19 </w:t>
            </w:r>
          </w:p>
        </w:tc>
        <w:tc>
          <w:tcPr>
            <w:tcW w:w="74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15,430 </w:t>
            </w:r>
          </w:p>
        </w:tc>
        <w:tc>
          <w:tcPr>
            <w:tcW w:w="749"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0.25 </w:t>
            </w:r>
          </w:p>
        </w:tc>
        <w:tc>
          <w:tcPr>
            <w:tcW w:w="62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-21.33 </w:t>
            </w:r>
          </w:p>
        </w:tc>
      </w:tr>
      <w:tr w:rsidR="00AD5BB5">
        <w:trPr>
          <w:trHeight w:val="272"/>
        </w:trPr>
        <w:tc>
          <w:tcPr>
            <w:tcW w:w="142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ind w:firstLineChars="200" w:firstLine="420"/>
              <w:rPr>
                <w:rFonts w:ascii="Times New Roman" w:hAnsi="Times New Roman" w:cs="宋体"/>
              </w:rPr>
            </w:pPr>
            <w:r>
              <w:rPr>
                <w:rFonts w:ascii="Times New Roman" w:hAnsi="Times New Roman" w:cs="宋体" w:hint="eastAsia"/>
              </w:rPr>
              <w:t>发放贷款及垫款</w:t>
            </w:r>
          </w:p>
        </w:tc>
        <w:tc>
          <w:tcPr>
            <w:tcW w:w="76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4,373,221 </w:t>
            </w:r>
          </w:p>
        </w:tc>
        <w:tc>
          <w:tcPr>
            <w:tcW w:w="69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70.24 </w:t>
            </w:r>
          </w:p>
        </w:tc>
        <w:tc>
          <w:tcPr>
            <w:tcW w:w="74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4,294,153 </w:t>
            </w:r>
          </w:p>
        </w:tc>
        <w:tc>
          <w:tcPr>
            <w:tcW w:w="749"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70.50 </w:t>
            </w:r>
          </w:p>
        </w:tc>
        <w:tc>
          <w:tcPr>
            <w:tcW w:w="62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1.84 </w:t>
            </w:r>
          </w:p>
        </w:tc>
      </w:tr>
      <w:tr w:rsidR="00AD5BB5">
        <w:tc>
          <w:tcPr>
            <w:tcW w:w="142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ind w:firstLineChars="200" w:firstLine="420"/>
              <w:rPr>
                <w:rFonts w:ascii="Times New Roman" w:hAnsi="Times New Roman" w:cs="宋体"/>
              </w:rPr>
            </w:pPr>
            <w:r>
              <w:rPr>
                <w:rFonts w:ascii="Times New Roman" w:hAnsi="Times New Roman" w:cs="宋体" w:hint="eastAsia"/>
              </w:rPr>
              <w:t>债券及其他投资</w:t>
            </w:r>
          </w:p>
        </w:tc>
        <w:tc>
          <w:tcPr>
            <w:tcW w:w="76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1,350,376 </w:t>
            </w:r>
          </w:p>
        </w:tc>
        <w:tc>
          <w:tcPr>
            <w:tcW w:w="69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21.69 </w:t>
            </w:r>
          </w:p>
        </w:tc>
        <w:tc>
          <w:tcPr>
            <w:tcW w:w="74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1,244,520 </w:t>
            </w:r>
          </w:p>
        </w:tc>
        <w:tc>
          <w:tcPr>
            <w:tcW w:w="749"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20.43 </w:t>
            </w:r>
          </w:p>
        </w:tc>
        <w:tc>
          <w:tcPr>
            <w:tcW w:w="62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8.51 </w:t>
            </w:r>
          </w:p>
        </w:tc>
      </w:tr>
      <w:tr w:rsidR="00AD5BB5">
        <w:tc>
          <w:tcPr>
            <w:tcW w:w="142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b/>
                <w:bCs/>
              </w:rPr>
              <w:t>利息支出</w:t>
            </w:r>
          </w:p>
        </w:tc>
        <w:tc>
          <w:tcPr>
            <w:tcW w:w="76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3,987,706 </w:t>
            </w:r>
          </w:p>
        </w:tc>
        <w:tc>
          <w:tcPr>
            <w:tcW w:w="69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hint="eastAsia"/>
                <w:kern w:val="0"/>
                <w:szCs w:val="21"/>
                <w:lang w:bidi="ar"/>
              </w:rPr>
              <w:t>100</w:t>
            </w:r>
            <w:r>
              <w:rPr>
                <w:rFonts w:ascii="Times New Roman" w:hAnsi="Times New Roman" w:cs="Times New Roman"/>
                <w:kern w:val="0"/>
                <w:szCs w:val="21"/>
                <w:lang w:bidi="ar"/>
              </w:rPr>
              <w:t xml:space="preserve"> </w:t>
            </w:r>
          </w:p>
        </w:tc>
        <w:tc>
          <w:tcPr>
            <w:tcW w:w="74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3,815,864 </w:t>
            </w:r>
          </w:p>
        </w:tc>
        <w:tc>
          <w:tcPr>
            <w:tcW w:w="749"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hint="eastAsia"/>
                <w:kern w:val="0"/>
                <w:szCs w:val="21"/>
                <w:lang w:bidi="ar"/>
              </w:rPr>
              <w:t>100</w:t>
            </w:r>
            <w:r>
              <w:rPr>
                <w:rFonts w:ascii="Times New Roman" w:hAnsi="Times New Roman" w:cs="Times New Roman"/>
                <w:kern w:val="0"/>
                <w:szCs w:val="21"/>
                <w:lang w:bidi="ar"/>
              </w:rPr>
              <w:t xml:space="preserve"> </w:t>
            </w:r>
          </w:p>
        </w:tc>
        <w:tc>
          <w:tcPr>
            <w:tcW w:w="62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4.50 </w:t>
            </w:r>
          </w:p>
        </w:tc>
      </w:tr>
      <w:tr w:rsidR="00AD5BB5">
        <w:tc>
          <w:tcPr>
            <w:tcW w:w="142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ind w:firstLineChars="200" w:firstLine="420"/>
              <w:rPr>
                <w:rFonts w:ascii="Times New Roman" w:hAnsi="Times New Roman" w:cs="宋体"/>
              </w:rPr>
            </w:pPr>
            <w:r>
              <w:rPr>
                <w:rFonts w:ascii="Times New Roman" w:hAnsi="Times New Roman" w:cs="宋体" w:hint="eastAsia"/>
              </w:rPr>
              <w:t>向中央银行借款</w:t>
            </w:r>
          </w:p>
        </w:tc>
        <w:tc>
          <w:tcPr>
            <w:tcW w:w="76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84,719 </w:t>
            </w:r>
          </w:p>
        </w:tc>
        <w:tc>
          <w:tcPr>
            <w:tcW w:w="69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2.12 </w:t>
            </w:r>
          </w:p>
        </w:tc>
        <w:tc>
          <w:tcPr>
            <w:tcW w:w="74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92,525 </w:t>
            </w:r>
          </w:p>
        </w:tc>
        <w:tc>
          <w:tcPr>
            <w:tcW w:w="749"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2.42 </w:t>
            </w:r>
          </w:p>
        </w:tc>
        <w:tc>
          <w:tcPr>
            <w:tcW w:w="62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-8.44 </w:t>
            </w:r>
          </w:p>
        </w:tc>
      </w:tr>
      <w:tr w:rsidR="00AD5BB5">
        <w:tc>
          <w:tcPr>
            <w:tcW w:w="142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ind w:firstLineChars="200" w:firstLine="420"/>
              <w:rPr>
                <w:rFonts w:ascii="Times New Roman" w:hAnsi="Times New Roman" w:cs="宋体"/>
              </w:rPr>
            </w:pPr>
            <w:r>
              <w:rPr>
                <w:rFonts w:ascii="Times New Roman" w:hAnsi="Times New Roman" w:cs="宋体" w:hint="eastAsia"/>
              </w:rPr>
              <w:t>同业及其他金融机构存放款项</w:t>
            </w:r>
          </w:p>
        </w:tc>
        <w:tc>
          <w:tcPr>
            <w:tcW w:w="76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201,836 </w:t>
            </w:r>
          </w:p>
        </w:tc>
        <w:tc>
          <w:tcPr>
            <w:tcW w:w="69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5.06 </w:t>
            </w:r>
          </w:p>
        </w:tc>
        <w:tc>
          <w:tcPr>
            <w:tcW w:w="74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68,264 </w:t>
            </w:r>
          </w:p>
        </w:tc>
        <w:tc>
          <w:tcPr>
            <w:tcW w:w="749"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1.79 </w:t>
            </w:r>
          </w:p>
        </w:tc>
        <w:tc>
          <w:tcPr>
            <w:tcW w:w="62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195.67 </w:t>
            </w:r>
          </w:p>
        </w:tc>
      </w:tr>
      <w:tr w:rsidR="00AD5BB5">
        <w:tc>
          <w:tcPr>
            <w:tcW w:w="142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ind w:firstLineChars="200" w:firstLine="420"/>
              <w:rPr>
                <w:rFonts w:ascii="Times New Roman" w:hAnsi="Times New Roman" w:cs="宋体"/>
              </w:rPr>
            </w:pPr>
            <w:r>
              <w:rPr>
                <w:rFonts w:ascii="Times New Roman" w:hAnsi="Times New Roman" w:cs="宋体" w:hint="eastAsia"/>
              </w:rPr>
              <w:t>拆入资金</w:t>
            </w:r>
          </w:p>
        </w:tc>
        <w:tc>
          <w:tcPr>
            <w:tcW w:w="76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412,352 </w:t>
            </w:r>
          </w:p>
        </w:tc>
        <w:tc>
          <w:tcPr>
            <w:tcW w:w="69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10.34 </w:t>
            </w:r>
          </w:p>
        </w:tc>
        <w:tc>
          <w:tcPr>
            <w:tcW w:w="74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313,260 </w:t>
            </w:r>
          </w:p>
        </w:tc>
        <w:tc>
          <w:tcPr>
            <w:tcW w:w="749"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8.21 </w:t>
            </w:r>
          </w:p>
        </w:tc>
        <w:tc>
          <w:tcPr>
            <w:tcW w:w="62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31.63 </w:t>
            </w:r>
          </w:p>
        </w:tc>
      </w:tr>
      <w:tr w:rsidR="00AD5BB5">
        <w:tc>
          <w:tcPr>
            <w:tcW w:w="142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ind w:firstLineChars="200" w:firstLine="420"/>
              <w:rPr>
                <w:rFonts w:ascii="Times New Roman" w:hAnsi="Times New Roman" w:cs="宋体"/>
              </w:rPr>
            </w:pPr>
            <w:r>
              <w:rPr>
                <w:rFonts w:ascii="Times New Roman" w:hAnsi="Times New Roman" w:cs="宋体" w:hint="eastAsia"/>
              </w:rPr>
              <w:t>卖出回购金融资产款</w:t>
            </w:r>
          </w:p>
        </w:tc>
        <w:tc>
          <w:tcPr>
            <w:tcW w:w="76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135,943 </w:t>
            </w:r>
          </w:p>
        </w:tc>
        <w:tc>
          <w:tcPr>
            <w:tcW w:w="69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3.41 </w:t>
            </w:r>
          </w:p>
        </w:tc>
        <w:tc>
          <w:tcPr>
            <w:tcW w:w="74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160,431 </w:t>
            </w:r>
          </w:p>
        </w:tc>
        <w:tc>
          <w:tcPr>
            <w:tcW w:w="749"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4.20 </w:t>
            </w:r>
          </w:p>
        </w:tc>
        <w:tc>
          <w:tcPr>
            <w:tcW w:w="62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-15.26 </w:t>
            </w:r>
          </w:p>
        </w:tc>
      </w:tr>
      <w:tr w:rsidR="00AD5BB5">
        <w:tc>
          <w:tcPr>
            <w:tcW w:w="142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ind w:firstLineChars="200" w:firstLine="420"/>
              <w:rPr>
                <w:rFonts w:ascii="Times New Roman" w:hAnsi="Times New Roman" w:cs="宋体"/>
              </w:rPr>
            </w:pPr>
            <w:r>
              <w:rPr>
                <w:rFonts w:ascii="Times New Roman" w:hAnsi="Times New Roman" w:cs="宋体" w:hint="eastAsia"/>
              </w:rPr>
              <w:t>吸收存款</w:t>
            </w:r>
          </w:p>
        </w:tc>
        <w:tc>
          <w:tcPr>
            <w:tcW w:w="76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2,217,411 </w:t>
            </w:r>
          </w:p>
        </w:tc>
        <w:tc>
          <w:tcPr>
            <w:tcW w:w="69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55.61 </w:t>
            </w:r>
          </w:p>
        </w:tc>
        <w:tc>
          <w:tcPr>
            <w:tcW w:w="74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2,261,005 </w:t>
            </w:r>
          </w:p>
        </w:tc>
        <w:tc>
          <w:tcPr>
            <w:tcW w:w="749"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59.25 </w:t>
            </w:r>
          </w:p>
        </w:tc>
        <w:tc>
          <w:tcPr>
            <w:tcW w:w="62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-1.93 </w:t>
            </w:r>
          </w:p>
        </w:tc>
      </w:tr>
      <w:tr w:rsidR="00AD5BB5">
        <w:tc>
          <w:tcPr>
            <w:tcW w:w="142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ind w:firstLineChars="200" w:firstLine="420"/>
              <w:rPr>
                <w:rFonts w:ascii="Times New Roman" w:hAnsi="Times New Roman" w:cs="宋体"/>
              </w:rPr>
            </w:pPr>
            <w:r>
              <w:rPr>
                <w:rFonts w:ascii="Times New Roman" w:hAnsi="Times New Roman" w:cs="宋体" w:hint="eastAsia"/>
              </w:rPr>
              <w:t>应付债券</w:t>
            </w:r>
          </w:p>
        </w:tc>
        <w:tc>
          <w:tcPr>
            <w:tcW w:w="76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935,447 </w:t>
            </w:r>
          </w:p>
        </w:tc>
        <w:tc>
          <w:tcPr>
            <w:tcW w:w="69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23.46 </w:t>
            </w:r>
          </w:p>
        </w:tc>
        <w:tc>
          <w:tcPr>
            <w:tcW w:w="74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920,377 </w:t>
            </w:r>
          </w:p>
        </w:tc>
        <w:tc>
          <w:tcPr>
            <w:tcW w:w="749"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24.12 </w:t>
            </w:r>
          </w:p>
        </w:tc>
        <w:tc>
          <w:tcPr>
            <w:tcW w:w="62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1.64 </w:t>
            </w:r>
          </w:p>
        </w:tc>
      </w:tr>
      <w:tr w:rsidR="00AD5BB5">
        <w:tc>
          <w:tcPr>
            <w:tcW w:w="142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b/>
                <w:bCs/>
              </w:rPr>
              <w:t>利息净收入</w:t>
            </w:r>
          </w:p>
        </w:tc>
        <w:tc>
          <w:tcPr>
            <w:tcW w:w="76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2,238,125 </w:t>
            </w:r>
          </w:p>
        </w:tc>
        <w:tc>
          <w:tcPr>
            <w:tcW w:w="69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hint="eastAsia"/>
                <w:szCs w:val="21"/>
              </w:rPr>
              <w:t>-</w:t>
            </w:r>
          </w:p>
        </w:tc>
        <w:tc>
          <w:tcPr>
            <w:tcW w:w="74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2,274,713 </w:t>
            </w:r>
          </w:p>
        </w:tc>
        <w:tc>
          <w:tcPr>
            <w:tcW w:w="749"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hint="eastAsia"/>
                <w:szCs w:val="21"/>
              </w:rPr>
              <w:t>-</w:t>
            </w:r>
          </w:p>
        </w:tc>
        <w:tc>
          <w:tcPr>
            <w:tcW w:w="62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-1.61 </w:t>
            </w:r>
          </w:p>
        </w:tc>
      </w:tr>
    </w:tbl>
    <w:p w:rsidR="00AD5BB5" w:rsidRDefault="00AD5BB5">
      <w:pPr>
        <w:rPr>
          <w:rFonts w:ascii="Times New Roman" w:hAnsi="Times New Roman" w:cs="Times New Roman"/>
        </w:rPr>
      </w:pPr>
    </w:p>
    <w:p w:rsidR="00AD5BB5" w:rsidRDefault="00F87FF6">
      <w:pPr>
        <w:pStyle w:val="4"/>
        <w:numPr>
          <w:ilvl w:val="0"/>
          <w:numId w:val="4"/>
        </w:numPr>
        <w:spacing w:line="360" w:lineRule="auto"/>
        <w:rPr>
          <w:rFonts w:ascii="Times New Roman" w:hAnsi="Times New Roman" w:cs="Times New Roman"/>
        </w:rPr>
      </w:pPr>
      <w:r>
        <w:rPr>
          <w:rFonts w:ascii="Times New Roman" w:hAnsi="Times New Roman" w:cs="Times New Roman"/>
        </w:rPr>
        <w:t>非利息净收入</w:t>
      </w:r>
    </w:p>
    <w:p w:rsidR="00AD5BB5" w:rsidRDefault="00F87FF6">
      <w:pPr>
        <w:spacing w:line="360" w:lineRule="auto"/>
        <w:ind w:firstLineChars="200" w:firstLine="420"/>
        <w:jc w:val="left"/>
        <w:rPr>
          <w:rFonts w:ascii="Times New Roman" w:hAnsi="Times New Roman" w:cs="Times New Roman"/>
          <w:b/>
          <w:bCs/>
        </w:rPr>
      </w:pPr>
      <w:r>
        <w:rPr>
          <w:rFonts w:ascii="Times New Roman" w:hAnsi="Times New Roman" w:cs="宋体" w:hint="eastAsia"/>
          <w:bCs/>
        </w:rPr>
        <w:t>报告期内，公司实现非利息净收入</w:t>
      </w:r>
      <w:r>
        <w:rPr>
          <w:rFonts w:ascii="Times New Roman" w:hAnsi="Times New Roman" w:cs="宋体" w:hint="eastAsia"/>
          <w:bCs/>
        </w:rPr>
        <w:t>7.19</w:t>
      </w:r>
      <w:r>
        <w:rPr>
          <w:rFonts w:ascii="Times New Roman" w:hAnsi="Times New Roman" w:cs="宋体" w:hint="eastAsia"/>
          <w:bCs/>
        </w:rPr>
        <w:t>亿元，同比增长</w:t>
      </w:r>
      <w:r>
        <w:rPr>
          <w:rFonts w:ascii="Times New Roman" w:hAnsi="Times New Roman" w:cs="宋体" w:hint="eastAsia"/>
          <w:bCs/>
        </w:rPr>
        <w:t>24.02%</w:t>
      </w:r>
      <w:r>
        <w:rPr>
          <w:rFonts w:ascii="Times New Roman" w:hAnsi="Times New Roman" w:cs="宋体" w:hint="eastAsia"/>
          <w:bCs/>
        </w:rPr>
        <w:t>。受外部市场环境波动影响，使得公允价值变动损益变动较大；其他收益同比增幅较大，主要</w:t>
      </w:r>
      <w:proofErr w:type="gramStart"/>
      <w:r>
        <w:rPr>
          <w:rFonts w:ascii="Times New Roman" w:hAnsi="Times New Roman" w:cs="宋体" w:hint="eastAsia"/>
          <w:bCs/>
        </w:rPr>
        <w:t>系获得</w:t>
      </w:r>
      <w:proofErr w:type="gramEnd"/>
      <w:r>
        <w:rPr>
          <w:rFonts w:ascii="Times New Roman" w:hAnsi="Times New Roman" w:cs="宋体" w:hint="eastAsia"/>
          <w:bCs/>
        </w:rPr>
        <w:t>普惠小</w:t>
      </w:r>
      <w:proofErr w:type="gramStart"/>
      <w:r>
        <w:rPr>
          <w:rFonts w:ascii="Times New Roman" w:hAnsi="Times New Roman" w:cs="宋体" w:hint="eastAsia"/>
          <w:bCs/>
        </w:rPr>
        <w:t>微贷款</w:t>
      </w:r>
      <w:proofErr w:type="gramEnd"/>
      <w:r>
        <w:rPr>
          <w:rFonts w:ascii="Times New Roman" w:hAnsi="Times New Roman" w:cs="宋体" w:hint="eastAsia"/>
          <w:bCs/>
        </w:rPr>
        <w:t>激励金。</w:t>
      </w:r>
    </w:p>
    <w:p w:rsidR="00AD5BB5" w:rsidRDefault="00F87FF6">
      <w:pPr>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rPr>
        <w:t>单位</w:t>
      </w:r>
      <w:r>
        <w:rPr>
          <w:rFonts w:ascii="Times New Roman" w:hAnsi="Times New Roman" w:cs="Times New Roman"/>
        </w:rPr>
        <w:t>:</w:t>
      </w:r>
      <w:r>
        <w:rPr>
          <w:rFonts w:ascii="Times New Roman" w:hAnsi="Times New Roman" w:cs="Times New Roman"/>
        </w:rPr>
        <w:t>人民币千元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042"/>
        <w:gridCol w:w="1520"/>
        <w:gridCol w:w="966"/>
        <w:gridCol w:w="1519"/>
        <w:gridCol w:w="1124"/>
      </w:tblGrid>
      <w:tr w:rsidR="00AD5BB5">
        <w:tc>
          <w:tcPr>
            <w:tcW w:w="1283"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b/>
                <w:bCs/>
              </w:rPr>
            </w:pPr>
            <w:r>
              <w:rPr>
                <w:rFonts w:ascii="Times New Roman" w:hAnsi="Times New Roman" w:cs="宋体" w:hint="eastAsia"/>
                <w:b/>
                <w:bCs/>
              </w:rPr>
              <w:t>项目</w:t>
            </w:r>
          </w:p>
        </w:tc>
        <w:tc>
          <w:tcPr>
            <w:tcW w:w="1542" w:type="pct"/>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b/>
                <w:bCs/>
              </w:rPr>
            </w:pPr>
            <w:r>
              <w:rPr>
                <w:rFonts w:ascii="Times New Roman" w:hAnsi="Times New Roman" w:cs="宋体" w:hint="eastAsia"/>
                <w:b/>
                <w:bCs/>
              </w:rPr>
              <w:t>2023</w:t>
            </w:r>
            <w:r>
              <w:rPr>
                <w:rFonts w:ascii="Times New Roman" w:hAnsi="Times New Roman" w:cs="宋体" w:hint="eastAsia"/>
                <w:b/>
                <w:bCs/>
              </w:rPr>
              <w:t>年</w:t>
            </w:r>
            <w:r>
              <w:rPr>
                <w:rFonts w:ascii="Times New Roman" w:hAnsi="Times New Roman" w:cs="宋体" w:hint="eastAsia"/>
                <w:b/>
                <w:bCs/>
              </w:rPr>
              <w:t>1-6</w:t>
            </w:r>
            <w:r>
              <w:rPr>
                <w:rFonts w:ascii="Times New Roman" w:hAnsi="Times New Roman" w:cs="宋体" w:hint="eastAsia"/>
                <w:b/>
                <w:bCs/>
              </w:rPr>
              <w:t>月</w:t>
            </w:r>
          </w:p>
        </w:tc>
        <w:tc>
          <w:tcPr>
            <w:tcW w:w="1497" w:type="pct"/>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b/>
                <w:bCs/>
              </w:rPr>
            </w:pPr>
            <w:r>
              <w:rPr>
                <w:rFonts w:ascii="Times New Roman" w:hAnsi="Times New Roman" w:cs="宋体" w:hint="eastAsia"/>
                <w:b/>
                <w:bCs/>
              </w:rPr>
              <w:t>2022</w:t>
            </w:r>
            <w:r>
              <w:rPr>
                <w:rFonts w:ascii="Times New Roman" w:hAnsi="Times New Roman" w:cs="宋体" w:hint="eastAsia"/>
                <w:b/>
                <w:bCs/>
              </w:rPr>
              <w:t>年</w:t>
            </w:r>
            <w:r>
              <w:rPr>
                <w:rFonts w:ascii="Times New Roman" w:hAnsi="Times New Roman" w:cs="宋体" w:hint="eastAsia"/>
                <w:b/>
                <w:bCs/>
              </w:rPr>
              <w:t>1-6</w:t>
            </w:r>
            <w:r>
              <w:rPr>
                <w:rFonts w:ascii="Times New Roman" w:hAnsi="Times New Roman" w:cs="宋体" w:hint="eastAsia"/>
                <w:b/>
                <w:bCs/>
              </w:rPr>
              <w:t>月</w:t>
            </w:r>
          </w:p>
        </w:tc>
        <w:tc>
          <w:tcPr>
            <w:tcW w:w="677" w:type="pct"/>
            <w:vMerge w:val="restart"/>
            <w:tcBorders>
              <w:top w:val="single" w:sz="4" w:space="0" w:color="auto"/>
              <w:left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rPr>
            </w:pPr>
            <w:r>
              <w:rPr>
                <w:rFonts w:ascii="Times New Roman" w:hAnsi="Times New Roman" w:cs="宋体" w:hint="eastAsia"/>
                <w:b/>
                <w:bCs/>
              </w:rPr>
              <w:t>同比变动（</w:t>
            </w:r>
            <w:r>
              <w:rPr>
                <w:rFonts w:ascii="Times New Roman" w:hAnsi="Times New Roman" w:cs="宋体" w:hint="eastAsia"/>
                <w:b/>
                <w:bCs/>
              </w:rPr>
              <w:t>%</w:t>
            </w:r>
            <w:r>
              <w:rPr>
                <w:rFonts w:ascii="Times New Roman" w:hAnsi="Times New Roman" w:cs="宋体" w:hint="eastAsia"/>
                <w:b/>
                <w:bCs/>
              </w:rPr>
              <w:t>）</w:t>
            </w:r>
          </w:p>
        </w:tc>
      </w:tr>
      <w:tr w:rsidR="00AD5BB5">
        <w:tc>
          <w:tcPr>
            <w:tcW w:w="1283" w:type="pct"/>
            <w:vMerge/>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rPr>
                <w:rFonts w:ascii="Times New Roman" w:hAnsi="Times New Roman" w:cs="宋体"/>
                <w:b/>
                <w:bCs/>
              </w:rPr>
            </w:pPr>
          </w:p>
        </w:tc>
        <w:tc>
          <w:tcPr>
            <w:tcW w:w="62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宋体"/>
                <w:b/>
                <w:bCs/>
              </w:rPr>
            </w:pPr>
            <w:r>
              <w:rPr>
                <w:rFonts w:ascii="Times New Roman" w:hAnsi="Times New Roman" w:cs="宋体" w:hint="eastAsia"/>
                <w:b/>
                <w:bCs/>
              </w:rPr>
              <w:t>金额</w:t>
            </w:r>
          </w:p>
        </w:tc>
        <w:tc>
          <w:tcPr>
            <w:tcW w:w="91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宋体"/>
                <w:b/>
                <w:bCs/>
              </w:rPr>
            </w:pPr>
            <w:r>
              <w:rPr>
                <w:rFonts w:ascii="Times New Roman" w:hAnsi="Times New Roman" w:cs="宋体" w:hint="eastAsia"/>
                <w:b/>
                <w:bCs/>
              </w:rPr>
              <w:t>占比（</w:t>
            </w:r>
            <w:r>
              <w:rPr>
                <w:rFonts w:ascii="Times New Roman" w:hAnsi="Times New Roman" w:cs="宋体" w:hint="eastAsia"/>
                <w:b/>
                <w:bCs/>
              </w:rPr>
              <w:t>%</w:t>
            </w:r>
            <w:r>
              <w:rPr>
                <w:rFonts w:ascii="Times New Roman" w:hAnsi="Times New Roman" w:cs="宋体" w:hint="eastAsia"/>
                <w:b/>
                <w:bCs/>
              </w:rPr>
              <w:t>）</w:t>
            </w:r>
          </w:p>
        </w:tc>
        <w:tc>
          <w:tcPr>
            <w:tcW w:w="5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宋体"/>
                <w:b/>
                <w:bCs/>
              </w:rPr>
            </w:pPr>
            <w:r>
              <w:rPr>
                <w:rFonts w:ascii="Times New Roman" w:hAnsi="Times New Roman" w:cs="宋体" w:hint="eastAsia"/>
                <w:b/>
                <w:bCs/>
              </w:rPr>
              <w:t>金额</w:t>
            </w:r>
          </w:p>
        </w:tc>
        <w:tc>
          <w:tcPr>
            <w:tcW w:w="91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宋体"/>
                <w:b/>
                <w:bCs/>
              </w:rPr>
            </w:pPr>
            <w:r>
              <w:rPr>
                <w:rFonts w:ascii="Times New Roman" w:hAnsi="Times New Roman" w:cs="宋体" w:hint="eastAsia"/>
                <w:b/>
                <w:bCs/>
              </w:rPr>
              <w:t>占比（</w:t>
            </w:r>
            <w:r>
              <w:rPr>
                <w:rFonts w:ascii="Times New Roman" w:hAnsi="Times New Roman" w:cs="宋体" w:hint="eastAsia"/>
                <w:b/>
                <w:bCs/>
              </w:rPr>
              <w:t>%</w:t>
            </w:r>
            <w:r>
              <w:rPr>
                <w:rFonts w:ascii="Times New Roman" w:hAnsi="Times New Roman" w:cs="宋体" w:hint="eastAsia"/>
                <w:b/>
                <w:bCs/>
              </w:rPr>
              <w:t>）</w:t>
            </w:r>
          </w:p>
        </w:tc>
        <w:tc>
          <w:tcPr>
            <w:tcW w:w="677" w:type="pct"/>
            <w:vMerge/>
            <w:tcBorders>
              <w:left w:val="single" w:sz="4" w:space="0" w:color="auto"/>
              <w:bottom w:val="single" w:sz="4" w:space="0" w:color="auto"/>
              <w:right w:val="single" w:sz="4" w:space="0" w:color="auto"/>
              <w:tl2br w:val="nil"/>
              <w:tr2bl w:val="nil"/>
            </w:tcBorders>
            <w:vAlign w:val="center"/>
          </w:tcPr>
          <w:p w:rsidR="00AD5BB5" w:rsidRDefault="00AD5BB5">
            <w:pPr>
              <w:kinsoku w:val="0"/>
              <w:overflowPunct w:val="0"/>
              <w:autoSpaceDE w:val="0"/>
              <w:autoSpaceDN w:val="0"/>
              <w:adjustRightInd w:val="0"/>
              <w:snapToGrid w:val="0"/>
              <w:ind w:right="180"/>
              <w:jc w:val="center"/>
              <w:rPr>
                <w:rFonts w:ascii="Times New Roman" w:hAnsi="Times New Roman" w:cs="Times New Roman"/>
                <w:b/>
                <w:bCs/>
              </w:rPr>
            </w:pPr>
          </w:p>
        </w:tc>
      </w:tr>
      <w:tr w:rsidR="00AD5BB5">
        <w:tc>
          <w:tcPr>
            <w:tcW w:w="128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手续费及佣金净收入</w:t>
            </w:r>
          </w:p>
        </w:tc>
        <w:tc>
          <w:tcPr>
            <w:tcW w:w="62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195,340 </w:t>
            </w:r>
          </w:p>
        </w:tc>
        <w:tc>
          <w:tcPr>
            <w:tcW w:w="915"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27.15 </w:t>
            </w:r>
          </w:p>
        </w:tc>
        <w:tc>
          <w:tcPr>
            <w:tcW w:w="58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239,276 </w:t>
            </w:r>
          </w:p>
        </w:tc>
        <w:tc>
          <w:tcPr>
            <w:tcW w:w="915"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41.25 </w:t>
            </w:r>
          </w:p>
        </w:tc>
        <w:tc>
          <w:tcPr>
            <w:tcW w:w="67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-18.36 </w:t>
            </w:r>
          </w:p>
        </w:tc>
      </w:tr>
      <w:tr w:rsidR="00AD5BB5">
        <w:tc>
          <w:tcPr>
            <w:tcW w:w="128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投资收益</w:t>
            </w:r>
          </w:p>
        </w:tc>
        <w:tc>
          <w:tcPr>
            <w:tcW w:w="62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145,411 </w:t>
            </w:r>
          </w:p>
        </w:tc>
        <w:tc>
          <w:tcPr>
            <w:tcW w:w="915"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20.21 </w:t>
            </w:r>
          </w:p>
        </w:tc>
        <w:tc>
          <w:tcPr>
            <w:tcW w:w="58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326,641 </w:t>
            </w:r>
          </w:p>
        </w:tc>
        <w:tc>
          <w:tcPr>
            <w:tcW w:w="915"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56.31 </w:t>
            </w:r>
          </w:p>
        </w:tc>
        <w:tc>
          <w:tcPr>
            <w:tcW w:w="67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-55.48 </w:t>
            </w:r>
          </w:p>
        </w:tc>
      </w:tr>
      <w:tr w:rsidR="00AD5BB5">
        <w:tc>
          <w:tcPr>
            <w:tcW w:w="128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公允价值变动损益</w:t>
            </w:r>
          </w:p>
        </w:tc>
        <w:tc>
          <w:tcPr>
            <w:tcW w:w="62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145,755 </w:t>
            </w:r>
          </w:p>
        </w:tc>
        <w:tc>
          <w:tcPr>
            <w:tcW w:w="915"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20.26 </w:t>
            </w:r>
          </w:p>
        </w:tc>
        <w:tc>
          <w:tcPr>
            <w:tcW w:w="58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-114,519 </w:t>
            </w:r>
          </w:p>
        </w:tc>
        <w:tc>
          <w:tcPr>
            <w:tcW w:w="915"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-19.74 </w:t>
            </w:r>
          </w:p>
        </w:tc>
        <w:tc>
          <w:tcPr>
            <w:tcW w:w="67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kern w:val="0"/>
                <w:szCs w:val="21"/>
                <w:lang w:bidi="ar"/>
              </w:rPr>
            </w:pPr>
            <w:r>
              <w:rPr>
                <w:rFonts w:ascii="Times New Roman" w:hAnsi="Times New Roman" w:cs="Times New Roman" w:hint="eastAsia"/>
                <w:kern w:val="0"/>
                <w:szCs w:val="21"/>
                <w:lang w:bidi="ar"/>
              </w:rPr>
              <w:t>不适用</w:t>
            </w:r>
            <w:r>
              <w:rPr>
                <w:rFonts w:ascii="Times New Roman" w:hAnsi="Times New Roman" w:cs="Times New Roman"/>
                <w:kern w:val="0"/>
                <w:szCs w:val="21"/>
                <w:lang w:bidi="ar"/>
              </w:rPr>
              <w:t xml:space="preserve"> </w:t>
            </w:r>
          </w:p>
        </w:tc>
      </w:tr>
      <w:tr w:rsidR="00AD5BB5">
        <w:tc>
          <w:tcPr>
            <w:tcW w:w="128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汇兑净（损失）</w:t>
            </w:r>
            <w:r>
              <w:rPr>
                <w:rFonts w:ascii="Times New Roman" w:hAnsi="Times New Roman" w:cs="宋体" w:hint="eastAsia"/>
              </w:rPr>
              <w:t>/</w:t>
            </w:r>
            <w:r>
              <w:rPr>
                <w:rFonts w:ascii="Times New Roman" w:hAnsi="Times New Roman" w:cs="宋体" w:hint="eastAsia"/>
              </w:rPr>
              <w:t>收益</w:t>
            </w:r>
          </w:p>
        </w:tc>
        <w:tc>
          <w:tcPr>
            <w:tcW w:w="62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43,801 </w:t>
            </w:r>
          </w:p>
        </w:tc>
        <w:tc>
          <w:tcPr>
            <w:tcW w:w="915"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6.09 </w:t>
            </w:r>
          </w:p>
        </w:tc>
        <w:tc>
          <w:tcPr>
            <w:tcW w:w="58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89,675 </w:t>
            </w:r>
          </w:p>
        </w:tc>
        <w:tc>
          <w:tcPr>
            <w:tcW w:w="915"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15.46 </w:t>
            </w:r>
          </w:p>
        </w:tc>
        <w:tc>
          <w:tcPr>
            <w:tcW w:w="67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kern w:val="0"/>
                <w:szCs w:val="21"/>
                <w:lang w:bidi="ar"/>
              </w:rPr>
            </w:pPr>
            <w:r>
              <w:rPr>
                <w:rFonts w:ascii="Times New Roman" w:hAnsi="Times New Roman" w:cs="Times New Roman"/>
                <w:kern w:val="0"/>
                <w:szCs w:val="21"/>
                <w:lang w:bidi="ar"/>
              </w:rPr>
              <w:t xml:space="preserve">-51.16 </w:t>
            </w:r>
          </w:p>
        </w:tc>
      </w:tr>
      <w:tr w:rsidR="00AD5BB5">
        <w:tc>
          <w:tcPr>
            <w:tcW w:w="128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其他收益</w:t>
            </w:r>
          </w:p>
        </w:tc>
        <w:tc>
          <w:tcPr>
            <w:tcW w:w="62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173,828 </w:t>
            </w:r>
          </w:p>
        </w:tc>
        <w:tc>
          <w:tcPr>
            <w:tcW w:w="915"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24.16 </w:t>
            </w:r>
          </w:p>
        </w:tc>
        <w:tc>
          <w:tcPr>
            <w:tcW w:w="58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37,663 </w:t>
            </w:r>
          </w:p>
        </w:tc>
        <w:tc>
          <w:tcPr>
            <w:tcW w:w="915"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6.49 </w:t>
            </w:r>
          </w:p>
        </w:tc>
        <w:tc>
          <w:tcPr>
            <w:tcW w:w="67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361.54 </w:t>
            </w:r>
          </w:p>
        </w:tc>
      </w:tr>
      <w:tr w:rsidR="00AD5BB5">
        <w:trPr>
          <w:trHeight w:val="287"/>
        </w:trPr>
        <w:tc>
          <w:tcPr>
            <w:tcW w:w="128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其他业务收入</w:t>
            </w:r>
          </w:p>
        </w:tc>
        <w:tc>
          <w:tcPr>
            <w:tcW w:w="62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6,425 </w:t>
            </w:r>
          </w:p>
        </w:tc>
        <w:tc>
          <w:tcPr>
            <w:tcW w:w="915"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0.89 </w:t>
            </w:r>
          </w:p>
        </w:tc>
        <w:tc>
          <w:tcPr>
            <w:tcW w:w="58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824 </w:t>
            </w:r>
          </w:p>
        </w:tc>
        <w:tc>
          <w:tcPr>
            <w:tcW w:w="915"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0.14 </w:t>
            </w:r>
          </w:p>
        </w:tc>
        <w:tc>
          <w:tcPr>
            <w:tcW w:w="67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680.18 </w:t>
            </w:r>
          </w:p>
        </w:tc>
      </w:tr>
      <w:tr w:rsidR="00AD5BB5">
        <w:tc>
          <w:tcPr>
            <w:tcW w:w="128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资产处置损益</w:t>
            </w:r>
          </w:p>
        </w:tc>
        <w:tc>
          <w:tcPr>
            <w:tcW w:w="62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8,831 </w:t>
            </w:r>
          </w:p>
        </w:tc>
        <w:tc>
          <w:tcPr>
            <w:tcW w:w="915"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1.23 </w:t>
            </w:r>
          </w:p>
        </w:tc>
        <w:tc>
          <w:tcPr>
            <w:tcW w:w="58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487 </w:t>
            </w:r>
          </w:p>
        </w:tc>
        <w:tc>
          <w:tcPr>
            <w:tcW w:w="915"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0.08 </w:t>
            </w:r>
          </w:p>
        </w:tc>
        <w:tc>
          <w:tcPr>
            <w:tcW w:w="67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1</w:t>
            </w:r>
            <w:r>
              <w:rPr>
                <w:rFonts w:ascii="Times New Roman" w:hAnsi="Times New Roman" w:cs="Times New Roman" w:hint="eastAsia"/>
                <w:kern w:val="0"/>
                <w:szCs w:val="21"/>
                <w:lang w:bidi="ar"/>
              </w:rPr>
              <w:t>,</w:t>
            </w:r>
            <w:r>
              <w:rPr>
                <w:rFonts w:ascii="Times New Roman" w:hAnsi="Times New Roman" w:cs="Times New Roman"/>
                <w:kern w:val="0"/>
                <w:szCs w:val="21"/>
                <w:lang w:bidi="ar"/>
              </w:rPr>
              <w:t xml:space="preserve">712.30 </w:t>
            </w:r>
          </w:p>
        </w:tc>
      </w:tr>
      <w:tr w:rsidR="00AD5BB5">
        <w:tc>
          <w:tcPr>
            <w:tcW w:w="128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合计</w:t>
            </w:r>
          </w:p>
        </w:tc>
        <w:tc>
          <w:tcPr>
            <w:tcW w:w="62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719,391 </w:t>
            </w:r>
          </w:p>
        </w:tc>
        <w:tc>
          <w:tcPr>
            <w:tcW w:w="915"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hint="eastAsia"/>
                <w:kern w:val="0"/>
                <w:szCs w:val="21"/>
                <w:lang w:bidi="ar"/>
              </w:rPr>
              <w:t>100.00</w:t>
            </w:r>
            <w:r>
              <w:rPr>
                <w:rFonts w:ascii="Times New Roman" w:hAnsi="Times New Roman" w:cs="Times New Roman"/>
                <w:kern w:val="0"/>
                <w:szCs w:val="21"/>
                <w:lang w:bidi="ar"/>
              </w:rPr>
              <w:t xml:space="preserve"> </w:t>
            </w:r>
          </w:p>
        </w:tc>
        <w:tc>
          <w:tcPr>
            <w:tcW w:w="58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580,046 </w:t>
            </w:r>
          </w:p>
        </w:tc>
        <w:tc>
          <w:tcPr>
            <w:tcW w:w="915"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hint="eastAsia"/>
                <w:kern w:val="0"/>
                <w:szCs w:val="21"/>
                <w:lang w:bidi="ar"/>
              </w:rPr>
              <w:t>100.00</w:t>
            </w:r>
            <w:r>
              <w:rPr>
                <w:rFonts w:ascii="Times New Roman" w:hAnsi="Times New Roman" w:cs="Times New Roman"/>
                <w:kern w:val="0"/>
                <w:szCs w:val="21"/>
                <w:lang w:bidi="ar"/>
              </w:rPr>
              <w:t xml:space="preserve"> </w:t>
            </w:r>
          </w:p>
        </w:tc>
        <w:tc>
          <w:tcPr>
            <w:tcW w:w="67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24.02 </w:t>
            </w:r>
          </w:p>
        </w:tc>
      </w:tr>
    </w:tbl>
    <w:p w:rsidR="00AD5BB5" w:rsidRDefault="00AD5BB5">
      <w:pPr>
        <w:spacing w:line="360" w:lineRule="auto"/>
        <w:rPr>
          <w:rFonts w:ascii="Times New Roman" w:hAnsi="Times New Roman" w:cs="Times New Roman"/>
        </w:rPr>
      </w:pPr>
    </w:p>
    <w:p w:rsidR="00AD5BB5" w:rsidRDefault="00F87FF6">
      <w:pPr>
        <w:pStyle w:val="4"/>
        <w:numPr>
          <w:ilvl w:val="0"/>
          <w:numId w:val="4"/>
        </w:numPr>
        <w:spacing w:line="360" w:lineRule="auto"/>
        <w:rPr>
          <w:rFonts w:ascii="Times New Roman" w:hAnsi="Times New Roman" w:cs="Times New Roman"/>
          <w:bCs/>
        </w:rPr>
      </w:pPr>
      <w:r>
        <w:rPr>
          <w:rFonts w:ascii="Times New Roman" w:hAnsi="Times New Roman" w:cs="Times New Roman" w:hint="eastAsia"/>
        </w:rPr>
        <w:t>手续费及佣金净收入</w:t>
      </w:r>
    </w:p>
    <w:p w:rsidR="00AD5BB5" w:rsidRDefault="00F87FF6">
      <w:pPr>
        <w:spacing w:line="360" w:lineRule="auto"/>
        <w:ind w:firstLineChars="200" w:firstLine="420"/>
        <w:jc w:val="left"/>
        <w:rPr>
          <w:rFonts w:ascii="宋体" w:hAnsi="宋体" w:cs="宋体"/>
          <w:b/>
          <w:bCs/>
          <w:szCs w:val="21"/>
        </w:rPr>
      </w:pPr>
      <w:r>
        <w:rPr>
          <w:rFonts w:ascii="Times New Roman" w:hAnsi="Times New Roman" w:cs="宋体" w:hint="eastAsia"/>
          <w:bCs/>
        </w:rPr>
        <w:t>报告期内，公司实现手续费及佣金净收入</w:t>
      </w:r>
      <w:r>
        <w:rPr>
          <w:rFonts w:ascii="Times New Roman" w:hAnsi="Times New Roman" w:cs="宋体" w:hint="eastAsia"/>
          <w:bCs/>
        </w:rPr>
        <w:t>1.95</w:t>
      </w:r>
      <w:r>
        <w:rPr>
          <w:rFonts w:ascii="Times New Roman" w:hAnsi="Times New Roman" w:cs="宋体" w:hint="eastAsia"/>
          <w:bCs/>
        </w:rPr>
        <w:t>亿元，较上年同期减少</w:t>
      </w:r>
      <w:r>
        <w:rPr>
          <w:rFonts w:ascii="Times New Roman" w:hAnsi="Times New Roman" w:cs="宋体" w:hint="eastAsia"/>
          <w:bCs/>
        </w:rPr>
        <w:t>18.36%</w:t>
      </w:r>
      <w:r>
        <w:rPr>
          <w:rFonts w:ascii="宋体" w:hAnsi="宋体" w:cs="宋体" w:hint="eastAsia"/>
          <w:bCs/>
          <w:szCs w:val="21"/>
        </w:rPr>
        <w:t>。</w:t>
      </w:r>
    </w:p>
    <w:p w:rsidR="00AD5BB5" w:rsidRDefault="00F87FF6">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单位</w:t>
      </w:r>
      <w:r>
        <w:rPr>
          <w:rFonts w:ascii="Times New Roman" w:hAnsi="Times New Roman" w:cs="Times New Roman"/>
        </w:rPr>
        <w:t>:</w:t>
      </w:r>
      <w:r>
        <w:rPr>
          <w:rFonts w:ascii="Times New Roman" w:hAnsi="Times New Roman" w:cs="Times New Roman"/>
        </w:rPr>
        <w:t>人民币千元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1223"/>
        <w:gridCol w:w="1172"/>
        <w:gridCol w:w="1239"/>
        <w:gridCol w:w="1161"/>
        <w:gridCol w:w="1194"/>
      </w:tblGrid>
      <w:tr w:rsidR="00AD5BB5">
        <w:trPr>
          <w:trHeight w:val="90"/>
        </w:trPr>
        <w:tc>
          <w:tcPr>
            <w:tcW w:w="1392"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b/>
                <w:bCs/>
              </w:rPr>
            </w:pPr>
            <w:r>
              <w:rPr>
                <w:rFonts w:ascii="Times New Roman" w:hAnsi="Times New Roman" w:cs="宋体" w:hint="eastAsia"/>
                <w:b/>
                <w:bCs/>
              </w:rPr>
              <w:t>项目</w:t>
            </w:r>
          </w:p>
        </w:tc>
        <w:tc>
          <w:tcPr>
            <w:tcW w:w="1442" w:type="pct"/>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b/>
                <w:bCs/>
              </w:rPr>
            </w:pPr>
            <w:r>
              <w:rPr>
                <w:rFonts w:ascii="Times New Roman" w:hAnsi="Times New Roman" w:cs="宋体" w:hint="eastAsia"/>
                <w:b/>
                <w:bCs/>
              </w:rPr>
              <w:t>2023</w:t>
            </w:r>
            <w:r>
              <w:rPr>
                <w:rFonts w:ascii="Times New Roman" w:hAnsi="Times New Roman" w:cs="宋体" w:hint="eastAsia"/>
                <w:b/>
                <w:bCs/>
              </w:rPr>
              <w:t>年</w:t>
            </w:r>
            <w:r>
              <w:rPr>
                <w:rFonts w:ascii="Times New Roman" w:hAnsi="Times New Roman" w:cs="宋体" w:hint="eastAsia"/>
                <w:b/>
                <w:bCs/>
              </w:rPr>
              <w:t>1-6</w:t>
            </w:r>
            <w:r>
              <w:rPr>
                <w:rFonts w:ascii="Times New Roman" w:hAnsi="Times New Roman" w:cs="宋体" w:hint="eastAsia"/>
                <w:b/>
                <w:bCs/>
              </w:rPr>
              <w:t>月</w:t>
            </w:r>
          </w:p>
        </w:tc>
        <w:tc>
          <w:tcPr>
            <w:tcW w:w="1445" w:type="pct"/>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b/>
                <w:bCs/>
              </w:rPr>
            </w:pPr>
            <w:r>
              <w:rPr>
                <w:rFonts w:ascii="Times New Roman" w:hAnsi="Times New Roman" w:cs="宋体" w:hint="eastAsia"/>
                <w:b/>
                <w:bCs/>
              </w:rPr>
              <w:t>2022</w:t>
            </w:r>
            <w:r>
              <w:rPr>
                <w:rFonts w:ascii="Times New Roman" w:hAnsi="Times New Roman" w:cs="宋体" w:hint="eastAsia"/>
                <w:b/>
                <w:bCs/>
              </w:rPr>
              <w:t>年</w:t>
            </w:r>
            <w:r>
              <w:rPr>
                <w:rFonts w:ascii="Times New Roman" w:hAnsi="Times New Roman" w:cs="宋体" w:hint="eastAsia"/>
                <w:b/>
                <w:bCs/>
              </w:rPr>
              <w:t>1-6</w:t>
            </w:r>
            <w:r>
              <w:rPr>
                <w:rFonts w:ascii="Times New Roman" w:hAnsi="Times New Roman" w:cs="宋体" w:hint="eastAsia"/>
                <w:b/>
                <w:bCs/>
              </w:rPr>
              <w:t>月</w:t>
            </w:r>
          </w:p>
        </w:tc>
        <w:tc>
          <w:tcPr>
            <w:tcW w:w="719" w:type="pct"/>
            <w:vMerge w:val="restart"/>
            <w:tcBorders>
              <w:top w:val="single" w:sz="4" w:space="0" w:color="auto"/>
              <w:left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rPr>
            </w:pPr>
            <w:r>
              <w:rPr>
                <w:rFonts w:ascii="Times New Roman" w:hAnsi="Times New Roman" w:cs="宋体" w:hint="eastAsia"/>
                <w:b/>
                <w:bCs/>
              </w:rPr>
              <w:t>同比变动（</w:t>
            </w:r>
            <w:r>
              <w:rPr>
                <w:rFonts w:ascii="Times New Roman" w:hAnsi="Times New Roman" w:cs="宋体" w:hint="eastAsia"/>
                <w:b/>
                <w:bCs/>
              </w:rPr>
              <w:t>%</w:t>
            </w:r>
            <w:r>
              <w:rPr>
                <w:rFonts w:ascii="Times New Roman" w:hAnsi="Times New Roman" w:cs="宋体" w:hint="eastAsia"/>
                <w:b/>
                <w:bCs/>
              </w:rPr>
              <w:t>）</w:t>
            </w:r>
          </w:p>
        </w:tc>
      </w:tr>
      <w:tr w:rsidR="00AD5BB5">
        <w:tc>
          <w:tcPr>
            <w:tcW w:w="1392" w:type="pct"/>
            <w:vMerge/>
            <w:tcBorders>
              <w:top w:val="single" w:sz="4" w:space="0" w:color="auto"/>
              <w:left w:val="single" w:sz="4" w:space="0" w:color="auto"/>
              <w:bottom w:val="single" w:sz="4" w:space="0" w:color="auto"/>
              <w:right w:val="single" w:sz="4" w:space="0" w:color="auto"/>
              <w:tl2br w:val="nil"/>
              <w:tr2bl w:val="nil"/>
            </w:tcBorders>
          </w:tcPr>
          <w:p w:rsidR="00AD5BB5" w:rsidRDefault="00AD5BB5">
            <w:pPr>
              <w:rPr>
                <w:rFonts w:ascii="Times New Roman" w:hAnsi="Times New Roman" w:cs="宋体"/>
                <w:b/>
                <w:bCs/>
              </w:rPr>
            </w:pPr>
          </w:p>
        </w:tc>
        <w:tc>
          <w:tcPr>
            <w:tcW w:w="73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宋体"/>
                <w:b/>
                <w:bCs/>
              </w:rPr>
            </w:pPr>
            <w:r>
              <w:rPr>
                <w:rFonts w:ascii="Times New Roman" w:hAnsi="Times New Roman" w:cs="宋体" w:hint="eastAsia"/>
                <w:b/>
                <w:bCs/>
              </w:rPr>
              <w:t>金额</w:t>
            </w:r>
          </w:p>
        </w:tc>
        <w:tc>
          <w:tcPr>
            <w:tcW w:w="70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宋体"/>
                <w:b/>
                <w:bCs/>
              </w:rPr>
            </w:pPr>
            <w:r>
              <w:rPr>
                <w:rFonts w:ascii="Times New Roman" w:hAnsi="Times New Roman" w:cs="宋体" w:hint="eastAsia"/>
                <w:b/>
                <w:bCs/>
              </w:rPr>
              <w:t>占比</w:t>
            </w:r>
          </w:p>
          <w:p w:rsidR="00AD5BB5" w:rsidRDefault="00F87FF6">
            <w:pPr>
              <w:kinsoku w:val="0"/>
              <w:overflowPunct w:val="0"/>
              <w:autoSpaceDE w:val="0"/>
              <w:autoSpaceDN w:val="0"/>
              <w:adjustRightInd w:val="0"/>
              <w:snapToGrid w:val="0"/>
              <w:ind w:right="180"/>
              <w:jc w:val="center"/>
              <w:rPr>
                <w:rFonts w:ascii="Times New Roman" w:hAnsi="Times New Roman" w:cs="宋体"/>
                <w:b/>
                <w:bCs/>
              </w:rPr>
            </w:pPr>
            <w:r>
              <w:rPr>
                <w:rFonts w:ascii="Times New Roman" w:hAnsi="Times New Roman" w:cs="宋体" w:hint="eastAsia"/>
                <w:b/>
                <w:bCs/>
              </w:rPr>
              <w:t>（</w:t>
            </w:r>
            <w:r>
              <w:rPr>
                <w:rFonts w:ascii="Times New Roman" w:hAnsi="Times New Roman" w:cs="宋体" w:hint="eastAsia"/>
                <w:b/>
                <w:bCs/>
              </w:rPr>
              <w:t>%</w:t>
            </w:r>
            <w:r>
              <w:rPr>
                <w:rFonts w:ascii="Times New Roman" w:hAnsi="Times New Roman" w:cs="宋体" w:hint="eastAsia"/>
                <w:b/>
                <w:bCs/>
              </w:rPr>
              <w:t>）</w:t>
            </w:r>
          </w:p>
        </w:tc>
        <w:tc>
          <w:tcPr>
            <w:tcW w:w="74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宋体"/>
                <w:b/>
                <w:bCs/>
              </w:rPr>
            </w:pPr>
            <w:r>
              <w:rPr>
                <w:rFonts w:ascii="Times New Roman" w:hAnsi="Times New Roman" w:cs="宋体" w:hint="eastAsia"/>
                <w:b/>
                <w:bCs/>
              </w:rPr>
              <w:t>金额</w:t>
            </w:r>
          </w:p>
        </w:tc>
        <w:tc>
          <w:tcPr>
            <w:tcW w:w="69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宋体"/>
                <w:b/>
                <w:bCs/>
              </w:rPr>
            </w:pPr>
            <w:r>
              <w:rPr>
                <w:rFonts w:ascii="Times New Roman" w:hAnsi="Times New Roman" w:cs="宋体" w:hint="eastAsia"/>
                <w:b/>
                <w:bCs/>
              </w:rPr>
              <w:t>占比</w:t>
            </w:r>
          </w:p>
          <w:p w:rsidR="00AD5BB5" w:rsidRDefault="00F87FF6">
            <w:pPr>
              <w:kinsoku w:val="0"/>
              <w:overflowPunct w:val="0"/>
              <w:autoSpaceDE w:val="0"/>
              <w:autoSpaceDN w:val="0"/>
              <w:adjustRightInd w:val="0"/>
              <w:snapToGrid w:val="0"/>
              <w:ind w:right="180"/>
              <w:jc w:val="center"/>
              <w:rPr>
                <w:rFonts w:ascii="Times New Roman" w:hAnsi="Times New Roman" w:cs="宋体"/>
                <w:b/>
                <w:bCs/>
              </w:rPr>
            </w:pPr>
            <w:r>
              <w:rPr>
                <w:rFonts w:ascii="Times New Roman" w:hAnsi="Times New Roman" w:cs="宋体" w:hint="eastAsia"/>
                <w:b/>
                <w:bCs/>
              </w:rPr>
              <w:t>（</w:t>
            </w:r>
            <w:r>
              <w:rPr>
                <w:rFonts w:ascii="Times New Roman" w:hAnsi="Times New Roman" w:cs="宋体" w:hint="eastAsia"/>
                <w:b/>
                <w:bCs/>
              </w:rPr>
              <w:t>%</w:t>
            </w:r>
            <w:r>
              <w:rPr>
                <w:rFonts w:ascii="Times New Roman" w:hAnsi="Times New Roman" w:cs="宋体" w:hint="eastAsia"/>
                <w:b/>
                <w:bCs/>
              </w:rPr>
              <w:t>）</w:t>
            </w:r>
          </w:p>
        </w:tc>
        <w:tc>
          <w:tcPr>
            <w:tcW w:w="719" w:type="pct"/>
            <w:vMerge/>
            <w:tcBorders>
              <w:left w:val="single" w:sz="4" w:space="0" w:color="auto"/>
              <w:right w:val="single" w:sz="4" w:space="0" w:color="auto"/>
              <w:tl2br w:val="nil"/>
              <w:tr2bl w:val="nil"/>
            </w:tcBorders>
            <w:vAlign w:val="center"/>
          </w:tcPr>
          <w:p w:rsidR="00AD5BB5" w:rsidRDefault="00AD5BB5">
            <w:pPr>
              <w:kinsoku w:val="0"/>
              <w:overflowPunct w:val="0"/>
              <w:autoSpaceDE w:val="0"/>
              <w:autoSpaceDN w:val="0"/>
              <w:adjustRightInd w:val="0"/>
              <w:snapToGrid w:val="0"/>
              <w:ind w:right="180"/>
              <w:jc w:val="center"/>
              <w:rPr>
                <w:rFonts w:ascii="Times New Roman" w:hAnsi="Times New Roman" w:cs="Times New Roman"/>
                <w:b/>
                <w:bCs/>
              </w:rPr>
            </w:pPr>
          </w:p>
        </w:tc>
      </w:tr>
      <w:tr w:rsidR="00AD5BB5">
        <w:tc>
          <w:tcPr>
            <w:tcW w:w="139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cs="宋体"/>
              </w:rPr>
            </w:pPr>
            <w:r>
              <w:rPr>
                <w:rFonts w:ascii="Times New Roman" w:hAnsi="Times New Roman" w:cs="宋体" w:hint="eastAsia"/>
                <w:b/>
                <w:bCs/>
              </w:rPr>
              <w:t>手续费及佣金收入</w:t>
            </w:r>
          </w:p>
        </w:tc>
        <w:tc>
          <w:tcPr>
            <w:tcW w:w="1257"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331,596 </w:t>
            </w:r>
          </w:p>
        </w:tc>
        <w:tc>
          <w:tcPr>
            <w:tcW w:w="1203"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hint="eastAsia"/>
                <w:szCs w:val="21"/>
              </w:rPr>
              <w:t>100.00</w:t>
            </w:r>
          </w:p>
        </w:tc>
        <w:tc>
          <w:tcPr>
            <w:tcW w:w="127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311,610 </w:t>
            </w:r>
          </w:p>
        </w:tc>
        <w:tc>
          <w:tcPr>
            <w:tcW w:w="1192"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hint="eastAsia"/>
                <w:kern w:val="0"/>
                <w:szCs w:val="21"/>
                <w:lang w:bidi="ar"/>
              </w:rPr>
              <w:t>100.00</w:t>
            </w:r>
            <w:r>
              <w:rPr>
                <w:rFonts w:ascii="Times New Roman" w:hAnsi="Times New Roman" w:cs="Times New Roman"/>
                <w:kern w:val="0"/>
                <w:szCs w:val="21"/>
                <w:lang w:bidi="ar"/>
              </w:rPr>
              <w:t xml:space="preserve"> </w:t>
            </w:r>
          </w:p>
        </w:tc>
        <w:tc>
          <w:tcPr>
            <w:tcW w:w="1227"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6.41 </w:t>
            </w:r>
          </w:p>
        </w:tc>
      </w:tr>
      <w:tr w:rsidR="00AD5BB5">
        <w:tc>
          <w:tcPr>
            <w:tcW w:w="139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ind w:firstLineChars="200" w:firstLine="420"/>
              <w:rPr>
                <w:rFonts w:ascii="Times New Roman" w:hAnsi="Times New Roman" w:cs="宋体"/>
              </w:rPr>
            </w:pPr>
            <w:r>
              <w:rPr>
                <w:rFonts w:ascii="Times New Roman" w:hAnsi="Times New Roman" w:cs="宋体" w:hint="eastAsia"/>
              </w:rPr>
              <w:t>代理业务</w:t>
            </w:r>
          </w:p>
        </w:tc>
        <w:tc>
          <w:tcPr>
            <w:tcW w:w="1257"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165,966 </w:t>
            </w:r>
          </w:p>
        </w:tc>
        <w:tc>
          <w:tcPr>
            <w:tcW w:w="1203"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50.05 </w:t>
            </w:r>
          </w:p>
        </w:tc>
        <w:tc>
          <w:tcPr>
            <w:tcW w:w="127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100,136 </w:t>
            </w:r>
          </w:p>
        </w:tc>
        <w:tc>
          <w:tcPr>
            <w:tcW w:w="1192"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32.14 </w:t>
            </w:r>
          </w:p>
        </w:tc>
        <w:tc>
          <w:tcPr>
            <w:tcW w:w="1227"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65.74 </w:t>
            </w:r>
          </w:p>
        </w:tc>
      </w:tr>
      <w:tr w:rsidR="00AD5BB5">
        <w:tc>
          <w:tcPr>
            <w:tcW w:w="139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ind w:firstLineChars="200" w:firstLine="420"/>
              <w:rPr>
                <w:rFonts w:ascii="Times New Roman" w:hAnsi="Times New Roman" w:cs="宋体"/>
              </w:rPr>
            </w:pPr>
            <w:r>
              <w:rPr>
                <w:rFonts w:ascii="Times New Roman" w:hAnsi="Times New Roman" w:cs="宋体" w:hint="eastAsia"/>
              </w:rPr>
              <w:t>债券承分销手续费</w:t>
            </w:r>
          </w:p>
        </w:tc>
        <w:tc>
          <w:tcPr>
            <w:tcW w:w="1257"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64,374 </w:t>
            </w:r>
          </w:p>
        </w:tc>
        <w:tc>
          <w:tcPr>
            <w:tcW w:w="1203"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19.41 </w:t>
            </w:r>
          </w:p>
        </w:tc>
        <w:tc>
          <w:tcPr>
            <w:tcW w:w="127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61,329 </w:t>
            </w:r>
          </w:p>
        </w:tc>
        <w:tc>
          <w:tcPr>
            <w:tcW w:w="1192"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19.68 </w:t>
            </w:r>
          </w:p>
        </w:tc>
        <w:tc>
          <w:tcPr>
            <w:tcW w:w="1227"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4.97 </w:t>
            </w:r>
          </w:p>
        </w:tc>
      </w:tr>
      <w:tr w:rsidR="00AD5BB5">
        <w:tc>
          <w:tcPr>
            <w:tcW w:w="139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ind w:firstLineChars="200" w:firstLine="420"/>
              <w:rPr>
                <w:rFonts w:ascii="Times New Roman" w:hAnsi="Times New Roman" w:cs="宋体"/>
              </w:rPr>
            </w:pPr>
            <w:r>
              <w:rPr>
                <w:rFonts w:ascii="Times New Roman" w:hAnsi="Times New Roman" w:cs="宋体" w:hint="eastAsia"/>
              </w:rPr>
              <w:t>担保及承诺业务</w:t>
            </w:r>
          </w:p>
        </w:tc>
        <w:tc>
          <w:tcPr>
            <w:tcW w:w="1257"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42,502 </w:t>
            </w:r>
          </w:p>
        </w:tc>
        <w:tc>
          <w:tcPr>
            <w:tcW w:w="1203"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12.82 </w:t>
            </w:r>
          </w:p>
        </w:tc>
        <w:tc>
          <w:tcPr>
            <w:tcW w:w="127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43,505 </w:t>
            </w:r>
          </w:p>
        </w:tc>
        <w:tc>
          <w:tcPr>
            <w:tcW w:w="1192"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13.96 </w:t>
            </w:r>
          </w:p>
        </w:tc>
        <w:tc>
          <w:tcPr>
            <w:tcW w:w="1227"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-2.30 </w:t>
            </w:r>
          </w:p>
        </w:tc>
      </w:tr>
      <w:tr w:rsidR="00AD5BB5">
        <w:trPr>
          <w:trHeight w:val="287"/>
        </w:trPr>
        <w:tc>
          <w:tcPr>
            <w:tcW w:w="139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ind w:firstLineChars="200" w:firstLine="420"/>
              <w:rPr>
                <w:rFonts w:ascii="Times New Roman" w:hAnsi="Times New Roman" w:cs="宋体"/>
              </w:rPr>
            </w:pPr>
            <w:r>
              <w:rPr>
                <w:rFonts w:ascii="Times New Roman" w:hAnsi="Times New Roman" w:cs="宋体" w:hint="eastAsia"/>
              </w:rPr>
              <w:t>理财业务</w:t>
            </w:r>
          </w:p>
        </w:tc>
        <w:tc>
          <w:tcPr>
            <w:tcW w:w="1257"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19,573 </w:t>
            </w:r>
          </w:p>
        </w:tc>
        <w:tc>
          <w:tcPr>
            <w:tcW w:w="1203"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5.90 </w:t>
            </w:r>
          </w:p>
        </w:tc>
        <w:tc>
          <w:tcPr>
            <w:tcW w:w="127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52,035 </w:t>
            </w:r>
          </w:p>
        </w:tc>
        <w:tc>
          <w:tcPr>
            <w:tcW w:w="1192"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16.70 </w:t>
            </w:r>
          </w:p>
        </w:tc>
        <w:tc>
          <w:tcPr>
            <w:tcW w:w="1227"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-62.38 </w:t>
            </w:r>
          </w:p>
        </w:tc>
      </w:tr>
      <w:tr w:rsidR="00AD5BB5">
        <w:trPr>
          <w:trHeight w:val="90"/>
        </w:trPr>
        <w:tc>
          <w:tcPr>
            <w:tcW w:w="139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ind w:firstLineChars="200" w:firstLine="420"/>
              <w:rPr>
                <w:rFonts w:ascii="Times New Roman" w:hAnsi="Times New Roman" w:cs="宋体"/>
              </w:rPr>
            </w:pPr>
            <w:r>
              <w:rPr>
                <w:rFonts w:ascii="Times New Roman" w:hAnsi="Times New Roman" w:cs="宋体" w:hint="eastAsia"/>
              </w:rPr>
              <w:t>支付结算业务</w:t>
            </w:r>
          </w:p>
        </w:tc>
        <w:tc>
          <w:tcPr>
            <w:tcW w:w="1257"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7,378 </w:t>
            </w:r>
          </w:p>
        </w:tc>
        <w:tc>
          <w:tcPr>
            <w:tcW w:w="1203"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2.22 </w:t>
            </w:r>
          </w:p>
        </w:tc>
        <w:tc>
          <w:tcPr>
            <w:tcW w:w="127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5,260 </w:t>
            </w:r>
          </w:p>
        </w:tc>
        <w:tc>
          <w:tcPr>
            <w:tcW w:w="1192"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1.69 </w:t>
            </w:r>
          </w:p>
        </w:tc>
        <w:tc>
          <w:tcPr>
            <w:tcW w:w="1227"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40.26 </w:t>
            </w:r>
          </w:p>
        </w:tc>
      </w:tr>
      <w:tr w:rsidR="00AD5BB5">
        <w:tc>
          <w:tcPr>
            <w:tcW w:w="139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ind w:firstLineChars="200" w:firstLine="420"/>
              <w:rPr>
                <w:rFonts w:ascii="Times New Roman" w:hAnsi="Times New Roman" w:cs="宋体"/>
              </w:rPr>
            </w:pPr>
            <w:r>
              <w:rPr>
                <w:rFonts w:ascii="Times New Roman" w:hAnsi="Times New Roman" w:cs="宋体" w:hint="eastAsia"/>
              </w:rPr>
              <w:t>银行卡业务</w:t>
            </w:r>
          </w:p>
        </w:tc>
        <w:tc>
          <w:tcPr>
            <w:tcW w:w="1257"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17,829 </w:t>
            </w:r>
          </w:p>
        </w:tc>
        <w:tc>
          <w:tcPr>
            <w:tcW w:w="1203"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5.38 </w:t>
            </w:r>
          </w:p>
        </w:tc>
        <w:tc>
          <w:tcPr>
            <w:tcW w:w="127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26,753 </w:t>
            </w:r>
          </w:p>
        </w:tc>
        <w:tc>
          <w:tcPr>
            <w:tcW w:w="1192"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8.59 </w:t>
            </w:r>
          </w:p>
        </w:tc>
        <w:tc>
          <w:tcPr>
            <w:tcW w:w="1227"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-33.36 </w:t>
            </w:r>
          </w:p>
        </w:tc>
      </w:tr>
      <w:tr w:rsidR="00AD5BB5">
        <w:tc>
          <w:tcPr>
            <w:tcW w:w="139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ind w:firstLineChars="200" w:firstLine="420"/>
              <w:rPr>
                <w:rFonts w:ascii="Times New Roman" w:hAnsi="Times New Roman" w:cs="宋体"/>
              </w:rPr>
            </w:pPr>
            <w:r>
              <w:rPr>
                <w:rFonts w:ascii="Times New Roman" w:hAnsi="Times New Roman" w:cs="宋体" w:hint="eastAsia"/>
              </w:rPr>
              <w:t>委托业务</w:t>
            </w:r>
          </w:p>
        </w:tc>
        <w:tc>
          <w:tcPr>
            <w:tcW w:w="1257"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877 </w:t>
            </w:r>
          </w:p>
        </w:tc>
        <w:tc>
          <w:tcPr>
            <w:tcW w:w="1203"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0.26 </w:t>
            </w:r>
          </w:p>
        </w:tc>
        <w:tc>
          <w:tcPr>
            <w:tcW w:w="127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3,775 </w:t>
            </w:r>
          </w:p>
        </w:tc>
        <w:tc>
          <w:tcPr>
            <w:tcW w:w="1192"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1.21 </w:t>
            </w:r>
          </w:p>
        </w:tc>
        <w:tc>
          <w:tcPr>
            <w:tcW w:w="1227"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-76.76 </w:t>
            </w:r>
          </w:p>
        </w:tc>
      </w:tr>
      <w:tr w:rsidR="00AD5BB5">
        <w:tc>
          <w:tcPr>
            <w:tcW w:w="139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ind w:firstLineChars="200" w:firstLine="420"/>
              <w:rPr>
                <w:rFonts w:ascii="Times New Roman" w:hAnsi="Times New Roman" w:cs="宋体"/>
              </w:rPr>
            </w:pPr>
            <w:r>
              <w:rPr>
                <w:rFonts w:ascii="Times New Roman" w:hAnsi="Times New Roman" w:cs="宋体" w:hint="eastAsia"/>
              </w:rPr>
              <w:t>其他业务</w:t>
            </w:r>
          </w:p>
        </w:tc>
        <w:tc>
          <w:tcPr>
            <w:tcW w:w="1257"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13,098 </w:t>
            </w:r>
          </w:p>
        </w:tc>
        <w:tc>
          <w:tcPr>
            <w:tcW w:w="1203"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3.95 </w:t>
            </w:r>
          </w:p>
        </w:tc>
        <w:tc>
          <w:tcPr>
            <w:tcW w:w="127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hint="eastAsia"/>
                <w:kern w:val="0"/>
                <w:szCs w:val="21"/>
                <w:lang w:bidi="ar"/>
              </w:rPr>
              <w:t>18,817</w:t>
            </w:r>
            <w:r>
              <w:rPr>
                <w:rFonts w:ascii="Times New Roman" w:hAnsi="Times New Roman" w:cs="Times New Roman"/>
                <w:kern w:val="0"/>
                <w:szCs w:val="21"/>
                <w:lang w:bidi="ar"/>
              </w:rPr>
              <w:t xml:space="preserve"> </w:t>
            </w:r>
          </w:p>
        </w:tc>
        <w:tc>
          <w:tcPr>
            <w:tcW w:w="1192"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hint="eastAsia"/>
                <w:kern w:val="0"/>
                <w:szCs w:val="21"/>
                <w:lang w:bidi="ar"/>
              </w:rPr>
              <w:t>6.04</w:t>
            </w:r>
            <w:r>
              <w:rPr>
                <w:rFonts w:ascii="Times New Roman" w:hAnsi="Times New Roman" w:cs="Times New Roman"/>
                <w:kern w:val="0"/>
                <w:szCs w:val="21"/>
                <w:lang w:bidi="ar"/>
              </w:rPr>
              <w:t xml:space="preserve"> </w:t>
            </w:r>
          </w:p>
        </w:tc>
        <w:tc>
          <w:tcPr>
            <w:tcW w:w="1227"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hint="eastAsia"/>
                <w:kern w:val="0"/>
                <w:szCs w:val="21"/>
                <w:lang w:bidi="ar"/>
              </w:rPr>
              <w:t>-30.40</w:t>
            </w:r>
            <w:r>
              <w:rPr>
                <w:rFonts w:ascii="Times New Roman" w:hAnsi="Times New Roman" w:cs="Times New Roman"/>
                <w:kern w:val="0"/>
                <w:szCs w:val="21"/>
                <w:lang w:bidi="ar"/>
              </w:rPr>
              <w:t xml:space="preserve"> </w:t>
            </w:r>
          </w:p>
        </w:tc>
      </w:tr>
      <w:tr w:rsidR="00AD5BB5">
        <w:tc>
          <w:tcPr>
            <w:tcW w:w="139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cs="宋体"/>
                <w:b/>
                <w:bCs/>
              </w:rPr>
            </w:pPr>
            <w:r>
              <w:rPr>
                <w:rFonts w:ascii="Times New Roman" w:hAnsi="Times New Roman" w:cs="宋体" w:hint="eastAsia"/>
                <w:b/>
                <w:bCs/>
              </w:rPr>
              <w:t>手续费及佣金支出</w:t>
            </w:r>
          </w:p>
        </w:tc>
        <w:tc>
          <w:tcPr>
            <w:tcW w:w="1257"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136,256 </w:t>
            </w:r>
          </w:p>
        </w:tc>
        <w:tc>
          <w:tcPr>
            <w:tcW w:w="1203"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hint="eastAsia"/>
                <w:kern w:val="0"/>
                <w:szCs w:val="21"/>
                <w:lang w:bidi="ar"/>
              </w:rPr>
              <w:t>-</w:t>
            </w:r>
          </w:p>
        </w:tc>
        <w:tc>
          <w:tcPr>
            <w:tcW w:w="127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72,334 </w:t>
            </w:r>
          </w:p>
        </w:tc>
        <w:tc>
          <w:tcPr>
            <w:tcW w:w="1192"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hint="eastAsia"/>
                <w:kern w:val="0"/>
                <w:szCs w:val="21"/>
                <w:lang w:bidi="ar"/>
              </w:rPr>
              <w:t>-</w:t>
            </w:r>
          </w:p>
        </w:tc>
        <w:tc>
          <w:tcPr>
            <w:tcW w:w="1227"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88.37 </w:t>
            </w:r>
          </w:p>
        </w:tc>
      </w:tr>
      <w:tr w:rsidR="00AD5BB5">
        <w:tc>
          <w:tcPr>
            <w:tcW w:w="139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cs="宋体"/>
                <w:b/>
                <w:bCs/>
              </w:rPr>
            </w:pPr>
            <w:r>
              <w:rPr>
                <w:rFonts w:ascii="Times New Roman" w:hAnsi="Times New Roman" w:cs="宋体" w:hint="eastAsia"/>
                <w:b/>
                <w:bCs/>
              </w:rPr>
              <w:t>手续费及佣金净收入</w:t>
            </w:r>
          </w:p>
        </w:tc>
        <w:tc>
          <w:tcPr>
            <w:tcW w:w="1257"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195,340 </w:t>
            </w:r>
          </w:p>
        </w:tc>
        <w:tc>
          <w:tcPr>
            <w:tcW w:w="1203"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hint="eastAsia"/>
                <w:kern w:val="0"/>
                <w:szCs w:val="21"/>
                <w:lang w:bidi="ar"/>
              </w:rPr>
              <w:t>-</w:t>
            </w:r>
          </w:p>
        </w:tc>
        <w:tc>
          <w:tcPr>
            <w:tcW w:w="127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239,276 </w:t>
            </w:r>
          </w:p>
        </w:tc>
        <w:tc>
          <w:tcPr>
            <w:tcW w:w="1192"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hint="eastAsia"/>
                <w:kern w:val="0"/>
                <w:szCs w:val="21"/>
                <w:lang w:bidi="ar"/>
              </w:rPr>
              <w:t>-</w:t>
            </w:r>
          </w:p>
        </w:tc>
        <w:tc>
          <w:tcPr>
            <w:tcW w:w="1227"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-18.36 </w:t>
            </w:r>
          </w:p>
        </w:tc>
      </w:tr>
    </w:tbl>
    <w:p w:rsidR="00AD5BB5" w:rsidRDefault="00AD5BB5">
      <w:pPr>
        <w:pStyle w:val="Default"/>
        <w:spacing w:line="360" w:lineRule="auto"/>
        <w:rPr>
          <w:rFonts w:ascii="Times New Roman" w:eastAsia="宋体"/>
          <w:color w:val="auto"/>
        </w:rPr>
      </w:pPr>
    </w:p>
    <w:p w:rsidR="00AD5BB5" w:rsidRDefault="00F87FF6">
      <w:pPr>
        <w:pStyle w:val="4"/>
        <w:spacing w:line="360" w:lineRule="auto"/>
        <w:rPr>
          <w:rFonts w:ascii="Times New Roman" w:hAnsi="Times New Roman"/>
          <w:bCs/>
        </w:rPr>
      </w:pPr>
      <w:r>
        <w:rPr>
          <w:rFonts w:ascii="Times New Roman" w:hAnsi="Times New Roman" w:hint="eastAsia"/>
          <w:bCs/>
        </w:rPr>
        <w:t>6</w:t>
      </w:r>
      <w:r>
        <w:rPr>
          <w:rFonts w:ascii="Times New Roman" w:hAnsi="Times New Roman"/>
          <w:bCs/>
        </w:rPr>
        <w:t>、业务及管理费</w:t>
      </w:r>
    </w:p>
    <w:p w:rsidR="00AD5BB5" w:rsidRDefault="00F87FF6">
      <w:pPr>
        <w:spacing w:line="360" w:lineRule="auto"/>
        <w:ind w:firstLineChars="200" w:firstLine="420"/>
        <w:rPr>
          <w:rFonts w:ascii="Times New Roman" w:hAnsi="Times New Roman" w:cs="宋体"/>
          <w:szCs w:val="21"/>
        </w:rPr>
      </w:pPr>
      <w:r>
        <w:rPr>
          <w:rFonts w:ascii="Times New Roman" w:hAnsi="Times New Roman" w:cs="宋体" w:hint="eastAsia"/>
          <w:bCs/>
        </w:rPr>
        <w:t>报告期内，公司发生的业务及管理费合计</w:t>
      </w:r>
      <w:r>
        <w:rPr>
          <w:rFonts w:ascii="Times New Roman" w:hAnsi="Times New Roman" w:cs="宋体" w:hint="eastAsia"/>
          <w:bCs/>
        </w:rPr>
        <w:t>10.82</w:t>
      </w:r>
      <w:r>
        <w:rPr>
          <w:rFonts w:ascii="Times New Roman" w:hAnsi="Times New Roman" w:cs="宋体" w:hint="eastAsia"/>
          <w:bCs/>
        </w:rPr>
        <w:t>亿元，同比增加</w:t>
      </w:r>
      <w:r>
        <w:rPr>
          <w:rFonts w:ascii="Times New Roman" w:hAnsi="Times New Roman" w:cs="宋体" w:hint="eastAsia"/>
          <w:bCs/>
        </w:rPr>
        <w:t>1.33</w:t>
      </w:r>
      <w:r>
        <w:rPr>
          <w:rFonts w:ascii="Times New Roman" w:hAnsi="Times New Roman" w:cs="宋体" w:hint="eastAsia"/>
          <w:bCs/>
        </w:rPr>
        <w:t>亿元，增幅</w:t>
      </w:r>
      <w:r>
        <w:rPr>
          <w:rFonts w:ascii="Times New Roman" w:hAnsi="Times New Roman" w:cs="宋体" w:hint="eastAsia"/>
          <w:bCs/>
        </w:rPr>
        <w:t>14.00%</w:t>
      </w:r>
      <w:r>
        <w:rPr>
          <w:rFonts w:ascii="Times New Roman" w:hAnsi="Times New Roman" w:cs="宋体" w:hint="eastAsia"/>
          <w:bCs/>
        </w:rPr>
        <w:t>。业务及管理费增长主要原因系</w:t>
      </w:r>
      <w:r>
        <w:rPr>
          <w:rFonts w:ascii="Times New Roman" w:hAnsi="Times New Roman" w:cs="宋体" w:hint="eastAsia"/>
          <w:szCs w:val="21"/>
        </w:rPr>
        <w:t>公司投入运营网点较同期增加，持续加大金融科技建设，加强专业人才团队建设等。</w:t>
      </w:r>
    </w:p>
    <w:p w:rsidR="00AD5BB5" w:rsidRDefault="00F87FF6">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单位</w:t>
      </w:r>
      <w:r>
        <w:rPr>
          <w:rFonts w:ascii="Times New Roman" w:hAnsi="Times New Roman" w:cs="Times New Roman"/>
        </w:rPr>
        <w:t>:</w:t>
      </w:r>
      <w:r>
        <w:rPr>
          <w:rFonts w:ascii="Times New Roman" w:hAnsi="Times New Roman" w:cs="Times New Roman"/>
        </w:rPr>
        <w:t>人民币千元</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182"/>
        <w:gridCol w:w="1333"/>
        <w:gridCol w:w="1164"/>
        <w:gridCol w:w="1343"/>
        <w:gridCol w:w="1089"/>
      </w:tblGrid>
      <w:tr w:rsidR="00AD5BB5">
        <w:tc>
          <w:tcPr>
            <w:tcW w:w="1317"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b/>
                <w:bCs/>
              </w:rPr>
            </w:pPr>
            <w:r>
              <w:rPr>
                <w:rFonts w:ascii="Times New Roman" w:hAnsi="Times New Roman" w:cs="宋体" w:hint="eastAsia"/>
                <w:b/>
                <w:bCs/>
              </w:rPr>
              <w:t>项目</w:t>
            </w:r>
          </w:p>
        </w:tc>
        <w:tc>
          <w:tcPr>
            <w:tcW w:w="1515" w:type="pct"/>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b/>
                <w:bCs/>
              </w:rPr>
            </w:pPr>
            <w:r>
              <w:rPr>
                <w:rFonts w:ascii="Times New Roman" w:hAnsi="Times New Roman" w:cs="宋体" w:hint="eastAsia"/>
                <w:b/>
                <w:bCs/>
              </w:rPr>
              <w:t>2023</w:t>
            </w:r>
            <w:r>
              <w:rPr>
                <w:rFonts w:ascii="Times New Roman" w:hAnsi="Times New Roman" w:cs="宋体" w:hint="eastAsia"/>
                <w:b/>
                <w:bCs/>
              </w:rPr>
              <w:t>年</w:t>
            </w:r>
            <w:r>
              <w:rPr>
                <w:rFonts w:ascii="Times New Roman" w:hAnsi="Times New Roman" w:cs="宋体" w:hint="eastAsia"/>
                <w:b/>
                <w:bCs/>
              </w:rPr>
              <w:t>1-6</w:t>
            </w:r>
            <w:r>
              <w:rPr>
                <w:rFonts w:ascii="Times New Roman" w:hAnsi="Times New Roman" w:cs="宋体" w:hint="eastAsia"/>
                <w:b/>
                <w:bCs/>
              </w:rPr>
              <w:t>月</w:t>
            </w:r>
          </w:p>
        </w:tc>
        <w:tc>
          <w:tcPr>
            <w:tcW w:w="1510" w:type="pct"/>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b/>
                <w:bCs/>
              </w:rPr>
            </w:pPr>
            <w:r>
              <w:rPr>
                <w:rFonts w:ascii="Times New Roman" w:hAnsi="Times New Roman" w:cs="宋体" w:hint="eastAsia"/>
                <w:b/>
                <w:bCs/>
              </w:rPr>
              <w:t>2022</w:t>
            </w:r>
            <w:r>
              <w:rPr>
                <w:rFonts w:ascii="Times New Roman" w:hAnsi="Times New Roman" w:cs="宋体" w:hint="eastAsia"/>
                <w:b/>
                <w:bCs/>
              </w:rPr>
              <w:t>年</w:t>
            </w:r>
            <w:r>
              <w:rPr>
                <w:rFonts w:ascii="Times New Roman" w:hAnsi="Times New Roman" w:cs="宋体" w:hint="eastAsia"/>
                <w:b/>
                <w:bCs/>
              </w:rPr>
              <w:t>1-6</w:t>
            </w:r>
            <w:r>
              <w:rPr>
                <w:rFonts w:ascii="Times New Roman" w:hAnsi="Times New Roman" w:cs="宋体" w:hint="eastAsia"/>
                <w:b/>
                <w:bCs/>
              </w:rPr>
              <w:t>月</w:t>
            </w:r>
          </w:p>
        </w:tc>
        <w:tc>
          <w:tcPr>
            <w:tcW w:w="656" w:type="pct"/>
            <w:vMerge w:val="restart"/>
            <w:vAlign w:val="center"/>
          </w:tcPr>
          <w:p w:rsidR="00AD5BB5" w:rsidRDefault="00F87FF6">
            <w:pPr>
              <w:widowControl/>
              <w:jc w:val="center"/>
              <w:rPr>
                <w:rFonts w:ascii="Times New Roman" w:hAnsi="Times New Roman"/>
              </w:rPr>
            </w:pPr>
            <w:r>
              <w:rPr>
                <w:rFonts w:ascii="Times New Roman" w:hAnsi="Times New Roman" w:cs="宋体" w:hint="eastAsia"/>
                <w:b/>
                <w:bCs/>
              </w:rPr>
              <w:t>同比变动（</w:t>
            </w:r>
            <w:r>
              <w:rPr>
                <w:rFonts w:ascii="Times New Roman" w:hAnsi="Times New Roman" w:cs="宋体" w:hint="eastAsia"/>
                <w:b/>
                <w:bCs/>
              </w:rPr>
              <w:t>%</w:t>
            </w:r>
            <w:r>
              <w:rPr>
                <w:rFonts w:ascii="Times New Roman" w:hAnsi="Times New Roman" w:cs="宋体" w:hint="eastAsia"/>
                <w:b/>
                <w:bCs/>
              </w:rPr>
              <w:t>）</w:t>
            </w:r>
          </w:p>
        </w:tc>
      </w:tr>
      <w:tr w:rsidR="00AD5BB5">
        <w:tc>
          <w:tcPr>
            <w:tcW w:w="1317" w:type="pct"/>
            <w:vMerge/>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rPr>
                <w:rFonts w:ascii="Times New Roman" w:hAnsi="Times New Roman" w:cs="宋体"/>
                <w:b/>
                <w:bCs/>
              </w:rPr>
            </w:pPr>
          </w:p>
        </w:tc>
        <w:tc>
          <w:tcPr>
            <w:tcW w:w="71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宋体"/>
                <w:b/>
                <w:bCs/>
              </w:rPr>
            </w:pPr>
            <w:r>
              <w:rPr>
                <w:rFonts w:ascii="Times New Roman" w:hAnsi="Times New Roman" w:cs="宋体" w:hint="eastAsia"/>
                <w:b/>
                <w:bCs/>
              </w:rPr>
              <w:t>金额</w:t>
            </w:r>
          </w:p>
        </w:tc>
        <w:tc>
          <w:tcPr>
            <w:tcW w:w="80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宋体"/>
                <w:b/>
                <w:bCs/>
              </w:rPr>
            </w:pPr>
            <w:r>
              <w:rPr>
                <w:rFonts w:ascii="Times New Roman" w:hAnsi="Times New Roman" w:cs="宋体" w:hint="eastAsia"/>
                <w:b/>
                <w:bCs/>
              </w:rPr>
              <w:t>占比（</w:t>
            </w:r>
            <w:r>
              <w:rPr>
                <w:rFonts w:ascii="Times New Roman" w:hAnsi="Times New Roman" w:cs="宋体" w:hint="eastAsia"/>
                <w:b/>
                <w:bCs/>
              </w:rPr>
              <w:t>%</w:t>
            </w:r>
            <w:r>
              <w:rPr>
                <w:rFonts w:ascii="Times New Roman" w:hAnsi="Times New Roman" w:cs="宋体" w:hint="eastAsia"/>
                <w:b/>
                <w:bCs/>
              </w:rPr>
              <w:t>）</w:t>
            </w:r>
          </w:p>
        </w:tc>
        <w:tc>
          <w:tcPr>
            <w:tcW w:w="70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宋体"/>
                <w:b/>
                <w:bCs/>
              </w:rPr>
            </w:pPr>
            <w:r>
              <w:rPr>
                <w:rFonts w:ascii="Times New Roman" w:hAnsi="Times New Roman" w:cs="宋体" w:hint="eastAsia"/>
                <w:b/>
                <w:bCs/>
              </w:rPr>
              <w:t>金额</w:t>
            </w:r>
          </w:p>
        </w:tc>
        <w:tc>
          <w:tcPr>
            <w:tcW w:w="809"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宋体"/>
                <w:b/>
                <w:bCs/>
              </w:rPr>
            </w:pPr>
            <w:r>
              <w:rPr>
                <w:rFonts w:ascii="Times New Roman" w:hAnsi="Times New Roman" w:cs="宋体" w:hint="eastAsia"/>
                <w:b/>
                <w:bCs/>
              </w:rPr>
              <w:t>占比（</w:t>
            </w:r>
            <w:r>
              <w:rPr>
                <w:rFonts w:ascii="Times New Roman" w:hAnsi="Times New Roman" w:cs="宋体" w:hint="eastAsia"/>
                <w:b/>
                <w:bCs/>
              </w:rPr>
              <w:t>%</w:t>
            </w:r>
            <w:r>
              <w:rPr>
                <w:rFonts w:ascii="Times New Roman" w:hAnsi="Times New Roman" w:cs="宋体" w:hint="eastAsia"/>
                <w:b/>
                <w:bCs/>
              </w:rPr>
              <w:t>）</w:t>
            </w:r>
          </w:p>
        </w:tc>
        <w:tc>
          <w:tcPr>
            <w:tcW w:w="656" w:type="pct"/>
            <w:vMerge/>
            <w:vAlign w:val="center"/>
          </w:tcPr>
          <w:p w:rsidR="00AD5BB5" w:rsidRDefault="00AD5BB5">
            <w:pPr>
              <w:widowControl/>
              <w:jc w:val="left"/>
              <w:rPr>
                <w:rFonts w:ascii="Times New Roman" w:hAnsi="Times New Roman"/>
              </w:rPr>
            </w:pPr>
          </w:p>
        </w:tc>
      </w:tr>
      <w:tr w:rsidR="00AD5BB5">
        <w:tc>
          <w:tcPr>
            <w:tcW w:w="131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员工成本</w:t>
            </w:r>
          </w:p>
        </w:tc>
        <w:tc>
          <w:tcPr>
            <w:tcW w:w="71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731,972 </w:t>
            </w:r>
          </w:p>
        </w:tc>
        <w:tc>
          <w:tcPr>
            <w:tcW w:w="80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67.65 </w:t>
            </w:r>
          </w:p>
        </w:tc>
        <w:tc>
          <w:tcPr>
            <w:tcW w:w="70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663,243 </w:t>
            </w:r>
          </w:p>
        </w:tc>
        <w:tc>
          <w:tcPr>
            <w:tcW w:w="80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69.88 </w:t>
            </w:r>
          </w:p>
        </w:tc>
        <w:tc>
          <w:tcPr>
            <w:tcW w:w="656" w:type="pct"/>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10.36 </w:t>
            </w:r>
          </w:p>
        </w:tc>
      </w:tr>
      <w:tr w:rsidR="00AD5BB5">
        <w:tc>
          <w:tcPr>
            <w:tcW w:w="131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物业及设备支出</w:t>
            </w:r>
          </w:p>
        </w:tc>
        <w:tc>
          <w:tcPr>
            <w:tcW w:w="71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169,670 </w:t>
            </w:r>
          </w:p>
        </w:tc>
        <w:tc>
          <w:tcPr>
            <w:tcW w:w="80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15.68 </w:t>
            </w:r>
          </w:p>
        </w:tc>
        <w:tc>
          <w:tcPr>
            <w:tcW w:w="70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143,056 </w:t>
            </w:r>
          </w:p>
        </w:tc>
        <w:tc>
          <w:tcPr>
            <w:tcW w:w="80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15.07 </w:t>
            </w:r>
          </w:p>
        </w:tc>
        <w:tc>
          <w:tcPr>
            <w:tcW w:w="656" w:type="pct"/>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18.60 </w:t>
            </w:r>
          </w:p>
        </w:tc>
      </w:tr>
      <w:tr w:rsidR="00AD5BB5">
        <w:tc>
          <w:tcPr>
            <w:tcW w:w="131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其他办公及行政费用</w:t>
            </w:r>
          </w:p>
        </w:tc>
        <w:tc>
          <w:tcPr>
            <w:tcW w:w="71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180,310 </w:t>
            </w:r>
          </w:p>
        </w:tc>
        <w:tc>
          <w:tcPr>
            <w:tcW w:w="80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16.67 </w:t>
            </w:r>
          </w:p>
        </w:tc>
        <w:tc>
          <w:tcPr>
            <w:tcW w:w="70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142,822 </w:t>
            </w:r>
          </w:p>
        </w:tc>
        <w:tc>
          <w:tcPr>
            <w:tcW w:w="80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15.05 </w:t>
            </w:r>
          </w:p>
        </w:tc>
        <w:tc>
          <w:tcPr>
            <w:tcW w:w="656" w:type="pct"/>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26.25 </w:t>
            </w:r>
          </w:p>
        </w:tc>
      </w:tr>
      <w:tr w:rsidR="00AD5BB5">
        <w:tc>
          <w:tcPr>
            <w:tcW w:w="131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合计</w:t>
            </w:r>
          </w:p>
        </w:tc>
        <w:tc>
          <w:tcPr>
            <w:tcW w:w="71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1,081,952 </w:t>
            </w:r>
          </w:p>
        </w:tc>
        <w:tc>
          <w:tcPr>
            <w:tcW w:w="80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100</w:t>
            </w:r>
            <w:r>
              <w:rPr>
                <w:rFonts w:ascii="Times New Roman" w:hAnsi="Times New Roman" w:cs="Times New Roman" w:hint="eastAsia"/>
                <w:kern w:val="0"/>
                <w:szCs w:val="21"/>
                <w:lang w:bidi="ar"/>
              </w:rPr>
              <w:t>.00</w:t>
            </w:r>
            <w:r>
              <w:rPr>
                <w:rFonts w:ascii="Times New Roman" w:hAnsi="Times New Roman" w:cs="Times New Roman"/>
                <w:kern w:val="0"/>
                <w:szCs w:val="21"/>
                <w:lang w:bidi="ar"/>
              </w:rPr>
              <w:t xml:space="preserve"> </w:t>
            </w:r>
          </w:p>
        </w:tc>
        <w:tc>
          <w:tcPr>
            <w:tcW w:w="70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949,120 </w:t>
            </w:r>
          </w:p>
        </w:tc>
        <w:tc>
          <w:tcPr>
            <w:tcW w:w="80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100</w:t>
            </w:r>
            <w:r>
              <w:rPr>
                <w:rFonts w:ascii="Times New Roman" w:hAnsi="Times New Roman" w:cs="Times New Roman" w:hint="eastAsia"/>
                <w:kern w:val="0"/>
                <w:szCs w:val="21"/>
                <w:lang w:bidi="ar"/>
              </w:rPr>
              <w:t>.00</w:t>
            </w:r>
          </w:p>
        </w:tc>
        <w:tc>
          <w:tcPr>
            <w:tcW w:w="656" w:type="pct"/>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14.00 </w:t>
            </w:r>
          </w:p>
        </w:tc>
      </w:tr>
    </w:tbl>
    <w:p w:rsidR="00AD5BB5" w:rsidRDefault="00AD5BB5">
      <w:pPr>
        <w:rPr>
          <w:rFonts w:ascii="Times New Roman" w:hAnsi="Times New Roman" w:cs="Times New Roman"/>
          <w:b/>
        </w:rPr>
      </w:pPr>
    </w:p>
    <w:p w:rsidR="00AD5BB5" w:rsidRDefault="00F87FF6">
      <w:pPr>
        <w:pStyle w:val="a1"/>
        <w:numPr>
          <w:ilvl w:val="255"/>
          <w:numId w:val="0"/>
        </w:numPr>
        <w:spacing w:line="360" w:lineRule="auto"/>
        <w:rPr>
          <w:rFonts w:ascii="Times New Roman" w:hAnsi="Times New Roman" w:cs="Times New Roman"/>
        </w:rPr>
      </w:pPr>
      <w:r>
        <w:rPr>
          <w:rFonts w:ascii="Times New Roman" w:hAnsi="Times New Roman" w:cs="Times New Roman" w:hint="eastAsia"/>
        </w:rPr>
        <w:lastRenderedPageBreak/>
        <w:t>7</w:t>
      </w:r>
      <w:r>
        <w:rPr>
          <w:rFonts w:ascii="Times New Roman" w:hAnsi="Times New Roman" w:cs="Times New Roman" w:hint="eastAsia"/>
        </w:rPr>
        <w:t>、</w:t>
      </w:r>
      <w:r>
        <w:rPr>
          <w:rFonts w:ascii="Times New Roman" w:hAnsi="Times New Roman" w:cs="Times New Roman"/>
        </w:rPr>
        <w:t>信用减值损失及资产减值损失</w:t>
      </w:r>
    </w:p>
    <w:p w:rsidR="00AD5BB5" w:rsidRDefault="00F87FF6">
      <w:pPr>
        <w:spacing w:line="360" w:lineRule="auto"/>
        <w:ind w:firstLineChars="200" w:firstLine="420"/>
        <w:rPr>
          <w:rFonts w:ascii="Times New Roman" w:hAnsi="Times New Roman" w:cs="宋体"/>
          <w:szCs w:val="21"/>
        </w:rPr>
      </w:pPr>
      <w:r>
        <w:rPr>
          <w:rFonts w:ascii="Times New Roman" w:hAnsi="Times New Roman" w:cs="宋体" w:hint="eastAsia"/>
        </w:rPr>
        <w:t>报告期内，公司累计计提减值损失</w:t>
      </w:r>
      <w:r>
        <w:rPr>
          <w:rFonts w:ascii="Times New Roman" w:hAnsi="Times New Roman" w:cs="宋体" w:hint="eastAsia"/>
        </w:rPr>
        <w:t>1.90</w:t>
      </w:r>
      <w:r>
        <w:rPr>
          <w:rFonts w:ascii="Times New Roman" w:hAnsi="Times New Roman" w:cs="宋体" w:hint="eastAsia"/>
        </w:rPr>
        <w:t>亿元，同比下降</w:t>
      </w:r>
      <w:r>
        <w:rPr>
          <w:rFonts w:ascii="Times New Roman" w:hAnsi="Times New Roman" w:cs="宋体" w:hint="eastAsia"/>
        </w:rPr>
        <w:t>66.29%</w:t>
      </w:r>
      <w:r>
        <w:rPr>
          <w:rFonts w:ascii="Times New Roman" w:hAnsi="Times New Roman" w:cs="宋体" w:hint="eastAsia"/>
        </w:rPr>
        <w:t>，因公司业务规模变动及对</w:t>
      </w:r>
      <w:r>
        <w:rPr>
          <w:rFonts w:ascii="Times New Roman" w:hAnsi="Times New Roman" w:hint="eastAsia"/>
        </w:rPr>
        <w:t>不良资产化解力度加大</w:t>
      </w:r>
      <w:r>
        <w:rPr>
          <w:rFonts w:ascii="Times New Roman" w:hAnsi="Times New Roman" w:cs="宋体" w:hint="eastAsia"/>
        </w:rPr>
        <w:t>，导致信用减值损失较同期下降较为明显；期末公司拨备覆盖率为</w:t>
      </w:r>
      <w:r>
        <w:rPr>
          <w:rFonts w:ascii="Times New Roman" w:hAnsi="Times New Roman" w:cs="宋体" w:hint="eastAsia"/>
        </w:rPr>
        <w:t>394.86%</w:t>
      </w:r>
      <w:r>
        <w:rPr>
          <w:rFonts w:ascii="Times New Roman" w:hAnsi="Times New Roman" w:cs="宋体" w:hint="eastAsia"/>
        </w:rPr>
        <w:t>，风险抵御能力较强。</w:t>
      </w:r>
    </w:p>
    <w:p w:rsidR="00AD5BB5" w:rsidRDefault="00F87FF6">
      <w:pPr>
        <w:spacing w:line="36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单位</w:t>
      </w:r>
      <w:r>
        <w:rPr>
          <w:rFonts w:ascii="Times New Roman" w:hAnsi="Times New Roman" w:cs="Times New Roman"/>
        </w:rPr>
        <w:t>:</w:t>
      </w:r>
      <w:r>
        <w:rPr>
          <w:rFonts w:ascii="Times New Roman" w:hAnsi="Times New Roman" w:cs="Times New Roman"/>
        </w:rPr>
        <w:t>人民币千元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8"/>
        <w:gridCol w:w="1296"/>
        <w:gridCol w:w="1531"/>
        <w:gridCol w:w="1304"/>
        <w:gridCol w:w="1497"/>
      </w:tblGrid>
      <w:tr w:rsidR="00AD5BB5">
        <w:tc>
          <w:tcPr>
            <w:tcW w:w="2668"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b/>
                <w:bCs/>
              </w:rPr>
            </w:pPr>
            <w:r>
              <w:rPr>
                <w:rFonts w:ascii="Times New Roman" w:hAnsi="Times New Roman" w:cs="宋体" w:hint="eastAsia"/>
                <w:b/>
                <w:bCs/>
              </w:rPr>
              <w:t>项目</w:t>
            </w:r>
          </w:p>
        </w:tc>
        <w:tc>
          <w:tcPr>
            <w:tcW w:w="282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b/>
                <w:bCs/>
              </w:rPr>
            </w:pPr>
            <w:r>
              <w:rPr>
                <w:rFonts w:ascii="Times New Roman" w:hAnsi="Times New Roman" w:cs="宋体" w:hint="eastAsia"/>
                <w:b/>
                <w:bCs/>
              </w:rPr>
              <w:t>2023</w:t>
            </w:r>
            <w:r>
              <w:rPr>
                <w:rFonts w:ascii="Times New Roman" w:hAnsi="Times New Roman" w:cs="宋体" w:hint="eastAsia"/>
                <w:b/>
                <w:bCs/>
              </w:rPr>
              <w:t>年</w:t>
            </w:r>
            <w:r>
              <w:rPr>
                <w:rFonts w:ascii="Times New Roman" w:hAnsi="Times New Roman" w:cs="宋体" w:hint="eastAsia"/>
                <w:b/>
                <w:bCs/>
              </w:rPr>
              <w:t>1-6</w:t>
            </w:r>
            <w:r>
              <w:rPr>
                <w:rFonts w:ascii="Times New Roman" w:hAnsi="Times New Roman" w:cs="宋体" w:hint="eastAsia"/>
                <w:b/>
                <w:bCs/>
              </w:rPr>
              <w:t>月</w:t>
            </w:r>
          </w:p>
        </w:tc>
        <w:tc>
          <w:tcPr>
            <w:tcW w:w="280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b/>
                <w:bCs/>
              </w:rPr>
            </w:pPr>
            <w:r>
              <w:rPr>
                <w:rFonts w:ascii="Times New Roman" w:hAnsi="Times New Roman" w:cs="宋体" w:hint="eastAsia"/>
                <w:b/>
                <w:bCs/>
              </w:rPr>
              <w:t>2022</w:t>
            </w:r>
            <w:r>
              <w:rPr>
                <w:rFonts w:ascii="Times New Roman" w:hAnsi="Times New Roman" w:cs="宋体" w:hint="eastAsia"/>
                <w:b/>
                <w:bCs/>
              </w:rPr>
              <w:t>年</w:t>
            </w:r>
            <w:r>
              <w:rPr>
                <w:rFonts w:ascii="Times New Roman" w:hAnsi="Times New Roman" w:cs="宋体" w:hint="eastAsia"/>
                <w:b/>
                <w:bCs/>
              </w:rPr>
              <w:t>1-6</w:t>
            </w:r>
            <w:r>
              <w:rPr>
                <w:rFonts w:ascii="Times New Roman" w:hAnsi="Times New Roman" w:cs="宋体" w:hint="eastAsia"/>
                <w:b/>
                <w:bCs/>
              </w:rPr>
              <w:t>月</w:t>
            </w:r>
          </w:p>
        </w:tc>
      </w:tr>
      <w:tr w:rsidR="00AD5BB5">
        <w:tc>
          <w:tcPr>
            <w:tcW w:w="2668" w:type="dxa"/>
            <w:vMerge/>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rPr>
                <w:rFonts w:ascii="Times New Roman" w:hAnsi="Times New Roman" w:cs="宋体"/>
                <w:b/>
                <w:bCs/>
              </w:rPr>
            </w:pPr>
          </w:p>
        </w:tc>
        <w:tc>
          <w:tcPr>
            <w:tcW w:w="1296"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宋体"/>
                <w:b/>
                <w:bCs/>
              </w:rPr>
            </w:pPr>
            <w:r>
              <w:rPr>
                <w:rFonts w:ascii="Times New Roman" w:hAnsi="Times New Roman" w:cs="宋体" w:hint="eastAsia"/>
                <w:b/>
                <w:bCs/>
              </w:rPr>
              <w:t>金额</w:t>
            </w:r>
          </w:p>
        </w:tc>
        <w:tc>
          <w:tcPr>
            <w:tcW w:w="153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right"/>
              <w:rPr>
                <w:rFonts w:ascii="Times New Roman" w:hAnsi="Times New Roman" w:cs="宋体"/>
                <w:b/>
                <w:bCs/>
              </w:rPr>
            </w:pPr>
            <w:r>
              <w:rPr>
                <w:rFonts w:ascii="Times New Roman" w:hAnsi="Times New Roman" w:cs="宋体" w:hint="eastAsia"/>
                <w:b/>
                <w:bCs/>
              </w:rPr>
              <w:t>占比（</w:t>
            </w:r>
            <w:r>
              <w:rPr>
                <w:rFonts w:ascii="Times New Roman" w:hAnsi="Times New Roman" w:cs="宋体" w:hint="eastAsia"/>
                <w:b/>
                <w:bCs/>
              </w:rPr>
              <w:t>%</w:t>
            </w:r>
            <w:r>
              <w:rPr>
                <w:rFonts w:ascii="Times New Roman" w:hAnsi="Times New Roman" w:cs="宋体" w:hint="eastAsia"/>
                <w:b/>
                <w:bCs/>
              </w:rPr>
              <w:t>）</w:t>
            </w:r>
          </w:p>
        </w:tc>
        <w:tc>
          <w:tcPr>
            <w:tcW w:w="130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right"/>
              <w:rPr>
                <w:rFonts w:ascii="Times New Roman" w:hAnsi="Times New Roman" w:cs="宋体"/>
                <w:b/>
                <w:bCs/>
              </w:rPr>
            </w:pPr>
            <w:r>
              <w:rPr>
                <w:rFonts w:ascii="Times New Roman" w:hAnsi="Times New Roman" w:cs="宋体" w:hint="eastAsia"/>
                <w:b/>
                <w:bCs/>
              </w:rPr>
              <w:t>金额</w:t>
            </w:r>
          </w:p>
        </w:tc>
        <w:tc>
          <w:tcPr>
            <w:tcW w:w="149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right"/>
              <w:rPr>
                <w:rFonts w:ascii="Times New Roman" w:hAnsi="Times New Roman" w:cs="宋体"/>
                <w:b/>
                <w:bCs/>
              </w:rPr>
            </w:pPr>
            <w:r>
              <w:rPr>
                <w:rFonts w:ascii="Times New Roman" w:hAnsi="Times New Roman" w:cs="宋体" w:hint="eastAsia"/>
                <w:b/>
                <w:bCs/>
              </w:rPr>
              <w:t>占比（</w:t>
            </w:r>
            <w:r>
              <w:rPr>
                <w:rFonts w:ascii="Times New Roman" w:hAnsi="Times New Roman" w:cs="宋体" w:hint="eastAsia"/>
                <w:b/>
                <w:bCs/>
              </w:rPr>
              <w:t>%</w:t>
            </w:r>
            <w:r>
              <w:rPr>
                <w:rFonts w:ascii="Times New Roman" w:hAnsi="Times New Roman" w:cs="宋体" w:hint="eastAsia"/>
                <w:b/>
                <w:bCs/>
              </w:rPr>
              <w:t>）</w:t>
            </w:r>
          </w:p>
        </w:tc>
      </w:tr>
      <w:tr w:rsidR="00AD5BB5">
        <w:tc>
          <w:tcPr>
            <w:tcW w:w="2668"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存放同业款项减值损失</w:t>
            </w:r>
          </w:p>
        </w:tc>
        <w:tc>
          <w:tcPr>
            <w:tcW w:w="1296"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-26,159 </w:t>
            </w:r>
          </w:p>
        </w:tc>
        <w:tc>
          <w:tcPr>
            <w:tcW w:w="153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-13.78 </w:t>
            </w:r>
          </w:p>
        </w:tc>
        <w:tc>
          <w:tcPr>
            <w:tcW w:w="130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-63,053 </w:t>
            </w:r>
          </w:p>
        </w:tc>
        <w:tc>
          <w:tcPr>
            <w:tcW w:w="149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-11.20 </w:t>
            </w:r>
          </w:p>
        </w:tc>
      </w:tr>
      <w:tr w:rsidR="00AD5BB5">
        <w:tc>
          <w:tcPr>
            <w:tcW w:w="2668"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拆出资金减值损失</w:t>
            </w:r>
          </w:p>
        </w:tc>
        <w:tc>
          <w:tcPr>
            <w:tcW w:w="1296"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-108,100 </w:t>
            </w:r>
          </w:p>
        </w:tc>
        <w:tc>
          <w:tcPr>
            <w:tcW w:w="153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-56.95 </w:t>
            </w:r>
          </w:p>
        </w:tc>
        <w:tc>
          <w:tcPr>
            <w:tcW w:w="130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17,535 </w:t>
            </w:r>
          </w:p>
        </w:tc>
        <w:tc>
          <w:tcPr>
            <w:tcW w:w="149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3.11 </w:t>
            </w:r>
          </w:p>
        </w:tc>
      </w:tr>
      <w:tr w:rsidR="00AD5BB5">
        <w:tc>
          <w:tcPr>
            <w:tcW w:w="2668"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买入返售金融资产减值损失</w:t>
            </w:r>
          </w:p>
        </w:tc>
        <w:tc>
          <w:tcPr>
            <w:tcW w:w="1296"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-12,663 </w:t>
            </w:r>
          </w:p>
        </w:tc>
        <w:tc>
          <w:tcPr>
            <w:tcW w:w="153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-6.67 </w:t>
            </w:r>
          </w:p>
        </w:tc>
        <w:tc>
          <w:tcPr>
            <w:tcW w:w="130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1,213 </w:t>
            </w:r>
          </w:p>
        </w:tc>
        <w:tc>
          <w:tcPr>
            <w:tcW w:w="149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0.22 </w:t>
            </w:r>
          </w:p>
        </w:tc>
      </w:tr>
      <w:tr w:rsidR="00AD5BB5">
        <w:tc>
          <w:tcPr>
            <w:tcW w:w="2668"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贷款减值损失</w:t>
            </w:r>
          </w:p>
        </w:tc>
        <w:tc>
          <w:tcPr>
            <w:tcW w:w="1296"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widowControl/>
              <w:jc w:val="right"/>
              <w:textAlignment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widowControl/>
              <w:jc w:val="right"/>
              <w:textAlignment w:val="top"/>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widowControl/>
              <w:jc w:val="right"/>
              <w:textAlignment w:val="center"/>
              <w:rPr>
                <w:rFonts w:ascii="Times New Roman" w:hAnsi="Times New Roman" w:cs="Times New Roman"/>
              </w:rPr>
            </w:pPr>
          </w:p>
        </w:tc>
        <w:tc>
          <w:tcPr>
            <w:tcW w:w="149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widowControl/>
              <w:jc w:val="right"/>
              <w:textAlignment w:val="top"/>
              <w:rPr>
                <w:rFonts w:ascii="Times New Roman" w:hAnsi="Times New Roman" w:cs="Times New Roman"/>
              </w:rPr>
            </w:pPr>
          </w:p>
        </w:tc>
      </w:tr>
      <w:tr w:rsidR="00AD5BB5">
        <w:tc>
          <w:tcPr>
            <w:tcW w:w="2668"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ind w:leftChars="100" w:left="210"/>
              <w:rPr>
                <w:rFonts w:ascii="Times New Roman" w:hAnsi="Times New Roman" w:cs="宋体"/>
              </w:rPr>
            </w:pPr>
            <w:r>
              <w:rPr>
                <w:rFonts w:ascii="Times New Roman" w:hAnsi="Times New Roman" w:cs="宋体" w:hint="eastAsia"/>
              </w:rPr>
              <w:t>—以摊</w:t>
            </w:r>
            <w:proofErr w:type="gramStart"/>
            <w:r>
              <w:rPr>
                <w:rFonts w:ascii="Times New Roman" w:hAnsi="Times New Roman" w:cs="宋体" w:hint="eastAsia"/>
              </w:rPr>
              <w:t>余成本</w:t>
            </w:r>
            <w:proofErr w:type="gramEnd"/>
            <w:r>
              <w:rPr>
                <w:rFonts w:ascii="Times New Roman" w:hAnsi="Times New Roman" w:cs="宋体" w:hint="eastAsia"/>
              </w:rPr>
              <w:t>计量的发放贷款及垫款</w:t>
            </w:r>
          </w:p>
        </w:tc>
        <w:tc>
          <w:tcPr>
            <w:tcW w:w="1296"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350,798 </w:t>
            </w:r>
          </w:p>
        </w:tc>
        <w:tc>
          <w:tcPr>
            <w:tcW w:w="153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184.80 </w:t>
            </w:r>
          </w:p>
        </w:tc>
        <w:tc>
          <w:tcPr>
            <w:tcW w:w="130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459,539 </w:t>
            </w:r>
          </w:p>
        </w:tc>
        <w:tc>
          <w:tcPr>
            <w:tcW w:w="149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81.62 </w:t>
            </w:r>
          </w:p>
        </w:tc>
      </w:tr>
      <w:tr w:rsidR="00AD5BB5">
        <w:tc>
          <w:tcPr>
            <w:tcW w:w="2668"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ind w:leftChars="100" w:left="210"/>
              <w:rPr>
                <w:rFonts w:ascii="Times New Roman" w:hAnsi="Times New Roman" w:cs="宋体"/>
              </w:rPr>
            </w:pPr>
            <w:r>
              <w:rPr>
                <w:rFonts w:ascii="Times New Roman" w:hAnsi="Times New Roman" w:cs="宋体" w:hint="eastAsia"/>
              </w:rPr>
              <w:t>—以公允价值计量且其变动计入其他综合收益的发放贷款及垫款</w:t>
            </w:r>
          </w:p>
        </w:tc>
        <w:tc>
          <w:tcPr>
            <w:tcW w:w="1296"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-6,974 </w:t>
            </w:r>
          </w:p>
        </w:tc>
        <w:tc>
          <w:tcPr>
            <w:tcW w:w="153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-3.67 </w:t>
            </w:r>
          </w:p>
        </w:tc>
        <w:tc>
          <w:tcPr>
            <w:tcW w:w="130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29,607 </w:t>
            </w:r>
          </w:p>
        </w:tc>
        <w:tc>
          <w:tcPr>
            <w:tcW w:w="149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5.26 </w:t>
            </w:r>
          </w:p>
        </w:tc>
      </w:tr>
      <w:tr w:rsidR="00AD5BB5">
        <w:tc>
          <w:tcPr>
            <w:tcW w:w="2668"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金融投资减值损失</w:t>
            </w:r>
          </w:p>
        </w:tc>
        <w:tc>
          <w:tcPr>
            <w:tcW w:w="1296"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widowControl/>
              <w:jc w:val="right"/>
              <w:textAlignment w:val="center"/>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widowControl/>
              <w:jc w:val="right"/>
              <w:textAlignment w:val="top"/>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widowControl/>
              <w:jc w:val="right"/>
              <w:textAlignment w:val="center"/>
              <w:rPr>
                <w:rFonts w:ascii="Times New Roman" w:hAnsi="Times New Roman" w:cs="Times New Roman"/>
              </w:rPr>
            </w:pPr>
          </w:p>
        </w:tc>
        <w:tc>
          <w:tcPr>
            <w:tcW w:w="149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widowControl/>
              <w:jc w:val="right"/>
              <w:textAlignment w:val="top"/>
              <w:rPr>
                <w:rFonts w:ascii="Times New Roman" w:hAnsi="Times New Roman" w:cs="Times New Roman"/>
              </w:rPr>
            </w:pPr>
          </w:p>
        </w:tc>
      </w:tr>
      <w:tr w:rsidR="00AD5BB5">
        <w:tc>
          <w:tcPr>
            <w:tcW w:w="2668"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ind w:leftChars="100" w:left="210"/>
              <w:rPr>
                <w:rFonts w:ascii="Times New Roman" w:hAnsi="Times New Roman" w:cs="宋体"/>
              </w:rPr>
            </w:pPr>
            <w:r>
              <w:rPr>
                <w:rFonts w:ascii="Times New Roman" w:hAnsi="Times New Roman" w:cs="宋体" w:hint="eastAsia"/>
              </w:rPr>
              <w:t>—债权投资</w:t>
            </w:r>
          </w:p>
        </w:tc>
        <w:tc>
          <w:tcPr>
            <w:tcW w:w="1296"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93,168 </w:t>
            </w:r>
          </w:p>
        </w:tc>
        <w:tc>
          <w:tcPr>
            <w:tcW w:w="153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49.08 </w:t>
            </w:r>
          </w:p>
        </w:tc>
        <w:tc>
          <w:tcPr>
            <w:tcW w:w="130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18,355 </w:t>
            </w:r>
          </w:p>
        </w:tc>
        <w:tc>
          <w:tcPr>
            <w:tcW w:w="149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3.26 </w:t>
            </w:r>
          </w:p>
        </w:tc>
      </w:tr>
      <w:tr w:rsidR="00AD5BB5">
        <w:tc>
          <w:tcPr>
            <w:tcW w:w="2668"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ind w:leftChars="100" w:left="210"/>
              <w:rPr>
                <w:rFonts w:ascii="Times New Roman" w:hAnsi="Times New Roman" w:cs="宋体"/>
              </w:rPr>
            </w:pPr>
            <w:proofErr w:type="gramStart"/>
            <w:r>
              <w:rPr>
                <w:rFonts w:ascii="Times New Roman" w:hAnsi="Times New Roman" w:cs="宋体" w:hint="eastAsia"/>
              </w:rPr>
              <w:t>—其他</w:t>
            </w:r>
            <w:proofErr w:type="gramEnd"/>
            <w:r>
              <w:rPr>
                <w:rFonts w:ascii="Times New Roman" w:hAnsi="Times New Roman" w:cs="宋体" w:hint="eastAsia"/>
              </w:rPr>
              <w:t>债权投资</w:t>
            </w:r>
          </w:p>
        </w:tc>
        <w:tc>
          <w:tcPr>
            <w:tcW w:w="1296"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51,658 </w:t>
            </w:r>
          </w:p>
        </w:tc>
        <w:tc>
          <w:tcPr>
            <w:tcW w:w="153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27.21 </w:t>
            </w:r>
          </w:p>
        </w:tc>
        <w:tc>
          <w:tcPr>
            <w:tcW w:w="130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20,417 </w:t>
            </w:r>
          </w:p>
        </w:tc>
        <w:tc>
          <w:tcPr>
            <w:tcW w:w="149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3.63 </w:t>
            </w:r>
          </w:p>
        </w:tc>
      </w:tr>
      <w:tr w:rsidR="00AD5BB5">
        <w:tc>
          <w:tcPr>
            <w:tcW w:w="2668"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信用承诺减值损失</w:t>
            </w:r>
          </w:p>
        </w:tc>
        <w:tc>
          <w:tcPr>
            <w:tcW w:w="1296"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-160,974 </w:t>
            </w:r>
          </w:p>
        </w:tc>
        <w:tc>
          <w:tcPr>
            <w:tcW w:w="153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-84.80 </w:t>
            </w:r>
          </w:p>
        </w:tc>
        <w:tc>
          <w:tcPr>
            <w:tcW w:w="130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78,694 </w:t>
            </w:r>
          </w:p>
        </w:tc>
        <w:tc>
          <w:tcPr>
            <w:tcW w:w="149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13.98 </w:t>
            </w:r>
          </w:p>
        </w:tc>
      </w:tr>
      <w:tr w:rsidR="00AD5BB5">
        <w:tc>
          <w:tcPr>
            <w:tcW w:w="2668"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其他应收款减值损失</w:t>
            </w:r>
          </w:p>
        </w:tc>
        <w:tc>
          <w:tcPr>
            <w:tcW w:w="1296"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9,070 </w:t>
            </w:r>
          </w:p>
        </w:tc>
        <w:tc>
          <w:tcPr>
            <w:tcW w:w="153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4.78 </w:t>
            </w:r>
          </w:p>
        </w:tc>
        <w:tc>
          <w:tcPr>
            <w:tcW w:w="130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724 </w:t>
            </w:r>
          </w:p>
        </w:tc>
        <w:tc>
          <w:tcPr>
            <w:tcW w:w="149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0.13 </w:t>
            </w:r>
          </w:p>
        </w:tc>
      </w:tr>
      <w:tr w:rsidR="00AD5BB5">
        <w:tc>
          <w:tcPr>
            <w:tcW w:w="2668"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合计</w:t>
            </w:r>
          </w:p>
        </w:tc>
        <w:tc>
          <w:tcPr>
            <w:tcW w:w="1296"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189,823 </w:t>
            </w:r>
          </w:p>
        </w:tc>
        <w:tc>
          <w:tcPr>
            <w:tcW w:w="153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100</w:t>
            </w:r>
            <w:r>
              <w:rPr>
                <w:rFonts w:ascii="Times New Roman" w:hAnsi="Times New Roman" w:cs="Times New Roman" w:hint="eastAsia"/>
                <w:kern w:val="0"/>
                <w:szCs w:val="21"/>
                <w:lang w:bidi="ar"/>
              </w:rPr>
              <w:t>.00</w:t>
            </w:r>
            <w:r>
              <w:rPr>
                <w:rFonts w:ascii="Times New Roman" w:hAnsi="Times New Roman" w:cs="Times New Roman"/>
                <w:kern w:val="0"/>
                <w:szCs w:val="21"/>
                <w:lang w:bidi="ar"/>
              </w:rPr>
              <w:t xml:space="preserve"> </w:t>
            </w:r>
          </w:p>
        </w:tc>
        <w:tc>
          <w:tcPr>
            <w:tcW w:w="130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563,031 </w:t>
            </w:r>
          </w:p>
        </w:tc>
        <w:tc>
          <w:tcPr>
            <w:tcW w:w="149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100</w:t>
            </w:r>
            <w:r>
              <w:rPr>
                <w:rFonts w:ascii="Times New Roman" w:hAnsi="Times New Roman" w:cs="Times New Roman" w:hint="eastAsia"/>
                <w:kern w:val="0"/>
                <w:szCs w:val="21"/>
                <w:lang w:bidi="ar"/>
              </w:rPr>
              <w:t>.00</w:t>
            </w:r>
            <w:r>
              <w:rPr>
                <w:rFonts w:ascii="Times New Roman" w:hAnsi="Times New Roman" w:cs="Times New Roman"/>
                <w:kern w:val="0"/>
                <w:szCs w:val="21"/>
                <w:lang w:bidi="ar"/>
              </w:rPr>
              <w:t xml:space="preserve"> </w:t>
            </w:r>
          </w:p>
        </w:tc>
      </w:tr>
    </w:tbl>
    <w:p w:rsidR="00AD5BB5" w:rsidRDefault="00AD5BB5">
      <w:pPr>
        <w:pStyle w:val="Default"/>
        <w:rPr>
          <w:rFonts w:ascii="Times New Roman" w:eastAsia="宋体"/>
          <w:color w:val="auto"/>
        </w:rPr>
      </w:pPr>
    </w:p>
    <w:p w:rsidR="00AD5BB5" w:rsidRDefault="00F87FF6">
      <w:pPr>
        <w:pStyle w:val="a1"/>
        <w:numPr>
          <w:ilvl w:val="255"/>
          <w:numId w:val="0"/>
        </w:numPr>
        <w:spacing w:line="360" w:lineRule="auto"/>
        <w:rPr>
          <w:rFonts w:ascii="Times New Roman" w:hAnsi="Times New Roman" w:cs="Times New Roman"/>
        </w:rPr>
      </w:pPr>
      <w:r>
        <w:rPr>
          <w:rFonts w:ascii="Times New Roman" w:hAnsi="Times New Roman" w:cs="Times New Roman" w:hint="eastAsia"/>
        </w:rPr>
        <w:t>8</w:t>
      </w:r>
      <w:r>
        <w:rPr>
          <w:rFonts w:ascii="Times New Roman" w:hAnsi="Times New Roman" w:cs="Times New Roman" w:hint="eastAsia"/>
        </w:rPr>
        <w:t>、</w:t>
      </w:r>
      <w:r>
        <w:rPr>
          <w:rFonts w:ascii="Times New Roman" w:hAnsi="Times New Roman" w:cs="Times New Roman"/>
        </w:rPr>
        <w:t>所得税费用</w:t>
      </w:r>
    </w:p>
    <w:p w:rsidR="00AD5BB5" w:rsidRDefault="00F87FF6">
      <w:pPr>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单位：人民币千元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868"/>
        <w:gridCol w:w="2902"/>
      </w:tblGrid>
      <w:tr w:rsidR="00AD5BB5">
        <w:tc>
          <w:tcPr>
            <w:tcW w:w="253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b/>
                <w:bCs/>
              </w:rPr>
            </w:pPr>
            <w:r>
              <w:rPr>
                <w:rFonts w:ascii="Times New Roman" w:hAnsi="Times New Roman" w:cs="宋体" w:hint="eastAsia"/>
                <w:b/>
                <w:bCs/>
              </w:rPr>
              <w:t>项目</w:t>
            </w:r>
          </w:p>
        </w:tc>
        <w:tc>
          <w:tcPr>
            <w:tcW w:w="2868"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b/>
                <w:bCs/>
              </w:rPr>
            </w:pPr>
            <w:r>
              <w:rPr>
                <w:rFonts w:ascii="Times New Roman" w:hAnsi="Times New Roman" w:cs="宋体" w:hint="eastAsia"/>
                <w:b/>
                <w:bCs/>
              </w:rPr>
              <w:t>2023</w:t>
            </w:r>
            <w:r>
              <w:rPr>
                <w:rFonts w:ascii="Times New Roman" w:hAnsi="Times New Roman" w:cs="宋体" w:hint="eastAsia"/>
                <w:b/>
                <w:bCs/>
              </w:rPr>
              <w:t>年</w:t>
            </w:r>
            <w:r>
              <w:rPr>
                <w:rFonts w:ascii="Times New Roman" w:hAnsi="Times New Roman" w:cs="宋体" w:hint="eastAsia"/>
                <w:b/>
                <w:bCs/>
              </w:rPr>
              <w:t>1-6</w:t>
            </w:r>
            <w:r>
              <w:rPr>
                <w:rFonts w:ascii="Times New Roman" w:hAnsi="Times New Roman" w:cs="宋体" w:hint="eastAsia"/>
                <w:b/>
                <w:bCs/>
              </w:rPr>
              <w:t>月</w:t>
            </w:r>
          </w:p>
        </w:tc>
        <w:tc>
          <w:tcPr>
            <w:tcW w:w="290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b/>
                <w:bCs/>
              </w:rPr>
            </w:pPr>
            <w:r>
              <w:rPr>
                <w:rFonts w:ascii="Times New Roman" w:hAnsi="Times New Roman" w:cs="宋体" w:hint="eastAsia"/>
                <w:b/>
                <w:bCs/>
              </w:rPr>
              <w:t>2022</w:t>
            </w:r>
            <w:r>
              <w:rPr>
                <w:rFonts w:ascii="Times New Roman" w:hAnsi="Times New Roman" w:cs="宋体" w:hint="eastAsia"/>
                <w:b/>
                <w:bCs/>
              </w:rPr>
              <w:t>年</w:t>
            </w:r>
            <w:r>
              <w:rPr>
                <w:rFonts w:ascii="Times New Roman" w:hAnsi="Times New Roman" w:cs="宋体" w:hint="eastAsia"/>
                <w:b/>
                <w:bCs/>
              </w:rPr>
              <w:t>1-6</w:t>
            </w:r>
            <w:r>
              <w:rPr>
                <w:rFonts w:ascii="Times New Roman" w:hAnsi="Times New Roman" w:cs="宋体" w:hint="eastAsia"/>
                <w:b/>
                <w:bCs/>
              </w:rPr>
              <w:t>月</w:t>
            </w:r>
          </w:p>
        </w:tc>
      </w:tr>
      <w:tr w:rsidR="00AD5BB5">
        <w:tc>
          <w:tcPr>
            <w:tcW w:w="253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left"/>
              <w:textAlignment w:val="center"/>
              <w:rPr>
                <w:rFonts w:ascii="Times New Roman" w:hAnsi="Times New Roman" w:cs="宋体"/>
                <w:kern w:val="0"/>
                <w:szCs w:val="21"/>
                <w:lang w:bidi="ar"/>
              </w:rPr>
            </w:pPr>
            <w:r>
              <w:rPr>
                <w:rFonts w:ascii="Times New Roman" w:hAnsi="Times New Roman" w:cs="宋体" w:hint="eastAsia"/>
                <w:kern w:val="0"/>
                <w:szCs w:val="21"/>
                <w:lang w:bidi="ar"/>
              </w:rPr>
              <w:t>当期所得税费用</w:t>
            </w:r>
          </w:p>
        </w:tc>
        <w:tc>
          <w:tcPr>
            <w:tcW w:w="2868"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hint="eastAsia"/>
                <w:kern w:val="0"/>
                <w:szCs w:val="21"/>
                <w:lang w:bidi="ar"/>
              </w:rPr>
              <w:t xml:space="preserve"> 53,977 </w:t>
            </w:r>
          </w:p>
        </w:tc>
        <w:tc>
          <w:tcPr>
            <w:tcW w:w="290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hint="eastAsia"/>
                <w:kern w:val="0"/>
                <w:szCs w:val="21"/>
                <w:lang w:bidi="ar"/>
              </w:rPr>
              <w:t xml:space="preserve"> 218,543 </w:t>
            </w:r>
          </w:p>
        </w:tc>
      </w:tr>
      <w:tr w:rsidR="00AD5BB5">
        <w:tc>
          <w:tcPr>
            <w:tcW w:w="253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left"/>
              <w:textAlignment w:val="center"/>
              <w:rPr>
                <w:rFonts w:ascii="Times New Roman" w:hAnsi="Times New Roman" w:cs="宋体"/>
                <w:kern w:val="0"/>
                <w:szCs w:val="21"/>
                <w:lang w:bidi="ar"/>
              </w:rPr>
            </w:pPr>
            <w:r>
              <w:rPr>
                <w:rFonts w:ascii="Times New Roman" w:hAnsi="Times New Roman" w:cs="宋体" w:hint="eastAsia"/>
                <w:kern w:val="0"/>
                <w:szCs w:val="21"/>
                <w:lang w:bidi="ar"/>
              </w:rPr>
              <w:t>递延所得税费用</w:t>
            </w:r>
          </w:p>
        </w:tc>
        <w:tc>
          <w:tcPr>
            <w:tcW w:w="2868"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hint="eastAsia"/>
                <w:kern w:val="0"/>
                <w:szCs w:val="21"/>
                <w:lang w:bidi="ar"/>
              </w:rPr>
              <w:t xml:space="preserve"> 118,348 </w:t>
            </w:r>
          </w:p>
        </w:tc>
        <w:tc>
          <w:tcPr>
            <w:tcW w:w="290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hint="eastAsia"/>
                <w:kern w:val="0"/>
                <w:szCs w:val="21"/>
                <w:lang w:bidi="ar"/>
              </w:rPr>
              <w:t xml:space="preserve"> -177,815 </w:t>
            </w:r>
          </w:p>
        </w:tc>
      </w:tr>
      <w:tr w:rsidR="00AD5BB5">
        <w:tc>
          <w:tcPr>
            <w:tcW w:w="253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left"/>
              <w:textAlignment w:val="center"/>
              <w:rPr>
                <w:rFonts w:ascii="Times New Roman" w:hAnsi="Times New Roman" w:cs="宋体"/>
                <w:kern w:val="0"/>
                <w:szCs w:val="21"/>
                <w:lang w:bidi="ar"/>
              </w:rPr>
            </w:pPr>
            <w:r>
              <w:rPr>
                <w:rFonts w:ascii="Times New Roman" w:hAnsi="Times New Roman" w:cs="宋体" w:hint="eastAsia"/>
                <w:kern w:val="0"/>
                <w:szCs w:val="21"/>
                <w:lang w:bidi="ar"/>
              </w:rPr>
              <w:t>合计</w:t>
            </w:r>
          </w:p>
        </w:tc>
        <w:tc>
          <w:tcPr>
            <w:tcW w:w="2868"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hint="eastAsia"/>
                <w:kern w:val="0"/>
                <w:szCs w:val="21"/>
                <w:lang w:bidi="ar"/>
              </w:rPr>
              <w:t xml:space="preserve"> 172,325 </w:t>
            </w:r>
          </w:p>
        </w:tc>
        <w:tc>
          <w:tcPr>
            <w:tcW w:w="290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kern w:val="0"/>
                <w:szCs w:val="21"/>
                <w:lang w:bidi="ar"/>
              </w:rPr>
            </w:pPr>
            <w:r>
              <w:rPr>
                <w:rFonts w:ascii="Times New Roman" w:hAnsi="Times New Roman" w:cs="Times New Roman" w:hint="eastAsia"/>
                <w:kern w:val="0"/>
                <w:szCs w:val="21"/>
                <w:lang w:bidi="ar"/>
              </w:rPr>
              <w:t xml:space="preserve"> 40,728 </w:t>
            </w:r>
          </w:p>
        </w:tc>
      </w:tr>
    </w:tbl>
    <w:p w:rsidR="00AD5BB5" w:rsidRDefault="00AD5BB5">
      <w:pPr>
        <w:widowControl/>
        <w:jc w:val="right"/>
        <w:textAlignment w:val="center"/>
        <w:rPr>
          <w:rFonts w:ascii="Times New Roman" w:hAnsi="Times New Roman" w:cs="Times New Roman"/>
          <w:kern w:val="0"/>
          <w:szCs w:val="21"/>
          <w:lang w:bidi="ar"/>
        </w:rPr>
      </w:pPr>
    </w:p>
    <w:p w:rsidR="00AD5BB5" w:rsidRDefault="00AD5BB5">
      <w:pPr>
        <w:pStyle w:val="aff2"/>
        <w:widowControl/>
        <w:numPr>
          <w:ilvl w:val="0"/>
          <w:numId w:val="3"/>
        </w:numPr>
        <w:ind w:firstLineChars="0"/>
        <w:jc w:val="left"/>
        <w:rPr>
          <w:rFonts w:ascii="Times New Roman" w:hAnsi="Times New Roman" w:cs="宋体"/>
          <w:b/>
          <w:vanish/>
          <w:kern w:val="0"/>
        </w:rPr>
      </w:pPr>
    </w:p>
    <w:p w:rsidR="00AD5BB5" w:rsidRDefault="00F87FF6">
      <w:pPr>
        <w:pStyle w:val="3"/>
        <w:spacing w:line="360" w:lineRule="auto"/>
        <w:ind w:leftChars="-175" w:left="-368" w:firstLineChars="300" w:firstLine="632"/>
        <w:rPr>
          <w:rFonts w:ascii="Times New Roman" w:hAnsi="Times New Roman" w:cs="Times New Roman"/>
          <w:bCs/>
          <w:kern w:val="0"/>
        </w:rPr>
      </w:pPr>
      <w:r>
        <w:rPr>
          <w:rFonts w:ascii="Times New Roman" w:hAnsi="Times New Roman" w:cs="Times New Roman"/>
        </w:rPr>
        <w:t>（二）</w:t>
      </w:r>
      <w:r>
        <w:rPr>
          <w:rFonts w:ascii="Times New Roman" w:hAnsi="Times New Roman" w:cs="Times New Roman"/>
          <w:bCs/>
          <w:kern w:val="0"/>
        </w:rPr>
        <w:t>资产负债表分析</w:t>
      </w:r>
    </w:p>
    <w:p w:rsidR="00AD5BB5" w:rsidRDefault="00F87FF6">
      <w:pPr>
        <w:spacing w:line="360" w:lineRule="auto"/>
        <w:ind w:right="6" w:firstLineChars="200" w:firstLine="420"/>
        <w:rPr>
          <w:rFonts w:ascii="Times New Roman" w:hAnsi="Times New Roman" w:cs="Times New Roman"/>
        </w:rPr>
      </w:pPr>
      <w:r>
        <w:rPr>
          <w:rFonts w:ascii="Times New Roman" w:hAnsi="Times New Roman" w:cs="宋体" w:hint="eastAsia"/>
        </w:rPr>
        <w:t>截至报告期末，公司资产总额</w:t>
      </w:r>
      <w:r>
        <w:rPr>
          <w:rFonts w:ascii="Times New Roman" w:hAnsi="Times New Roman" w:cs="宋体" w:hint="eastAsia"/>
        </w:rPr>
        <w:t>3,529.16</w:t>
      </w:r>
      <w:r>
        <w:rPr>
          <w:rFonts w:ascii="Times New Roman" w:hAnsi="Times New Roman" w:cs="宋体" w:hint="eastAsia"/>
        </w:rPr>
        <w:t>亿元，较上年末下降</w:t>
      </w:r>
      <w:r>
        <w:rPr>
          <w:rFonts w:ascii="Times New Roman" w:hAnsi="Times New Roman" w:cs="宋体" w:hint="eastAsia"/>
        </w:rPr>
        <w:t>4.93%</w:t>
      </w:r>
      <w:r>
        <w:rPr>
          <w:rFonts w:ascii="Times New Roman" w:hAnsi="Times New Roman" w:cs="宋体" w:hint="eastAsia"/>
        </w:rPr>
        <w:t>，本公司持续推进经营转型变革，逐步向“结构调整优先于规模增长”的高质量发展方向前进；负债总额</w:t>
      </w:r>
      <w:r>
        <w:rPr>
          <w:rFonts w:ascii="Times New Roman" w:hAnsi="Times New Roman" w:cs="宋体" w:hint="eastAsia"/>
        </w:rPr>
        <w:t>3,271.79</w:t>
      </w:r>
      <w:r>
        <w:rPr>
          <w:rFonts w:ascii="Times New Roman" w:hAnsi="Times New Roman" w:cs="宋体" w:hint="eastAsia"/>
        </w:rPr>
        <w:t>亿元，较上年末下降</w:t>
      </w:r>
      <w:r>
        <w:rPr>
          <w:rFonts w:ascii="Times New Roman" w:hAnsi="Times New Roman" w:cs="宋体" w:hint="eastAsia"/>
        </w:rPr>
        <w:t>5.57%</w:t>
      </w:r>
      <w:r>
        <w:rPr>
          <w:rFonts w:ascii="Times New Roman" w:hAnsi="Times New Roman" w:cs="宋体" w:hint="eastAsia"/>
        </w:rPr>
        <w:t>；股东权益</w:t>
      </w:r>
      <w:r>
        <w:rPr>
          <w:rFonts w:ascii="Times New Roman" w:hAnsi="Times New Roman" w:cs="宋体" w:hint="eastAsia"/>
        </w:rPr>
        <w:t>257.37</w:t>
      </w:r>
      <w:r>
        <w:rPr>
          <w:rFonts w:ascii="Times New Roman" w:hAnsi="Times New Roman" w:cs="宋体" w:hint="eastAsia"/>
        </w:rPr>
        <w:t>亿元，较上年末增长</w:t>
      </w:r>
      <w:r>
        <w:rPr>
          <w:rFonts w:ascii="Times New Roman" w:hAnsi="Times New Roman" w:cs="宋体" w:hint="eastAsia"/>
        </w:rPr>
        <w:t>4.01%</w:t>
      </w:r>
      <w:r>
        <w:rPr>
          <w:rFonts w:ascii="Times New Roman" w:hAnsi="Times New Roman" w:cs="宋体" w:hint="eastAsia"/>
        </w:rPr>
        <w:t>。主要资产负债情况见下表：</w:t>
      </w:r>
    </w:p>
    <w:p w:rsidR="00AD5BB5" w:rsidRDefault="00F87FF6">
      <w:pPr>
        <w:spacing w:line="360" w:lineRule="exact"/>
        <w:ind w:right="5"/>
        <w:jc w:val="right"/>
        <w:rPr>
          <w:rFonts w:ascii="Times New Roman" w:hAnsi="Times New Roman" w:cs="Times New Roman"/>
        </w:rPr>
      </w:pPr>
      <w:r>
        <w:rPr>
          <w:rFonts w:ascii="Times New Roman" w:hAnsi="Times New Roman" w:cs="Times New Roman"/>
        </w:rPr>
        <w:t>单位</w:t>
      </w:r>
      <w:r>
        <w:rPr>
          <w:rFonts w:ascii="Times New Roman" w:hAnsi="Times New Roman" w:cs="Times New Roman"/>
        </w:rPr>
        <w:t>:</w:t>
      </w:r>
      <w:r>
        <w:rPr>
          <w:rFonts w:ascii="Times New Roman" w:hAnsi="Times New Roman" w:cs="Times New Roman"/>
        </w:rPr>
        <w:t>人民币千元</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952"/>
        <w:gridCol w:w="1954"/>
        <w:gridCol w:w="1446"/>
      </w:tblGrid>
      <w:tr w:rsidR="00AD5BB5">
        <w:tc>
          <w:tcPr>
            <w:tcW w:w="177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b/>
                <w:bCs/>
              </w:rPr>
            </w:pPr>
            <w:r>
              <w:rPr>
                <w:rFonts w:ascii="Times New Roman" w:hAnsi="Times New Roman" w:cs="宋体" w:hint="eastAsia"/>
                <w:b/>
                <w:bCs/>
              </w:rPr>
              <w:t>项目</w:t>
            </w:r>
          </w:p>
        </w:tc>
        <w:tc>
          <w:tcPr>
            <w:tcW w:w="117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center"/>
              <w:rPr>
                <w:rFonts w:ascii="Times New Roman" w:hAnsi="Times New Roman" w:cs="宋体"/>
                <w:b/>
                <w:bCs/>
              </w:rPr>
            </w:pPr>
            <w:r>
              <w:rPr>
                <w:rFonts w:ascii="Times New Roman" w:hAnsi="Times New Roman" w:cs="宋体" w:hint="eastAsia"/>
                <w:b/>
                <w:bCs/>
              </w:rPr>
              <w:t>2023</w:t>
            </w:r>
            <w:r>
              <w:rPr>
                <w:rFonts w:ascii="Times New Roman" w:hAnsi="Times New Roman" w:cs="宋体" w:hint="eastAsia"/>
                <w:b/>
                <w:bCs/>
              </w:rPr>
              <w:t>年</w:t>
            </w:r>
            <w:r>
              <w:rPr>
                <w:rFonts w:ascii="Times New Roman" w:hAnsi="Times New Roman" w:cs="宋体" w:hint="eastAsia"/>
                <w:b/>
                <w:bCs/>
              </w:rPr>
              <w:t>6</w:t>
            </w:r>
            <w:r>
              <w:rPr>
                <w:rFonts w:ascii="Times New Roman" w:hAnsi="Times New Roman" w:cs="宋体" w:hint="eastAsia"/>
                <w:b/>
                <w:bCs/>
              </w:rPr>
              <w:t>月</w:t>
            </w:r>
            <w:r>
              <w:rPr>
                <w:rFonts w:ascii="Times New Roman" w:hAnsi="Times New Roman" w:cs="宋体" w:hint="eastAsia"/>
                <w:b/>
                <w:bCs/>
              </w:rPr>
              <w:t>30</w:t>
            </w:r>
            <w:r>
              <w:rPr>
                <w:rFonts w:ascii="Times New Roman" w:hAnsi="Times New Roman" w:cs="宋体" w:hint="eastAsia"/>
                <w:b/>
                <w:bCs/>
              </w:rPr>
              <w:t>日</w:t>
            </w:r>
          </w:p>
        </w:tc>
        <w:tc>
          <w:tcPr>
            <w:tcW w:w="117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center"/>
              <w:rPr>
                <w:rFonts w:ascii="Times New Roman" w:hAnsi="Times New Roman" w:cs="宋体"/>
                <w:b/>
                <w:bCs/>
              </w:rPr>
            </w:pPr>
            <w:r>
              <w:rPr>
                <w:rFonts w:ascii="Times New Roman" w:hAnsi="Times New Roman" w:cs="宋体" w:hint="eastAsia"/>
                <w:b/>
                <w:bCs/>
              </w:rPr>
              <w:t>2022</w:t>
            </w:r>
            <w:r>
              <w:rPr>
                <w:rFonts w:ascii="Times New Roman" w:hAnsi="Times New Roman" w:cs="宋体" w:hint="eastAsia"/>
                <w:b/>
                <w:bCs/>
              </w:rPr>
              <w:t>年</w:t>
            </w:r>
            <w:r>
              <w:rPr>
                <w:rFonts w:ascii="Times New Roman" w:hAnsi="Times New Roman" w:cs="宋体" w:hint="eastAsia"/>
                <w:b/>
                <w:bCs/>
              </w:rPr>
              <w:t>12</w:t>
            </w:r>
            <w:r>
              <w:rPr>
                <w:rFonts w:ascii="Times New Roman" w:hAnsi="Times New Roman" w:cs="宋体" w:hint="eastAsia"/>
                <w:b/>
                <w:bCs/>
              </w:rPr>
              <w:t>月</w:t>
            </w:r>
            <w:r>
              <w:rPr>
                <w:rFonts w:ascii="Times New Roman" w:hAnsi="Times New Roman" w:cs="宋体" w:hint="eastAsia"/>
                <w:b/>
                <w:bCs/>
              </w:rPr>
              <w:t>31</w:t>
            </w:r>
            <w:r>
              <w:rPr>
                <w:rFonts w:ascii="Times New Roman" w:hAnsi="Times New Roman" w:cs="宋体" w:hint="eastAsia"/>
                <w:b/>
                <w:bCs/>
              </w:rPr>
              <w:t>日</w:t>
            </w:r>
          </w:p>
        </w:tc>
        <w:tc>
          <w:tcPr>
            <w:tcW w:w="87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center"/>
              <w:rPr>
                <w:rFonts w:ascii="Times New Roman" w:hAnsi="Times New Roman" w:cs="宋体"/>
                <w:b/>
                <w:bCs/>
              </w:rPr>
            </w:pPr>
            <w:r>
              <w:rPr>
                <w:rFonts w:ascii="Times New Roman" w:hAnsi="Times New Roman" w:cs="宋体" w:hint="eastAsia"/>
                <w:b/>
                <w:bCs/>
              </w:rPr>
              <w:t>本报告</w:t>
            </w:r>
            <w:proofErr w:type="gramStart"/>
            <w:r>
              <w:rPr>
                <w:rFonts w:ascii="Times New Roman" w:hAnsi="Times New Roman" w:cs="宋体" w:hint="eastAsia"/>
                <w:b/>
                <w:bCs/>
              </w:rPr>
              <w:t>期末较期初</w:t>
            </w:r>
            <w:proofErr w:type="gramEnd"/>
            <w:r>
              <w:rPr>
                <w:rFonts w:ascii="Times New Roman" w:hAnsi="Times New Roman" w:cs="宋体" w:hint="eastAsia"/>
                <w:b/>
                <w:bCs/>
              </w:rPr>
              <w:t>增减</w:t>
            </w:r>
            <w:r>
              <w:rPr>
                <w:rFonts w:ascii="Times New Roman" w:hAnsi="Times New Roman" w:cs="宋体" w:hint="eastAsia"/>
                <w:b/>
                <w:bCs/>
              </w:rPr>
              <w:t>(%)</w:t>
            </w:r>
          </w:p>
        </w:tc>
      </w:tr>
      <w:tr w:rsidR="00AD5BB5">
        <w:tc>
          <w:tcPr>
            <w:tcW w:w="177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strike/>
              </w:rPr>
            </w:pPr>
            <w:r>
              <w:rPr>
                <w:rFonts w:ascii="Times New Roman" w:hAnsi="Times New Roman" w:cs="宋体" w:hint="eastAsia"/>
              </w:rPr>
              <w:t>现金及存放中央银行款项</w:t>
            </w:r>
          </w:p>
        </w:tc>
        <w:tc>
          <w:tcPr>
            <w:tcW w:w="117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21,536,485 </w:t>
            </w:r>
          </w:p>
        </w:tc>
        <w:tc>
          <w:tcPr>
            <w:tcW w:w="117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29,808,458 </w:t>
            </w:r>
          </w:p>
        </w:tc>
        <w:tc>
          <w:tcPr>
            <w:tcW w:w="87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-27.75 </w:t>
            </w:r>
          </w:p>
        </w:tc>
      </w:tr>
      <w:tr w:rsidR="00AD5BB5">
        <w:tc>
          <w:tcPr>
            <w:tcW w:w="177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存放同业及其他金融机构款项</w:t>
            </w:r>
          </w:p>
        </w:tc>
        <w:tc>
          <w:tcPr>
            <w:tcW w:w="117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6,444,699 </w:t>
            </w:r>
          </w:p>
        </w:tc>
        <w:tc>
          <w:tcPr>
            <w:tcW w:w="117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10,107,661 </w:t>
            </w:r>
          </w:p>
        </w:tc>
        <w:tc>
          <w:tcPr>
            <w:tcW w:w="87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-36.24 </w:t>
            </w:r>
          </w:p>
        </w:tc>
      </w:tr>
      <w:tr w:rsidR="00AD5BB5">
        <w:tc>
          <w:tcPr>
            <w:tcW w:w="177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拆出资金</w:t>
            </w:r>
          </w:p>
        </w:tc>
        <w:tc>
          <w:tcPr>
            <w:tcW w:w="117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17,675,663 </w:t>
            </w:r>
          </w:p>
        </w:tc>
        <w:tc>
          <w:tcPr>
            <w:tcW w:w="117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13,869,537 </w:t>
            </w:r>
          </w:p>
        </w:tc>
        <w:tc>
          <w:tcPr>
            <w:tcW w:w="87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27.44 </w:t>
            </w:r>
          </w:p>
        </w:tc>
      </w:tr>
      <w:tr w:rsidR="00AD5BB5">
        <w:tc>
          <w:tcPr>
            <w:tcW w:w="177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lastRenderedPageBreak/>
              <w:t>买入返售金融资产</w:t>
            </w:r>
          </w:p>
        </w:tc>
        <w:tc>
          <w:tcPr>
            <w:tcW w:w="117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1,712,499 </w:t>
            </w:r>
          </w:p>
        </w:tc>
        <w:tc>
          <w:tcPr>
            <w:tcW w:w="117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16,079,751 </w:t>
            </w:r>
          </w:p>
        </w:tc>
        <w:tc>
          <w:tcPr>
            <w:tcW w:w="87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-89.35 </w:t>
            </w:r>
          </w:p>
        </w:tc>
      </w:tr>
      <w:tr w:rsidR="00AD5BB5">
        <w:tc>
          <w:tcPr>
            <w:tcW w:w="177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发放贷款及垫款</w:t>
            </w:r>
          </w:p>
        </w:tc>
        <w:tc>
          <w:tcPr>
            <w:tcW w:w="117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195,295,224 </w:t>
            </w:r>
          </w:p>
        </w:tc>
        <w:tc>
          <w:tcPr>
            <w:tcW w:w="117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194,155,098 </w:t>
            </w:r>
          </w:p>
        </w:tc>
        <w:tc>
          <w:tcPr>
            <w:tcW w:w="87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0.59 </w:t>
            </w:r>
          </w:p>
        </w:tc>
      </w:tr>
      <w:tr w:rsidR="00AD5BB5">
        <w:tc>
          <w:tcPr>
            <w:tcW w:w="177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金融投资</w:t>
            </w:r>
          </w:p>
        </w:tc>
        <w:tc>
          <w:tcPr>
            <w:tcW w:w="117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103,228,663 </w:t>
            </w:r>
          </w:p>
        </w:tc>
        <w:tc>
          <w:tcPr>
            <w:tcW w:w="117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100,170,530 </w:t>
            </w:r>
          </w:p>
        </w:tc>
        <w:tc>
          <w:tcPr>
            <w:tcW w:w="87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3.05 </w:t>
            </w:r>
          </w:p>
        </w:tc>
      </w:tr>
      <w:tr w:rsidR="00AD5BB5">
        <w:tc>
          <w:tcPr>
            <w:tcW w:w="177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其他资产</w:t>
            </w:r>
          </w:p>
        </w:tc>
        <w:tc>
          <w:tcPr>
            <w:tcW w:w="117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7,023,081 </w:t>
            </w:r>
          </w:p>
        </w:tc>
        <w:tc>
          <w:tcPr>
            <w:tcW w:w="117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7,016,985 </w:t>
            </w:r>
          </w:p>
        </w:tc>
        <w:tc>
          <w:tcPr>
            <w:tcW w:w="87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0.09 </w:t>
            </w:r>
          </w:p>
        </w:tc>
      </w:tr>
      <w:tr w:rsidR="00AD5BB5">
        <w:tc>
          <w:tcPr>
            <w:tcW w:w="177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b/>
                <w:bCs/>
              </w:rPr>
              <w:t>资产总计</w:t>
            </w:r>
          </w:p>
        </w:tc>
        <w:tc>
          <w:tcPr>
            <w:tcW w:w="117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352,916,314 </w:t>
            </w:r>
          </w:p>
        </w:tc>
        <w:tc>
          <w:tcPr>
            <w:tcW w:w="117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371,208,019 </w:t>
            </w:r>
          </w:p>
        </w:tc>
        <w:tc>
          <w:tcPr>
            <w:tcW w:w="87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-4.93 </w:t>
            </w:r>
          </w:p>
        </w:tc>
      </w:tr>
      <w:tr w:rsidR="00AD5BB5">
        <w:tc>
          <w:tcPr>
            <w:tcW w:w="177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向中央银行借款</w:t>
            </w:r>
          </w:p>
        </w:tc>
        <w:tc>
          <w:tcPr>
            <w:tcW w:w="117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8,399,275 </w:t>
            </w:r>
          </w:p>
        </w:tc>
        <w:tc>
          <w:tcPr>
            <w:tcW w:w="117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8,935,700 </w:t>
            </w:r>
          </w:p>
        </w:tc>
        <w:tc>
          <w:tcPr>
            <w:tcW w:w="87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-6.00 </w:t>
            </w:r>
          </w:p>
        </w:tc>
      </w:tr>
      <w:tr w:rsidR="00AD5BB5">
        <w:tc>
          <w:tcPr>
            <w:tcW w:w="177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同业及其他金融机构存放款项</w:t>
            </w:r>
          </w:p>
        </w:tc>
        <w:tc>
          <w:tcPr>
            <w:tcW w:w="117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10,152,382 </w:t>
            </w:r>
          </w:p>
        </w:tc>
        <w:tc>
          <w:tcPr>
            <w:tcW w:w="117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13,426,022 </w:t>
            </w:r>
          </w:p>
        </w:tc>
        <w:tc>
          <w:tcPr>
            <w:tcW w:w="87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-24.38 </w:t>
            </w:r>
          </w:p>
        </w:tc>
      </w:tr>
      <w:tr w:rsidR="00AD5BB5">
        <w:tc>
          <w:tcPr>
            <w:tcW w:w="177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拆入资金</w:t>
            </w:r>
          </w:p>
        </w:tc>
        <w:tc>
          <w:tcPr>
            <w:tcW w:w="117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24,053,822 </w:t>
            </w:r>
          </w:p>
        </w:tc>
        <w:tc>
          <w:tcPr>
            <w:tcW w:w="117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22,281,968 </w:t>
            </w:r>
          </w:p>
        </w:tc>
        <w:tc>
          <w:tcPr>
            <w:tcW w:w="87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7.95 </w:t>
            </w:r>
          </w:p>
        </w:tc>
      </w:tr>
      <w:tr w:rsidR="00AD5BB5">
        <w:tc>
          <w:tcPr>
            <w:tcW w:w="177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卖出回购金融资产</w:t>
            </w:r>
          </w:p>
        </w:tc>
        <w:tc>
          <w:tcPr>
            <w:tcW w:w="117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13,282,819 </w:t>
            </w:r>
          </w:p>
        </w:tc>
        <w:tc>
          <w:tcPr>
            <w:tcW w:w="117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19,851,821 </w:t>
            </w:r>
          </w:p>
        </w:tc>
        <w:tc>
          <w:tcPr>
            <w:tcW w:w="87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-33.09 </w:t>
            </w:r>
          </w:p>
        </w:tc>
      </w:tr>
      <w:tr w:rsidR="00AD5BB5">
        <w:tc>
          <w:tcPr>
            <w:tcW w:w="177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吸收存款</w:t>
            </w:r>
          </w:p>
        </w:tc>
        <w:tc>
          <w:tcPr>
            <w:tcW w:w="117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187,645,660 </w:t>
            </w:r>
          </w:p>
        </w:tc>
        <w:tc>
          <w:tcPr>
            <w:tcW w:w="117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207,014,864 </w:t>
            </w:r>
          </w:p>
        </w:tc>
        <w:tc>
          <w:tcPr>
            <w:tcW w:w="87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-9.36 </w:t>
            </w:r>
          </w:p>
        </w:tc>
      </w:tr>
      <w:tr w:rsidR="00AD5BB5">
        <w:tc>
          <w:tcPr>
            <w:tcW w:w="177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应付债券</w:t>
            </w:r>
          </w:p>
        </w:tc>
        <w:tc>
          <w:tcPr>
            <w:tcW w:w="117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77,204,487 </w:t>
            </w:r>
          </w:p>
        </w:tc>
        <w:tc>
          <w:tcPr>
            <w:tcW w:w="117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69,439,122 </w:t>
            </w:r>
          </w:p>
        </w:tc>
        <w:tc>
          <w:tcPr>
            <w:tcW w:w="87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11.18 </w:t>
            </w:r>
          </w:p>
        </w:tc>
      </w:tr>
      <w:tr w:rsidR="00AD5BB5">
        <w:tc>
          <w:tcPr>
            <w:tcW w:w="177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其他负债</w:t>
            </w:r>
          </w:p>
        </w:tc>
        <w:tc>
          <w:tcPr>
            <w:tcW w:w="117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6,440,625 </w:t>
            </w:r>
          </w:p>
        </w:tc>
        <w:tc>
          <w:tcPr>
            <w:tcW w:w="117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5,514,672 </w:t>
            </w:r>
          </w:p>
        </w:tc>
        <w:tc>
          <w:tcPr>
            <w:tcW w:w="87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16.79 </w:t>
            </w:r>
          </w:p>
        </w:tc>
      </w:tr>
      <w:tr w:rsidR="00AD5BB5">
        <w:tc>
          <w:tcPr>
            <w:tcW w:w="177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b/>
                <w:bCs/>
              </w:rPr>
              <w:t>负债总计</w:t>
            </w:r>
          </w:p>
        </w:tc>
        <w:tc>
          <w:tcPr>
            <w:tcW w:w="117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327,179,071 </w:t>
            </w:r>
          </w:p>
        </w:tc>
        <w:tc>
          <w:tcPr>
            <w:tcW w:w="117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346,464,169 </w:t>
            </w:r>
          </w:p>
        </w:tc>
        <w:tc>
          <w:tcPr>
            <w:tcW w:w="87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-5.57 </w:t>
            </w:r>
          </w:p>
        </w:tc>
      </w:tr>
      <w:tr w:rsidR="00AD5BB5">
        <w:tc>
          <w:tcPr>
            <w:tcW w:w="177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b/>
                <w:bCs/>
              </w:rPr>
            </w:pPr>
            <w:r>
              <w:rPr>
                <w:rFonts w:ascii="Times New Roman" w:hAnsi="Times New Roman" w:cs="宋体" w:hint="eastAsia"/>
                <w:b/>
                <w:bCs/>
              </w:rPr>
              <w:t>股东权益合计</w:t>
            </w:r>
          </w:p>
        </w:tc>
        <w:tc>
          <w:tcPr>
            <w:tcW w:w="117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25,737,243 </w:t>
            </w:r>
          </w:p>
        </w:tc>
        <w:tc>
          <w:tcPr>
            <w:tcW w:w="117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24,743,850 </w:t>
            </w:r>
          </w:p>
        </w:tc>
        <w:tc>
          <w:tcPr>
            <w:tcW w:w="87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4.01 </w:t>
            </w:r>
          </w:p>
        </w:tc>
      </w:tr>
      <w:tr w:rsidR="00AD5BB5">
        <w:tc>
          <w:tcPr>
            <w:tcW w:w="177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b/>
                <w:bCs/>
              </w:rPr>
            </w:pPr>
            <w:r>
              <w:rPr>
                <w:rFonts w:ascii="Times New Roman" w:hAnsi="Times New Roman" w:cs="宋体" w:hint="eastAsia"/>
                <w:b/>
                <w:bCs/>
              </w:rPr>
              <w:t>负债及股东权益总计</w:t>
            </w:r>
          </w:p>
        </w:tc>
        <w:tc>
          <w:tcPr>
            <w:tcW w:w="117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352,916,314 </w:t>
            </w:r>
          </w:p>
        </w:tc>
        <w:tc>
          <w:tcPr>
            <w:tcW w:w="117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371,208,019 </w:t>
            </w:r>
          </w:p>
        </w:tc>
        <w:tc>
          <w:tcPr>
            <w:tcW w:w="87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-4.93 </w:t>
            </w:r>
          </w:p>
        </w:tc>
      </w:tr>
    </w:tbl>
    <w:p w:rsidR="00AD5BB5" w:rsidRDefault="00F87FF6">
      <w:pPr>
        <w:spacing w:line="360" w:lineRule="auto"/>
        <w:rPr>
          <w:rFonts w:ascii="Times New Roman" w:hAnsi="Times New Roman" w:cs="宋体"/>
          <w:sz w:val="18"/>
          <w:szCs w:val="18"/>
        </w:rPr>
      </w:pPr>
      <w:r>
        <w:rPr>
          <w:rFonts w:ascii="Times New Roman" w:hAnsi="Times New Roman" w:cs="宋体" w:hint="eastAsia"/>
          <w:sz w:val="18"/>
          <w:szCs w:val="18"/>
        </w:rPr>
        <w:t>注：</w:t>
      </w:r>
      <w:r>
        <w:rPr>
          <w:rFonts w:ascii="Times New Roman" w:hAnsi="Times New Roman" w:cs="宋体" w:hint="eastAsia"/>
          <w:sz w:val="18"/>
          <w:szCs w:val="18"/>
        </w:rPr>
        <w:t>1</w:t>
      </w:r>
      <w:r>
        <w:rPr>
          <w:rFonts w:ascii="Times New Roman" w:hAnsi="Times New Roman" w:cs="宋体" w:hint="eastAsia"/>
          <w:sz w:val="18"/>
          <w:szCs w:val="18"/>
        </w:rPr>
        <w:t>、报告</w:t>
      </w:r>
      <w:proofErr w:type="gramStart"/>
      <w:r>
        <w:rPr>
          <w:rFonts w:ascii="Times New Roman" w:hAnsi="Times New Roman" w:cs="宋体" w:hint="eastAsia"/>
          <w:sz w:val="18"/>
          <w:szCs w:val="18"/>
        </w:rPr>
        <w:t>期其他</w:t>
      </w:r>
      <w:proofErr w:type="gramEnd"/>
      <w:r>
        <w:rPr>
          <w:rFonts w:ascii="Times New Roman" w:hAnsi="Times New Roman" w:cs="宋体" w:hint="eastAsia"/>
          <w:sz w:val="18"/>
          <w:szCs w:val="18"/>
        </w:rPr>
        <w:t>资产包括：衍生金融资产、投资性房地产、固定资产、在建工程、无形资产、递延所得税资产等。</w:t>
      </w:r>
    </w:p>
    <w:p w:rsidR="00AD5BB5" w:rsidRDefault="00F87FF6">
      <w:pPr>
        <w:spacing w:line="360" w:lineRule="auto"/>
        <w:ind w:firstLineChars="200" w:firstLine="360"/>
        <w:rPr>
          <w:rFonts w:ascii="Times New Roman" w:hAnsi="Times New Roman" w:cs="Times New Roman"/>
          <w:sz w:val="18"/>
          <w:szCs w:val="16"/>
        </w:rPr>
      </w:pPr>
      <w:r>
        <w:rPr>
          <w:rFonts w:ascii="Times New Roman" w:hAnsi="Times New Roman" w:cs="宋体" w:hint="eastAsia"/>
          <w:sz w:val="18"/>
          <w:szCs w:val="18"/>
        </w:rPr>
        <w:t>2</w:t>
      </w:r>
      <w:r>
        <w:rPr>
          <w:rFonts w:ascii="Times New Roman" w:hAnsi="Times New Roman" w:cs="宋体" w:hint="eastAsia"/>
          <w:sz w:val="18"/>
          <w:szCs w:val="18"/>
        </w:rPr>
        <w:t>、报告</w:t>
      </w:r>
      <w:proofErr w:type="gramStart"/>
      <w:r>
        <w:rPr>
          <w:rFonts w:ascii="Times New Roman" w:hAnsi="Times New Roman" w:cs="宋体" w:hint="eastAsia"/>
          <w:sz w:val="18"/>
          <w:szCs w:val="18"/>
        </w:rPr>
        <w:t>期其他</w:t>
      </w:r>
      <w:proofErr w:type="gramEnd"/>
      <w:r>
        <w:rPr>
          <w:rFonts w:ascii="Times New Roman" w:hAnsi="Times New Roman" w:cs="宋体" w:hint="eastAsia"/>
          <w:sz w:val="18"/>
          <w:szCs w:val="18"/>
        </w:rPr>
        <w:t>负债包括：交易性金融负债、衍生金融负债、应付职工薪酬、应交税费</w:t>
      </w:r>
      <w:r>
        <w:rPr>
          <w:rFonts w:ascii="Times New Roman" w:hAnsi="Times New Roman" w:cs="Times New Roman"/>
          <w:sz w:val="18"/>
          <w:szCs w:val="16"/>
        </w:rPr>
        <w:t>、预计负债等。</w:t>
      </w:r>
    </w:p>
    <w:p w:rsidR="00AD5BB5" w:rsidRDefault="00AD5BB5">
      <w:pPr>
        <w:spacing w:line="360" w:lineRule="auto"/>
        <w:ind w:firstLineChars="200" w:firstLine="360"/>
        <w:rPr>
          <w:rFonts w:ascii="Times New Roman" w:hAnsi="Times New Roman" w:cs="Times New Roman"/>
          <w:sz w:val="18"/>
          <w:szCs w:val="16"/>
        </w:rPr>
      </w:pPr>
    </w:p>
    <w:p w:rsidR="00AD5BB5" w:rsidRDefault="00F87FF6">
      <w:pPr>
        <w:pStyle w:val="4"/>
        <w:numPr>
          <w:ilvl w:val="0"/>
          <w:numId w:val="11"/>
        </w:numPr>
        <w:spacing w:line="360" w:lineRule="auto"/>
        <w:rPr>
          <w:rFonts w:ascii="Times New Roman" w:hAnsi="Times New Roman" w:cs="Times New Roman"/>
        </w:rPr>
      </w:pPr>
      <w:r>
        <w:rPr>
          <w:rFonts w:ascii="Times New Roman" w:hAnsi="Times New Roman" w:cs="Times New Roman"/>
        </w:rPr>
        <w:t>发放贷款及垫款</w:t>
      </w:r>
    </w:p>
    <w:p w:rsidR="00AD5BB5" w:rsidRDefault="00F87FF6">
      <w:pPr>
        <w:spacing w:line="360" w:lineRule="auto"/>
        <w:ind w:right="6"/>
        <w:rPr>
          <w:rFonts w:ascii="Times New Roman" w:hAnsi="Times New Roman" w:cs="Times New Roman"/>
          <w:b/>
          <w:bCs/>
        </w:rPr>
      </w:pPr>
      <w:r>
        <w:rPr>
          <w:rFonts w:ascii="Times New Roman" w:hAnsi="Times New Roman" w:cs="Times New Roman"/>
          <w:b/>
        </w:rPr>
        <w:t>（</w:t>
      </w:r>
      <w:r>
        <w:rPr>
          <w:rFonts w:ascii="Times New Roman" w:hAnsi="Times New Roman" w:cs="Times New Roman"/>
          <w:b/>
        </w:rPr>
        <w:t>1</w:t>
      </w:r>
      <w:r>
        <w:rPr>
          <w:rFonts w:ascii="Times New Roman" w:hAnsi="Times New Roman" w:cs="Times New Roman"/>
          <w:b/>
        </w:rPr>
        <w:t>）按产品分布情况</w:t>
      </w:r>
    </w:p>
    <w:p w:rsidR="00AD5BB5" w:rsidRDefault="00F87FF6">
      <w:pPr>
        <w:spacing w:line="360" w:lineRule="auto"/>
        <w:ind w:right="5" w:firstLineChars="200" w:firstLine="420"/>
        <w:rPr>
          <w:rFonts w:ascii="Times New Roman" w:hAnsi="Times New Roman" w:cs="Times New Roman"/>
          <w:b/>
          <w:bCs/>
        </w:rPr>
      </w:pPr>
      <w:r>
        <w:rPr>
          <w:rFonts w:ascii="Times New Roman" w:hAnsi="Times New Roman" w:hint="eastAsia"/>
        </w:rPr>
        <w:t>公司进一步优化信贷结构，加强信贷资产组合管理，合理布局信贷资源，持续加大对制造业、战略性新兴产业、绿色发展、普惠金融、消费升级等实体经济的支持力度，提升服务实体经济质效。</w:t>
      </w:r>
      <w:r>
        <w:rPr>
          <w:rFonts w:ascii="Times New Roman" w:hAnsi="Times New Roman" w:cs="宋体" w:hint="eastAsia"/>
        </w:rPr>
        <w:t>截至报告期末，公司贷款和垫款总额</w:t>
      </w:r>
      <w:r>
        <w:rPr>
          <w:rFonts w:ascii="Times New Roman" w:hAnsi="Times New Roman" w:cs="宋体" w:hint="eastAsia"/>
        </w:rPr>
        <w:t>2,012.59</w:t>
      </w:r>
      <w:r>
        <w:rPr>
          <w:rFonts w:ascii="Times New Roman" w:hAnsi="Times New Roman" w:cs="宋体" w:hint="eastAsia"/>
        </w:rPr>
        <w:t>亿元，较上年末增加</w:t>
      </w:r>
      <w:r>
        <w:rPr>
          <w:rFonts w:ascii="Times New Roman" w:hAnsi="Times New Roman" w:cs="宋体" w:hint="eastAsia"/>
        </w:rPr>
        <w:t>0.44%</w:t>
      </w:r>
      <w:r>
        <w:rPr>
          <w:rFonts w:ascii="Times New Roman" w:hAnsi="Times New Roman" w:cs="宋体" w:hint="eastAsia"/>
        </w:rPr>
        <w:t>，基本保持稳定。其中，企业贷款和</w:t>
      </w:r>
      <w:proofErr w:type="gramStart"/>
      <w:r>
        <w:rPr>
          <w:rFonts w:ascii="Times New Roman" w:hAnsi="Times New Roman" w:cs="宋体" w:hint="eastAsia"/>
        </w:rPr>
        <w:t>垫款余额</w:t>
      </w:r>
      <w:proofErr w:type="gramEnd"/>
      <w:r>
        <w:rPr>
          <w:rFonts w:ascii="Times New Roman" w:hAnsi="Times New Roman" w:cs="宋体" w:hint="eastAsia"/>
        </w:rPr>
        <w:t>1,041.09</w:t>
      </w:r>
      <w:r>
        <w:rPr>
          <w:rFonts w:ascii="Times New Roman" w:hAnsi="Times New Roman" w:cs="宋体" w:hint="eastAsia"/>
        </w:rPr>
        <w:t>亿元；个人贷款和</w:t>
      </w:r>
      <w:proofErr w:type="gramStart"/>
      <w:r>
        <w:rPr>
          <w:rFonts w:ascii="Times New Roman" w:hAnsi="Times New Roman" w:cs="宋体" w:hint="eastAsia"/>
        </w:rPr>
        <w:t>垫款余额</w:t>
      </w:r>
      <w:proofErr w:type="gramEnd"/>
      <w:r>
        <w:rPr>
          <w:rFonts w:ascii="Times New Roman" w:hAnsi="Times New Roman" w:cs="宋体" w:hint="eastAsia"/>
        </w:rPr>
        <w:t>759.90</w:t>
      </w:r>
      <w:r>
        <w:rPr>
          <w:rFonts w:ascii="Times New Roman" w:hAnsi="Times New Roman" w:cs="宋体" w:hint="eastAsia"/>
        </w:rPr>
        <w:t>亿元。</w:t>
      </w:r>
    </w:p>
    <w:p w:rsidR="00AD5BB5" w:rsidRDefault="00F87FF6">
      <w:pPr>
        <w:jc w:val="right"/>
        <w:rPr>
          <w:rFonts w:ascii="Times New Roman" w:hAnsi="Times New Roman" w:cs="Times New Roman"/>
        </w:rPr>
      </w:pPr>
      <w:r>
        <w:rPr>
          <w:rFonts w:ascii="Times New Roman" w:hAnsi="Times New Roman" w:cs="Times New Roman"/>
        </w:rPr>
        <w:t>单位：人民币千元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1490"/>
        <w:gridCol w:w="1550"/>
        <w:gridCol w:w="1653"/>
        <w:gridCol w:w="1681"/>
      </w:tblGrid>
      <w:tr w:rsidR="00AD5BB5">
        <w:tc>
          <w:tcPr>
            <w:tcW w:w="192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b/>
                <w:bCs/>
              </w:rPr>
            </w:pPr>
            <w:r>
              <w:rPr>
                <w:rFonts w:ascii="Times New Roman" w:hAnsi="Times New Roman" w:cs="宋体" w:hint="eastAsia"/>
                <w:b/>
                <w:bCs/>
              </w:rPr>
              <w:t>类别</w:t>
            </w:r>
          </w:p>
        </w:tc>
        <w:tc>
          <w:tcPr>
            <w:tcW w:w="304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b/>
                <w:bCs/>
              </w:rPr>
            </w:pPr>
            <w:r>
              <w:rPr>
                <w:rFonts w:ascii="Times New Roman" w:hAnsi="Times New Roman" w:cs="宋体" w:hint="eastAsia"/>
                <w:b/>
                <w:bCs/>
              </w:rPr>
              <w:t>2023</w:t>
            </w:r>
            <w:r>
              <w:rPr>
                <w:rFonts w:ascii="Times New Roman" w:hAnsi="Times New Roman" w:cs="宋体" w:hint="eastAsia"/>
                <w:b/>
                <w:bCs/>
              </w:rPr>
              <w:t>年</w:t>
            </w:r>
            <w:r>
              <w:rPr>
                <w:rFonts w:ascii="Times New Roman" w:hAnsi="Times New Roman" w:cs="宋体" w:hint="eastAsia"/>
                <w:b/>
                <w:bCs/>
              </w:rPr>
              <w:t>6</w:t>
            </w:r>
            <w:r>
              <w:rPr>
                <w:rFonts w:ascii="Times New Roman" w:hAnsi="Times New Roman" w:cs="宋体" w:hint="eastAsia"/>
                <w:b/>
                <w:bCs/>
              </w:rPr>
              <w:t>月</w:t>
            </w:r>
            <w:r>
              <w:rPr>
                <w:rFonts w:ascii="Times New Roman" w:hAnsi="Times New Roman" w:cs="宋体" w:hint="eastAsia"/>
                <w:b/>
                <w:bCs/>
              </w:rPr>
              <w:t>30</w:t>
            </w:r>
            <w:r>
              <w:rPr>
                <w:rFonts w:ascii="Times New Roman" w:hAnsi="Times New Roman" w:cs="宋体" w:hint="eastAsia"/>
                <w:b/>
                <w:bCs/>
              </w:rPr>
              <w:t>日</w:t>
            </w:r>
          </w:p>
        </w:tc>
        <w:tc>
          <w:tcPr>
            <w:tcW w:w="333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b/>
                <w:bCs/>
              </w:rPr>
            </w:pPr>
            <w:r>
              <w:rPr>
                <w:rFonts w:ascii="Times New Roman" w:hAnsi="Times New Roman" w:cs="宋体" w:hint="eastAsia"/>
                <w:b/>
                <w:bCs/>
              </w:rPr>
              <w:t>2022</w:t>
            </w:r>
            <w:r>
              <w:rPr>
                <w:rFonts w:ascii="Times New Roman" w:hAnsi="Times New Roman" w:cs="宋体" w:hint="eastAsia"/>
                <w:b/>
                <w:bCs/>
              </w:rPr>
              <w:t>年</w:t>
            </w:r>
            <w:r>
              <w:rPr>
                <w:rFonts w:ascii="Times New Roman" w:hAnsi="Times New Roman" w:cs="宋体" w:hint="eastAsia"/>
                <w:b/>
                <w:bCs/>
              </w:rPr>
              <w:t>12</w:t>
            </w:r>
            <w:r>
              <w:rPr>
                <w:rFonts w:ascii="Times New Roman" w:hAnsi="Times New Roman" w:cs="宋体" w:hint="eastAsia"/>
                <w:b/>
                <w:bCs/>
              </w:rPr>
              <w:t>月</w:t>
            </w:r>
            <w:r>
              <w:rPr>
                <w:rFonts w:ascii="Times New Roman" w:hAnsi="Times New Roman" w:cs="宋体" w:hint="eastAsia"/>
                <w:b/>
                <w:bCs/>
              </w:rPr>
              <w:t>31</w:t>
            </w:r>
            <w:r>
              <w:rPr>
                <w:rFonts w:ascii="Times New Roman" w:hAnsi="Times New Roman" w:cs="宋体" w:hint="eastAsia"/>
                <w:b/>
                <w:bCs/>
              </w:rPr>
              <w:t>日</w:t>
            </w:r>
          </w:p>
        </w:tc>
      </w:tr>
      <w:tr w:rsidR="00AD5BB5">
        <w:tc>
          <w:tcPr>
            <w:tcW w:w="1922" w:type="dxa"/>
            <w:vMerge/>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rPr>
                <w:rFonts w:ascii="Times New Roman" w:hAnsi="Times New Roman" w:cs="宋体"/>
                <w:b/>
                <w:bCs/>
              </w:rPr>
            </w:pPr>
          </w:p>
        </w:tc>
        <w:tc>
          <w:tcPr>
            <w:tcW w:w="149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宋体"/>
                <w:b/>
                <w:bCs/>
              </w:rPr>
            </w:pPr>
            <w:r>
              <w:rPr>
                <w:rFonts w:ascii="Times New Roman" w:hAnsi="Times New Roman" w:cs="宋体" w:hint="eastAsia"/>
                <w:b/>
                <w:bCs/>
              </w:rPr>
              <w:t>余额</w:t>
            </w:r>
          </w:p>
        </w:tc>
        <w:tc>
          <w:tcPr>
            <w:tcW w:w="155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宋体"/>
                <w:b/>
                <w:bCs/>
              </w:rPr>
            </w:pPr>
            <w:r>
              <w:rPr>
                <w:rFonts w:ascii="Times New Roman" w:hAnsi="Times New Roman" w:cs="宋体" w:hint="eastAsia"/>
                <w:b/>
                <w:bCs/>
              </w:rPr>
              <w:t>占比（</w:t>
            </w:r>
            <w:r>
              <w:rPr>
                <w:rFonts w:ascii="Times New Roman" w:hAnsi="Times New Roman" w:cs="宋体" w:hint="eastAsia"/>
                <w:b/>
                <w:bCs/>
              </w:rPr>
              <w:t>%</w:t>
            </w:r>
            <w:r>
              <w:rPr>
                <w:rFonts w:ascii="Times New Roman" w:hAnsi="Times New Roman" w:cs="宋体" w:hint="eastAsia"/>
                <w:b/>
                <w:bCs/>
              </w:rPr>
              <w:t>）</w:t>
            </w:r>
          </w:p>
        </w:tc>
        <w:tc>
          <w:tcPr>
            <w:tcW w:w="165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宋体"/>
                <w:b/>
                <w:bCs/>
              </w:rPr>
            </w:pPr>
            <w:r>
              <w:rPr>
                <w:rFonts w:ascii="Times New Roman" w:hAnsi="Times New Roman" w:cs="宋体" w:hint="eastAsia"/>
                <w:b/>
                <w:bCs/>
              </w:rPr>
              <w:t>余额</w:t>
            </w:r>
          </w:p>
        </w:tc>
        <w:tc>
          <w:tcPr>
            <w:tcW w:w="168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宋体"/>
                <w:b/>
                <w:bCs/>
              </w:rPr>
            </w:pPr>
            <w:r>
              <w:rPr>
                <w:rFonts w:ascii="Times New Roman" w:hAnsi="Times New Roman" w:cs="宋体" w:hint="eastAsia"/>
                <w:b/>
                <w:bCs/>
              </w:rPr>
              <w:t>占比（</w:t>
            </w:r>
            <w:r>
              <w:rPr>
                <w:rFonts w:ascii="Times New Roman" w:hAnsi="Times New Roman" w:cs="宋体" w:hint="eastAsia"/>
                <w:b/>
                <w:bCs/>
              </w:rPr>
              <w:t>%</w:t>
            </w:r>
            <w:r>
              <w:rPr>
                <w:rFonts w:ascii="Times New Roman" w:hAnsi="Times New Roman" w:cs="宋体" w:hint="eastAsia"/>
                <w:b/>
                <w:bCs/>
              </w:rPr>
              <w:t>）</w:t>
            </w:r>
          </w:p>
        </w:tc>
      </w:tr>
      <w:tr w:rsidR="00AD5BB5">
        <w:tc>
          <w:tcPr>
            <w:tcW w:w="192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企业贷款和垫款</w:t>
            </w:r>
          </w:p>
        </w:tc>
        <w:tc>
          <w:tcPr>
            <w:tcW w:w="149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 104,108,711 </w:t>
            </w:r>
          </w:p>
        </w:tc>
        <w:tc>
          <w:tcPr>
            <w:tcW w:w="155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 51.73 </w:t>
            </w:r>
          </w:p>
        </w:tc>
        <w:tc>
          <w:tcPr>
            <w:tcW w:w="165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kern w:val="0"/>
                <w:lang w:bidi="ar"/>
              </w:rPr>
              <w:t xml:space="preserve"> 103,637,702 </w:t>
            </w:r>
          </w:p>
        </w:tc>
        <w:tc>
          <w:tcPr>
            <w:tcW w:w="168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kern w:val="0"/>
                <w:lang w:bidi="ar"/>
              </w:rPr>
              <w:t xml:space="preserve"> 51.72 </w:t>
            </w:r>
          </w:p>
        </w:tc>
      </w:tr>
      <w:tr w:rsidR="00AD5BB5">
        <w:tc>
          <w:tcPr>
            <w:tcW w:w="192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个人贷款和垫款</w:t>
            </w:r>
          </w:p>
        </w:tc>
        <w:tc>
          <w:tcPr>
            <w:tcW w:w="149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 75,990,191 </w:t>
            </w:r>
          </w:p>
        </w:tc>
        <w:tc>
          <w:tcPr>
            <w:tcW w:w="155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 37.76 </w:t>
            </w:r>
          </w:p>
        </w:tc>
        <w:tc>
          <w:tcPr>
            <w:tcW w:w="165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kern w:val="0"/>
                <w:lang w:bidi="ar"/>
              </w:rPr>
              <w:t xml:space="preserve"> 76,693,826 </w:t>
            </w:r>
          </w:p>
        </w:tc>
        <w:tc>
          <w:tcPr>
            <w:tcW w:w="168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kern w:val="0"/>
                <w:lang w:bidi="ar"/>
              </w:rPr>
              <w:t xml:space="preserve"> 38.27 </w:t>
            </w:r>
          </w:p>
        </w:tc>
      </w:tr>
      <w:tr w:rsidR="00AD5BB5">
        <w:tc>
          <w:tcPr>
            <w:tcW w:w="192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 xml:space="preserve">    </w:t>
            </w:r>
            <w:r>
              <w:rPr>
                <w:rFonts w:ascii="Times New Roman" w:hAnsi="Times New Roman" w:cs="宋体" w:hint="eastAsia"/>
              </w:rPr>
              <w:t>个人住房贷款</w:t>
            </w:r>
          </w:p>
        </w:tc>
        <w:tc>
          <w:tcPr>
            <w:tcW w:w="149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 24,848,338 </w:t>
            </w:r>
          </w:p>
        </w:tc>
        <w:tc>
          <w:tcPr>
            <w:tcW w:w="155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 12.35 </w:t>
            </w:r>
          </w:p>
        </w:tc>
        <w:tc>
          <w:tcPr>
            <w:tcW w:w="165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kern w:val="0"/>
                <w:lang w:bidi="ar"/>
              </w:rPr>
              <w:t xml:space="preserve"> 27,946,199 </w:t>
            </w:r>
          </w:p>
        </w:tc>
        <w:tc>
          <w:tcPr>
            <w:tcW w:w="168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kern w:val="0"/>
                <w:lang w:bidi="ar"/>
              </w:rPr>
              <w:t xml:space="preserve"> 13.95 </w:t>
            </w:r>
          </w:p>
        </w:tc>
      </w:tr>
      <w:tr w:rsidR="00AD5BB5">
        <w:tc>
          <w:tcPr>
            <w:tcW w:w="192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 xml:space="preserve">    </w:t>
            </w:r>
            <w:r>
              <w:rPr>
                <w:rFonts w:ascii="Times New Roman" w:hAnsi="Times New Roman" w:cs="宋体" w:hint="eastAsia"/>
              </w:rPr>
              <w:t>个人消费贷款</w:t>
            </w:r>
          </w:p>
        </w:tc>
        <w:tc>
          <w:tcPr>
            <w:tcW w:w="149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 7,361,160 </w:t>
            </w:r>
          </w:p>
        </w:tc>
        <w:tc>
          <w:tcPr>
            <w:tcW w:w="155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 3.66 </w:t>
            </w:r>
          </w:p>
        </w:tc>
        <w:tc>
          <w:tcPr>
            <w:tcW w:w="165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kern w:val="0"/>
                <w:lang w:bidi="ar"/>
              </w:rPr>
              <w:t xml:space="preserve"> 7,820,060 </w:t>
            </w:r>
          </w:p>
        </w:tc>
        <w:tc>
          <w:tcPr>
            <w:tcW w:w="168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kern w:val="0"/>
                <w:lang w:bidi="ar"/>
              </w:rPr>
              <w:t xml:space="preserve"> 3.90 </w:t>
            </w:r>
          </w:p>
        </w:tc>
      </w:tr>
      <w:tr w:rsidR="00AD5BB5">
        <w:tc>
          <w:tcPr>
            <w:tcW w:w="192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 xml:space="preserve">    </w:t>
            </w:r>
            <w:r>
              <w:rPr>
                <w:rFonts w:ascii="Times New Roman" w:hAnsi="Times New Roman" w:cs="宋体" w:hint="eastAsia"/>
              </w:rPr>
              <w:t>个人经营贷款</w:t>
            </w:r>
          </w:p>
        </w:tc>
        <w:tc>
          <w:tcPr>
            <w:tcW w:w="149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 43,780,693 </w:t>
            </w:r>
          </w:p>
        </w:tc>
        <w:tc>
          <w:tcPr>
            <w:tcW w:w="155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 21.75 </w:t>
            </w:r>
          </w:p>
        </w:tc>
        <w:tc>
          <w:tcPr>
            <w:tcW w:w="165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kern w:val="0"/>
                <w:lang w:bidi="ar"/>
              </w:rPr>
              <w:t xml:space="preserve"> 40,927,566 </w:t>
            </w:r>
          </w:p>
        </w:tc>
        <w:tc>
          <w:tcPr>
            <w:tcW w:w="168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kern w:val="0"/>
                <w:lang w:bidi="ar"/>
              </w:rPr>
              <w:t xml:space="preserve"> 20.42 </w:t>
            </w:r>
          </w:p>
        </w:tc>
      </w:tr>
      <w:tr w:rsidR="00AD5BB5">
        <w:tc>
          <w:tcPr>
            <w:tcW w:w="192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票据贴现</w:t>
            </w:r>
          </w:p>
        </w:tc>
        <w:tc>
          <w:tcPr>
            <w:tcW w:w="149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 21,159,652 </w:t>
            </w:r>
          </w:p>
        </w:tc>
        <w:tc>
          <w:tcPr>
            <w:tcW w:w="155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 10.51 </w:t>
            </w:r>
          </w:p>
        </w:tc>
        <w:tc>
          <w:tcPr>
            <w:tcW w:w="165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kern w:val="0"/>
                <w:lang w:bidi="ar"/>
              </w:rPr>
              <w:t xml:space="preserve"> 20,053,606 </w:t>
            </w:r>
          </w:p>
        </w:tc>
        <w:tc>
          <w:tcPr>
            <w:tcW w:w="168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kern w:val="0"/>
                <w:lang w:bidi="ar"/>
              </w:rPr>
              <w:t xml:space="preserve"> 10.01 </w:t>
            </w:r>
          </w:p>
        </w:tc>
      </w:tr>
      <w:tr w:rsidR="00AD5BB5">
        <w:tc>
          <w:tcPr>
            <w:tcW w:w="192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b/>
                <w:bCs/>
              </w:rPr>
              <w:t>贷款和垫款总额</w:t>
            </w:r>
          </w:p>
        </w:tc>
        <w:tc>
          <w:tcPr>
            <w:tcW w:w="149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 201,258,554 </w:t>
            </w:r>
          </w:p>
        </w:tc>
        <w:tc>
          <w:tcPr>
            <w:tcW w:w="155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 </w:t>
            </w:r>
            <w:r>
              <w:rPr>
                <w:rFonts w:ascii="Times New Roman" w:hAnsi="Times New Roman" w:cs="Times New Roman" w:hint="eastAsia"/>
                <w:kern w:val="0"/>
                <w:szCs w:val="21"/>
                <w:lang w:bidi="ar"/>
              </w:rPr>
              <w:t>100.00</w:t>
            </w:r>
            <w:r>
              <w:rPr>
                <w:rFonts w:ascii="Times New Roman" w:hAnsi="Times New Roman" w:cs="Times New Roman"/>
                <w:kern w:val="0"/>
                <w:szCs w:val="21"/>
                <w:lang w:bidi="ar"/>
              </w:rPr>
              <w:t xml:space="preserve"> </w:t>
            </w:r>
          </w:p>
        </w:tc>
        <w:tc>
          <w:tcPr>
            <w:tcW w:w="165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kern w:val="0"/>
                <w:lang w:bidi="ar"/>
              </w:rPr>
              <w:t xml:space="preserve"> 200,385,134 </w:t>
            </w:r>
          </w:p>
        </w:tc>
        <w:tc>
          <w:tcPr>
            <w:tcW w:w="168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kern w:val="0"/>
                <w:lang w:bidi="ar"/>
              </w:rPr>
              <w:t xml:space="preserve"> </w:t>
            </w:r>
            <w:r>
              <w:rPr>
                <w:rFonts w:ascii="Times New Roman" w:hAnsi="Times New Roman" w:cs="Times New Roman" w:hint="eastAsia"/>
                <w:kern w:val="0"/>
                <w:lang w:bidi="ar"/>
              </w:rPr>
              <w:t>100.00</w:t>
            </w:r>
            <w:r>
              <w:rPr>
                <w:rFonts w:ascii="Times New Roman" w:hAnsi="Times New Roman" w:cs="Times New Roman"/>
                <w:kern w:val="0"/>
                <w:lang w:bidi="ar"/>
              </w:rPr>
              <w:t xml:space="preserve"> </w:t>
            </w:r>
          </w:p>
        </w:tc>
      </w:tr>
      <w:tr w:rsidR="00AD5BB5">
        <w:tc>
          <w:tcPr>
            <w:tcW w:w="192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应计利息</w:t>
            </w:r>
          </w:p>
        </w:tc>
        <w:tc>
          <w:tcPr>
            <w:tcW w:w="149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 346,629 </w:t>
            </w:r>
          </w:p>
        </w:tc>
        <w:tc>
          <w:tcPr>
            <w:tcW w:w="1550" w:type="dxa"/>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widowControl/>
              <w:jc w:val="right"/>
              <w:textAlignment w:val="bottom"/>
              <w:rPr>
                <w:rFonts w:ascii="Times New Roman" w:hAnsi="Times New Roman" w:cs="Times New Roman"/>
              </w:rPr>
            </w:pPr>
            <w:r>
              <w:rPr>
                <w:rFonts w:ascii="Times New Roman" w:hAnsi="Times New Roman" w:cs="Times New Roman"/>
                <w:kern w:val="0"/>
                <w:szCs w:val="21"/>
                <w:lang w:bidi="ar"/>
              </w:rPr>
              <w:t xml:space="preserve"> -</w:t>
            </w:r>
          </w:p>
        </w:tc>
        <w:tc>
          <w:tcPr>
            <w:tcW w:w="165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kern w:val="0"/>
                <w:lang w:bidi="ar"/>
              </w:rPr>
              <w:t xml:space="preserve"> 404,521 </w:t>
            </w:r>
          </w:p>
        </w:tc>
        <w:tc>
          <w:tcPr>
            <w:tcW w:w="168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kern w:val="0"/>
                <w:lang w:bidi="ar"/>
              </w:rPr>
              <w:t xml:space="preserve"> - </w:t>
            </w:r>
          </w:p>
        </w:tc>
      </w:tr>
      <w:tr w:rsidR="00AD5BB5">
        <w:tc>
          <w:tcPr>
            <w:tcW w:w="192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减值准备</w:t>
            </w:r>
          </w:p>
        </w:tc>
        <w:tc>
          <w:tcPr>
            <w:tcW w:w="149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 -6,309,959 </w:t>
            </w:r>
          </w:p>
        </w:tc>
        <w:tc>
          <w:tcPr>
            <w:tcW w:w="1550" w:type="dxa"/>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widowControl/>
              <w:jc w:val="right"/>
              <w:textAlignment w:val="bottom"/>
              <w:rPr>
                <w:rFonts w:ascii="Times New Roman" w:hAnsi="Times New Roman" w:cs="Times New Roman"/>
              </w:rPr>
            </w:pPr>
            <w:r>
              <w:rPr>
                <w:rFonts w:ascii="Times New Roman" w:hAnsi="Times New Roman" w:cs="Times New Roman"/>
                <w:kern w:val="0"/>
                <w:szCs w:val="21"/>
                <w:lang w:bidi="ar"/>
              </w:rPr>
              <w:t xml:space="preserve"> -</w:t>
            </w:r>
          </w:p>
        </w:tc>
        <w:tc>
          <w:tcPr>
            <w:tcW w:w="165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kern w:val="0"/>
                <w:lang w:bidi="ar"/>
              </w:rPr>
              <w:t xml:space="preserve"> -6,634,557 </w:t>
            </w:r>
          </w:p>
        </w:tc>
        <w:tc>
          <w:tcPr>
            <w:tcW w:w="168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kern w:val="0"/>
                <w:lang w:bidi="ar"/>
              </w:rPr>
              <w:t xml:space="preserve"> - </w:t>
            </w:r>
          </w:p>
        </w:tc>
      </w:tr>
      <w:tr w:rsidR="00AD5BB5">
        <w:tc>
          <w:tcPr>
            <w:tcW w:w="192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b/>
                <w:bCs/>
              </w:rPr>
              <w:t>贷款和垫款净额</w:t>
            </w:r>
          </w:p>
        </w:tc>
        <w:tc>
          <w:tcPr>
            <w:tcW w:w="149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 195,295,224 </w:t>
            </w:r>
          </w:p>
        </w:tc>
        <w:tc>
          <w:tcPr>
            <w:tcW w:w="1550" w:type="dxa"/>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widowControl/>
              <w:jc w:val="right"/>
              <w:textAlignment w:val="bottom"/>
              <w:rPr>
                <w:rFonts w:ascii="Times New Roman" w:hAnsi="Times New Roman" w:cs="Times New Roman"/>
              </w:rPr>
            </w:pPr>
            <w:r>
              <w:rPr>
                <w:rFonts w:ascii="Times New Roman" w:hAnsi="Times New Roman" w:cs="Times New Roman"/>
                <w:kern w:val="0"/>
                <w:szCs w:val="21"/>
                <w:lang w:bidi="ar"/>
              </w:rPr>
              <w:t xml:space="preserve"> -</w:t>
            </w:r>
          </w:p>
        </w:tc>
        <w:tc>
          <w:tcPr>
            <w:tcW w:w="165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kern w:val="0"/>
                <w:lang w:bidi="ar"/>
              </w:rPr>
              <w:t xml:space="preserve"> 194,155,098 </w:t>
            </w:r>
          </w:p>
        </w:tc>
        <w:tc>
          <w:tcPr>
            <w:tcW w:w="168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kern w:val="0"/>
                <w:lang w:bidi="ar"/>
              </w:rPr>
              <w:t xml:space="preserve"> - </w:t>
            </w:r>
          </w:p>
        </w:tc>
      </w:tr>
    </w:tbl>
    <w:p w:rsidR="00AD5BB5" w:rsidRDefault="00AD5BB5">
      <w:pPr>
        <w:rPr>
          <w:rFonts w:ascii="Times New Roman" w:hAnsi="Times New Roman" w:cs="Times New Roman"/>
        </w:rPr>
      </w:pPr>
    </w:p>
    <w:p w:rsidR="00AD5BB5" w:rsidRDefault="00F87FF6">
      <w:pPr>
        <w:spacing w:line="360" w:lineRule="auto"/>
        <w:ind w:right="5"/>
        <w:rPr>
          <w:rFonts w:ascii="Times New Roman" w:hAnsi="Times New Roman" w:cs="Times New Roman"/>
          <w:b/>
        </w:rPr>
      </w:pPr>
      <w:r>
        <w:rPr>
          <w:rFonts w:ascii="Times New Roman" w:hAnsi="Times New Roman" w:cs="Times New Roman"/>
          <w:b/>
        </w:rPr>
        <w:t>（</w:t>
      </w:r>
      <w:r>
        <w:rPr>
          <w:rFonts w:ascii="Times New Roman" w:hAnsi="Times New Roman" w:cs="Times New Roman"/>
          <w:b/>
        </w:rPr>
        <w:t>2</w:t>
      </w:r>
      <w:r>
        <w:rPr>
          <w:rFonts w:ascii="Times New Roman" w:hAnsi="Times New Roman" w:cs="Times New Roman"/>
          <w:b/>
        </w:rPr>
        <w:t>）按行业分布情况</w:t>
      </w:r>
    </w:p>
    <w:p w:rsidR="00AD5BB5" w:rsidRDefault="00F87FF6">
      <w:pPr>
        <w:spacing w:line="360" w:lineRule="auto"/>
        <w:ind w:firstLineChars="200" w:firstLine="420"/>
        <w:rPr>
          <w:rFonts w:ascii="Times New Roman" w:hAnsi="Times New Roman" w:cs="宋体"/>
        </w:rPr>
      </w:pPr>
      <w:r>
        <w:rPr>
          <w:rFonts w:ascii="Times New Roman" w:hAnsi="Times New Roman" w:cs="宋体" w:hint="eastAsia"/>
        </w:rPr>
        <w:t>公司坚持服务实体经济，聚焦制造业、战略性新兴产业、传统产业改造升级、基建投资、乡村振兴、现代服务业、科技创新、绿色发展等重点领域金融需求，强化政策和资源支撑，</w:t>
      </w:r>
      <w:r>
        <w:rPr>
          <w:rFonts w:ascii="Times New Roman" w:hAnsi="Times New Roman" w:cs="宋体" w:hint="eastAsia"/>
        </w:rPr>
        <w:lastRenderedPageBreak/>
        <w:t>加大信贷投放力度，持续优化贷款投向结构。截至报告期末，公司企业贷款和垫款主要集中在批发和零售业、制造业、租赁和商务服务业。前述三类贷款余额合计</w:t>
      </w:r>
      <w:r>
        <w:rPr>
          <w:rFonts w:ascii="Times New Roman" w:hAnsi="Times New Roman" w:cs="宋体" w:hint="eastAsia"/>
        </w:rPr>
        <w:t>617.21</w:t>
      </w:r>
      <w:r>
        <w:rPr>
          <w:rFonts w:ascii="Times New Roman" w:hAnsi="Times New Roman" w:cs="宋体" w:hint="eastAsia"/>
        </w:rPr>
        <w:t>亿元，占公司贷款和垫款总额的</w:t>
      </w:r>
      <w:r>
        <w:rPr>
          <w:rFonts w:ascii="Times New Roman" w:hAnsi="Times New Roman" w:cs="宋体" w:hint="eastAsia"/>
        </w:rPr>
        <w:t>30.67%</w:t>
      </w:r>
      <w:r>
        <w:rPr>
          <w:rFonts w:ascii="Times New Roman" w:hAnsi="Times New Roman" w:cs="宋体" w:hint="eastAsia"/>
        </w:rPr>
        <w:t>，主要行业贷款占比基本保持稳定。</w:t>
      </w:r>
    </w:p>
    <w:p w:rsidR="00AD5BB5" w:rsidRDefault="00F87FF6">
      <w:pPr>
        <w:spacing w:line="360" w:lineRule="auto"/>
        <w:ind w:firstLineChars="200" w:firstLine="420"/>
        <w:rPr>
          <w:rFonts w:ascii="Times New Roman" w:hAnsi="Times New Roman" w:cs="宋体"/>
        </w:rPr>
      </w:pPr>
      <w:r>
        <w:rPr>
          <w:rFonts w:ascii="Times New Roman" w:hAnsi="Times New Roman" w:cs="宋体" w:hint="eastAsia"/>
        </w:rPr>
        <w:t>公司严格落实国家宏观调控政策，采取“限额管理、结构调整、双优项目、土地抵押、封闭运作”的授信策略，坚持加强房地产贷款集中度管理，审慎开展房地产业</w:t>
      </w:r>
      <w:proofErr w:type="gramStart"/>
      <w:r>
        <w:rPr>
          <w:rFonts w:ascii="Times New Roman" w:hAnsi="Times New Roman" w:cs="宋体" w:hint="eastAsia"/>
        </w:rPr>
        <w:t>务</w:t>
      </w:r>
      <w:proofErr w:type="gramEnd"/>
      <w:r>
        <w:rPr>
          <w:rFonts w:ascii="Times New Roman" w:hAnsi="Times New Roman" w:cs="宋体" w:hint="eastAsia"/>
        </w:rPr>
        <w:t>。截至报告期末，公司房地产业贷款余额</w:t>
      </w:r>
      <w:r>
        <w:rPr>
          <w:rFonts w:ascii="Times New Roman" w:hAnsi="Times New Roman" w:cs="宋体" w:hint="eastAsia"/>
        </w:rPr>
        <w:t>73.42</w:t>
      </w:r>
      <w:r>
        <w:rPr>
          <w:rFonts w:ascii="Times New Roman" w:hAnsi="Times New Roman" w:cs="宋体" w:hint="eastAsia"/>
        </w:rPr>
        <w:t>亿元，占公司贷款和垫款总额的</w:t>
      </w:r>
      <w:r>
        <w:rPr>
          <w:rFonts w:ascii="Times New Roman" w:hAnsi="Times New Roman" w:cs="宋体" w:hint="eastAsia"/>
        </w:rPr>
        <w:t>3.65%</w:t>
      </w:r>
      <w:r>
        <w:rPr>
          <w:rFonts w:ascii="Times New Roman" w:hAnsi="Times New Roman" w:cs="宋体" w:hint="eastAsia"/>
        </w:rPr>
        <w:t>，较上年末下降</w:t>
      </w:r>
      <w:r>
        <w:rPr>
          <w:rFonts w:ascii="Times New Roman" w:hAnsi="Times New Roman" w:cs="宋体" w:hint="eastAsia"/>
        </w:rPr>
        <w:t>0.55</w:t>
      </w:r>
      <w:r>
        <w:rPr>
          <w:rFonts w:ascii="Times New Roman" w:hAnsi="Times New Roman" w:cs="宋体" w:hint="eastAsia"/>
        </w:rPr>
        <w:t>个百分点。</w:t>
      </w:r>
    </w:p>
    <w:p w:rsidR="00AD5BB5" w:rsidRDefault="00F87FF6">
      <w:pPr>
        <w:spacing w:line="360" w:lineRule="auto"/>
        <w:ind w:firstLineChars="200" w:firstLine="420"/>
        <w:rPr>
          <w:rFonts w:ascii="Times New Roman" w:hAnsi="Times New Roman" w:cs="Times New Roman"/>
          <w:b/>
          <w:bCs/>
        </w:rPr>
      </w:pPr>
      <w:r>
        <w:rPr>
          <w:rFonts w:ascii="Times New Roman" w:hAnsi="Times New Roman" w:cs="宋体" w:hint="eastAsia"/>
          <w:lang w:val="zh-CN"/>
        </w:rPr>
        <w:t>报告期内，本公司房地产贷款集中度及个人住房贷款集中</w:t>
      </w:r>
      <w:proofErr w:type="gramStart"/>
      <w:r>
        <w:rPr>
          <w:rFonts w:ascii="Times New Roman" w:hAnsi="Times New Roman" w:cs="宋体" w:hint="eastAsia"/>
          <w:lang w:val="zh-CN"/>
        </w:rPr>
        <w:t>度严格</w:t>
      </w:r>
      <w:proofErr w:type="gramEnd"/>
      <w:r>
        <w:rPr>
          <w:rFonts w:ascii="Times New Roman" w:hAnsi="Times New Roman" w:cs="宋体" w:hint="eastAsia"/>
          <w:lang w:val="zh-CN"/>
        </w:rPr>
        <w:t>依照监管机构房地产贷款</w:t>
      </w:r>
      <w:proofErr w:type="gramStart"/>
      <w:r>
        <w:rPr>
          <w:rFonts w:ascii="Times New Roman" w:hAnsi="Times New Roman" w:cs="宋体" w:hint="eastAsia"/>
          <w:lang w:val="zh-CN"/>
        </w:rPr>
        <w:t>集中度管控</w:t>
      </w:r>
      <w:proofErr w:type="gramEnd"/>
      <w:r>
        <w:rPr>
          <w:rFonts w:ascii="Times New Roman" w:hAnsi="Times New Roman" w:cs="宋体" w:hint="eastAsia"/>
          <w:lang w:val="zh-CN"/>
        </w:rPr>
        <w:t>的最新政策要求进行管控。截</w:t>
      </w:r>
      <w:r>
        <w:rPr>
          <w:rFonts w:ascii="Times New Roman" w:hAnsi="Times New Roman" w:cs="宋体" w:hint="eastAsia"/>
        </w:rPr>
        <w:t>至</w:t>
      </w:r>
      <w:r>
        <w:rPr>
          <w:rFonts w:ascii="Times New Roman" w:hAnsi="Times New Roman" w:cs="宋体" w:hint="eastAsia"/>
          <w:lang w:val="zh-CN"/>
        </w:rPr>
        <w:t>报告期末，本公司房地产贷款占比及个人住房贷款占比均已提前达成监管机构对城市商业银行的占比上限要求。</w:t>
      </w:r>
    </w:p>
    <w:p w:rsidR="00AD5BB5" w:rsidRDefault="00F87FF6">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单位：人民币千元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726"/>
        <w:gridCol w:w="1484"/>
        <w:gridCol w:w="1653"/>
        <w:gridCol w:w="1682"/>
      </w:tblGrid>
      <w:tr w:rsidR="00AD5BB5">
        <w:tc>
          <w:tcPr>
            <w:tcW w:w="1751"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b/>
                <w:bCs/>
              </w:rPr>
            </w:pPr>
            <w:r>
              <w:rPr>
                <w:rFonts w:ascii="Times New Roman" w:hAnsi="Times New Roman" w:cs="宋体" w:hint="eastAsia"/>
                <w:b/>
                <w:bCs/>
              </w:rPr>
              <w:t>行业</w:t>
            </w:r>
          </w:p>
        </w:tc>
        <w:tc>
          <w:tcPr>
            <w:tcW w:w="321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b/>
                <w:bCs/>
              </w:rPr>
            </w:pPr>
            <w:r>
              <w:rPr>
                <w:rFonts w:ascii="Times New Roman" w:hAnsi="Times New Roman" w:cs="宋体" w:hint="eastAsia"/>
                <w:b/>
                <w:bCs/>
              </w:rPr>
              <w:t>2023</w:t>
            </w:r>
            <w:r>
              <w:rPr>
                <w:rFonts w:ascii="Times New Roman" w:hAnsi="Times New Roman" w:cs="宋体" w:hint="eastAsia"/>
                <w:b/>
                <w:bCs/>
              </w:rPr>
              <w:t>年</w:t>
            </w:r>
            <w:r>
              <w:rPr>
                <w:rFonts w:ascii="Times New Roman" w:hAnsi="Times New Roman" w:cs="宋体" w:hint="eastAsia"/>
                <w:b/>
                <w:bCs/>
              </w:rPr>
              <w:t>6</w:t>
            </w:r>
            <w:r>
              <w:rPr>
                <w:rFonts w:ascii="Times New Roman" w:hAnsi="Times New Roman" w:cs="宋体" w:hint="eastAsia"/>
                <w:b/>
                <w:bCs/>
              </w:rPr>
              <w:t>月</w:t>
            </w:r>
            <w:r>
              <w:rPr>
                <w:rFonts w:ascii="Times New Roman" w:hAnsi="Times New Roman" w:cs="宋体" w:hint="eastAsia"/>
                <w:b/>
                <w:bCs/>
              </w:rPr>
              <w:t>30</w:t>
            </w:r>
            <w:r>
              <w:rPr>
                <w:rFonts w:ascii="Times New Roman" w:hAnsi="Times New Roman" w:cs="宋体" w:hint="eastAsia"/>
                <w:b/>
                <w:bCs/>
              </w:rPr>
              <w:t>日</w:t>
            </w:r>
          </w:p>
        </w:tc>
        <w:tc>
          <w:tcPr>
            <w:tcW w:w="333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b/>
                <w:bCs/>
              </w:rPr>
            </w:pPr>
            <w:r>
              <w:rPr>
                <w:rFonts w:ascii="Times New Roman" w:hAnsi="Times New Roman" w:cs="宋体" w:hint="eastAsia"/>
                <w:b/>
                <w:bCs/>
              </w:rPr>
              <w:t>2022</w:t>
            </w:r>
            <w:r>
              <w:rPr>
                <w:rFonts w:ascii="Times New Roman" w:hAnsi="Times New Roman" w:cs="宋体" w:hint="eastAsia"/>
                <w:b/>
                <w:bCs/>
              </w:rPr>
              <w:t>年</w:t>
            </w:r>
            <w:r>
              <w:rPr>
                <w:rFonts w:ascii="Times New Roman" w:hAnsi="Times New Roman" w:cs="宋体" w:hint="eastAsia"/>
                <w:b/>
                <w:bCs/>
              </w:rPr>
              <w:t>12</w:t>
            </w:r>
            <w:r>
              <w:rPr>
                <w:rFonts w:ascii="Times New Roman" w:hAnsi="Times New Roman" w:cs="宋体" w:hint="eastAsia"/>
                <w:b/>
                <w:bCs/>
              </w:rPr>
              <w:t>月</w:t>
            </w:r>
            <w:r>
              <w:rPr>
                <w:rFonts w:ascii="Times New Roman" w:hAnsi="Times New Roman" w:cs="宋体" w:hint="eastAsia"/>
                <w:b/>
                <w:bCs/>
              </w:rPr>
              <w:t>31</w:t>
            </w:r>
            <w:r>
              <w:rPr>
                <w:rFonts w:ascii="Times New Roman" w:hAnsi="Times New Roman" w:cs="宋体" w:hint="eastAsia"/>
                <w:b/>
                <w:bCs/>
              </w:rPr>
              <w:t>日</w:t>
            </w:r>
          </w:p>
        </w:tc>
      </w:tr>
      <w:tr w:rsidR="00AD5BB5">
        <w:tc>
          <w:tcPr>
            <w:tcW w:w="1751" w:type="dxa"/>
            <w:vMerge/>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rPr>
                <w:rFonts w:ascii="Times New Roman" w:hAnsi="Times New Roman" w:cs="宋体"/>
                <w:b/>
                <w:bCs/>
              </w:rPr>
            </w:pPr>
          </w:p>
        </w:tc>
        <w:tc>
          <w:tcPr>
            <w:tcW w:w="1726"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宋体"/>
                <w:b/>
                <w:bCs/>
              </w:rPr>
            </w:pPr>
            <w:r>
              <w:rPr>
                <w:rFonts w:ascii="Times New Roman" w:hAnsi="Times New Roman" w:cs="宋体" w:hint="eastAsia"/>
                <w:b/>
                <w:bCs/>
              </w:rPr>
              <w:t>余额</w:t>
            </w:r>
          </w:p>
        </w:tc>
        <w:tc>
          <w:tcPr>
            <w:tcW w:w="148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宋体"/>
                <w:b/>
                <w:bCs/>
              </w:rPr>
            </w:pPr>
            <w:r>
              <w:rPr>
                <w:rFonts w:ascii="Times New Roman" w:hAnsi="Times New Roman" w:cs="宋体" w:hint="eastAsia"/>
                <w:b/>
                <w:bCs/>
              </w:rPr>
              <w:t>占比（</w:t>
            </w:r>
            <w:r>
              <w:rPr>
                <w:rFonts w:ascii="Times New Roman" w:hAnsi="Times New Roman" w:cs="宋体" w:hint="eastAsia"/>
                <w:b/>
                <w:bCs/>
              </w:rPr>
              <w:t>%</w:t>
            </w:r>
            <w:r>
              <w:rPr>
                <w:rFonts w:ascii="Times New Roman" w:hAnsi="Times New Roman" w:cs="宋体" w:hint="eastAsia"/>
                <w:b/>
                <w:bCs/>
              </w:rPr>
              <w:t>）</w:t>
            </w:r>
          </w:p>
        </w:tc>
        <w:tc>
          <w:tcPr>
            <w:tcW w:w="165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宋体"/>
                <w:b/>
                <w:bCs/>
              </w:rPr>
            </w:pPr>
            <w:r>
              <w:rPr>
                <w:rFonts w:ascii="Times New Roman" w:hAnsi="Times New Roman" w:cs="宋体" w:hint="eastAsia"/>
                <w:b/>
                <w:bCs/>
              </w:rPr>
              <w:t>余额</w:t>
            </w:r>
          </w:p>
        </w:tc>
        <w:tc>
          <w:tcPr>
            <w:tcW w:w="168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宋体"/>
                <w:b/>
                <w:bCs/>
              </w:rPr>
            </w:pPr>
            <w:r>
              <w:rPr>
                <w:rFonts w:ascii="Times New Roman" w:hAnsi="Times New Roman" w:cs="宋体" w:hint="eastAsia"/>
                <w:b/>
                <w:bCs/>
              </w:rPr>
              <w:t>占比（</w:t>
            </w:r>
            <w:r>
              <w:rPr>
                <w:rFonts w:ascii="Times New Roman" w:hAnsi="Times New Roman" w:cs="宋体" w:hint="eastAsia"/>
                <w:b/>
                <w:bCs/>
              </w:rPr>
              <w:t>%</w:t>
            </w:r>
            <w:r>
              <w:rPr>
                <w:rFonts w:ascii="Times New Roman" w:hAnsi="Times New Roman" w:cs="宋体" w:hint="eastAsia"/>
                <w:b/>
                <w:bCs/>
              </w:rPr>
              <w:t>）</w:t>
            </w:r>
          </w:p>
        </w:tc>
      </w:tr>
      <w:tr w:rsidR="00AD5BB5">
        <w:tc>
          <w:tcPr>
            <w:tcW w:w="175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szCs w:val="21"/>
                <w:lang w:bidi="ar"/>
              </w:rPr>
              <w:t>批发和零售业</w:t>
            </w:r>
          </w:p>
        </w:tc>
        <w:tc>
          <w:tcPr>
            <w:tcW w:w="1726"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26,098,007 </w:t>
            </w:r>
          </w:p>
        </w:tc>
        <w:tc>
          <w:tcPr>
            <w:tcW w:w="148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12.97 </w:t>
            </w:r>
          </w:p>
        </w:tc>
        <w:tc>
          <w:tcPr>
            <w:tcW w:w="165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24,013,844 </w:t>
            </w:r>
          </w:p>
        </w:tc>
        <w:tc>
          <w:tcPr>
            <w:tcW w:w="168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11.98 </w:t>
            </w:r>
          </w:p>
        </w:tc>
      </w:tr>
      <w:tr w:rsidR="00AD5BB5">
        <w:tc>
          <w:tcPr>
            <w:tcW w:w="175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szCs w:val="21"/>
                <w:lang w:bidi="ar"/>
              </w:rPr>
              <w:t>制造业</w:t>
            </w:r>
          </w:p>
        </w:tc>
        <w:tc>
          <w:tcPr>
            <w:tcW w:w="1726"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20,244,809 </w:t>
            </w:r>
          </w:p>
        </w:tc>
        <w:tc>
          <w:tcPr>
            <w:tcW w:w="148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10.06 </w:t>
            </w:r>
          </w:p>
        </w:tc>
        <w:tc>
          <w:tcPr>
            <w:tcW w:w="165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20,752,998 </w:t>
            </w:r>
          </w:p>
        </w:tc>
        <w:tc>
          <w:tcPr>
            <w:tcW w:w="168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10.36 </w:t>
            </w:r>
          </w:p>
        </w:tc>
      </w:tr>
      <w:tr w:rsidR="00AD5BB5">
        <w:tc>
          <w:tcPr>
            <w:tcW w:w="175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szCs w:val="21"/>
                <w:lang w:bidi="ar"/>
              </w:rPr>
              <w:t>租赁和商务服务业</w:t>
            </w:r>
          </w:p>
        </w:tc>
        <w:tc>
          <w:tcPr>
            <w:tcW w:w="1726"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15,378,003 </w:t>
            </w:r>
          </w:p>
        </w:tc>
        <w:tc>
          <w:tcPr>
            <w:tcW w:w="148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7.64 </w:t>
            </w:r>
          </w:p>
        </w:tc>
        <w:tc>
          <w:tcPr>
            <w:tcW w:w="165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14,550,435 </w:t>
            </w:r>
          </w:p>
        </w:tc>
        <w:tc>
          <w:tcPr>
            <w:tcW w:w="168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7.26 </w:t>
            </w:r>
          </w:p>
        </w:tc>
      </w:tr>
      <w:tr w:rsidR="00AD5BB5">
        <w:tc>
          <w:tcPr>
            <w:tcW w:w="175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szCs w:val="21"/>
                <w:lang w:bidi="ar"/>
              </w:rPr>
              <w:t>建筑业</w:t>
            </w:r>
          </w:p>
        </w:tc>
        <w:tc>
          <w:tcPr>
            <w:tcW w:w="1726"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13,213,428 </w:t>
            </w:r>
          </w:p>
        </w:tc>
        <w:tc>
          <w:tcPr>
            <w:tcW w:w="148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6.57 </w:t>
            </w:r>
          </w:p>
        </w:tc>
        <w:tc>
          <w:tcPr>
            <w:tcW w:w="165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12,254,847 </w:t>
            </w:r>
          </w:p>
        </w:tc>
        <w:tc>
          <w:tcPr>
            <w:tcW w:w="168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6.12 </w:t>
            </w:r>
          </w:p>
        </w:tc>
      </w:tr>
      <w:tr w:rsidR="00AD5BB5">
        <w:tc>
          <w:tcPr>
            <w:tcW w:w="175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szCs w:val="21"/>
                <w:lang w:bidi="ar"/>
              </w:rPr>
              <w:t>房地产业</w:t>
            </w:r>
          </w:p>
        </w:tc>
        <w:tc>
          <w:tcPr>
            <w:tcW w:w="1726"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7,341,901 </w:t>
            </w:r>
          </w:p>
        </w:tc>
        <w:tc>
          <w:tcPr>
            <w:tcW w:w="148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3.65 </w:t>
            </w:r>
          </w:p>
        </w:tc>
        <w:tc>
          <w:tcPr>
            <w:tcW w:w="165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8,423,969 </w:t>
            </w:r>
          </w:p>
        </w:tc>
        <w:tc>
          <w:tcPr>
            <w:tcW w:w="168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4.20 </w:t>
            </w:r>
          </w:p>
        </w:tc>
      </w:tr>
      <w:tr w:rsidR="00AD5BB5">
        <w:tc>
          <w:tcPr>
            <w:tcW w:w="175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szCs w:val="21"/>
                <w:lang w:bidi="ar"/>
              </w:rPr>
              <w:t>水利、环境和公共设施管理业</w:t>
            </w:r>
          </w:p>
        </w:tc>
        <w:tc>
          <w:tcPr>
            <w:tcW w:w="1726"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6,157,623 </w:t>
            </w:r>
          </w:p>
        </w:tc>
        <w:tc>
          <w:tcPr>
            <w:tcW w:w="148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3.06 </w:t>
            </w:r>
          </w:p>
        </w:tc>
        <w:tc>
          <w:tcPr>
            <w:tcW w:w="165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7,619,334 </w:t>
            </w:r>
          </w:p>
        </w:tc>
        <w:tc>
          <w:tcPr>
            <w:tcW w:w="168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3.80 </w:t>
            </w:r>
          </w:p>
        </w:tc>
      </w:tr>
      <w:tr w:rsidR="00AD5BB5">
        <w:tc>
          <w:tcPr>
            <w:tcW w:w="175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szCs w:val="21"/>
                <w:lang w:bidi="ar"/>
              </w:rPr>
              <w:t>住宿和餐饮业</w:t>
            </w:r>
          </w:p>
        </w:tc>
        <w:tc>
          <w:tcPr>
            <w:tcW w:w="1726"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5,465,126 </w:t>
            </w:r>
          </w:p>
        </w:tc>
        <w:tc>
          <w:tcPr>
            <w:tcW w:w="148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2.72 </w:t>
            </w:r>
          </w:p>
        </w:tc>
        <w:tc>
          <w:tcPr>
            <w:tcW w:w="165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5,504,671 </w:t>
            </w:r>
          </w:p>
        </w:tc>
        <w:tc>
          <w:tcPr>
            <w:tcW w:w="168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2.75 </w:t>
            </w:r>
          </w:p>
        </w:tc>
      </w:tr>
      <w:tr w:rsidR="00AD5BB5">
        <w:tc>
          <w:tcPr>
            <w:tcW w:w="175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szCs w:val="21"/>
                <w:lang w:bidi="ar"/>
              </w:rPr>
              <w:t>交通运输、仓储和邮政业</w:t>
            </w:r>
          </w:p>
        </w:tc>
        <w:tc>
          <w:tcPr>
            <w:tcW w:w="1726"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1,991,179 </w:t>
            </w:r>
          </w:p>
        </w:tc>
        <w:tc>
          <w:tcPr>
            <w:tcW w:w="148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0.99 </w:t>
            </w:r>
          </w:p>
        </w:tc>
        <w:tc>
          <w:tcPr>
            <w:tcW w:w="165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2,135,405 </w:t>
            </w:r>
          </w:p>
        </w:tc>
        <w:tc>
          <w:tcPr>
            <w:tcW w:w="168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1.07 </w:t>
            </w:r>
          </w:p>
        </w:tc>
      </w:tr>
      <w:tr w:rsidR="00AD5BB5">
        <w:tc>
          <w:tcPr>
            <w:tcW w:w="175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szCs w:val="21"/>
                <w:lang w:bidi="ar"/>
              </w:rPr>
              <w:t>电力、热力、燃气及水生产和供应业</w:t>
            </w:r>
          </w:p>
        </w:tc>
        <w:tc>
          <w:tcPr>
            <w:tcW w:w="1726"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1,693,029 </w:t>
            </w:r>
          </w:p>
        </w:tc>
        <w:tc>
          <w:tcPr>
            <w:tcW w:w="148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0.84 </w:t>
            </w:r>
          </w:p>
        </w:tc>
        <w:tc>
          <w:tcPr>
            <w:tcW w:w="165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1,710,270 </w:t>
            </w:r>
          </w:p>
        </w:tc>
        <w:tc>
          <w:tcPr>
            <w:tcW w:w="168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0.85 </w:t>
            </w:r>
          </w:p>
        </w:tc>
      </w:tr>
      <w:tr w:rsidR="00AD5BB5">
        <w:tc>
          <w:tcPr>
            <w:tcW w:w="175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szCs w:val="21"/>
                <w:lang w:bidi="ar"/>
              </w:rPr>
              <w:t>其他行业</w:t>
            </w:r>
          </w:p>
        </w:tc>
        <w:tc>
          <w:tcPr>
            <w:tcW w:w="1726"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6,525,607 </w:t>
            </w:r>
          </w:p>
        </w:tc>
        <w:tc>
          <w:tcPr>
            <w:tcW w:w="148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3.2</w:t>
            </w:r>
            <w:r>
              <w:rPr>
                <w:rFonts w:ascii="Times New Roman" w:hAnsi="Times New Roman" w:cs="Times New Roman" w:hint="eastAsia"/>
                <w:szCs w:val="21"/>
                <w:lang w:bidi="ar"/>
              </w:rPr>
              <w:t>3</w:t>
            </w:r>
            <w:r>
              <w:rPr>
                <w:rFonts w:ascii="Times New Roman" w:hAnsi="Times New Roman" w:cs="Times New Roman"/>
                <w:szCs w:val="21"/>
                <w:lang w:bidi="ar"/>
              </w:rPr>
              <w:t xml:space="preserve"> </w:t>
            </w:r>
          </w:p>
        </w:tc>
        <w:tc>
          <w:tcPr>
            <w:tcW w:w="165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6,671,929 </w:t>
            </w:r>
          </w:p>
        </w:tc>
        <w:tc>
          <w:tcPr>
            <w:tcW w:w="168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3.33 </w:t>
            </w:r>
          </w:p>
        </w:tc>
      </w:tr>
      <w:tr w:rsidR="00AD5BB5">
        <w:tc>
          <w:tcPr>
            <w:tcW w:w="175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b/>
                <w:bCs/>
              </w:rPr>
              <w:t>企业贷款和垫款</w:t>
            </w:r>
          </w:p>
        </w:tc>
        <w:tc>
          <w:tcPr>
            <w:tcW w:w="1726"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104,108,711 </w:t>
            </w:r>
          </w:p>
        </w:tc>
        <w:tc>
          <w:tcPr>
            <w:tcW w:w="148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51.73 </w:t>
            </w:r>
          </w:p>
        </w:tc>
        <w:tc>
          <w:tcPr>
            <w:tcW w:w="165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103,637,702 </w:t>
            </w:r>
          </w:p>
        </w:tc>
        <w:tc>
          <w:tcPr>
            <w:tcW w:w="168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51.72 </w:t>
            </w:r>
          </w:p>
        </w:tc>
      </w:tr>
      <w:tr w:rsidR="00AD5BB5">
        <w:trPr>
          <w:trHeight w:val="90"/>
        </w:trPr>
        <w:tc>
          <w:tcPr>
            <w:tcW w:w="175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个人贷款和垫款</w:t>
            </w:r>
          </w:p>
        </w:tc>
        <w:tc>
          <w:tcPr>
            <w:tcW w:w="1726"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75,990,191 </w:t>
            </w:r>
          </w:p>
        </w:tc>
        <w:tc>
          <w:tcPr>
            <w:tcW w:w="148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37.76 </w:t>
            </w:r>
          </w:p>
        </w:tc>
        <w:tc>
          <w:tcPr>
            <w:tcW w:w="165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76,693,826 </w:t>
            </w:r>
          </w:p>
        </w:tc>
        <w:tc>
          <w:tcPr>
            <w:tcW w:w="168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38.27 </w:t>
            </w:r>
          </w:p>
        </w:tc>
      </w:tr>
      <w:tr w:rsidR="00AD5BB5">
        <w:trPr>
          <w:trHeight w:val="90"/>
        </w:trPr>
        <w:tc>
          <w:tcPr>
            <w:tcW w:w="175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票据贴现</w:t>
            </w:r>
          </w:p>
        </w:tc>
        <w:tc>
          <w:tcPr>
            <w:tcW w:w="1726"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21,159,652 </w:t>
            </w:r>
          </w:p>
        </w:tc>
        <w:tc>
          <w:tcPr>
            <w:tcW w:w="148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10.51 </w:t>
            </w:r>
          </w:p>
        </w:tc>
        <w:tc>
          <w:tcPr>
            <w:tcW w:w="165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20,053,606 </w:t>
            </w:r>
          </w:p>
        </w:tc>
        <w:tc>
          <w:tcPr>
            <w:tcW w:w="168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10.01 </w:t>
            </w:r>
          </w:p>
        </w:tc>
      </w:tr>
      <w:tr w:rsidR="00AD5BB5">
        <w:trPr>
          <w:trHeight w:val="90"/>
        </w:trPr>
        <w:tc>
          <w:tcPr>
            <w:tcW w:w="175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b/>
                <w:bCs/>
              </w:rPr>
              <w:t>贷款和垫款总额</w:t>
            </w:r>
          </w:p>
        </w:tc>
        <w:tc>
          <w:tcPr>
            <w:tcW w:w="1726"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201,258,554 </w:t>
            </w:r>
          </w:p>
        </w:tc>
        <w:tc>
          <w:tcPr>
            <w:tcW w:w="148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w:t>
            </w:r>
            <w:r>
              <w:rPr>
                <w:rFonts w:ascii="Times New Roman" w:hAnsi="Times New Roman" w:cs="Times New Roman" w:hint="eastAsia"/>
                <w:szCs w:val="21"/>
                <w:lang w:bidi="ar"/>
              </w:rPr>
              <w:t>100.00</w:t>
            </w:r>
            <w:r>
              <w:rPr>
                <w:rFonts w:ascii="Times New Roman" w:hAnsi="Times New Roman" w:cs="Times New Roman"/>
                <w:szCs w:val="21"/>
                <w:lang w:bidi="ar"/>
              </w:rPr>
              <w:t xml:space="preserve"> </w:t>
            </w:r>
          </w:p>
        </w:tc>
        <w:tc>
          <w:tcPr>
            <w:tcW w:w="165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200,385,134 </w:t>
            </w:r>
          </w:p>
        </w:tc>
        <w:tc>
          <w:tcPr>
            <w:tcW w:w="168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D5BB5" w:rsidRDefault="00F87FF6">
            <w:pPr>
              <w:jc w:val="right"/>
              <w:rPr>
                <w:rFonts w:ascii="Times New Roman" w:hAnsi="Times New Roman" w:cs="Times New Roman"/>
              </w:rPr>
            </w:pPr>
            <w:r>
              <w:rPr>
                <w:rFonts w:ascii="Times New Roman" w:hAnsi="Times New Roman" w:cs="Times New Roman"/>
                <w:szCs w:val="21"/>
                <w:lang w:bidi="ar"/>
              </w:rPr>
              <w:t xml:space="preserve"> </w:t>
            </w:r>
            <w:r>
              <w:rPr>
                <w:rFonts w:ascii="Times New Roman" w:hAnsi="Times New Roman" w:cs="Times New Roman" w:hint="eastAsia"/>
                <w:szCs w:val="21"/>
                <w:lang w:bidi="ar"/>
              </w:rPr>
              <w:t>100.00</w:t>
            </w:r>
            <w:r>
              <w:rPr>
                <w:rFonts w:ascii="Times New Roman" w:hAnsi="Times New Roman" w:cs="Times New Roman"/>
                <w:szCs w:val="21"/>
                <w:lang w:bidi="ar"/>
              </w:rPr>
              <w:t xml:space="preserve"> </w:t>
            </w:r>
          </w:p>
        </w:tc>
      </w:tr>
    </w:tbl>
    <w:p w:rsidR="00AD5BB5" w:rsidRDefault="00AD5BB5">
      <w:pPr>
        <w:spacing w:line="360" w:lineRule="auto"/>
        <w:rPr>
          <w:rFonts w:ascii="Times New Roman" w:hAnsi="Times New Roman" w:cs="Times New Roman"/>
        </w:rPr>
      </w:pPr>
    </w:p>
    <w:p w:rsidR="00AD5BB5" w:rsidRDefault="00F87FF6">
      <w:pPr>
        <w:spacing w:line="360" w:lineRule="auto"/>
        <w:ind w:right="5"/>
        <w:rPr>
          <w:rFonts w:ascii="Times New Roman" w:hAnsi="Times New Roman" w:cs="Times New Roman"/>
          <w:b/>
        </w:rPr>
      </w:pPr>
      <w:r>
        <w:rPr>
          <w:rFonts w:ascii="Times New Roman" w:hAnsi="Times New Roman" w:cs="Times New Roman"/>
          <w:b/>
        </w:rPr>
        <w:t>（</w:t>
      </w:r>
      <w:r>
        <w:rPr>
          <w:rFonts w:ascii="Times New Roman" w:hAnsi="Times New Roman" w:cs="Times New Roman"/>
          <w:b/>
        </w:rPr>
        <w:t>3</w:t>
      </w:r>
      <w:r>
        <w:rPr>
          <w:rFonts w:ascii="Times New Roman" w:hAnsi="Times New Roman" w:cs="Times New Roman"/>
          <w:b/>
        </w:rPr>
        <w:t>）按地区分布情况</w:t>
      </w:r>
    </w:p>
    <w:p w:rsidR="00AD5BB5" w:rsidRDefault="00F87FF6">
      <w:pPr>
        <w:spacing w:line="360" w:lineRule="auto"/>
        <w:ind w:right="5" w:firstLineChars="200" w:firstLine="420"/>
        <w:rPr>
          <w:rFonts w:ascii="Times New Roman" w:hAnsi="Times New Roman" w:cs="Times New Roman"/>
          <w:b/>
          <w:bCs/>
        </w:rPr>
      </w:pPr>
      <w:r>
        <w:rPr>
          <w:rFonts w:ascii="Times New Roman" w:hAnsi="Times New Roman" w:cs="宋体" w:hint="eastAsia"/>
        </w:rPr>
        <w:t>截至报告期末，公司厦门地区发放的贷款和</w:t>
      </w:r>
      <w:proofErr w:type="gramStart"/>
      <w:r>
        <w:rPr>
          <w:rFonts w:ascii="Times New Roman" w:hAnsi="Times New Roman" w:cs="宋体" w:hint="eastAsia"/>
        </w:rPr>
        <w:t>垫款余额</w:t>
      </w:r>
      <w:proofErr w:type="gramEnd"/>
      <w:r>
        <w:rPr>
          <w:rFonts w:ascii="Times New Roman" w:hAnsi="Times New Roman" w:cs="宋体" w:hint="eastAsia"/>
        </w:rPr>
        <w:t>931.64</w:t>
      </w:r>
      <w:r>
        <w:rPr>
          <w:rFonts w:ascii="Times New Roman" w:hAnsi="Times New Roman" w:cs="宋体" w:hint="eastAsia"/>
        </w:rPr>
        <w:t>亿元，占公司贷款和垫款总额的</w:t>
      </w:r>
      <w:r>
        <w:rPr>
          <w:rFonts w:ascii="Times New Roman" w:hAnsi="Times New Roman" w:cs="宋体" w:hint="eastAsia"/>
        </w:rPr>
        <w:t>46.29%</w:t>
      </w:r>
      <w:r>
        <w:rPr>
          <w:rFonts w:ascii="Times New Roman" w:hAnsi="Times New Roman" w:cs="宋体" w:hint="eastAsia"/>
        </w:rPr>
        <w:t>；其他地区发放的贷款和</w:t>
      </w:r>
      <w:proofErr w:type="gramStart"/>
      <w:r>
        <w:rPr>
          <w:rFonts w:ascii="Times New Roman" w:hAnsi="Times New Roman" w:cs="宋体" w:hint="eastAsia"/>
        </w:rPr>
        <w:t>垫款余额</w:t>
      </w:r>
      <w:proofErr w:type="gramEnd"/>
      <w:r>
        <w:rPr>
          <w:rFonts w:ascii="Times New Roman" w:hAnsi="Times New Roman" w:cs="宋体" w:hint="eastAsia"/>
        </w:rPr>
        <w:t>1,080.94</w:t>
      </w:r>
      <w:r>
        <w:rPr>
          <w:rFonts w:ascii="Times New Roman" w:hAnsi="Times New Roman" w:cs="宋体" w:hint="eastAsia"/>
        </w:rPr>
        <w:t>亿元，占公司贷款和贷款总额的</w:t>
      </w:r>
      <w:r>
        <w:rPr>
          <w:rFonts w:ascii="Times New Roman" w:hAnsi="Times New Roman" w:cs="宋体" w:hint="eastAsia"/>
        </w:rPr>
        <w:t>53.71%</w:t>
      </w:r>
      <w:r>
        <w:rPr>
          <w:rFonts w:ascii="Times New Roman" w:hAnsi="Times New Roman" w:cs="宋体" w:hint="eastAsia"/>
        </w:rPr>
        <w:t>。</w:t>
      </w:r>
    </w:p>
    <w:p w:rsidR="00AD5BB5" w:rsidRDefault="00F87FF6">
      <w:pPr>
        <w:spacing w:line="360" w:lineRule="auto"/>
        <w:jc w:val="right"/>
        <w:rPr>
          <w:rFonts w:ascii="Times New Roman" w:hAnsi="Times New Roman" w:cs="Times New Roman"/>
        </w:rPr>
      </w:pPr>
      <w:r>
        <w:rPr>
          <w:rFonts w:ascii="Times New Roman" w:hAnsi="Times New Roman" w:cs="Times New Roman"/>
        </w:rPr>
        <w:t>单位：人民币千元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512"/>
        <w:gridCol w:w="1678"/>
        <w:gridCol w:w="1649"/>
        <w:gridCol w:w="1678"/>
      </w:tblGrid>
      <w:tr w:rsidR="00AD5BB5">
        <w:tc>
          <w:tcPr>
            <w:tcW w:w="1779"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b/>
                <w:bCs/>
              </w:rPr>
            </w:pPr>
            <w:r>
              <w:rPr>
                <w:rFonts w:ascii="Times New Roman" w:hAnsi="Times New Roman" w:cs="宋体" w:hint="eastAsia"/>
                <w:b/>
                <w:bCs/>
              </w:rPr>
              <w:t>地区</w:t>
            </w:r>
          </w:p>
        </w:tc>
        <w:tc>
          <w:tcPr>
            <w:tcW w:w="319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b/>
                <w:bCs/>
              </w:rPr>
            </w:pPr>
            <w:r>
              <w:rPr>
                <w:rFonts w:ascii="Times New Roman" w:hAnsi="Times New Roman" w:cs="宋体" w:hint="eastAsia"/>
                <w:b/>
                <w:bCs/>
              </w:rPr>
              <w:t>2023</w:t>
            </w:r>
            <w:r>
              <w:rPr>
                <w:rFonts w:ascii="Times New Roman" w:hAnsi="Times New Roman" w:cs="宋体" w:hint="eastAsia"/>
                <w:b/>
                <w:bCs/>
              </w:rPr>
              <w:t>年</w:t>
            </w:r>
            <w:r>
              <w:rPr>
                <w:rFonts w:ascii="Times New Roman" w:hAnsi="Times New Roman" w:cs="宋体" w:hint="eastAsia"/>
                <w:b/>
                <w:bCs/>
              </w:rPr>
              <w:t>6</w:t>
            </w:r>
            <w:r>
              <w:rPr>
                <w:rFonts w:ascii="Times New Roman" w:hAnsi="Times New Roman" w:cs="宋体" w:hint="eastAsia"/>
                <w:b/>
                <w:bCs/>
              </w:rPr>
              <w:t>月</w:t>
            </w:r>
            <w:r>
              <w:rPr>
                <w:rFonts w:ascii="Times New Roman" w:hAnsi="Times New Roman" w:cs="宋体" w:hint="eastAsia"/>
                <w:b/>
                <w:bCs/>
              </w:rPr>
              <w:t>30</w:t>
            </w:r>
            <w:r>
              <w:rPr>
                <w:rFonts w:ascii="Times New Roman" w:hAnsi="Times New Roman" w:cs="宋体" w:hint="eastAsia"/>
                <w:b/>
                <w:bCs/>
              </w:rPr>
              <w:t>日</w:t>
            </w:r>
          </w:p>
        </w:tc>
        <w:tc>
          <w:tcPr>
            <w:tcW w:w="332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b/>
                <w:bCs/>
              </w:rPr>
            </w:pPr>
            <w:r>
              <w:rPr>
                <w:rFonts w:ascii="Times New Roman" w:hAnsi="Times New Roman" w:cs="宋体" w:hint="eastAsia"/>
                <w:b/>
                <w:bCs/>
              </w:rPr>
              <w:t>2022</w:t>
            </w:r>
            <w:r>
              <w:rPr>
                <w:rFonts w:ascii="Times New Roman" w:hAnsi="Times New Roman" w:cs="宋体" w:hint="eastAsia"/>
                <w:b/>
                <w:bCs/>
              </w:rPr>
              <w:t>年</w:t>
            </w:r>
            <w:r>
              <w:rPr>
                <w:rFonts w:ascii="Times New Roman" w:hAnsi="Times New Roman" w:cs="宋体" w:hint="eastAsia"/>
                <w:b/>
                <w:bCs/>
              </w:rPr>
              <w:t>12</w:t>
            </w:r>
            <w:r>
              <w:rPr>
                <w:rFonts w:ascii="Times New Roman" w:hAnsi="Times New Roman" w:cs="宋体" w:hint="eastAsia"/>
                <w:b/>
                <w:bCs/>
              </w:rPr>
              <w:t>月</w:t>
            </w:r>
            <w:r>
              <w:rPr>
                <w:rFonts w:ascii="Times New Roman" w:hAnsi="Times New Roman" w:cs="宋体" w:hint="eastAsia"/>
                <w:b/>
                <w:bCs/>
              </w:rPr>
              <w:t>31</w:t>
            </w:r>
            <w:r>
              <w:rPr>
                <w:rFonts w:ascii="Times New Roman" w:hAnsi="Times New Roman" w:cs="宋体" w:hint="eastAsia"/>
                <w:b/>
                <w:bCs/>
              </w:rPr>
              <w:t>日</w:t>
            </w:r>
          </w:p>
        </w:tc>
      </w:tr>
      <w:tr w:rsidR="00AD5BB5">
        <w:tc>
          <w:tcPr>
            <w:tcW w:w="1779" w:type="dxa"/>
            <w:vMerge/>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rPr>
                <w:rFonts w:ascii="Times New Roman" w:hAnsi="Times New Roman" w:cs="宋体"/>
                <w:b/>
                <w:bCs/>
              </w:rPr>
            </w:pPr>
          </w:p>
        </w:tc>
        <w:tc>
          <w:tcPr>
            <w:tcW w:w="151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宋体"/>
                <w:b/>
                <w:bCs/>
              </w:rPr>
            </w:pPr>
            <w:r>
              <w:rPr>
                <w:rFonts w:ascii="Times New Roman" w:hAnsi="Times New Roman" w:cs="宋体" w:hint="eastAsia"/>
                <w:b/>
                <w:bCs/>
              </w:rPr>
              <w:t>余额</w:t>
            </w:r>
          </w:p>
        </w:tc>
        <w:tc>
          <w:tcPr>
            <w:tcW w:w="1678"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宋体"/>
                <w:b/>
                <w:bCs/>
              </w:rPr>
            </w:pPr>
            <w:r>
              <w:rPr>
                <w:rFonts w:ascii="Times New Roman" w:hAnsi="Times New Roman" w:cs="宋体" w:hint="eastAsia"/>
                <w:b/>
                <w:bCs/>
              </w:rPr>
              <w:t>占比（</w:t>
            </w:r>
            <w:r>
              <w:rPr>
                <w:rFonts w:ascii="Times New Roman" w:hAnsi="Times New Roman" w:cs="宋体" w:hint="eastAsia"/>
                <w:b/>
                <w:bCs/>
              </w:rPr>
              <w:t>%</w:t>
            </w:r>
            <w:r>
              <w:rPr>
                <w:rFonts w:ascii="Times New Roman" w:hAnsi="Times New Roman" w:cs="宋体" w:hint="eastAsia"/>
                <w:b/>
                <w:bCs/>
              </w:rPr>
              <w:t>）</w:t>
            </w:r>
          </w:p>
        </w:tc>
        <w:tc>
          <w:tcPr>
            <w:tcW w:w="164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宋体"/>
                <w:b/>
                <w:bCs/>
              </w:rPr>
            </w:pPr>
            <w:r>
              <w:rPr>
                <w:rFonts w:ascii="Times New Roman" w:hAnsi="Times New Roman" w:cs="宋体" w:hint="eastAsia"/>
                <w:b/>
                <w:bCs/>
              </w:rPr>
              <w:t>余额</w:t>
            </w:r>
          </w:p>
        </w:tc>
        <w:tc>
          <w:tcPr>
            <w:tcW w:w="1678"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宋体"/>
                <w:b/>
                <w:bCs/>
              </w:rPr>
            </w:pPr>
            <w:r>
              <w:rPr>
                <w:rFonts w:ascii="Times New Roman" w:hAnsi="Times New Roman" w:cs="宋体" w:hint="eastAsia"/>
                <w:b/>
                <w:bCs/>
              </w:rPr>
              <w:t>占比（</w:t>
            </w:r>
            <w:r>
              <w:rPr>
                <w:rFonts w:ascii="Times New Roman" w:hAnsi="Times New Roman" w:cs="宋体" w:hint="eastAsia"/>
                <w:b/>
                <w:bCs/>
              </w:rPr>
              <w:t>%</w:t>
            </w:r>
            <w:r>
              <w:rPr>
                <w:rFonts w:ascii="Times New Roman" w:hAnsi="Times New Roman" w:cs="宋体" w:hint="eastAsia"/>
                <w:b/>
                <w:bCs/>
              </w:rPr>
              <w:t>）</w:t>
            </w:r>
          </w:p>
        </w:tc>
      </w:tr>
      <w:tr w:rsidR="00AD5BB5">
        <w:tc>
          <w:tcPr>
            <w:tcW w:w="177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rPr>
            </w:pPr>
            <w:r>
              <w:rPr>
                <w:rFonts w:ascii="Times New Roman" w:hAnsi="Times New Roman" w:cs="Times New Roman"/>
              </w:rPr>
              <w:t>厦门地区</w:t>
            </w:r>
          </w:p>
        </w:tc>
        <w:tc>
          <w:tcPr>
            <w:tcW w:w="1512" w:type="dxa"/>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93,164,486 </w:t>
            </w:r>
          </w:p>
        </w:tc>
        <w:tc>
          <w:tcPr>
            <w:tcW w:w="1678" w:type="dxa"/>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46.29 </w:t>
            </w:r>
          </w:p>
        </w:tc>
        <w:tc>
          <w:tcPr>
            <w:tcW w:w="164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92,829,529 </w:t>
            </w:r>
          </w:p>
        </w:tc>
        <w:tc>
          <w:tcPr>
            <w:tcW w:w="1678"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46.33 </w:t>
            </w:r>
          </w:p>
        </w:tc>
      </w:tr>
      <w:tr w:rsidR="00AD5BB5">
        <w:tc>
          <w:tcPr>
            <w:tcW w:w="177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rPr>
            </w:pPr>
            <w:r>
              <w:rPr>
                <w:rFonts w:ascii="Times New Roman" w:hAnsi="Times New Roman" w:cs="Times New Roman"/>
              </w:rPr>
              <w:t>其他地区</w:t>
            </w:r>
          </w:p>
        </w:tc>
        <w:tc>
          <w:tcPr>
            <w:tcW w:w="1512" w:type="dxa"/>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108,094,068 </w:t>
            </w:r>
          </w:p>
        </w:tc>
        <w:tc>
          <w:tcPr>
            <w:tcW w:w="1678" w:type="dxa"/>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53.71 </w:t>
            </w:r>
          </w:p>
        </w:tc>
        <w:tc>
          <w:tcPr>
            <w:tcW w:w="164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107,555,605 </w:t>
            </w:r>
          </w:p>
        </w:tc>
        <w:tc>
          <w:tcPr>
            <w:tcW w:w="1678"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53.67 </w:t>
            </w:r>
          </w:p>
        </w:tc>
      </w:tr>
      <w:tr w:rsidR="00AD5BB5">
        <w:tc>
          <w:tcPr>
            <w:tcW w:w="177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rPr>
            </w:pPr>
            <w:r>
              <w:rPr>
                <w:rFonts w:ascii="Times New Roman" w:hAnsi="Times New Roman" w:cs="Times New Roman"/>
                <w:b/>
                <w:bCs/>
              </w:rPr>
              <w:lastRenderedPageBreak/>
              <w:t>贷款和垫款总额</w:t>
            </w:r>
          </w:p>
        </w:tc>
        <w:tc>
          <w:tcPr>
            <w:tcW w:w="1512" w:type="dxa"/>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201,258,554 </w:t>
            </w:r>
          </w:p>
        </w:tc>
        <w:tc>
          <w:tcPr>
            <w:tcW w:w="1678" w:type="dxa"/>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w:t>
            </w:r>
            <w:r>
              <w:rPr>
                <w:rFonts w:ascii="Times New Roman" w:hAnsi="Times New Roman" w:cs="Times New Roman" w:hint="eastAsia"/>
                <w:kern w:val="0"/>
                <w:szCs w:val="21"/>
                <w:lang w:bidi="ar"/>
              </w:rPr>
              <w:t>100.00</w:t>
            </w:r>
            <w:r>
              <w:rPr>
                <w:rFonts w:ascii="Times New Roman" w:hAnsi="Times New Roman" w:cs="Times New Roman"/>
                <w:kern w:val="0"/>
                <w:szCs w:val="21"/>
                <w:lang w:bidi="ar"/>
              </w:rPr>
              <w:t xml:space="preserve"> </w:t>
            </w:r>
          </w:p>
        </w:tc>
        <w:tc>
          <w:tcPr>
            <w:tcW w:w="164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200,385,134 </w:t>
            </w:r>
          </w:p>
        </w:tc>
        <w:tc>
          <w:tcPr>
            <w:tcW w:w="1678"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w:t>
            </w:r>
            <w:r>
              <w:rPr>
                <w:rFonts w:ascii="Times New Roman" w:hAnsi="Times New Roman" w:cs="Times New Roman" w:hint="eastAsia"/>
                <w:kern w:val="0"/>
                <w:szCs w:val="21"/>
                <w:lang w:bidi="ar"/>
              </w:rPr>
              <w:t>100.00</w:t>
            </w:r>
            <w:r>
              <w:rPr>
                <w:rFonts w:ascii="Times New Roman" w:hAnsi="Times New Roman" w:cs="Times New Roman"/>
                <w:kern w:val="0"/>
                <w:szCs w:val="21"/>
                <w:lang w:bidi="ar"/>
              </w:rPr>
              <w:t xml:space="preserve"> </w:t>
            </w:r>
          </w:p>
        </w:tc>
      </w:tr>
    </w:tbl>
    <w:p w:rsidR="00AD5BB5" w:rsidRDefault="00AD5BB5">
      <w:pPr>
        <w:spacing w:line="360" w:lineRule="auto"/>
        <w:ind w:right="5"/>
        <w:rPr>
          <w:rFonts w:ascii="Times New Roman" w:hAnsi="Times New Roman" w:cs="Times New Roman"/>
          <w:b/>
        </w:rPr>
      </w:pPr>
    </w:p>
    <w:p w:rsidR="00AD5BB5" w:rsidRDefault="00F87FF6">
      <w:pPr>
        <w:spacing w:line="360" w:lineRule="auto"/>
        <w:ind w:right="5"/>
        <w:rPr>
          <w:rFonts w:ascii="Times New Roman" w:hAnsi="Times New Roman" w:cs="Times New Roman"/>
          <w:b/>
        </w:rPr>
      </w:pPr>
      <w:r>
        <w:rPr>
          <w:rFonts w:ascii="Times New Roman" w:hAnsi="Times New Roman" w:cs="Times New Roman"/>
          <w:b/>
        </w:rPr>
        <w:t>（</w:t>
      </w:r>
      <w:r>
        <w:rPr>
          <w:rFonts w:ascii="Times New Roman" w:hAnsi="Times New Roman" w:cs="Times New Roman"/>
          <w:b/>
        </w:rPr>
        <w:t>4</w:t>
      </w:r>
      <w:r>
        <w:rPr>
          <w:rFonts w:ascii="Times New Roman" w:hAnsi="Times New Roman" w:cs="Times New Roman"/>
          <w:b/>
        </w:rPr>
        <w:t>）按担保方式分布情况</w:t>
      </w:r>
    </w:p>
    <w:p w:rsidR="00AD5BB5" w:rsidRDefault="00F87FF6">
      <w:pPr>
        <w:spacing w:line="360" w:lineRule="auto"/>
        <w:ind w:right="5" w:firstLineChars="200" w:firstLine="420"/>
        <w:rPr>
          <w:rFonts w:ascii="Times New Roman" w:hAnsi="Times New Roman" w:cs="宋体"/>
          <w:b/>
          <w:bCs/>
        </w:rPr>
      </w:pPr>
      <w:r>
        <w:rPr>
          <w:rFonts w:ascii="Times New Roman" w:hAnsi="Times New Roman" w:cs="宋体" w:hint="eastAsia"/>
        </w:rPr>
        <w:t>报告期内，公司贷款的担保结构保持稳定。截至报告期末，公司抵质押类贷款和</w:t>
      </w:r>
      <w:proofErr w:type="gramStart"/>
      <w:r>
        <w:rPr>
          <w:rFonts w:ascii="Times New Roman" w:hAnsi="Times New Roman" w:cs="宋体" w:hint="eastAsia"/>
        </w:rPr>
        <w:t>垫款余额</w:t>
      </w:r>
      <w:proofErr w:type="gramEnd"/>
      <w:r>
        <w:rPr>
          <w:rFonts w:ascii="Times New Roman" w:hAnsi="Times New Roman" w:cs="宋体" w:hint="eastAsia"/>
        </w:rPr>
        <w:t>1,533.65</w:t>
      </w:r>
      <w:r>
        <w:rPr>
          <w:rFonts w:ascii="Times New Roman" w:hAnsi="Times New Roman" w:cs="宋体" w:hint="eastAsia"/>
        </w:rPr>
        <w:t>亿元，占公司贷款和垫款总额的</w:t>
      </w:r>
      <w:r>
        <w:rPr>
          <w:rFonts w:ascii="Times New Roman" w:hAnsi="Times New Roman" w:cs="宋体" w:hint="eastAsia"/>
        </w:rPr>
        <w:t>76.20%</w:t>
      </w:r>
      <w:r>
        <w:rPr>
          <w:rFonts w:ascii="Times New Roman" w:hAnsi="Times New Roman" w:cs="宋体" w:hint="eastAsia"/>
        </w:rPr>
        <w:t>；保证类贷款和</w:t>
      </w:r>
      <w:proofErr w:type="gramStart"/>
      <w:r>
        <w:rPr>
          <w:rFonts w:ascii="Times New Roman" w:hAnsi="Times New Roman" w:cs="宋体" w:hint="eastAsia"/>
        </w:rPr>
        <w:t>垫款余额</w:t>
      </w:r>
      <w:proofErr w:type="gramEnd"/>
      <w:r>
        <w:rPr>
          <w:rFonts w:ascii="Times New Roman" w:hAnsi="Times New Roman" w:cs="宋体" w:hint="eastAsia"/>
        </w:rPr>
        <w:t>309.86</w:t>
      </w:r>
      <w:r>
        <w:rPr>
          <w:rFonts w:ascii="Times New Roman" w:hAnsi="Times New Roman" w:cs="宋体" w:hint="eastAsia"/>
        </w:rPr>
        <w:t>亿元，占公司贷款和垫款总额的</w:t>
      </w:r>
      <w:r>
        <w:rPr>
          <w:rFonts w:ascii="Times New Roman" w:hAnsi="Times New Roman" w:cs="宋体" w:hint="eastAsia"/>
        </w:rPr>
        <w:t>15.40%</w:t>
      </w:r>
      <w:r>
        <w:rPr>
          <w:rFonts w:ascii="Times New Roman" w:hAnsi="Times New Roman" w:cs="宋体" w:hint="eastAsia"/>
        </w:rPr>
        <w:t>；信用类贷款和</w:t>
      </w:r>
      <w:proofErr w:type="gramStart"/>
      <w:r>
        <w:rPr>
          <w:rFonts w:ascii="Times New Roman" w:hAnsi="Times New Roman" w:cs="宋体" w:hint="eastAsia"/>
        </w:rPr>
        <w:t>垫款余额</w:t>
      </w:r>
      <w:proofErr w:type="gramEnd"/>
      <w:r>
        <w:rPr>
          <w:rFonts w:ascii="Times New Roman" w:hAnsi="Times New Roman" w:cs="宋体" w:hint="eastAsia"/>
        </w:rPr>
        <w:t>169.07</w:t>
      </w:r>
      <w:r>
        <w:rPr>
          <w:rFonts w:ascii="Times New Roman" w:hAnsi="Times New Roman" w:cs="宋体" w:hint="eastAsia"/>
        </w:rPr>
        <w:t>亿元，占公司贷款和垫款总额的</w:t>
      </w:r>
      <w:r>
        <w:rPr>
          <w:rFonts w:ascii="Times New Roman" w:hAnsi="Times New Roman" w:cs="宋体" w:hint="eastAsia"/>
        </w:rPr>
        <w:t>8.40%</w:t>
      </w:r>
      <w:r>
        <w:rPr>
          <w:rFonts w:ascii="Times New Roman" w:hAnsi="Times New Roman" w:cs="宋体" w:hint="eastAsia"/>
        </w:rPr>
        <w:t>。</w:t>
      </w:r>
    </w:p>
    <w:p w:rsidR="00AD5BB5" w:rsidRDefault="00F87FF6">
      <w:pPr>
        <w:jc w:val="right"/>
        <w:rPr>
          <w:rFonts w:ascii="Times New Roman" w:hAnsi="Times New Roman" w:cs="Times New Roman"/>
        </w:rPr>
      </w:pPr>
      <w:r>
        <w:rPr>
          <w:rFonts w:ascii="Times New Roman" w:hAnsi="Times New Roman" w:cs="Times New Roman"/>
        </w:rPr>
        <w:t>单位：人民币千元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634"/>
        <w:gridCol w:w="1588"/>
        <w:gridCol w:w="1653"/>
        <w:gridCol w:w="1682"/>
      </w:tblGrid>
      <w:tr w:rsidR="00AD5BB5">
        <w:tc>
          <w:tcPr>
            <w:tcW w:w="1739"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rPr>
            </w:pPr>
            <w:r>
              <w:rPr>
                <w:rFonts w:ascii="Times New Roman" w:hAnsi="Times New Roman" w:cs="Times New Roman"/>
                <w:b/>
                <w:bCs/>
              </w:rPr>
              <w:t>项目</w:t>
            </w:r>
          </w:p>
        </w:tc>
        <w:tc>
          <w:tcPr>
            <w:tcW w:w="322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rPr>
            </w:pPr>
            <w:r>
              <w:rPr>
                <w:rFonts w:ascii="Times New Roman" w:hAnsi="Times New Roman" w:cs="Times New Roman"/>
                <w:b/>
                <w:bCs/>
              </w:rPr>
              <w:t>202</w:t>
            </w:r>
            <w:r>
              <w:rPr>
                <w:rFonts w:ascii="Times New Roman" w:hAnsi="Times New Roman" w:cs="Times New Roman" w:hint="eastAsia"/>
                <w:b/>
                <w:bCs/>
              </w:rPr>
              <w:t>3</w:t>
            </w:r>
            <w:r>
              <w:rPr>
                <w:rFonts w:ascii="Times New Roman" w:hAnsi="Times New Roman" w:cs="Times New Roman"/>
                <w:b/>
                <w:bCs/>
              </w:rPr>
              <w:t>年</w:t>
            </w:r>
            <w:r>
              <w:rPr>
                <w:rFonts w:ascii="Times New Roman" w:hAnsi="Times New Roman" w:cs="Times New Roman"/>
                <w:b/>
                <w:bCs/>
              </w:rPr>
              <w:t>6</w:t>
            </w:r>
            <w:r>
              <w:rPr>
                <w:rFonts w:ascii="Times New Roman" w:hAnsi="Times New Roman" w:cs="Times New Roman"/>
                <w:b/>
                <w:bCs/>
              </w:rPr>
              <w:t>月</w:t>
            </w:r>
            <w:r>
              <w:rPr>
                <w:rFonts w:ascii="Times New Roman" w:hAnsi="Times New Roman" w:cs="Times New Roman"/>
                <w:b/>
                <w:bCs/>
              </w:rPr>
              <w:t>30</w:t>
            </w:r>
            <w:r>
              <w:rPr>
                <w:rFonts w:ascii="Times New Roman" w:hAnsi="Times New Roman" w:cs="Times New Roman"/>
                <w:b/>
                <w:bCs/>
              </w:rPr>
              <w:t>日</w:t>
            </w:r>
          </w:p>
        </w:tc>
        <w:tc>
          <w:tcPr>
            <w:tcW w:w="333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rPr>
            </w:pPr>
            <w:r>
              <w:rPr>
                <w:rFonts w:ascii="Times New Roman" w:hAnsi="Times New Roman" w:cs="Times New Roman"/>
                <w:b/>
                <w:bCs/>
              </w:rPr>
              <w:t>202</w:t>
            </w:r>
            <w:r>
              <w:rPr>
                <w:rFonts w:ascii="Times New Roman" w:hAnsi="Times New Roman" w:cs="Times New Roman" w:hint="eastAsia"/>
                <w:b/>
                <w:bCs/>
              </w:rPr>
              <w:t>2</w:t>
            </w:r>
            <w:r>
              <w:rPr>
                <w:rFonts w:ascii="Times New Roman" w:hAnsi="Times New Roman" w:cs="Times New Roman"/>
                <w:b/>
                <w:bCs/>
              </w:rPr>
              <w:t>年</w:t>
            </w:r>
            <w:r>
              <w:rPr>
                <w:rFonts w:ascii="Times New Roman" w:hAnsi="Times New Roman" w:cs="Times New Roman"/>
                <w:b/>
                <w:bCs/>
              </w:rPr>
              <w:t>12</w:t>
            </w:r>
            <w:r>
              <w:rPr>
                <w:rFonts w:ascii="Times New Roman" w:hAnsi="Times New Roman" w:cs="Times New Roman"/>
                <w:b/>
                <w:bCs/>
              </w:rPr>
              <w:t>月</w:t>
            </w:r>
            <w:r>
              <w:rPr>
                <w:rFonts w:ascii="Times New Roman" w:hAnsi="Times New Roman" w:cs="Times New Roman"/>
                <w:b/>
                <w:bCs/>
              </w:rPr>
              <w:t>31</w:t>
            </w:r>
            <w:r>
              <w:rPr>
                <w:rFonts w:ascii="Times New Roman" w:hAnsi="Times New Roman" w:cs="Times New Roman"/>
                <w:b/>
                <w:bCs/>
              </w:rPr>
              <w:t>日</w:t>
            </w:r>
          </w:p>
        </w:tc>
      </w:tr>
      <w:tr w:rsidR="00AD5BB5">
        <w:tc>
          <w:tcPr>
            <w:tcW w:w="1739" w:type="dxa"/>
            <w:vMerge/>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rPr>
                <w:rFonts w:ascii="Times New Roman" w:hAnsi="Times New Roman" w:cs="Times New Roman"/>
                <w:b/>
                <w:bCs/>
              </w:rPr>
            </w:pPr>
          </w:p>
        </w:tc>
        <w:tc>
          <w:tcPr>
            <w:tcW w:w="163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Times New Roman"/>
                <w:b/>
                <w:bCs/>
              </w:rPr>
            </w:pPr>
            <w:r>
              <w:rPr>
                <w:rFonts w:ascii="Times New Roman" w:hAnsi="Times New Roman" w:cs="Times New Roman"/>
                <w:b/>
                <w:bCs/>
              </w:rPr>
              <w:t>余额</w:t>
            </w:r>
          </w:p>
        </w:tc>
        <w:tc>
          <w:tcPr>
            <w:tcW w:w="1588"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Times New Roman"/>
                <w:b/>
                <w:bCs/>
              </w:rPr>
            </w:pPr>
            <w:r>
              <w:rPr>
                <w:rFonts w:ascii="Times New Roman" w:hAnsi="Times New Roman" w:cs="Times New Roman"/>
                <w:b/>
                <w:bCs/>
              </w:rPr>
              <w:t>占比（</w:t>
            </w:r>
            <w:r>
              <w:rPr>
                <w:rFonts w:ascii="Times New Roman" w:hAnsi="Times New Roman" w:cs="Times New Roman"/>
                <w:b/>
                <w:bCs/>
              </w:rPr>
              <w:t>%</w:t>
            </w:r>
            <w:r>
              <w:rPr>
                <w:rFonts w:ascii="Times New Roman" w:hAnsi="Times New Roman" w:cs="Times New Roman"/>
                <w:b/>
                <w:bCs/>
              </w:rPr>
              <w:t>）</w:t>
            </w:r>
          </w:p>
        </w:tc>
        <w:tc>
          <w:tcPr>
            <w:tcW w:w="165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Times New Roman"/>
                <w:b/>
                <w:bCs/>
              </w:rPr>
            </w:pPr>
            <w:r>
              <w:rPr>
                <w:rFonts w:ascii="Times New Roman" w:hAnsi="Times New Roman" w:cs="Times New Roman"/>
                <w:b/>
                <w:bCs/>
              </w:rPr>
              <w:t>余额</w:t>
            </w:r>
          </w:p>
        </w:tc>
        <w:tc>
          <w:tcPr>
            <w:tcW w:w="168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Times New Roman"/>
                <w:b/>
                <w:bCs/>
              </w:rPr>
            </w:pPr>
            <w:r>
              <w:rPr>
                <w:rFonts w:ascii="Times New Roman" w:hAnsi="Times New Roman" w:cs="Times New Roman"/>
                <w:b/>
                <w:bCs/>
              </w:rPr>
              <w:t>占比（</w:t>
            </w:r>
            <w:r>
              <w:rPr>
                <w:rFonts w:ascii="Times New Roman" w:hAnsi="Times New Roman" w:cs="Times New Roman"/>
                <w:b/>
                <w:bCs/>
              </w:rPr>
              <w:t>%</w:t>
            </w:r>
            <w:r>
              <w:rPr>
                <w:rFonts w:ascii="Times New Roman" w:hAnsi="Times New Roman" w:cs="Times New Roman"/>
                <w:b/>
                <w:bCs/>
              </w:rPr>
              <w:t>）</w:t>
            </w:r>
          </w:p>
        </w:tc>
      </w:tr>
      <w:tr w:rsidR="00AD5BB5">
        <w:tc>
          <w:tcPr>
            <w:tcW w:w="173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信用贷款</w:t>
            </w:r>
          </w:p>
        </w:tc>
        <w:tc>
          <w:tcPr>
            <w:tcW w:w="1634" w:type="dxa"/>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16,907,364 </w:t>
            </w:r>
          </w:p>
        </w:tc>
        <w:tc>
          <w:tcPr>
            <w:tcW w:w="1588" w:type="dxa"/>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8.40 </w:t>
            </w:r>
          </w:p>
        </w:tc>
        <w:tc>
          <w:tcPr>
            <w:tcW w:w="165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17,975,782 </w:t>
            </w:r>
          </w:p>
        </w:tc>
        <w:tc>
          <w:tcPr>
            <w:tcW w:w="168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8.97 </w:t>
            </w:r>
          </w:p>
        </w:tc>
      </w:tr>
      <w:tr w:rsidR="00AD5BB5">
        <w:tc>
          <w:tcPr>
            <w:tcW w:w="173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保证贷款</w:t>
            </w:r>
          </w:p>
        </w:tc>
        <w:tc>
          <w:tcPr>
            <w:tcW w:w="1634" w:type="dxa"/>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30,986,275 </w:t>
            </w:r>
          </w:p>
        </w:tc>
        <w:tc>
          <w:tcPr>
            <w:tcW w:w="1588" w:type="dxa"/>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15.40 </w:t>
            </w:r>
          </w:p>
        </w:tc>
        <w:tc>
          <w:tcPr>
            <w:tcW w:w="165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30,227,079 </w:t>
            </w:r>
          </w:p>
        </w:tc>
        <w:tc>
          <w:tcPr>
            <w:tcW w:w="168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15.08 </w:t>
            </w:r>
          </w:p>
        </w:tc>
      </w:tr>
      <w:tr w:rsidR="00AD5BB5">
        <w:tc>
          <w:tcPr>
            <w:tcW w:w="173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抵押贷款</w:t>
            </w:r>
          </w:p>
        </w:tc>
        <w:tc>
          <w:tcPr>
            <w:tcW w:w="1634" w:type="dxa"/>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123,672,283 </w:t>
            </w:r>
          </w:p>
        </w:tc>
        <w:tc>
          <w:tcPr>
            <w:tcW w:w="1588" w:type="dxa"/>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61.45 </w:t>
            </w:r>
          </w:p>
        </w:tc>
        <w:tc>
          <w:tcPr>
            <w:tcW w:w="165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122,541,836 </w:t>
            </w:r>
          </w:p>
        </w:tc>
        <w:tc>
          <w:tcPr>
            <w:tcW w:w="168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61.15 </w:t>
            </w:r>
          </w:p>
        </w:tc>
      </w:tr>
      <w:tr w:rsidR="00AD5BB5">
        <w:tc>
          <w:tcPr>
            <w:tcW w:w="173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质押贷款</w:t>
            </w:r>
          </w:p>
        </w:tc>
        <w:tc>
          <w:tcPr>
            <w:tcW w:w="1634" w:type="dxa"/>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29,692,632 </w:t>
            </w:r>
          </w:p>
        </w:tc>
        <w:tc>
          <w:tcPr>
            <w:tcW w:w="1588" w:type="dxa"/>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14.75 </w:t>
            </w:r>
          </w:p>
        </w:tc>
        <w:tc>
          <w:tcPr>
            <w:tcW w:w="165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29,640,437 </w:t>
            </w:r>
          </w:p>
        </w:tc>
        <w:tc>
          <w:tcPr>
            <w:tcW w:w="168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14.79 </w:t>
            </w:r>
          </w:p>
        </w:tc>
      </w:tr>
      <w:tr w:rsidR="00AD5BB5">
        <w:tc>
          <w:tcPr>
            <w:tcW w:w="173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b/>
                <w:bCs/>
              </w:rPr>
              <w:t>贷款和垫款总额</w:t>
            </w:r>
          </w:p>
        </w:tc>
        <w:tc>
          <w:tcPr>
            <w:tcW w:w="1634" w:type="dxa"/>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201,258,554 </w:t>
            </w:r>
          </w:p>
        </w:tc>
        <w:tc>
          <w:tcPr>
            <w:tcW w:w="1588" w:type="dxa"/>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w:t>
            </w:r>
            <w:r>
              <w:rPr>
                <w:rFonts w:ascii="Times New Roman" w:hAnsi="Times New Roman" w:cs="Times New Roman" w:hint="eastAsia"/>
                <w:kern w:val="0"/>
                <w:szCs w:val="21"/>
                <w:lang w:bidi="ar"/>
              </w:rPr>
              <w:t>100.00</w:t>
            </w:r>
            <w:r>
              <w:rPr>
                <w:rFonts w:ascii="Times New Roman" w:hAnsi="Times New Roman" w:cs="Times New Roman"/>
                <w:kern w:val="0"/>
                <w:szCs w:val="21"/>
                <w:lang w:bidi="ar"/>
              </w:rPr>
              <w:t xml:space="preserve"> </w:t>
            </w:r>
          </w:p>
        </w:tc>
        <w:tc>
          <w:tcPr>
            <w:tcW w:w="165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200,385,134 </w:t>
            </w:r>
          </w:p>
        </w:tc>
        <w:tc>
          <w:tcPr>
            <w:tcW w:w="168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w:t>
            </w:r>
            <w:r>
              <w:rPr>
                <w:rFonts w:ascii="Times New Roman" w:hAnsi="Times New Roman" w:cs="Times New Roman" w:hint="eastAsia"/>
                <w:kern w:val="0"/>
                <w:szCs w:val="21"/>
                <w:lang w:bidi="ar"/>
              </w:rPr>
              <w:t>100.00</w:t>
            </w:r>
            <w:r>
              <w:rPr>
                <w:rFonts w:ascii="Times New Roman" w:hAnsi="Times New Roman" w:cs="Times New Roman"/>
                <w:kern w:val="0"/>
                <w:szCs w:val="21"/>
                <w:lang w:bidi="ar"/>
              </w:rPr>
              <w:t xml:space="preserve"> </w:t>
            </w:r>
          </w:p>
        </w:tc>
      </w:tr>
    </w:tbl>
    <w:p w:rsidR="00AD5BB5" w:rsidRDefault="00AD5BB5">
      <w:pPr>
        <w:rPr>
          <w:rFonts w:ascii="Times New Roman" w:hAnsi="Times New Roman" w:cs="Times New Roman"/>
        </w:rPr>
      </w:pPr>
    </w:p>
    <w:p w:rsidR="00AD5BB5" w:rsidRDefault="00F87FF6">
      <w:pPr>
        <w:spacing w:line="360" w:lineRule="auto"/>
        <w:ind w:right="5"/>
        <w:rPr>
          <w:rFonts w:ascii="Times New Roman" w:hAnsi="Times New Roman" w:cs="Times New Roman"/>
          <w:b/>
        </w:rPr>
      </w:pPr>
      <w:r>
        <w:rPr>
          <w:rFonts w:ascii="Times New Roman" w:hAnsi="Times New Roman" w:cs="Times New Roman"/>
          <w:b/>
        </w:rPr>
        <w:t>（</w:t>
      </w:r>
      <w:r>
        <w:rPr>
          <w:rFonts w:ascii="Times New Roman" w:hAnsi="Times New Roman" w:cs="Times New Roman"/>
          <w:b/>
        </w:rPr>
        <w:t>5</w:t>
      </w:r>
      <w:r>
        <w:rPr>
          <w:rFonts w:ascii="Times New Roman" w:hAnsi="Times New Roman" w:cs="Times New Roman"/>
          <w:b/>
        </w:rPr>
        <w:t>）报告</w:t>
      </w:r>
      <w:proofErr w:type="gramStart"/>
      <w:r>
        <w:rPr>
          <w:rFonts w:ascii="Times New Roman" w:hAnsi="Times New Roman" w:cs="Times New Roman"/>
          <w:b/>
        </w:rPr>
        <w:t>期末前</w:t>
      </w:r>
      <w:proofErr w:type="gramEnd"/>
      <w:r>
        <w:rPr>
          <w:rFonts w:ascii="Times New Roman" w:hAnsi="Times New Roman" w:cs="Times New Roman"/>
          <w:b/>
        </w:rPr>
        <w:t>十名贷款客户情况</w:t>
      </w:r>
    </w:p>
    <w:p w:rsidR="00AD5BB5" w:rsidRDefault="00F87FF6">
      <w:pPr>
        <w:spacing w:line="360" w:lineRule="auto"/>
        <w:ind w:firstLineChars="200" w:firstLine="420"/>
        <w:rPr>
          <w:rFonts w:ascii="Times New Roman" w:hAnsi="Times New Roman" w:cs="宋体"/>
          <w:b/>
          <w:bCs/>
        </w:rPr>
      </w:pPr>
      <w:r>
        <w:rPr>
          <w:rFonts w:ascii="Times New Roman" w:hAnsi="Times New Roman" w:cs="宋体" w:hint="eastAsia"/>
        </w:rPr>
        <w:t>截至报告期末，公司最大单一客户贷款余额</w:t>
      </w:r>
      <w:r>
        <w:rPr>
          <w:rFonts w:ascii="Times New Roman" w:hAnsi="Times New Roman" w:cs="宋体" w:hint="eastAsia"/>
        </w:rPr>
        <w:t>12.19</w:t>
      </w:r>
      <w:r>
        <w:rPr>
          <w:rFonts w:ascii="Times New Roman" w:hAnsi="Times New Roman" w:cs="宋体" w:hint="eastAsia"/>
        </w:rPr>
        <w:t>亿元，占公司贷款和垫款总额的</w:t>
      </w:r>
      <w:r>
        <w:rPr>
          <w:rFonts w:ascii="Times New Roman" w:hAnsi="Times New Roman" w:cs="宋体" w:hint="eastAsia"/>
        </w:rPr>
        <w:t>0.61%</w:t>
      </w:r>
      <w:r>
        <w:rPr>
          <w:rFonts w:ascii="Times New Roman" w:hAnsi="Times New Roman" w:cs="宋体" w:hint="eastAsia"/>
        </w:rPr>
        <w:t>；前十</w:t>
      </w:r>
      <w:proofErr w:type="gramStart"/>
      <w:r>
        <w:rPr>
          <w:rFonts w:ascii="Times New Roman" w:hAnsi="Times New Roman" w:cs="宋体" w:hint="eastAsia"/>
        </w:rPr>
        <w:t>大贷款</w:t>
      </w:r>
      <w:proofErr w:type="gramEnd"/>
      <w:r>
        <w:rPr>
          <w:rFonts w:ascii="Times New Roman" w:hAnsi="Times New Roman" w:cs="宋体" w:hint="eastAsia"/>
        </w:rPr>
        <w:t>客户合计贷款余额</w:t>
      </w:r>
      <w:r>
        <w:rPr>
          <w:rFonts w:ascii="Times New Roman" w:hAnsi="Times New Roman" w:cs="宋体" w:hint="eastAsia"/>
        </w:rPr>
        <w:t>76.88</w:t>
      </w:r>
      <w:r>
        <w:rPr>
          <w:rFonts w:ascii="Times New Roman" w:hAnsi="Times New Roman" w:cs="宋体" w:hint="eastAsia"/>
        </w:rPr>
        <w:t>亿元，占公司贷款和垫款总额的</w:t>
      </w:r>
      <w:r>
        <w:rPr>
          <w:rFonts w:ascii="Times New Roman" w:hAnsi="Times New Roman" w:cs="宋体" w:hint="eastAsia"/>
        </w:rPr>
        <w:t>3.82%</w:t>
      </w:r>
      <w:r>
        <w:rPr>
          <w:rFonts w:ascii="Times New Roman" w:hAnsi="Times New Roman" w:cs="宋体" w:hint="eastAsia"/>
        </w:rPr>
        <w:t>。</w:t>
      </w:r>
    </w:p>
    <w:p w:rsidR="00AD5BB5" w:rsidRDefault="00F87FF6">
      <w:pPr>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单位：人民币千元</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2639"/>
        <w:gridCol w:w="2761"/>
      </w:tblGrid>
      <w:tr w:rsidR="00AD5BB5">
        <w:trPr>
          <w:trHeight w:val="333"/>
        </w:trPr>
        <w:tc>
          <w:tcPr>
            <w:tcW w:w="173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Style w:val="5Char"/>
                <w:rFonts w:ascii="Times New Roman" w:hAnsi="Times New Roman" w:cs="宋体"/>
              </w:rPr>
            </w:pPr>
            <w:r>
              <w:rPr>
                <w:rStyle w:val="5Char"/>
                <w:rFonts w:ascii="Times New Roman" w:hAnsi="Times New Roman" w:cs="宋体" w:hint="eastAsia"/>
              </w:rPr>
              <w:t>客户名称</w:t>
            </w:r>
          </w:p>
        </w:tc>
        <w:tc>
          <w:tcPr>
            <w:tcW w:w="159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Style w:val="5Char"/>
                <w:rFonts w:ascii="Times New Roman" w:hAnsi="Times New Roman" w:cs="宋体"/>
              </w:rPr>
            </w:pPr>
            <w:r>
              <w:rPr>
                <w:rFonts w:ascii="Times New Roman" w:hAnsi="Times New Roman" w:cs="宋体" w:hint="eastAsia"/>
                <w:b/>
              </w:rPr>
              <w:t>2023</w:t>
            </w:r>
            <w:r>
              <w:rPr>
                <w:rFonts w:ascii="Times New Roman" w:hAnsi="Times New Roman" w:cs="宋体" w:hint="eastAsia"/>
                <w:b/>
              </w:rPr>
              <w:t>年</w:t>
            </w:r>
            <w:r>
              <w:rPr>
                <w:rFonts w:ascii="Times New Roman" w:hAnsi="Times New Roman" w:cs="宋体" w:hint="eastAsia"/>
                <w:b/>
              </w:rPr>
              <w:t>6</w:t>
            </w:r>
            <w:r>
              <w:rPr>
                <w:rFonts w:ascii="Times New Roman" w:hAnsi="Times New Roman" w:cs="宋体" w:hint="eastAsia"/>
                <w:b/>
              </w:rPr>
              <w:t>月</w:t>
            </w:r>
            <w:r>
              <w:rPr>
                <w:rFonts w:ascii="Times New Roman" w:hAnsi="Times New Roman" w:cs="宋体" w:hint="eastAsia"/>
                <w:b/>
              </w:rPr>
              <w:t>30</w:t>
            </w:r>
            <w:r>
              <w:rPr>
                <w:rFonts w:ascii="Times New Roman" w:hAnsi="Times New Roman" w:cs="宋体" w:hint="eastAsia"/>
                <w:b/>
              </w:rPr>
              <w:t>日</w:t>
            </w:r>
          </w:p>
        </w:tc>
        <w:tc>
          <w:tcPr>
            <w:tcW w:w="166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Style w:val="5Char"/>
                <w:rFonts w:ascii="Times New Roman" w:hAnsi="Times New Roman" w:cs="宋体"/>
              </w:rPr>
            </w:pPr>
            <w:r>
              <w:rPr>
                <w:rStyle w:val="5Char"/>
                <w:rFonts w:ascii="Times New Roman" w:hAnsi="Times New Roman" w:cs="宋体" w:hint="eastAsia"/>
              </w:rPr>
              <w:t>占贷款总额比（</w:t>
            </w:r>
            <w:r>
              <w:rPr>
                <w:rStyle w:val="5Char"/>
                <w:rFonts w:ascii="Times New Roman" w:hAnsi="Times New Roman" w:cs="宋体" w:hint="eastAsia"/>
              </w:rPr>
              <w:t>%</w:t>
            </w:r>
            <w:r>
              <w:rPr>
                <w:rStyle w:val="5Char"/>
                <w:rFonts w:ascii="Times New Roman" w:hAnsi="Times New Roman" w:cs="宋体" w:hint="eastAsia"/>
              </w:rPr>
              <w:t>）</w:t>
            </w:r>
          </w:p>
        </w:tc>
      </w:tr>
      <w:tr w:rsidR="00AD5BB5">
        <w:trPr>
          <w:trHeight w:val="333"/>
        </w:trPr>
        <w:tc>
          <w:tcPr>
            <w:tcW w:w="173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客户</w:t>
            </w:r>
            <w:r>
              <w:rPr>
                <w:rFonts w:ascii="Times New Roman" w:hAnsi="Times New Roman" w:cs="宋体" w:hint="eastAsia"/>
              </w:rPr>
              <w:t>A</w:t>
            </w:r>
          </w:p>
        </w:tc>
        <w:tc>
          <w:tcPr>
            <w:tcW w:w="1594"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1,219,184 </w:t>
            </w:r>
          </w:p>
        </w:tc>
        <w:tc>
          <w:tcPr>
            <w:tcW w:w="1667"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0.61 </w:t>
            </w:r>
          </w:p>
        </w:tc>
      </w:tr>
      <w:tr w:rsidR="00AD5BB5">
        <w:trPr>
          <w:trHeight w:val="333"/>
        </w:trPr>
        <w:tc>
          <w:tcPr>
            <w:tcW w:w="173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客户</w:t>
            </w:r>
            <w:r>
              <w:rPr>
                <w:rFonts w:ascii="Times New Roman" w:hAnsi="Times New Roman" w:cs="宋体" w:hint="eastAsia"/>
              </w:rPr>
              <w:t>B</w:t>
            </w:r>
          </w:p>
        </w:tc>
        <w:tc>
          <w:tcPr>
            <w:tcW w:w="1594"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1,112,384 </w:t>
            </w:r>
          </w:p>
        </w:tc>
        <w:tc>
          <w:tcPr>
            <w:tcW w:w="1667"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0.55 </w:t>
            </w:r>
          </w:p>
        </w:tc>
      </w:tr>
      <w:tr w:rsidR="00AD5BB5">
        <w:trPr>
          <w:trHeight w:val="333"/>
        </w:trPr>
        <w:tc>
          <w:tcPr>
            <w:tcW w:w="173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客户</w:t>
            </w:r>
            <w:r>
              <w:rPr>
                <w:rFonts w:ascii="Times New Roman" w:hAnsi="Times New Roman" w:cs="宋体" w:hint="eastAsia"/>
              </w:rPr>
              <w:t>C</w:t>
            </w:r>
          </w:p>
        </w:tc>
        <w:tc>
          <w:tcPr>
            <w:tcW w:w="1594"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866,200 </w:t>
            </w:r>
          </w:p>
        </w:tc>
        <w:tc>
          <w:tcPr>
            <w:tcW w:w="1667"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0.43 </w:t>
            </w:r>
          </w:p>
        </w:tc>
      </w:tr>
      <w:tr w:rsidR="00AD5BB5">
        <w:trPr>
          <w:trHeight w:val="333"/>
        </w:trPr>
        <w:tc>
          <w:tcPr>
            <w:tcW w:w="173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客户</w:t>
            </w:r>
            <w:r>
              <w:rPr>
                <w:rFonts w:ascii="Times New Roman" w:hAnsi="Times New Roman" w:cs="宋体" w:hint="eastAsia"/>
              </w:rPr>
              <w:t>D</w:t>
            </w:r>
          </w:p>
        </w:tc>
        <w:tc>
          <w:tcPr>
            <w:tcW w:w="1594"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803,075 </w:t>
            </w:r>
          </w:p>
        </w:tc>
        <w:tc>
          <w:tcPr>
            <w:tcW w:w="1667"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0.40 </w:t>
            </w:r>
          </w:p>
        </w:tc>
      </w:tr>
      <w:tr w:rsidR="00AD5BB5">
        <w:trPr>
          <w:trHeight w:val="333"/>
        </w:trPr>
        <w:tc>
          <w:tcPr>
            <w:tcW w:w="173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客户</w:t>
            </w:r>
            <w:r>
              <w:rPr>
                <w:rFonts w:ascii="Times New Roman" w:hAnsi="Times New Roman" w:cs="宋体" w:hint="eastAsia"/>
              </w:rPr>
              <w:t>E</w:t>
            </w:r>
          </w:p>
        </w:tc>
        <w:tc>
          <w:tcPr>
            <w:tcW w:w="1594"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667,969 </w:t>
            </w:r>
          </w:p>
        </w:tc>
        <w:tc>
          <w:tcPr>
            <w:tcW w:w="1667"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0.33 </w:t>
            </w:r>
          </w:p>
        </w:tc>
      </w:tr>
      <w:tr w:rsidR="00AD5BB5">
        <w:trPr>
          <w:trHeight w:val="333"/>
        </w:trPr>
        <w:tc>
          <w:tcPr>
            <w:tcW w:w="173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客户</w:t>
            </w:r>
            <w:r>
              <w:rPr>
                <w:rFonts w:ascii="Times New Roman" w:hAnsi="Times New Roman" w:cs="宋体" w:hint="eastAsia"/>
              </w:rPr>
              <w:t>F</w:t>
            </w:r>
          </w:p>
        </w:tc>
        <w:tc>
          <w:tcPr>
            <w:tcW w:w="1594"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662,837 </w:t>
            </w:r>
          </w:p>
        </w:tc>
        <w:tc>
          <w:tcPr>
            <w:tcW w:w="1667"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0.33 </w:t>
            </w:r>
          </w:p>
        </w:tc>
      </w:tr>
      <w:tr w:rsidR="00AD5BB5">
        <w:trPr>
          <w:trHeight w:val="333"/>
        </w:trPr>
        <w:tc>
          <w:tcPr>
            <w:tcW w:w="173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客户</w:t>
            </w:r>
            <w:r>
              <w:rPr>
                <w:rFonts w:ascii="Times New Roman" w:hAnsi="Times New Roman" w:cs="宋体" w:hint="eastAsia"/>
              </w:rPr>
              <w:t>G</w:t>
            </w:r>
          </w:p>
        </w:tc>
        <w:tc>
          <w:tcPr>
            <w:tcW w:w="1594"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630,500 </w:t>
            </w:r>
          </w:p>
        </w:tc>
        <w:tc>
          <w:tcPr>
            <w:tcW w:w="1667"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0.31 </w:t>
            </w:r>
          </w:p>
        </w:tc>
      </w:tr>
      <w:tr w:rsidR="00AD5BB5">
        <w:trPr>
          <w:trHeight w:val="301"/>
        </w:trPr>
        <w:tc>
          <w:tcPr>
            <w:tcW w:w="173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客户</w:t>
            </w:r>
            <w:r>
              <w:rPr>
                <w:rFonts w:ascii="Times New Roman" w:hAnsi="Times New Roman" w:cs="宋体" w:hint="eastAsia"/>
              </w:rPr>
              <w:t>H</w:t>
            </w:r>
          </w:p>
        </w:tc>
        <w:tc>
          <w:tcPr>
            <w:tcW w:w="1594"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619,384 </w:t>
            </w:r>
          </w:p>
        </w:tc>
        <w:tc>
          <w:tcPr>
            <w:tcW w:w="1667"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0.31 </w:t>
            </w:r>
          </w:p>
        </w:tc>
      </w:tr>
      <w:tr w:rsidR="00AD5BB5">
        <w:trPr>
          <w:trHeight w:val="333"/>
        </w:trPr>
        <w:tc>
          <w:tcPr>
            <w:tcW w:w="173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客户</w:t>
            </w:r>
            <w:r>
              <w:rPr>
                <w:rFonts w:ascii="Times New Roman" w:hAnsi="Times New Roman" w:cs="宋体" w:hint="eastAsia"/>
              </w:rPr>
              <w:t>I</w:t>
            </w:r>
          </w:p>
        </w:tc>
        <w:tc>
          <w:tcPr>
            <w:tcW w:w="1594"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573,100 </w:t>
            </w:r>
          </w:p>
        </w:tc>
        <w:tc>
          <w:tcPr>
            <w:tcW w:w="1667"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0.28 </w:t>
            </w:r>
          </w:p>
        </w:tc>
      </w:tr>
      <w:tr w:rsidR="00AD5BB5">
        <w:trPr>
          <w:trHeight w:val="333"/>
        </w:trPr>
        <w:tc>
          <w:tcPr>
            <w:tcW w:w="173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宋体"/>
              </w:rPr>
            </w:pPr>
            <w:r>
              <w:rPr>
                <w:rFonts w:ascii="Times New Roman" w:hAnsi="Times New Roman" w:cs="宋体" w:hint="eastAsia"/>
              </w:rPr>
              <w:t>客户</w:t>
            </w:r>
            <w:r>
              <w:rPr>
                <w:rFonts w:ascii="Times New Roman" w:hAnsi="Times New Roman" w:cs="宋体" w:hint="eastAsia"/>
              </w:rPr>
              <w:t>J</w:t>
            </w:r>
          </w:p>
        </w:tc>
        <w:tc>
          <w:tcPr>
            <w:tcW w:w="1594"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533,270 </w:t>
            </w:r>
          </w:p>
        </w:tc>
        <w:tc>
          <w:tcPr>
            <w:tcW w:w="1667"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0.26 </w:t>
            </w:r>
          </w:p>
        </w:tc>
      </w:tr>
      <w:tr w:rsidR="00AD5BB5">
        <w:trPr>
          <w:trHeight w:val="343"/>
        </w:trPr>
        <w:tc>
          <w:tcPr>
            <w:tcW w:w="173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Style w:val="5Char"/>
                <w:rFonts w:ascii="Times New Roman" w:hAnsi="Times New Roman" w:cs="宋体"/>
                <w:b w:val="0"/>
              </w:rPr>
            </w:pPr>
            <w:r>
              <w:rPr>
                <w:rStyle w:val="5Char"/>
                <w:rFonts w:ascii="Times New Roman" w:hAnsi="Times New Roman" w:cs="宋体" w:hint="eastAsia"/>
              </w:rPr>
              <w:t>合计</w:t>
            </w:r>
          </w:p>
        </w:tc>
        <w:tc>
          <w:tcPr>
            <w:tcW w:w="1594"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7,687,903 </w:t>
            </w:r>
          </w:p>
        </w:tc>
        <w:tc>
          <w:tcPr>
            <w:tcW w:w="1667"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3.82 </w:t>
            </w:r>
          </w:p>
        </w:tc>
      </w:tr>
    </w:tbl>
    <w:p w:rsidR="00AD5BB5" w:rsidRDefault="00F87FF6">
      <w:pPr>
        <w:pStyle w:val="4"/>
        <w:numPr>
          <w:ilvl w:val="0"/>
          <w:numId w:val="11"/>
        </w:numPr>
        <w:spacing w:line="360" w:lineRule="auto"/>
        <w:ind w:left="0" w:firstLine="0"/>
        <w:rPr>
          <w:rFonts w:ascii="Times New Roman" w:hAnsi="Times New Roman" w:cs="Times New Roman"/>
        </w:rPr>
      </w:pPr>
      <w:r>
        <w:rPr>
          <w:rFonts w:ascii="Times New Roman" w:hAnsi="Times New Roman" w:cs="Times New Roman"/>
        </w:rPr>
        <w:t>买入返售金融资产</w:t>
      </w:r>
    </w:p>
    <w:p w:rsidR="00AD5BB5" w:rsidRDefault="00F87FF6">
      <w:pPr>
        <w:pStyle w:val="aff2"/>
        <w:spacing w:line="360" w:lineRule="auto"/>
        <w:rPr>
          <w:rFonts w:ascii="Times New Roman" w:hAnsi="Times New Roman" w:cs="Times New Roman"/>
          <w:szCs w:val="21"/>
        </w:rPr>
      </w:pPr>
      <w:r>
        <w:rPr>
          <w:rFonts w:ascii="Times New Roman" w:hAnsi="Times New Roman" w:hint="eastAsia"/>
        </w:rPr>
        <w:t>报告期内</w:t>
      </w:r>
      <w:r>
        <w:rPr>
          <w:rFonts w:ascii="Times New Roman" w:hAnsi="Times New Roman"/>
        </w:rPr>
        <w:t>，公司买入返售金融资产</w:t>
      </w:r>
      <w:r>
        <w:rPr>
          <w:rFonts w:ascii="Times New Roman" w:hAnsi="Times New Roman" w:hint="eastAsia"/>
        </w:rPr>
        <w:t>17.12</w:t>
      </w:r>
      <w:r>
        <w:rPr>
          <w:rFonts w:ascii="Times New Roman" w:hAnsi="Times New Roman"/>
        </w:rPr>
        <w:t>亿元，</w:t>
      </w:r>
      <w:r>
        <w:rPr>
          <w:rFonts w:ascii="Times New Roman" w:hAnsi="Times New Roman" w:hint="eastAsia"/>
        </w:rPr>
        <w:t>较上年末减少</w:t>
      </w:r>
      <w:r>
        <w:rPr>
          <w:rFonts w:ascii="Times New Roman" w:hAnsi="Times New Roman" w:hint="eastAsia"/>
        </w:rPr>
        <w:t>143.67</w:t>
      </w:r>
      <w:r>
        <w:rPr>
          <w:rFonts w:ascii="Times New Roman" w:hAnsi="Times New Roman" w:hint="eastAsia"/>
        </w:rPr>
        <w:t>亿元，主要系短期质押式债券规模减少所致。</w:t>
      </w:r>
    </w:p>
    <w:p w:rsidR="00AD5BB5" w:rsidRDefault="00F87FF6">
      <w:pPr>
        <w:pStyle w:val="aff2"/>
        <w:ind w:left="425" w:firstLineChars="0" w:firstLine="0"/>
        <w:jc w:val="right"/>
        <w:rPr>
          <w:rFonts w:ascii="Times New Roman" w:hAnsi="Times New Roman" w:cs="Times New Roman"/>
        </w:rPr>
      </w:pPr>
      <w:r>
        <w:rPr>
          <w:rFonts w:ascii="Times New Roman" w:hAnsi="Times New Roman" w:cs="Times New Roman"/>
        </w:rPr>
        <w:t>单位：人民币千元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679"/>
        <w:gridCol w:w="1661"/>
        <w:gridCol w:w="1675"/>
        <w:gridCol w:w="1661"/>
      </w:tblGrid>
      <w:tr w:rsidR="00AD5BB5">
        <w:tc>
          <w:tcPr>
            <w:tcW w:w="1627"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rPr>
            </w:pPr>
            <w:r>
              <w:rPr>
                <w:rFonts w:ascii="Times New Roman" w:hAnsi="Times New Roman" w:cs="Times New Roman" w:hint="eastAsia"/>
                <w:b/>
              </w:rPr>
              <w:t>项目</w:t>
            </w:r>
          </w:p>
        </w:tc>
        <w:tc>
          <w:tcPr>
            <w:tcW w:w="3340"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rPr>
            </w:pPr>
            <w:r>
              <w:rPr>
                <w:rFonts w:ascii="Times New Roman" w:hAnsi="Times New Roman" w:cs="Times New Roman"/>
                <w:b/>
              </w:rPr>
              <w:t>202</w:t>
            </w:r>
            <w:r>
              <w:rPr>
                <w:rFonts w:ascii="Times New Roman" w:hAnsi="Times New Roman" w:cs="Times New Roman" w:hint="eastAsia"/>
                <w:b/>
              </w:rPr>
              <w:t>3</w:t>
            </w:r>
            <w:r>
              <w:rPr>
                <w:rFonts w:ascii="Times New Roman" w:hAnsi="Times New Roman" w:cs="Times New Roman" w:hint="eastAsia"/>
                <w:b/>
              </w:rPr>
              <w:t>年</w:t>
            </w:r>
            <w:r>
              <w:rPr>
                <w:rFonts w:ascii="Times New Roman" w:hAnsi="Times New Roman" w:cs="Times New Roman"/>
                <w:b/>
              </w:rPr>
              <w:t>6</w:t>
            </w:r>
            <w:r>
              <w:rPr>
                <w:rFonts w:ascii="Times New Roman" w:hAnsi="Times New Roman" w:cs="Times New Roman" w:hint="eastAsia"/>
                <w:b/>
              </w:rPr>
              <w:t>月</w:t>
            </w:r>
            <w:r>
              <w:rPr>
                <w:rFonts w:ascii="Times New Roman" w:hAnsi="Times New Roman" w:cs="Times New Roman"/>
                <w:b/>
              </w:rPr>
              <w:t>30</w:t>
            </w:r>
            <w:r>
              <w:rPr>
                <w:rFonts w:ascii="Times New Roman" w:hAnsi="Times New Roman" w:cs="Times New Roman" w:hint="eastAsia"/>
                <w:b/>
              </w:rPr>
              <w:t>日</w:t>
            </w:r>
          </w:p>
        </w:tc>
        <w:tc>
          <w:tcPr>
            <w:tcW w:w="333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rPr>
            </w:pPr>
            <w:r>
              <w:rPr>
                <w:rFonts w:ascii="Times New Roman" w:hAnsi="Times New Roman" w:cs="Times New Roman"/>
                <w:b/>
              </w:rPr>
              <w:t>202</w:t>
            </w:r>
            <w:r>
              <w:rPr>
                <w:rFonts w:ascii="Times New Roman" w:hAnsi="Times New Roman" w:cs="Times New Roman" w:hint="eastAsia"/>
                <w:b/>
              </w:rPr>
              <w:t>2</w:t>
            </w:r>
            <w:r>
              <w:rPr>
                <w:rFonts w:ascii="Times New Roman" w:hAnsi="Times New Roman" w:cs="Times New Roman" w:hint="eastAsia"/>
                <w:b/>
              </w:rPr>
              <w:t>年</w:t>
            </w:r>
            <w:r>
              <w:rPr>
                <w:rFonts w:ascii="Times New Roman" w:hAnsi="Times New Roman" w:cs="Times New Roman"/>
                <w:b/>
              </w:rPr>
              <w:t>12</w:t>
            </w:r>
            <w:r>
              <w:rPr>
                <w:rFonts w:ascii="Times New Roman" w:hAnsi="Times New Roman" w:cs="Times New Roman" w:hint="eastAsia"/>
                <w:b/>
              </w:rPr>
              <w:t>月</w:t>
            </w:r>
            <w:r>
              <w:rPr>
                <w:rFonts w:ascii="Times New Roman" w:hAnsi="Times New Roman" w:cs="Times New Roman"/>
                <w:b/>
              </w:rPr>
              <w:t>31</w:t>
            </w:r>
            <w:r>
              <w:rPr>
                <w:rFonts w:ascii="Times New Roman" w:hAnsi="Times New Roman" w:cs="Times New Roman" w:hint="eastAsia"/>
                <w:b/>
              </w:rPr>
              <w:t>日</w:t>
            </w:r>
          </w:p>
        </w:tc>
      </w:tr>
      <w:tr w:rsidR="00AD5BB5">
        <w:tc>
          <w:tcPr>
            <w:tcW w:w="1627" w:type="dxa"/>
            <w:vMerge/>
            <w:tcBorders>
              <w:top w:val="single" w:sz="4" w:space="0" w:color="auto"/>
              <w:left w:val="single" w:sz="4" w:space="0" w:color="auto"/>
              <w:bottom w:val="single" w:sz="4" w:space="0" w:color="auto"/>
              <w:right w:val="single" w:sz="4" w:space="0" w:color="auto"/>
              <w:tl2br w:val="nil"/>
              <w:tr2bl w:val="nil"/>
            </w:tcBorders>
          </w:tcPr>
          <w:p w:rsidR="00AD5BB5" w:rsidRDefault="00AD5BB5">
            <w:pPr>
              <w:rPr>
                <w:rFonts w:ascii="Times New Roman" w:hAnsi="Times New Roman" w:cs="Times New Roman"/>
              </w:rPr>
            </w:pPr>
          </w:p>
        </w:tc>
        <w:tc>
          <w:tcPr>
            <w:tcW w:w="167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Times New Roman"/>
                <w:b/>
              </w:rPr>
            </w:pPr>
            <w:r>
              <w:rPr>
                <w:rFonts w:ascii="Times New Roman" w:hAnsi="Times New Roman" w:cs="Times New Roman" w:hint="eastAsia"/>
                <w:b/>
              </w:rPr>
              <w:t>余额</w:t>
            </w:r>
          </w:p>
        </w:tc>
        <w:tc>
          <w:tcPr>
            <w:tcW w:w="166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Times New Roman"/>
                <w:b/>
              </w:rPr>
            </w:pPr>
            <w:r>
              <w:rPr>
                <w:rFonts w:ascii="Times New Roman" w:hAnsi="Times New Roman" w:cs="Times New Roman" w:hint="eastAsia"/>
                <w:b/>
              </w:rPr>
              <w:t>占比（</w:t>
            </w:r>
            <w:r>
              <w:rPr>
                <w:rFonts w:ascii="Times New Roman" w:hAnsi="Times New Roman" w:cs="Times New Roman"/>
                <w:b/>
              </w:rPr>
              <w:t>%</w:t>
            </w:r>
            <w:r>
              <w:rPr>
                <w:rFonts w:ascii="Times New Roman" w:hAnsi="Times New Roman" w:cs="Times New Roman" w:hint="eastAsia"/>
                <w:b/>
              </w:rPr>
              <w:t>）</w:t>
            </w:r>
          </w:p>
        </w:tc>
        <w:tc>
          <w:tcPr>
            <w:tcW w:w="1675"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Times New Roman"/>
                <w:b/>
              </w:rPr>
            </w:pPr>
            <w:r>
              <w:rPr>
                <w:rFonts w:ascii="Times New Roman" w:hAnsi="Times New Roman" w:cs="Times New Roman" w:hint="eastAsia"/>
                <w:b/>
              </w:rPr>
              <w:t>余额</w:t>
            </w:r>
          </w:p>
        </w:tc>
        <w:tc>
          <w:tcPr>
            <w:tcW w:w="166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Times New Roman"/>
                <w:b/>
              </w:rPr>
            </w:pPr>
            <w:r>
              <w:rPr>
                <w:rFonts w:ascii="Times New Roman" w:hAnsi="Times New Roman" w:cs="Times New Roman" w:hint="eastAsia"/>
                <w:b/>
              </w:rPr>
              <w:t>占比（</w:t>
            </w:r>
            <w:r>
              <w:rPr>
                <w:rFonts w:ascii="Times New Roman" w:hAnsi="Times New Roman" w:cs="Times New Roman"/>
                <w:b/>
              </w:rPr>
              <w:t>%</w:t>
            </w:r>
            <w:r>
              <w:rPr>
                <w:rFonts w:ascii="Times New Roman" w:hAnsi="Times New Roman" w:cs="Times New Roman" w:hint="eastAsia"/>
                <w:b/>
              </w:rPr>
              <w:t>）</w:t>
            </w:r>
          </w:p>
        </w:tc>
      </w:tr>
      <w:tr w:rsidR="00AD5BB5">
        <w:tc>
          <w:tcPr>
            <w:tcW w:w="1627"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cs="Times New Roman"/>
              </w:rPr>
            </w:pPr>
            <w:r>
              <w:rPr>
                <w:rFonts w:ascii="Times New Roman" w:hAnsi="Times New Roman" w:cs="Times New Roman"/>
              </w:rPr>
              <w:t>债券</w:t>
            </w:r>
          </w:p>
        </w:tc>
        <w:tc>
          <w:tcPr>
            <w:tcW w:w="167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1,712,794 </w:t>
            </w:r>
          </w:p>
        </w:tc>
        <w:tc>
          <w:tcPr>
            <w:tcW w:w="1661"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hint="eastAsia"/>
                <w:kern w:val="0"/>
                <w:szCs w:val="21"/>
                <w:lang w:bidi="ar"/>
              </w:rPr>
              <w:t>100.00</w:t>
            </w:r>
            <w:r>
              <w:rPr>
                <w:rFonts w:ascii="Times New Roman" w:hAnsi="Times New Roman" w:cs="Times New Roman"/>
                <w:kern w:val="0"/>
                <w:szCs w:val="21"/>
                <w:lang w:bidi="ar"/>
              </w:rPr>
              <w:t xml:space="preserve"> </w:t>
            </w:r>
          </w:p>
        </w:tc>
        <w:tc>
          <w:tcPr>
            <w:tcW w:w="1675"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16,085,015 </w:t>
            </w:r>
          </w:p>
        </w:tc>
        <w:tc>
          <w:tcPr>
            <w:tcW w:w="1661"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hint="eastAsia"/>
                <w:kern w:val="0"/>
                <w:szCs w:val="21"/>
                <w:lang w:bidi="ar"/>
              </w:rPr>
              <w:t>100.00</w:t>
            </w:r>
            <w:r>
              <w:rPr>
                <w:rFonts w:ascii="Times New Roman" w:hAnsi="Times New Roman" w:cs="Times New Roman"/>
                <w:kern w:val="0"/>
                <w:szCs w:val="21"/>
                <w:lang w:bidi="ar"/>
              </w:rPr>
              <w:t xml:space="preserve"> </w:t>
            </w:r>
          </w:p>
        </w:tc>
      </w:tr>
      <w:tr w:rsidR="00AD5BB5">
        <w:tc>
          <w:tcPr>
            <w:tcW w:w="1627"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cs="Times New Roman"/>
              </w:rPr>
            </w:pPr>
            <w:r>
              <w:rPr>
                <w:rFonts w:ascii="Times New Roman" w:hAnsi="Times New Roman" w:cs="Times New Roman"/>
                <w:b/>
                <w:bCs/>
              </w:rPr>
              <w:t>小计</w:t>
            </w:r>
          </w:p>
        </w:tc>
        <w:tc>
          <w:tcPr>
            <w:tcW w:w="167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1,712,794 </w:t>
            </w:r>
          </w:p>
        </w:tc>
        <w:tc>
          <w:tcPr>
            <w:tcW w:w="1661"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hint="eastAsia"/>
                <w:kern w:val="0"/>
                <w:szCs w:val="21"/>
                <w:lang w:bidi="ar"/>
              </w:rPr>
              <w:t>100.00</w:t>
            </w:r>
            <w:r>
              <w:rPr>
                <w:rFonts w:ascii="Times New Roman" w:hAnsi="Times New Roman" w:cs="Times New Roman"/>
                <w:kern w:val="0"/>
                <w:szCs w:val="21"/>
                <w:lang w:bidi="ar"/>
              </w:rPr>
              <w:t xml:space="preserve"> </w:t>
            </w:r>
          </w:p>
        </w:tc>
        <w:tc>
          <w:tcPr>
            <w:tcW w:w="1675"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16,085,015 </w:t>
            </w:r>
          </w:p>
        </w:tc>
        <w:tc>
          <w:tcPr>
            <w:tcW w:w="1661"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hint="eastAsia"/>
                <w:kern w:val="0"/>
                <w:szCs w:val="21"/>
                <w:lang w:bidi="ar"/>
              </w:rPr>
              <w:t>100.00</w:t>
            </w:r>
            <w:r>
              <w:rPr>
                <w:rFonts w:ascii="Times New Roman" w:hAnsi="Times New Roman" w:cs="Times New Roman"/>
                <w:kern w:val="0"/>
                <w:szCs w:val="21"/>
                <w:lang w:bidi="ar"/>
              </w:rPr>
              <w:t xml:space="preserve"> </w:t>
            </w:r>
          </w:p>
        </w:tc>
      </w:tr>
      <w:tr w:rsidR="00AD5BB5">
        <w:tc>
          <w:tcPr>
            <w:tcW w:w="1627"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cs="Times New Roman"/>
              </w:rPr>
            </w:pPr>
            <w:r>
              <w:rPr>
                <w:rFonts w:ascii="Times New Roman" w:hAnsi="Times New Roman" w:cs="Times New Roman"/>
              </w:rPr>
              <w:t>应计利息</w:t>
            </w:r>
          </w:p>
        </w:tc>
        <w:tc>
          <w:tcPr>
            <w:tcW w:w="167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96 </w:t>
            </w:r>
          </w:p>
        </w:tc>
        <w:tc>
          <w:tcPr>
            <w:tcW w:w="1661"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hint="eastAsia"/>
                <w:kern w:val="0"/>
                <w:szCs w:val="21"/>
                <w:lang w:bidi="ar"/>
              </w:rPr>
              <w:t>-</w:t>
            </w:r>
          </w:p>
        </w:tc>
        <w:tc>
          <w:tcPr>
            <w:tcW w:w="1675"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7,790 </w:t>
            </w:r>
          </w:p>
        </w:tc>
        <w:tc>
          <w:tcPr>
            <w:tcW w:w="1661"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hint="eastAsia"/>
                <w:kern w:val="0"/>
                <w:szCs w:val="21"/>
                <w:lang w:bidi="ar"/>
              </w:rPr>
              <w:t>-</w:t>
            </w:r>
          </w:p>
        </w:tc>
      </w:tr>
      <w:tr w:rsidR="00AD5BB5">
        <w:tc>
          <w:tcPr>
            <w:tcW w:w="1627"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cs="Times New Roman"/>
              </w:rPr>
            </w:pPr>
            <w:r>
              <w:rPr>
                <w:rFonts w:ascii="Times New Roman" w:hAnsi="Times New Roman" w:cs="Times New Roman"/>
              </w:rPr>
              <w:lastRenderedPageBreak/>
              <w:t>减值准备</w:t>
            </w:r>
          </w:p>
        </w:tc>
        <w:tc>
          <w:tcPr>
            <w:tcW w:w="167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-391 </w:t>
            </w:r>
          </w:p>
        </w:tc>
        <w:tc>
          <w:tcPr>
            <w:tcW w:w="1661"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hint="eastAsia"/>
                <w:kern w:val="0"/>
                <w:szCs w:val="21"/>
                <w:lang w:bidi="ar"/>
              </w:rPr>
              <w:t>-</w:t>
            </w:r>
          </w:p>
        </w:tc>
        <w:tc>
          <w:tcPr>
            <w:tcW w:w="1675"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-13,054 </w:t>
            </w:r>
          </w:p>
        </w:tc>
        <w:tc>
          <w:tcPr>
            <w:tcW w:w="1661"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hint="eastAsia"/>
                <w:kern w:val="0"/>
                <w:szCs w:val="21"/>
                <w:lang w:bidi="ar"/>
              </w:rPr>
              <w:t>-</w:t>
            </w:r>
          </w:p>
        </w:tc>
      </w:tr>
      <w:tr w:rsidR="00AD5BB5">
        <w:tc>
          <w:tcPr>
            <w:tcW w:w="1627"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cs="Times New Roman"/>
              </w:rPr>
            </w:pPr>
            <w:r>
              <w:rPr>
                <w:rFonts w:ascii="Times New Roman" w:hAnsi="Times New Roman" w:cs="Times New Roman"/>
                <w:b/>
                <w:bCs/>
              </w:rPr>
              <w:t>合计</w:t>
            </w:r>
          </w:p>
        </w:tc>
        <w:tc>
          <w:tcPr>
            <w:tcW w:w="167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1,712,499 </w:t>
            </w:r>
          </w:p>
        </w:tc>
        <w:tc>
          <w:tcPr>
            <w:tcW w:w="1661"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hint="eastAsia"/>
                <w:kern w:val="0"/>
                <w:szCs w:val="21"/>
                <w:lang w:bidi="ar"/>
              </w:rPr>
              <w:t>-</w:t>
            </w:r>
          </w:p>
        </w:tc>
        <w:tc>
          <w:tcPr>
            <w:tcW w:w="1675"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16,079,751 </w:t>
            </w:r>
          </w:p>
        </w:tc>
        <w:tc>
          <w:tcPr>
            <w:tcW w:w="1661"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hint="eastAsia"/>
                <w:kern w:val="0"/>
                <w:szCs w:val="21"/>
                <w:lang w:bidi="ar"/>
              </w:rPr>
              <w:t>-</w:t>
            </w:r>
          </w:p>
        </w:tc>
      </w:tr>
    </w:tbl>
    <w:p w:rsidR="00AD5BB5" w:rsidRDefault="00AD5BB5">
      <w:pPr>
        <w:rPr>
          <w:rFonts w:ascii="Times New Roman" w:hAnsi="Times New Roman"/>
        </w:rPr>
      </w:pPr>
    </w:p>
    <w:p w:rsidR="00AD5BB5" w:rsidRDefault="00F87FF6">
      <w:pPr>
        <w:pStyle w:val="4"/>
        <w:numPr>
          <w:ilvl w:val="0"/>
          <w:numId w:val="11"/>
        </w:numPr>
        <w:spacing w:line="360" w:lineRule="auto"/>
        <w:ind w:left="0" w:firstLine="0"/>
        <w:rPr>
          <w:rFonts w:ascii="Times New Roman" w:hAnsi="Times New Roman" w:cs="Times New Roman"/>
        </w:rPr>
      </w:pPr>
      <w:r>
        <w:rPr>
          <w:rFonts w:ascii="Times New Roman" w:hAnsi="Times New Roman" w:cs="Times New Roman"/>
        </w:rPr>
        <w:t>金融投资</w:t>
      </w:r>
    </w:p>
    <w:p w:rsidR="00AD5BB5" w:rsidRDefault="00F87FF6">
      <w:pPr>
        <w:spacing w:line="360" w:lineRule="auto"/>
        <w:ind w:firstLineChars="200" w:firstLine="420"/>
        <w:rPr>
          <w:rFonts w:ascii="Times New Roman" w:hAnsi="Times New Roman" w:cs="Times New Roman"/>
          <w:szCs w:val="21"/>
        </w:rPr>
      </w:pPr>
      <w:r>
        <w:rPr>
          <w:rFonts w:ascii="Times New Roman" w:hAnsi="Times New Roman" w:hint="eastAsia"/>
        </w:rPr>
        <w:t>报告期内</w:t>
      </w:r>
      <w:r>
        <w:rPr>
          <w:rFonts w:ascii="Times New Roman" w:hAnsi="Times New Roman"/>
        </w:rPr>
        <w:t>，公司投资业务余额</w:t>
      </w:r>
      <w:r>
        <w:rPr>
          <w:rFonts w:ascii="Times New Roman" w:hAnsi="Times New Roman" w:hint="eastAsia"/>
        </w:rPr>
        <w:t>1,032.29</w:t>
      </w:r>
      <w:r>
        <w:rPr>
          <w:rFonts w:ascii="Times New Roman" w:hAnsi="Times New Roman"/>
        </w:rPr>
        <w:t>亿元，较上年</w:t>
      </w:r>
      <w:r>
        <w:rPr>
          <w:rFonts w:ascii="Times New Roman" w:hAnsi="Times New Roman" w:hint="eastAsia"/>
        </w:rPr>
        <w:t>末</w:t>
      </w:r>
      <w:r>
        <w:rPr>
          <w:rFonts w:ascii="Times New Roman" w:hAnsi="Times New Roman"/>
        </w:rPr>
        <w:t>增加</w:t>
      </w:r>
      <w:r>
        <w:rPr>
          <w:rFonts w:ascii="Times New Roman" w:hAnsi="Times New Roman" w:hint="eastAsia"/>
        </w:rPr>
        <w:t>30.58</w:t>
      </w:r>
      <w:r>
        <w:rPr>
          <w:rFonts w:ascii="Times New Roman" w:hAnsi="Times New Roman"/>
        </w:rPr>
        <w:t>亿元，</w:t>
      </w:r>
      <w:r>
        <w:rPr>
          <w:rFonts w:ascii="Times New Roman" w:hAnsi="Times New Roman" w:hint="eastAsia"/>
        </w:rPr>
        <w:t>增幅</w:t>
      </w:r>
      <w:r>
        <w:rPr>
          <w:rFonts w:ascii="Times New Roman" w:hAnsi="Times New Roman" w:hint="eastAsia"/>
        </w:rPr>
        <w:t>3.05</w:t>
      </w:r>
      <w:r>
        <w:rPr>
          <w:rFonts w:ascii="Times New Roman" w:hAnsi="Times New Roman"/>
        </w:rPr>
        <w:t>%</w:t>
      </w:r>
      <w:r>
        <w:rPr>
          <w:rFonts w:ascii="Times New Roman" w:hAnsi="Times New Roman" w:hint="eastAsia"/>
        </w:rPr>
        <w:t>，主要系政府债券规模的增长。报告期内，金融投资占资产总额的比例为</w:t>
      </w:r>
      <w:r>
        <w:rPr>
          <w:rFonts w:ascii="Times New Roman" w:hAnsi="Times New Roman"/>
        </w:rPr>
        <w:t>2</w:t>
      </w:r>
      <w:r>
        <w:rPr>
          <w:rFonts w:ascii="Times New Roman" w:hAnsi="Times New Roman" w:hint="eastAsia"/>
        </w:rPr>
        <w:t>9.25%</w:t>
      </w:r>
      <w:r>
        <w:rPr>
          <w:rFonts w:ascii="Times New Roman" w:hAnsi="Times New Roman" w:hint="eastAsia"/>
        </w:rPr>
        <w:t>，较上年末增长</w:t>
      </w:r>
      <w:r>
        <w:rPr>
          <w:rFonts w:ascii="Times New Roman" w:hAnsi="Times New Roman" w:hint="eastAsia"/>
        </w:rPr>
        <w:t>2.27</w:t>
      </w:r>
      <w:r>
        <w:rPr>
          <w:rFonts w:ascii="Times New Roman" w:hAnsi="Times New Roman" w:hint="eastAsia"/>
        </w:rPr>
        <w:t>个百分点，资产结构保持相对稳定。</w:t>
      </w:r>
    </w:p>
    <w:p w:rsidR="00AD5BB5" w:rsidRDefault="00F87FF6">
      <w:pPr>
        <w:jc w:val="right"/>
        <w:rPr>
          <w:rFonts w:ascii="Times New Roman" w:hAnsi="Times New Roman" w:cs="Times New Roman"/>
        </w:rPr>
      </w:pPr>
      <w:r>
        <w:rPr>
          <w:rFonts w:ascii="Times New Roman" w:hAnsi="Times New Roman" w:cs="Times New Roman"/>
        </w:rPr>
        <w:t>单位：人民币千元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517"/>
        <w:gridCol w:w="1498"/>
        <w:gridCol w:w="1654"/>
        <w:gridCol w:w="1684"/>
      </w:tblGrid>
      <w:tr w:rsidR="00AD5BB5">
        <w:tc>
          <w:tcPr>
            <w:tcW w:w="195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rPr>
            </w:pPr>
            <w:r>
              <w:rPr>
                <w:rFonts w:ascii="Times New Roman" w:hAnsi="Times New Roman" w:cs="Times New Roman"/>
                <w:b/>
                <w:bCs/>
              </w:rPr>
              <w:t>项目</w:t>
            </w:r>
          </w:p>
        </w:tc>
        <w:tc>
          <w:tcPr>
            <w:tcW w:w="301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rPr>
            </w:pPr>
            <w:r>
              <w:rPr>
                <w:rFonts w:ascii="Times New Roman" w:hAnsi="Times New Roman" w:cs="Times New Roman"/>
                <w:b/>
                <w:bCs/>
              </w:rPr>
              <w:t>202</w:t>
            </w:r>
            <w:r>
              <w:rPr>
                <w:rFonts w:ascii="Times New Roman" w:hAnsi="Times New Roman" w:cs="Times New Roman" w:hint="eastAsia"/>
                <w:b/>
                <w:bCs/>
              </w:rPr>
              <w:t>3</w:t>
            </w:r>
            <w:r>
              <w:rPr>
                <w:rFonts w:ascii="Times New Roman" w:hAnsi="Times New Roman" w:cs="Times New Roman"/>
                <w:b/>
                <w:bCs/>
              </w:rPr>
              <w:t>年</w:t>
            </w:r>
            <w:r>
              <w:rPr>
                <w:rFonts w:ascii="Times New Roman" w:hAnsi="Times New Roman" w:cs="Times New Roman"/>
                <w:b/>
                <w:bCs/>
              </w:rPr>
              <w:t>6</w:t>
            </w:r>
            <w:r>
              <w:rPr>
                <w:rFonts w:ascii="Times New Roman" w:hAnsi="Times New Roman" w:cs="Times New Roman"/>
                <w:b/>
                <w:bCs/>
              </w:rPr>
              <w:t>月</w:t>
            </w:r>
            <w:r>
              <w:rPr>
                <w:rFonts w:ascii="Times New Roman" w:hAnsi="Times New Roman" w:cs="Times New Roman"/>
                <w:b/>
                <w:bCs/>
              </w:rPr>
              <w:t>30</w:t>
            </w:r>
            <w:r>
              <w:rPr>
                <w:rFonts w:ascii="Times New Roman" w:hAnsi="Times New Roman" w:cs="Times New Roman"/>
                <w:b/>
                <w:bCs/>
              </w:rPr>
              <w:t>日</w:t>
            </w:r>
          </w:p>
        </w:tc>
        <w:tc>
          <w:tcPr>
            <w:tcW w:w="333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rPr>
            </w:pPr>
            <w:r>
              <w:rPr>
                <w:rFonts w:ascii="Times New Roman" w:hAnsi="Times New Roman" w:cs="Times New Roman"/>
                <w:b/>
                <w:bCs/>
              </w:rPr>
              <w:t>202</w:t>
            </w:r>
            <w:r>
              <w:rPr>
                <w:rFonts w:ascii="Times New Roman" w:hAnsi="Times New Roman" w:cs="Times New Roman" w:hint="eastAsia"/>
                <w:b/>
                <w:bCs/>
              </w:rPr>
              <w:t>2</w:t>
            </w:r>
            <w:r>
              <w:rPr>
                <w:rFonts w:ascii="Times New Roman" w:hAnsi="Times New Roman" w:cs="Times New Roman"/>
                <w:b/>
                <w:bCs/>
              </w:rPr>
              <w:t>年</w:t>
            </w:r>
            <w:r>
              <w:rPr>
                <w:rFonts w:ascii="Times New Roman" w:hAnsi="Times New Roman" w:cs="Times New Roman"/>
                <w:b/>
                <w:bCs/>
              </w:rPr>
              <w:t>12</w:t>
            </w:r>
            <w:r>
              <w:rPr>
                <w:rFonts w:ascii="Times New Roman" w:hAnsi="Times New Roman" w:cs="Times New Roman"/>
                <w:b/>
                <w:bCs/>
              </w:rPr>
              <w:t>月</w:t>
            </w:r>
            <w:r>
              <w:rPr>
                <w:rFonts w:ascii="Times New Roman" w:hAnsi="Times New Roman" w:cs="Times New Roman"/>
                <w:b/>
                <w:bCs/>
              </w:rPr>
              <w:t>31</w:t>
            </w:r>
            <w:r>
              <w:rPr>
                <w:rFonts w:ascii="Times New Roman" w:hAnsi="Times New Roman" w:cs="Times New Roman"/>
                <w:b/>
                <w:bCs/>
              </w:rPr>
              <w:t>日</w:t>
            </w:r>
          </w:p>
        </w:tc>
      </w:tr>
      <w:tr w:rsidR="00AD5BB5">
        <w:tc>
          <w:tcPr>
            <w:tcW w:w="1950" w:type="dxa"/>
            <w:vMerge/>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rPr>
                <w:rFonts w:ascii="Times New Roman" w:hAnsi="Times New Roman" w:cs="Times New Roman"/>
                <w:b/>
                <w:bCs/>
              </w:rPr>
            </w:pPr>
          </w:p>
        </w:tc>
        <w:tc>
          <w:tcPr>
            <w:tcW w:w="151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Times New Roman"/>
                <w:b/>
                <w:bCs/>
              </w:rPr>
            </w:pPr>
            <w:r>
              <w:rPr>
                <w:rFonts w:ascii="Times New Roman" w:hAnsi="Times New Roman" w:cs="Times New Roman"/>
                <w:b/>
                <w:bCs/>
              </w:rPr>
              <w:t>余额</w:t>
            </w:r>
          </w:p>
        </w:tc>
        <w:tc>
          <w:tcPr>
            <w:tcW w:w="1498"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Times New Roman"/>
                <w:b/>
                <w:bCs/>
              </w:rPr>
            </w:pPr>
            <w:r>
              <w:rPr>
                <w:rFonts w:ascii="Times New Roman" w:hAnsi="Times New Roman" w:cs="Times New Roman"/>
                <w:b/>
                <w:bCs/>
              </w:rPr>
              <w:t>占比（</w:t>
            </w:r>
            <w:r>
              <w:rPr>
                <w:rFonts w:ascii="Times New Roman" w:hAnsi="Times New Roman" w:cs="Times New Roman"/>
                <w:b/>
                <w:bCs/>
              </w:rPr>
              <w:t>%</w:t>
            </w:r>
            <w:r>
              <w:rPr>
                <w:rFonts w:ascii="Times New Roman" w:hAnsi="Times New Roman" w:cs="Times New Roman"/>
                <w:b/>
                <w:bCs/>
              </w:rPr>
              <w:t>）</w:t>
            </w:r>
          </w:p>
        </w:tc>
        <w:tc>
          <w:tcPr>
            <w:tcW w:w="165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Times New Roman"/>
                <w:b/>
                <w:bCs/>
              </w:rPr>
            </w:pPr>
            <w:r>
              <w:rPr>
                <w:rFonts w:ascii="Times New Roman" w:hAnsi="Times New Roman" w:cs="Times New Roman"/>
                <w:b/>
                <w:bCs/>
              </w:rPr>
              <w:t>余额</w:t>
            </w:r>
          </w:p>
        </w:tc>
        <w:tc>
          <w:tcPr>
            <w:tcW w:w="168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Times New Roman"/>
                <w:b/>
                <w:bCs/>
              </w:rPr>
            </w:pPr>
            <w:r>
              <w:rPr>
                <w:rFonts w:ascii="Times New Roman" w:hAnsi="Times New Roman" w:cs="Times New Roman"/>
                <w:b/>
                <w:bCs/>
              </w:rPr>
              <w:t>占比（</w:t>
            </w:r>
            <w:r>
              <w:rPr>
                <w:rFonts w:ascii="Times New Roman" w:hAnsi="Times New Roman" w:cs="Times New Roman"/>
                <w:b/>
                <w:bCs/>
              </w:rPr>
              <w:t>%</w:t>
            </w:r>
            <w:r>
              <w:rPr>
                <w:rFonts w:ascii="Times New Roman" w:hAnsi="Times New Roman" w:cs="Times New Roman"/>
                <w:b/>
                <w:bCs/>
              </w:rPr>
              <w:t>）</w:t>
            </w:r>
          </w:p>
        </w:tc>
      </w:tr>
      <w:tr w:rsidR="00AD5BB5">
        <w:tc>
          <w:tcPr>
            <w:tcW w:w="195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rPr>
            </w:pPr>
            <w:r>
              <w:rPr>
                <w:rFonts w:ascii="Times New Roman" w:hAnsi="Times New Roman" w:cs="Times New Roman"/>
              </w:rPr>
              <w:t>交易性金融资产</w:t>
            </w:r>
          </w:p>
        </w:tc>
        <w:tc>
          <w:tcPr>
            <w:tcW w:w="151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14,516,923 </w:t>
            </w:r>
          </w:p>
        </w:tc>
        <w:tc>
          <w:tcPr>
            <w:tcW w:w="1498"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14.06 </w:t>
            </w:r>
          </w:p>
        </w:tc>
        <w:tc>
          <w:tcPr>
            <w:tcW w:w="165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15,749,732 </w:t>
            </w:r>
          </w:p>
        </w:tc>
        <w:tc>
          <w:tcPr>
            <w:tcW w:w="168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15.72 </w:t>
            </w:r>
          </w:p>
        </w:tc>
      </w:tr>
      <w:tr w:rsidR="00AD5BB5">
        <w:tc>
          <w:tcPr>
            <w:tcW w:w="195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rPr>
            </w:pPr>
            <w:r>
              <w:rPr>
                <w:rFonts w:ascii="Times New Roman" w:hAnsi="Times New Roman" w:cs="Times New Roman"/>
              </w:rPr>
              <w:t>债权投资</w:t>
            </w:r>
          </w:p>
        </w:tc>
        <w:tc>
          <w:tcPr>
            <w:tcW w:w="151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49,917,651 </w:t>
            </w:r>
          </w:p>
        </w:tc>
        <w:tc>
          <w:tcPr>
            <w:tcW w:w="1498"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48.36 </w:t>
            </w:r>
          </w:p>
        </w:tc>
        <w:tc>
          <w:tcPr>
            <w:tcW w:w="165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45,044,163 </w:t>
            </w:r>
          </w:p>
        </w:tc>
        <w:tc>
          <w:tcPr>
            <w:tcW w:w="168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44.97 </w:t>
            </w:r>
          </w:p>
        </w:tc>
      </w:tr>
      <w:tr w:rsidR="00AD5BB5">
        <w:tc>
          <w:tcPr>
            <w:tcW w:w="195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rPr>
            </w:pPr>
            <w:r>
              <w:rPr>
                <w:rFonts w:ascii="Times New Roman" w:hAnsi="Times New Roman" w:cs="Times New Roman"/>
              </w:rPr>
              <w:t>其他债权投资</w:t>
            </w:r>
          </w:p>
        </w:tc>
        <w:tc>
          <w:tcPr>
            <w:tcW w:w="151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38,698,027 </w:t>
            </w:r>
          </w:p>
        </w:tc>
        <w:tc>
          <w:tcPr>
            <w:tcW w:w="1498"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37.49 </w:t>
            </w:r>
          </w:p>
        </w:tc>
        <w:tc>
          <w:tcPr>
            <w:tcW w:w="165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39,299,346 </w:t>
            </w:r>
          </w:p>
        </w:tc>
        <w:tc>
          <w:tcPr>
            <w:tcW w:w="168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39.23 </w:t>
            </w:r>
          </w:p>
        </w:tc>
      </w:tr>
      <w:tr w:rsidR="00AD5BB5">
        <w:tc>
          <w:tcPr>
            <w:tcW w:w="195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rPr>
            </w:pPr>
            <w:r>
              <w:rPr>
                <w:rFonts w:ascii="Times New Roman" w:hAnsi="Times New Roman" w:cs="Times New Roman"/>
              </w:rPr>
              <w:t>其他权益工具投资</w:t>
            </w:r>
          </w:p>
        </w:tc>
        <w:tc>
          <w:tcPr>
            <w:tcW w:w="151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96,061 </w:t>
            </w:r>
          </w:p>
        </w:tc>
        <w:tc>
          <w:tcPr>
            <w:tcW w:w="1498"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0.09 </w:t>
            </w:r>
          </w:p>
        </w:tc>
        <w:tc>
          <w:tcPr>
            <w:tcW w:w="165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77,288 </w:t>
            </w:r>
          </w:p>
        </w:tc>
        <w:tc>
          <w:tcPr>
            <w:tcW w:w="168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0.08 </w:t>
            </w:r>
          </w:p>
        </w:tc>
      </w:tr>
      <w:tr w:rsidR="00AD5BB5">
        <w:tc>
          <w:tcPr>
            <w:tcW w:w="195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rPr>
            </w:pPr>
            <w:r>
              <w:rPr>
                <w:rFonts w:ascii="Times New Roman" w:hAnsi="Times New Roman" w:cs="Times New Roman"/>
                <w:b/>
                <w:bCs/>
              </w:rPr>
              <w:t>合计</w:t>
            </w:r>
          </w:p>
        </w:tc>
        <w:tc>
          <w:tcPr>
            <w:tcW w:w="151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103,228,663 </w:t>
            </w:r>
          </w:p>
        </w:tc>
        <w:tc>
          <w:tcPr>
            <w:tcW w:w="1498"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hint="eastAsia"/>
                <w:kern w:val="0"/>
                <w:szCs w:val="21"/>
                <w:lang w:bidi="ar"/>
              </w:rPr>
              <w:t>100.00</w:t>
            </w:r>
            <w:r>
              <w:rPr>
                <w:rFonts w:ascii="Times New Roman" w:hAnsi="Times New Roman" w:cs="Times New Roman"/>
                <w:kern w:val="0"/>
                <w:szCs w:val="21"/>
                <w:lang w:bidi="ar"/>
              </w:rPr>
              <w:t xml:space="preserve"> </w:t>
            </w:r>
          </w:p>
        </w:tc>
        <w:tc>
          <w:tcPr>
            <w:tcW w:w="165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100,170,530 </w:t>
            </w:r>
          </w:p>
        </w:tc>
        <w:tc>
          <w:tcPr>
            <w:tcW w:w="1684"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hint="eastAsia"/>
                <w:kern w:val="0"/>
                <w:szCs w:val="21"/>
                <w:lang w:bidi="ar"/>
              </w:rPr>
              <w:t>100.00</w:t>
            </w:r>
            <w:r>
              <w:rPr>
                <w:rFonts w:ascii="Times New Roman" w:hAnsi="Times New Roman" w:cs="Times New Roman"/>
                <w:kern w:val="0"/>
                <w:szCs w:val="21"/>
                <w:lang w:bidi="ar"/>
              </w:rPr>
              <w:t xml:space="preserve"> </w:t>
            </w:r>
          </w:p>
        </w:tc>
      </w:tr>
    </w:tbl>
    <w:p w:rsidR="00AD5BB5" w:rsidRDefault="00AD5BB5">
      <w:pPr>
        <w:pStyle w:val="af0"/>
        <w:rPr>
          <w:rFonts w:ascii="Times New Roman" w:hAnsi="Times New Roman"/>
        </w:rPr>
      </w:pPr>
    </w:p>
    <w:p w:rsidR="00AD5BB5" w:rsidRDefault="00F87FF6">
      <w:pPr>
        <w:pStyle w:val="4"/>
        <w:numPr>
          <w:ilvl w:val="0"/>
          <w:numId w:val="11"/>
        </w:numPr>
        <w:spacing w:line="360" w:lineRule="auto"/>
        <w:ind w:left="0" w:firstLine="0"/>
        <w:rPr>
          <w:rFonts w:ascii="Times New Roman" w:hAnsi="Times New Roman" w:cs="Times New Roman"/>
        </w:rPr>
      </w:pPr>
      <w:r>
        <w:rPr>
          <w:rFonts w:ascii="Times New Roman" w:hAnsi="Times New Roman" w:cs="Times New Roman"/>
        </w:rPr>
        <w:t>吸收存款</w:t>
      </w:r>
    </w:p>
    <w:p w:rsidR="00AD5BB5" w:rsidRDefault="00F87FF6">
      <w:pPr>
        <w:pStyle w:val="aff2"/>
        <w:spacing w:line="360" w:lineRule="auto"/>
        <w:rPr>
          <w:rFonts w:ascii="Times New Roman" w:hAnsi="Times New Roman" w:cs="Times New Roman"/>
          <w:szCs w:val="21"/>
        </w:rPr>
      </w:pPr>
      <w:r>
        <w:rPr>
          <w:rFonts w:ascii="Times New Roman" w:hAnsi="Times New Roman" w:hint="eastAsia"/>
        </w:rPr>
        <w:t>报告期内</w:t>
      </w:r>
      <w:r>
        <w:rPr>
          <w:rFonts w:ascii="Times New Roman" w:hAnsi="Times New Roman"/>
        </w:rPr>
        <w:t>，</w:t>
      </w:r>
      <w:r>
        <w:rPr>
          <w:rFonts w:ascii="Times New Roman" w:hAnsi="Times New Roman" w:hint="eastAsia"/>
        </w:rPr>
        <w:t>公司积极优化存款结构，压降高息存款，提</w:t>
      </w:r>
      <w:r>
        <w:rPr>
          <w:rFonts w:ascii="Times New Roman" w:hAnsi="Times New Roman"/>
        </w:rPr>
        <w:t>高</w:t>
      </w:r>
      <w:r>
        <w:rPr>
          <w:rFonts w:ascii="Times New Roman" w:hAnsi="Times New Roman" w:hint="eastAsia"/>
        </w:rPr>
        <w:t>存款稳定性。截至报告期末，本</w:t>
      </w:r>
      <w:r>
        <w:rPr>
          <w:rFonts w:ascii="Times New Roman" w:hAnsi="Times New Roman"/>
        </w:rPr>
        <w:t>公司存款总额</w:t>
      </w:r>
      <w:r>
        <w:rPr>
          <w:rFonts w:ascii="Times New Roman" w:hAnsi="Times New Roman" w:hint="eastAsia"/>
        </w:rPr>
        <w:t>1,850.64</w:t>
      </w:r>
      <w:r>
        <w:rPr>
          <w:rFonts w:ascii="Times New Roman" w:hAnsi="Times New Roman"/>
        </w:rPr>
        <w:t>亿元，较上年</w:t>
      </w:r>
      <w:r>
        <w:rPr>
          <w:rFonts w:ascii="Times New Roman" w:hAnsi="Times New Roman" w:hint="eastAsia"/>
        </w:rPr>
        <w:t>末减少</w:t>
      </w:r>
      <w:r>
        <w:rPr>
          <w:rFonts w:ascii="Times New Roman" w:hAnsi="Times New Roman" w:hint="eastAsia"/>
        </w:rPr>
        <w:t>9.67</w:t>
      </w:r>
      <w:r>
        <w:rPr>
          <w:rFonts w:ascii="Times New Roman" w:hAnsi="Times New Roman"/>
        </w:rPr>
        <w:t>%</w:t>
      </w:r>
      <w:r>
        <w:rPr>
          <w:rFonts w:ascii="Times New Roman" w:hAnsi="Times New Roman" w:hint="eastAsia"/>
        </w:rPr>
        <w:t>，</w:t>
      </w:r>
      <w:r>
        <w:rPr>
          <w:rFonts w:ascii="Times New Roman" w:hAnsi="Times New Roman" w:cs="微软雅黑"/>
          <w:bCs/>
          <w:lang w:bidi="ar"/>
        </w:rPr>
        <w:t>其中</w:t>
      </w:r>
      <w:r>
        <w:rPr>
          <w:rFonts w:ascii="Times New Roman" w:hAnsi="Times New Roman" w:cs="微软雅黑" w:hint="eastAsia"/>
          <w:bCs/>
          <w:lang w:bidi="ar"/>
        </w:rPr>
        <w:t>，</w:t>
      </w:r>
      <w:r>
        <w:rPr>
          <w:rFonts w:ascii="Times New Roman" w:hAnsi="Times New Roman"/>
        </w:rPr>
        <w:t>公司存款</w:t>
      </w:r>
      <w:r>
        <w:rPr>
          <w:rFonts w:ascii="Times New Roman" w:hAnsi="Times New Roman" w:hint="eastAsia"/>
        </w:rPr>
        <w:t>总额</w:t>
      </w:r>
      <w:r>
        <w:rPr>
          <w:rFonts w:ascii="Times New Roman" w:hAnsi="Times New Roman"/>
        </w:rPr>
        <w:t>1</w:t>
      </w:r>
      <w:r>
        <w:rPr>
          <w:rFonts w:ascii="Times New Roman" w:hAnsi="Times New Roman" w:hint="eastAsia"/>
        </w:rPr>
        <w:t>,049.66</w:t>
      </w:r>
      <w:r>
        <w:rPr>
          <w:rFonts w:ascii="Times New Roman" w:hAnsi="Times New Roman"/>
        </w:rPr>
        <w:t>亿元，较上年</w:t>
      </w:r>
      <w:r>
        <w:rPr>
          <w:rFonts w:ascii="Times New Roman" w:hAnsi="Times New Roman" w:hint="eastAsia"/>
        </w:rPr>
        <w:t>末下降</w:t>
      </w:r>
      <w:r>
        <w:rPr>
          <w:rFonts w:ascii="Times New Roman" w:hAnsi="Times New Roman" w:hint="eastAsia"/>
        </w:rPr>
        <w:t>8.79</w:t>
      </w:r>
      <w:r>
        <w:rPr>
          <w:rFonts w:ascii="Times New Roman" w:hAnsi="Times New Roman"/>
        </w:rPr>
        <w:t>%</w:t>
      </w:r>
      <w:r>
        <w:rPr>
          <w:rFonts w:ascii="Times New Roman" w:hAnsi="Times New Roman"/>
        </w:rPr>
        <w:t>；个人存款</w:t>
      </w:r>
      <w:r>
        <w:rPr>
          <w:rFonts w:ascii="Times New Roman" w:hAnsi="Times New Roman" w:hint="eastAsia"/>
        </w:rPr>
        <w:t>总额</w:t>
      </w:r>
      <w:r>
        <w:rPr>
          <w:rFonts w:ascii="Times New Roman" w:hAnsi="Times New Roman" w:hint="eastAsia"/>
        </w:rPr>
        <w:t>604.48</w:t>
      </w:r>
      <w:r>
        <w:rPr>
          <w:rFonts w:ascii="Times New Roman" w:hAnsi="Times New Roman"/>
        </w:rPr>
        <w:t>亿元，较上年</w:t>
      </w:r>
      <w:r>
        <w:rPr>
          <w:rFonts w:ascii="Times New Roman" w:hAnsi="Times New Roman" w:hint="eastAsia"/>
        </w:rPr>
        <w:t>末</w:t>
      </w:r>
      <w:r>
        <w:rPr>
          <w:rFonts w:ascii="Times New Roman" w:hAnsi="Times New Roman"/>
        </w:rPr>
        <w:t>增长</w:t>
      </w:r>
      <w:r>
        <w:rPr>
          <w:rFonts w:ascii="Times New Roman" w:hAnsi="Times New Roman" w:hint="eastAsia"/>
        </w:rPr>
        <w:t>9.13</w:t>
      </w:r>
      <w:r>
        <w:rPr>
          <w:rFonts w:ascii="Times New Roman" w:hAnsi="Times New Roman"/>
        </w:rPr>
        <w:t>%</w:t>
      </w:r>
      <w:r>
        <w:rPr>
          <w:rFonts w:ascii="Times New Roman" w:hAnsi="Times New Roman" w:hint="eastAsia"/>
        </w:rPr>
        <w:t>；保证金存款总额</w:t>
      </w:r>
      <w:r>
        <w:rPr>
          <w:rFonts w:ascii="Times New Roman" w:hAnsi="Times New Roman" w:hint="eastAsia"/>
        </w:rPr>
        <w:t>196.37</w:t>
      </w:r>
      <w:r>
        <w:rPr>
          <w:rFonts w:ascii="Times New Roman" w:hAnsi="Times New Roman" w:hint="eastAsia"/>
        </w:rPr>
        <w:t>亿元，较上年末下降</w:t>
      </w:r>
      <w:r>
        <w:rPr>
          <w:rFonts w:ascii="Times New Roman" w:hAnsi="Times New Roman" w:hint="eastAsia"/>
        </w:rPr>
        <w:t>42.91%</w:t>
      </w:r>
      <w:r>
        <w:rPr>
          <w:rFonts w:ascii="Times New Roman" w:hAnsi="Times New Roman"/>
        </w:rPr>
        <w:t>。</w:t>
      </w:r>
    </w:p>
    <w:p w:rsidR="00AD5BB5" w:rsidRDefault="00F87FF6">
      <w:pPr>
        <w:jc w:val="right"/>
        <w:rPr>
          <w:rFonts w:ascii="Times New Roman" w:hAnsi="Times New Roman" w:cs="Times New Roman"/>
        </w:rPr>
      </w:pPr>
      <w:r>
        <w:rPr>
          <w:rFonts w:ascii="Times New Roman" w:hAnsi="Times New Roman" w:cs="Times New Roman"/>
        </w:rPr>
        <w:t>单位：人民币千元</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6"/>
        <w:gridCol w:w="1596"/>
        <w:gridCol w:w="1597"/>
        <w:gridCol w:w="1599"/>
        <w:gridCol w:w="1602"/>
      </w:tblGrid>
      <w:tr w:rsidR="00AD5BB5">
        <w:trPr>
          <w:trHeight w:val="288"/>
        </w:trPr>
        <w:tc>
          <w:tcPr>
            <w:tcW w:w="1125" w:type="pct"/>
            <w:vMerge w:val="restart"/>
            <w:tcBorders>
              <w:top w:val="single" w:sz="4" w:space="0" w:color="auto"/>
              <w:left w:val="single" w:sz="4" w:space="0" w:color="auto"/>
              <w:right w:val="single" w:sz="4" w:space="0" w:color="auto"/>
              <w:tl2br w:val="nil"/>
              <w:tr2bl w:val="nil"/>
            </w:tcBorders>
            <w:vAlign w:val="center"/>
          </w:tcPr>
          <w:p w:rsidR="00AD5BB5" w:rsidRDefault="00F87FF6">
            <w:pPr>
              <w:jc w:val="center"/>
              <w:rPr>
                <w:rStyle w:val="5Char"/>
                <w:rFonts w:ascii="Times New Roman" w:hAnsi="Times New Roman" w:cs="Times New Roman"/>
                <w:bCs/>
              </w:rPr>
            </w:pPr>
            <w:r>
              <w:rPr>
                <w:rFonts w:ascii="Times New Roman" w:hAnsi="Times New Roman" w:cs="Times New Roman"/>
                <w:b/>
                <w:bCs/>
              </w:rPr>
              <w:t>项目</w:t>
            </w:r>
          </w:p>
        </w:tc>
        <w:tc>
          <w:tcPr>
            <w:tcW w:w="1935" w:type="pct"/>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Style w:val="5Char"/>
                <w:rFonts w:ascii="Times New Roman" w:hAnsi="Times New Roman" w:cs="Times New Roman"/>
                <w:bCs/>
              </w:rPr>
            </w:pPr>
            <w:r>
              <w:rPr>
                <w:rFonts w:ascii="Times New Roman" w:hAnsi="Times New Roman" w:cs="Times New Roman"/>
                <w:b/>
                <w:bCs/>
              </w:rPr>
              <w:t>202</w:t>
            </w:r>
            <w:r>
              <w:rPr>
                <w:rFonts w:ascii="Times New Roman" w:hAnsi="Times New Roman" w:cs="Times New Roman" w:hint="eastAsia"/>
                <w:b/>
                <w:bCs/>
              </w:rPr>
              <w:t>3</w:t>
            </w:r>
            <w:r>
              <w:rPr>
                <w:rFonts w:ascii="Times New Roman" w:hAnsi="Times New Roman" w:cs="Times New Roman"/>
                <w:b/>
                <w:bCs/>
              </w:rPr>
              <w:t>年</w:t>
            </w:r>
            <w:r>
              <w:rPr>
                <w:rFonts w:ascii="Times New Roman" w:hAnsi="Times New Roman" w:cs="Times New Roman"/>
                <w:b/>
                <w:bCs/>
              </w:rPr>
              <w:t>6</w:t>
            </w:r>
            <w:r>
              <w:rPr>
                <w:rFonts w:ascii="Times New Roman" w:hAnsi="Times New Roman" w:cs="Times New Roman"/>
                <w:b/>
                <w:bCs/>
              </w:rPr>
              <w:t>月</w:t>
            </w:r>
            <w:r>
              <w:rPr>
                <w:rFonts w:ascii="Times New Roman" w:hAnsi="Times New Roman" w:cs="Times New Roman"/>
                <w:b/>
                <w:bCs/>
              </w:rPr>
              <w:t>30</w:t>
            </w:r>
            <w:r>
              <w:rPr>
                <w:rFonts w:ascii="Times New Roman" w:hAnsi="Times New Roman" w:cs="Times New Roman"/>
                <w:b/>
                <w:bCs/>
              </w:rPr>
              <w:t>日</w:t>
            </w:r>
          </w:p>
        </w:tc>
        <w:tc>
          <w:tcPr>
            <w:tcW w:w="1940" w:type="pct"/>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Style w:val="5Char"/>
                <w:rFonts w:ascii="Times New Roman" w:hAnsi="Times New Roman" w:cs="Times New Roman"/>
                <w:bCs/>
              </w:rPr>
            </w:pPr>
            <w:r>
              <w:rPr>
                <w:rFonts w:ascii="Times New Roman" w:hAnsi="Times New Roman" w:cs="Times New Roman"/>
                <w:b/>
                <w:bCs/>
              </w:rPr>
              <w:t>202</w:t>
            </w:r>
            <w:r>
              <w:rPr>
                <w:rFonts w:ascii="Times New Roman" w:hAnsi="Times New Roman" w:cs="Times New Roman" w:hint="eastAsia"/>
                <w:b/>
                <w:bCs/>
              </w:rPr>
              <w:t>2</w:t>
            </w:r>
            <w:r>
              <w:rPr>
                <w:rFonts w:ascii="Times New Roman" w:hAnsi="Times New Roman" w:cs="Times New Roman"/>
                <w:b/>
                <w:bCs/>
              </w:rPr>
              <w:t>年</w:t>
            </w:r>
            <w:r>
              <w:rPr>
                <w:rFonts w:ascii="Times New Roman" w:hAnsi="Times New Roman" w:cs="Times New Roman"/>
                <w:b/>
                <w:bCs/>
              </w:rPr>
              <w:t>12</w:t>
            </w:r>
            <w:r>
              <w:rPr>
                <w:rFonts w:ascii="Times New Roman" w:hAnsi="Times New Roman" w:cs="Times New Roman"/>
                <w:b/>
                <w:bCs/>
              </w:rPr>
              <w:t>月</w:t>
            </w:r>
            <w:r>
              <w:rPr>
                <w:rFonts w:ascii="Times New Roman" w:hAnsi="Times New Roman" w:cs="Times New Roman"/>
                <w:b/>
                <w:bCs/>
              </w:rPr>
              <w:t>31</w:t>
            </w:r>
            <w:r>
              <w:rPr>
                <w:rFonts w:ascii="Times New Roman" w:hAnsi="Times New Roman" w:cs="Times New Roman"/>
                <w:b/>
                <w:bCs/>
              </w:rPr>
              <w:t>日</w:t>
            </w:r>
          </w:p>
        </w:tc>
      </w:tr>
      <w:tr w:rsidR="00AD5BB5">
        <w:trPr>
          <w:trHeight w:val="180"/>
        </w:trPr>
        <w:tc>
          <w:tcPr>
            <w:tcW w:w="1125" w:type="pct"/>
            <w:vMerge/>
            <w:tcBorders>
              <w:left w:val="single" w:sz="4" w:space="0" w:color="auto"/>
              <w:bottom w:val="single" w:sz="4" w:space="0" w:color="auto"/>
              <w:right w:val="single" w:sz="4" w:space="0" w:color="auto"/>
              <w:tl2br w:val="nil"/>
              <w:tr2bl w:val="nil"/>
            </w:tcBorders>
            <w:vAlign w:val="center"/>
          </w:tcPr>
          <w:p w:rsidR="00AD5BB5" w:rsidRDefault="00AD5BB5">
            <w:pPr>
              <w:jc w:val="center"/>
              <w:rPr>
                <w:rFonts w:ascii="Times New Roman" w:hAnsi="Times New Roman" w:cs="Times New Roman"/>
                <w:b/>
                <w:bCs/>
              </w:rPr>
            </w:pPr>
          </w:p>
        </w:tc>
        <w:tc>
          <w:tcPr>
            <w:tcW w:w="96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Times New Roman"/>
                <w:b/>
                <w:bCs/>
              </w:rPr>
            </w:pPr>
            <w:r>
              <w:rPr>
                <w:rFonts w:ascii="Times New Roman" w:hAnsi="Times New Roman" w:cs="Times New Roman"/>
                <w:b/>
                <w:bCs/>
              </w:rPr>
              <w:t>余额</w:t>
            </w:r>
          </w:p>
        </w:tc>
        <w:tc>
          <w:tcPr>
            <w:tcW w:w="96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Times New Roman"/>
                <w:b/>
                <w:bCs/>
              </w:rPr>
            </w:pPr>
            <w:r>
              <w:rPr>
                <w:rFonts w:ascii="Times New Roman" w:hAnsi="Times New Roman" w:cs="Times New Roman"/>
                <w:b/>
                <w:bCs/>
              </w:rPr>
              <w:t>占比（</w:t>
            </w:r>
            <w:r>
              <w:rPr>
                <w:rFonts w:ascii="Times New Roman" w:hAnsi="Times New Roman" w:cs="Times New Roman"/>
                <w:b/>
                <w:bCs/>
              </w:rPr>
              <w:t>%</w:t>
            </w:r>
            <w:r>
              <w:rPr>
                <w:rFonts w:ascii="Times New Roman" w:hAnsi="Times New Roman" w:cs="Times New Roman"/>
                <w:b/>
                <w:bCs/>
              </w:rPr>
              <w:t>）</w:t>
            </w:r>
          </w:p>
        </w:tc>
        <w:tc>
          <w:tcPr>
            <w:tcW w:w="969"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Times New Roman"/>
                <w:b/>
                <w:bCs/>
              </w:rPr>
            </w:pPr>
            <w:r>
              <w:rPr>
                <w:rFonts w:ascii="Times New Roman" w:hAnsi="Times New Roman" w:cs="Times New Roman"/>
                <w:b/>
                <w:bCs/>
              </w:rPr>
              <w:t>余额</w:t>
            </w:r>
          </w:p>
        </w:tc>
        <w:tc>
          <w:tcPr>
            <w:tcW w:w="97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Times New Roman"/>
                <w:b/>
                <w:bCs/>
              </w:rPr>
            </w:pPr>
            <w:r>
              <w:rPr>
                <w:rFonts w:ascii="Times New Roman" w:hAnsi="Times New Roman" w:cs="Times New Roman"/>
                <w:b/>
                <w:bCs/>
              </w:rPr>
              <w:t>占比（</w:t>
            </w:r>
            <w:r>
              <w:rPr>
                <w:rFonts w:ascii="Times New Roman" w:hAnsi="Times New Roman" w:cs="Times New Roman"/>
                <w:b/>
                <w:bCs/>
              </w:rPr>
              <w:t>%</w:t>
            </w:r>
            <w:r>
              <w:rPr>
                <w:rFonts w:ascii="Times New Roman" w:hAnsi="Times New Roman" w:cs="Times New Roman"/>
                <w:b/>
                <w:bCs/>
              </w:rPr>
              <w:t>）</w:t>
            </w:r>
          </w:p>
        </w:tc>
      </w:tr>
      <w:tr w:rsidR="00AD5BB5">
        <w:trPr>
          <w:trHeight w:val="135"/>
        </w:trPr>
        <w:tc>
          <w:tcPr>
            <w:tcW w:w="112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Style w:val="5Char"/>
                <w:rFonts w:ascii="Times New Roman" w:hAnsi="Times New Roman" w:cs="Times New Roman"/>
                <w:b w:val="0"/>
              </w:rPr>
            </w:pPr>
            <w:r>
              <w:rPr>
                <w:rStyle w:val="5Char"/>
                <w:rFonts w:ascii="Times New Roman" w:hAnsi="Times New Roman" w:cs="Times New Roman"/>
              </w:rPr>
              <w:t>公司存款</w:t>
            </w:r>
          </w:p>
        </w:tc>
        <w:tc>
          <w:tcPr>
            <w:tcW w:w="163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Style w:val="5Char"/>
                <w:rFonts w:ascii="Times New Roman" w:hAnsi="Times New Roman" w:cs="Times New Roman"/>
                <w:b w:val="0"/>
              </w:rPr>
            </w:pPr>
            <w:r>
              <w:rPr>
                <w:rFonts w:ascii="Times New Roman" w:hAnsi="Times New Roman" w:cs="Times New Roman"/>
                <w:kern w:val="0"/>
                <w:szCs w:val="21"/>
                <w:lang w:bidi="ar"/>
              </w:rPr>
              <w:t xml:space="preserve">104,966,352 </w:t>
            </w:r>
          </w:p>
        </w:tc>
        <w:tc>
          <w:tcPr>
            <w:tcW w:w="1641"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Style w:val="5Char"/>
                <w:rFonts w:ascii="Times New Roman" w:hAnsi="Times New Roman" w:cs="Times New Roman"/>
                <w:b w:val="0"/>
              </w:rPr>
            </w:pPr>
            <w:r>
              <w:rPr>
                <w:rFonts w:ascii="Times New Roman" w:hAnsi="Times New Roman" w:cs="Times New Roman"/>
                <w:kern w:val="0"/>
                <w:szCs w:val="21"/>
                <w:lang w:bidi="ar"/>
              </w:rPr>
              <w:t xml:space="preserve">56.72 </w:t>
            </w:r>
          </w:p>
        </w:tc>
        <w:tc>
          <w:tcPr>
            <w:tcW w:w="164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Style w:val="5Char"/>
                <w:rFonts w:ascii="Times New Roman" w:hAnsi="Times New Roman" w:cs="Times New Roman"/>
                <w:b w:val="0"/>
              </w:rPr>
            </w:pPr>
            <w:r>
              <w:rPr>
                <w:rFonts w:ascii="Times New Roman" w:hAnsi="Times New Roman" w:cs="Times New Roman"/>
                <w:kern w:val="0"/>
                <w:szCs w:val="21"/>
                <w:lang w:bidi="ar"/>
              </w:rPr>
              <w:t xml:space="preserve">115,075,825 </w:t>
            </w:r>
          </w:p>
        </w:tc>
        <w:tc>
          <w:tcPr>
            <w:tcW w:w="1646"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Style w:val="5Char"/>
                <w:rFonts w:ascii="Times New Roman" w:hAnsi="Times New Roman" w:cs="Times New Roman"/>
                <w:b w:val="0"/>
              </w:rPr>
            </w:pPr>
            <w:r>
              <w:rPr>
                <w:rFonts w:ascii="Times New Roman" w:hAnsi="Times New Roman" w:cs="Times New Roman"/>
                <w:kern w:val="0"/>
                <w:szCs w:val="21"/>
                <w:lang w:bidi="ar"/>
              </w:rPr>
              <w:t xml:space="preserve">56.17 </w:t>
            </w:r>
          </w:p>
        </w:tc>
      </w:tr>
      <w:tr w:rsidR="00AD5BB5">
        <w:trPr>
          <w:trHeight w:val="135"/>
        </w:trPr>
        <w:tc>
          <w:tcPr>
            <w:tcW w:w="112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ind w:firstLineChars="200" w:firstLine="422"/>
              <w:rPr>
                <w:rStyle w:val="5Char"/>
                <w:rFonts w:ascii="Times New Roman" w:hAnsi="Times New Roman" w:cs="Times New Roman"/>
                <w:b w:val="0"/>
              </w:rPr>
            </w:pPr>
            <w:r>
              <w:rPr>
                <w:rStyle w:val="5Char"/>
                <w:rFonts w:ascii="Times New Roman" w:hAnsi="Times New Roman" w:cs="Times New Roman"/>
              </w:rPr>
              <w:t>活期存款</w:t>
            </w:r>
          </w:p>
        </w:tc>
        <w:tc>
          <w:tcPr>
            <w:tcW w:w="163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Style w:val="5Char"/>
                <w:rFonts w:ascii="Times New Roman" w:hAnsi="Times New Roman" w:cs="Times New Roman"/>
                <w:b w:val="0"/>
              </w:rPr>
            </w:pPr>
            <w:r>
              <w:rPr>
                <w:rFonts w:ascii="Times New Roman" w:hAnsi="Times New Roman" w:cs="Times New Roman"/>
                <w:kern w:val="0"/>
                <w:szCs w:val="21"/>
                <w:lang w:bidi="ar"/>
              </w:rPr>
              <w:t xml:space="preserve">39,370,766 </w:t>
            </w:r>
          </w:p>
        </w:tc>
        <w:tc>
          <w:tcPr>
            <w:tcW w:w="1641"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Style w:val="5Char"/>
                <w:rFonts w:ascii="Times New Roman" w:hAnsi="Times New Roman" w:cs="Times New Roman"/>
                <w:b w:val="0"/>
              </w:rPr>
            </w:pPr>
            <w:r>
              <w:rPr>
                <w:rFonts w:ascii="Times New Roman" w:hAnsi="Times New Roman" w:cs="Times New Roman"/>
                <w:kern w:val="0"/>
                <w:szCs w:val="21"/>
                <w:lang w:bidi="ar"/>
              </w:rPr>
              <w:t xml:space="preserve">21.27 </w:t>
            </w:r>
          </w:p>
        </w:tc>
        <w:tc>
          <w:tcPr>
            <w:tcW w:w="164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Style w:val="5Char"/>
                <w:rFonts w:ascii="Times New Roman" w:hAnsi="Times New Roman" w:cs="Times New Roman"/>
                <w:b w:val="0"/>
              </w:rPr>
            </w:pPr>
            <w:r>
              <w:rPr>
                <w:rFonts w:ascii="Times New Roman" w:hAnsi="Times New Roman" w:cs="Times New Roman"/>
                <w:kern w:val="0"/>
                <w:szCs w:val="21"/>
                <w:lang w:bidi="ar"/>
              </w:rPr>
              <w:t xml:space="preserve">50,588,609 </w:t>
            </w:r>
          </w:p>
        </w:tc>
        <w:tc>
          <w:tcPr>
            <w:tcW w:w="1646"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Style w:val="5Char"/>
                <w:rFonts w:ascii="Times New Roman" w:hAnsi="Times New Roman" w:cs="Times New Roman"/>
                <w:b w:val="0"/>
              </w:rPr>
            </w:pPr>
            <w:r>
              <w:rPr>
                <w:rFonts w:ascii="Times New Roman" w:hAnsi="Times New Roman" w:cs="Times New Roman"/>
                <w:kern w:val="0"/>
                <w:szCs w:val="21"/>
                <w:lang w:bidi="ar"/>
              </w:rPr>
              <w:t xml:space="preserve">24.69 </w:t>
            </w:r>
          </w:p>
        </w:tc>
      </w:tr>
      <w:tr w:rsidR="00AD5BB5">
        <w:trPr>
          <w:trHeight w:val="135"/>
        </w:trPr>
        <w:tc>
          <w:tcPr>
            <w:tcW w:w="112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ind w:firstLineChars="200" w:firstLine="422"/>
              <w:rPr>
                <w:rStyle w:val="5Char"/>
                <w:rFonts w:ascii="Times New Roman" w:hAnsi="Times New Roman" w:cs="Times New Roman"/>
                <w:b w:val="0"/>
              </w:rPr>
            </w:pPr>
            <w:r>
              <w:rPr>
                <w:rStyle w:val="5Char"/>
                <w:rFonts w:ascii="Times New Roman" w:hAnsi="Times New Roman" w:cs="Times New Roman"/>
              </w:rPr>
              <w:t>定期存款</w:t>
            </w:r>
          </w:p>
        </w:tc>
        <w:tc>
          <w:tcPr>
            <w:tcW w:w="163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Style w:val="5Char"/>
                <w:rFonts w:ascii="Times New Roman" w:hAnsi="Times New Roman" w:cs="Times New Roman"/>
                <w:b w:val="0"/>
              </w:rPr>
            </w:pPr>
            <w:r>
              <w:rPr>
                <w:rFonts w:ascii="Times New Roman" w:hAnsi="Times New Roman" w:cs="Times New Roman"/>
                <w:kern w:val="0"/>
                <w:szCs w:val="21"/>
                <w:lang w:bidi="ar"/>
              </w:rPr>
              <w:t xml:space="preserve">65,595,587 </w:t>
            </w:r>
          </w:p>
        </w:tc>
        <w:tc>
          <w:tcPr>
            <w:tcW w:w="1641"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Style w:val="5Char"/>
                <w:rFonts w:ascii="Times New Roman" w:hAnsi="Times New Roman" w:cs="Times New Roman"/>
                <w:b w:val="0"/>
              </w:rPr>
            </w:pPr>
            <w:r>
              <w:rPr>
                <w:rFonts w:ascii="Times New Roman" w:hAnsi="Times New Roman" w:cs="Times New Roman"/>
                <w:kern w:val="0"/>
                <w:szCs w:val="21"/>
                <w:lang w:bidi="ar"/>
              </w:rPr>
              <w:t xml:space="preserve">35.44 </w:t>
            </w:r>
          </w:p>
        </w:tc>
        <w:tc>
          <w:tcPr>
            <w:tcW w:w="164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Style w:val="5Char"/>
                <w:rFonts w:ascii="Times New Roman" w:hAnsi="Times New Roman" w:cs="Times New Roman"/>
                <w:b w:val="0"/>
              </w:rPr>
            </w:pPr>
            <w:r>
              <w:rPr>
                <w:rFonts w:ascii="Times New Roman" w:hAnsi="Times New Roman" w:cs="Times New Roman"/>
                <w:kern w:val="0"/>
                <w:szCs w:val="21"/>
                <w:lang w:bidi="ar"/>
              </w:rPr>
              <w:t xml:space="preserve">64,487,216 </w:t>
            </w:r>
          </w:p>
        </w:tc>
        <w:tc>
          <w:tcPr>
            <w:tcW w:w="1646"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Style w:val="5Char"/>
                <w:rFonts w:ascii="Times New Roman" w:hAnsi="Times New Roman" w:cs="Times New Roman"/>
                <w:b w:val="0"/>
              </w:rPr>
            </w:pPr>
            <w:r>
              <w:rPr>
                <w:rFonts w:ascii="Times New Roman" w:hAnsi="Times New Roman" w:cs="Times New Roman"/>
                <w:kern w:val="0"/>
                <w:szCs w:val="21"/>
                <w:lang w:bidi="ar"/>
              </w:rPr>
              <w:t xml:space="preserve">31.48 </w:t>
            </w:r>
          </w:p>
        </w:tc>
      </w:tr>
      <w:tr w:rsidR="00AD5BB5">
        <w:trPr>
          <w:trHeight w:val="286"/>
        </w:trPr>
        <w:tc>
          <w:tcPr>
            <w:tcW w:w="112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Style w:val="5Char"/>
                <w:rFonts w:ascii="Times New Roman" w:hAnsi="Times New Roman" w:cs="Times New Roman"/>
                <w:b w:val="0"/>
              </w:rPr>
            </w:pPr>
            <w:r>
              <w:rPr>
                <w:rStyle w:val="5Char"/>
                <w:rFonts w:ascii="Times New Roman" w:hAnsi="Times New Roman" w:cs="Times New Roman"/>
              </w:rPr>
              <w:t>个人存款</w:t>
            </w:r>
          </w:p>
        </w:tc>
        <w:tc>
          <w:tcPr>
            <w:tcW w:w="163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Style w:val="5Char"/>
                <w:rFonts w:ascii="Times New Roman" w:hAnsi="Times New Roman" w:cs="Times New Roman"/>
                <w:b w:val="0"/>
              </w:rPr>
            </w:pPr>
            <w:r>
              <w:rPr>
                <w:rFonts w:ascii="Times New Roman" w:hAnsi="Times New Roman" w:cs="Times New Roman"/>
                <w:kern w:val="0"/>
                <w:szCs w:val="21"/>
                <w:lang w:bidi="ar"/>
              </w:rPr>
              <w:t xml:space="preserve">60,447,951 </w:t>
            </w:r>
          </w:p>
        </w:tc>
        <w:tc>
          <w:tcPr>
            <w:tcW w:w="1641"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Style w:val="5Char"/>
                <w:rFonts w:ascii="Times New Roman" w:hAnsi="Times New Roman" w:cs="Times New Roman"/>
                <w:b w:val="0"/>
              </w:rPr>
            </w:pPr>
            <w:r>
              <w:rPr>
                <w:rFonts w:ascii="Times New Roman" w:hAnsi="Times New Roman" w:cs="Times New Roman"/>
                <w:kern w:val="0"/>
                <w:szCs w:val="21"/>
                <w:lang w:bidi="ar"/>
              </w:rPr>
              <w:t xml:space="preserve">32.66 </w:t>
            </w:r>
          </w:p>
        </w:tc>
        <w:tc>
          <w:tcPr>
            <w:tcW w:w="164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Style w:val="5Char"/>
                <w:rFonts w:ascii="Times New Roman" w:hAnsi="Times New Roman" w:cs="Times New Roman"/>
                <w:b w:val="0"/>
              </w:rPr>
            </w:pPr>
            <w:r>
              <w:rPr>
                <w:rFonts w:ascii="Times New Roman" w:hAnsi="Times New Roman" w:cs="Times New Roman"/>
                <w:kern w:val="0"/>
                <w:szCs w:val="21"/>
                <w:lang w:bidi="ar"/>
              </w:rPr>
              <w:t xml:space="preserve">55,391,137 </w:t>
            </w:r>
          </w:p>
        </w:tc>
        <w:tc>
          <w:tcPr>
            <w:tcW w:w="1646"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Style w:val="5Char"/>
                <w:rFonts w:ascii="Times New Roman" w:hAnsi="Times New Roman" w:cs="Times New Roman"/>
                <w:b w:val="0"/>
              </w:rPr>
            </w:pPr>
            <w:r>
              <w:rPr>
                <w:rFonts w:ascii="Times New Roman" w:hAnsi="Times New Roman" w:cs="Times New Roman"/>
                <w:kern w:val="0"/>
                <w:szCs w:val="21"/>
                <w:lang w:bidi="ar"/>
              </w:rPr>
              <w:t xml:space="preserve">27.04 </w:t>
            </w:r>
          </w:p>
        </w:tc>
      </w:tr>
      <w:tr w:rsidR="00AD5BB5">
        <w:trPr>
          <w:trHeight w:val="135"/>
        </w:trPr>
        <w:tc>
          <w:tcPr>
            <w:tcW w:w="112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ind w:firstLineChars="200" w:firstLine="422"/>
              <w:rPr>
                <w:rStyle w:val="5Char"/>
                <w:rFonts w:ascii="Times New Roman" w:hAnsi="Times New Roman" w:cs="Times New Roman"/>
                <w:b w:val="0"/>
              </w:rPr>
            </w:pPr>
            <w:r>
              <w:rPr>
                <w:rStyle w:val="5Char"/>
                <w:rFonts w:ascii="Times New Roman" w:hAnsi="Times New Roman" w:cs="Times New Roman"/>
              </w:rPr>
              <w:t>活期存款</w:t>
            </w:r>
          </w:p>
        </w:tc>
        <w:tc>
          <w:tcPr>
            <w:tcW w:w="163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Style w:val="5Char"/>
                <w:rFonts w:ascii="Times New Roman" w:hAnsi="Times New Roman" w:cs="Times New Roman"/>
                <w:b w:val="0"/>
              </w:rPr>
            </w:pPr>
            <w:r>
              <w:rPr>
                <w:rFonts w:ascii="Times New Roman" w:hAnsi="Times New Roman" w:cs="Times New Roman"/>
                <w:kern w:val="0"/>
                <w:szCs w:val="21"/>
                <w:lang w:bidi="ar"/>
              </w:rPr>
              <w:t xml:space="preserve">12,828,824 </w:t>
            </w:r>
          </w:p>
        </w:tc>
        <w:tc>
          <w:tcPr>
            <w:tcW w:w="1641"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Style w:val="5Char"/>
                <w:rFonts w:ascii="Times New Roman" w:hAnsi="Times New Roman" w:cs="Times New Roman"/>
                <w:b w:val="0"/>
              </w:rPr>
            </w:pPr>
            <w:r>
              <w:rPr>
                <w:rFonts w:ascii="Times New Roman" w:hAnsi="Times New Roman" w:cs="Times New Roman"/>
                <w:kern w:val="0"/>
                <w:szCs w:val="21"/>
                <w:lang w:bidi="ar"/>
              </w:rPr>
              <w:t xml:space="preserve">6.93 </w:t>
            </w:r>
          </w:p>
        </w:tc>
        <w:tc>
          <w:tcPr>
            <w:tcW w:w="164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Style w:val="5Char"/>
                <w:rFonts w:ascii="Times New Roman" w:hAnsi="Times New Roman" w:cs="Times New Roman"/>
                <w:b w:val="0"/>
              </w:rPr>
            </w:pPr>
            <w:r>
              <w:rPr>
                <w:rFonts w:ascii="Times New Roman" w:hAnsi="Times New Roman" w:cs="Times New Roman"/>
                <w:kern w:val="0"/>
                <w:szCs w:val="21"/>
                <w:lang w:bidi="ar"/>
              </w:rPr>
              <w:t xml:space="preserve">13,066,220 </w:t>
            </w:r>
          </w:p>
        </w:tc>
        <w:tc>
          <w:tcPr>
            <w:tcW w:w="1646"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Style w:val="5Char"/>
                <w:rFonts w:ascii="Times New Roman" w:hAnsi="Times New Roman" w:cs="Times New Roman"/>
                <w:b w:val="0"/>
              </w:rPr>
            </w:pPr>
            <w:r>
              <w:rPr>
                <w:rFonts w:ascii="Times New Roman" w:hAnsi="Times New Roman" w:cs="Times New Roman"/>
                <w:kern w:val="0"/>
                <w:szCs w:val="21"/>
                <w:lang w:bidi="ar"/>
              </w:rPr>
              <w:t xml:space="preserve">6.38 </w:t>
            </w:r>
          </w:p>
        </w:tc>
      </w:tr>
      <w:tr w:rsidR="00AD5BB5">
        <w:trPr>
          <w:trHeight w:val="135"/>
        </w:trPr>
        <w:tc>
          <w:tcPr>
            <w:tcW w:w="112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ind w:firstLineChars="200" w:firstLine="422"/>
              <w:rPr>
                <w:rStyle w:val="5Char"/>
                <w:rFonts w:ascii="Times New Roman" w:hAnsi="Times New Roman" w:cs="Times New Roman"/>
                <w:b w:val="0"/>
              </w:rPr>
            </w:pPr>
            <w:r>
              <w:rPr>
                <w:rStyle w:val="5Char"/>
                <w:rFonts w:ascii="Times New Roman" w:hAnsi="Times New Roman" w:cs="Times New Roman"/>
              </w:rPr>
              <w:t>定期存款</w:t>
            </w:r>
          </w:p>
        </w:tc>
        <w:tc>
          <w:tcPr>
            <w:tcW w:w="163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Style w:val="5Char"/>
                <w:rFonts w:ascii="Times New Roman" w:hAnsi="Times New Roman" w:cs="Times New Roman"/>
                <w:b w:val="0"/>
              </w:rPr>
            </w:pPr>
            <w:r>
              <w:rPr>
                <w:rFonts w:ascii="Times New Roman" w:hAnsi="Times New Roman" w:cs="Times New Roman"/>
                <w:kern w:val="0"/>
                <w:szCs w:val="21"/>
                <w:lang w:bidi="ar"/>
              </w:rPr>
              <w:t xml:space="preserve">47,619,127 </w:t>
            </w:r>
          </w:p>
        </w:tc>
        <w:tc>
          <w:tcPr>
            <w:tcW w:w="1641"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Style w:val="5Char"/>
                <w:rFonts w:ascii="Times New Roman" w:hAnsi="Times New Roman" w:cs="Times New Roman"/>
                <w:b w:val="0"/>
              </w:rPr>
            </w:pPr>
            <w:r>
              <w:rPr>
                <w:rFonts w:ascii="Times New Roman" w:hAnsi="Times New Roman" w:cs="Times New Roman"/>
                <w:kern w:val="0"/>
                <w:szCs w:val="21"/>
                <w:lang w:bidi="ar"/>
              </w:rPr>
              <w:t xml:space="preserve">25.73 </w:t>
            </w:r>
          </w:p>
        </w:tc>
        <w:tc>
          <w:tcPr>
            <w:tcW w:w="164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Style w:val="5Char"/>
                <w:rFonts w:ascii="Times New Roman" w:hAnsi="Times New Roman" w:cs="Times New Roman"/>
                <w:b w:val="0"/>
              </w:rPr>
            </w:pPr>
            <w:r>
              <w:rPr>
                <w:rFonts w:ascii="Times New Roman" w:hAnsi="Times New Roman" w:cs="Times New Roman"/>
                <w:kern w:val="0"/>
                <w:szCs w:val="21"/>
                <w:lang w:bidi="ar"/>
              </w:rPr>
              <w:t xml:space="preserve">42,324,916 </w:t>
            </w:r>
          </w:p>
        </w:tc>
        <w:tc>
          <w:tcPr>
            <w:tcW w:w="1646"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Style w:val="5Char"/>
                <w:rFonts w:ascii="Times New Roman" w:hAnsi="Times New Roman" w:cs="Times New Roman"/>
                <w:b w:val="0"/>
              </w:rPr>
            </w:pPr>
            <w:r>
              <w:rPr>
                <w:rFonts w:ascii="Times New Roman" w:hAnsi="Times New Roman" w:cs="Times New Roman"/>
                <w:kern w:val="0"/>
                <w:szCs w:val="21"/>
                <w:lang w:bidi="ar"/>
              </w:rPr>
              <w:t xml:space="preserve">20.66 </w:t>
            </w:r>
          </w:p>
        </w:tc>
      </w:tr>
      <w:tr w:rsidR="00AD5BB5">
        <w:trPr>
          <w:trHeight w:val="135"/>
        </w:trPr>
        <w:tc>
          <w:tcPr>
            <w:tcW w:w="112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Style w:val="5Char"/>
                <w:rFonts w:ascii="Times New Roman" w:hAnsi="Times New Roman" w:cs="Times New Roman"/>
                <w:b w:val="0"/>
              </w:rPr>
            </w:pPr>
            <w:r>
              <w:rPr>
                <w:rStyle w:val="5Char"/>
                <w:rFonts w:ascii="Times New Roman" w:hAnsi="Times New Roman" w:cs="Times New Roman"/>
              </w:rPr>
              <w:t>保证金存款</w:t>
            </w:r>
          </w:p>
        </w:tc>
        <w:tc>
          <w:tcPr>
            <w:tcW w:w="163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Style w:val="5Char"/>
                <w:rFonts w:ascii="Times New Roman" w:hAnsi="Times New Roman" w:cs="Times New Roman"/>
                <w:b w:val="0"/>
              </w:rPr>
            </w:pPr>
            <w:r>
              <w:rPr>
                <w:rFonts w:ascii="Times New Roman" w:hAnsi="Times New Roman" w:cs="Times New Roman"/>
                <w:kern w:val="0"/>
                <w:szCs w:val="21"/>
                <w:lang w:bidi="ar"/>
              </w:rPr>
              <w:t xml:space="preserve">19,637,179 </w:t>
            </w:r>
          </w:p>
        </w:tc>
        <w:tc>
          <w:tcPr>
            <w:tcW w:w="1641"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Style w:val="5Char"/>
                <w:rFonts w:ascii="Times New Roman" w:hAnsi="Times New Roman" w:cs="Times New Roman"/>
                <w:b w:val="0"/>
              </w:rPr>
            </w:pPr>
            <w:r>
              <w:rPr>
                <w:rFonts w:ascii="Times New Roman" w:hAnsi="Times New Roman" w:cs="Times New Roman"/>
                <w:kern w:val="0"/>
                <w:szCs w:val="21"/>
                <w:lang w:bidi="ar"/>
              </w:rPr>
              <w:t xml:space="preserve">10.61 </w:t>
            </w:r>
          </w:p>
        </w:tc>
        <w:tc>
          <w:tcPr>
            <w:tcW w:w="164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Style w:val="5Char"/>
                <w:rFonts w:ascii="Times New Roman" w:hAnsi="Times New Roman" w:cs="Times New Roman"/>
                <w:b w:val="0"/>
              </w:rPr>
            </w:pPr>
            <w:r>
              <w:rPr>
                <w:rFonts w:ascii="Times New Roman" w:hAnsi="Times New Roman" w:cs="Times New Roman"/>
                <w:kern w:val="0"/>
                <w:szCs w:val="21"/>
                <w:lang w:bidi="ar"/>
              </w:rPr>
              <w:t xml:space="preserve">34,394,860 </w:t>
            </w:r>
          </w:p>
        </w:tc>
        <w:tc>
          <w:tcPr>
            <w:tcW w:w="1646"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Style w:val="5Char"/>
                <w:rFonts w:ascii="Times New Roman" w:hAnsi="Times New Roman" w:cs="Times New Roman"/>
                <w:b w:val="0"/>
              </w:rPr>
            </w:pPr>
            <w:r>
              <w:rPr>
                <w:rFonts w:ascii="Times New Roman" w:hAnsi="Times New Roman" w:cs="Times New Roman"/>
                <w:kern w:val="0"/>
                <w:szCs w:val="21"/>
                <w:lang w:bidi="ar"/>
              </w:rPr>
              <w:t xml:space="preserve">16.79 </w:t>
            </w:r>
          </w:p>
        </w:tc>
      </w:tr>
      <w:tr w:rsidR="00AD5BB5">
        <w:trPr>
          <w:trHeight w:val="135"/>
        </w:trPr>
        <w:tc>
          <w:tcPr>
            <w:tcW w:w="112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Style w:val="5Char"/>
                <w:rFonts w:ascii="Times New Roman" w:hAnsi="Times New Roman" w:cs="Times New Roman"/>
                <w:b w:val="0"/>
              </w:rPr>
            </w:pPr>
            <w:r>
              <w:rPr>
                <w:rStyle w:val="5Char"/>
                <w:rFonts w:ascii="Times New Roman" w:hAnsi="Times New Roman" w:cs="Times New Roman"/>
              </w:rPr>
              <w:t>其他存款</w:t>
            </w:r>
          </w:p>
        </w:tc>
        <w:tc>
          <w:tcPr>
            <w:tcW w:w="163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Style w:val="5Char"/>
                <w:rFonts w:ascii="Times New Roman" w:hAnsi="Times New Roman" w:cs="Times New Roman"/>
                <w:b w:val="0"/>
              </w:rPr>
            </w:pPr>
            <w:r>
              <w:rPr>
                <w:rFonts w:ascii="Times New Roman" w:hAnsi="Times New Roman" w:cs="Times New Roman"/>
                <w:kern w:val="0"/>
                <w:szCs w:val="21"/>
                <w:lang w:bidi="ar"/>
              </w:rPr>
              <w:t xml:space="preserve">12,069 </w:t>
            </w:r>
          </w:p>
        </w:tc>
        <w:tc>
          <w:tcPr>
            <w:tcW w:w="1641"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Style w:val="5Char"/>
                <w:rFonts w:ascii="Times New Roman" w:hAnsi="Times New Roman" w:cs="Times New Roman"/>
                <w:b w:val="0"/>
              </w:rPr>
            </w:pPr>
            <w:r>
              <w:rPr>
                <w:rFonts w:ascii="Times New Roman" w:hAnsi="Times New Roman" w:cs="Times New Roman"/>
                <w:kern w:val="0"/>
                <w:szCs w:val="21"/>
                <w:lang w:bidi="ar"/>
              </w:rPr>
              <w:t xml:space="preserve">0.01 </w:t>
            </w:r>
          </w:p>
        </w:tc>
        <w:tc>
          <w:tcPr>
            <w:tcW w:w="164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Style w:val="5Char"/>
                <w:rFonts w:ascii="Times New Roman" w:hAnsi="Times New Roman" w:cs="Times New Roman"/>
                <w:b w:val="0"/>
              </w:rPr>
            </w:pPr>
            <w:r>
              <w:rPr>
                <w:rFonts w:ascii="Times New Roman" w:hAnsi="Times New Roman" w:cs="Times New Roman"/>
                <w:kern w:val="0"/>
                <w:szCs w:val="21"/>
                <w:lang w:bidi="ar"/>
              </w:rPr>
              <w:t xml:space="preserve">7,906 </w:t>
            </w:r>
          </w:p>
        </w:tc>
        <w:tc>
          <w:tcPr>
            <w:tcW w:w="1646"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Style w:val="5Char"/>
                <w:rFonts w:ascii="Times New Roman" w:hAnsi="Times New Roman" w:cs="Times New Roman"/>
                <w:b w:val="0"/>
              </w:rPr>
            </w:pPr>
            <w:r>
              <w:rPr>
                <w:rFonts w:ascii="Times New Roman" w:hAnsi="Times New Roman" w:cs="Times New Roman"/>
                <w:kern w:val="0"/>
                <w:szCs w:val="21"/>
                <w:lang w:bidi="ar"/>
              </w:rPr>
              <w:t xml:space="preserve">0.00 </w:t>
            </w:r>
          </w:p>
        </w:tc>
      </w:tr>
      <w:tr w:rsidR="00AD5BB5">
        <w:trPr>
          <w:trHeight w:val="135"/>
        </w:trPr>
        <w:tc>
          <w:tcPr>
            <w:tcW w:w="112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Style w:val="5Char"/>
                <w:rFonts w:ascii="Times New Roman" w:hAnsi="Times New Roman" w:cs="Times New Roman"/>
                <w:b w:val="0"/>
              </w:rPr>
            </w:pPr>
            <w:r>
              <w:rPr>
                <w:rStyle w:val="5Char"/>
                <w:rFonts w:ascii="Times New Roman" w:hAnsi="Times New Roman" w:cs="Times New Roman"/>
                <w:bCs/>
              </w:rPr>
              <w:t>存款本金总额</w:t>
            </w:r>
          </w:p>
        </w:tc>
        <w:tc>
          <w:tcPr>
            <w:tcW w:w="163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Style w:val="5Char"/>
                <w:rFonts w:ascii="Times New Roman" w:hAnsi="Times New Roman" w:cs="Times New Roman"/>
                <w:b w:val="0"/>
              </w:rPr>
            </w:pPr>
            <w:r>
              <w:rPr>
                <w:rFonts w:ascii="Times New Roman" w:hAnsi="Times New Roman" w:cs="Times New Roman"/>
                <w:kern w:val="0"/>
                <w:szCs w:val="21"/>
                <w:lang w:bidi="ar"/>
              </w:rPr>
              <w:t xml:space="preserve">185,063,552 </w:t>
            </w:r>
          </w:p>
        </w:tc>
        <w:tc>
          <w:tcPr>
            <w:tcW w:w="1641"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Style w:val="5Char"/>
                <w:rFonts w:ascii="Times New Roman" w:hAnsi="Times New Roman" w:cs="Times New Roman"/>
                <w:b w:val="0"/>
              </w:rPr>
            </w:pPr>
            <w:r>
              <w:rPr>
                <w:rFonts w:ascii="Times New Roman" w:hAnsi="Times New Roman" w:cs="Times New Roman" w:hint="eastAsia"/>
                <w:kern w:val="0"/>
                <w:szCs w:val="21"/>
                <w:lang w:bidi="ar"/>
              </w:rPr>
              <w:t>100.00</w:t>
            </w:r>
            <w:r>
              <w:rPr>
                <w:rFonts w:ascii="Times New Roman" w:hAnsi="Times New Roman" w:cs="Times New Roman"/>
                <w:kern w:val="0"/>
                <w:szCs w:val="21"/>
                <w:lang w:bidi="ar"/>
              </w:rPr>
              <w:t xml:space="preserve"> </w:t>
            </w:r>
          </w:p>
        </w:tc>
        <w:tc>
          <w:tcPr>
            <w:tcW w:w="164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Style w:val="5Char"/>
                <w:rFonts w:ascii="Times New Roman" w:hAnsi="Times New Roman" w:cs="Times New Roman"/>
                <w:b w:val="0"/>
              </w:rPr>
            </w:pPr>
            <w:r>
              <w:rPr>
                <w:rFonts w:ascii="Times New Roman" w:hAnsi="Times New Roman" w:cs="Times New Roman"/>
                <w:kern w:val="0"/>
                <w:szCs w:val="21"/>
                <w:lang w:bidi="ar"/>
              </w:rPr>
              <w:t xml:space="preserve">204,869,727 </w:t>
            </w:r>
          </w:p>
        </w:tc>
        <w:tc>
          <w:tcPr>
            <w:tcW w:w="1646"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Style w:val="5Char"/>
                <w:rFonts w:ascii="Times New Roman" w:hAnsi="Times New Roman" w:cs="Times New Roman"/>
                <w:b w:val="0"/>
              </w:rPr>
            </w:pPr>
            <w:r>
              <w:rPr>
                <w:rFonts w:ascii="Times New Roman" w:hAnsi="Times New Roman" w:cs="Times New Roman" w:hint="eastAsia"/>
                <w:kern w:val="0"/>
                <w:szCs w:val="21"/>
                <w:lang w:bidi="ar"/>
              </w:rPr>
              <w:t>100.00</w:t>
            </w:r>
            <w:r>
              <w:rPr>
                <w:rFonts w:ascii="Times New Roman" w:hAnsi="Times New Roman" w:cs="Times New Roman"/>
                <w:kern w:val="0"/>
                <w:szCs w:val="21"/>
                <w:lang w:bidi="ar"/>
              </w:rPr>
              <w:t xml:space="preserve"> </w:t>
            </w:r>
          </w:p>
        </w:tc>
      </w:tr>
      <w:tr w:rsidR="00AD5BB5">
        <w:trPr>
          <w:trHeight w:val="135"/>
        </w:trPr>
        <w:tc>
          <w:tcPr>
            <w:tcW w:w="112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Style w:val="5Char"/>
                <w:rFonts w:ascii="Times New Roman" w:hAnsi="Times New Roman" w:cs="Times New Roman"/>
                <w:b w:val="0"/>
              </w:rPr>
            </w:pPr>
            <w:r>
              <w:rPr>
                <w:rStyle w:val="5Char"/>
                <w:rFonts w:ascii="Times New Roman" w:hAnsi="Times New Roman" w:cs="Times New Roman"/>
              </w:rPr>
              <w:t>应计利息</w:t>
            </w:r>
          </w:p>
        </w:tc>
        <w:tc>
          <w:tcPr>
            <w:tcW w:w="163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Style w:val="5Char"/>
                <w:rFonts w:ascii="Times New Roman" w:hAnsi="Times New Roman" w:cs="Times New Roman"/>
                <w:b w:val="0"/>
              </w:rPr>
            </w:pPr>
            <w:r>
              <w:rPr>
                <w:rFonts w:ascii="Times New Roman" w:hAnsi="Times New Roman" w:cs="Times New Roman"/>
                <w:kern w:val="0"/>
                <w:szCs w:val="21"/>
                <w:lang w:bidi="ar"/>
              </w:rPr>
              <w:t xml:space="preserve">2,582,108 </w:t>
            </w:r>
          </w:p>
        </w:tc>
        <w:tc>
          <w:tcPr>
            <w:tcW w:w="1641"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Style w:val="5Char"/>
                <w:rFonts w:ascii="Times New Roman" w:hAnsi="Times New Roman" w:cs="Times New Roman"/>
                <w:b w:val="0"/>
              </w:rPr>
            </w:pPr>
            <w:r>
              <w:rPr>
                <w:rFonts w:ascii="Times New Roman" w:hAnsi="Times New Roman" w:cs="Times New Roman" w:hint="eastAsia"/>
                <w:kern w:val="0"/>
                <w:szCs w:val="21"/>
                <w:lang w:bidi="ar"/>
              </w:rPr>
              <w:t>-</w:t>
            </w:r>
            <w:r>
              <w:rPr>
                <w:rFonts w:ascii="Times New Roman" w:hAnsi="Times New Roman" w:cs="Times New Roman"/>
                <w:kern w:val="0"/>
                <w:szCs w:val="21"/>
                <w:lang w:bidi="ar"/>
              </w:rPr>
              <w:t xml:space="preserve"> </w:t>
            </w:r>
          </w:p>
        </w:tc>
        <w:tc>
          <w:tcPr>
            <w:tcW w:w="164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Style w:val="5Char"/>
                <w:rFonts w:ascii="Times New Roman" w:hAnsi="Times New Roman" w:cs="Times New Roman"/>
                <w:b w:val="0"/>
              </w:rPr>
            </w:pPr>
            <w:r>
              <w:rPr>
                <w:rFonts w:ascii="Times New Roman" w:hAnsi="Times New Roman" w:cs="Times New Roman"/>
                <w:kern w:val="0"/>
                <w:szCs w:val="21"/>
                <w:lang w:bidi="ar"/>
              </w:rPr>
              <w:t xml:space="preserve">2,145,137 </w:t>
            </w:r>
          </w:p>
        </w:tc>
        <w:tc>
          <w:tcPr>
            <w:tcW w:w="1646"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Style w:val="5Char"/>
                <w:rFonts w:ascii="Times New Roman" w:hAnsi="Times New Roman" w:cs="Times New Roman"/>
                <w:b w:val="0"/>
              </w:rPr>
            </w:pPr>
            <w:r>
              <w:rPr>
                <w:rFonts w:ascii="Times New Roman" w:hAnsi="Times New Roman" w:cs="Times New Roman" w:hint="eastAsia"/>
                <w:kern w:val="0"/>
                <w:szCs w:val="21"/>
                <w:lang w:bidi="ar"/>
              </w:rPr>
              <w:t>-</w:t>
            </w:r>
            <w:r>
              <w:rPr>
                <w:rFonts w:ascii="Times New Roman" w:hAnsi="Times New Roman" w:cs="Times New Roman"/>
                <w:kern w:val="0"/>
                <w:szCs w:val="21"/>
                <w:lang w:bidi="ar"/>
              </w:rPr>
              <w:t xml:space="preserve"> </w:t>
            </w:r>
          </w:p>
        </w:tc>
      </w:tr>
      <w:tr w:rsidR="00AD5BB5">
        <w:trPr>
          <w:trHeight w:val="135"/>
        </w:trPr>
        <w:tc>
          <w:tcPr>
            <w:tcW w:w="112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Style w:val="5Char"/>
                <w:rFonts w:ascii="Times New Roman" w:hAnsi="Times New Roman" w:cs="Times New Roman"/>
              </w:rPr>
            </w:pPr>
            <w:r>
              <w:rPr>
                <w:rStyle w:val="5Char"/>
                <w:rFonts w:ascii="Times New Roman" w:hAnsi="Times New Roman" w:cs="Times New Roman"/>
                <w:bCs/>
              </w:rPr>
              <w:t>合计</w:t>
            </w:r>
          </w:p>
        </w:tc>
        <w:tc>
          <w:tcPr>
            <w:tcW w:w="163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Style w:val="5Char"/>
                <w:rFonts w:ascii="Times New Roman" w:hAnsi="Times New Roman" w:cs="Times New Roman"/>
                <w:b w:val="0"/>
              </w:rPr>
            </w:pPr>
            <w:r>
              <w:rPr>
                <w:rFonts w:ascii="Times New Roman" w:hAnsi="Times New Roman" w:cs="Times New Roman"/>
                <w:kern w:val="0"/>
                <w:szCs w:val="21"/>
                <w:lang w:bidi="ar"/>
              </w:rPr>
              <w:t xml:space="preserve">187,645,660 </w:t>
            </w:r>
          </w:p>
        </w:tc>
        <w:tc>
          <w:tcPr>
            <w:tcW w:w="1641"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Style w:val="5Char"/>
                <w:rFonts w:ascii="Times New Roman" w:hAnsi="Times New Roman" w:cs="Times New Roman"/>
                <w:b w:val="0"/>
              </w:rPr>
            </w:pPr>
            <w:r>
              <w:rPr>
                <w:rFonts w:ascii="Times New Roman" w:hAnsi="Times New Roman" w:cs="Times New Roman" w:hint="eastAsia"/>
                <w:kern w:val="0"/>
                <w:szCs w:val="21"/>
                <w:lang w:bidi="ar"/>
              </w:rPr>
              <w:t>-</w:t>
            </w:r>
            <w:r>
              <w:rPr>
                <w:rFonts w:ascii="Times New Roman" w:hAnsi="Times New Roman" w:cs="Times New Roman"/>
                <w:kern w:val="0"/>
                <w:szCs w:val="21"/>
                <w:lang w:bidi="ar"/>
              </w:rPr>
              <w:t xml:space="preserve"> </w:t>
            </w:r>
          </w:p>
        </w:tc>
        <w:tc>
          <w:tcPr>
            <w:tcW w:w="164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Style w:val="5Char"/>
                <w:rFonts w:ascii="Times New Roman" w:hAnsi="Times New Roman" w:cs="Times New Roman"/>
                <w:b w:val="0"/>
              </w:rPr>
            </w:pPr>
            <w:r>
              <w:rPr>
                <w:rFonts w:ascii="Times New Roman" w:hAnsi="Times New Roman" w:cs="Times New Roman"/>
                <w:kern w:val="0"/>
                <w:szCs w:val="21"/>
                <w:lang w:bidi="ar"/>
              </w:rPr>
              <w:t xml:space="preserve">207,014,864 </w:t>
            </w:r>
          </w:p>
        </w:tc>
        <w:tc>
          <w:tcPr>
            <w:tcW w:w="1646"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Style w:val="5Char"/>
                <w:rFonts w:ascii="Times New Roman" w:hAnsi="Times New Roman" w:cs="Times New Roman"/>
                <w:b w:val="0"/>
              </w:rPr>
            </w:pPr>
            <w:r>
              <w:rPr>
                <w:rFonts w:ascii="Times New Roman" w:hAnsi="Times New Roman" w:cs="Times New Roman" w:hint="eastAsia"/>
                <w:kern w:val="0"/>
                <w:szCs w:val="21"/>
                <w:lang w:bidi="ar"/>
              </w:rPr>
              <w:t>-</w:t>
            </w:r>
            <w:r>
              <w:rPr>
                <w:rFonts w:ascii="Times New Roman" w:hAnsi="Times New Roman" w:cs="Times New Roman"/>
                <w:kern w:val="0"/>
                <w:szCs w:val="21"/>
                <w:lang w:bidi="ar"/>
              </w:rPr>
              <w:t xml:space="preserve"> </w:t>
            </w:r>
          </w:p>
        </w:tc>
      </w:tr>
    </w:tbl>
    <w:p w:rsidR="00AD5BB5" w:rsidRDefault="00AD5BB5"/>
    <w:p w:rsidR="00AD5BB5" w:rsidRDefault="00F87FF6">
      <w:pPr>
        <w:pStyle w:val="4"/>
        <w:numPr>
          <w:ilvl w:val="0"/>
          <w:numId w:val="11"/>
        </w:numPr>
        <w:spacing w:line="360" w:lineRule="auto"/>
        <w:rPr>
          <w:rFonts w:ascii="Times New Roman" w:hAnsi="Times New Roman" w:cs="Times New Roman"/>
        </w:rPr>
      </w:pPr>
      <w:r>
        <w:rPr>
          <w:rFonts w:ascii="Times New Roman" w:hAnsi="Times New Roman" w:cs="Times New Roman" w:hint="eastAsia"/>
        </w:rPr>
        <w:t>同业及其他金融机构存放款</w:t>
      </w:r>
      <w:r>
        <w:rPr>
          <w:rFonts w:ascii="Times New Roman" w:hAnsi="Times New Roman" w:cs="Times New Roman"/>
        </w:rPr>
        <w:t>项</w:t>
      </w:r>
    </w:p>
    <w:p w:rsidR="00AD5BB5" w:rsidRDefault="00F87FF6">
      <w:pPr>
        <w:pStyle w:val="aff2"/>
        <w:spacing w:line="360" w:lineRule="auto"/>
        <w:rPr>
          <w:rFonts w:ascii="Times New Roman" w:hAnsi="Times New Roman" w:cs="Times New Roman"/>
          <w:szCs w:val="21"/>
        </w:rPr>
      </w:pPr>
      <w:r>
        <w:rPr>
          <w:rFonts w:ascii="Times New Roman" w:hAnsi="Times New Roman" w:cs="宋体" w:hint="eastAsia"/>
        </w:rPr>
        <w:t>报告期内</w:t>
      </w:r>
      <w:r>
        <w:rPr>
          <w:rFonts w:ascii="Times New Roman" w:hAnsi="Times New Roman" w:cs="宋体"/>
        </w:rPr>
        <w:t>，公司同业及其他金融机构存放款项余额</w:t>
      </w:r>
      <w:r>
        <w:rPr>
          <w:rFonts w:ascii="Times New Roman" w:hAnsi="Times New Roman" w:cs="宋体" w:hint="eastAsia"/>
        </w:rPr>
        <w:t>101.52</w:t>
      </w:r>
      <w:r>
        <w:rPr>
          <w:rFonts w:ascii="Times New Roman" w:hAnsi="Times New Roman" w:cs="宋体"/>
        </w:rPr>
        <w:t>亿元，较上年</w:t>
      </w:r>
      <w:r>
        <w:rPr>
          <w:rFonts w:ascii="Times New Roman" w:hAnsi="Times New Roman" w:cs="宋体" w:hint="eastAsia"/>
        </w:rPr>
        <w:t>末减少</w:t>
      </w:r>
      <w:r>
        <w:rPr>
          <w:rFonts w:ascii="Times New Roman" w:hAnsi="Times New Roman" w:cs="宋体" w:hint="eastAsia"/>
        </w:rPr>
        <w:t>32.74</w:t>
      </w:r>
      <w:r>
        <w:rPr>
          <w:rFonts w:ascii="Times New Roman" w:hAnsi="Times New Roman" w:cs="宋体"/>
        </w:rPr>
        <w:t>亿元</w:t>
      </w:r>
      <w:r>
        <w:rPr>
          <w:rFonts w:ascii="Times New Roman" w:hAnsi="Times New Roman" w:cs="宋体" w:hint="eastAsia"/>
        </w:rPr>
        <w:t>，下降</w:t>
      </w:r>
      <w:r>
        <w:rPr>
          <w:rFonts w:ascii="Times New Roman" w:hAnsi="Times New Roman" w:cs="宋体" w:hint="eastAsia"/>
        </w:rPr>
        <w:t>24.38%</w:t>
      </w:r>
      <w:r>
        <w:rPr>
          <w:rFonts w:ascii="Times New Roman" w:hAnsi="Times New Roman" w:cs="宋体" w:hint="eastAsia"/>
        </w:rPr>
        <w:t>，主要系境内银行同业存放规模的减少</w:t>
      </w:r>
      <w:r>
        <w:rPr>
          <w:rFonts w:ascii="Times New Roman" w:hAnsi="Times New Roman" w:cs="宋体"/>
        </w:rPr>
        <w:t>。</w:t>
      </w:r>
    </w:p>
    <w:p w:rsidR="00AD5BB5" w:rsidRDefault="00F87FF6">
      <w:pPr>
        <w:spacing w:line="360" w:lineRule="auto"/>
        <w:jc w:val="right"/>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rPr>
        <w:t>单位：人民币千元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64"/>
        <w:gridCol w:w="1438"/>
        <w:gridCol w:w="1486"/>
        <w:gridCol w:w="1491"/>
      </w:tblGrid>
      <w:tr w:rsidR="00AD5BB5">
        <w:tc>
          <w:tcPr>
            <w:tcW w:w="1399" w:type="pct"/>
            <w:vMerge w:val="restart"/>
            <w:tcBorders>
              <w:top w:val="single" w:sz="4" w:space="0" w:color="auto"/>
              <w:left w:val="single" w:sz="4" w:space="0" w:color="auto"/>
              <w:right w:val="single" w:sz="4" w:space="0" w:color="auto"/>
              <w:tl2br w:val="nil"/>
              <w:tr2bl w:val="nil"/>
            </w:tcBorders>
            <w:vAlign w:val="center"/>
          </w:tcPr>
          <w:p w:rsidR="00AD5BB5" w:rsidRDefault="00F87FF6">
            <w:pPr>
              <w:pStyle w:val="aff2"/>
              <w:ind w:firstLineChars="0" w:firstLine="0"/>
              <w:jc w:val="center"/>
              <w:rPr>
                <w:rFonts w:ascii="Times New Roman" w:hAnsi="Times New Roman" w:cs="Times New Roman"/>
                <w:b/>
                <w:bCs/>
              </w:rPr>
            </w:pPr>
            <w:r>
              <w:rPr>
                <w:rFonts w:ascii="Times New Roman" w:hAnsi="Times New Roman" w:cs="Times New Roman"/>
                <w:b/>
                <w:bCs/>
              </w:rPr>
              <w:t>项目</w:t>
            </w:r>
          </w:p>
        </w:tc>
        <w:tc>
          <w:tcPr>
            <w:tcW w:w="1808" w:type="pct"/>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rPr>
            </w:pPr>
            <w:r>
              <w:rPr>
                <w:rFonts w:ascii="Times New Roman" w:hAnsi="Times New Roman" w:cs="Times New Roman"/>
                <w:b/>
                <w:bCs/>
              </w:rPr>
              <w:t>202</w:t>
            </w:r>
            <w:r>
              <w:rPr>
                <w:rFonts w:ascii="Times New Roman" w:hAnsi="Times New Roman" w:cs="Times New Roman" w:hint="eastAsia"/>
                <w:b/>
                <w:bCs/>
              </w:rPr>
              <w:t>3</w:t>
            </w:r>
            <w:r>
              <w:rPr>
                <w:rFonts w:ascii="Times New Roman" w:hAnsi="Times New Roman" w:cs="Times New Roman"/>
                <w:b/>
                <w:bCs/>
              </w:rPr>
              <w:t>年</w:t>
            </w:r>
            <w:r>
              <w:rPr>
                <w:rFonts w:ascii="Times New Roman" w:hAnsi="Times New Roman" w:cs="Times New Roman"/>
                <w:b/>
                <w:bCs/>
              </w:rPr>
              <w:t>6</w:t>
            </w:r>
            <w:r>
              <w:rPr>
                <w:rFonts w:ascii="Times New Roman" w:hAnsi="Times New Roman" w:cs="Times New Roman"/>
                <w:b/>
                <w:bCs/>
              </w:rPr>
              <w:t>月</w:t>
            </w:r>
            <w:r>
              <w:rPr>
                <w:rFonts w:ascii="Times New Roman" w:hAnsi="Times New Roman" w:cs="Times New Roman"/>
                <w:b/>
                <w:bCs/>
              </w:rPr>
              <w:t>30</w:t>
            </w:r>
            <w:r>
              <w:rPr>
                <w:rFonts w:ascii="Times New Roman" w:hAnsi="Times New Roman" w:cs="Times New Roman"/>
                <w:b/>
                <w:bCs/>
              </w:rPr>
              <w:t>日</w:t>
            </w:r>
          </w:p>
        </w:tc>
        <w:tc>
          <w:tcPr>
            <w:tcW w:w="1793" w:type="pct"/>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rPr>
            </w:pPr>
            <w:r>
              <w:rPr>
                <w:rFonts w:ascii="Times New Roman" w:hAnsi="Times New Roman" w:cs="Times New Roman"/>
                <w:b/>
                <w:bCs/>
              </w:rPr>
              <w:t>202</w:t>
            </w:r>
            <w:r>
              <w:rPr>
                <w:rFonts w:ascii="Times New Roman" w:hAnsi="Times New Roman" w:cs="Times New Roman" w:hint="eastAsia"/>
                <w:b/>
                <w:bCs/>
              </w:rPr>
              <w:t>2</w:t>
            </w:r>
            <w:r>
              <w:rPr>
                <w:rFonts w:ascii="Times New Roman" w:hAnsi="Times New Roman" w:cs="Times New Roman"/>
                <w:b/>
                <w:bCs/>
              </w:rPr>
              <w:t>年</w:t>
            </w:r>
            <w:r>
              <w:rPr>
                <w:rFonts w:ascii="Times New Roman" w:hAnsi="Times New Roman" w:cs="Times New Roman"/>
                <w:b/>
                <w:bCs/>
              </w:rPr>
              <w:t>12</w:t>
            </w:r>
            <w:r>
              <w:rPr>
                <w:rFonts w:ascii="Times New Roman" w:hAnsi="Times New Roman" w:cs="Times New Roman"/>
                <w:b/>
                <w:bCs/>
              </w:rPr>
              <w:t>月</w:t>
            </w:r>
            <w:r>
              <w:rPr>
                <w:rFonts w:ascii="Times New Roman" w:hAnsi="Times New Roman" w:cs="Times New Roman"/>
                <w:b/>
                <w:bCs/>
              </w:rPr>
              <w:t>31</w:t>
            </w:r>
            <w:r>
              <w:rPr>
                <w:rFonts w:ascii="Times New Roman" w:hAnsi="Times New Roman" w:cs="Times New Roman"/>
                <w:b/>
                <w:bCs/>
              </w:rPr>
              <w:t>日</w:t>
            </w:r>
          </w:p>
        </w:tc>
      </w:tr>
      <w:tr w:rsidR="00AD5BB5">
        <w:tc>
          <w:tcPr>
            <w:tcW w:w="1399" w:type="pct"/>
            <w:vMerge/>
            <w:tcBorders>
              <w:left w:val="single" w:sz="4" w:space="0" w:color="auto"/>
              <w:bottom w:val="single" w:sz="4" w:space="0" w:color="auto"/>
              <w:right w:val="single" w:sz="4" w:space="0" w:color="auto"/>
              <w:tl2br w:val="nil"/>
              <w:tr2bl w:val="nil"/>
            </w:tcBorders>
            <w:vAlign w:val="center"/>
          </w:tcPr>
          <w:p w:rsidR="00AD5BB5" w:rsidRDefault="00AD5BB5">
            <w:pPr>
              <w:pStyle w:val="aff2"/>
              <w:ind w:firstLineChars="0" w:firstLine="0"/>
              <w:jc w:val="center"/>
              <w:rPr>
                <w:rFonts w:ascii="Times New Roman" w:hAnsi="Times New Roman" w:cs="Times New Roman"/>
                <w:b/>
                <w:bCs/>
              </w:rPr>
            </w:pPr>
          </w:p>
        </w:tc>
        <w:tc>
          <w:tcPr>
            <w:tcW w:w="94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Times New Roman"/>
                <w:b/>
                <w:bCs/>
              </w:rPr>
            </w:pPr>
            <w:r>
              <w:rPr>
                <w:rFonts w:ascii="Times New Roman" w:hAnsi="Times New Roman" w:cs="Times New Roman"/>
                <w:b/>
                <w:bCs/>
              </w:rPr>
              <w:t>余额</w:t>
            </w:r>
          </w:p>
        </w:tc>
        <w:tc>
          <w:tcPr>
            <w:tcW w:w="86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Times New Roman"/>
                <w:b/>
                <w:bCs/>
              </w:rPr>
            </w:pPr>
            <w:r>
              <w:rPr>
                <w:rFonts w:ascii="Times New Roman" w:hAnsi="Times New Roman" w:cs="Times New Roman"/>
                <w:b/>
                <w:bCs/>
              </w:rPr>
              <w:t>占比（</w:t>
            </w:r>
            <w:r>
              <w:rPr>
                <w:rFonts w:ascii="Times New Roman" w:hAnsi="Times New Roman" w:cs="Times New Roman"/>
                <w:b/>
                <w:bCs/>
              </w:rPr>
              <w:t>%</w:t>
            </w:r>
            <w:r>
              <w:rPr>
                <w:rFonts w:ascii="Times New Roman" w:hAnsi="Times New Roman" w:cs="Times New Roman"/>
                <w:b/>
                <w:bCs/>
              </w:rPr>
              <w:lastRenderedPageBreak/>
              <w:t>）</w:t>
            </w:r>
          </w:p>
        </w:tc>
        <w:tc>
          <w:tcPr>
            <w:tcW w:w="89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Times New Roman"/>
                <w:b/>
                <w:bCs/>
              </w:rPr>
            </w:pPr>
            <w:r>
              <w:rPr>
                <w:rFonts w:ascii="Times New Roman" w:hAnsi="Times New Roman" w:cs="Times New Roman"/>
                <w:b/>
                <w:bCs/>
              </w:rPr>
              <w:lastRenderedPageBreak/>
              <w:t>余额</w:t>
            </w:r>
          </w:p>
        </w:tc>
        <w:tc>
          <w:tcPr>
            <w:tcW w:w="89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Times New Roman"/>
                <w:b/>
                <w:bCs/>
              </w:rPr>
            </w:pPr>
            <w:r>
              <w:rPr>
                <w:rFonts w:ascii="Times New Roman" w:hAnsi="Times New Roman" w:cs="Times New Roman"/>
                <w:b/>
                <w:bCs/>
              </w:rPr>
              <w:t>占比（</w:t>
            </w:r>
            <w:r>
              <w:rPr>
                <w:rFonts w:ascii="Times New Roman" w:hAnsi="Times New Roman" w:cs="Times New Roman"/>
                <w:b/>
                <w:bCs/>
              </w:rPr>
              <w:t>%</w:t>
            </w:r>
            <w:r>
              <w:rPr>
                <w:rFonts w:ascii="Times New Roman" w:hAnsi="Times New Roman" w:cs="Times New Roman"/>
                <w:b/>
                <w:bCs/>
              </w:rPr>
              <w:t>）</w:t>
            </w:r>
          </w:p>
        </w:tc>
      </w:tr>
      <w:tr w:rsidR="00AD5BB5">
        <w:tc>
          <w:tcPr>
            <w:tcW w:w="1399"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cs="Times New Roman"/>
              </w:rPr>
            </w:pPr>
            <w:r>
              <w:rPr>
                <w:rFonts w:ascii="Times New Roman" w:hAnsi="Times New Roman" w:cs="Times New Roman"/>
              </w:rPr>
              <w:lastRenderedPageBreak/>
              <w:t>境内银行同业</w:t>
            </w:r>
          </w:p>
        </w:tc>
        <w:tc>
          <w:tcPr>
            <w:tcW w:w="160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1,740,000 </w:t>
            </w:r>
          </w:p>
        </w:tc>
        <w:tc>
          <w:tcPr>
            <w:tcW w:w="1477"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17.64 </w:t>
            </w:r>
          </w:p>
        </w:tc>
        <w:tc>
          <w:tcPr>
            <w:tcW w:w="152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4,685,002 </w:t>
            </w:r>
          </w:p>
        </w:tc>
        <w:tc>
          <w:tcPr>
            <w:tcW w:w="1532"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35.45 </w:t>
            </w:r>
          </w:p>
        </w:tc>
      </w:tr>
      <w:tr w:rsidR="00AD5BB5">
        <w:tc>
          <w:tcPr>
            <w:tcW w:w="1399"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cs="Times New Roman"/>
              </w:rPr>
            </w:pPr>
            <w:r>
              <w:rPr>
                <w:rFonts w:ascii="Times New Roman" w:hAnsi="Times New Roman" w:cs="Times New Roman"/>
              </w:rPr>
              <w:t>境内其他金融机构</w:t>
            </w:r>
          </w:p>
        </w:tc>
        <w:tc>
          <w:tcPr>
            <w:tcW w:w="160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8,095,565 </w:t>
            </w:r>
          </w:p>
        </w:tc>
        <w:tc>
          <w:tcPr>
            <w:tcW w:w="1477"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82.08 </w:t>
            </w:r>
          </w:p>
        </w:tc>
        <w:tc>
          <w:tcPr>
            <w:tcW w:w="152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8,504,046 </w:t>
            </w:r>
          </w:p>
        </w:tc>
        <w:tc>
          <w:tcPr>
            <w:tcW w:w="1532"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64.35 </w:t>
            </w:r>
          </w:p>
        </w:tc>
      </w:tr>
      <w:tr w:rsidR="00AD5BB5">
        <w:tc>
          <w:tcPr>
            <w:tcW w:w="1399"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cs="Times New Roman"/>
              </w:rPr>
            </w:pPr>
            <w:r>
              <w:rPr>
                <w:rFonts w:ascii="Times New Roman" w:hAnsi="Times New Roman" w:cs="Times New Roman"/>
              </w:rPr>
              <w:t>境外银行同业</w:t>
            </w:r>
          </w:p>
        </w:tc>
        <w:tc>
          <w:tcPr>
            <w:tcW w:w="160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26,889 </w:t>
            </w:r>
          </w:p>
        </w:tc>
        <w:tc>
          <w:tcPr>
            <w:tcW w:w="1477"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0.27 </w:t>
            </w:r>
          </w:p>
        </w:tc>
        <w:tc>
          <w:tcPr>
            <w:tcW w:w="152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26,772 </w:t>
            </w:r>
          </w:p>
        </w:tc>
        <w:tc>
          <w:tcPr>
            <w:tcW w:w="1532"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0.20 </w:t>
            </w:r>
          </w:p>
        </w:tc>
      </w:tr>
      <w:tr w:rsidR="00AD5BB5">
        <w:tc>
          <w:tcPr>
            <w:tcW w:w="1399"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cs="Times New Roman"/>
              </w:rPr>
            </w:pPr>
            <w:r>
              <w:rPr>
                <w:rFonts w:ascii="Times New Roman" w:hAnsi="Times New Roman" w:cs="Times New Roman"/>
                <w:b/>
                <w:bCs/>
              </w:rPr>
              <w:t>小计</w:t>
            </w:r>
          </w:p>
        </w:tc>
        <w:tc>
          <w:tcPr>
            <w:tcW w:w="160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9,862,454 </w:t>
            </w:r>
          </w:p>
        </w:tc>
        <w:tc>
          <w:tcPr>
            <w:tcW w:w="1477"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hint="eastAsia"/>
                <w:kern w:val="0"/>
                <w:szCs w:val="21"/>
                <w:lang w:bidi="ar"/>
              </w:rPr>
              <w:t>100.00</w:t>
            </w:r>
            <w:r>
              <w:rPr>
                <w:rFonts w:ascii="Times New Roman" w:hAnsi="Times New Roman" w:cs="Times New Roman"/>
                <w:kern w:val="0"/>
                <w:szCs w:val="21"/>
                <w:lang w:bidi="ar"/>
              </w:rPr>
              <w:t xml:space="preserve"> </w:t>
            </w:r>
          </w:p>
        </w:tc>
        <w:tc>
          <w:tcPr>
            <w:tcW w:w="152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13,215,821 </w:t>
            </w:r>
          </w:p>
        </w:tc>
        <w:tc>
          <w:tcPr>
            <w:tcW w:w="1532"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hint="eastAsia"/>
                <w:kern w:val="0"/>
                <w:szCs w:val="21"/>
                <w:lang w:bidi="ar"/>
              </w:rPr>
              <w:t>100.00</w:t>
            </w:r>
            <w:r>
              <w:rPr>
                <w:rFonts w:ascii="Times New Roman" w:hAnsi="Times New Roman" w:cs="Times New Roman"/>
                <w:kern w:val="0"/>
                <w:szCs w:val="21"/>
                <w:lang w:bidi="ar"/>
              </w:rPr>
              <w:t xml:space="preserve"> </w:t>
            </w:r>
          </w:p>
        </w:tc>
      </w:tr>
      <w:tr w:rsidR="00AD5BB5">
        <w:tc>
          <w:tcPr>
            <w:tcW w:w="1399"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cs="Times New Roman"/>
              </w:rPr>
            </w:pPr>
            <w:r>
              <w:rPr>
                <w:rFonts w:ascii="Times New Roman" w:hAnsi="Times New Roman" w:cs="Times New Roman"/>
              </w:rPr>
              <w:t>应计利息</w:t>
            </w:r>
            <w:r>
              <w:rPr>
                <w:rFonts w:ascii="Times New Roman" w:hAnsi="Times New Roman" w:cs="Times New Roman"/>
              </w:rPr>
              <w:t xml:space="preserve"> </w:t>
            </w:r>
          </w:p>
        </w:tc>
        <w:tc>
          <w:tcPr>
            <w:tcW w:w="160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289,929 </w:t>
            </w:r>
          </w:p>
        </w:tc>
        <w:tc>
          <w:tcPr>
            <w:tcW w:w="1477"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hint="eastAsia"/>
                <w:kern w:val="0"/>
                <w:szCs w:val="21"/>
                <w:lang w:bidi="ar"/>
              </w:rPr>
              <w:t>-</w:t>
            </w:r>
          </w:p>
        </w:tc>
        <w:tc>
          <w:tcPr>
            <w:tcW w:w="152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210,202 </w:t>
            </w:r>
          </w:p>
        </w:tc>
        <w:tc>
          <w:tcPr>
            <w:tcW w:w="1532"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hint="eastAsia"/>
                <w:kern w:val="0"/>
                <w:szCs w:val="21"/>
                <w:lang w:bidi="ar"/>
              </w:rPr>
              <w:t>-</w:t>
            </w:r>
          </w:p>
        </w:tc>
      </w:tr>
      <w:tr w:rsidR="00AD5BB5">
        <w:tc>
          <w:tcPr>
            <w:tcW w:w="1399"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cs="Times New Roman"/>
              </w:rPr>
            </w:pPr>
            <w:r>
              <w:rPr>
                <w:rFonts w:ascii="Times New Roman" w:hAnsi="Times New Roman" w:cs="Times New Roman"/>
                <w:b/>
                <w:bCs/>
              </w:rPr>
              <w:t>合计</w:t>
            </w:r>
          </w:p>
        </w:tc>
        <w:tc>
          <w:tcPr>
            <w:tcW w:w="160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10,152,382 </w:t>
            </w:r>
          </w:p>
        </w:tc>
        <w:tc>
          <w:tcPr>
            <w:tcW w:w="1477"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hint="eastAsia"/>
                <w:kern w:val="0"/>
                <w:szCs w:val="21"/>
                <w:lang w:bidi="ar"/>
              </w:rPr>
              <w:t>-</w:t>
            </w:r>
          </w:p>
        </w:tc>
        <w:tc>
          <w:tcPr>
            <w:tcW w:w="152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13,426,022 </w:t>
            </w:r>
          </w:p>
        </w:tc>
        <w:tc>
          <w:tcPr>
            <w:tcW w:w="1532"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hint="eastAsia"/>
                <w:kern w:val="0"/>
                <w:szCs w:val="21"/>
                <w:lang w:bidi="ar"/>
              </w:rPr>
              <w:t>-</w:t>
            </w:r>
          </w:p>
        </w:tc>
      </w:tr>
    </w:tbl>
    <w:p w:rsidR="00AD5BB5" w:rsidRDefault="00AD5BB5">
      <w:pPr>
        <w:rPr>
          <w:rFonts w:ascii="Times New Roman" w:hAnsi="Times New Roman" w:cs="Times New Roman"/>
        </w:rPr>
      </w:pPr>
    </w:p>
    <w:p w:rsidR="00AD5BB5" w:rsidRDefault="00F87FF6">
      <w:pPr>
        <w:pStyle w:val="4"/>
        <w:numPr>
          <w:ilvl w:val="0"/>
          <w:numId w:val="11"/>
        </w:numPr>
        <w:spacing w:line="360" w:lineRule="auto"/>
        <w:rPr>
          <w:rFonts w:ascii="Times New Roman" w:hAnsi="Times New Roman" w:cs="Times New Roman"/>
        </w:rPr>
      </w:pPr>
      <w:r>
        <w:rPr>
          <w:rFonts w:ascii="Times New Roman" w:hAnsi="Times New Roman" w:cs="Times New Roman" w:hint="eastAsia"/>
        </w:rPr>
        <w:t>卖出回购金融资产</w:t>
      </w:r>
    </w:p>
    <w:p w:rsidR="00AD5BB5" w:rsidRDefault="00F87FF6">
      <w:pPr>
        <w:pStyle w:val="aff2"/>
        <w:spacing w:line="360" w:lineRule="auto"/>
        <w:rPr>
          <w:rFonts w:ascii="Times New Roman" w:hAnsi="Times New Roman" w:cs="Times New Roman"/>
          <w:szCs w:val="21"/>
        </w:rPr>
      </w:pPr>
      <w:r>
        <w:rPr>
          <w:rFonts w:ascii="Times New Roman" w:hAnsi="Times New Roman" w:hint="eastAsia"/>
        </w:rPr>
        <w:t>报告期内</w:t>
      </w:r>
      <w:r>
        <w:rPr>
          <w:rFonts w:ascii="Times New Roman" w:hAnsi="Times New Roman"/>
        </w:rPr>
        <w:t>，公司卖出回购金融资产余额</w:t>
      </w:r>
      <w:r>
        <w:rPr>
          <w:rFonts w:ascii="Times New Roman" w:hAnsi="Times New Roman" w:hint="eastAsia"/>
        </w:rPr>
        <w:t>132.83</w:t>
      </w:r>
      <w:r>
        <w:rPr>
          <w:rFonts w:ascii="Times New Roman" w:hAnsi="Times New Roman"/>
        </w:rPr>
        <w:t>亿</w:t>
      </w:r>
      <w:r>
        <w:rPr>
          <w:rFonts w:ascii="Times New Roman" w:hAnsi="Times New Roman" w:hint="eastAsia"/>
        </w:rPr>
        <w:t>元</w:t>
      </w:r>
      <w:r>
        <w:rPr>
          <w:rFonts w:ascii="Times New Roman" w:hAnsi="Times New Roman"/>
        </w:rPr>
        <w:t>，较上年</w:t>
      </w:r>
      <w:r>
        <w:rPr>
          <w:rFonts w:ascii="Times New Roman" w:hAnsi="Times New Roman" w:hint="eastAsia"/>
        </w:rPr>
        <w:t>末减少</w:t>
      </w:r>
      <w:r>
        <w:rPr>
          <w:rFonts w:ascii="Times New Roman" w:hAnsi="Times New Roman" w:hint="eastAsia"/>
        </w:rPr>
        <w:t>65.69</w:t>
      </w:r>
      <w:r>
        <w:rPr>
          <w:rFonts w:ascii="Times New Roman" w:hAnsi="Times New Roman"/>
        </w:rPr>
        <w:t>亿</w:t>
      </w:r>
      <w:r>
        <w:rPr>
          <w:rFonts w:ascii="Times New Roman" w:hAnsi="Times New Roman" w:hint="eastAsia"/>
        </w:rPr>
        <w:t>元</w:t>
      </w:r>
      <w:r>
        <w:rPr>
          <w:rFonts w:ascii="Times New Roman" w:hAnsi="Times New Roman"/>
        </w:rPr>
        <w:t>，</w:t>
      </w:r>
      <w:r>
        <w:rPr>
          <w:rFonts w:ascii="Times New Roman" w:hAnsi="Times New Roman" w:hint="eastAsia"/>
        </w:rPr>
        <w:t>下降</w:t>
      </w:r>
      <w:r>
        <w:rPr>
          <w:rFonts w:ascii="Times New Roman" w:hAnsi="Times New Roman" w:hint="eastAsia"/>
        </w:rPr>
        <w:t>33.09</w:t>
      </w:r>
      <w:r>
        <w:rPr>
          <w:rFonts w:ascii="Times New Roman" w:hAnsi="Times New Roman"/>
        </w:rPr>
        <w:t>%</w:t>
      </w:r>
      <w:r>
        <w:rPr>
          <w:rFonts w:ascii="Times New Roman" w:hAnsi="Times New Roman"/>
        </w:rPr>
        <w:t>。</w:t>
      </w:r>
    </w:p>
    <w:p w:rsidR="00AD5BB5" w:rsidRDefault="00F87FF6">
      <w:pPr>
        <w:spacing w:line="360" w:lineRule="auto"/>
        <w:jc w:val="right"/>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rPr>
        <w:t>单位：人民币千元</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1624"/>
        <w:gridCol w:w="1368"/>
        <w:gridCol w:w="1612"/>
        <w:gridCol w:w="1363"/>
      </w:tblGrid>
      <w:tr w:rsidR="00AD5BB5">
        <w:tc>
          <w:tcPr>
            <w:tcW w:w="1410" w:type="pct"/>
            <w:vMerge w:val="restart"/>
            <w:tcBorders>
              <w:top w:val="single" w:sz="4" w:space="0" w:color="auto"/>
              <w:left w:val="single" w:sz="4" w:space="0" w:color="auto"/>
              <w:right w:val="single" w:sz="4" w:space="0" w:color="auto"/>
              <w:tl2br w:val="nil"/>
              <w:tr2bl w:val="nil"/>
            </w:tcBorders>
            <w:vAlign w:val="center"/>
          </w:tcPr>
          <w:p w:rsidR="00AD5BB5" w:rsidRDefault="00F87FF6">
            <w:pPr>
              <w:pStyle w:val="aff2"/>
              <w:ind w:firstLineChars="0" w:firstLine="0"/>
              <w:jc w:val="center"/>
              <w:rPr>
                <w:rFonts w:ascii="Times New Roman" w:hAnsi="Times New Roman" w:cs="Times New Roman"/>
                <w:b/>
                <w:bCs/>
              </w:rPr>
            </w:pPr>
            <w:r>
              <w:rPr>
                <w:rFonts w:ascii="Times New Roman" w:hAnsi="Times New Roman" w:cs="Times New Roman"/>
                <w:b/>
                <w:bCs/>
              </w:rPr>
              <w:t>项目</w:t>
            </w:r>
          </w:p>
        </w:tc>
        <w:tc>
          <w:tcPr>
            <w:tcW w:w="1800" w:type="pct"/>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rPr>
            </w:pPr>
            <w:r>
              <w:rPr>
                <w:rFonts w:ascii="Times New Roman" w:hAnsi="Times New Roman" w:cs="Times New Roman"/>
                <w:b/>
                <w:bCs/>
              </w:rPr>
              <w:t>202</w:t>
            </w:r>
            <w:r>
              <w:rPr>
                <w:rFonts w:ascii="Times New Roman" w:hAnsi="Times New Roman" w:cs="Times New Roman" w:hint="eastAsia"/>
                <w:b/>
                <w:bCs/>
              </w:rPr>
              <w:t>3</w:t>
            </w:r>
            <w:r>
              <w:rPr>
                <w:rFonts w:ascii="Times New Roman" w:hAnsi="Times New Roman" w:cs="Times New Roman"/>
                <w:b/>
                <w:bCs/>
              </w:rPr>
              <w:t>年</w:t>
            </w:r>
            <w:r>
              <w:rPr>
                <w:rFonts w:ascii="Times New Roman" w:hAnsi="Times New Roman" w:cs="Times New Roman"/>
                <w:b/>
                <w:bCs/>
              </w:rPr>
              <w:t>6</w:t>
            </w:r>
            <w:r>
              <w:rPr>
                <w:rFonts w:ascii="Times New Roman" w:hAnsi="Times New Roman" w:cs="Times New Roman"/>
                <w:b/>
                <w:bCs/>
              </w:rPr>
              <w:t>月</w:t>
            </w:r>
            <w:r>
              <w:rPr>
                <w:rFonts w:ascii="Times New Roman" w:hAnsi="Times New Roman" w:cs="Times New Roman"/>
                <w:b/>
                <w:bCs/>
              </w:rPr>
              <w:t>30</w:t>
            </w:r>
            <w:r>
              <w:rPr>
                <w:rFonts w:ascii="Times New Roman" w:hAnsi="Times New Roman" w:cs="Times New Roman"/>
                <w:b/>
                <w:bCs/>
              </w:rPr>
              <w:t>日</w:t>
            </w:r>
          </w:p>
        </w:tc>
        <w:tc>
          <w:tcPr>
            <w:tcW w:w="1790" w:type="pct"/>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rPr>
            </w:pPr>
            <w:r>
              <w:rPr>
                <w:rFonts w:ascii="Times New Roman" w:hAnsi="Times New Roman" w:cs="Times New Roman"/>
                <w:b/>
                <w:bCs/>
              </w:rPr>
              <w:t>202</w:t>
            </w:r>
            <w:r>
              <w:rPr>
                <w:rFonts w:ascii="Times New Roman" w:hAnsi="Times New Roman" w:cs="Times New Roman" w:hint="eastAsia"/>
                <w:b/>
                <w:bCs/>
              </w:rPr>
              <w:t>2</w:t>
            </w:r>
            <w:r>
              <w:rPr>
                <w:rFonts w:ascii="Times New Roman" w:hAnsi="Times New Roman" w:cs="Times New Roman"/>
                <w:b/>
                <w:bCs/>
              </w:rPr>
              <w:t>年</w:t>
            </w:r>
            <w:r>
              <w:rPr>
                <w:rFonts w:ascii="Times New Roman" w:hAnsi="Times New Roman" w:cs="Times New Roman"/>
                <w:b/>
                <w:bCs/>
              </w:rPr>
              <w:t>12</w:t>
            </w:r>
            <w:r>
              <w:rPr>
                <w:rFonts w:ascii="Times New Roman" w:hAnsi="Times New Roman" w:cs="Times New Roman"/>
                <w:b/>
                <w:bCs/>
              </w:rPr>
              <w:t>月</w:t>
            </w:r>
            <w:r>
              <w:rPr>
                <w:rFonts w:ascii="Times New Roman" w:hAnsi="Times New Roman" w:cs="Times New Roman"/>
                <w:b/>
                <w:bCs/>
              </w:rPr>
              <w:t>31</w:t>
            </w:r>
            <w:r>
              <w:rPr>
                <w:rFonts w:ascii="Times New Roman" w:hAnsi="Times New Roman" w:cs="Times New Roman"/>
                <w:b/>
                <w:bCs/>
              </w:rPr>
              <w:t>日</w:t>
            </w:r>
          </w:p>
        </w:tc>
      </w:tr>
      <w:tr w:rsidR="00AD5BB5">
        <w:tc>
          <w:tcPr>
            <w:tcW w:w="1410" w:type="pct"/>
            <w:vMerge/>
            <w:tcBorders>
              <w:left w:val="single" w:sz="4" w:space="0" w:color="auto"/>
              <w:bottom w:val="single" w:sz="4" w:space="0" w:color="auto"/>
              <w:right w:val="single" w:sz="4" w:space="0" w:color="auto"/>
              <w:tl2br w:val="nil"/>
              <w:tr2bl w:val="nil"/>
            </w:tcBorders>
            <w:vAlign w:val="center"/>
          </w:tcPr>
          <w:p w:rsidR="00AD5BB5" w:rsidRDefault="00AD5BB5">
            <w:pPr>
              <w:pStyle w:val="aff2"/>
              <w:ind w:firstLineChars="0" w:firstLine="0"/>
              <w:jc w:val="center"/>
              <w:rPr>
                <w:rFonts w:ascii="Times New Roman" w:hAnsi="Times New Roman" w:cs="Times New Roman"/>
                <w:b/>
                <w:bCs/>
              </w:rPr>
            </w:pPr>
          </w:p>
        </w:tc>
        <w:tc>
          <w:tcPr>
            <w:tcW w:w="97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Times New Roman"/>
                <w:b/>
                <w:bCs/>
              </w:rPr>
            </w:pPr>
            <w:r>
              <w:rPr>
                <w:rFonts w:ascii="Times New Roman" w:hAnsi="Times New Roman" w:cs="Times New Roman"/>
                <w:b/>
                <w:bCs/>
              </w:rPr>
              <w:t>余额</w:t>
            </w:r>
          </w:p>
        </w:tc>
        <w:tc>
          <w:tcPr>
            <w:tcW w:w="82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Times New Roman"/>
                <w:b/>
                <w:bCs/>
              </w:rPr>
            </w:pPr>
            <w:r>
              <w:rPr>
                <w:rFonts w:ascii="Times New Roman" w:hAnsi="Times New Roman" w:cs="Times New Roman"/>
                <w:b/>
                <w:bCs/>
              </w:rPr>
              <w:t>占比（</w:t>
            </w:r>
            <w:r>
              <w:rPr>
                <w:rFonts w:ascii="Times New Roman" w:hAnsi="Times New Roman" w:cs="Times New Roman"/>
                <w:b/>
                <w:bCs/>
              </w:rPr>
              <w:t>%</w:t>
            </w:r>
            <w:r>
              <w:rPr>
                <w:rFonts w:ascii="Times New Roman" w:hAnsi="Times New Roman" w:cs="Times New Roman"/>
                <w:b/>
                <w:bCs/>
              </w:rPr>
              <w:t>）</w:t>
            </w:r>
          </w:p>
        </w:tc>
        <w:tc>
          <w:tcPr>
            <w:tcW w:w="97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Times New Roman"/>
                <w:b/>
                <w:bCs/>
              </w:rPr>
            </w:pPr>
            <w:r>
              <w:rPr>
                <w:rFonts w:ascii="Times New Roman" w:hAnsi="Times New Roman" w:cs="Times New Roman"/>
                <w:b/>
                <w:bCs/>
              </w:rPr>
              <w:t>余额</w:t>
            </w:r>
          </w:p>
        </w:tc>
        <w:tc>
          <w:tcPr>
            <w:tcW w:w="82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Times New Roman"/>
                <w:b/>
                <w:bCs/>
              </w:rPr>
            </w:pPr>
            <w:r>
              <w:rPr>
                <w:rFonts w:ascii="Times New Roman" w:hAnsi="Times New Roman" w:cs="Times New Roman"/>
                <w:b/>
                <w:bCs/>
              </w:rPr>
              <w:t>占比（</w:t>
            </w:r>
            <w:r>
              <w:rPr>
                <w:rFonts w:ascii="Times New Roman" w:hAnsi="Times New Roman" w:cs="Times New Roman"/>
                <w:b/>
                <w:bCs/>
              </w:rPr>
              <w:t>%</w:t>
            </w:r>
            <w:r>
              <w:rPr>
                <w:rFonts w:ascii="Times New Roman" w:hAnsi="Times New Roman" w:cs="Times New Roman"/>
                <w:b/>
                <w:bCs/>
              </w:rPr>
              <w:t>）</w:t>
            </w:r>
          </w:p>
        </w:tc>
      </w:tr>
      <w:tr w:rsidR="00AD5BB5">
        <w:tc>
          <w:tcPr>
            <w:tcW w:w="141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cs="Times New Roman"/>
              </w:rPr>
            </w:pPr>
            <w:r>
              <w:rPr>
                <w:rFonts w:ascii="Times New Roman" w:hAnsi="Times New Roman" w:cs="Times New Roman"/>
              </w:rPr>
              <w:t>债券</w:t>
            </w:r>
          </w:p>
        </w:tc>
        <w:tc>
          <w:tcPr>
            <w:tcW w:w="1668"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10,597,200 </w:t>
            </w:r>
          </w:p>
        </w:tc>
        <w:tc>
          <w:tcPr>
            <w:tcW w:w="1405"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79.79 </w:t>
            </w:r>
          </w:p>
        </w:tc>
        <w:tc>
          <w:tcPr>
            <w:tcW w:w="1656"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13,116,200 </w:t>
            </w:r>
          </w:p>
        </w:tc>
        <w:tc>
          <w:tcPr>
            <w:tcW w:w="1400"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66.10 </w:t>
            </w:r>
          </w:p>
        </w:tc>
      </w:tr>
      <w:tr w:rsidR="00AD5BB5">
        <w:tc>
          <w:tcPr>
            <w:tcW w:w="141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cs="Times New Roman"/>
              </w:rPr>
            </w:pPr>
            <w:r>
              <w:rPr>
                <w:rFonts w:ascii="Times New Roman" w:hAnsi="Times New Roman" w:cs="Times New Roman"/>
              </w:rPr>
              <w:t>票据</w:t>
            </w:r>
          </w:p>
        </w:tc>
        <w:tc>
          <w:tcPr>
            <w:tcW w:w="1668"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2,684,572 </w:t>
            </w:r>
          </w:p>
        </w:tc>
        <w:tc>
          <w:tcPr>
            <w:tcW w:w="1405"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20.21 </w:t>
            </w:r>
          </w:p>
        </w:tc>
        <w:tc>
          <w:tcPr>
            <w:tcW w:w="1656"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6,725,872 </w:t>
            </w:r>
          </w:p>
        </w:tc>
        <w:tc>
          <w:tcPr>
            <w:tcW w:w="1400"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33.90 </w:t>
            </w:r>
          </w:p>
        </w:tc>
      </w:tr>
      <w:tr w:rsidR="00AD5BB5">
        <w:tc>
          <w:tcPr>
            <w:tcW w:w="141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cs="Times New Roman"/>
              </w:rPr>
            </w:pPr>
            <w:r>
              <w:rPr>
                <w:rFonts w:ascii="Times New Roman" w:hAnsi="Times New Roman" w:cs="Times New Roman"/>
                <w:b/>
                <w:bCs/>
              </w:rPr>
              <w:t>小计</w:t>
            </w:r>
          </w:p>
        </w:tc>
        <w:tc>
          <w:tcPr>
            <w:tcW w:w="1668"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13,281,772 </w:t>
            </w:r>
          </w:p>
        </w:tc>
        <w:tc>
          <w:tcPr>
            <w:tcW w:w="1405"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hint="eastAsia"/>
                <w:kern w:val="0"/>
                <w:szCs w:val="21"/>
                <w:lang w:bidi="ar"/>
              </w:rPr>
              <w:t>100.00</w:t>
            </w:r>
            <w:r>
              <w:rPr>
                <w:rFonts w:ascii="Times New Roman" w:hAnsi="Times New Roman" w:cs="Times New Roman"/>
                <w:kern w:val="0"/>
                <w:szCs w:val="21"/>
                <w:lang w:bidi="ar"/>
              </w:rPr>
              <w:t xml:space="preserve"> </w:t>
            </w:r>
          </w:p>
        </w:tc>
        <w:tc>
          <w:tcPr>
            <w:tcW w:w="1656"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19,842,072 </w:t>
            </w:r>
          </w:p>
        </w:tc>
        <w:tc>
          <w:tcPr>
            <w:tcW w:w="1400"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hint="eastAsia"/>
                <w:kern w:val="0"/>
                <w:szCs w:val="21"/>
                <w:lang w:bidi="ar"/>
              </w:rPr>
              <w:t>100.00</w:t>
            </w:r>
            <w:r>
              <w:rPr>
                <w:rFonts w:ascii="Times New Roman" w:hAnsi="Times New Roman" w:cs="Times New Roman"/>
                <w:kern w:val="0"/>
                <w:szCs w:val="21"/>
                <w:lang w:bidi="ar"/>
              </w:rPr>
              <w:t xml:space="preserve"> </w:t>
            </w:r>
          </w:p>
        </w:tc>
      </w:tr>
      <w:tr w:rsidR="00AD5BB5">
        <w:tc>
          <w:tcPr>
            <w:tcW w:w="141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cs="Times New Roman"/>
              </w:rPr>
            </w:pPr>
            <w:r>
              <w:rPr>
                <w:rFonts w:ascii="Times New Roman" w:hAnsi="Times New Roman" w:cs="Times New Roman"/>
              </w:rPr>
              <w:t>应计利息</w:t>
            </w:r>
            <w:r>
              <w:rPr>
                <w:rFonts w:ascii="Times New Roman" w:hAnsi="Times New Roman" w:cs="Times New Roman"/>
              </w:rPr>
              <w:t xml:space="preserve"> </w:t>
            </w:r>
          </w:p>
        </w:tc>
        <w:tc>
          <w:tcPr>
            <w:tcW w:w="1668"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1,047 </w:t>
            </w:r>
          </w:p>
        </w:tc>
        <w:tc>
          <w:tcPr>
            <w:tcW w:w="1405"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hint="eastAsia"/>
                <w:kern w:val="0"/>
                <w:szCs w:val="21"/>
                <w:lang w:bidi="ar"/>
              </w:rPr>
              <w:t>-</w:t>
            </w:r>
          </w:p>
        </w:tc>
        <w:tc>
          <w:tcPr>
            <w:tcW w:w="1656"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9,749 </w:t>
            </w:r>
          </w:p>
        </w:tc>
        <w:tc>
          <w:tcPr>
            <w:tcW w:w="1400"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hint="eastAsia"/>
                <w:kern w:val="0"/>
                <w:szCs w:val="21"/>
                <w:lang w:bidi="ar"/>
              </w:rPr>
              <w:t>-</w:t>
            </w:r>
          </w:p>
        </w:tc>
      </w:tr>
      <w:tr w:rsidR="00AD5BB5">
        <w:tc>
          <w:tcPr>
            <w:tcW w:w="141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cs="Times New Roman"/>
              </w:rPr>
            </w:pPr>
            <w:r>
              <w:rPr>
                <w:rFonts w:ascii="Times New Roman" w:hAnsi="Times New Roman" w:cs="Times New Roman"/>
                <w:b/>
                <w:bCs/>
              </w:rPr>
              <w:t>合计</w:t>
            </w:r>
          </w:p>
        </w:tc>
        <w:tc>
          <w:tcPr>
            <w:tcW w:w="1668"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13,282,819 </w:t>
            </w:r>
          </w:p>
        </w:tc>
        <w:tc>
          <w:tcPr>
            <w:tcW w:w="1405"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hint="eastAsia"/>
                <w:kern w:val="0"/>
                <w:szCs w:val="21"/>
                <w:lang w:bidi="ar"/>
              </w:rPr>
              <w:t>-</w:t>
            </w:r>
          </w:p>
        </w:tc>
        <w:tc>
          <w:tcPr>
            <w:tcW w:w="1656"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19,851,821 </w:t>
            </w:r>
          </w:p>
        </w:tc>
        <w:tc>
          <w:tcPr>
            <w:tcW w:w="1400"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hint="eastAsia"/>
                <w:kern w:val="0"/>
                <w:szCs w:val="21"/>
                <w:lang w:bidi="ar"/>
              </w:rPr>
              <w:t>-</w:t>
            </w:r>
          </w:p>
        </w:tc>
      </w:tr>
    </w:tbl>
    <w:p w:rsidR="00AD5BB5" w:rsidRDefault="00AD5BB5">
      <w:pPr>
        <w:rPr>
          <w:rFonts w:ascii="Times New Roman" w:hAnsi="Times New Roman" w:cs="Times New Roman"/>
        </w:rPr>
      </w:pPr>
    </w:p>
    <w:p w:rsidR="00AD5BB5" w:rsidRDefault="00F87FF6">
      <w:pPr>
        <w:pStyle w:val="4"/>
        <w:numPr>
          <w:ilvl w:val="0"/>
          <w:numId w:val="11"/>
        </w:numPr>
        <w:spacing w:line="360" w:lineRule="auto"/>
        <w:rPr>
          <w:rFonts w:ascii="Times New Roman" w:hAnsi="Times New Roman" w:cs="Times New Roman"/>
        </w:rPr>
      </w:pPr>
      <w:r>
        <w:rPr>
          <w:rFonts w:ascii="Times New Roman" w:hAnsi="Times New Roman" w:cs="Times New Roman"/>
        </w:rPr>
        <w:t>应付债券</w:t>
      </w:r>
    </w:p>
    <w:p w:rsidR="00AD5BB5" w:rsidRDefault="00F87FF6">
      <w:pPr>
        <w:spacing w:line="360" w:lineRule="auto"/>
        <w:ind w:firstLineChars="200" w:firstLine="420"/>
        <w:rPr>
          <w:rFonts w:ascii="Times New Roman" w:hAnsi="Times New Roman" w:cs="Times New Roman"/>
        </w:rPr>
      </w:pPr>
      <w:r>
        <w:rPr>
          <w:rFonts w:ascii="Times New Roman" w:hAnsi="Times New Roman" w:hint="eastAsia"/>
        </w:rPr>
        <w:t>报告期内</w:t>
      </w:r>
      <w:r>
        <w:rPr>
          <w:rFonts w:ascii="Times New Roman" w:hAnsi="Times New Roman"/>
        </w:rPr>
        <w:t>，公司应付债券余额</w:t>
      </w:r>
      <w:r>
        <w:rPr>
          <w:rFonts w:ascii="Times New Roman" w:hAnsi="Times New Roman" w:hint="eastAsia"/>
        </w:rPr>
        <w:t>772.04</w:t>
      </w:r>
      <w:r>
        <w:rPr>
          <w:rFonts w:ascii="Times New Roman" w:hAnsi="Times New Roman"/>
        </w:rPr>
        <w:t>亿元，较上年</w:t>
      </w:r>
      <w:r>
        <w:rPr>
          <w:rFonts w:ascii="Times New Roman" w:hAnsi="Times New Roman" w:hint="eastAsia"/>
        </w:rPr>
        <w:t>末增加</w:t>
      </w:r>
      <w:r>
        <w:rPr>
          <w:rFonts w:ascii="Times New Roman" w:hAnsi="Times New Roman" w:hint="eastAsia"/>
        </w:rPr>
        <w:t>77.65</w:t>
      </w:r>
      <w:r>
        <w:rPr>
          <w:rFonts w:ascii="Times New Roman" w:hAnsi="Times New Roman"/>
        </w:rPr>
        <w:t>亿元，</w:t>
      </w:r>
      <w:r>
        <w:rPr>
          <w:rFonts w:ascii="Times New Roman" w:hAnsi="Times New Roman" w:hint="eastAsia"/>
        </w:rPr>
        <w:t>增长</w:t>
      </w:r>
      <w:r>
        <w:rPr>
          <w:rFonts w:ascii="Times New Roman" w:hAnsi="Times New Roman" w:hint="eastAsia"/>
        </w:rPr>
        <w:t>11.18</w:t>
      </w:r>
      <w:r>
        <w:rPr>
          <w:rFonts w:ascii="Times New Roman" w:hAnsi="Times New Roman"/>
        </w:rPr>
        <w:t>%</w:t>
      </w:r>
      <w:r>
        <w:rPr>
          <w:rFonts w:ascii="Times New Roman" w:hAnsi="Times New Roman"/>
        </w:rPr>
        <w:t>，主要系</w:t>
      </w:r>
      <w:r>
        <w:rPr>
          <w:rFonts w:ascii="Times New Roman" w:hAnsi="Times New Roman" w:hint="eastAsia"/>
        </w:rPr>
        <w:t>同业存单的发行</w:t>
      </w:r>
      <w:r>
        <w:rPr>
          <w:rFonts w:ascii="Times New Roman" w:hAnsi="Times New Roman"/>
        </w:rPr>
        <w:t>；报告期末，公司发行同业存单余额</w:t>
      </w:r>
      <w:r>
        <w:rPr>
          <w:rFonts w:ascii="Times New Roman" w:hAnsi="Times New Roman" w:hint="eastAsia"/>
        </w:rPr>
        <w:t>648.76</w:t>
      </w:r>
      <w:r>
        <w:rPr>
          <w:rFonts w:ascii="Times New Roman" w:hAnsi="Times New Roman"/>
        </w:rPr>
        <w:t>亿元，较上年</w:t>
      </w:r>
      <w:r>
        <w:rPr>
          <w:rFonts w:ascii="Times New Roman" w:hAnsi="Times New Roman" w:hint="eastAsia"/>
        </w:rPr>
        <w:t>末</w:t>
      </w:r>
      <w:r>
        <w:rPr>
          <w:rFonts w:ascii="Times New Roman" w:hAnsi="Times New Roman"/>
        </w:rPr>
        <w:t>增长</w:t>
      </w:r>
      <w:r>
        <w:rPr>
          <w:rFonts w:ascii="Times New Roman" w:hAnsi="Times New Roman" w:hint="eastAsia"/>
        </w:rPr>
        <w:t>13.25</w:t>
      </w:r>
      <w:r>
        <w:rPr>
          <w:rFonts w:ascii="Times New Roman" w:hAnsi="Times New Roman"/>
        </w:rPr>
        <w:t>%</w:t>
      </w:r>
      <w:r>
        <w:rPr>
          <w:rFonts w:ascii="Times New Roman" w:hAnsi="Times New Roman"/>
        </w:rPr>
        <w:t>。</w:t>
      </w:r>
    </w:p>
    <w:p w:rsidR="00AD5BB5" w:rsidRDefault="00F87FF6">
      <w:pPr>
        <w:jc w:val="right"/>
        <w:rPr>
          <w:rFonts w:ascii="Times New Roman" w:hAnsi="Times New Roman" w:cs="Times New Roman"/>
        </w:rPr>
      </w:pPr>
      <w:r>
        <w:rPr>
          <w:rFonts w:ascii="Times New Roman" w:hAnsi="Times New Roman" w:cs="Times New Roman"/>
        </w:rPr>
        <w:t>单位：人民币千元</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2639"/>
        <w:gridCol w:w="2761"/>
      </w:tblGrid>
      <w:tr w:rsidR="00AD5BB5">
        <w:trPr>
          <w:trHeight w:val="333"/>
        </w:trPr>
        <w:tc>
          <w:tcPr>
            <w:tcW w:w="173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Style w:val="5Char"/>
                <w:rFonts w:ascii="Times New Roman" w:hAnsi="Times New Roman" w:cs="Times New Roman"/>
              </w:rPr>
            </w:pPr>
            <w:r>
              <w:rPr>
                <w:rStyle w:val="5Char"/>
                <w:rFonts w:ascii="Times New Roman" w:hAnsi="Times New Roman" w:cs="Times New Roman"/>
              </w:rPr>
              <w:t>项目</w:t>
            </w:r>
          </w:p>
        </w:tc>
        <w:tc>
          <w:tcPr>
            <w:tcW w:w="159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Style w:val="5Char"/>
                <w:rFonts w:ascii="Times New Roman" w:hAnsi="Times New Roman" w:cs="Times New Roman"/>
              </w:rPr>
            </w:pPr>
            <w:r>
              <w:rPr>
                <w:rFonts w:ascii="Times New Roman" w:hAnsi="Times New Roman" w:cs="Times New Roman"/>
                <w:b/>
              </w:rPr>
              <w:t>202</w:t>
            </w:r>
            <w:r>
              <w:rPr>
                <w:rFonts w:ascii="Times New Roman" w:hAnsi="Times New Roman" w:cs="Times New Roman" w:hint="eastAsia"/>
                <w:b/>
              </w:rPr>
              <w:t>3</w:t>
            </w:r>
            <w:r>
              <w:rPr>
                <w:rFonts w:ascii="Times New Roman" w:hAnsi="Times New Roman" w:cs="Times New Roman"/>
                <w:b/>
              </w:rPr>
              <w:t>年</w:t>
            </w:r>
            <w:r>
              <w:rPr>
                <w:rFonts w:ascii="Times New Roman" w:hAnsi="Times New Roman" w:cs="Times New Roman"/>
                <w:b/>
              </w:rPr>
              <w:t>6</w:t>
            </w:r>
            <w:r>
              <w:rPr>
                <w:rFonts w:ascii="Times New Roman" w:hAnsi="Times New Roman" w:cs="Times New Roman"/>
                <w:b/>
              </w:rPr>
              <w:t>月</w:t>
            </w:r>
            <w:r>
              <w:rPr>
                <w:rFonts w:ascii="Times New Roman" w:hAnsi="Times New Roman" w:cs="Times New Roman"/>
                <w:b/>
              </w:rPr>
              <w:t>30</w:t>
            </w:r>
            <w:r>
              <w:rPr>
                <w:rFonts w:ascii="Times New Roman" w:hAnsi="Times New Roman" w:cs="Times New Roman"/>
                <w:b/>
              </w:rPr>
              <w:t>日</w:t>
            </w:r>
          </w:p>
        </w:tc>
        <w:tc>
          <w:tcPr>
            <w:tcW w:w="166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Style w:val="5Char"/>
                <w:rFonts w:ascii="Times New Roman" w:hAnsi="Times New Roman" w:cs="Times New Roman"/>
              </w:rPr>
            </w:pPr>
            <w:r>
              <w:rPr>
                <w:rFonts w:ascii="Times New Roman" w:hAnsi="Times New Roman" w:cs="Times New Roman"/>
                <w:b/>
              </w:rPr>
              <w:t>202</w:t>
            </w:r>
            <w:r>
              <w:rPr>
                <w:rFonts w:ascii="Times New Roman" w:hAnsi="Times New Roman" w:cs="Times New Roman" w:hint="eastAsia"/>
                <w:b/>
              </w:rPr>
              <w:t>2</w:t>
            </w:r>
            <w:r>
              <w:rPr>
                <w:rFonts w:ascii="Times New Roman" w:hAnsi="Times New Roman" w:cs="Times New Roman"/>
                <w:b/>
              </w:rPr>
              <w:t>年</w:t>
            </w:r>
            <w:r>
              <w:rPr>
                <w:rFonts w:ascii="Times New Roman" w:hAnsi="Times New Roman" w:cs="Times New Roman"/>
                <w:b/>
              </w:rPr>
              <w:t>12</w:t>
            </w:r>
            <w:r>
              <w:rPr>
                <w:rFonts w:ascii="Times New Roman" w:hAnsi="Times New Roman" w:cs="Times New Roman"/>
                <w:b/>
              </w:rPr>
              <w:t>月</w:t>
            </w:r>
            <w:r>
              <w:rPr>
                <w:rFonts w:ascii="Times New Roman" w:hAnsi="Times New Roman" w:cs="Times New Roman"/>
                <w:b/>
              </w:rPr>
              <w:t>31</w:t>
            </w:r>
            <w:r>
              <w:rPr>
                <w:rFonts w:ascii="Times New Roman" w:hAnsi="Times New Roman" w:cs="Times New Roman"/>
                <w:b/>
              </w:rPr>
              <w:t>日</w:t>
            </w:r>
          </w:p>
        </w:tc>
      </w:tr>
      <w:tr w:rsidR="00AD5BB5">
        <w:trPr>
          <w:trHeight w:val="333"/>
        </w:trPr>
        <w:tc>
          <w:tcPr>
            <w:tcW w:w="173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Fonts w:ascii="Times New Roman" w:hAnsi="Times New Roman" w:cs="Times New Roman"/>
              </w:rPr>
            </w:pPr>
            <w:r>
              <w:rPr>
                <w:rFonts w:ascii="Times New Roman" w:hAnsi="Times New Roman" w:cs="Times New Roman"/>
                <w:kern w:val="0"/>
                <w:szCs w:val="21"/>
                <w:lang w:bidi="ar"/>
              </w:rPr>
              <w:t>21</w:t>
            </w:r>
            <w:r>
              <w:rPr>
                <w:rFonts w:ascii="Times New Roman" w:hAnsi="Times New Roman" w:cs="Times New Roman"/>
                <w:kern w:val="0"/>
                <w:szCs w:val="21"/>
                <w:lang w:bidi="ar"/>
              </w:rPr>
              <w:t>厦门银行二级</w:t>
            </w:r>
            <w:r>
              <w:rPr>
                <w:rFonts w:ascii="Times New Roman" w:hAnsi="Times New Roman" w:cs="Times New Roman"/>
                <w:kern w:val="0"/>
                <w:szCs w:val="21"/>
                <w:lang w:bidi="ar"/>
              </w:rPr>
              <w:t>01</w:t>
            </w:r>
          </w:p>
        </w:tc>
        <w:tc>
          <w:tcPr>
            <w:tcW w:w="159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1,999,706 </w:t>
            </w:r>
          </w:p>
        </w:tc>
        <w:tc>
          <w:tcPr>
            <w:tcW w:w="166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1,999,691 </w:t>
            </w:r>
          </w:p>
        </w:tc>
      </w:tr>
      <w:tr w:rsidR="00AD5BB5">
        <w:trPr>
          <w:trHeight w:val="333"/>
        </w:trPr>
        <w:tc>
          <w:tcPr>
            <w:tcW w:w="173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Fonts w:ascii="Times New Roman" w:hAnsi="Times New Roman" w:cs="Times New Roman"/>
              </w:rPr>
            </w:pPr>
            <w:r>
              <w:rPr>
                <w:rFonts w:ascii="Times New Roman" w:hAnsi="Times New Roman" w:cs="Times New Roman"/>
                <w:kern w:val="0"/>
                <w:szCs w:val="21"/>
                <w:lang w:bidi="ar"/>
              </w:rPr>
              <w:t>21</w:t>
            </w:r>
            <w:r>
              <w:rPr>
                <w:rFonts w:ascii="Times New Roman" w:hAnsi="Times New Roman" w:cs="宋体" w:hint="eastAsia"/>
                <w:kern w:val="0"/>
                <w:szCs w:val="21"/>
                <w:lang w:bidi="ar"/>
              </w:rPr>
              <w:t>厦门银行二级</w:t>
            </w:r>
            <w:r>
              <w:rPr>
                <w:rFonts w:ascii="Times New Roman" w:hAnsi="Times New Roman" w:cs="Times New Roman"/>
                <w:kern w:val="0"/>
                <w:szCs w:val="21"/>
                <w:lang w:bidi="ar"/>
              </w:rPr>
              <w:t>02</w:t>
            </w:r>
          </w:p>
        </w:tc>
        <w:tc>
          <w:tcPr>
            <w:tcW w:w="159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2,499,603 </w:t>
            </w:r>
          </w:p>
        </w:tc>
        <w:tc>
          <w:tcPr>
            <w:tcW w:w="166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2,499,583 </w:t>
            </w:r>
          </w:p>
        </w:tc>
      </w:tr>
      <w:tr w:rsidR="00AD5BB5">
        <w:trPr>
          <w:trHeight w:val="333"/>
        </w:trPr>
        <w:tc>
          <w:tcPr>
            <w:tcW w:w="173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Fonts w:ascii="Times New Roman" w:hAnsi="Times New Roman" w:cs="Times New Roman"/>
              </w:rPr>
            </w:pPr>
            <w:r>
              <w:rPr>
                <w:rFonts w:ascii="Times New Roman" w:hAnsi="Times New Roman" w:cs="Times New Roman"/>
                <w:kern w:val="0"/>
                <w:szCs w:val="21"/>
                <w:lang w:bidi="ar"/>
              </w:rPr>
              <w:t>22</w:t>
            </w:r>
            <w:r>
              <w:rPr>
                <w:rFonts w:ascii="Times New Roman" w:hAnsi="Times New Roman" w:cs="宋体" w:hint="eastAsia"/>
                <w:kern w:val="0"/>
                <w:szCs w:val="21"/>
                <w:lang w:bidi="ar"/>
              </w:rPr>
              <w:t>厦门银行绿色债</w:t>
            </w:r>
            <w:r>
              <w:rPr>
                <w:rFonts w:ascii="Times New Roman" w:hAnsi="Times New Roman" w:cs="Times New Roman"/>
                <w:kern w:val="0"/>
                <w:szCs w:val="21"/>
                <w:lang w:bidi="ar"/>
              </w:rPr>
              <w:t>01</w:t>
            </w:r>
          </w:p>
        </w:tc>
        <w:tc>
          <w:tcPr>
            <w:tcW w:w="159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999,282 </w:t>
            </w:r>
          </w:p>
        </w:tc>
        <w:tc>
          <w:tcPr>
            <w:tcW w:w="166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999,108 </w:t>
            </w:r>
          </w:p>
        </w:tc>
      </w:tr>
      <w:tr w:rsidR="00AD5BB5">
        <w:trPr>
          <w:trHeight w:val="333"/>
        </w:trPr>
        <w:tc>
          <w:tcPr>
            <w:tcW w:w="173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Fonts w:ascii="Times New Roman" w:hAnsi="Times New Roman" w:cs="Times New Roman"/>
              </w:rPr>
            </w:pPr>
            <w:r>
              <w:rPr>
                <w:rFonts w:ascii="Times New Roman" w:hAnsi="Times New Roman" w:cs="Times New Roman"/>
                <w:kern w:val="0"/>
                <w:szCs w:val="21"/>
                <w:lang w:bidi="ar"/>
              </w:rPr>
              <w:t>22</w:t>
            </w:r>
            <w:r>
              <w:rPr>
                <w:rFonts w:ascii="Times New Roman" w:hAnsi="Times New Roman" w:cs="宋体" w:hint="eastAsia"/>
                <w:kern w:val="0"/>
                <w:szCs w:val="21"/>
                <w:lang w:bidi="ar"/>
              </w:rPr>
              <w:t>厦门银行</w:t>
            </w:r>
            <w:proofErr w:type="gramStart"/>
            <w:r>
              <w:rPr>
                <w:rFonts w:ascii="Times New Roman" w:hAnsi="Times New Roman" w:cs="宋体" w:hint="eastAsia"/>
                <w:kern w:val="0"/>
                <w:szCs w:val="21"/>
                <w:lang w:bidi="ar"/>
              </w:rPr>
              <w:t>小微债</w:t>
            </w:r>
            <w:proofErr w:type="gramEnd"/>
            <w:r>
              <w:rPr>
                <w:rFonts w:ascii="Times New Roman" w:hAnsi="Times New Roman" w:cs="Times New Roman"/>
                <w:kern w:val="0"/>
                <w:szCs w:val="21"/>
                <w:lang w:bidi="ar"/>
              </w:rPr>
              <w:t>01</w:t>
            </w:r>
          </w:p>
        </w:tc>
        <w:tc>
          <w:tcPr>
            <w:tcW w:w="159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2,999,477 </w:t>
            </w:r>
          </w:p>
        </w:tc>
        <w:tc>
          <w:tcPr>
            <w:tcW w:w="166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2,999,356 </w:t>
            </w:r>
          </w:p>
        </w:tc>
      </w:tr>
      <w:tr w:rsidR="00AD5BB5">
        <w:trPr>
          <w:trHeight w:val="333"/>
        </w:trPr>
        <w:tc>
          <w:tcPr>
            <w:tcW w:w="173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Fonts w:ascii="Times New Roman" w:hAnsi="Times New Roman" w:cs="Times New Roman"/>
              </w:rPr>
            </w:pPr>
            <w:r>
              <w:rPr>
                <w:rFonts w:ascii="Times New Roman" w:hAnsi="Times New Roman" w:cs="Times New Roman"/>
                <w:kern w:val="0"/>
                <w:szCs w:val="21"/>
                <w:lang w:bidi="ar"/>
              </w:rPr>
              <w:t>22</w:t>
            </w:r>
            <w:r>
              <w:rPr>
                <w:rFonts w:ascii="Times New Roman" w:hAnsi="Times New Roman" w:cs="宋体" w:hint="eastAsia"/>
                <w:kern w:val="0"/>
                <w:szCs w:val="21"/>
                <w:lang w:bidi="ar"/>
              </w:rPr>
              <w:t>厦门银行</w:t>
            </w:r>
            <w:proofErr w:type="gramStart"/>
            <w:r>
              <w:rPr>
                <w:rFonts w:ascii="Times New Roman" w:hAnsi="Times New Roman" w:cs="宋体" w:hint="eastAsia"/>
                <w:kern w:val="0"/>
                <w:szCs w:val="21"/>
                <w:lang w:bidi="ar"/>
              </w:rPr>
              <w:t>小微债</w:t>
            </w:r>
            <w:proofErr w:type="gramEnd"/>
            <w:r>
              <w:rPr>
                <w:rFonts w:ascii="Times New Roman" w:hAnsi="Times New Roman" w:cs="Times New Roman"/>
                <w:kern w:val="0"/>
                <w:szCs w:val="21"/>
                <w:lang w:bidi="ar"/>
              </w:rPr>
              <w:t>02</w:t>
            </w:r>
          </w:p>
        </w:tc>
        <w:tc>
          <w:tcPr>
            <w:tcW w:w="159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2,999,451 </w:t>
            </w:r>
          </w:p>
        </w:tc>
        <w:tc>
          <w:tcPr>
            <w:tcW w:w="166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2,999,331 </w:t>
            </w:r>
          </w:p>
        </w:tc>
      </w:tr>
      <w:tr w:rsidR="00AD5BB5">
        <w:trPr>
          <w:trHeight w:val="333"/>
        </w:trPr>
        <w:tc>
          <w:tcPr>
            <w:tcW w:w="173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Fonts w:ascii="Times New Roman" w:hAnsi="Times New Roman" w:cs="Times New Roman"/>
              </w:rPr>
            </w:pPr>
            <w:r>
              <w:rPr>
                <w:rFonts w:ascii="Times New Roman" w:hAnsi="Times New Roman" w:cs="Times New Roman"/>
                <w:kern w:val="0"/>
                <w:szCs w:val="21"/>
                <w:lang w:bidi="ar"/>
              </w:rPr>
              <w:t>21</w:t>
            </w:r>
            <w:r>
              <w:rPr>
                <w:rFonts w:ascii="Times New Roman" w:hAnsi="Times New Roman" w:cs="宋体" w:hint="eastAsia"/>
                <w:kern w:val="0"/>
                <w:szCs w:val="21"/>
                <w:lang w:bidi="ar"/>
              </w:rPr>
              <w:t>福建海西租赁债</w:t>
            </w:r>
            <w:r>
              <w:rPr>
                <w:rFonts w:ascii="Times New Roman" w:hAnsi="Times New Roman" w:cs="Times New Roman"/>
                <w:kern w:val="0"/>
                <w:szCs w:val="21"/>
                <w:lang w:bidi="ar"/>
              </w:rPr>
              <w:t>01</w:t>
            </w:r>
          </w:p>
        </w:tc>
        <w:tc>
          <w:tcPr>
            <w:tcW w:w="159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550,000 </w:t>
            </w:r>
          </w:p>
        </w:tc>
        <w:tc>
          <w:tcPr>
            <w:tcW w:w="166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550,000 </w:t>
            </w:r>
          </w:p>
        </w:tc>
      </w:tr>
      <w:tr w:rsidR="00AD5BB5">
        <w:trPr>
          <w:trHeight w:val="333"/>
        </w:trPr>
        <w:tc>
          <w:tcPr>
            <w:tcW w:w="173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Fonts w:ascii="Times New Roman" w:hAnsi="Times New Roman" w:cs="Times New Roman"/>
              </w:rPr>
            </w:pPr>
            <w:r>
              <w:rPr>
                <w:rFonts w:ascii="Times New Roman" w:hAnsi="Times New Roman" w:cs="宋体" w:hint="eastAsia"/>
                <w:kern w:val="0"/>
                <w:szCs w:val="21"/>
                <w:lang w:bidi="ar"/>
              </w:rPr>
              <w:t>同业存单</w:t>
            </w:r>
          </w:p>
        </w:tc>
        <w:tc>
          <w:tcPr>
            <w:tcW w:w="159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64,876,339 </w:t>
            </w:r>
          </w:p>
        </w:tc>
        <w:tc>
          <w:tcPr>
            <w:tcW w:w="166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57,284,220 </w:t>
            </w:r>
          </w:p>
        </w:tc>
      </w:tr>
      <w:tr w:rsidR="00AD5BB5">
        <w:trPr>
          <w:trHeight w:val="333"/>
        </w:trPr>
        <w:tc>
          <w:tcPr>
            <w:tcW w:w="173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Fonts w:ascii="Times New Roman" w:hAnsi="Times New Roman" w:cs="Times New Roman"/>
              </w:rPr>
            </w:pPr>
            <w:r>
              <w:rPr>
                <w:rFonts w:ascii="Times New Roman" w:hAnsi="Times New Roman" w:cs="宋体" w:hint="eastAsia"/>
                <w:kern w:val="0"/>
                <w:szCs w:val="21"/>
                <w:lang w:bidi="ar"/>
              </w:rPr>
              <w:t>小计</w:t>
            </w:r>
          </w:p>
        </w:tc>
        <w:tc>
          <w:tcPr>
            <w:tcW w:w="159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76,923,858 </w:t>
            </w:r>
          </w:p>
        </w:tc>
        <w:tc>
          <w:tcPr>
            <w:tcW w:w="166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69,331,289 </w:t>
            </w:r>
          </w:p>
        </w:tc>
      </w:tr>
      <w:tr w:rsidR="00AD5BB5">
        <w:trPr>
          <w:trHeight w:val="333"/>
        </w:trPr>
        <w:tc>
          <w:tcPr>
            <w:tcW w:w="173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Fonts w:ascii="Times New Roman" w:hAnsi="Times New Roman" w:cs="Times New Roman"/>
              </w:rPr>
            </w:pPr>
            <w:r>
              <w:rPr>
                <w:rFonts w:ascii="Times New Roman" w:hAnsi="Times New Roman" w:cs="宋体" w:hint="eastAsia"/>
                <w:kern w:val="0"/>
                <w:szCs w:val="21"/>
                <w:lang w:bidi="ar"/>
              </w:rPr>
              <w:t>应计利息</w:t>
            </w:r>
          </w:p>
        </w:tc>
        <w:tc>
          <w:tcPr>
            <w:tcW w:w="159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280,629 </w:t>
            </w:r>
          </w:p>
        </w:tc>
        <w:tc>
          <w:tcPr>
            <w:tcW w:w="166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107,833 </w:t>
            </w:r>
          </w:p>
        </w:tc>
      </w:tr>
      <w:tr w:rsidR="00AD5BB5">
        <w:trPr>
          <w:trHeight w:val="333"/>
        </w:trPr>
        <w:tc>
          <w:tcPr>
            <w:tcW w:w="173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Fonts w:ascii="Times New Roman" w:hAnsi="Times New Roman" w:cs="Times New Roman"/>
              </w:rPr>
            </w:pPr>
            <w:r>
              <w:rPr>
                <w:rFonts w:ascii="Times New Roman" w:hAnsi="Times New Roman" w:cs="宋体" w:hint="eastAsia"/>
                <w:kern w:val="0"/>
                <w:szCs w:val="21"/>
                <w:lang w:bidi="ar"/>
              </w:rPr>
              <w:t>合计</w:t>
            </w:r>
          </w:p>
        </w:tc>
        <w:tc>
          <w:tcPr>
            <w:tcW w:w="159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kern w:val="0"/>
                <w:szCs w:val="21"/>
                <w:lang w:bidi="ar"/>
              </w:rPr>
              <w:t xml:space="preserve">77,204,487 </w:t>
            </w:r>
          </w:p>
        </w:tc>
        <w:tc>
          <w:tcPr>
            <w:tcW w:w="166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 xml:space="preserve">69,439,122 </w:t>
            </w:r>
          </w:p>
        </w:tc>
      </w:tr>
    </w:tbl>
    <w:p w:rsidR="00AD5BB5" w:rsidRDefault="00AD5BB5">
      <w:pPr>
        <w:spacing w:line="360" w:lineRule="auto"/>
        <w:rPr>
          <w:rFonts w:ascii="Times New Roman" w:hAnsi="Times New Roman" w:cs="Times New Roman"/>
        </w:rPr>
      </w:pPr>
    </w:p>
    <w:p w:rsidR="00AD5BB5" w:rsidRDefault="00F87FF6">
      <w:pPr>
        <w:pStyle w:val="4"/>
        <w:numPr>
          <w:ilvl w:val="0"/>
          <w:numId w:val="11"/>
        </w:numPr>
        <w:spacing w:line="360" w:lineRule="auto"/>
        <w:rPr>
          <w:rFonts w:ascii="Times New Roman" w:hAnsi="Times New Roman" w:cs="Times New Roman"/>
        </w:rPr>
      </w:pPr>
      <w:r>
        <w:rPr>
          <w:rFonts w:ascii="Times New Roman" w:hAnsi="Times New Roman" w:cs="Times New Roman"/>
        </w:rPr>
        <w:t>股东权益</w:t>
      </w:r>
    </w:p>
    <w:p w:rsidR="00AD5BB5" w:rsidRDefault="00F87FF6">
      <w:pPr>
        <w:pStyle w:val="aff2"/>
        <w:spacing w:line="360" w:lineRule="auto"/>
        <w:rPr>
          <w:rFonts w:ascii="Times New Roman" w:hAnsi="Times New Roman" w:cs="Times New Roman"/>
          <w:szCs w:val="21"/>
        </w:rPr>
      </w:pPr>
      <w:r>
        <w:rPr>
          <w:rFonts w:ascii="Times New Roman" w:hAnsi="Times New Roman" w:hint="eastAsia"/>
        </w:rPr>
        <w:t>报告期内</w:t>
      </w:r>
      <w:r>
        <w:rPr>
          <w:rFonts w:ascii="Times New Roman" w:hAnsi="Times New Roman"/>
        </w:rPr>
        <w:t>，公司股东权益为</w:t>
      </w:r>
      <w:r>
        <w:rPr>
          <w:rFonts w:ascii="Times New Roman" w:hAnsi="Times New Roman" w:hint="eastAsia"/>
        </w:rPr>
        <w:t>257.37</w:t>
      </w:r>
      <w:r>
        <w:rPr>
          <w:rFonts w:ascii="Times New Roman" w:hAnsi="Times New Roman"/>
        </w:rPr>
        <w:t>亿元，比上年</w:t>
      </w:r>
      <w:r>
        <w:rPr>
          <w:rFonts w:ascii="Times New Roman" w:hAnsi="Times New Roman" w:hint="eastAsia"/>
        </w:rPr>
        <w:t>末</w:t>
      </w:r>
      <w:r>
        <w:rPr>
          <w:rFonts w:ascii="Times New Roman" w:hAnsi="Times New Roman"/>
        </w:rPr>
        <w:t>增加</w:t>
      </w:r>
      <w:r>
        <w:rPr>
          <w:rFonts w:ascii="Times New Roman" w:hAnsi="Times New Roman" w:hint="eastAsia"/>
        </w:rPr>
        <w:t>9.93</w:t>
      </w:r>
      <w:r>
        <w:rPr>
          <w:rFonts w:ascii="Times New Roman" w:hAnsi="Times New Roman"/>
        </w:rPr>
        <w:t>亿元，增幅</w:t>
      </w:r>
      <w:r>
        <w:rPr>
          <w:rFonts w:ascii="Times New Roman" w:hAnsi="Times New Roman" w:hint="eastAsia"/>
        </w:rPr>
        <w:t>4.01</w:t>
      </w:r>
      <w:r>
        <w:rPr>
          <w:rFonts w:ascii="Times New Roman" w:hAnsi="Times New Roman"/>
        </w:rPr>
        <w:t>%</w:t>
      </w:r>
      <w:r>
        <w:rPr>
          <w:rFonts w:ascii="Times New Roman" w:hAnsi="Times New Roman"/>
        </w:rPr>
        <w:t>，</w:t>
      </w:r>
      <w:r>
        <w:rPr>
          <w:rFonts w:ascii="Times New Roman" w:hAnsi="Times New Roman" w:hint="eastAsia"/>
        </w:rPr>
        <w:t>主要系留存收益的</w:t>
      </w:r>
      <w:r>
        <w:rPr>
          <w:rFonts w:ascii="Times New Roman" w:hAnsi="Times New Roman"/>
        </w:rPr>
        <w:t>增加</w:t>
      </w:r>
      <w:r>
        <w:rPr>
          <w:rFonts w:ascii="Times New Roman" w:hAnsi="Times New Roman" w:hint="eastAsia"/>
        </w:rPr>
        <w:t>以及因</w:t>
      </w:r>
      <w:r>
        <w:rPr>
          <w:rFonts w:ascii="Times New Roman" w:hAnsi="Times New Roman"/>
        </w:rPr>
        <w:t>其他债权投资公允价值变动导致</w:t>
      </w:r>
      <w:r>
        <w:rPr>
          <w:rFonts w:ascii="Times New Roman" w:hAnsi="Times New Roman" w:hint="eastAsia"/>
        </w:rPr>
        <w:t>的</w:t>
      </w:r>
      <w:r>
        <w:rPr>
          <w:rFonts w:ascii="Times New Roman" w:hAnsi="Times New Roman"/>
        </w:rPr>
        <w:t>其他综合收益</w:t>
      </w:r>
      <w:r>
        <w:rPr>
          <w:rFonts w:ascii="Times New Roman" w:hAnsi="Times New Roman" w:hint="eastAsia"/>
        </w:rPr>
        <w:t>的增加</w:t>
      </w:r>
      <w:r>
        <w:rPr>
          <w:rFonts w:ascii="Times New Roman" w:hAnsi="Times New Roman"/>
        </w:rPr>
        <w:t>。</w:t>
      </w:r>
    </w:p>
    <w:p w:rsidR="00AD5BB5" w:rsidRDefault="00F87FF6">
      <w:pPr>
        <w:jc w:val="right"/>
        <w:rPr>
          <w:rFonts w:ascii="Times New Roman" w:hAnsi="Times New Roman" w:cs="Times New Roman"/>
          <w:b/>
          <w:bCs/>
        </w:rPr>
      </w:pPr>
      <w:r>
        <w:rPr>
          <w:rFonts w:ascii="Times New Roman" w:hAnsi="Times New Roman" w:cs="Times New Roman"/>
          <w:b/>
          <w:bCs/>
        </w:rPr>
        <w:lastRenderedPageBreak/>
        <w:t xml:space="preserve">                                                        </w:t>
      </w:r>
      <w:r>
        <w:rPr>
          <w:rFonts w:ascii="Times New Roman" w:hAnsi="Times New Roman" w:cs="Times New Roman"/>
        </w:rPr>
        <w:t>单位：人民币千元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2072"/>
        <w:gridCol w:w="2209"/>
        <w:gridCol w:w="1845"/>
      </w:tblGrid>
      <w:tr w:rsidR="00AD5BB5">
        <w:tc>
          <w:tcPr>
            <w:tcW w:w="1311" w:type="pct"/>
            <w:tcBorders>
              <w:top w:val="single" w:sz="4" w:space="0" w:color="auto"/>
              <w:left w:val="single" w:sz="4" w:space="0" w:color="auto"/>
              <w:right w:val="single" w:sz="4" w:space="0" w:color="auto"/>
              <w:tl2br w:val="nil"/>
              <w:tr2bl w:val="nil"/>
            </w:tcBorders>
            <w:vAlign w:val="center"/>
          </w:tcPr>
          <w:p w:rsidR="00AD5BB5" w:rsidRDefault="00F87FF6">
            <w:pPr>
              <w:pStyle w:val="aff2"/>
              <w:ind w:firstLineChars="0" w:firstLine="0"/>
              <w:jc w:val="center"/>
              <w:rPr>
                <w:rFonts w:ascii="Times New Roman" w:hAnsi="Times New Roman" w:cs="Times New Roman"/>
                <w:b/>
                <w:bCs/>
              </w:rPr>
            </w:pPr>
            <w:r>
              <w:rPr>
                <w:rFonts w:ascii="Times New Roman" w:hAnsi="Times New Roman" w:cs="Times New Roman"/>
                <w:b/>
                <w:bCs/>
              </w:rPr>
              <w:t>项目</w:t>
            </w:r>
          </w:p>
        </w:tc>
        <w:tc>
          <w:tcPr>
            <w:tcW w:w="124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szCs w:val="21"/>
              </w:rPr>
            </w:pPr>
            <w:r>
              <w:rPr>
                <w:rFonts w:ascii="Times New Roman" w:hAnsi="Times New Roman" w:cs="Times New Roman"/>
                <w:b/>
                <w:bCs/>
                <w:szCs w:val="21"/>
              </w:rPr>
              <w:t>202</w:t>
            </w:r>
            <w:r>
              <w:rPr>
                <w:rFonts w:ascii="Times New Roman" w:hAnsi="Times New Roman" w:cs="Times New Roman" w:hint="eastAsia"/>
                <w:b/>
                <w:bCs/>
                <w:szCs w:val="21"/>
              </w:rPr>
              <w:t>3</w:t>
            </w:r>
            <w:r>
              <w:rPr>
                <w:rFonts w:ascii="Times New Roman" w:hAnsi="Times New Roman" w:cs="Times New Roman"/>
                <w:b/>
                <w:bCs/>
                <w:szCs w:val="21"/>
              </w:rPr>
              <w:t>年</w:t>
            </w:r>
            <w:r>
              <w:rPr>
                <w:rFonts w:ascii="Times New Roman" w:hAnsi="Times New Roman" w:cs="Times New Roman"/>
                <w:b/>
                <w:bCs/>
                <w:szCs w:val="21"/>
              </w:rPr>
              <w:t>6</w:t>
            </w:r>
            <w:r>
              <w:rPr>
                <w:rFonts w:ascii="Times New Roman" w:hAnsi="Times New Roman" w:cs="Times New Roman"/>
                <w:b/>
                <w:bCs/>
                <w:szCs w:val="21"/>
              </w:rPr>
              <w:t>月</w:t>
            </w:r>
            <w:r>
              <w:rPr>
                <w:rFonts w:ascii="Times New Roman" w:hAnsi="Times New Roman" w:cs="Times New Roman"/>
                <w:b/>
                <w:bCs/>
                <w:szCs w:val="21"/>
              </w:rPr>
              <w:t>30</w:t>
            </w:r>
            <w:r>
              <w:rPr>
                <w:rFonts w:ascii="Times New Roman" w:hAnsi="Times New Roman" w:cs="Times New Roman"/>
                <w:b/>
                <w:bCs/>
                <w:szCs w:val="21"/>
              </w:rPr>
              <w:t>日</w:t>
            </w:r>
          </w:p>
        </w:tc>
        <w:tc>
          <w:tcPr>
            <w:tcW w:w="133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szCs w:val="21"/>
              </w:rPr>
            </w:pPr>
            <w:r>
              <w:rPr>
                <w:rFonts w:ascii="Times New Roman" w:hAnsi="Times New Roman" w:cs="Times New Roman"/>
                <w:b/>
                <w:bCs/>
                <w:szCs w:val="21"/>
              </w:rPr>
              <w:t>202</w:t>
            </w:r>
            <w:r>
              <w:rPr>
                <w:rFonts w:ascii="Times New Roman" w:hAnsi="Times New Roman" w:cs="Times New Roman" w:hint="eastAsia"/>
                <w:b/>
                <w:bCs/>
                <w:szCs w:val="21"/>
              </w:rPr>
              <w:t>2</w:t>
            </w:r>
            <w:r>
              <w:rPr>
                <w:rFonts w:ascii="Times New Roman" w:hAnsi="Times New Roman" w:cs="Times New Roman"/>
                <w:b/>
                <w:bCs/>
                <w:szCs w:val="21"/>
              </w:rPr>
              <w:t>年</w:t>
            </w:r>
            <w:r>
              <w:rPr>
                <w:rFonts w:ascii="Times New Roman" w:hAnsi="Times New Roman" w:cs="Times New Roman"/>
                <w:b/>
                <w:bCs/>
                <w:szCs w:val="21"/>
              </w:rPr>
              <w:t>12</w:t>
            </w:r>
            <w:r>
              <w:rPr>
                <w:rFonts w:ascii="Times New Roman" w:hAnsi="Times New Roman" w:cs="Times New Roman"/>
                <w:b/>
                <w:bCs/>
                <w:szCs w:val="21"/>
              </w:rPr>
              <w:t>月</w:t>
            </w:r>
            <w:r>
              <w:rPr>
                <w:rFonts w:ascii="Times New Roman" w:hAnsi="Times New Roman" w:cs="Times New Roman"/>
                <w:b/>
                <w:bCs/>
                <w:szCs w:val="21"/>
              </w:rPr>
              <w:t>31</w:t>
            </w:r>
            <w:r>
              <w:rPr>
                <w:rFonts w:ascii="Times New Roman" w:hAnsi="Times New Roman" w:cs="Times New Roman"/>
                <w:b/>
                <w:bCs/>
                <w:szCs w:val="21"/>
              </w:rPr>
              <w:t>日</w:t>
            </w:r>
          </w:p>
        </w:tc>
        <w:tc>
          <w:tcPr>
            <w:tcW w:w="111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szCs w:val="21"/>
              </w:rPr>
            </w:pPr>
            <w:r>
              <w:rPr>
                <w:rFonts w:ascii="Times New Roman" w:hAnsi="Times New Roman" w:cs="Times New Roman" w:hint="eastAsia"/>
                <w:b/>
                <w:bCs/>
                <w:szCs w:val="21"/>
              </w:rPr>
              <w:t>本报告</w:t>
            </w:r>
            <w:proofErr w:type="gramStart"/>
            <w:r>
              <w:rPr>
                <w:rFonts w:ascii="Times New Roman" w:hAnsi="Times New Roman" w:cs="Times New Roman" w:hint="eastAsia"/>
                <w:b/>
                <w:bCs/>
                <w:szCs w:val="21"/>
              </w:rPr>
              <w:t>期末较期初</w:t>
            </w:r>
            <w:proofErr w:type="gramEnd"/>
            <w:r>
              <w:rPr>
                <w:rFonts w:ascii="Times New Roman" w:hAnsi="Times New Roman" w:cs="Times New Roman" w:hint="eastAsia"/>
                <w:b/>
                <w:bCs/>
                <w:szCs w:val="21"/>
              </w:rPr>
              <w:t>增减</w:t>
            </w:r>
            <w:r>
              <w:rPr>
                <w:rFonts w:ascii="Times New Roman" w:hAnsi="Times New Roman" w:cs="Times New Roman" w:hint="eastAsia"/>
                <w:b/>
                <w:bCs/>
                <w:szCs w:val="21"/>
              </w:rPr>
              <w:t>(%)</w:t>
            </w:r>
          </w:p>
        </w:tc>
      </w:tr>
      <w:tr w:rsidR="00AD5BB5">
        <w:tc>
          <w:tcPr>
            <w:tcW w:w="131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cs="Times New Roman"/>
              </w:rPr>
            </w:pPr>
            <w:r>
              <w:rPr>
                <w:rFonts w:ascii="Times New Roman" w:hAnsi="Times New Roman" w:cs="Times New Roman"/>
              </w:rPr>
              <w:t>股本</w:t>
            </w:r>
          </w:p>
        </w:tc>
        <w:tc>
          <w:tcPr>
            <w:tcW w:w="2129"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2,639,128 </w:t>
            </w:r>
          </w:p>
        </w:tc>
        <w:tc>
          <w:tcPr>
            <w:tcW w:w="2269"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2,639,128 </w:t>
            </w:r>
          </w:p>
        </w:tc>
        <w:tc>
          <w:tcPr>
            <w:tcW w:w="1895"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hint="eastAsia"/>
                <w:kern w:val="0"/>
                <w:szCs w:val="21"/>
                <w:lang w:bidi="ar"/>
              </w:rPr>
              <w:t>-</w:t>
            </w:r>
            <w:r>
              <w:rPr>
                <w:rFonts w:ascii="Times New Roman" w:hAnsi="Times New Roman" w:cs="Times New Roman"/>
                <w:kern w:val="0"/>
                <w:szCs w:val="21"/>
                <w:lang w:bidi="ar"/>
              </w:rPr>
              <w:t xml:space="preserve"> </w:t>
            </w:r>
          </w:p>
        </w:tc>
      </w:tr>
      <w:tr w:rsidR="00AD5BB5">
        <w:tc>
          <w:tcPr>
            <w:tcW w:w="131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cs="Times New Roman"/>
              </w:rPr>
            </w:pPr>
            <w:r>
              <w:rPr>
                <w:rFonts w:ascii="Times New Roman" w:hAnsi="Times New Roman" w:cs="Times New Roman"/>
              </w:rPr>
              <w:t>其他权益工具</w:t>
            </w:r>
            <w:r>
              <w:rPr>
                <w:rFonts w:ascii="Times New Roman" w:hAnsi="Times New Roman" w:cs="Times New Roman"/>
              </w:rPr>
              <w:t xml:space="preserve"> </w:t>
            </w:r>
          </w:p>
        </w:tc>
        <w:tc>
          <w:tcPr>
            <w:tcW w:w="2129"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2,498,553 </w:t>
            </w:r>
          </w:p>
        </w:tc>
        <w:tc>
          <w:tcPr>
            <w:tcW w:w="2269"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2,498,553 </w:t>
            </w:r>
          </w:p>
        </w:tc>
        <w:tc>
          <w:tcPr>
            <w:tcW w:w="1895"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hint="eastAsia"/>
                <w:kern w:val="0"/>
                <w:szCs w:val="21"/>
                <w:lang w:bidi="ar"/>
              </w:rPr>
              <w:t>-</w:t>
            </w:r>
            <w:r>
              <w:rPr>
                <w:rFonts w:ascii="Times New Roman" w:hAnsi="Times New Roman" w:cs="Times New Roman"/>
                <w:kern w:val="0"/>
                <w:szCs w:val="21"/>
                <w:lang w:bidi="ar"/>
              </w:rPr>
              <w:t xml:space="preserve"> </w:t>
            </w:r>
          </w:p>
        </w:tc>
      </w:tr>
      <w:tr w:rsidR="00AD5BB5">
        <w:trPr>
          <w:trHeight w:val="145"/>
        </w:trPr>
        <w:tc>
          <w:tcPr>
            <w:tcW w:w="131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cs="Times New Roman"/>
              </w:rPr>
            </w:pPr>
            <w:r>
              <w:rPr>
                <w:rFonts w:ascii="Times New Roman" w:hAnsi="Times New Roman" w:cs="Times New Roman"/>
              </w:rPr>
              <w:t>资本公积</w:t>
            </w:r>
          </w:p>
        </w:tc>
        <w:tc>
          <w:tcPr>
            <w:tcW w:w="2129"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6,785,874 </w:t>
            </w:r>
          </w:p>
        </w:tc>
        <w:tc>
          <w:tcPr>
            <w:tcW w:w="2269"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6,785,874 </w:t>
            </w:r>
          </w:p>
        </w:tc>
        <w:tc>
          <w:tcPr>
            <w:tcW w:w="1895"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hint="eastAsia"/>
                <w:kern w:val="0"/>
                <w:szCs w:val="21"/>
                <w:lang w:bidi="ar"/>
              </w:rPr>
              <w:t>-</w:t>
            </w:r>
            <w:r>
              <w:rPr>
                <w:rFonts w:ascii="Times New Roman" w:hAnsi="Times New Roman" w:cs="Times New Roman"/>
                <w:kern w:val="0"/>
                <w:szCs w:val="21"/>
                <w:lang w:bidi="ar"/>
              </w:rPr>
              <w:t xml:space="preserve"> </w:t>
            </w:r>
          </w:p>
        </w:tc>
      </w:tr>
      <w:tr w:rsidR="00AD5BB5">
        <w:tc>
          <w:tcPr>
            <w:tcW w:w="131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cs="Times New Roman"/>
              </w:rPr>
            </w:pPr>
            <w:r>
              <w:rPr>
                <w:rFonts w:ascii="Times New Roman" w:hAnsi="Times New Roman" w:cs="Times New Roman"/>
              </w:rPr>
              <w:t>其他综合收益</w:t>
            </w:r>
          </w:p>
        </w:tc>
        <w:tc>
          <w:tcPr>
            <w:tcW w:w="2129"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316,319 </w:t>
            </w:r>
          </w:p>
        </w:tc>
        <w:tc>
          <w:tcPr>
            <w:tcW w:w="2269"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-39,410 </w:t>
            </w:r>
          </w:p>
        </w:tc>
        <w:tc>
          <w:tcPr>
            <w:tcW w:w="1895"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hint="eastAsia"/>
                <w:kern w:val="0"/>
                <w:szCs w:val="21"/>
                <w:lang w:bidi="ar"/>
              </w:rPr>
              <w:t>不适用</w:t>
            </w:r>
            <w:r>
              <w:rPr>
                <w:rFonts w:ascii="Times New Roman" w:hAnsi="Times New Roman" w:cs="Times New Roman"/>
                <w:kern w:val="0"/>
                <w:szCs w:val="21"/>
                <w:lang w:bidi="ar"/>
              </w:rPr>
              <w:t xml:space="preserve"> </w:t>
            </w:r>
          </w:p>
        </w:tc>
      </w:tr>
      <w:tr w:rsidR="00AD5BB5">
        <w:tc>
          <w:tcPr>
            <w:tcW w:w="131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cs="Times New Roman"/>
              </w:rPr>
            </w:pPr>
            <w:r>
              <w:rPr>
                <w:rFonts w:ascii="Times New Roman" w:hAnsi="Times New Roman" w:cs="Times New Roman"/>
              </w:rPr>
              <w:t>盈余公积</w:t>
            </w:r>
          </w:p>
        </w:tc>
        <w:tc>
          <w:tcPr>
            <w:tcW w:w="2129"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1,514,562 </w:t>
            </w:r>
          </w:p>
        </w:tc>
        <w:tc>
          <w:tcPr>
            <w:tcW w:w="2269"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1,514,562 </w:t>
            </w:r>
          </w:p>
        </w:tc>
        <w:tc>
          <w:tcPr>
            <w:tcW w:w="1895"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hint="eastAsia"/>
                <w:kern w:val="0"/>
                <w:szCs w:val="21"/>
                <w:lang w:bidi="ar"/>
              </w:rPr>
              <w:t>-</w:t>
            </w:r>
            <w:r>
              <w:rPr>
                <w:rFonts w:ascii="Times New Roman" w:hAnsi="Times New Roman" w:cs="Times New Roman"/>
                <w:kern w:val="0"/>
                <w:szCs w:val="21"/>
                <w:lang w:bidi="ar"/>
              </w:rPr>
              <w:t xml:space="preserve"> </w:t>
            </w:r>
          </w:p>
        </w:tc>
      </w:tr>
      <w:tr w:rsidR="00AD5BB5">
        <w:tc>
          <w:tcPr>
            <w:tcW w:w="131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cs="Times New Roman"/>
              </w:rPr>
            </w:pPr>
            <w:r>
              <w:rPr>
                <w:rFonts w:ascii="Times New Roman" w:hAnsi="Times New Roman" w:cs="Times New Roman"/>
              </w:rPr>
              <w:t>一般风险准备</w:t>
            </w:r>
          </w:p>
        </w:tc>
        <w:tc>
          <w:tcPr>
            <w:tcW w:w="2129"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4,044,833 </w:t>
            </w:r>
          </w:p>
        </w:tc>
        <w:tc>
          <w:tcPr>
            <w:tcW w:w="2269"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4,044,833 </w:t>
            </w:r>
          </w:p>
        </w:tc>
        <w:tc>
          <w:tcPr>
            <w:tcW w:w="1895"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hint="eastAsia"/>
                <w:kern w:val="0"/>
                <w:szCs w:val="21"/>
                <w:lang w:bidi="ar"/>
              </w:rPr>
              <w:t>-</w:t>
            </w:r>
            <w:r>
              <w:rPr>
                <w:rFonts w:ascii="Times New Roman" w:hAnsi="Times New Roman" w:cs="Times New Roman"/>
                <w:kern w:val="0"/>
                <w:szCs w:val="21"/>
                <w:lang w:bidi="ar"/>
              </w:rPr>
              <w:t xml:space="preserve"> </w:t>
            </w:r>
          </w:p>
        </w:tc>
      </w:tr>
      <w:tr w:rsidR="00AD5BB5">
        <w:tc>
          <w:tcPr>
            <w:tcW w:w="131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cs="Times New Roman"/>
              </w:rPr>
            </w:pPr>
            <w:r>
              <w:rPr>
                <w:rFonts w:ascii="Times New Roman" w:hAnsi="Times New Roman" w:cs="Times New Roman"/>
              </w:rPr>
              <w:t>未分配利润</w:t>
            </w:r>
          </w:p>
        </w:tc>
        <w:tc>
          <w:tcPr>
            <w:tcW w:w="2129"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7,339,546 </w:t>
            </w:r>
          </w:p>
        </w:tc>
        <w:tc>
          <w:tcPr>
            <w:tcW w:w="2269"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6,748,452 </w:t>
            </w:r>
          </w:p>
        </w:tc>
        <w:tc>
          <w:tcPr>
            <w:tcW w:w="1895"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8.76 </w:t>
            </w:r>
          </w:p>
        </w:tc>
      </w:tr>
      <w:tr w:rsidR="00AD5BB5">
        <w:tc>
          <w:tcPr>
            <w:tcW w:w="131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cs="Times New Roman"/>
              </w:rPr>
            </w:pPr>
            <w:r>
              <w:rPr>
                <w:rFonts w:ascii="Times New Roman" w:hAnsi="Times New Roman" w:cs="Times New Roman"/>
              </w:rPr>
              <w:t>归属于</w:t>
            </w:r>
            <w:r>
              <w:rPr>
                <w:rFonts w:ascii="Times New Roman" w:hAnsi="Times New Roman" w:cs="Times New Roman" w:hint="eastAsia"/>
              </w:rPr>
              <w:t>公司</w:t>
            </w:r>
            <w:r>
              <w:rPr>
                <w:rFonts w:ascii="Times New Roman" w:hAnsi="Times New Roman" w:cs="Times New Roman"/>
              </w:rPr>
              <w:t>股东权益</w:t>
            </w:r>
          </w:p>
        </w:tc>
        <w:tc>
          <w:tcPr>
            <w:tcW w:w="2129"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25,138,815 </w:t>
            </w:r>
          </w:p>
        </w:tc>
        <w:tc>
          <w:tcPr>
            <w:tcW w:w="2269"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24,191,992 </w:t>
            </w:r>
          </w:p>
        </w:tc>
        <w:tc>
          <w:tcPr>
            <w:tcW w:w="1895"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3.91 </w:t>
            </w:r>
          </w:p>
        </w:tc>
      </w:tr>
      <w:tr w:rsidR="00AD5BB5">
        <w:tc>
          <w:tcPr>
            <w:tcW w:w="131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cs="Times New Roman"/>
              </w:rPr>
            </w:pPr>
            <w:r>
              <w:rPr>
                <w:rFonts w:ascii="Times New Roman" w:hAnsi="Times New Roman" w:cs="Times New Roman"/>
              </w:rPr>
              <w:t>少数股东权益</w:t>
            </w:r>
          </w:p>
        </w:tc>
        <w:tc>
          <w:tcPr>
            <w:tcW w:w="2129"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598,428 </w:t>
            </w:r>
          </w:p>
        </w:tc>
        <w:tc>
          <w:tcPr>
            <w:tcW w:w="2269"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551,858 </w:t>
            </w:r>
          </w:p>
        </w:tc>
        <w:tc>
          <w:tcPr>
            <w:tcW w:w="1895"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8.44 </w:t>
            </w:r>
          </w:p>
        </w:tc>
      </w:tr>
      <w:tr w:rsidR="00AD5BB5">
        <w:tc>
          <w:tcPr>
            <w:tcW w:w="131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cs="Times New Roman"/>
              </w:rPr>
            </w:pPr>
            <w:r>
              <w:rPr>
                <w:rFonts w:ascii="Times New Roman" w:hAnsi="Times New Roman" w:cs="Times New Roman"/>
                <w:b/>
                <w:bCs/>
              </w:rPr>
              <w:t>股东权益合计</w:t>
            </w:r>
          </w:p>
        </w:tc>
        <w:tc>
          <w:tcPr>
            <w:tcW w:w="2129"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25,737,243 </w:t>
            </w:r>
          </w:p>
        </w:tc>
        <w:tc>
          <w:tcPr>
            <w:tcW w:w="2269"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24,743,850 </w:t>
            </w:r>
          </w:p>
        </w:tc>
        <w:tc>
          <w:tcPr>
            <w:tcW w:w="1895"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4.01 </w:t>
            </w:r>
          </w:p>
        </w:tc>
      </w:tr>
    </w:tbl>
    <w:p w:rsidR="00AD5BB5" w:rsidRDefault="00AD5BB5">
      <w:pPr>
        <w:numPr>
          <w:ilvl w:val="255"/>
          <w:numId w:val="0"/>
        </w:numPr>
        <w:rPr>
          <w:rFonts w:ascii="Times New Roman" w:hAnsi="Times New Roman" w:cs="Times New Roman"/>
          <w:b/>
          <w:bCs/>
        </w:rPr>
      </w:pPr>
    </w:p>
    <w:p w:rsidR="00AD5BB5" w:rsidRDefault="00F87FF6">
      <w:pPr>
        <w:pStyle w:val="3"/>
        <w:spacing w:line="360" w:lineRule="auto"/>
        <w:ind w:leftChars="-175" w:left="-368" w:firstLineChars="300" w:firstLine="632"/>
        <w:rPr>
          <w:rFonts w:ascii="Times New Roman" w:hAnsi="Times New Roman" w:cs="Times New Roman"/>
          <w:bCs/>
          <w:kern w:val="0"/>
        </w:rPr>
      </w:pPr>
      <w:r>
        <w:rPr>
          <w:rFonts w:ascii="Times New Roman" w:hAnsi="Times New Roman" w:cs="Times New Roman"/>
        </w:rPr>
        <w:t>（三）</w:t>
      </w:r>
      <w:r>
        <w:rPr>
          <w:rFonts w:ascii="Times New Roman" w:hAnsi="Times New Roman" w:cs="Times New Roman"/>
          <w:bCs/>
          <w:kern w:val="0"/>
        </w:rPr>
        <w:t>现金流量表分析</w:t>
      </w:r>
    </w:p>
    <w:p w:rsidR="00AD5BB5" w:rsidRDefault="00F87FF6">
      <w:pPr>
        <w:pStyle w:val="aff2"/>
        <w:spacing w:line="360" w:lineRule="auto"/>
        <w:rPr>
          <w:rFonts w:ascii="Times New Roman" w:hAnsi="Times New Roman" w:cs="Times New Roman"/>
          <w:szCs w:val="21"/>
        </w:rPr>
      </w:pPr>
      <w:r>
        <w:rPr>
          <w:rFonts w:ascii="Times New Roman" w:hAnsi="Times New Roman" w:cs="Times New Roman" w:hint="eastAsia"/>
          <w:szCs w:val="21"/>
        </w:rPr>
        <w:t>报告期内，公司经营活动产生的现金净流出</w:t>
      </w:r>
      <w:r>
        <w:rPr>
          <w:rFonts w:ascii="Times New Roman" w:hAnsi="Times New Roman" w:cs="Times New Roman" w:hint="eastAsia"/>
          <w:szCs w:val="21"/>
        </w:rPr>
        <w:t>274.32</w:t>
      </w:r>
      <w:r>
        <w:rPr>
          <w:rFonts w:ascii="Times New Roman" w:hAnsi="Times New Roman" w:cs="Times New Roman" w:hint="eastAsia"/>
          <w:szCs w:val="21"/>
        </w:rPr>
        <w:t>亿元，主要是吸收存款减少导致现金流出；投资活动产生的现金净流出</w:t>
      </w:r>
      <w:r>
        <w:rPr>
          <w:rFonts w:ascii="Times New Roman" w:hAnsi="Times New Roman" w:cs="Times New Roman" w:hint="eastAsia"/>
          <w:szCs w:val="21"/>
        </w:rPr>
        <w:t>13.83</w:t>
      </w:r>
      <w:r>
        <w:rPr>
          <w:rFonts w:ascii="Times New Roman" w:hAnsi="Times New Roman" w:cs="Times New Roman" w:hint="eastAsia"/>
          <w:szCs w:val="21"/>
        </w:rPr>
        <w:t>亿元，主要为买入债券投资导致的现金流出；筹资活动产生的现金净流入</w:t>
      </w:r>
      <w:r>
        <w:rPr>
          <w:rFonts w:ascii="Times New Roman" w:hAnsi="Times New Roman" w:cs="Times New Roman" w:hint="eastAsia"/>
          <w:szCs w:val="21"/>
        </w:rPr>
        <w:t>59.29</w:t>
      </w:r>
      <w:r>
        <w:rPr>
          <w:rFonts w:ascii="Times New Roman" w:hAnsi="Times New Roman" w:cs="Times New Roman" w:hint="eastAsia"/>
          <w:szCs w:val="21"/>
        </w:rPr>
        <w:t>亿元，主要是发行同业存单产生的现金流入。</w:t>
      </w:r>
    </w:p>
    <w:p w:rsidR="00AD5BB5" w:rsidRDefault="00F87FF6">
      <w:pPr>
        <w:numPr>
          <w:ilvl w:val="255"/>
          <w:numId w:val="0"/>
        </w:numPr>
        <w:ind w:right="210"/>
        <w:jc w:val="right"/>
        <w:rPr>
          <w:rFonts w:ascii="Times New Roman" w:hAnsi="Times New Roman" w:cs="Times New Roman"/>
        </w:rPr>
      </w:pPr>
      <w:r>
        <w:rPr>
          <w:rFonts w:ascii="Times New Roman" w:hAnsi="Times New Roman" w:cs="Times New Roman"/>
        </w:rPr>
        <w:t>单位：人民币千元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745"/>
        <w:gridCol w:w="1949"/>
        <w:gridCol w:w="1517"/>
      </w:tblGrid>
      <w:tr w:rsidR="00AD5BB5">
        <w:tc>
          <w:tcPr>
            <w:tcW w:w="3085"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rPr>
            </w:pPr>
            <w:r>
              <w:rPr>
                <w:rFonts w:ascii="Times New Roman" w:hAnsi="Times New Roman" w:cs="Times New Roman"/>
                <w:b/>
                <w:bCs/>
              </w:rPr>
              <w:t>项目</w:t>
            </w:r>
          </w:p>
        </w:tc>
        <w:tc>
          <w:tcPr>
            <w:tcW w:w="1745"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rPr>
            </w:pPr>
            <w:r>
              <w:rPr>
                <w:rFonts w:ascii="Times New Roman" w:hAnsi="Times New Roman" w:cs="Times New Roman"/>
                <w:b/>
                <w:bCs/>
              </w:rPr>
              <w:t>202</w:t>
            </w:r>
            <w:r>
              <w:rPr>
                <w:rFonts w:ascii="Times New Roman" w:hAnsi="Times New Roman" w:cs="Times New Roman" w:hint="eastAsia"/>
                <w:b/>
                <w:bCs/>
              </w:rPr>
              <w:t>3</w:t>
            </w:r>
            <w:r>
              <w:rPr>
                <w:rFonts w:ascii="Times New Roman" w:hAnsi="Times New Roman" w:cs="Times New Roman"/>
                <w:b/>
                <w:bCs/>
              </w:rPr>
              <w:t>年</w:t>
            </w:r>
            <w:r>
              <w:rPr>
                <w:rFonts w:ascii="Times New Roman" w:hAnsi="Times New Roman" w:cs="Times New Roman"/>
                <w:b/>
                <w:bCs/>
              </w:rPr>
              <w:t>1-6</w:t>
            </w:r>
            <w:r>
              <w:rPr>
                <w:rFonts w:ascii="Times New Roman" w:hAnsi="Times New Roman" w:cs="Times New Roman"/>
                <w:b/>
                <w:bCs/>
              </w:rPr>
              <w:t>月</w:t>
            </w:r>
          </w:p>
        </w:tc>
        <w:tc>
          <w:tcPr>
            <w:tcW w:w="194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rPr>
            </w:pPr>
            <w:r>
              <w:rPr>
                <w:rFonts w:ascii="Times New Roman" w:hAnsi="Times New Roman" w:cs="Times New Roman"/>
                <w:b/>
                <w:bCs/>
              </w:rPr>
              <w:t>2022</w:t>
            </w:r>
            <w:r>
              <w:rPr>
                <w:rFonts w:ascii="Times New Roman" w:hAnsi="Times New Roman" w:cs="Times New Roman"/>
                <w:b/>
                <w:bCs/>
              </w:rPr>
              <w:t>年</w:t>
            </w:r>
            <w:r>
              <w:rPr>
                <w:rFonts w:ascii="Times New Roman" w:hAnsi="Times New Roman" w:cs="Times New Roman"/>
                <w:b/>
                <w:bCs/>
              </w:rPr>
              <w:t>1-6</w:t>
            </w:r>
            <w:r>
              <w:rPr>
                <w:rFonts w:ascii="Times New Roman" w:hAnsi="Times New Roman" w:cs="Times New Roman"/>
                <w:b/>
                <w:bCs/>
              </w:rPr>
              <w:t>月</w:t>
            </w:r>
          </w:p>
        </w:tc>
        <w:tc>
          <w:tcPr>
            <w:tcW w:w="151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rPr>
            </w:pPr>
            <w:r>
              <w:rPr>
                <w:rFonts w:ascii="Times New Roman" w:hAnsi="Times New Roman" w:cs="Times New Roman"/>
                <w:b/>
                <w:bCs/>
              </w:rPr>
              <w:t>同比变动（</w:t>
            </w:r>
            <w:r>
              <w:rPr>
                <w:rFonts w:ascii="Times New Roman" w:hAnsi="Times New Roman" w:cs="Times New Roman"/>
                <w:b/>
                <w:bCs/>
              </w:rPr>
              <w:t>%</w:t>
            </w:r>
            <w:r>
              <w:rPr>
                <w:rFonts w:ascii="Times New Roman" w:hAnsi="Times New Roman" w:cs="Times New Roman"/>
                <w:b/>
                <w:bCs/>
              </w:rPr>
              <w:t>）</w:t>
            </w:r>
          </w:p>
        </w:tc>
      </w:tr>
      <w:tr w:rsidR="00AD5BB5">
        <w:tc>
          <w:tcPr>
            <w:tcW w:w="3085"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szCs w:val="21"/>
              </w:rPr>
            </w:pPr>
            <w:r>
              <w:rPr>
                <w:rFonts w:ascii="Times New Roman" w:hAnsi="Times New Roman" w:cs="Times New Roman"/>
                <w:szCs w:val="21"/>
              </w:rPr>
              <w:t>经营活动产生的现金流量净额</w:t>
            </w:r>
          </w:p>
        </w:tc>
        <w:tc>
          <w:tcPr>
            <w:tcW w:w="1745"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 -27,431,570 </w:t>
            </w:r>
          </w:p>
        </w:tc>
        <w:tc>
          <w:tcPr>
            <w:tcW w:w="1949"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 17,479,123 </w:t>
            </w:r>
          </w:p>
        </w:tc>
        <w:tc>
          <w:tcPr>
            <w:tcW w:w="151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-25</w:t>
            </w:r>
            <w:r>
              <w:rPr>
                <w:rFonts w:ascii="Times New Roman" w:hAnsi="Times New Roman" w:cs="Times New Roman" w:hint="eastAsia"/>
                <w:kern w:val="0"/>
                <w:szCs w:val="21"/>
                <w:lang w:bidi="ar"/>
              </w:rPr>
              <w:t>6.94</w:t>
            </w:r>
          </w:p>
        </w:tc>
      </w:tr>
      <w:tr w:rsidR="00AD5BB5">
        <w:tc>
          <w:tcPr>
            <w:tcW w:w="3085"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szCs w:val="21"/>
              </w:rPr>
            </w:pPr>
            <w:r>
              <w:rPr>
                <w:rFonts w:ascii="Times New Roman" w:hAnsi="Times New Roman" w:cs="Times New Roman"/>
                <w:szCs w:val="21"/>
              </w:rPr>
              <w:t>投资活动产生的现金流量净额</w:t>
            </w:r>
          </w:p>
        </w:tc>
        <w:tc>
          <w:tcPr>
            <w:tcW w:w="1745"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 -1,383,192 </w:t>
            </w:r>
          </w:p>
        </w:tc>
        <w:tc>
          <w:tcPr>
            <w:tcW w:w="1949"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 -8,561,218 </w:t>
            </w:r>
          </w:p>
        </w:tc>
        <w:tc>
          <w:tcPr>
            <w:tcW w:w="151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宋体" w:hint="eastAsia"/>
                <w:kern w:val="0"/>
                <w:szCs w:val="21"/>
                <w:lang w:bidi="ar"/>
              </w:rPr>
              <w:t>不适用</w:t>
            </w:r>
          </w:p>
        </w:tc>
      </w:tr>
      <w:tr w:rsidR="00AD5BB5">
        <w:tc>
          <w:tcPr>
            <w:tcW w:w="3085"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szCs w:val="21"/>
              </w:rPr>
            </w:pPr>
            <w:r>
              <w:rPr>
                <w:rFonts w:ascii="Times New Roman" w:hAnsi="Times New Roman" w:cs="Times New Roman"/>
                <w:szCs w:val="21"/>
              </w:rPr>
              <w:t>筹资活动产生的现金流量净额</w:t>
            </w:r>
          </w:p>
        </w:tc>
        <w:tc>
          <w:tcPr>
            <w:tcW w:w="1745"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 5,929,448 </w:t>
            </w:r>
          </w:p>
        </w:tc>
        <w:tc>
          <w:tcPr>
            <w:tcW w:w="1949"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szCs w:val="21"/>
              </w:rPr>
            </w:pPr>
            <w:r>
              <w:rPr>
                <w:rFonts w:ascii="Times New Roman" w:hAnsi="Times New Roman" w:cs="Times New Roman"/>
                <w:kern w:val="0"/>
                <w:szCs w:val="21"/>
                <w:lang w:bidi="ar"/>
              </w:rPr>
              <w:t xml:space="preserve"> -4,287,193 </w:t>
            </w:r>
          </w:p>
        </w:tc>
        <w:tc>
          <w:tcPr>
            <w:tcW w:w="151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宋体" w:hint="eastAsia"/>
                <w:kern w:val="0"/>
                <w:szCs w:val="21"/>
                <w:lang w:bidi="ar"/>
              </w:rPr>
              <w:t>不适用</w:t>
            </w:r>
          </w:p>
        </w:tc>
      </w:tr>
    </w:tbl>
    <w:p w:rsidR="00AD5BB5" w:rsidRDefault="00AD5BB5">
      <w:pPr>
        <w:numPr>
          <w:ilvl w:val="255"/>
          <w:numId w:val="0"/>
        </w:numPr>
        <w:rPr>
          <w:rFonts w:ascii="Times New Roman" w:hAnsi="Times New Roman" w:cs="Times New Roman"/>
          <w:b/>
          <w:bCs/>
        </w:rPr>
      </w:pPr>
    </w:p>
    <w:p w:rsidR="00AD5BB5" w:rsidRDefault="00F87FF6" w:rsidP="00F22BE0">
      <w:pPr>
        <w:widowControl/>
        <w:tabs>
          <w:tab w:val="left" w:pos="709"/>
        </w:tabs>
        <w:ind w:firstLineChars="100" w:firstLine="211"/>
        <w:jc w:val="left"/>
        <w:outlineLvl w:val="2"/>
        <w:rPr>
          <w:rFonts w:ascii="Times New Roman" w:hAnsi="Times New Roman"/>
          <w:b/>
        </w:rPr>
      </w:pPr>
      <w:r>
        <w:rPr>
          <w:rFonts w:ascii="Times New Roman" w:hAnsi="Times New Roman" w:cs="Times New Roman"/>
          <w:b/>
        </w:rPr>
        <w:t>（四）</w:t>
      </w:r>
      <w:r>
        <w:rPr>
          <w:rFonts w:ascii="Times New Roman" w:hAnsi="Times New Roman" w:cs="Times New Roman"/>
          <w:b/>
          <w:bCs/>
        </w:rPr>
        <w:t>可能对财务状况与经营成果造成重大影响的表外项目情况</w:t>
      </w:r>
    </w:p>
    <w:p w:rsidR="00AD5BB5" w:rsidRDefault="00F87FF6">
      <w:pPr>
        <w:numPr>
          <w:ilvl w:val="255"/>
          <w:numId w:val="0"/>
        </w:numPr>
        <w:jc w:val="right"/>
        <w:rPr>
          <w:rFonts w:ascii="Times New Roman" w:hAnsi="Times New Roman" w:cs="Times New Roman"/>
          <w:b/>
          <w:bCs/>
        </w:rPr>
      </w:pPr>
      <w:r>
        <w:rPr>
          <w:rFonts w:ascii="Times New Roman" w:hAnsi="Times New Roman" w:cs="Times New Roman"/>
        </w:rPr>
        <w:t>单位：人民币千元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2430"/>
        <w:gridCol w:w="2234"/>
      </w:tblGrid>
      <w:tr w:rsidR="00AD5BB5">
        <w:trPr>
          <w:trHeight w:val="320"/>
        </w:trPr>
        <w:tc>
          <w:tcPr>
            <w:tcW w:w="363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rPr>
            </w:pPr>
            <w:r>
              <w:rPr>
                <w:rFonts w:ascii="Times New Roman" w:hAnsi="Times New Roman" w:cs="Times New Roman"/>
                <w:b/>
                <w:bCs/>
              </w:rPr>
              <w:t>项目</w:t>
            </w:r>
          </w:p>
        </w:tc>
        <w:tc>
          <w:tcPr>
            <w:tcW w:w="243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rPr>
            </w:pPr>
            <w:r>
              <w:rPr>
                <w:rFonts w:ascii="Times New Roman" w:hAnsi="Times New Roman" w:cs="Times New Roman"/>
                <w:b/>
                <w:bCs/>
              </w:rPr>
              <w:t>202</w:t>
            </w:r>
            <w:r>
              <w:rPr>
                <w:rFonts w:ascii="Times New Roman" w:hAnsi="Times New Roman" w:cs="Times New Roman" w:hint="eastAsia"/>
                <w:b/>
                <w:bCs/>
              </w:rPr>
              <w:t>3</w:t>
            </w:r>
            <w:r>
              <w:rPr>
                <w:rFonts w:ascii="Times New Roman" w:hAnsi="Times New Roman" w:cs="Times New Roman"/>
                <w:b/>
                <w:bCs/>
              </w:rPr>
              <w:t>年</w:t>
            </w:r>
            <w:r>
              <w:rPr>
                <w:rFonts w:ascii="Times New Roman" w:hAnsi="Times New Roman" w:cs="Times New Roman"/>
                <w:b/>
                <w:bCs/>
              </w:rPr>
              <w:t>6</w:t>
            </w:r>
            <w:r>
              <w:rPr>
                <w:rFonts w:ascii="Times New Roman" w:hAnsi="Times New Roman" w:cs="Times New Roman"/>
                <w:b/>
                <w:bCs/>
              </w:rPr>
              <w:t>月</w:t>
            </w:r>
            <w:r>
              <w:rPr>
                <w:rFonts w:ascii="Times New Roman" w:hAnsi="Times New Roman" w:cs="Times New Roman"/>
                <w:b/>
                <w:bCs/>
              </w:rPr>
              <w:t>30</w:t>
            </w:r>
            <w:r>
              <w:rPr>
                <w:rFonts w:ascii="Times New Roman" w:hAnsi="Times New Roman" w:cs="Times New Roman"/>
                <w:b/>
                <w:bCs/>
              </w:rPr>
              <w:t>日</w:t>
            </w:r>
          </w:p>
        </w:tc>
        <w:tc>
          <w:tcPr>
            <w:tcW w:w="223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rPr>
            </w:pPr>
            <w:r>
              <w:rPr>
                <w:rFonts w:ascii="Times New Roman" w:hAnsi="Times New Roman" w:cs="Times New Roman"/>
                <w:b/>
                <w:bCs/>
              </w:rPr>
              <w:t>202</w:t>
            </w:r>
            <w:r>
              <w:rPr>
                <w:rFonts w:ascii="Times New Roman" w:hAnsi="Times New Roman" w:cs="Times New Roman" w:hint="eastAsia"/>
                <w:b/>
                <w:bCs/>
              </w:rPr>
              <w:t>2</w:t>
            </w:r>
            <w:r>
              <w:rPr>
                <w:rFonts w:ascii="Times New Roman" w:hAnsi="Times New Roman" w:cs="Times New Roman"/>
                <w:b/>
                <w:bCs/>
              </w:rPr>
              <w:t>年</w:t>
            </w:r>
            <w:r>
              <w:rPr>
                <w:rFonts w:ascii="Times New Roman" w:hAnsi="Times New Roman" w:cs="Times New Roman"/>
                <w:b/>
                <w:bCs/>
              </w:rPr>
              <w:t>12</w:t>
            </w:r>
            <w:r>
              <w:rPr>
                <w:rFonts w:ascii="Times New Roman" w:hAnsi="Times New Roman" w:cs="Times New Roman"/>
                <w:b/>
                <w:bCs/>
              </w:rPr>
              <w:t>月</w:t>
            </w:r>
            <w:r>
              <w:rPr>
                <w:rFonts w:ascii="Times New Roman" w:hAnsi="Times New Roman" w:cs="Times New Roman"/>
                <w:b/>
                <w:bCs/>
              </w:rPr>
              <w:t>31</w:t>
            </w:r>
            <w:r>
              <w:rPr>
                <w:rFonts w:ascii="Times New Roman" w:hAnsi="Times New Roman" w:cs="Times New Roman"/>
                <w:b/>
                <w:bCs/>
              </w:rPr>
              <w:t>日</w:t>
            </w:r>
          </w:p>
        </w:tc>
      </w:tr>
      <w:tr w:rsidR="00AD5BB5">
        <w:trPr>
          <w:trHeight w:val="320"/>
        </w:trPr>
        <w:tc>
          <w:tcPr>
            <w:tcW w:w="363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szCs w:val="21"/>
              </w:rPr>
            </w:pPr>
            <w:r>
              <w:rPr>
                <w:rFonts w:ascii="Times New Roman" w:hAnsi="Times New Roman" w:cs="Times New Roman"/>
                <w:szCs w:val="21"/>
              </w:rPr>
              <w:t>银行承兑汇票</w:t>
            </w:r>
          </w:p>
        </w:tc>
        <w:tc>
          <w:tcPr>
            <w:tcW w:w="243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35,821,300 </w:t>
            </w:r>
          </w:p>
        </w:tc>
        <w:tc>
          <w:tcPr>
            <w:tcW w:w="223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51,498,849 </w:t>
            </w:r>
          </w:p>
        </w:tc>
      </w:tr>
      <w:tr w:rsidR="00AD5BB5">
        <w:trPr>
          <w:trHeight w:val="320"/>
        </w:trPr>
        <w:tc>
          <w:tcPr>
            <w:tcW w:w="363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szCs w:val="21"/>
              </w:rPr>
            </w:pPr>
            <w:r>
              <w:rPr>
                <w:rFonts w:ascii="Times New Roman" w:hAnsi="Times New Roman" w:cs="Times New Roman"/>
                <w:szCs w:val="21"/>
              </w:rPr>
              <w:t>开出保函</w:t>
            </w:r>
          </w:p>
        </w:tc>
        <w:tc>
          <w:tcPr>
            <w:tcW w:w="243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3,811,124 </w:t>
            </w:r>
          </w:p>
        </w:tc>
        <w:tc>
          <w:tcPr>
            <w:tcW w:w="223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3,551,099 </w:t>
            </w:r>
          </w:p>
        </w:tc>
      </w:tr>
      <w:tr w:rsidR="00AD5BB5">
        <w:trPr>
          <w:trHeight w:val="320"/>
        </w:trPr>
        <w:tc>
          <w:tcPr>
            <w:tcW w:w="363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szCs w:val="21"/>
              </w:rPr>
            </w:pPr>
            <w:r>
              <w:rPr>
                <w:rFonts w:ascii="Times New Roman" w:hAnsi="Times New Roman" w:cs="Times New Roman"/>
                <w:szCs w:val="21"/>
              </w:rPr>
              <w:t>开出信用证</w:t>
            </w:r>
          </w:p>
        </w:tc>
        <w:tc>
          <w:tcPr>
            <w:tcW w:w="243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5,331,663 </w:t>
            </w:r>
          </w:p>
        </w:tc>
        <w:tc>
          <w:tcPr>
            <w:tcW w:w="223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5,669,815 </w:t>
            </w:r>
          </w:p>
        </w:tc>
      </w:tr>
      <w:tr w:rsidR="00AD5BB5">
        <w:trPr>
          <w:trHeight w:val="320"/>
        </w:trPr>
        <w:tc>
          <w:tcPr>
            <w:tcW w:w="363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szCs w:val="21"/>
              </w:rPr>
            </w:pPr>
            <w:r>
              <w:rPr>
                <w:rFonts w:ascii="Times New Roman" w:hAnsi="Times New Roman" w:cs="Times New Roman"/>
                <w:szCs w:val="21"/>
              </w:rPr>
              <w:t>信用卡未使用透支额度</w:t>
            </w:r>
          </w:p>
        </w:tc>
        <w:tc>
          <w:tcPr>
            <w:tcW w:w="243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6,540,866 </w:t>
            </w:r>
          </w:p>
        </w:tc>
        <w:tc>
          <w:tcPr>
            <w:tcW w:w="223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10,390,311 </w:t>
            </w:r>
          </w:p>
        </w:tc>
      </w:tr>
      <w:tr w:rsidR="00AD5BB5">
        <w:trPr>
          <w:trHeight w:val="330"/>
        </w:trPr>
        <w:tc>
          <w:tcPr>
            <w:tcW w:w="363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szCs w:val="21"/>
              </w:rPr>
            </w:pPr>
            <w:r>
              <w:rPr>
                <w:rFonts w:ascii="Times New Roman" w:hAnsi="Times New Roman" w:cs="Times New Roman"/>
                <w:b/>
                <w:bCs/>
                <w:szCs w:val="21"/>
              </w:rPr>
              <w:t>合计</w:t>
            </w:r>
          </w:p>
        </w:tc>
        <w:tc>
          <w:tcPr>
            <w:tcW w:w="243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51,504,953 </w:t>
            </w:r>
          </w:p>
        </w:tc>
        <w:tc>
          <w:tcPr>
            <w:tcW w:w="223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71,110,073 </w:t>
            </w:r>
          </w:p>
        </w:tc>
      </w:tr>
    </w:tbl>
    <w:p w:rsidR="00AD5BB5" w:rsidRDefault="00AD5BB5">
      <w:pPr>
        <w:numPr>
          <w:ilvl w:val="255"/>
          <w:numId w:val="0"/>
        </w:numPr>
        <w:rPr>
          <w:rFonts w:ascii="Times New Roman" w:hAnsi="Times New Roman" w:cs="Times New Roman"/>
          <w:b/>
          <w:bCs/>
        </w:rPr>
      </w:pPr>
    </w:p>
    <w:p w:rsidR="00AD5BB5" w:rsidRDefault="00F87FF6">
      <w:pPr>
        <w:pStyle w:val="3"/>
        <w:spacing w:line="360" w:lineRule="auto"/>
        <w:ind w:leftChars="-175" w:left="-368" w:firstLineChars="300" w:firstLine="632"/>
        <w:rPr>
          <w:rFonts w:ascii="Times New Roman" w:hAnsi="Times New Roman" w:cs="Times New Roman"/>
          <w:bCs/>
          <w:kern w:val="0"/>
        </w:rPr>
      </w:pPr>
      <w:r>
        <w:rPr>
          <w:rFonts w:ascii="Times New Roman" w:hAnsi="Times New Roman" w:cs="Times New Roman" w:hint="eastAsia"/>
        </w:rPr>
        <w:t>（五）</w:t>
      </w:r>
      <w:r>
        <w:rPr>
          <w:rFonts w:ascii="Times New Roman" w:hAnsi="Times New Roman" w:cs="Times New Roman" w:hint="eastAsia"/>
          <w:bCs/>
          <w:kern w:val="0"/>
        </w:rPr>
        <w:t>比较式会计报表中变化幅度超过</w:t>
      </w:r>
      <w:r>
        <w:rPr>
          <w:rFonts w:ascii="Times New Roman" w:hAnsi="Times New Roman" w:cs="Times New Roman" w:hint="eastAsia"/>
          <w:bCs/>
          <w:kern w:val="0"/>
        </w:rPr>
        <w:t>30%</w:t>
      </w:r>
      <w:r>
        <w:rPr>
          <w:rFonts w:ascii="Times New Roman" w:hAnsi="Times New Roman" w:cs="Times New Roman" w:hint="eastAsia"/>
          <w:bCs/>
          <w:kern w:val="0"/>
        </w:rPr>
        <w:t>以上项目</w:t>
      </w:r>
    </w:p>
    <w:p w:rsidR="00AD5BB5" w:rsidRDefault="00F87FF6">
      <w:pPr>
        <w:widowControl/>
        <w:numPr>
          <w:ilvl w:val="255"/>
          <w:numId w:val="0"/>
        </w:numPr>
        <w:spacing w:line="360" w:lineRule="auto"/>
        <w:jc w:val="left"/>
        <w:rPr>
          <w:rFonts w:ascii="Times New Roman" w:hAnsi="Times New Roman" w:cs="Times New Roman"/>
        </w:rPr>
      </w:pPr>
      <w:r>
        <w:rPr>
          <w:rFonts w:ascii="Times New Roman" w:hAnsi="Times New Roman" w:cs="Times New Roman" w:hint="eastAsia"/>
          <w:b/>
          <w:bCs/>
        </w:rPr>
        <w:t xml:space="preserve">    </w:t>
      </w:r>
      <w:r>
        <w:rPr>
          <w:rFonts w:ascii="Times New Roman" w:hAnsi="Times New Roman" w:cs="Times New Roman"/>
        </w:rPr>
        <w:t>财务报表数据变动幅度达</w:t>
      </w:r>
      <w:r>
        <w:rPr>
          <w:rFonts w:ascii="Times New Roman" w:hAnsi="Times New Roman" w:cs="Times New Roman"/>
        </w:rPr>
        <w:t>30%</w:t>
      </w:r>
      <w:r>
        <w:rPr>
          <w:rFonts w:ascii="Times New Roman" w:hAnsi="Times New Roman" w:cs="Times New Roman"/>
        </w:rPr>
        <w:t>（含</w:t>
      </w:r>
      <w:r>
        <w:rPr>
          <w:rFonts w:ascii="Times New Roman" w:hAnsi="Times New Roman" w:cs="Times New Roman"/>
        </w:rPr>
        <w:t>30%</w:t>
      </w:r>
      <w:r>
        <w:rPr>
          <w:rFonts w:ascii="Times New Roman" w:hAnsi="Times New Roman" w:cs="Times New Roman"/>
        </w:rPr>
        <w:t>）以上的项目及变化情况如下：</w:t>
      </w:r>
    </w:p>
    <w:p w:rsidR="00AD5BB5" w:rsidRDefault="00F87FF6">
      <w:pPr>
        <w:jc w:val="right"/>
        <w:rPr>
          <w:rFonts w:ascii="Times New Roman" w:hAnsi="Times New Roman" w:cs="Times New Roman"/>
        </w:rPr>
      </w:pPr>
      <w:r>
        <w:rPr>
          <w:rFonts w:ascii="Times New Roman" w:hAnsi="Times New Roman" w:cs="Times New Roman"/>
        </w:rPr>
        <w:t>单位：人民币千元</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161"/>
        <w:gridCol w:w="1238"/>
        <w:gridCol w:w="1133"/>
        <w:gridCol w:w="3080"/>
      </w:tblGrid>
      <w:tr w:rsidR="00AD5BB5">
        <w:trPr>
          <w:trHeight w:val="180"/>
        </w:trPr>
        <w:tc>
          <w:tcPr>
            <w:tcW w:w="101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Style w:val="5Char"/>
                <w:rFonts w:ascii="Times New Roman" w:hAnsi="Times New Roman" w:cs="Times New Roman"/>
                <w:bCs/>
              </w:rPr>
            </w:pPr>
            <w:r>
              <w:rPr>
                <w:rFonts w:ascii="Times New Roman" w:hAnsi="Times New Roman" w:cs="Times New Roman"/>
                <w:b/>
                <w:bCs/>
              </w:rPr>
              <w:t>项目</w:t>
            </w: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rPr>
            </w:pPr>
            <w:r>
              <w:rPr>
                <w:rFonts w:ascii="Times New Roman" w:hAnsi="Times New Roman" w:cs="Times New Roman"/>
                <w:b/>
                <w:bCs/>
              </w:rPr>
              <w:t>202</w:t>
            </w:r>
            <w:r>
              <w:rPr>
                <w:rFonts w:ascii="Times New Roman" w:hAnsi="Times New Roman" w:cs="Times New Roman" w:hint="eastAsia"/>
                <w:b/>
                <w:bCs/>
              </w:rPr>
              <w:t>3</w:t>
            </w:r>
            <w:r>
              <w:rPr>
                <w:rFonts w:ascii="Times New Roman" w:hAnsi="Times New Roman" w:cs="Times New Roman"/>
                <w:b/>
                <w:bCs/>
              </w:rPr>
              <w:t>年</w:t>
            </w:r>
          </w:p>
          <w:p w:rsidR="00AD5BB5" w:rsidRDefault="00F87FF6">
            <w:pPr>
              <w:jc w:val="center"/>
              <w:rPr>
                <w:rStyle w:val="5Char"/>
                <w:rFonts w:ascii="Times New Roman" w:hAnsi="Times New Roman" w:cs="Times New Roman"/>
                <w:bCs/>
              </w:rPr>
            </w:pPr>
            <w:r>
              <w:rPr>
                <w:rFonts w:ascii="Times New Roman" w:hAnsi="Times New Roman" w:cs="Times New Roman"/>
                <w:b/>
                <w:bCs/>
              </w:rPr>
              <w:t>6</w:t>
            </w:r>
            <w:r>
              <w:rPr>
                <w:rFonts w:ascii="Times New Roman" w:hAnsi="Times New Roman" w:cs="Times New Roman"/>
                <w:b/>
                <w:bCs/>
              </w:rPr>
              <w:t>月</w:t>
            </w:r>
            <w:r>
              <w:rPr>
                <w:rFonts w:ascii="Times New Roman" w:hAnsi="Times New Roman" w:cs="Times New Roman"/>
                <w:b/>
                <w:bCs/>
              </w:rPr>
              <w:t>30</w:t>
            </w:r>
            <w:r>
              <w:rPr>
                <w:rFonts w:ascii="Times New Roman" w:hAnsi="Times New Roman" w:cs="Times New Roman"/>
                <w:b/>
                <w:bCs/>
              </w:rPr>
              <w:t>日</w:t>
            </w:r>
          </w:p>
        </w:tc>
        <w:tc>
          <w:tcPr>
            <w:tcW w:w="74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rPr>
            </w:pPr>
            <w:r>
              <w:rPr>
                <w:rFonts w:ascii="Times New Roman" w:hAnsi="Times New Roman" w:cs="Times New Roman"/>
                <w:b/>
                <w:bCs/>
              </w:rPr>
              <w:t>202</w:t>
            </w:r>
            <w:r>
              <w:rPr>
                <w:rFonts w:ascii="Times New Roman" w:hAnsi="Times New Roman" w:cs="Times New Roman" w:hint="eastAsia"/>
                <w:b/>
                <w:bCs/>
              </w:rPr>
              <w:t>2</w:t>
            </w:r>
            <w:r>
              <w:rPr>
                <w:rFonts w:ascii="Times New Roman" w:hAnsi="Times New Roman" w:cs="Times New Roman"/>
                <w:b/>
                <w:bCs/>
              </w:rPr>
              <w:t>年</w:t>
            </w:r>
          </w:p>
          <w:p w:rsidR="00AD5BB5" w:rsidRDefault="00F87FF6">
            <w:pPr>
              <w:jc w:val="center"/>
              <w:rPr>
                <w:rStyle w:val="5Char"/>
                <w:rFonts w:ascii="Times New Roman" w:hAnsi="Times New Roman" w:cs="Times New Roman"/>
                <w:bCs/>
              </w:rPr>
            </w:pPr>
            <w:r>
              <w:rPr>
                <w:rFonts w:ascii="Times New Roman" w:hAnsi="Times New Roman" w:cs="Times New Roman"/>
                <w:b/>
                <w:bCs/>
              </w:rPr>
              <w:t>12</w:t>
            </w:r>
            <w:r>
              <w:rPr>
                <w:rFonts w:ascii="Times New Roman" w:hAnsi="Times New Roman" w:cs="Times New Roman"/>
                <w:b/>
                <w:bCs/>
              </w:rPr>
              <w:t>月</w:t>
            </w:r>
            <w:r>
              <w:rPr>
                <w:rFonts w:ascii="Times New Roman" w:hAnsi="Times New Roman" w:cs="Times New Roman"/>
                <w:b/>
                <w:bCs/>
              </w:rPr>
              <w:t>31</w:t>
            </w:r>
            <w:r>
              <w:rPr>
                <w:rFonts w:ascii="Times New Roman" w:hAnsi="Times New Roman" w:cs="Times New Roman"/>
                <w:b/>
                <w:bCs/>
              </w:rPr>
              <w:t>日</w:t>
            </w:r>
          </w:p>
        </w:tc>
        <w:tc>
          <w:tcPr>
            <w:tcW w:w="68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Style w:val="5Char"/>
                <w:rFonts w:ascii="Times New Roman" w:hAnsi="Times New Roman" w:cs="Times New Roman"/>
                <w:bCs/>
              </w:rPr>
            </w:pPr>
            <w:r>
              <w:rPr>
                <w:rFonts w:ascii="Times New Roman" w:hAnsi="Times New Roman" w:cs="Times New Roman"/>
                <w:b/>
                <w:bCs/>
              </w:rPr>
              <w:t>增减幅度（</w:t>
            </w:r>
            <w:r>
              <w:rPr>
                <w:rFonts w:ascii="Times New Roman" w:hAnsi="Times New Roman" w:cs="Times New Roman"/>
                <w:b/>
                <w:bCs/>
              </w:rPr>
              <w:t>%</w:t>
            </w:r>
            <w:r>
              <w:rPr>
                <w:rFonts w:ascii="Times New Roman" w:hAnsi="Times New Roman" w:cs="Times New Roman"/>
                <w:b/>
                <w:bCs/>
              </w:rPr>
              <w:t>）</w:t>
            </w:r>
          </w:p>
        </w:tc>
        <w:tc>
          <w:tcPr>
            <w:tcW w:w="185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Style w:val="5Char"/>
                <w:rFonts w:ascii="Times New Roman" w:hAnsi="Times New Roman" w:cs="Times New Roman"/>
                <w:bCs/>
              </w:rPr>
            </w:pPr>
            <w:r>
              <w:rPr>
                <w:rFonts w:ascii="Times New Roman" w:hAnsi="Times New Roman" w:cs="Times New Roman"/>
                <w:b/>
                <w:bCs/>
              </w:rPr>
              <w:t>变动主要原因</w:t>
            </w:r>
          </w:p>
        </w:tc>
      </w:tr>
      <w:tr w:rsidR="00AD5BB5">
        <w:trPr>
          <w:trHeight w:val="135"/>
        </w:trPr>
        <w:tc>
          <w:tcPr>
            <w:tcW w:w="5000" w:type="pct"/>
            <w:gridSpan w:val="5"/>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Style w:val="5Char"/>
                <w:rFonts w:ascii="Times New Roman" w:hAnsi="Times New Roman" w:cs="Times New Roman"/>
                <w:b w:val="0"/>
              </w:rPr>
            </w:pPr>
            <w:r>
              <w:rPr>
                <w:rStyle w:val="5Char"/>
                <w:rFonts w:ascii="Times New Roman" w:hAnsi="Times New Roman" w:cs="Times New Roman"/>
              </w:rPr>
              <w:t>资产负债表项目</w:t>
            </w:r>
          </w:p>
        </w:tc>
      </w:tr>
      <w:tr w:rsidR="00AD5BB5">
        <w:trPr>
          <w:trHeight w:val="135"/>
        </w:trPr>
        <w:tc>
          <w:tcPr>
            <w:tcW w:w="101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Style w:val="5Char"/>
                <w:rFonts w:ascii="Times New Roman" w:hAnsi="Times New Roman" w:cs="Times New Roman"/>
                <w:b w:val="0"/>
                <w:szCs w:val="21"/>
              </w:rPr>
            </w:pPr>
            <w:r>
              <w:rPr>
                <w:rFonts w:ascii="Times New Roman" w:hAnsi="Times New Roman" w:cs="黑体" w:hint="eastAsia"/>
                <w:kern w:val="0"/>
                <w:szCs w:val="21"/>
                <w:lang w:bidi="ar"/>
              </w:rPr>
              <w:t>存放同业及其他金融机构款项</w:t>
            </w: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6,444,699 </w:t>
            </w:r>
          </w:p>
        </w:tc>
        <w:tc>
          <w:tcPr>
            <w:tcW w:w="74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10,107,661 </w:t>
            </w:r>
          </w:p>
        </w:tc>
        <w:tc>
          <w:tcPr>
            <w:tcW w:w="68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-36.24 </w:t>
            </w:r>
          </w:p>
        </w:tc>
        <w:tc>
          <w:tcPr>
            <w:tcW w:w="185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由于主动拓宽投资品种，丰富</w:t>
            </w:r>
            <w:proofErr w:type="gramStart"/>
            <w:r>
              <w:rPr>
                <w:rFonts w:ascii="Times New Roman" w:hAnsi="Times New Roman" w:cs="宋体" w:hint="eastAsia"/>
              </w:rPr>
              <w:t>盈</w:t>
            </w:r>
            <w:proofErr w:type="gramEnd"/>
          </w:p>
          <w:p w:rsidR="00AD5BB5" w:rsidRDefault="00F87FF6">
            <w:pPr>
              <w:widowControl/>
              <w:textAlignment w:val="center"/>
              <w:rPr>
                <w:rStyle w:val="5Char"/>
                <w:rFonts w:ascii="Times New Roman" w:hAnsi="Times New Roman" w:cs="Times New Roman"/>
                <w:b w:val="0"/>
                <w:szCs w:val="21"/>
              </w:rPr>
            </w:pPr>
            <w:r>
              <w:rPr>
                <w:rFonts w:ascii="Times New Roman" w:hAnsi="Times New Roman" w:cs="宋体" w:hint="eastAsia"/>
              </w:rPr>
              <w:t>利来源，存放境内同业款项减少</w:t>
            </w:r>
          </w:p>
        </w:tc>
      </w:tr>
      <w:tr w:rsidR="00AD5BB5">
        <w:trPr>
          <w:trHeight w:val="135"/>
        </w:trPr>
        <w:tc>
          <w:tcPr>
            <w:tcW w:w="101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Fonts w:ascii="Times New Roman" w:hAnsi="Times New Roman" w:cs="Times New Roman"/>
                <w:szCs w:val="21"/>
              </w:rPr>
            </w:pPr>
            <w:r>
              <w:rPr>
                <w:rFonts w:ascii="Times New Roman" w:hAnsi="Times New Roman" w:cs="黑体" w:hint="eastAsia"/>
                <w:kern w:val="0"/>
                <w:szCs w:val="21"/>
                <w:lang w:bidi="ar"/>
              </w:rPr>
              <w:t>买入返售金融资产</w:t>
            </w: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1,712,499 </w:t>
            </w:r>
          </w:p>
        </w:tc>
        <w:tc>
          <w:tcPr>
            <w:tcW w:w="74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16,079,751 </w:t>
            </w:r>
          </w:p>
        </w:tc>
        <w:tc>
          <w:tcPr>
            <w:tcW w:w="68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-89.35 </w:t>
            </w:r>
          </w:p>
        </w:tc>
        <w:tc>
          <w:tcPr>
            <w:tcW w:w="185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Style w:val="5Char"/>
                <w:rFonts w:ascii="Times New Roman" w:hAnsi="Times New Roman" w:cs="Times New Roman"/>
                <w:b w:val="0"/>
                <w:szCs w:val="21"/>
              </w:rPr>
            </w:pPr>
            <w:r>
              <w:rPr>
                <w:rFonts w:ascii="Times New Roman" w:hAnsi="Times New Roman" w:cs="宋体" w:hint="eastAsia"/>
              </w:rPr>
              <w:t>买入返售政府债券交易减少</w:t>
            </w:r>
          </w:p>
        </w:tc>
      </w:tr>
      <w:tr w:rsidR="00AD5BB5">
        <w:trPr>
          <w:trHeight w:val="135"/>
        </w:trPr>
        <w:tc>
          <w:tcPr>
            <w:tcW w:w="101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Fonts w:ascii="Times New Roman" w:hAnsi="Times New Roman" w:cs="Times New Roman"/>
                <w:szCs w:val="21"/>
              </w:rPr>
            </w:pPr>
            <w:r>
              <w:rPr>
                <w:rFonts w:ascii="Times New Roman" w:hAnsi="Times New Roman" w:cs="黑体" w:hint="eastAsia"/>
                <w:kern w:val="0"/>
                <w:szCs w:val="21"/>
                <w:lang w:bidi="ar"/>
              </w:rPr>
              <w:t>在建工程</w:t>
            </w: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249,269 </w:t>
            </w:r>
          </w:p>
        </w:tc>
        <w:tc>
          <w:tcPr>
            <w:tcW w:w="74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174,139 </w:t>
            </w:r>
          </w:p>
        </w:tc>
        <w:tc>
          <w:tcPr>
            <w:tcW w:w="68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43.14 </w:t>
            </w:r>
          </w:p>
        </w:tc>
        <w:tc>
          <w:tcPr>
            <w:tcW w:w="185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Style w:val="5Char"/>
                <w:rFonts w:ascii="Times New Roman" w:hAnsi="Times New Roman" w:cs="Times New Roman"/>
                <w:b w:val="0"/>
                <w:szCs w:val="21"/>
              </w:rPr>
            </w:pPr>
            <w:r>
              <w:rPr>
                <w:rFonts w:ascii="Times New Roman" w:hAnsi="Times New Roman" w:cs="宋体" w:hint="eastAsia"/>
              </w:rPr>
              <w:t>总行大厦在建工程支出增加</w:t>
            </w:r>
          </w:p>
        </w:tc>
      </w:tr>
      <w:tr w:rsidR="00AD5BB5">
        <w:trPr>
          <w:trHeight w:val="135"/>
        </w:trPr>
        <w:tc>
          <w:tcPr>
            <w:tcW w:w="101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Fonts w:ascii="Times New Roman" w:hAnsi="Times New Roman" w:cs="Times New Roman"/>
                <w:szCs w:val="21"/>
              </w:rPr>
            </w:pPr>
            <w:r>
              <w:rPr>
                <w:rFonts w:ascii="Times New Roman" w:hAnsi="Times New Roman" w:cs="黑体" w:hint="eastAsia"/>
                <w:kern w:val="0"/>
                <w:szCs w:val="21"/>
                <w:lang w:bidi="ar"/>
              </w:rPr>
              <w:lastRenderedPageBreak/>
              <w:t>交易性金融负债</w:t>
            </w: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103,125 </w:t>
            </w:r>
          </w:p>
        </w:tc>
        <w:tc>
          <w:tcPr>
            <w:tcW w:w="74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2,849 </w:t>
            </w:r>
          </w:p>
        </w:tc>
        <w:tc>
          <w:tcPr>
            <w:tcW w:w="68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3519.32 </w:t>
            </w:r>
          </w:p>
        </w:tc>
        <w:tc>
          <w:tcPr>
            <w:tcW w:w="185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Style w:val="5Char"/>
                <w:rFonts w:ascii="Times New Roman" w:hAnsi="Times New Roman" w:cs="Times New Roman"/>
                <w:szCs w:val="21"/>
              </w:rPr>
            </w:pPr>
            <w:r>
              <w:rPr>
                <w:rStyle w:val="5Char"/>
                <w:rFonts w:ascii="Times New Roman" w:hAnsi="Times New Roman" w:cs="Times New Roman" w:hint="eastAsia"/>
                <w:b w:val="0"/>
                <w:bCs/>
                <w:szCs w:val="21"/>
              </w:rPr>
              <w:t>债券借贷业务交易增加</w:t>
            </w:r>
          </w:p>
        </w:tc>
      </w:tr>
      <w:tr w:rsidR="00AD5BB5">
        <w:trPr>
          <w:trHeight w:val="135"/>
        </w:trPr>
        <w:tc>
          <w:tcPr>
            <w:tcW w:w="101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Fonts w:ascii="Times New Roman" w:hAnsi="Times New Roman" w:cs="Times New Roman"/>
                <w:szCs w:val="21"/>
              </w:rPr>
            </w:pPr>
            <w:r>
              <w:rPr>
                <w:rFonts w:ascii="Times New Roman" w:hAnsi="Times New Roman" w:cs="黑体" w:hint="eastAsia"/>
                <w:kern w:val="0"/>
                <w:szCs w:val="21"/>
                <w:lang w:bidi="ar"/>
              </w:rPr>
              <w:t>卖出回购金融资产款</w:t>
            </w: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13,282,819 </w:t>
            </w:r>
          </w:p>
        </w:tc>
        <w:tc>
          <w:tcPr>
            <w:tcW w:w="74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19,851,821 </w:t>
            </w:r>
          </w:p>
        </w:tc>
        <w:tc>
          <w:tcPr>
            <w:tcW w:w="68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-33.09 </w:t>
            </w:r>
          </w:p>
        </w:tc>
        <w:tc>
          <w:tcPr>
            <w:tcW w:w="185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Style w:val="5Char"/>
                <w:rFonts w:ascii="Times New Roman" w:hAnsi="Times New Roman" w:cs="Times New Roman"/>
                <w:b w:val="0"/>
                <w:szCs w:val="21"/>
              </w:rPr>
            </w:pPr>
            <w:r>
              <w:rPr>
                <w:rFonts w:ascii="Times New Roman" w:hAnsi="Times New Roman" w:cs="宋体" w:hint="eastAsia"/>
              </w:rPr>
              <w:t>卖出回购政府债券交易减少</w:t>
            </w:r>
          </w:p>
        </w:tc>
      </w:tr>
      <w:tr w:rsidR="00AD5BB5">
        <w:trPr>
          <w:trHeight w:val="135"/>
        </w:trPr>
        <w:tc>
          <w:tcPr>
            <w:tcW w:w="101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Fonts w:ascii="Times New Roman" w:hAnsi="Times New Roman" w:cs="Times New Roman"/>
                <w:szCs w:val="21"/>
              </w:rPr>
            </w:pPr>
            <w:r>
              <w:rPr>
                <w:rFonts w:ascii="Times New Roman" w:hAnsi="Times New Roman" w:cs="黑体" w:hint="eastAsia"/>
                <w:kern w:val="0"/>
                <w:szCs w:val="21"/>
                <w:lang w:bidi="ar"/>
              </w:rPr>
              <w:t>预计负债</w:t>
            </w: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312,892 </w:t>
            </w:r>
          </w:p>
        </w:tc>
        <w:tc>
          <w:tcPr>
            <w:tcW w:w="74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473,824 </w:t>
            </w:r>
          </w:p>
        </w:tc>
        <w:tc>
          <w:tcPr>
            <w:tcW w:w="68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-33.96 </w:t>
            </w:r>
          </w:p>
        </w:tc>
        <w:tc>
          <w:tcPr>
            <w:tcW w:w="185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Style w:val="5Char"/>
                <w:rFonts w:ascii="Times New Roman" w:hAnsi="Times New Roman" w:cs="Times New Roman"/>
                <w:b w:val="0"/>
                <w:szCs w:val="21"/>
              </w:rPr>
            </w:pPr>
            <w:r>
              <w:rPr>
                <w:rFonts w:ascii="Times New Roman" w:hAnsi="Times New Roman" w:cs="Times New Roman" w:hint="eastAsia"/>
                <w:szCs w:val="21"/>
              </w:rPr>
              <w:t>表外资产规模下降导致</w:t>
            </w:r>
          </w:p>
        </w:tc>
      </w:tr>
      <w:tr w:rsidR="00AD5BB5">
        <w:trPr>
          <w:trHeight w:val="135"/>
        </w:trPr>
        <w:tc>
          <w:tcPr>
            <w:tcW w:w="101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Style w:val="5Char"/>
                <w:rFonts w:ascii="Times New Roman" w:hAnsi="Times New Roman" w:cs="Times New Roman"/>
                <w:b w:val="0"/>
                <w:kern w:val="0"/>
                <w:szCs w:val="21"/>
              </w:rPr>
            </w:pPr>
            <w:r>
              <w:rPr>
                <w:rFonts w:ascii="Times New Roman" w:hAnsi="Times New Roman" w:cs="黑体" w:hint="eastAsia"/>
                <w:kern w:val="0"/>
                <w:szCs w:val="21"/>
                <w:lang w:bidi="ar"/>
              </w:rPr>
              <w:t>其他负债</w:t>
            </w: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3,548,085 </w:t>
            </w:r>
          </w:p>
        </w:tc>
        <w:tc>
          <w:tcPr>
            <w:tcW w:w="74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1,985,195 </w:t>
            </w:r>
          </w:p>
        </w:tc>
        <w:tc>
          <w:tcPr>
            <w:tcW w:w="68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Style w:val="5Char"/>
                <w:rFonts w:ascii="Times New Roman" w:hAnsi="Times New Roman" w:cs="Times New Roman"/>
                <w:b w:val="0"/>
                <w:kern w:val="0"/>
                <w:szCs w:val="21"/>
              </w:rPr>
            </w:pPr>
            <w:r>
              <w:rPr>
                <w:rFonts w:ascii="Times New Roman" w:hAnsi="Times New Roman" w:cs="Times New Roman"/>
                <w:kern w:val="0"/>
                <w:szCs w:val="21"/>
                <w:lang w:bidi="ar"/>
              </w:rPr>
              <w:t xml:space="preserve">78.73 </w:t>
            </w:r>
          </w:p>
        </w:tc>
        <w:tc>
          <w:tcPr>
            <w:tcW w:w="185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Style w:val="5Char"/>
                <w:rFonts w:ascii="Times New Roman" w:hAnsi="Times New Roman" w:cs="Times New Roman"/>
                <w:b w:val="0"/>
                <w:szCs w:val="21"/>
              </w:rPr>
            </w:pPr>
            <w:r>
              <w:rPr>
                <w:rStyle w:val="5Char"/>
                <w:rFonts w:ascii="Times New Roman" w:hAnsi="Times New Roman" w:cs="Times New Roman" w:hint="eastAsia"/>
                <w:b w:val="0"/>
                <w:szCs w:val="21"/>
              </w:rPr>
              <w:t>待清算款项增加</w:t>
            </w:r>
          </w:p>
        </w:tc>
      </w:tr>
      <w:tr w:rsidR="00AD5BB5">
        <w:trPr>
          <w:trHeight w:val="135"/>
        </w:trPr>
        <w:tc>
          <w:tcPr>
            <w:tcW w:w="101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Style w:val="5Char"/>
                <w:rFonts w:ascii="Times New Roman" w:hAnsi="Times New Roman" w:cs="Times New Roman"/>
                <w:b w:val="0"/>
                <w:kern w:val="0"/>
                <w:szCs w:val="21"/>
              </w:rPr>
            </w:pPr>
            <w:r>
              <w:rPr>
                <w:rFonts w:ascii="Times New Roman" w:hAnsi="Times New Roman" w:cs="黑体" w:hint="eastAsia"/>
                <w:kern w:val="0"/>
                <w:szCs w:val="21"/>
                <w:lang w:bidi="ar"/>
              </w:rPr>
              <w:t>其他综合收益</w:t>
            </w: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316,319 </w:t>
            </w:r>
          </w:p>
        </w:tc>
        <w:tc>
          <w:tcPr>
            <w:tcW w:w="74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-39,410 </w:t>
            </w:r>
          </w:p>
        </w:tc>
        <w:tc>
          <w:tcPr>
            <w:tcW w:w="68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Style w:val="5Char"/>
                <w:rFonts w:ascii="Times New Roman" w:hAnsi="Times New Roman" w:cs="Times New Roman"/>
                <w:b w:val="0"/>
                <w:kern w:val="0"/>
                <w:szCs w:val="21"/>
              </w:rPr>
            </w:pPr>
            <w:r>
              <w:rPr>
                <w:rFonts w:ascii="Times New Roman" w:hAnsi="Times New Roman" w:cs="Times New Roman"/>
                <w:kern w:val="0"/>
                <w:szCs w:val="21"/>
                <w:lang w:bidi="ar"/>
              </w:rPr>
              <w:t>不适用</w:t>
            </w:r>
            <w:r>
              <w:rPr>
                <w:rFonts w:ascii="Times New Roman" w:hAnsi="Times New Roman" w:cs="Times New Roman"/>
                <w:kern w:val="0"/>
                <w:szCs w:val="21"/>
                <w:lang w:bidi="ar"/>
              </w:rPr>
              <w:t xml:space="preserve"> </w:t>
            </w:r>
          </w:p>
        </w:tc>
        <w:tc>
          <w:tcPr>
            <w:tcW w:w="185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Style w:val="5Char"/>
                <w:rFonts w:ascii="Times New Roman" w:hAnsi="Times New Roman" w:cs="Times New Roman"/>
                <w:b w:val="0"/>
                <w:szCs w:val="21"/>
              </w:rPr>
            </w:pPr>
            <w:r>
              <w:rPr>
                <w:rFonts w:ascii="Times New Roman" w:hAnsi="Times New Roman" w:cs="宋体" w:hint="eastAsia"/>
              </w:rPr>
              <w:t>其他债权投资公允价值变动增加</w:t>
            </w:r>
          </w:p>
        </w:tc>
      </w:tr>
      <w:tr w:rsidR="00AD5BB5">
        <w:trPr>
          <w:trHeight w:val="286"/>
        </w:trPr>
        <w:tc>
          <w:tcPr>
            <w:tcW w:w="101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Style w:val="5Char"/>
                <w:rFonts w:ascii="Times New Roman" w:hAnsi="Times New Roman" w:cs="Times New Roman"/>
                <w:bCs/>
              </w:rPr>
            </w:pPr>
            <w:r>
              <w:rPr>
                <w:rStyle w:val="5Char"/>
                <w:rFonts w:ascii="Times New Roman" w:hAnsi="Times New Roman" w:cs="Times New Roman" w:hint="eastAsia"/>
                <w:bCs/>
              </w:rPr>
              <w:t>项目</w:t>
            </w: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Style w:val="5Char"/>
                <w:rFonts w:ascii="Times New Roman" w:hAnsi="Times New Roman" w:cs="Times New Roman"/>
                <w:bCs/>
              </w:rPr>
            </w:pPr>
            <w:r>
              <w:rPr>
                <w:rStyle w:val="5Char"/>
                <w:rFonts w:ascii="Times New Roman" w:hAnsi="Times New Roman" w:cs="Times New Roman"/>
                <w:bCs/>
              </w:rPr>
              <w:t>202</w:t>
            </w:r>
            <w:r>
              <w:rPr>
                <w:rStyle w:val="5Char"/>
                <w:rFonts w:ascii="Times New Roman" w:hAnsi="Times New Roman" w:cs="Times New Roman" w:hint="eastAsia"/>
                <w:bCs/>
              </w:rPr>
              <w:t>3</w:t>
            </w:r>
            <w:r>
              <w:rPr>
                <w:rStyle w:val="5Char"/>
                <w:rFonts w:ascii="Times New Roman" w:hAnsi="Times New Roman" w:cs="Times New Roman" w:hint="eastAsia"/>
                <w:bCs/>
              </w:rPr>
              <w:t>年</w:t>
            </w:r>
          </w:p>
          <w:p w:rsidR="00AD5BB5" w:rsidRDefault="00F87FF6">
            <w:pPr>
              <w:jc w:val="center"/>
              <w:rPr>
                <w:rStyle w:val="5Char"/>
                <w:rFonts w:ascii="Times New Roman" w:hAnsi="Times New Roman" w:cs="Times New Roman"/>
                <w:bCs/>
              </w:rPr>
            </w:pPr>
            <w:r>
              <w:rPr>
                <w:rStyle w:val="5Char"/>
                <w:rFonts w:ascii="Times New Roman" w:hAnsi="Times New Roman" w:cs="Times New Roman"/>
                <w:bCs/>
              </w:rPr>
              <w:t>1-6</w:t>
            </w:r>
            <w:r>
              <w:rPr>
                <w:rStyle w:val="5Char"/>
                <w:rFonts w:ascii="Times New Roman" w:hAnsi="Times New Roman" w:cs="Times New Roman" w:hint="eastAsia"/>
                <w:bCs/>
              </w:rPr>
              <w:t>月</w:t>
            </w:r>
          </w:p>
        </w:tc>
        <w:tc>
          <w:tcPr>
            <w:tcW w:w="74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Style w:val="5Char"/>
                <w:rFonts w:ascii="Times New Roman" w:hAnsi="Times New Roman" w:cs="Times New Roman"/>
                <w:bCs/>
              </w:rPr>
            </w:pPr>
            <w:r>
              <w:rPr>
                <w:rStyle w:val="5Char"/>
                <w:rFonts w:ascii="Times New Roman" w:hAnsi="Times New Roman" w:cs="Times New Roman"/>
                <w:bCs/>
              </w:rPr>
              <w:t>202</w:t>
            </w:r>
            <w:r>
              <w:rPr>
                <w:rStyle w:val="5Char"/>
                <w:rFonts w:ascii="Times New Roman" w:hAnsi="Times New Roman" w:cs="Times New Roman" w:hint="eastAsia"/>
                <w:bCs/>
              </w:rPr>
              <w:t>2</w:t>
            </w:r>
            <w:r>
              <w:rPr>
                <w:rStyle w:val="5Char"/>
                <w:rFonts w:ascii="Times New Roman" w:hAnsi="Times New Roman" w:cs="Times New Roman" w:hint="eastAsia"/>
                <w:bCs/>
              </w:rPr>
              <w:t>年</w:t>
            </w:r>
          </w:p>
          <w:p w:rsidR="00AD5BB5" w:rsidRDefault="00F87FF6">
            <w:pPr>
              <w:jc w:val="center"/>
              <w:rPr>
                <w:rStyle w:val="5Char"/>
                <w:rFonts w:ascii="Times New Roman" w:hAnsi="Times New Roman" w:cs="Times New Roman"/>
                <w:bCs/>
              </w:rPr>
            </w:pPr>
            <w:r>
              <w:rPr>
                <w:rStyle w:val="5Char"/>
                <w:rFonts w:ascii="Times New Roman" w:hAnsi="Times New Roman" w:cs="Times New Roman"/>
                <w:bCs/>
              </w:rPr>
              <w:t>1-6</w:t>
            </w:r>
            <w:r>
              <w:rPr>
                <w:rStyle w:val="5Char"/>
                <w:rFonts w:ascii="Times New Roman" w:hAnsi="Times New Roman" w:cs="Times New Roman" w:hint="eastAsia"/>
                <w:bCs/>
              </w:rPr>
              <w:t>月</w:t>
            </w:r>
          </w:p>
        </w:tc>
        <w:tc>
          <w:tcPr>
            <w:tcW w:w="68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Style w:val="5Char"/>
                <w:rFonts w:ascii="Times New Roman" w:hAnsi="Times New Roman" w:cs="Times New Roman"/>
                <w:bCs/>
              </w:rPr>
            </w:pPr>
            <w:r>
              <w:rPr>
                <w:rFonts w:ascii="Times New Roman" w:hAnsi="Times New Roman" w:cs="Times New Roman" w:hint="eastAsia"/>
                <w:b/>
                <w:bCs/>
              </w:rPr>
              <w:t>增减幅度（</w:t>
            </w:r>
            <w:r>
              <w:rPr>
                <w:rFonts w:ascii="Times New Roman" w:hAnsi="Times New Roman" w:cs="Times New Roman"/>
                <w:b/>
                <w:bCs/>
              </w:rPr>
              <w:t>%</w:t>
            </w:r>
            <w:r>
              <w:rPr>
                <w:rFonts w:ascii="Times New Roman" w:hAnsi="Times New Roman" w:cs="Times New Roman" w:hint="eastAsia"/>
                <w:b/>
                <w:bCs/>
              </w:rPr>
              <w:t>）</w:t>
            </w:r>
          </w:p>
        </w:tc>
        <w:tc>
          <w:tcPr>
            <w:tcW w:w="185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Style w:val="5Char"/>
                <w:rFonts w:ascii="Times New Roman" w:hAnsi="Times New Roman" w:cs="Times New Roman"/>
                <w:bCs/>
              </w:rPr>
            </w:pPr>
            <w:r>
              <w:rPr>
                <w:rStyle w:val="5Char"/>
                <w:rFonts w:ascii="Times New Roman" w:hAnsi="Times New Roman" w:cs="Times New Roman" w:hint="eastAsia"/>
                <w:bCs/>
              </w:rPr>
              <w:t>变动主要原因</w:t>
            </w:r>
          </w:p>
        </w:tc>
      </w:tr>
      <w:tr w:rsidR="00AD5BB5">
        <w:trPr>
          <w:trHeight w:val="90"/>
        </w:trPr>
        <w:tc>
          <w:tcPr>
            <w:tcW w:w="5000" w:type="pct"/>
            <w:gridSpan w:val="5"/>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Style w:val="5Char"/>
                <w:rFonts w:ascii="Times New Roman" w:hAnsi="Times New Roman" w:cs="Times New Roman"/>
                <w:b w:val="0"/>
              </w:rPr>
            </w:pPr>
            <w:r>
              <w:rPr>
                <w:rStyle w:val="5Char"/>
                <w:rFonts w:ascii="Times New Roman" w:hAnsi="Times New Roman" w:cs="Times New Roman" w:hint="eastAsia"/>
              </w:rPr>
              <w:t>利润</w:t>
            </w:r>
            <w:proofErr w:type="gramStart"/>
            <w:r>
              <w:rPr>
                <w:rStyle w:val="5Char"/>
                <w:rFonts w:ascii="Times New Roman" w:hAnsi="Times New Roman" w:cs="Times New Roman" w:hint="eastAsia"/>
              </w:rPr>
              <w:t>表项目</w:t>
            </w:r>
            <w:proofErr w:type="gramEnd"/>
          </w:p>
        </w:tc>
      </w:tr>
      <w:tr w:rsidR="00AD5BB5">
        <w:trPr>
          <w:trHeight w:val="497"/>
        </w:trPr>
        <w:tc>
          <w:tcPr>
            <w:tcW w:w="101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Fonts w:ascii="Times New Roman" w:hAnsi="Times New Roman" w:cs="Times New Roman"/>
                <w:sz w:val="22"/>
                <w:szCs w:val="22"/>
              </w:rPr>
            </w:pPr>
            <w:r>
              <w:rPr>
                <w:rFonts w:ascii="Times New Roman" w:hAnsi="Times New Roman" w:cs="黑体" w:hint="eastAsia"/>
                <w:kern w:val="0"/>
                <w:szCs w:val="21"/>
                <w:lang w:bidi="ar"/>
              </w:rPr>
              <w:t>手续费及佣金支出</w:t>
            </w: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136,256 </w:t>
            </w:r>
          </w:p>
        </w:tc>
        <w:tc>
          <w:tcPr>
            <w:tcW w:w="74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72,334 </w:t>
            </w:r>
          </w:p>
        </w:tc>
        <w:tc>
          <w:tcPr>
            <w:tcW w:w="68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88.37 </w:t>
            </w:r>
          </w:p>
        </w:tc>
        <w:tc>
          <w:tcPr>
            <w:tcW w:w="185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left"/>
              <w:textAlignment w:val="center"/>
              <w:rPr>
                <w:rFonts w:ascii="Times New Roman" w:hAnsi="Times New Roman" w:cs="Times New Roman"/>
                <w:szCs w:val="21"/>
              </w:rPr>
            </w:pPr>
            <w:r>
              <w:rPr>
                <w:rFonts w:ascii="Times New Roman" w:hAnsi="Times New Roman" w:cs="宋体" w:hint="eastAsia"/>
                <w:bCs/>
              </w:rPr>
              <w:t>福费廷业务手续费支出增长</w:t>
            </w:r>
          </w:p>
        </w:tc>
      </w:tr>
      <w:tr w:rsidR="00AD5BB5">
        <w:trPr>
          <w:trHeight w:val="135"/>
        </w:trPr>
        <w:tc>
          <w:tcPr>
            <w:tcW w:w="101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Fonts w:ascii="Times New Roman" w:hAnsi="Times New Roman" w:cs="Times New Roman"/>
                <w:sz w:val="22"/>
                <w:szCs w:val="22"/>
              </w:rPr>
            </w:pPr>
            <w:r>
              <w:rPr>
                <w:rFonts w:ascii="Times New Roman" w:hAnsi="Times New Roman" w:cs="黑体" w:hint="eastAsia"/>
                <w:kern w:val="0"/>
                <w:szCs w:val="21"/>
                <w:lang w:bidi="ar"/>
              </w:rPr>
              <w:t>投资收益</w:t>
            </w: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145,411 </w:t>
            </w:r>
          </w:p>
        </w:tc>
        <w:tc>
          <w:tcPr>
            <w:tcW w:w="74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326,641 </w:t>
            </w:r>
          </w:p>
        </w:tc>
        <w:tc>
          <w:tcPr>
            <w:tcW w:w="68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-55.48 </w:t>
            </w:r>
          </w:p>
        </w:tc>
        <w:tc>
          <w:tcPr>
            <w:tcW w:w="185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left"/>
              <w:textAlignment w:val="center"/>
              <w:rPr>
                <w:rFonts w:ascii="Times New Roman" w:hAnsi="Times New Roman" w:cs="Times New Roman"/>
                <w:szCs w:val="21"/>
              </w:rPr>
            </w:pPr>
            <w:r>
              <w:rPr>
                <w:rFonts w:ascii="Times New Roman" w:hAnsi="Times New Roman" w:cs="Times New Roman" w:hint="eastAsia"/>
                <w:szCs w:val="21"/>
              </w:rPr>
              <w:t>交易性金融资产交易净收益减少</w:t>
            </w:r>
          </w:p>
        </w:tc>
      </w:tr>
      <w:tr w:rsidR="00AD5BB5">
        <w:trPr>
          <w:trHeight w:val="135"/>
        </w:trPr>
        <w:tc>
          <w:tcPr>
            <w:tcW w:w="101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Fonts w:ascii="Times New Roman" w:hAnsi="Times New Roman" w:cs="Times New Roman"/>
                <w:sz w:val="22"/>
                <w:szCs w:val="22"/>
              </w:rPr>
            </w:pPr>
            <w:r>
              <w:rPr>
                <w:rFonts w:ascii="Times New Roman" w:hAnsi="Times New Roman" w:cs="黑体" w:hint="eastAsia"/>
                <w:kern w:val="0"/>
                <w:szCs w:val="21"/>
                <w:lang w:bidi="ar"/>
              </w:rPr>
              <w:t>公允价值变动收益</w:t>
            </w:r>
            <w:r>
              <w:rPr>
                <w:rFonts w:ascii="Times New Roman" w:hAnsi="Times New Roman" w:cs="黑体" w:hint="eastAsia"/>
                <w:kern w:val="0"/>
                <w:szCs w:val="21"/>
                <w:lang w:bidi="ar"/>
              </w:rPr>
              <w:t>/</w:t>
            </w:r>
            <w:r>
              <w:rPr>
                <w:rFonts w:ascii="Times New Roman" w:hAnsi="Times New Roman" w:cs="黑体" w:hint="eastAsia"/>
                <w:kern w:val="0"/>
                <w:szCs w:val="21"/>
                <w:lang w:bidi="ar"/>
              </w:rPr>
              <w:t>（损失）</w:t>
            </w: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145,755 </w:t>
            </w:r>
          </w:p>
        </w:tc>
        <w:tc>
          <w:tcPr>
            <w:tcW w:w="74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-114,519 </w:t>
            </w:r>
          </w:p>
        </w:tc>
        <w:tc>
          <w:tcPr>
            <w:tcW w:w="68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不适用</w:t>
            </w:r>
            <w:r>
              <w:rPr>
                <w:rFonts w:ascii="Times New Roman" w:hAnsi="Times New Roman" w:cs="Times New Roman"/>
                <w:kern w:val="0"/>
                <w:szCs w:val="21"/>
                <w:lang w:bidi="ar"/>
              </w:rPr>
              <w:t xml:space="preserve"> </w:t>
            </w:r>
          </w:p>
        </w:tc>
        <w:tc>
          <w:tcPr>
            <w:tcW w:w="185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宋体"/>
              </w:rPr>
            </w:pPr>
            <w:r>
              <w:rPr>
                <w:rFonts w:ascii="Times New Roman" w:hAnsi="Times New Roman" w:cs="宋体" w:hint="eastAsia"/>
              </w:rPr>
              <w:t>交易性金融资产公允价值变动</w:t>
            </w:r>
          </w:p>
          <w:p w:rsidR="00AD5BB5" w:rsidRDefault="00F87FF6">
            <w:pPr>
              <w:widowControl/>
              <w:textAlignment w:val="center"/>
              <w:rPr>
                <w:rStyle w:val="5Char"/>
                <w:rFonts w:ascii="Times New Roman" w:hAnsi="Times New Roman" w:cs="Times New Roman"/>
                <w:b w:val="0"/>
                <w:szCs w:val="21"/>
              </w:rPr>
            </w:pPr>
            <w:r>
              <w:rPr>
                <w:rFonts w:ascii="Times New Roman" w:hAnsi="Times New Roman" w:cs="宋体" w:hint="eastAsia"/>
              </w:rPr>
              <w:t>收益增加</w:t>
            </w:r>
          </w:p>
        </w:tc>
      </w:tr>
      <w:tr w:rsidR="00AD5BB5">
        <w:trPr>
          <w:trHeight w:val="135"/>
        </w:trPr>
        <w:tc>
          <w:tcPr>
            <w:tcW w:w="101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Style w:val="5Char"/>
                <w:rFonts w:ascii="Times New Roman" w:hAnsi="Times New Roman" w:cs="Times New Roman"/>
                <w:b w:val="0"/>
                <w:kern w:val="0"/>
                <w:sz w:val="22"/>
                <w:szCs w:val="22"/>
              </w:rPr>
            </w:pPr>
            <w:r>
              <w:rPr>
                <w:rFonts w:ascii="Times New Roman" w:hAnsi="Times New Roman" w:cs="黑体" w:hint="eastAsia"/>
                <w:kern w:val="0"/>
                <w:szCs w:val="21"/>
                <w:lang w:bidi="ar"/>
              </w:rPr>
              <w:t>汇兑收益</w:t>
            </w: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43,801 </w:t>
            </w:r>
          </w:p>
        </w:tc>
        <w:tc>
          <w:tcPr>
            <w:tcW w:w="74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89,675 </w:t>
            </w:r>
          </w:p>
        </w:tc>
        <w:tc>
          <w:tcPr>
            <w:tcW w:w="68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-51.16 </w:t>
            </w:r>
          </w:p>
        </w:tc>
        <w:tc>
          <w:tcPr>
            <w:tcW w:w="185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Style w:val="5Char"/>
                <w:rFonts w:ascii="Times New Roman" w:hAnsi="Times New Roman" w:cs="Times New Roman"/>
                <w:b w:val="0"/>
                <w:szCs w:val="21"/>
              </w:rPr>
            </w:pPr>
            <w:r>
              <w:rPr>
                <w:rFonts w:ascii="Times New Roman" w:hAnsi="Times New Roman" w:cs="宋体" w:hint="eastAsia"/>
              </w:rPr>
              <w:t>外币业务受汇率变化影响导致汇兑收益减少</w:t>
            </w:r>
          </w:p>
        </w:tc>
      </w:tr>
      <w:tr w:rsidR="00AD5BB5">
        <w:trPr>
          <w:trHeight w:val="135"/>
        </w:trPr>
        <w:tc>
          <w:tcPr>
            <w:tcW w:w="101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Style w:val="5Char"/>
                <w:rFonts w:ascii="Times New Roman" w:hAnsi="Times New Roman" w:cs="Times New Roman"/>
                <w:b w:val="0"/>
                <w:kern w:val="0"/>
                <w:sz w:val="22"/>
                <w:szCs w:val="22"/>
              </w:rPr>
            </w:pPr>
            <w:r>
              <w:rPr>
                <w:rFonts w:ascii="Times New Roman" w:hAnsi="Times New Roman" w:cs="黑体" w:hint="eastAsia"/>
                <w:kern w:val="0"/>
                <w:szCs w:val="21"/>
                <w:lang w:bidi="ar"/>
              </w:rPr>
              <w:t>其他业务收入</w:t>
            </w: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6,425 </w:t>
            </w:r>
          </w:p>
        </w:tc>
        <w:tc>
          <w:tcPr>
            <w:tcW w:w="74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824 </w:t>
            </w:r>
          </w:p>
        </w:tc>
        <w:tc>
          <w:tcPr>
            <w:tcW w:w="68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680.18 </w:t>
            </w:r>
          </w:p>
        </w:tc>
        <w:tc>
          <w:tcPr>
            <w:tcW w:w="185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Style w:val="5Char"/>
                <w:rFonts w:ascii="Times New Roman" w:hAnsi="Times New Roman" w:cs="Times New Roman"/>
                <w:b w:val="0"/>
                <w:szCs w:val="21"/>
              </w:rPr>
            </w:pPr>
            <w:r>
              <w:rPr>
                <w:rFonts w:ascii="Times New Roman" w:hAnsi="Times New Roman" w:cs="宋体" w:hint="eastAsia"/>
                <w:kern w:val="0"/>
                <w:szCs w:val="21"/>
                <w:lang w:bidi="ar"/>
              </w:rPr>
              <w:t>租赁收入增加</w:t>
            </w:r>
          </w:p>
        </w:tc>
      </w:tr>
      <w:tr w:rsidR="00AD5BB5">
        <w:trPr>
          <w:trHeight w:val="135"/>
        </w:trPr>
        <w:tc>
          <w:tcPr>
            <w:tcW w:w="101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Fonts w:ascii="Times New Roman" w:hAnsi="Times New Roman" w:cs="Times New Roman"/>
                <w:sz w:val="22"/>
                <w:szCs w:val="22"/>
              </w:rPr>
            </w:pPr>
            <w:r>
              <w:rPr>
                <w:rFonts w:ascii="Times New Roman" w:hAnsi="Times New Roman" w:cs="黑体" w:hint="eastAsia"/>
                <w:kern w:val="0"/>
                <w:szCs w:val="21"/>
                <w:lang w:bidi="ar"/>
              </w:rPr>
              <w:t>资产处置收益</w:t>
            </w:r>
            <w:r>
              <w:rPr>
                <w:rFonts w:ascii="Times New Roman" w:hAnsi="Times New Roman" w:cs="黑体" w:hint="eastAsia"/>
                <w:kern w:val="0"/>
                <w:szCs w:val="21"/>
                <w:lang w:bidi="ar"/>
              </w:rPr>
              <w:t>/</w:t>
            </w:r>
            <w:r>
              <w:rPr>
                <w:rFonts w:ascii="Times New Roman" w:hAnsi="Times New Roman" w:cs="黑体" w:hint="eastAsia"/>
                <w:kern w:val="0"/>
                <w:szCs w:val="21"/>
                <w:lang w:bidi="ar"/>
              </w:rPr>
              <w:t>（损失）</w:t>
            </w: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8,831 </w:t>
            </w:r>
          </w:p>
        </w:tc>
        <w:tc>
          <w:tcPr>
            <w:tcW w:w="74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487 </w:t>
            </w:r>
          </w:p>
        </w:tc>
        <w:tc>
          <w:tcPr>
            <w:tcW w:w="68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1,712.30 </w:t>
            </w:r>
          </w:p>
        </w:tc>
        <w:tc>
          <w:tcPr>
            <w:tcW w:w="185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Style w:val="5Char"/>
                <w:rFonts w:ascii="Times New Roman" w:hAnsi="Times New Roman" w:cs="Times New Roman"/>
                <w:b w:val="0"/>
                <w:szCs w:val="21"/>
              </w:rPr>
            </w:pPr>
            <w:r>
              <w:rPr>
                <w:rFonts w:ascii="Times New Roman" w:hAnsi="Times New Roman" w:cs="宋体" w:hint="eastAsia"/>
              </w:rPr>
              <w:t>固定资产处置收益增加，主要系重庆大楼</w:t>
            </w:r>
          </w:p>
        </w:tc>
      </w:tr>
      <w:tr w:rsidR="00AD5BB5">
        <w:trPr>
          <w:trHeight w:val="135"/>
        </w:trPr>
        <w:tc>
          <w:tcPr>
            <w:tcW w:w="101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Fonts w:ascii="Times New Roman" w:hAnsi="Times New Roman" w:cs="Times New Roman"/>
                <w:sz w:val="22"/>
                <w:szCs w:val="22"/>
              </w:rPr>
            </w:pPr>
            <w:r>
              <w:rPr>
                <w:rFonts w:ascii="Times New Roman" w:hAnsi="Times New Roman" w:cs="黑体" w:hint="eastAsia"/>
                <w:kern w:val="0"/>
                <w:szCs w:val="21"/>
                <w:lang w:bidi="ar"/>
              </w:rPr>
              <w:t>其他收益</w:t>
            </w: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173,828 </w:t>
            </w:r>
          </w:p>
        </w:tc>
        <w:tc>
          <w:tcPr>
            <w:tcW w:w="74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37,663 </w:t>
            </w:r>
          </w:p>
        </w:tc>
        <w:tc>
          <w:tcPr>
            <w:tcW w:w="68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361.54 </w:t>
            </w:r>
          </w:p>
        </w:tc>
        <w:tc>
          <w:tcPr>
            <w:tcW w:w="185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Style w:val="5Char"/>
                <w:rFonts w:ascii="Times New Roman" w:hAnsi="Times New Roman" w:cs="Times New Roman"/>
                <w:b w:val="0"/>
                <w:szCs w:val="21"/>
              </w:rPr>
            </w:pPr>
            <w:r>
              <w:rPr>
                <w:rFonts w:ascii="Times New Roman" w:hAnsi="Times New Roman" w:cs="宋体" w:hint="eastAsia"/>
                <w:bCs/>
              </w:rPr>
              <w:t>获得普惠小</w:t>
            </w:r>
            <w:proofErr w:type="gramStart"/>
            <w:r>
              <w:rPr>
                <w:rFonts w:ascii="Times New Roman" w:hAnsi="Times New Roman" w:cs="宋体" w:hint="eastAsia"/>
                <w:bCs/>
              </w:rPr>
              <w:t>微贷款激励金</w:t>
            </w:r>
            <w:proofErr w:type="gramEnd"/>
          </w:p>
        </w:tc>
      </w:tr>
      <w:tr w:rsidR="00AD5BB5">
        <w:trPr>
          <w:trHeight w:val="135"/>
        </w:trPr>
        <w:tc>
          <w:tcPr>
            <w:tcW w:w="101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Style w:val="5Char"/>
                <w:rFonts w:ascii="Times New Roman" w:hAnsi="Times New Roman" w:cs="Times New Roman"/>
                <w:b w:val="0"/>
                <w:kern w:val="0"/>
                <w:szCs w:val="21"/>
              </w:rPr>
            </w:pPr>
            <w:r>
              <w:rPr>
                <w:rFonts w:ascii="Times New Roman" w:hAnsi="Times New Roman" w:cs="黑体" w:hint="eastAsia"/>
                <w:kern w:val="0"/>
                <w:szCs w:val="21"/>
                <w:lang w:bidi="ar"/>
              </w:rPr>
              <w:t>信用减值损失</w:t>
            </w: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189,823 </w:t>
            </w:r>
          </w:p>
        </w:tc>
        <w:tc>
          <w:tcPr>
            <w:tcW w:w="74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563,031 </w:t>
            </w:r>
          </w:p>
        </w:tc>
        <w:tc>
          <w:tcPr>
            <w:tcW w:w="68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-66.29 </w:t>
            </w:r>
          </w:p>
        </w:tc>
        <w:tc>
          <w:tcPr>
            <w:tcW w:w="185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Fonts w:ascii="Times New Roman" w:hAnsi="Times New Roman"/>
                <w:szCs w:val="21"/>
              </w:rPr>
            </w:pPr>
            <w:r>
              <w:rPr>
                <w:rFonts w:ascii="Times New Roman" w:hAnsi="Times New Roman" w:hint="eastAsia"/>
              </w:rPr>
              <w:t>不良资产清收、化解速度的加快</w:t>
            </w:r>
          </w:p>
        </w:tc>
      </w:tr>
      <w:tr w:rsidR="00AD5BB5">
        <w:trPr>
          <w:trHeight w:val="135"/>
        </w:trPr>
        <w:tc>
          <w:tcPr>
            <w:tcW w:w="101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Style w:val="5Char"/>
                <w:rFonts w:ascii="Times New Roman" w:hAnsi="Times New Roman" w:cs="Times New Roman"/>
                <w:b w:val="0"/>
                <w:kern w:val="0"/>
                <w:szCs w:val="21"/>
              </w:rPr>
            </w:pPr>
            <w:r>
              <w:rPr>
                <w:rFonts w:ascii="Times New Roman" w:hAnsi="Times New Roman" w:cs="黑体" w:hint="eastAsia"/>
                <w:kern w:val="0"/>
                <w:szCs w:val="21"/>
                <w:lang w:bidi="ar"/>
              </w:rPr>
              <w:t>营业外收入</w:t>
            </w: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1,376 </w:t>
            </w:r>
          </w:p>
        </w:tc>
        <w:tc>
          <w:tcPr>
            <w:tcW w:w="74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2,240 </w:t>
            </w:r>
          </w:p>
        </w:tc>
        <w:tc>
          <w:tcPr>
            <w:tcW w:w="68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-38.57 </w:t>
            </w:r>
          </w:p>
        </w:tc>
        <w:tc>
          <w:tcPr>
            <w:tcW w:w="185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Fonts w:ascii="Times New Roman" w:hAnsi="Times New Roman"/>
                <w:szCs w:val="21"/>
              </w:rPr>
            </w:pPr>
            <w:r>
              <w:rPr>
                <w:rFonts w:ascii="Times New Roman" w:hAnsi="Times New Roman" w:hint="eastAsia"/>
                <w:szCs w:val="21"/>
              </w:rPr>
              <w:t>罚没款及违约金收入减少</w:t>
            </w:r>
          </w:p>
        </w:tc>
      </w:tr>
      <w:tr w:rsidR="00AD5BB5">
        <w:trPr>
          <w:trHeight w:val="135"/>
        </w:trPr>
        <w:tc>
          <w:tcPr>
            <w:tcW w:w="101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Style w:val="5Char"/>
                <w:rFonts w:ascii="Times New Roman" w:hAnsi="Times New Roman" w:cs="Times New Roman"/>
                <w:b w:val="0"/>
                <w:kern w:val="0"/>
                <w:szCs w:val="21"/>
              </w:rPr>
            </w:pPr>
            <w:r>
              <w:rPr>
                <w:rFonts w:ascii="Times New Roman" w:hAnsi="Times New Roman" w:cs="黑体" w:hint="eastAsia"/>
                <w:kern w:val="0"/>
                <w:szCs w:val="21"/>
                <w:lang w:bidi="ar"/>
              </w:rPr>
              <w:t>所得税费用</w:t>
            </w: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172,325 </w:t>
            </w:r>
          </w:p>
        </w:tc>
        <w:tc>
          <w:tcPr>
            <w:tcW w:w="74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40,728 </w:t>
            </w:r>
          </w:p>
        </w:tc>
        <w:tc>
          <w:tcPr>
            <w:tcW w:w="68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323.11 </w:t>
            </w:r>
          </w:p>
        </w:tc>
        <w:tc>
          <w:tcPr>
            <w:tcW w:w="185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Fonts w:ascii="Times New Roman" w:hAnsi="Times New Roman"/>
                <w:szCs w:val="21"/>
              </w:rPr>
            </w:pPr>
            <w:r>
              <w:rPr>
                <w:rFonts w:ascii="Times New Roman" w:hAnsi="Times New Roman" w:hint="eastAsia"/>
                <w:szCs w:val="21"/>
              </w:rPr>
              <w:t>利润总额增加导致</w:t>
            </w:r>
          </w:p>
        </w:tc>
      </w:tr>
      <w:tr w:rsidR="00AD5BB5">
        <w:trPr>
          <w:trHeight w:val="135"/>
        </w:trPr>
        <w:tc>
          <w:tcPr>
            <w:tcW w:w="101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textAlignment w:val="center"/>
              <w:rPr>
                <w:rStyle w:val="5Char"/>
                <w:rFonts w:ascii="Times New Roman" w:hAnsi="Times New Roman" w:cs="Times New Roman"/>
                <w:b w:val="0"/>
                <w:kern w:val="0"/>
                <w:szCs w:val="21"/>
              </w:rPr>
            </w:pPr>
            <w:r>
              <w:rPr>
                <w:rFonts w:ascii="Times New Roman" w:hAnsi="Times New Roman" w:cs="黑体" w:hint="eastAsia"/>
                <w:kern w:val="0"/>
                <w:szCs w:val="21"/>
                <w:lang w:bidi="ar"/>
              </w:rPr>
              <w:t>少数股东损益</w:t>
            </w:r>
          </w:p>
        </w:tc>
        <w:tc>
          <w:tcPr>
            <w:tcW w:w="69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46,570 </w:t>
            </w:r>
          </w:p>
        </w:tc>
        <w:tc>
          <w:tcPr>
            <w:tcW w:w="74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29,436 </w:t>
            </w:r>
          </w:p>
        </w:tc>
        <w:tc>
          <w:tcPr>
            <w:tcW w:w="68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s="Times New Roman"/>
                <w:kern w:val="0"/>
                <w:szCs w:val="21"/>
                <w:lang w:bidi="ar"/>
              </w:rPr>
              <w:t xml:space="preserve">58.21 </w:t>
            </w:r>
          </w:p>
        </w:tc>
        <w:tc>
          <w:tcPr>
            <w:tcW w:w="185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szCs w:val="21"/>
              </w:rPr>
            </w:pPr>
            <w:r>
              <w:rPr>
                <w:rFonts w:ascii="Times New Roman" w:hAnsi="Times New Roman" w:cs="宋体" w:hint="eastAsia"/>
              </w:rPr>
              <w:t>控股子公司净利润增加导致</w:t>
            </w:r>
          </w:p>
        </w:tc>
      </w:tr>
    </w:tbl>
    <w:p w:rsidR="00AD5BB5" w:rsidRDefault="00AD5BB5">
      <w:pPr>
        <w:numPr>
          <w:ilvl w:val="255"/>
          <w:numId w:val="0"/>
        </w:numPr>
        <w:rPr>
          <w:rFonts w:ascii="Times New Roman" w:hAnsi="Times New Roman" w:cs="Times New Roman"/>
          <w:b/>
          <w:bCs/>
        </w:rPr>
      </w:pPr>
    </w:p>
    <w:p w:rsidR="00AD5BB5" w:rsidRDefault="00F87FF6">
      <w:pPr>
        <w:pStyle w:val="3"/>
        <w:numPr>
          <w:ilvl w:val="255"/>
          <w:numId w:val="0"/>
        </w:numPr>
        <w:spacing w:line="360" w:lineRule="auto"/>
        <w:ind w:leftChars="-175" w:left="-368" w:firstLineChars="300" w:firstLine="632"/>
        <w:rPr>
          <w:rFonts w:ascii="Times New Roman" w:hAnsi="Times New Roman" w:cs="Times New Roman"/>
        </w:rPr>
      </w:pPr>
      <w:r>
        <w:rPr>
          <w:rFonts w:ascii="Times New Roman" w:hAnsi="Times New Roman" w:cs="Times New Roman" w:hint="eastAsia"/>
        </w:rPr>
        <w:t>（六）对外股权投资情况</w:t>
      </w:r>
    </w:p>
    <w:p w:rsidR="00AD5BB5" w:rsidRDefault="00F87FF6">
      <w:pPr>
        <w:pStyle w:val="4"/>
        <w:numPr>
          <w:ilvl w:val="0"/>
          <w:numId w:val="12"/>
        </w:numPr>
        <w:spacing w:line="360" w:lineRule="auto"/>
        <w:rPr>
          <w:rFonts w:ascii="Times New Roman" w:hAnsi="Times New Roman" w:cs="Times New Roman"/>
        </w:rPr>
      </w:pPr>
      <w:r>
        <w:rPr>
          <w:rFonts w:ascii="Times New Roman" w:hAnsi="Times New Roman" w:cs="Times New Roman" w:hint="eastAsia"/>
        </w:rPr>
        <w:t>对外股权投资总体分析</w:t>
      </w:r>
    </w:p>
    <w:p w:rsidR="00AD5BB5" w:rsidRDefault="00F87FF6">
      <w:pPr>
        <w:rPr>
          <w:rFonts w:ascii="Times New Roman" w:hAnsi="Times New Roman"/>
        </w:rPr>
      </w:pPr>
      <w:r>
        <w:rPr>
          <w:rFonts w:ascii="Times New Roman" w:hAnsi="Times New Roman" w:hint="eastAsia"/>
        </w:rPr>
        <w:t xml:space="preserve">                                                                </w:t>
      </w:r>
      <w:r>
        <w:rPr>
          <w:rFonts w:ascii="Times New Roman" w:hAnsi="Times New Roman" w:cs="Times New Roman"/>
        </w:rPr>
        <w:t>单位：人民币千元</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560"/>
        <w:gridCol w:w="1559"/>
        <w:gridCol w:w="2551"/>
      </w:tblGrid>
      <w:tr w:rsidR="00AD5BB5">
        <w:tc>
          <w:tcPr>
            <w:tcW w:w="141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rPr>
            </w:pPr>
            <w:r>
              <w:rPr>
                <w:rFonts w:ascii="Times New Roman" w:hAnsi="Times New Roman" w:cs="Times New Roman"/>
                <w:b/>
                <w:bCs/>
              </w:rPr>
              <w:t>项目</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rPr>
            </w:pPr>
            <w:r>
              <w:rPr>
                <w:rFonts w:ascii="Times New Roman" w:hAnsi="Times New Roman" w:cs="Times New Roman"/>
                <w:b/>
                <w:bCs/>
              </w:rPr>
              <w:t>报告期末</w:t>
            </w:r>
          </w:p>
          <w:p w:rsidR="00AD5BB5" w:rsidRDefault="00F87FF6">
            <w:pPr>
              <w:jc w:val="center"/>
              <w:rPr>
                <w:rFonts w:ascii="Times New Roman" w:hAnsi="Times New Roman" w:cs="Times New Roman"/>
                <w:b/>
                <w:bCs/>
              </w:rPr>
            </w:pPr>
            <w:r>
              <w:rPr>
                <w:rFonts w:ascii="Times New Roman" w:hAnsi="Times New Roman" w:cs="Times New Roman"/>
                <w:b/>
                <w:bCs/>
              </w:rPr>
              <w:t>投资</w:t>
            </w:r>
            <w:r>
              <w:rPr>
                <w:rFonts w:ascii="Times New Roman" w:hAnsi="Times New Roman" w:cs="Times New Roman" w:hint="eastAsia"/>
                <w:b/>
                <w:bCs/>
              </w:rPr>
              <w:t>金额</w:t>
            </w:r>
          </w:p>
        </w:tc>
        <w:tc>
          <w:tcPr>
            <w:tcW w:w="156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rPr>
            </w:pPr>
            <w:r>
              <w:rPr>
                <w:rFonts w:ascii="Times New Roman" w:hAnsi="Times New Roman" w:cs="Times New Roman"/>
                <w:b/>
                <w:bCs/>
              </w:rPr>
              <w:t>报告期初</w:t>
            </w:r>
          </w:p>
          <w:p w:rsidR="00AD5BB5" w:rsidRDefault="00F87FF6">
            <w:pPr>
              <w:jc w:val="center"/>
              <w:rPr>
                <w:rFonts w:ascii="Times New Roman" w:hAnsi="Times New Roman" w:cs="Times New Roman"/>
                <w:b/>
                <w:bCs/>
              </w:rPr>
            </w:pPr>
            <w:r>
              <w:rPr>
                <w:rFonts w:ascii="Times New Roman" w:hAnsi="Times New Roman" w:cs="Times New Roman"/>
                <w:b/>
                <w:bCs/>
              </w:rPr>
              <w:t>投资</w:t>
            </w:r>
            <w:r>
              <w:rPr>
                <w:rFonts w:ascii="Times New Roman" w:hAnsi="Times New Roman" w:cs="Times New Roman" w:hint="eastAsia"/>
                <w:b/>
                <w:bCs/>
              </w:rPr>
              <w:t>金额</w:t>
            </w: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rPr>
            </w:pPr>
            <w:r>
              <w:rPr>
                <w:rFonts w:ascii="Times New Roman" w:hAnsi="Times New Roman" w:cs="Times New Roman"/>
                <w:b/>
                <w:bCs/>
              </w:rPr>
              <w:t>报告期末</w:t>
            </w:r>
            <w:r>
              <w:rPr>
                <w:rFonts w:ascii="Times New Roman" w:hAnsi="Times New Roman" w:cs="Times New Roman" w:hint="eastAsia"/>
                <w:b/>
                <w:bCs/>
              </w:rPr>
              <w:t>占被投资公司权益的比例</w:t>
            </w:r>
            <w:r>
              <w:rPr>
                <w:rFonts w:ascii="Times New Roman" w:hAnsi="Times New Roman" w:cs="Times New Roman"/>
                <w:b/>
                <w:bCs/>
              </w:rPr>
              <w:t>（</w:t>
            </w:r>
            <w:r>
              <w:rPr>
                <w:rFonts w:ascii="Times New Roman" w:hAnsi="Times New Roman" w:cs="Times New Roman"/>
                <w:b/>
                <w:bCs/>
              </w:rPr>
              <w:t>%</w:t>
            </w:r>
            <w:r>
              <w:rPr>
                <w:rFonts w:ascii="Times New Roman" w:hAnsi="Times New Roman" w:cs="Times New Roman"/>
                <w:b/>
                <w:bCs/>
              </w:rPr>
              <w:t>）</w:t>
            </w:r>
          </w:p>
        </w:tc>
        <w:tc>
          <w:tcPr>
            <w:tcW w:w="255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rPr>
            </w:pPr>
            <w:r>
              <w:rPr>
                <w:rFonts w:ascii="Times New Roman" w:hAnsi="Times New Roman" w:cs="Times New Roman"/>
                <w:b/>
                <w:bCs/>
              </w:rPr>
              <w:t>主要业务</w:t>
            </w:r>
          </w:p>
        </w:tc>
      </w:tr>
      <w:tr w:rsidR="00AD5BB5">
        <w:tc>
          <w:tcPr>
            <w:tcW w:w="141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rPr>
            </w:pPr>
            <w:r>
              <w:rPr>
                <w:rFonts w:ascii="Times New Roman" w:hAnsi="Times New Roman" w:cs="宋体"/>
                <w:szCs w:val="21"/>
              </w:rPr>
              <w:t>福建海西金融租赁有限责任公司</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rPr>
            </w:pPr>
            <w:r>
              <w:rPr>
                <w:rFonts w:ascii="Times New Roman" w:hAnsi="Times New Roman" w:cs="Times New Roman" w:hint="eastAsia"/>
                <w:szCs w:val="21"/>
              </w:rPr>
              <w:t>927</w:t>
            </w:r>
            <w:r>
              <w:rPr>
                <w:rFonts w:ascii="Times New Roman" w:hAnsi="Times New Roman" w:cs="Times New Roman"/>
                <w:szCs w:val="21"/>
              </w:rPr>
              <w:t>,000</w:t>
            </w:r>
          </w:p>
        </w:tc>
        <w:tc>
          <w:tcPr>
            <w:tcW w:w="156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rPr>
            </w:pPr>
            <w:r>
              <w:rPr>
                <w:rFonts w:ascii="Times New Roman" w:hAnsi="Times New Roman" w:cs="Times New Roman" w:hint="eastAsia"/>
                <w:szCs w:val="21"/>
              </w:rPr>
              <w:t>927</w:t>
            </w:r>
            <w:r>
              <w:rPr>
                <w:rFonts w:ascii="Times New Roman" w:hAnsi="Times New Roman" w:cs="Times New Roman"/>
                <w:szCs w:val="21"/>
              </w:rPr>
              <w:t>,000</w:t>
            </w: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rPr>
            </w:pPr>
            <w:r>
              <w:rPr>
                <w:rFonts w:ascii="Times New Roman" w:hAnsi="Times New Roman" w:cs="Times New Roman"/>
                <w:szCs w:val="21"/>
              </w:rPr>
              <w:t>6</w:t>
            </w:r>
            <w:r>
              <w:rPr>
                <w:rFonts w:ascii="Times New Roman" w:hAnsi="Times New Roman" w:cs="Times New Roman" w:hint="eastAsia"/>
                <w:szCs w:val="21"/>
              </w:rPr>
              <w:t>9.75</w:t>
            </w:r>
          </w:p>
        </w:tc>
        <w:tc>
          <w:tcPr>
            <w:tcW w:w="255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rPr>
            </w:pPr>
            <w:r>
              <w:rPr>
                <w:rFonts w:ascii="Times New Roman" w:hAnsi="Times New Roman" w:cs="宋体"/>
                <w:szCs w:val="21"/>
              </w:rPr>
              <w:t>融资租赁业务；转让和受让融资租赁资产；固定收益类证券投资业务；接受承租人的租赁保证金；吸收非银行股东</w:t>
            </w:r>
            <w:r>
              <w:rPr>
                <w:rFonts w:ascii="Times New Roman" w:hAnsi="Times New Roman" w:cs="宋体"/>
                <w:szCs w:val="21"/>
              </w:rPr>
              <w:t>3</w:t>
            </w:r>
            <w:r>
              <w:rPr>
                <w:rFonts w:ascii="Times New Roman" w:hAnsi="Times New Roman" w:cs="宋体"/>
                <w:szCs w:val="21"/>
              </w:rPr>
              <w:t>个月（含）以上定期存款；同业拆借；向金融机构借款；境外借款；租赁物变卖及处理业务；经济咨询；</w:t>
            </w:r>
            <w:proofErr w:type="gramStart"/>
            <w:r>
              <w:rPr>
                <w:rFonts w:ascii="Times New Roman" w:hAnsi="Times New Roman" w:cs="宋体"/>
                <w:szCs w:val="21"/>
              </w:rPr>
              <w:t>经银监</w:t>
            </w:r>
            <w:proofErr w:type="gramEnd"/>
            <w:r>
              <w:rPr>
                <w:rFonts w:ascii="Times New Roman" w:hAnsi="Times New Roman" w:cs="宋体"/>
                <w:szCs w:val="21"/>
              </w:rPr>
              <w:t>会批准的其他业务。（依法须经批准的项目，经相关部门批准后方可开展经营活动）</w:t>
            </w:r>
          </w:p>
        </w:tc>
      </w:tr>
      <w:tr w:rsidR="00AD5BB5">
        <w:tc>
          <w:tcPr>
            <w:tcW w:w="141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rPr>
            </w:pPr>
            <w:r>
              <w:rPr>
                <w:rFonts w:ascii="Times New Roman" w:hAnsi="Times New Roman" w:cs="宋体"/>
                <w:szCs w:val="21"/>
              </w:rPr>
              <w:t>中国银联股份有限公司</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rPr>
            </w:pPr>
            <w:r>
              <w:rPr>
                <w:rFonts w:ascii="Times New Roman" w:hAnsi="Times New Roman" w:cs="Times New Roman"/>
                <w:szCs w:val="21"/>
              </w:rPr>
              <w:t>8,000</w:t>
            </w:r>
          </w:p>
        </w:tc>
        <w:tc>
          <w:tcPr>
            <w:tcW w:w="156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rPr>
            </w:pPr>
            <w:r>
              <w:rPr>
                <w:rFonts w:ascii="Times New Roman" w:hAnsi="Times New Roman" w:cs="Times New Roman"/>
                <w:szCs w:val="21"/>
              </w:rPr>
              <w:t>8,000</w:t>
            </w: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rPr>
            </w:pPr>
            <w:r>
              <w:rPr>
                <w:rFonts w:ascii="Times New Roman" w:hAnsi="Times New Roman" w:cs="Times New Roman"/>
                <w:szCs w:val="21"/>
              </w:rPr>
              <w:t>0.27</w:t>
            </w:r>
          </w:p>
        </w:tc>
        <w:tc>
          <w:tcPr>
            <w:tcW w:w="255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ordWrap w:val="0"/>
              <w:spacing w:line="16" w:lineRule="atLeast"/>
              <w:rPr>
                <w:rFonts w:ascii="Times New Roman" w:hAnsi="Times New Roman" w:cs="Times New Roman"/>
              </w:rPr>
            </w:pPr>
            <w:r>
              <w:rPr>
                <w:rFonts w:ascii="Times New Roman" w:hAnsi="Times New Roman" w:cs="宋体" w:hint="eastAsia"/>
                <w:szCs w:val="21"/>
                <w:lang w:bidi="ar"/>
              </w:rPr>
              <w:t>建设和运营全国统一的银行卡跨行信息交换网络，</w:t>
            </w:r>
            <w:r>
              <w:rPr>
                <w:rFonts w:ascii="Times New Roman" w:hAnsi="Times New Roman" w:cs="宋体" w:hint="eastAsia"/>
                <w:szCs w:val="21"/>
                <w:lang w:bidi="ar"/>
              </w:rPr>
              <w:lastRenderedPageBreak/>
              <w:t>提供先进的电子化支付技术和与银行卡跨行信息交换相关的专业化服务，开展银行卡技术创新；管理和经营“银联”标识，制定银行卡跨行交易业务规范和技术标准，协调和仲裁银行间跨行交易业务纠纷，组织行业培训、业务研讨和开展国际交流，从事相关研究咨询服务；经中国人民银行批准的其他相关业务。（依法须经批准的项目，经相关部门批准后方可开展经营活动）</w:t>
            </w:r>
          </w:p>
        </w:tc>
      </w:tr>
      <w:tr w:rsidR="00AD5BB5">
        <w:tc>
          <w:tcPr>
            <w:tcW w:w="141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left"/>
              <w:rPr>
                <w:rFonts w:ascii="Times New Roman" w:hAnsi="Times New Roman" w:cs="宋体"/>
                <w:szCs w:val="21"/>
              </w:rPr>
            </w:pPr>
            <w:proofErr w:type="gramStart"/>
            <w:r>
              <w:rPr>
                <w:rFonts w:ascii="Times New Roman" w:hAnsi="Times New Roman" w:cs="宋体"/>
                <w:szCs w:val="21"/>
              </w:rPr>
              <w:lastRenderedPageBreak/>
              <w:t>城银服务中心</w:t>
            </w:r>
            <w:proofErr w:type="gramEnd"/>
          </w:p>
          <w:p w:rsidR="00AD5BB5" w:rsidRDefault="00F87FF6">
            <w:pPr>
              <w:rPr>
                <w:rFonts w:ascii="Times New Roman" w:hAnsi="Times New Roman" w:cs="Times New Roman"/>
              </w:rPr>
            </w:pPr>
            <w:r>
              <w:rPr>
                <w:rFonts w:ascii="Times New Roman" w:hAnsi="Times New Roman" w:cs="宋体" w:hint="eastAsia"/>
                <w:szCs w:val="21"/>
              </w:rPr>
              <w:t>（原</w:t>
            </w:r>
            <w:r>
              <w:rPr>
                <w:rFonts w:ascii="Times New Roman" w:hAnsi="Times New Roman" w:cs="宋体"/>
                <w:szCs w:val="21"/>
              </w:rPr>
              <w:t>城市商业银行</w:t>
            </w:r>
            <w:r>
              <w:rPr>
                <w:rFonts w:ascii="Times New Roman" w:hAnsi="Times New Roman" w:cs="宋体" w:hint="eastAsia"/>
                <w:szCs w:val="21"/>
              </w:rPr>
              <w:t>资金</w:t>
            </w:r>
            <w:r>
              <w:rPr>
                <w:rFonts w:ascii="Times New Roman" w:hAnsi="Times New Roman" w:cs="宋体"/>
                <w:szCs w:val="21"/>
              </w:rPr>
              <w:t>清算中心</w:t>
            </w:r>
            <w:r>
              <w:rPr>
                <w:rFonts w:ascii="Times New Roman" w:hAnsi="Times New Roman" w:cs="宋体" w:hint="eastAsia"/>
                <w:szCs w:val="21"/>
              </w:rPr>
              <w:t>）</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rPr>
            </w:pPr>
            <w:r>
              <w:rPr>
                <w:rFonts w:ascii="Times New Roman" w:hAnsi="Times New Roman" w:cs="Times New Roman"/>
                <w:szCs w:val="21"/>
              </w:rPr>
              <w:t>250</w:t>
            </w:r>
          </w:p>
        </w:tc>
        <w:tc>
          <w:tcPr>
            <w:tcW w:w="156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rPr>
            </w:pPr>
            <w:r>
              <w:rPr>
                <w:rFonts w:ascii="Times New Roman" w:hAnsi="Times New Roman" w:cs="Times New Roman"/>
                <w:szCs w:val="21"/>
              </w:rPr>
              <w:t>250</w:t>
            </w:r>
          </w:p>
        </w:tc>
        <w:tc>
          <w:tcPr>
            <w:tcW w:w="1559"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rPr>
            </w:pPr>
            <w:r>
              <w:rPr>
                <w:rFonts w:ascii="Times New Roman" w:hAnsi="Times New Roman" w:cs="Times New Roman"/>
                <w:szCs w:val="21"/>
              </w:rPr>
              <w:t>0.81</w:t>
            </w:r>
          </w:p>
        </w:tc>
        <w:tc>
          <w:tcPr>
            <w:tcW w:w="2551"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cs="Times New Roman"/>
              </w:rPr>
            </w:pPr>
            <w:r>
              <w:rPr>
                <w:rFonts w:ascii="Times New Roman" w:hAnsi="Times New Roman" w:cs="宋体" w:hint="eastAsia"/>
                <w:szCs w:val="21"/>
                <w:lang w:bidi="ar"/>
              </w:rPr>
              <w:t>为城商行等中小金融机构提供会务培训、咨询管理等服务；经中国人民银行批准的其他业务</w:t>
            </w:r>
          </w:p>
        </w:tc>
      </w:tr>
    </w:tbl>
    <w:p w:rsidR="00AD5BB5" w:rsidRDefault="00AD5BB5">
      <w:pPr>
        <w:numPr>
          <w:ilvl w:val="255"/>
          <w:numId w:val="0"/>
        </w:numPr>
        <w:spacing w:line="360" w:lineRule="auto"/>
        <w:ind w:firstLineChars="200" w:firstLine="420"/>
        <w:rPr>
          <w:rFonts w:ascii="Times New Roman" w:hAnsi="Times New Roman" w:cs="Times New Roman"/>
          <w:iCs/>
          <w:szCs w:val="21"/>
        </w:rPr>
      </w:pPr>
    </w:p>
    <w:p w:rsidR="00AD5BB5" w:rsidRDefault="00AD5BB5">
      <w:pPr>
        <w:pStyle w:val="aff2"/>
        <w:widowControl/>
        <w:numPr>
          <w:ilvl w:val="0"/>
          <w:numId w:val="13"/>
        </w:numPr>
        <w:spacing w:line="360" w:lineRule="auto"/>
        <w:ind w:firstLineChars="0" w:firstLine="0"/>
        <w:jc w:val="left"/>
        <w:rPr>
          <w:rFonts w:ascii="Times New Roman" w:hAnsi="Times New Roman" w:cs="Times New Roman"/>
          <w:b/>
          <w:bCs/>
          <w:vanish/>
        </w:rPr>
      </w:pPr>
    </w:p>
    <w:p w:rsidR="00AD5BB5" w:rsidRDefault="00F87FF6">
      <w:pPr>
        <w:pStyle w:val="4"/>
        <w:numPr>
          <w:ilvl w:val="0"/>
          <w:numId w:val="12"/>
        </w:numPr>
        <w:spacing w:line="360" w:lineRule="auto"/>
        <w:rPr>
          <w:rFonts w:ascii="Times New Roman" w:hAnsi="Times New Roman" w:cs="Times New Roman"/>
        </w:rPr>
      </w:pPr>
      <w:r>
        <w:rPr>
          <w:rFonts w:ascii="Times New Roman" w:hAnsi="Times New Roman" w:cs="Times New Roman" w:hint="eastAsia"/>
        </w:rPr>
        <w:t>报告期内获取的重大股权投资</w:t>
      </w:r>
    </w:p>
    <w:p w:rsidR="00AD5BB5" w:rsidRDefault="00F87FF6">
      <w:pPr>
        <w:spacing w:line="360" w:lineRule="auto"/>
        <w:rPr>
          <w:rFonts w:ascii="Times New Roman" w:hAnsi="Times New Roman" w:cs="Times New Roman"/>
          <w:iCs/>
          <w:szCs w:val="21"/>
        </w:rPr>
      </w:pPr>
      <w:r>
        <w:rPr>
          <w:rFonts w:ascii="Times New Roman" w:hAnsi="Times New Roman" w:cs="Times New Roman"/>
          <w:iCs/>
          <w:szCs w:val="21"/>
        </w:rPr>
        <w:t>报告期内，公司不存在重大股权投资。</w:t>
      </w:r>
    </w:p>
    <w:p w:rsidR="00AD5BB5" w:rsidRDefault="00F87FF6">
      <w:pPr>
        <w:pStyle w:val="4"/>
        <w:numPr>
          <w:ilvl w:val="0"/>
          <w:numId w:val="12"/>
        </w:numPr>
        <w:spacing w:line="360" w:lineRule="auto"/>
        <w:rPr>
          <w:rFonts w:ascii="Times New Roman" w:hAnsi="Times New Roman" w:cs="Times New Roman"/>
        </w:rPr>
      </w:pPr>
      <w:r>
        <w:rPr>
          <w:rFonts w:ascii="Times New Roman" w:hAnsi="Times New Roman" w:cs="Times New Roman" w:hint="eastAsia"/>
        </w:rPr>
        <w:t>报告期内获取的重大非股权投资</w:t>
      </w:r>
    </w:p>
    <w:p w:rsidR="00AD5BB5" w:rsidRDefault="00F87FF6">
      <w:pPr>
        <w:numPr>
          <w:ilvl w:val="255"/>
          <w:numId w:val="0"/>
        </w:numPr>
        <w:spacing w:line="360" w:lineRule="auto"/>
        <w:rPr>
          <w:rFonts w:ascii="Times New Roman" w:hAnsi="Times New Roman" w:cs="Times New Roman"/>
          <w:iCs/>
          <w:szCs w:val="21"/>
        </w:rPr>
      </w:pPr>
      <w:r>
        <w:rPr>
          <w:rFonts w:ascii="Times New Roman" w:hAnsi="Times New Roman" w:cs="Times New Roman"/>
          <w:iCs/>
          <w:szCs w:val="21"/>
        </w:rPr>
        <w:t>报告期内，公司不存在重大非股权投资。</w:t>
      </w:r>
    </w:p>
    <w:p w:rsidR="00AD5BB5" w:rsidRDefault="00F87FF6">
      <w:pPr>
        <w:pStyle w:val="4"/>
        <w:numPr>
          <w:ilvl w:val="0"/>
          <w:numId w:val="12"/>
        </w:numPr>
        <w:spacing w:line="360" w:lineRule="auto"/>
        <w:rPr>
          <w:rFonts w:ascii="Times New Roman" w:hAnsi="Times New Roman" w:cs="Times New Roman"/>
        </w:rPr>
      </w:pPr>
      <w:r>
        <w:rPr>
          <w:rFonts w:ascii="Times New Roman" w:hAnsi="Times New Roman" w:cs="Times New Roman" w:hint="eastAsia"/>
        </w:rPr>
        <w:t>以公允价值计量的金融资产</w:t>
      </w:r>
    </w:p>
    <w:p w:rsidR="00AD5BB5" w:rsidRDefault="00F87FF6">
      <w:pPr>
        <w:numPr>
          <w:ilvl w:val="255"/>
          <w:numId w:val="0"/>
        </w:numPr>
        <w:spacing w:line="360" w:lineRule="auto"/>
        <w:ind w:firstLineChars="200" w:firstLine="420"/>
        <w:rPr>
          <w:rFonts w:cs="宋体"/>
          <w:iCs/>
        </w:rPr>
      </w:pPr>
      <w:r>
        <w:rPr>
          <w:rFonts w:cs="宋体" w:hint="eastAsia"/>
          <w:iCs/>
        </w:rPr>
        <w:t>本行持有的以公允价值计量的境内外债券和金融衍生工具为本行日常业务，具体情况详见</w:t>
      </w:r>
      <w:r>
        <w:rPr>
          <w:rFonts w:cs="宋体" w:hint="eastAsia"/>
        </w:rPr>
        <w:t>第八节“财务报告”中的“附注五</w:t>
      </w:r>
      <w:r>
        <w:rPr>
          <w:rFonts w:cs="宋体"/>
        </w:rPr>
        <w:t xml:space="preserve"> </w:t>
      </w:r>
      <w:r>
        <w:rPr>
          <w:rFonts w:cs="宋体" w:hint="eastAsia"/>
        </w:rPr>
        <w:t>合并财务报表主要项目注释”</w:t>
      </w:r>
      <w:r>
        <w:rPr>
          <w:rFonts w:cs="宋体" w:hint="eastAsia"/>
          <w:iCs/>
        </w:rPr>
        <w:t>。</w:t>
      </w:r>
    </w:p>
    <w:p w:rsidR="00AD5BB5" w:rsidRDefault="00F87FF6">
      <w:pPr>
        <w:spacing w:line="360" w:lineRule="auto"/>
        <w:ind w:firstLineChars="200" w:firstLine="422"/>
      </w:pPr>
      <w:r>
        <w:rPr>
          <w:rFonts w:hint="eastAsia"/>
          <w:b/>
        </w:rPr>
        <w:t>证券投资情况</w:t>
      </w:r>
    </w:p>
    <w:p w:rsidR="00AD5BB5" w:rsidRDefault="00F87FF6">
      <w:pPr>
        <w:numPr>
          <w:ilvl w:val="255"/>
          <w:numId w:val="0"/>
        </w:numPr>
        <w:spacing w:line="360" w:lineRule="auto"/>
        <w:ind w:firstLineChars="200" w:firstLine="420"/>
        <w:rPr>
          <w:rFonts w:cs="宋体"/>
          <w:iCs/>
        </w:rPr>
      </w:pPr>
      <w:r>
        <w:rPr>
          <w:rFonts w:cs="宋体" w:hint="eastAsia"/>
          <w:iCs/>
        </w:rPr>
        <w:t>请参阅第三节管理</w:t>
      </w:r>
      <w:proofErr w:type="gramStart"/>
      <w:r>
        <w:rPr>
          <w:rFonts w:cs="宋体" w:hint="eastAsia"/>
          <w:iCs/>
        </w:rPr>
        <w:t>层讨论</w:t>
      </w:r>
      <w:proofErr w:type="gramEnd"/>
      <w:r>
        <w:rPr>
          <w:rFonts w:cs="宋体" w:hint="eastAsia"/>
          <w:iCs/>
        </w:rPr>
        <w:t>与分析“</w:t>
      </w:r>
      <w:r>
        <w:rPr>
          <w:rFonts w:ascii="宋体" w:hAnsi="宋体" w:cs="宋体" w:hint="eastAsia"/>
          <w:iCs/>
        </w:rPr>
        <w:t>四、报告</w:t>
      </w:r>
      <w:r>
        <w:rPr>
          <w:rFonts w:cs="宋体" w:hint="eastAsia"/>
          <w:iCs/>
        </w:rPr>
        <w:t>内主要经营情况（二）资产负债表分析</w:t>
      </w:r>
      <w:r>
        <w:rPr>
          <w:rFonts w:cs="宋体" w:hint="eastAsia"/>
          <w:iCs/>
        </w:rPr>
        <w:t>3</w:t>
      </w:r>
      <w:r>
        <w:rPr>
          <w:rFonts w:cs="宋体" w:hint="eastAsia"/>
          <w:iCs/>
        </w:rPr>
        <w:t>、金融投资”。</w:t>
      </w:r>
    </w:p>
    <w:p w:rsidR="00AD5BB5" w:rsidRDefault="00F87FF6">
      <w:pPr>
        <w:spacing w:line="360" w:lineRule="auto"/>
        <w:ind w:firstLineChars="200" w:firstLine="422"/>
        <w:rPr>
          <w:rFonts w:ascii="Times New Roman" w:hAnsi="Times New Roman"/>
          <w:b/>
          <w:bCs/>
          <w:color w:val="FF0000"/>
        </w:rPr>
      </w:pPr>
      <w:r>
        <w:rPr>
          <w:rFonts w:hint="eastAsia"/>
          <w:b/>
        </w:rPr>
        <w:t>私募基金投资情况</w:t>
      </w:r>
      <w:r>
        <w:rPr>
          <w:rFonts w:ascii="Times New Roman" w:hAnsi="Times New Roman"/>
          <w:b/>
          <w:bCs/>
          <w:color w:val="FF0000"/>
        </w:rPr>
        <w:t xml:space="preserve"> </w:t>
      </w:r>
    </w:p>
    <w:p w:rsidR="00AD5BB5" w:rsidRDefault="00F87FF6">
      <w:pPr>
        <w:spacing w:line="360" w:lineRule="auto"/>
        <w:ind w:firstLineChars="200" w:firstLine="420"/>
        <w:rPr>
          <w:rFonts w:cs="宋体"/>
          <w:iCs/>
        </w:rPr>
      </w:pPr>
      <w:r>
        <w:rPr>
          <w:rFonts w:cs="宋体" w:hint="eastAsia"/>
          <w:iCs/>
        </w:rPr>
        <w:t>报告期内，公司不存在私募基金投资情况。</w:t>
      </w:r>
    </w:p>
    <w:p w:rsidR="00AD5BB5" w:rsidRDefault="00F87FF6">
      <w:pPr>
        <w:spacing w:line="360" w:lineRule="auto"/>
        <w:ind w:firstLineChars="200" w:firstLine="422"/>
        <w:rPr>
          <w:rFonts w:cs="宋体"/>
          <w:iCs/>
        </w:rPr>
      </w:pPr>
      <w:r>
        <w:rPr>
          <w:rFonts w:hint="eastAsia"/>
          <w:b/>
        </w:rPr>
        <w:t>衍生</w:t>
      </w:r>
      <w:proofErr w:type="gramStart"/>
      <w:r>
        <w:rPr>
          <w:rFonts w:hint="eastAsia"/>
          <w:b/>
        </w:rPr>
        <w:t>品投资</w:t>
      </w:r>
      <w:proofErr w:type="gramEnd"/>
      <w:r>
        <w:rPr>
          <w:rFonts w:hint="eastAsia"/>
          <w:b/>
        </w:rPr>
        <w:t>情况</w:t>
      </w:r>
      <w:r>
        <w:rPr>
          <w:rFonts w:cs="宋体"/>
          <w:iCs/>
        </w:rPr>
        <w:t xml:space="preserve"> </w:t>
      </w:r>
    </w:p>
    <w:p w:rsidR="00AD5BB5" w:rsidRDefault="00F87FF6">
      <w:pPr>
        <w:spacing w:line="360" w:lineRule="auto"/>
        <w:ind w:firstLineChars="200" w:firstLine="420"/>
        <w:rPr>
          <w:rFonts w:cs="宋体"/>
          <w:iCs/>
        </w:rPr>
      </w:pPr>
      <w:r>
        <w:rPr>
          <w:rFonts w:cs="宋体" w:hint="eastAsia"/>
        </w:rPr>
        <w:t>报告期内，公司衍生</w:t>
      </w:r>
      <w:proofErr w:type="gramStart"/>
      <w:r>
        <w:rPr>
          <w:rFonts w:cs="宋体" w:hint="eastAsia"/>
        </w:rPr>
        <w:t>品投资</w:t>
      </w:r>
      <w:proofErr w:type="gramEnd"/>
      <w:r>
        <w:rPr>
          <w:rFonts w:cs="宋体" w:hint="eastAsia"/>
        </w:rPr>
        <w:t>情况详见第八节“财务报告”中的“附注五</w:t>
      </w:r>
      <w:r>
        <w:rPr>
          <w:rFonts w:cs="宋体"/>
        </w:rPr>
        <w:t xml:space="preserve"> </w:t>
      </w:r>
      <w:r>
        <w:rPr>
          <w:rFonts w:cs="宋体" w:hint="eastAsia"/>
        </w:rPr>
        <w:t>合并财务报表主要项目注释”。</w:t>
      </w:r>
    </w:p>
    <w:p w:rsidR="00AD5BB5" w:rsidRDefault="00F87FF6">
      <w:pPr>
        <w:pStyle w:val="4"/>
        <w:numPr>
          <w:ilvl w:val="0"/>
          <w:numId w:val="12"/>
        </w:numPr>
        <w:spacing w:line="360" w:lineRule="auto"/>
        <w:rPr>
          <w:rFonts w:ascii="Times New Roman" w:hAnsi="Times New Roman" w:cs="Times New Roman"/>
        </w:rPr>
      </w:pPr>
      <w:r>
        <w:rPr>
          <w:rFonts w:ascii="Times New Roman" w:hAnsi="Times New Roman" w:cs="Times New Roman" w:hint="eastAsia"/>
        </w:rPr>
        <w:t>重大资产和股权出售</w:t>
      </w:r>
    </w:p>
    <w:p w:rsidR="00AD5BB5" w:rsidRDefault="00F87FF6">
      <w:pPr>
        <w:numPr>
          <w:ilvl w:val="255"/>
          <w:numId w:val="0"/>
        </w:numPr>
        <w:spacing w:line="360" w:lineRule="auto"/>
        <w:ind w:firstLineChars="200" w:firstLine="420"/>
        <w:rPr>
          <w:rFonts w:ascii="Times New Roman" w:hAnsi="Times New Roman" w:cs="Times New Roman"/>
          <w:szCs w:val="21"/>
        </w:rPr>
      </w:pPr>
      <w:r>
        <w:rPr>
          <w:rFonts w:ascii="Times New Roman" w:hAnsi="Times New Roman" w:cs="Times New Roman"/>
          <w:szCs w:val="21"/>
        </w:rPr>
        <w:t>报告期内，公司无重大资产和股权出售事项。</w:t>
      </w:r>
    </w:p>
    <w:p w:rsidR="00AD5BB5" w:rsidRDefault="00F87FF6">
      <w:pPr>
        <w:pStyle w:val="4"/>
        <w:numPr>
          <w:ilvl w:val="0"/>
          <w:numId w:val="12"/>
        </w:numPr>
        <w:spacing w:line="360" w:lineRule="auto"/>
        <w:rPr>
          <w:rFonts w:ascii="Times New Roman" w:hAnsi="Times New Roman" w:cs="Times New Roman"/>
        </w:rPr>
      </w:pPr>
      <w:r>
        <w:rPr>
          <w:rFonts w:ascii="Times New Roman" w:hAnsi="Times New Roman" w:cs="Times New Roman" w:hint="eastAsia"/>
        </w:rPr>
        <w:lastRenderedPageBreak/>
        <w:t>主要控股参股公司分析</w:t>
      </w:r>
    </w:p>
    <w:p w:rsidR="00AD5BB5" w:rsidRDefault="00F87FF6">
      <w:pPr>
        <w:spacing w:line="360" w:lineRule="auto"/>
        <w:ind w:firstLineChars="200" w:firstLine="420"/>
        <w:rPr>
          <w:rFonts w:ascii="Times New Roman" w:hAnsi="Times New Roman" w:cs="Times New Roman"/>
          <w:bCs/>
        </w:rPr>
      </w:pPr>
      <w:r>
        <w:rPr>
          <w:rFonts w:ascii="Times New Roman" w:hAnsi="Times New Roman" w:cs="Times New Roman" w:hint="eastAsia"/>
          <w:bCs/>
        </w:rPr>
        <w:t>福建海西金融租赁有限责任公司（以下简称“海西金租”）成立于</w:t>
      </w:r>
      <w:r>
        <w:rPr>
          <w:rFonts w:ascii="Times New Roman" w:hAnsi="Times New Roman" w:cs="Times New Roman" w:hint="eastAsia"/>
          <w:bCs/>
        </w:rPr>
        <w:t>2016</w:t>
      </w:r>
      <w:r>
        <w:rPr>
          <w:rFonts w:ascii="Times New Roman" w:hAnsi="Times New Roman" w:cs="Times New Roman" w:hint="eastAsia"/>
          <w:bCs/>
        </w:rPr>
        <w:t>年</w:t>
      </w:r>
      <w:r>
        <w:rPr>
          <w:rFonts w:ascii="Times New Roman" w:hAnsi="Times New Roman" w:cs="Times New Roman" w:hint="eastAsia"/>
          <w:bCs/>
        </w:rPr>
        <w:t>9</w:t>
      </w:r>
      <w:r>
        <w:rPr>
          <w:rFonts w:ascii="Times New Roman" w:hAnsi="Times New Roman" w:cs="Times New Roman" w:hint="eastAsia"/>
          <w:bCs/>
        </w:rPr>
        <w:t>月</w:t>
      </w:r>
      <w:r>
        <w:rPr>
          <w:rFonts w:ascii="Times New Roman" w:hAnsi="Times New Roman" w:cs="Times New Roman" w:hint="eastAsia"/>
          <w:bCs/>
        </w:rPr>
        <w:t>9</w:t>
      </w:r>
      <w:r>
        <w:rPr>
          <w:rFonts w:ascii="Times New Roman" w:hAnsi="Times New Roman" w:cs="Times New Roman" w:hint="eastAsia"/>
          <w:bCs/>
        </w:rPr>
        <w:t>日，系公司作为控股股东发起设立的福建省内第一家法人金融租赁公司，截至</w:t>
      </w:r>
      <w:r>
        <w:rPr>
          <w:rFonts w:ascii="Times New Roman" w:hAnsi="Times New Roman" w:cs="Times New Roman" w:hint="eastAsia"/>
          <w:bCs/>
        </w:rPr>
        <w:t>2023</w:t>
      </w:r>
      <w:r>
        <w:rPr>
          <w:rFonts w:ascii="Times New Roman" w:hAnsi="Times New Roman" w:cs="Times New Roman" w:hint="eastAsia"/>
          <w:bCs/>
        </w:rPr>
        <w:t>年</w:t>
      </w:r>
      <w:r>
        <w:rPr>
          <w:rFonts w:ascii="Times New Roman" w:hAnsi="Times New Roman" w:cs="Times New Roman" w:hint="eastAsia"/>
          <w:bCs/>
        </w:rPr>
        <w:t>6</w:t>
      </w:r>
      <w:r>
        <w:rPr>
          <w:rFonts w:ascii="Times New Roman" w:hAnsi="Times New Roman" w:cs="Times New Roman" w:hint="eastAsia"/>
          <w:bCs/>
        </w:rPr>
        <w:t>月</w:t>
      </w:r>
      <w:r>
        <w:rPr>
          <w:rFonts w:ascii="Times New Roman" w:hAnsi="Times New Roman" w:cs="Times New Roman" w:hint="eastAsia"/>
          <w:bCs/>
        </w:rPr>
        <w:t>3</w:t>
      </w:r>
      <w:r>
        <w:rPr>
          <w:rFonts w:ascii="Times New Roman" w:hAnsi="Times New Roman" w:cs="Times New Roman"/>
          <w:bCs/>
        </w:rPr>
        <w:t>0</w:t>
      </w:r>
      <w:r>
        <w:rPr>
          <w:rFonts w:ascii="Times New Roman" w:hAnsi="Times New Roman" w:cs="Times New Roman"/>
          <w:bCs/>
        </w:rPr>
        <w:t>日</w:t>
      </w:r>
      <w:r>
        <w:rPr>
          <w:rFonts w:ascii="Times New Roman" w:hAnsi="Times New Roman" w:cs="Times New Roman" w:hint="eastAsia"/>
          <w:bCs/>
        </w:rPr>
        <w:t>，公司持股比例为</w:t>
      </w:r>
      <w:r>
        <w:rPr>
          <w:rFonts w:ascii="Times New Roman" w:hAnsi="Times New Roman" w:cs="Times New Roman" w:hint="eastAsia"/>
          <w:bCs/>
        </w:rPr>
        <w:t>69.75%</w:t>
      </w:r>
      <w:r>
        <w:rPr>
          <w:rFonts w:ascii="Times New Roman" w:hAnsi="Times New Roman" w:cs="Times New Roman" w:hint="eastAsia"/>
          <w:bCs/>
        </w:rPr>
        <w:t>，为公司控股子公司。海西</w:t>
      </w:r>
      <w:proofErr w:type="gramStart"/>
      <w:r>
        <w:rPr>
          <w:rFonts w:ascii="Times New Roman" w:hAnsi="Times New Roman" w:cs="Times New Roman" w:hint="eastAsia"/>
          <w:bCs/>
        </w:rPr>
        <w:t>金租明确</w:t>
      </w:r>
      <w:proofErr w:type="gramEnd"/>
      <w:r>
        <w:rPr>
          <w:rFonts w:ascii="Times New Roman" w:hAnsi="Times New Roman" w:cs="Times New Roman" w:hint="eastAsia"/>
          <w:bCs/>
        </w:rPr>
        <w:t>“立足泉州，深耕福建”的区域定位，充分发挥“融资</w:t>
      </w:r>
      <w:r>
        <w:rPr>
          <w:rFonts w:ascii="Times New Roman" w:hAnsi="Times New Roman" w:cs="Times New Roman" w:hint="eastAsia"/>
          <w:bCs/>
        </w:rPr>
        <w:t>+</w:t>
      </w:r>
      <w:r>
        <w:rPr>
          <w:rFonts w:ascii="Times New Roman" w:hAnsi="Times New Roman" w:cs="Times New Roman" w:hint="eastAsia"/>
          <w:bCs/>
        </w:rPr>
        <w:t>融物</w:t>
      </w:r>
      <w:r>
        <w:rPr>
          <w:rFonts w:ascii="Times New Roman" w:hAnsi="Times New Roman" w:cs="Times New Roman" w:hint="eastAsia"/>
          <w:bCs/>
        </w:rPr>
        <w:t>+</w:t>
      </w:r>
      <w:r>
        <w:rPr>
          <w:rFonts w:ascii="Times New Roman" w:hAnsi="Times New Roman" w:cs="Times New Roman" w:hint="eastAsia"/>
          <w:bCs/>
        </w:rPr>
        <w:t>融智”的功能，做出特色，服务实体经济发展，促进地方经济发展和产业转型升级。截至</w:t>
      </w:r>
      <w:r>
        <w:rPr>
          <w:rFonts w:ascii="Times New Roman" w:hAnsi="Times New Roman" w:cs="Times New Roman" w:hint="eastAsia"/>
          <w:bCs/>
        </w:rPr>
        <w:t>2023</w:t>
      </w:r>
      <w:r>
        <w:rPr>
          <w:rFonts w:ascii="Times New Roman" w:hAnsi="Times New Roman" w:cs="Times New Roman" w:hint="eastAsia"/>
          <w:bCs/>
        </w:rPr>
        <w:t>年</w:t>
      </w:r>
      <w:r>
        <w:rPr>
          <w:rFonts w:ascii="Times New Roman" w:hAnsi="Times New Roman" w:cs="Times New Roman"/>
          <w:bCs/>
        </w:rPr>
        <w:t>6</w:t>
      </w:r>
      <w:r>
        <w:rPr>
          <w:rFonts w:ascii="Times New Roman" w:hAnsi="Times New Roman" w:cs="Times New Roman" w:hint="eastAsia"/>
          <w:bCs/>
        </w:rPr>
        <w:t>月</w:t>
      </w:r>
      <w:r>
        <w:rPr>
          <w:rFonts w:ascii="Times New Roman" w:hAnsi="Times New Roman" w:cs="Times New Roman" w:hint="eastAsia"/>
          <w:bCs/>
        </w:rPr>
        <w:t>3</w:t>
      </w:r>
      <w:r>
        <w:rPr>
          <w:rFonts w:ascii="Times New Roman" w:hAnsi="Times New Roman" w:cs="Times New Roman"/>
          <w:bCs/>
        </w:rPr>
        <w:t>0</w:t>
      </w:r>
      <w:r>
        <w:rPr>
          <w:rFonts w:ascii="Times New Roman" w:hAnsi="Times New Roman" w:cs="Times New Roman" w:hint="eastAsia"/>
          <w:bCs/>
        </w:rPr>
        <w:t>日，海西</w:t>
      </w:r>
      <w:proofErr w:type="gramStart"/>
      <w:r>
        <w:rPr>
          <w:rFonts w:ascii="Times New Roman" w:hAnsi="Times New Roman" w:cs="Times New Roman" w:hint="eastAsia"/>
          <w:bCs/>
        </w:rPr>
        <w:t>金租总</w:t>
      </w:r>
      <w:proofErr w:type="gramEnd"/>
      <w:r>
        <w:rPr>
          <w:rFonts w:ascii="Times New Roman" w:hAnsi="Times New Roman" w:cs="Times New Roman" w:hint="eastAsia"/>
          <w:bCs/>
        </w:rPr>
        <w:t>资产为</w:t>
      </w:r>
      <w:r>
        <w:rPr>
          <w:rFonts w:ascii="Times New Roman" w:hAnsi="Times New Roman" w:cs="Times New Roman" w:hint="eastAsia"/>
          <w:bCs/>
        </w:rPr>
        <w:t>144.33</w:t>
      </w:r>
      <w:r>
        <w:rPr>
          <w:rFonts w:ascii="Times New Roman" w:hAnsi="Times New Roman" w:cs="Times New Roman" w:hint="eastAsia"/>
          <w:bCs/>
        </w:rPr>
        <w:t>亿元，净资产为</w:t>
      </w:r>
      <w:r>
        <w:rPr>
          <w:rFonts w:ascii="Times New Roman" w:hAnsi="Times New Roman" w:cs="Times New Roman" w:hint="eastAsia"/>
          <w:bCs/>
        </w:rPr>
        <w:t>19.78</w:t>
      </w:r>
      <w:r>
        <w:rPr>
          <w:rFonts w:ascii="Times New Roman" w:hAnsi="Times New Roman" w:cs="Times New Roman" w:hint="eastAsia"/>
          <w:bCs/>
        </w:rPr>
        <w:t>亿元，报告期内累计营业收入</w:t>
      </w:r>
      <w:r>
        <w:rPr>
          <w:rFonts w:ascii="Times New Roman" w:hAnsi="Times New Roman" w:cs="Times New Roman" w:hint="eastAsia"/>
          <w:bCs/>
        </w:rPr>
        <w:t>2.96</w:t>
      </w:r>
      <w:r>
        <w:rPr>
          <w:rFonts w:ascii="Times New Roman" w:hAnsi="Times New Roman" w:cs="Times New Roman" w:hint="eastAsia"/>
          <w:bCs/>
        </w:rPr>
        <w:t>亿元，净利润为</w:t>
      </w:r>
      <w:r>
        <w:rPr>
          <w:rFonts w:ascii="Times New Roman" w:hAnsi="Times New Roman" w:cs="Times New Roman" w:hint="eastAsia"/>
          <w:bCs/>
        </w:rPr>
        <w:t>1.54</w:t>
      </w:r>
      <w:r>
        <w:rPr>
          <w:rFonts w:ascii="Times New Roman" w:hAnsi="Times New Roman" w:cs="Times New Roman" w:hint="eastAsia"/>
          <w:bCs/>
        </w:rPr>
        <w:t>亿元。</w:t>
      </w:r>
    </w:p>
    <w:p w:rsidR="00AD5BB5" w:rsidRDefault="00AD5BB5">
      <w:pPr>
        <w:spacing w:line="360" w:lineRule="auto"/>
        <w:ind w:firstLineChars="200" w:firstLine="420"/>
        <w:rPr>
          <w:rFonts w:ascii="Times New Roman" w:hAnsi="Times New Roman" w:cs="Times New Roman"/>
          <w:bCs/>
        </w:rPr>
      </w:pPr>
    </w:p>
    <w:p w:rsidR="00AD5BB5" w:rsidRDefault="00F87FF6">
      <w:pPr>
        <w:pStyle w:val="3"/>
        <w:spacing w:line="360" w:lineRule="auto"/>
        <w:ind w:firstLineChars="200" w:firstLine="422"/>
        <w:rPr>
          <w:rFonts w:ascii="Times New Roman" w:hAnsi="Times New Roman" w:cs="Times New Roman"/>
          <w:bCs/>
          <w:kern w:val="0"/>
        </w:rPr>
      </w:pPr>
      <w:r>
        <w:rPr>
          <w:rFonts w:ascii="Times New Roman" w:hAnsi="Times New Roman" w:cs="Times New Roman" w:hint="eastAsia"/>
        </w:rPr>
        <w:t>（七）</w:t>
      </w:r>
      <w:r>
        <w:t>公司控制的结构化主体情况</w:t>
      </w:r>
    </w:p>
    <w:p w:rsidR="00AD5BB5" w:rsidRDefault="00F87FF6">
      <w:pPr>
        <w:numPr>
          <w:ilvl w:val="255"/>
          <w:numId w:val="0"/>
        </w:numPr>
        <w:spacing w:line="360" w:lineRule="auto"/>
        <w:ind w:firstLineChars="200" w:firstLine="420"/>
        <w:rPr>
          <w:rFonts w:ascii="Times New Roman" w:hAnsi="Times New Roman" w:cs="Times New Roman"/>
        </w:rPr>
      </w:pPr>
      <w:r>
        <w:rPr>
          <w:rFonts w:ascii="Times New Roman" w:hAnsi="Times New Roman" w:cs="Times New Roman"/>
        </w:rPr>
        <w:t>公司结构化主体情况详见</w:t>
      </w:r>
      <w:r>
        <w:rPr>
          <w:rFonts w:ascii="Times New Roman" w:hAnsi="Times New Roman" w:cs="Times New Roman"/>
        </w:rPr>
        <w:t>“</w:t>
      </w:r>
      <w:r>
        <w:rPr>
          <w:rFonts w:ascii="Times New Roman" w:hAnsi="Times New Roman" w:cs="Times New Roman" w:hint="eastAsia"/>
        </w:rPr>
        <w:t>第</w:t>
      </w:r>
      <w:r>
        <w:rPr>
          <w:rFonts w:ascii="Times New Roman" w:hAnsi="Times New Roman" w:cs="Times New Roman"/>
        </w:rPr>
        <w:t>八</w:t>
      </w:r>
      <w:r>
        <w:rPr>
          <w:rFonts w:ascii="Times New Roman" w:hAnsi="Times New Roman" w:cs="Times New Roman" w:hint="eastAsia"/>
        </w:rPr>
        <w:t>节</w:t>
      </w:r>
      <w:r>
        <w:rPr>
          <w:rFonts w:ascii="Times New Roman" w:hAnsi="Times New Roman" w:cs="Times New Roman"/>
        </w:rPr>
        <w:t xml:space="preserve"> </w:t>
      </w:r>
      <w:r>
        <w:rPr>
          <w:rFonts w:ascii="Times New Roman" w:hAnsi="Times New Roman" w:cs="Times New Roman" w:hint="eastAsia"/>
        </w:rPr>
        <w:t>财务报</w:t>
      </w:r>
      <w:r>
        <w:rPr>
          <w:rFonts w:ascii="Times New Roman" w:hAnsi="Times New Roman" w:cs="Times New Roman"/>
        </w:rPr>
        <w:t>告</w:t>
      </w:r>
      <w:r>
        <w:rPr>
          <w:rFonts w:ascii="Times New Roman" w:hAnsi="Times New Roman" w:cs="Times New Roman"/>
        </w:rPr>
        <w:t>”</w:t>
      </w:r>
      <w:r>
        <w:rPr>
          <w:rFonts w:ascii="Times New Roman" w:hAnsi="Times New Roman" w:cs="Times New Roman"/>
        </w:rPr>
        <w:t>中的</w:t>
      </w:r>
      <w:r>
        <w:rPr>
          <w:rFonts w:ascii="Times New Roman" w:hAnsi="Times New Roman" w:cs="Times New Roman" w:hint="eastAsia"/>
        </w:rPr>
        <w:t>“</w:t>
      </w:r>
      <w:r>
        <w:rPr>
          <w:rFonts w:ascii="Times New Roman" w:hAnsi="Times New Roman" w:cs="Times New Roman"/>
        </w:rPr>
        <w:t>附注七、在其他主体中的权益</w:t>
      </w:r>
      <w:r>
        <w:rPr>
          <w:rFonts w:ascii="Times New Roman" w:hAnsi="Times New Roman" w:cs="Times New Roman"/>
        </w:rPr>
        <w:t>”</w:t>
      </w:r>
      <w:r>
        <w:rPr>
          <w:rFonts w:ascii="Times New Roman" w:hAnsi="Times New Roman" w:cs="Times New Roman"/>
        </w:rPr>
        <w:t>。</w:t>
      </w:r>
    </w:p>
    <w:p w:rsidR="00AD5BB5" w:rsidRDefault="00AD5BB5">
      <w:pPr>
        <w:numPr>
          <w:ilvl w:val="255"/>
          <w:numId w:val="0"/>
        </w:numPr>
        <w:spacing w:line="360" w:lineRule="auto"/>
        <w:ind w:firstLineChars="200" w:firstLine="420"/>
        <w:rPr>
          <w:rFonts w:ascii="Times New Roman" w:hAnsi="Times New Roman" w:cs="Times New Roman"/>
        </w:rPr>
      </w:pPr>
    </w:p>
    <w:p w:rsidR="00AD5BB5" w:rsidRDefault="00F87FF6">
      <w:pPr>
        <w:pStyle w:val="3"/>
        <w:spacing w:line="360" w:lineRule="auto"/>
        <w:ind w:firstLineChars="200" w:firstLine="422"/>
        <w:rPr>
          <w:rFonts w:ascii="Times New Roman" w:hAnsi="Times New Roman" w:cs="Times New Roman"/>
        </w:rPr>
      </w:pPr>
      <w:r>
        <w:rPr>
          <w:rFonts w:ascii="Times New Roman" w:hAnsi="Times New Roman" w:cs="Times New Roman" w:hint="eastAsia"/>
        </w:rPr>
        <w:t>（八）</w:t>
      </w:r>
      <w:r>
        <w:rPr>
          <w:rFonts w:ascii="Times New Roman" w:hAnsi="Times New Roman" w:cs="Times New Roman" w:hint="eastAsia"/>
          <w:bCs/>
          <w:kern w:val="0"/>
        </w:rPr>
        <w:t>报告期分级管理情况及各层级各分支机构数量和地区分部情</w:t>
      </w:r>
      <w:r>
        <w:rPr>
          <w:rFonts w:ascii="Times New Roman" w:hAnsi="Times New Roman" w:cs="Times New Roman" w:hint="eastAsia"/>
        </w:rPr>
        <w:t>况</w:t>
      </w:r>
    </w:p>
    <w:p w:rsidR="00AD5BB5" w:rsidRDefault="00F87FF6">
      <w:pPr>
        <w:spacing w:line="360" w:lineRule="auto"/>
        <w:ind w:firstLineChars="200" w:firstLine="420"/>
        <w:rPr>
          <w:rFonts w:ascii="宋体" w:hAnsi="宋体" w:cs="宋体"/>
        </w:rPr>
      </w:pPr>
      <w:r>
        <w:rPr>
          <w:rFonts w:ascii="Times New Roman" w:hAnsi="Times New Roman" w:cs="Times New Roman" w:hint="eastAsia"/>
          <w:bCs/>
        </w:rPr>
        <w:t>截至</w:t>
      </w:r>
      <w:r>
        <w:rPr>
          <w:rFonts w:ascii="Times New Roman" w:hAnsi="Times New Roman" w:cs="Times New Roman"/>
          <w:bCs/>
        </w:rPr>
        <w:t>2023</w:t>
      </w:r>
      <w:r>
        <w:rPr>
          <w:rFonts w:ascii="Times New Roman" w:hAnsi="Times New Roman" w:cs="Times New Roman" w:hint="eastAsia"/>
          <w:bCs/>
        </w:rPr>
        <w:t>年</w:t>
      </w:r>
      <w:r>
        <w:rPr>
          <w:rFonts w:ascii="Times New Roman" w:hAnsi="Times New Roman" w:cs="Times New Roman"/>
          <w:bCs/>
        </w:rPr>
        <w:t>6</w:t>
      </w:r>
      <w:r>
        <w:rPr>
          <w:rFonts w:ascii="Times New Roman" w:hAnsi="Times New Roman" w:cs="Times New Roman" w:hint="eastAsia"/>
          <w:bCs/>
        </w:rPr>
        <w:t>月</w:t>
      </w:r>
      <w:r>
        <w:rPr>
          <w:rFonts w:ascii="Times New Roman" w:hAnsi="Times New Roman" w:cs="Times New Roman"/>
          <w:bCs/>
        </w:rPr>
        <w:t>30</w:t>
      </w:r>
      <w:r>
        <w:rPr>
          <w:rFonts w:ascii="Times New Roman" w:hAnsi="Times New Roman" w:cs="Times New Roman" w:hint="eastAsia"/>
          <w:bCs/>
        </w:rPr>
        <w:t>日，公司有</w:t>
      </w:r>
      <w:r>
        <w:rPr>
          <w:rFonts w:ascii="Times New Roman" w:hAnsi="Times New Roman" w:cs="Times New Roman"/>
          <w:bCs/>
        </w:rPr>
        <w:t>9</w:t>
      </w:r>
      <w:r>
        <w:rPr>
          <w:rFonts w:ascii="Times New Roman" w:hAnsi="Times New Roman" w:cs="Times New Roman" w:hint="eastAsia"/>
          <w:bCs/>
        </w:rPr>
        <w:t>家分行，</w:t>
      </w:r>
      <w:r>
        <w:rPr>
          <w:rFonts w:ascii="Times New Roman" w:hAnsi="Times New Roman" w:cs="Times New Roman"/>
          <w:bCs/>
        </w:rPr>
        <w:t>2</w:t>
      </w:r>
      <w:r>
        <w:rPr>
          <w:rFonts w:ascii="Times New Roman" w:hAnsi="Times New Roman" w:cs="Times New Roman" w:hint="eastAsia"/>
          <w:bCs/>
        </w:rPr>
        <w:t>家专营机构，</w:t>
      </w:r>
      <w:r>
        <w:rPr>
          <w:rFonts w:ascii="Times New Roman" w:hAnsi="Times New Roman" w:cs="Times New Roman"/>
          <w:bCs/>
        </w:rPr>
        <w:t>104</w:t>
      </w:r>
      <w:r>
        <w:rPr>
          <w:rFonts w:ascii="Times New Roman" w:hAnsi="Times New Roman" w:cs="Times New Roman" w:hint="eastAsia"/>
          <w:bCs/>
        </w:rPr>
        <w:t>家支行和</w:t>
      </w:r>
      <w:r>
        <w:rPr>
          <w:rFonts w:ascii="Times New Roman" w:hAnsi="Times New Roman" w:cs="Times New Roman"/>
          <w:bCs/>
        </w:rPr>
        <w:t>1</w:t>
      </w:r>
      <w:r>
        <w:rPr>
          <w:rFonts w:ascii="Times New Roman" w:hAnsi="Times New Roman" w:cs="Times New Roman" w:hint="eastAsia"/>
          <w:bCs/>
        </w:rPr>
        <w:t>家总行营业部。其中，厦门地区设有支行</w:t>
      </w:r>
      <w:r>
        <w:rPr>
          <w:rFonts w:ascii="Times New Roman" w:hAnsi="Times New Roman" w:cs="Times New Roman"/>
          <w:bCs/>
        </w:rPr>
        <w:t>38</w:t>
      </w:r>
      <w:r>
        <w:rPr>
          <w:rFonts w:ascii="Times New Roman" w:hAnsi="Times New Roman" w:cs="Times New Roman" w:hint="eastAsia"/>
          <w:bCs/>
        </w:rPr>
        <w:t>家，总行营业部</w:t>
      </w:r>
      <w:r>
        <w:rPr>
          <w:rFonts w:ascii="Times New Roman" w:hAnsi="Times New Roman" w:cs="Times New Roman"/>
          <w:bCs/>
        </w:rPr>
        <w:t>1</w:t>
      </w:r>
      <w:r>
        <w:rPr>
          <w:rFonts w:ascii="Times New Roman" w:hAnsi="Times New Roman" w:cs="Times New Roman" w:hint="eastAsia"/>
          <w:bCs/>
        </w:rPr>
        <w:t>家；在福州、泉州、重庆、漳州、莆田、南平、宁德、三明、龙岩</w:t>
      </w:r>
      <w:r>
        <w:rPr>
          <w:rFonts w:ascii="Times New Roman" w:hAnsi="Times New Roman" w:cs="Times New Roman"/>
          <w:bCs/>
        </w:rPr>
        <w:t>9</w:t>
      </w:r>
      <w:r>
        <w:rPr>
          <w:rFonts w:ascii="Times New Roman" w:hAnsi="Times New Roman" w:cs="Times New Roman" w:hint="eastAsia"/>
          <w:bCs/>
        </w:rPr>
        <w:t>地各设有</w:t>
      </w:r>
      <w:r>
        <w:rPr>
          <w:rFonts w:ascii="Times New Roman" w:hAnsi="Times New Roman" w:cs="Times New Roman"/>
          <w:bCs/>
        </w:rPr>
        <w:t>1</w:t>
      </w:r>
      <w:r>
        <w:rPr>
          <w:rFonts w:ascii="Times New Roman" w:hAnsi="Times New Roman" w:cs="Times New Roman" w:hint="eastAsia"/>
          <w:bCs/>
        </w:rPr>
        <w:t>家分行，合计设有支行</w:t>
      </w:r>
      <w:r>
        <w:rPr>
          <w:rFonts w:ascii="Times New Roman" w:hAnsi="Times New Roman" w:cs="Times New Roman"/>
          <w:bCs/>
        </w:rPr>
        <w:t>66</w:t>
      </w:r>
      <w:r>
        <w:rPr>
          <w:rFonts w:ascii="Times New Roman" w:hAnsi="Times New Roman" w:cs="Times New Roman" w:hint="eastAsia"/>
          <w:bCs/>
        </w:rPr>
        <w:t>家；在厦门、福州</w:t>
      </w:r>
      <w:r>
        <w:rPr>
          <w:rFonts w:ascii="Times New Roman" w:hAnsi="Times New Roman" w:cs="Times New Roman"/>
          <w:bCs/>
        </w:rPr>
        <w:t>2</w:t>
      </w:r>
      <w:r>
        <w:rPr>
          <w:rFonts w:ascii="Times New Roman" w:hAnsi="Times New Roman" w:cs="Times New Roman" w:hint="eastAsia"/>
          <w:bCs/>
        </w:rPr>
        <w:t>地分别设有</w:t>
      </w:r>
      <w:r>
        <w:rPr>
          <w:rFonts w:ascii="Times New Roman" w:hAnsi="Times New Roman" w:cs="Times New Roman"/>
          <w:bCs/>
        </w:rPr>
        <w:t>1</w:t>
      </w:r>
      <w:r>
        <w:rPr>
          <w:rFonts w:ascii="Times New Roman" w:hAnsi="Times New Roman" w:cs="Times New Roman" w:hint="eastAsia"/>
          <w:bCs/>
        </w:rPr>
        <w:t>家专营机构，公司总行及分支机构的基本情况如下表列示：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1539"/>
        <w:gridCol w:w="2368"/>
        <w:gridCol w:w="702"/>
        <w:gridCol w:w="1523"/>
        <w:gridCol w:w="1561"/>
      </w:tblGrid>
      <w:tr w:rsidR="00AD5BB5">
        <w:tc>
          <w:tcPr>
            <w:tcW w:w="36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pStyle w:val="aff2"/>
              <w:ind w:firstLineChars="0" w:firstLine="0"/>
              <w:jc w:val="center"/>
              <w:rPr>
                <w:rFonts w:ascii="Times New Roman" w:hAnsi="Times New Roman" w:cs="Times New Roman"/>
                <w:b/>
                <w:bCs/>
              </w:rPr>
            </w:pPr>
          </w:p>
        </w:tc>
        <w:tc>
          <w:tcPr>
            <w:tcW w:w="92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center"/>
              <w:rPr>
                <w:rFonts w:ascii="Times New Roman" w:hAnsi="Times New Roman" w:cs="Times New Roman"/>
                <w:b/>
                <w:bCs/>
              </w:rPr>
            </w:pPr>
            <w:r>
              <w:rPr>
                <w:rFonts w:ascii="Times New Roman" w:hAnsi="Times New Roman" w:cs="Times New Roman"/>
                <w:b/>
                <w:bCs/>
              </w:rPr>
              <w:t>地区</w:t>
            </w:r>
            <w:r>
              <w:rPr>
                <w:rFonts w:ascii="Times New Roman" w:hAnsi="Times New Roman" w:cs="Times New Roman"/>
                <w:b/>
                <w:bCs/>
              </w:rPr>
              <w:t>/</w:t>
            </w:r>
            <w:r>
              <w:rPr>
                <w:rFonts w:ascii="Times New Roman" w:hAnsi="Times New Roman" w:cs="Times New Roman"/>
                <w:b/>
                <w:bCs/>
              </w:rPr>
              <w:t>机构名称</w:t>
            </w:r>
          </w:p>
        </w:tc>
        <w:tc>
          <w:tcPr>
            <w:tcW w:w="142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center"/>
              <w:rPr>
                <w:rFonts w:ascii="Times New Roman" w:hAnsi="Times New Roman" w:cs="Times New Roman"/>
                <w:b/>
                <w:bCs/>
              </w:rPr>
            </w:pPr>
            <w:r>
              <w:rPr>
                <w:rFonts w:ascii="Times New Roman" w:hAnsi="Times New Roman" w:cs="Times New Roman"/>
                <w:b/>
                <w:bCs/>
              </w:rPr>
              <w:t>地址</w:t>
            </w:r>
          </w:p>
        </w:tc>
        <w:tc>
          <w:tcPr>
            <w:tcW w:w="42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center"/>
              <w:rPr>
                <w:rFonts w:ascii="Times New Roman" w:hAnsi="Times New Roman" w:cs="Times New Roman"/>
                <w:b/>
                <w:bCs/>
              </w:rPr>
            </w:pPr>
            <w:r>
              <w:rPr>
                <w:rFonts w:ascii="Times New Roman" w:hAnsi="Times New Roman" w:cs="Times New Roman"/>
                <w:b/>
                <w:bCs/>
              </w:rPr>
              <w:t>机构数</w:t>
            </w:r>
          </w:p>
        </w:tc>
        <w:tc>
          <w:tcPr>
            <w:tcW w:w="91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center"/>
              <w:rPr>
                <w:rFonts w:ascii="Times New Roman" w:hAnsi="Times New Roman" w:cs="Times New Roman"/>
                <w:b/>
                <w:bCs/>
              </w:rPr>
            </w:pPr>
            <w:r>
              <w:rPr>
                <w:rFonts w:ascii="Times New Roman" w:hAnsi="Times New Roman" w:cs="Times New Roman"/>
                <w:b/>
                <w:bCs/>
              </w:rPr>
              <w:t>员工数</w:t>
            </w:r>
          </w:p>
        </w:tc>
        <w:tc>
          <w:tcPr>
            <w:tcW w:w="939"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center"/>
              <w:rPr>
                <w:rFonts w:ascii="Times New Roman" w:hAnsi="Times New Roman" w:cs="Times New Roman"/>
                <w:b/>
                <w:bCs/>
              </w:rPr>
            </w:pPr>
            <w:r>
              <w:rPr>
                <w:rFonts w:ascii="Times New Roman" w:hAnsi="Times New Roman" w:cs="Times New Roman"/>
                <w:b/>
                <w:bCs/>
              </w:rPr>
              <w:t>资产规模</w:t>
            </w:r>
          </w:p>
          <w:p w:rsidR="00AD5BB5" w:rsidRDefault="00F87FF6">
            <w:pPr>
              <w:pStyle w:val="aff2"/>
              <w:ind w:firstLineChars="0" w:firstLine="0"/>
              <w:jc w:val="center"/>
              <w:rPr>
                <w:rFonts w:ascii="Times New Roman" w:hAnsi="Times New Roman" w:cs="Times New Roman"/>
                <w:b/>
                <w:bCs/>
              </w:rPr>
            </w:pPr>
            <w:r>
              <w:rPr>
                <w:rFonts w:ascii="Times New Roman" w:hAnsi="Times New Roman" w:cs="Times New Roman"/>
                <w:b/>
                <w:bCs/>
              </w:rPr>
              <w:t>（千元）</w:t>
            </w:r>
          </w:p>
        </w:tc>
      </w:tr>
      <w:tr w:rsidR="00AD5BB5">
        <w:tc>
          <w:tcPr>
            <w:tcW w:w="628"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kern w:val="0"/>
              </w:rPr>
            </w:pPr>
            <w:r>
              <w:rPr>
                <w:rFonts w:ascii="Times New Roman" w:hAnsi="Times New Roman" w:cs="Times New Roman"/>
              </w:rPr>
              <w:t>总行</w:t>
            </w:r>
          </w:p>
        </w:tc>
        <w:tc>
          <w:tcPr>
            <w:tcW w:w="158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kern w:val="0"/>
              </w:rPr>
            </w:pPr>
            <w:r>
              <w:rPr>
                <w:rFonts w:ascii="Times New Roman" w:hAnsi="Times New Roman" w:hint="eastAsia"/>
                <w:szCs w:val="21"/>
              </w:rPr>
              <w:t>厦门银行股份有限公司</w:t>
            </w:r>
          </w:p>
        </w:tc>
        <w:tc>
          <w:tcPr>
            <w:tcW w:w="243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left"/>
              <w:rPr>
                <w:rFonts w:ascii="Times New Roman" w:hAnsi="Times New Roman"/>
                <w:kern w:val="0"/>
              </w:rPr>
            </w:pPr>
            <w:r>
              <w:rPr>
                <w:rFonts w:ascii="Times New Roman" w:hAnsi="Times New Roman" w:hint="eastAsia"/>
                <w:szCs w:val="21"/>
              </w:rPr>
              <w:t>福建省厦门市思明区湖滨北路</w:t>
            </w:r>
            <w:r>
              <w:rPr>
                <w:rFonts w:ascii="Times New Roman" w:hAnsi="Times New Roman" w:cs="Times New Roman"/>
                <w:szCs w:val="21"/>
              </w:rPr>
              <w:t>101</w:t>
            </w:r>
            <w:r>
              <w:rPr>
                <w:rFonts w:ascii="Times New Roman" w:hAnsi="Times New Roman" w:hint="eastAsia"/>
                <w:szCs w:val="21"/>
              </w:rPr>
              <w:t>号商业银行大厦</w:t>
            </w:r>
          </w:p>
        </w:tc>
        <w:tc>
          <w:tcPr>
            <w:tcW w:w="72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right"/>
              <w:rPr>
                <w:rFonts w:ascii="Times New Roman" w:hAnsi="Times New Roman" w:cs="Times New Roman"/>
              </w:rPr>
            </w:pPr>
            <w:r>
              <w:rPr>
                <w:rFonts w:ascii="Times New Roman" w:hAnsi="Times New Roman" w:cs="Times New Roman"/>
                <w:kern w:val="0"/>
                <w:szCs w:val="21"/>
              </w:rPr>
              <w:t>-</w:t>
            </w:r>
          </w:p>
        </w:tc>
        <w:tc>
          <w:tcPr>
            <w:tcW w:w="156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right"/>
              <w:rPr>
                <w:rFonts w:ascii="Times New Roman" w:hAnsi="Times New Roman" w:cs="Times New Roman"/>
                <w:kern w:val="0"/>
                <w:szCs w:val="21"/>
              </w:rPr>
            </w:pPr>
            <w:r>
              <w:rPr>
                <w:rFonts w:ascii="Times New Roman" w:hAnsi="Times New Roman" w:cs="Times New Roman"/>
                <w:kern w:val="0"/>
                <w:szCs w:val="21"/>
              </w:rPr>
              <w:t>857</w:t>
            </w:r>
          </w:p>
        </w:tc>
        <w:tc>
          <w:tcPr>
            <w:tcW w:w="160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eastAsia="Arial Narrow" w:hAnsi="Times New Roman" w:cs="Times New Roman"/>
                <w:color w:val="000000"/>
                <w:kern w:val="0"/>
                <w:szCs w:val="21"/>
                <w:lang w:bidi="ar"/>
              </w:rPr>
              <w:t xml:space="preserve">49,996,124 </w:t>
            </w:r>
          </w:p>
        </w:tc>
      </w:tr>
      <w:tr w:rsidR="00AD5BB5">
        <w:tc>
          <w:tcPr>
            <w:tcW w:w="628" w:type="dxa"/>
            <w:vMerge w:val="restart"/>
            <w:tcBorders>
              <w:top w:val="single" w:sz="4" w:space="0" w:color="auto"/>
              <w:left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cs="Times New Roman"/>
              </w:rPr>
            </w:pPr>
            <w:r>
              <w:rPr>
                <w:rFonts w:ascii="Times New Roman" w:hAnsi="Times New Roman" w:cs="Times New Roman"/>
              </w:rPr>
              <w:t>分支行</w:t>
            </w:r>
          </w:p>
        </w:tc>
        <w:tc>
          <w:tcPr>
            <w:tcW w:w="158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kern w:val="0"/>
              </w:rPr>
            </w:pPr>
            <w:r>
              <w:rPr>
                <w:rFonts w:ascii="Times New Roman" w:hAnsi="Times New Roman" w:hint="eastAsia"/>
                <w:szCs w:val="21"/>
              </w:rPr>
              <w:t>厦门地区</w:t>
            </w:r>
          </w:p>
        </w:tc>
        <w:tc>
          <w:tcPr>
            <w:tcW w:w="243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left"/>
              <w:rPr>
                <w:rFonts w:ascii="Times New Roman" w:hAnsi="Times New Roman"/>
                <w:kern w:val="0"/>
              </w:rPr>
            </w:pPr>
            <w:r>
              <w:rPr>
                <w:rFonts w:ascii="Times New Roman" w:hAnsi="Times New Roman" w:cs="Times New Roman"/>
                <w:szCs w:val="21"/>
              </w:rPr>
              <w:t>—</w:t>
            </w:r>
          </w:p>
        </w:tc>
        <w:tc>
          <w:tcPr>
            <w:tcW w:w="72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right"/>
              <w:rPr>
                <w:rFonts w:ascii="Times New Roman" w:hAnsi="Times New Roman" w:cs="Times New Roman"/>
              </w:rPr>
            </w:pPr>
            <w:r>
              <w:rPr>
                <w:rFonts w:ascii="Times New Roman" w:hAnsi="Times New Roman" w:cs="Times New Roman" w:hint="eastAsia"/>
                <w:kern w:val="0"/>
                <w:szCs w:val="21"/>
              </w:rPr>
              <w:t>39</w:t>
            </w:r>
          </w:p>
        </w:tc>
        <w:tc>
          <w:tcPr>
            <w:tcW w:w="156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right"/>
              <w:rPr>
                <w:rFonts w:ascii="Times New Roman" w:hAnsi="Times New Roman" w:cs="Times New Roman"/>
                <w:kern w:val="0"/>
                <w:szCs w:val="21"/>
              </w:rPr>
            </w:pPr>
            <w:r>
              <w:rPr>
                <w:rFonts w:ascii="Times New Roman" w:hAnsi="Times New Roman" w:cs="Times New Roman"/>
                <w:kern w:val="0"/>
                <w:szCs w:val="21"/>
              </w:rPr>
              <w:t>957</w:t>
            </w:r>
          </w:p>
        </w:tc>
        <w:tc>
          <w:tcPr>
            <w:tcW w:w="160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eastAsia="Arial Narrow" w:hAnsi="Times New Roman" w:cs="Times New Roman"/>
                <w:color w:val="000000"/>
                <w:kern w:val="0"/>
                <w:szCs w:val="21"/>
                <w:lang w:bidi="ar"/>
              </w:rPr>
              <w:t xml:space="preserve">74,987,615 </w:t>
            </w:r>
          </w:p>
        </w:tc>
      </w:tr>
      <w:tr w:rsidR="00AD5BB5">
        <w:trPr>
          <w:trHeight w:val="90"/>
        </w:trPr>
        <w:tc>
          <w:tcPr>
            <w:tcW w:w="628" w:type="dxa"/>
            <w:vMerge/>
            <w:tcBorders>
              <w:left w:val="single" w:sz="4" w:space="0" w:color="auto"/>
              <w:right w:val="single" w:sz="4" w:space="0" w:color="auto"/>
              <w:tl2br w:val="nil"/>
              <w:tr2bl w:val="nil"/>
            </w:tcBorders>
            <w:vAlign w:val="center"/>
          </w:tcPr>
          <w:p w:rsidR="00AD5BB5" w:rsidRDefault="00AD5BB5">
            <w:pPr>
              <w:pStyle w:val="aff2"/>
              <w:ind w:firstLineChars="0" w:firstLine="0"/>
              <w:rPr>
                <w:rFonts w:ascii="Times New Roman" w:hAnsi="Times New Roman" w:cs="Times New Roman"/>
              </w:rPr>
            </w:pPr>
          </w:p>
        </w:tc>
        <w:tc>
          <w:tcPr>
            <w:tcW w:w="158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kern w:val="0"/>
              </w:rPr>
            </w:pPr>
            <w:r>
              <w:rPr>
                <w:rFonts w:ascii="Times New Roman" w:hAnsi="Times New Roman" w:hint="eastAsia"/>
                <w:szCs w:val="21"/>
              </w:rPr>
              <w:t>厦门银行股份有限公司福州分行</w:t>
            </w:r>
          </w:p>
        </w:tc>
        <w:tc>
          <w:tcPr>
            <w:tcW w:w="243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left"/>
              <w:rPr>
                <w:rFonts w:ascii="Times New Roman" w:hAnsi="Times New Roman"/>
                <w:kern w:val="0"/>
              </w:rPr>
            </w:pPr>
            <w:r>
              <w:rPr>
                <w:rFonts w:ascii="Times New Roman" w:hAnsi="Times New Roman" w:hint="eastAsia"/>
                <w:szCs w:val="21"/>
              </w:rPr>
              <w:t>福建省福州市鼓楼区安泰街道斗西路</w:t>
            </w:r>
            <w:proofErr w:type="gramStart"/>
            <w:r>
              <w:rPr>
                <w:rFonts w:ascii="Times New Roman" w:hAnsi="Times New Roman" w:cs="Times New Roman"/>
                <w:szCs w:val="21"/>
              </w:rPr>
              <w:t>1</w:t>
            </w:r>
            <w:r>
              <w:rPr>
                <w:rFonts w:ascii="Times New Roman" w:hAnsi="Times New Roman" w:hint="eastAsia"/>
                <w:szCs w:val="21"/>
              </w:rPr>
              <w:t>号福商大厦</w:t>
            </w:r>
            <w:proofErr w:type="gramEnd"/>
            <w:r>
              <w:rPr>
                <w:rFonts w:ascii="Times New Roman" w:hAnsi="Times New Roman" w:cs="Times New Roman"/>
                <w:szCs w:val="21"/>
              </w:rPr>
              <w:t>1-3</w:t>
            </w:r>
            <w:r>
              <w:rPr>
                <w:rFonts w:ascii="Times New Roman" w:hAnsi="Times New Roman" w:hint="eastAsia"/>
                <w:szCs w:val="21"/>
              </w:rPr>
              <w:t>层</w:t>
            </w:r>
          </w:p>
        </w:tc>
        <w:tc>
          <w:tcPr>
            <w:tcW w:w="72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right"/>
              <w:rPr>
                <w:rFonts w:ascii="Times New Roman" w:hAnsi="Times New Roman" w:cs="Times New Roman"/>
              </w:rPr>
            </w:pPr>
            <w:r>
              <w:rPr>
                <w:rFonts w:ascii="Times New Roman" w:hAnsi="Times New Roman" w:cs="Times New Roman"/>
                <w:kern w:val="0"/>
                <w:szCs w:val="21"/>
              </w:rPr>
              <w:t>1</w:t>
            </w:r>
            <w:r>
              <w:rPr>
                <w:rFonts w:ascii="Times New Roman" w:hAnsi="Times New Roman" w:cs="Times New Roman" w:hint="eastAsia"/>
                <w:kern w:val="0"/>
                <w:szCs w:val="21"/>
              </w:rPr>
              <w:t>6</w:t>
            </w:r>
          </w:p>
        </w:tc>
        <w:tc>
          <w:tcPr>
            <w:tcW w:w="156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right"/>
              <w:rPr>
                <w:rFonts w:ascii="Times New Roman" w:hAnsi="Times New Roman" w:cs="Times New Roman"/>
                <w:kern w:val="0"/>
                <w:szCs w:val="21"/>
              </w:rPr>
            </w:pPr>
            <w:r>
              <w:rPr>
                <w:rFonts w:ascii="Times New Roman" w:hAnsi="Times New Roman" w:cs="Times New Roman"/>
                <w:kern w:val="0"/>
                <w:szCs w:val="21"/>
              </w:rPr>
              <w:t>344</w:t>
            </w:r>
          </w:p>
        </w:tc>
        <w:tc>
          <w:tcPr>
            <w:tcW w:w="160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eastAsia="Arial Narrow" w:hAnsi="Times New Roman" w:cs="Times New Roman"/>
                <w:color w:val="000000"/>
                <w:kern w:val="0"/>
                <w:szCs w:val="21"/>
                <w:lang w:bidi="ar"/>
              </w:rPr>
              <w:t xml:space="preserve">23,855,862 </w:t>
            </w:r>
          </w:p>
        </w:tc>
      </w:tr>
      <w:tr w:rsidR="00AD5BB5">
        <w:tc>
          <w:tcPr>
            <w:tcW w:w="628" w:type="dxa"/>
            <w:vMerge/>
            <w:tcBorders>
              <w:left w:val="single" w:sz="4" w:space="0" w:color="auto"/>
              <w:right w:val="single" w:sz="4" w:space="0" w:color="auto"/>
              <w:tl2br w:val="nil"/>
              <w:tr2bl w:val="nil"/>
            </w:tcBorders>
            <w:vAlign w:val="center"/>
          </w:tcPr>
          <w:p w:rsidR="00AD5BB5" w:rsidRDefault="00AD5BB5">
            <w:pPr>
              <w:pStyle w:val="aff2"/>
              <w:ind w:firstLineChars="0" w:firstLine="0"/>
              <w:rPr>
                <w:rFonts w:ascii="Times New Roman" w:hAnsi="Times New Roman" w:cs="Times New Roman"/>
              </w:rPr>
            </w:pPr>
          </w:p>
        </w:tc>
        <w:tc>
          <w:tcPr>
            <w:tcW w:w="158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rPr>
            </w:pPr>
            <w:r>
              <w:rPr>
                <w:rFonts w:ascii="Times New Roman" w:hAnsi="Times New Roman" w:hint="eastAsia"/>
                <w:szCs w:val="21"/>
              </w:rPr>
              <w:t>厦门银行股份有限公司泉州分行</w:t>
            </w:r>
          </w:p>
        </w:tc>
        <w:tc>
          <w:tcPr>
            <w:tcW w:w="243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left"/>
              <w:rPr>
                <w:rFonts w:ascii="Times New Roman" w:hAnsi="Times New Roman"/>
              </w:rPr>
            </w:pPr>
            <w:r>
              <w:rPr>
                <w:rFonts w:ascii="Times New Roman" w:hAnsi="Times New Roman" w:hint="eastAsia"/>
                <w:szCs w:val="21"/>
              </w:rPr>
              <w:t>福建省泉州市丰泽区东海</w:t>
            </w:r>
            <w:proofErr w:type="gramStart"/>
            <w:r>
              <w:rPr>
                <w:rFonts w:ascii="Times New Roman" w:hAnsi="Times New Roman" w:hint="eastAsia"/>
                <w:szCs w:val="21"/>
              </w:rPr>
              <w:t>街道北</w:t>
            </w:r>
            <w:proofErr w:type="gramEnd"/>
            <w:r>
              <w:rPr>
                <w:rFonts w:ascii="Times New Roman" w:hAnsi="Times New Roman" w:hint="eastAsia"/>
                <w:szCs w:val="21"/>
              </w:rPr>
              <w:t>星社区滨海街</w:t>
            </w:r>
            <w:r>
              <w:rPr>
                <w:rFonts w:ascii="Times New Roman" w:hAnsi="Times New Roman" w:hint="eastAsia"/>
                <w:szCs w:val="21"/>
              </w:rPr>
              <w:t>102</w:t>
            </w:r>
            <w:r>
              <w:rPr>
                <w:rFonts w:ascii="Times New Roman" w:hAnsi="Times New Roman" w:hint="eastAsia"/>
                <w:szCs w:val="21"/>
              </w:rPr>
              <w:t>号厦门银行泉州分行（除</w:t>
            </w:r>
            <w:r>
              <w:rPr>
                <w:rFonts w:ascii="Times New Roman" w:hAnsi="Times New Roman" w:hint="eastAsia"/>
                <w:szCs w:val="21"/>
              </w:rPr>
              <w:t>25-26</w:t>
            </w:r>
            <w:r>
              <w:rPr>
                <w:rFonts w:ascii="Times New Roman" w:hAnsi="Times New Roman" w:hint="eastAsia"/>
                <w:szCs w:val="21"/>
              </w:rPr>
              <w:t>层以外）</w:t>
            </w:r>
          </w:p>
        </w:tc>
        <w:tc>
          <w:tcPr>
            <w:tcW w:w="72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right"/>
              <w:rPr>
                <w:rFonts w:ascii="Times New Roman" w:hAnsi="Times New Roman" w:cs="Times New Roman"/>
              </w:rPr>
            </w:pPr>
            <w:r>
              <w:rPr>
                <w:rFonts w:ascii="Times New Roman" w:hAnsi="Times New Roman" w:cs="Times New Roman" w:hint="eastAsia"/>
                <w:kern w:val="0"/>
                <w:szCs w:val="21"/>
              </w:rPr>
              <w:t>12</w:t>
            </w:r>
          </w:p>
        </w:tc>
        <w:tc>
          <w:tcPr>
            <w:tcW w:w="156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right"/>
              <w:rPr>
                <w:rFonts w:ascii="Times New Roman" w:hAnsi="Times New Roman" w:cs="Times New Roman"/>
                <w:kern w:val="0"/>
                <w:szCs w:val="21"/>
              </w:rPr>
            </w:pPr>
            <w:r>
              <w:rPr>
                <w:rFonts w:ascii="Times New Roman" w:hAnsi="Times New Roman" w:cs="Times New Roman"/>
                <w:kern w:val="0"/>
                <w:szCs w:val="21"/>
              </w:rPr>
              <w:t>319</w:t>
            </w:r>
          </w:p>
        </w:tc>
        <w:tc>
          <w:tcPr>
            <w:tcW w:w="160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eastAsia="Arial Narrow" w:hAnsi="Times New Roman" w:cs="Times New Roman"/>
                <w:color w:val="000000"/>
                <w:kern w:val="0"/>
                <w:szCs w:val="21"/>
                <w:lang w:bidi="ar"/>
              </w:rPr>
              <w:t xml:space="preserve">17,836,642 </w:t>
            </w:r>
          </w:p>
        </w:tc>
      </w:tr>
      <w:tr w:rsidR="00AD5BB5">
        <w:tc>
          <w:tcPr>
            <w:tcW w:w="628" w:type="dxa"/>
            <w:vMerge/>
            <w:tcBorders>
              <w:left w:val="single" w:sz="4" w:space="0" w:color="auto"/>
              <w:right w:val="single" w:sz="4" w:space="0" w:color="auto"/>
              <w:tl2br w:val="nil"/>
              <w:tr2bl w:val="nil"/>
            </w:tcBorders>
            <w:vAlign w:val="center"/>
          </w:tcPr>
          <w:p w:rsidR="00AD5BB5" w:rsidRDefault="00AD5BB5">
            <w:pPr>
              <w:pStyle w:val="aff2"/>
              <w:ind w:firstLineChars="0" w:firstLine="0"/>
              <w:rPr>
                <w:rFonts w:ascii="Times New Roman" w:hAnsi="Times New Roman" w:cs="Times New Roman"/>
              </w:rPr>
            </w:pPr>
          </w:p>
        </w:tc>
        <w:tc>
          <w:tcPr>
            <w:tcW w:w="158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rPr>
            </w:pPr>
            <w:r>
              <w:rPr>
                <w:rFonts w:ascii="Times New Roman" w:hAnsi="Times New Roman" w:hint="eastAsia"/>
                <w:szCs w:val="21"/>
              </w:rPr>
              <w:t>厦门银行股份有限公司重庆分行</w:t>
            </w:r>
          </w:p>
        </w:tc>
        <w:tc>
          <w:tcPr>
            <w:tcW w:w="243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left"/>
              <w:rPr>
                <w:rFonts w:ascii="Times New Roman" w:hAnsi="Times New Roman"/>
              </w:rPr>
            </w:pPr>
            <w:r>
              <w:rPr>
                <w:rFonts w:ascii="Times New Roman" w:hAnsi="Times New Roman" w:hint="eastAsia"/>
                <w:szCs w:val="21"/>
              </w:rPr>
              <w:t>重庆市江北区聚贤</w:t>
            </w:r>
            <w:proofErr w:type="gramStart"/>
            <w:r>
              <w:rPr>
                <w:rFonts w:ascii="Times New Roman" w:hAnsi="Times New Roman" w:hint="eastAsia"/>
                <w:szCs w:val="21"/>
              </w:rPr>
              <w:t>岩广场</w:t>
            </w:r>
            <w:proofErr w:type="gramEnd"/>
            <w:r>
              <w:rPr>
                <w:rFonts w:ascii="Times New Roman" w:hAnsi="Times New Roman" w:cs="Times New Roman"/>
                <w:szCs w:val="21"/>
              </w:rPr>
              <w:t>9</w:t>
            </w:r>
            <w:r>
              <w:rPr>
                <w:rFonts w:ascii="Times New Roman" w:hAnsi="Times New Roman" w:hint="eastAsia"/>
                <w:szCs w:val="21"/>
              </w:rPr>
              <w:t>号</w:t>
            </w:r>
            <w:r>
              <w:rPr>
                <w:rFonts w:ascii="Times New Roman" w:hAnsi="Times New Roman" w:cs="Times New Roman"/>
                <w:szCs w:val="21"/>
              </w:rPr>
              <w:t>2</w:t>
            </w:r>
            <w:r>
              <w:rPr>
                <w:rFonts w:ascii="Times New Roman" w:hAnsi="Times New Roman" w:hint="eastAsia"/>
                <w:szCs w:val="21"/>
              </w:rPr>
              <w:t>单元</w:t>
            </w:r>
            <w:r>
              <w:rPr>
                <w:rFonts w:ascii="Times New Roman" w:hAnsi="Times New Roman" w:cs="Times New Roman"/>
                <w:szCs w:val="21"/>
              </w:rPr>
              <w:t>1801</w:t>
            </w:r>
            <w:r>
              <w:rPr>
                <w:rFonts w:ascii="Times New Roman" w:hAnsi="Times New Roman" w:hint="eastAsia"/>
                <w:szCs w:val="21"/>
              </w:rPr>
              <w:t>、</w:t>
            </w:r>
            <w:r>
              <w:rPr>
                <w:rFonts w:ascii="Times New Roman" w:hAnsi="Times New Roman" w:cs="Times New Roman"/>
                <w:szCs w:val="21"/>
              </w:rPr>
              <w:t>1802</w:t>
            </w:r>
            <w:r>
              <w:rPr>
                <w:rFonts w:ascii="Times New Roman" w:hAnsi="Times New Roman" w:hint="eastAsia"/>
                <w:szCs w:val="21"/>
              </w:rPr>
              <w:t>、</w:t>
            </w:r>
            <w:r>
              <w:rPr>
                <w:rFonts w:ascii="Times New Roman" w:hAnsi="Times New Roman" w:cs="Times New Roman"/>
                <w:szCs w:val="21"/>
              </w:rPr>
              <w:t>1803</w:t>
            </w:r>
            <w:r>
              <w:rPr>
                <w:rFonts w:ascii="Times New Roman" w:hAnsi="Times New Roman" w:hint="eastAsia"/>
                <w:szCs w:val="21"/>
              </w:rPr>
              <w:t>、</w:t>
            </w:r>
            <w:r>
              <w:rPr>
                <w:rFonts w:ascii="Times New Roman" w:hAnsi="Times New Roman" w:cs="Times New Roman"/>
                <w:szCs w:val="21"/>
              </w:rPr>
              <w:t>1901</w:t>
            </w:r>
            <w:r>
              <w:rPr>
                <w:rFonts w:ascii="Times New Roman" w:hAnsi="Times New Roman" w:hint="eastAsia"/>
                <w:szCs w:val="21"/>
              </w:rPr>
              <w:t>、</w:t>
            </w:r>
            <w:r>
              <w:rPr>
                <w:rFonts w:ascii="Times New Roman" w:hAnsi="Times New Roman" w:cs="Times New Roman"/>
                <w:szCs w:val="21"/>
              </w:rPr>
              <w:t>1902</w:t>
            </w:r>
            <w:r>
              <w:rPr>
                <w:rFonts w:ascii="Times New Roman" w:hAnsi="Times New Roman" w:hint="eastAsia"/>
                <w:szCs w:val="21"/>
              </w:rPr>
              <w:t>、</w:t>
            </w:r>
            <w:r>
              <w:rPr>
                <w:rFonts w:ascii="Times New Roman" w:hAnsi="Times New Roman" w:cs="Times New Roman"/>
                <w:szCs w:val="21"/>
              </w:rPr>
              <w:t>1903</w:t>
            </w:r>
            <w:r>
              <w:rPr>
                <w:rFonts w:ascii="Times New Roman" w:hAnsi="Times New Roman" w:hint="eastAsia"/>
                <w:szCs w:val="21"/>
              </w:rPr>
              <w:t>室，金沙门路</w:t>
            </w:r>
            <w:r>
              <w:rPr>
                <w:rFonts w:ascii="Times New Roman" w:hAnsi="Times New Roman" w:cs="Times New Roman"/>
                <w:szCs w:val="21"/>
              </w:rPr>
              <w:t>29</w:t>
            </w:r>
            <w:r>
              <w:rPr>
                <w:rFonts w:ascii="Times New Roman" w:hAnsi="Times New Roman" w:hint="eastAsia"/>
                <w:szCs w:val="21"/>
              </w:rPr>
              <w:t>号附</w:t>
            </w:r>
            <w:r>
              <w:rPr>
                <w:rFonts w:ascii="Times New Roman" w:hAnsi="Times New Roman" w:cs="Times New Roman"/>
                <w:szCs w:val="21"/>
              </w:rPr>
              <w:t>2</w:t>
            </w:r>
            <w:r>
              <w:rPr>
                <w:rFonts w:ascii="Times New Roman" w:hAnsi="Times New Roman" w:hint="eastAsia"/>
                <w:szCs w:val="21"/>
              </w:rPr>
              <w:t>号</w:t>
            </w:r>
            <w:r>
              <w:rPr>
                <w:rFonts w:ascii="Times New Roman" w:hAnsi="Times New Roman" w:cs="Times New Roman"/>
                <w:szCs w:val="21"/>
              </w:rPr>
              <w:t>901</w:t>
            </w:r>
            <w:r>
              <w:rPr>
                <w:rFonts w:ascii="Times New Roman" w:hAnsi="Times New Roman" w:hint="eastAsia"/>
                <w:szCs w:val="21"/>
              </w:rPr>
              <w:t>、</w:t>
            </w:r>
            <w:r>
              <w:rPr>
                <w:rFonts w:ascii="Times New Roman" w:hAnsi="Times New Roman" w:cs="Times New Roman"/>
                <w:szCs w:val="21"/>
              </w:rPr>
              <w:t>902</w:t>
            </w:r>
          </w:p>
        </w:tc>
        <w:tc>
          <w:tcPr>
            <w:tcW w:w="72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right"/>
              <w:rPr>
                <w:rFonts w:ascii="Times New Roman" w:hAnsi="Times New Roman" w:cs="Times New Roman"/>
              </w:rPr>
            </w:pPr>
            <w:r>
              <w:rPr>
                <w:rFonts w:ascii="Times New Roman" w:hAnsi="Times New Roman" w:cs="Times New Roman"/>
                <w:kern w:val="0"/>
                <w:szCs w:val="21"/>
              </w:rPr>
              <w:t>12</w:t>
            </w:r>
          </w:p>
        </w:tc>
        <w:tc>
          <w:tcPr>
            <w:tcW w:w="156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right"/>
              <w:rPr>
                <w:rFonts w:ascii="Times New Roman" w:hAnsi="Times New Roman" w:cs="Times New Roman"/>
                <w:kern w:val="0"/>
                <w:szCs w:val="21"/>
              </w:rPr>
            </w:pPr>
            <w:r>
              <w:rPr>
                <w:rFonts w:ascii="Times New Roman" w:hAnsi="Times New Roman" w:cs="Times New Roman"/>
                <w:kern w:val="0"/>
                <w:szCs w:val="21"/>
              </w:rPr>
              <w:t>260</w:t>
            </w:r>
          </w:p>
        </w:tc>
        <w:tc>
          <w:tcPr>
            <w:tcW w:w="160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eastAsia="Arial Narrow" w:hAnsi="Times New Roman" w:cs="Times New Roman"/>
                <w:color w:val="000000"/>
                <w:kern w:val="0"/>
                <w:szCs w:val="21"/>
                <w:lang w:bidi="ar"/>
              </w:rPr>
              <w:t xml:space="preserve">18,210,876 </w:t>
            </w:r>
          </w:p>
        </w:tc>
      </w:tr>
      <w:tr w:rsidR="00AD5BB5">
        <w:tc>
          <w:tcPr>
            <w:tcW w:w="628" w:type="dxa"/>
            <w:vMerge/>
            <w:tcBorders>
              <w:left w:val="single" w:sz="4" w:space="0" w:color="auto"/>
              <w:right w:val="single" w:sz="4" w:space="0" w:color="auto"/>
              <w:tl2br w:val="nil"/>
              <w:tr2bl w:val="nil"/>
            </w:tcBorders>
            <w:vAlign w:val="center"/>
          </w:tcPr>
          <w:p w:rsidR="00AD5BB5" w:rsidRDefault="00AD5BB5">
            <w:pPr>
              <w:pStyle w:val="aff2"/>
              <w:ind w:firstLineChars="0" w:firstLine="0"/>
              <w:rPr>
                <w:rFonts w:ascii="Times New Roman" w:hAnsi="Times New Roman" w:cs="Times New Roman"/>
              </w:rPr>
            </w:pPr>
          </w:p>
        </w:tc>
        <w:tc>
          <w:tcPr>
            <w:tcW w:w="158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rPr>
            </w:pPr>
            <w:r>
              <w:rPr>
                <w:rFonts w:ascii="Times New Roman" w:hAnsi="Times New Roman" w:hint="eastAsia"/>
                <w:szCs w:val="21"/>
              </w:rPr>
              <w:t>厦门银行股份有限公司</w:t>
            </w:r>
            <w:r>
              <w:rPr>
                <w:rFonts w:ascii="Times New Roman" w:hAnsi="Times New Roman" w:cs="Times New Roman" w:hint="eastAsia"/>
                <w:szCs w:val="21"/>
              </w:rPr>
              <w:t>漳州</w:t>
            </w:r>
            <w:r>
              <w:rPr>
                <w:rFonts w:ascii="Times New Roman" w:hAnsi="Times New Roman" w:hint="eastAsia"/>
                <w:szCs w:val="21"/>
              </w:rPr>
              <w:t>分行</w:t>
            </w:r>
          </w:p>
        </w:tc>
        <w:tc>
          <w:tcPr>
            <w:tcW w:w="243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left"/>
              <w:rPr>
                <w:rFonts w:ascii="Times New Roman" w:hAnsi="Times New Roman"/>
              </w:rPr>
            </w:pPr>
            <w:r>
              <w:rPr>
                <w:rFonts w:ascii="Times New Roman" w:hAnsi="Times New Roman" w:cs="Times New Roman" w:hint="eastAsia"/>
                <w:szCs w:val="21"/>
              </w:rPr>
              <w:t>福建省漳州市龙文区碧湖城市广场</w:t>
            </w:r>
            <w:r>
              <w:rPr>
                <w:rFonts w:ascii="Times New Roman" w:hAnsi="Times New Roman" w:cs="Times New Roman" w:hint="eastAsia"/>
                <w:szCs w:val="21"/>
              </w:rPr>
              <w:t>3</w:t>
            </w:r>
            <w:r>
              <w:rPr>
                <w:rFonts w:ascii="Times New Roman" w:hAnsi="Times New Roman" w:cs="Times New Roman" w:hint="eastAsia"/>
                <w:szCs w:val="21"/>
              </w:rPr>
              <w:t>幢</w:t>
            </w:r>
            <w:r>
              <w:rPr>
                <w:rFonts w:ascii="Times New Roman" w:hAnsi="Times New Roman" w:cs="Times New Roman" w:hint="eastAsia"/>
                <w:szCs w:val="21"/>
              </w:rPr>
              <w:t>1F</w:t>
            </w:r>
            <w:r>
              <w:rPr>
                <w:rFonts w:ascii="Times New Roman" w:hAnsi="Times New Roman" w:cs="Times New Roman" w:hint="eastAsia"/>
                <w:szCs w:val="21"/>
              </w:rPr>
              <w:t>、</w:t>
            </w:r>
            <w:r>
              <w:rPr>
                <w:rFonts w:ascii="Times New Roman" w:hAnsi="Times New Roman" w:cs="Times New Roman" w:hint="eastAsia"/>
                <w:szCs w:val="21"/>
              </w:rPr>
              <w:t>2F</w:t>
            </w:r>
            <w:r>
              <w:rPr>
                <w:rFonts w:ascii="Times New Roman" w:hAnsi="Times New Roman" w:cs="Times New Roman" w:hint="eastAsia"/>
                <w:szCs w:val="21"/>
              </w:rPr>
              <w:t>、</w:t>
            </w:r>
            <w:r>
              <w:rPr>
                <w:rFonts w:ascii="Times New Roman" w:hAnsi="Times New Roman" w:cs="Times New Roman" w:hint="eastAsia"/>
                <w:szCs w:val="21"/>
              </w:rPr>
              <w:t>17F-19F</w:t>
            </w:r>
          </w:p>
        </w:tc>
        <w:tc>
          <w:tcPr>
            <w:tcW w:w="72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right"/>
              <w:rPr>
                <w:rFonts w:ascii="Times New Roman" w:hAnsi="Times New Roman" w:cs="Times New Roman"/>
              </w:rPr>
            </w:pPr>
            <w:r>
              <w:rPr>
                <w:rFonts w:ascii="Times New Roman" w:hAnsi="Times New Roman" w:cs="Times New Roman" w:hint="eastAsia"/>
                <w:kern w:val="0"/>
                <w:szCs w:val="21"/>
                <w:lang w:bidi="ar"/>
              </w:rPr>
              <w:t>9</w:t>
            </w:r>
          </w:p>
        </w:tc>
        <w:tc>
          <w:tcPr>
            <w:tcW w:w="156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right"/>
              <w:rPr>
                <w:rFonts w:ascii="Times New Roman" w:hAnsi="Times New Roman" w:cs="Times New Roman"/>
                <w:kern w:val="0"/>
                <w:szCs w:val="21"/>
              </w:rPr>
            </w:pPr>
            <w:r>
              <w:rPr>
                <w:rFonts w:ascii="Times New Roman" w:hAnsi="Times New Roman" w:cs="Times New Roman"/>
                <w:kern w:val="0"/>
                <w:szCs w:val="21"/>
              </w:rPr>
              <w:t>213</w:t>
            </w:r>
          </w:p>
        </w:tc>
        <w:tc>
          <w:tcPr>
            <w:tcW w:w="160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eastAsia="Arial Narrow" w:hAnsi="Times New Roman" w:cs="Times New Roman"/>
                <w:color w:val="000000"/>
                <w:kern w:val="0"/>
                <w:szCs w:val="21"/>
                <w:lang w:bidi="ar"/>
              </w:rPr>
              <w:t xml:space="preserve">13,415,031 </w:t>
            </w:r>
          </w:p>
        </w:tc>
      </w:tr>
      <w:tr w:rsidR="00AD5BB5">
        <w:tc>
          <w:tcPr>
            <w:tcW w:w="628" w:type="dxa"/>
            <w:vMerge/>
            <w:tcBorders>
              <w:left w:val="single" w:sz="4" w:space="0" w:color="auto"/>
              <w:right w:val="single" w:sz="4" w:space="0" w:color="auto"/>
              <w:tl2br w:val="nil"/>
              <w:tr2bl w:val="nil"/>
            </w:tcBorders>
            <w:vAlign w:val="center"/>
          </w:tcPr>
          <w:p w:rsidR="00AD5BB5" w:rsidRDefault="00AD5BB5">
            <w:pPr>
              <w:pStyle w:val="aff2"/>
              <w:ind w:firstLineChars="0" w:firstLine="0"/>
              <w:rPr>
                <w:rFonts w:ascii="Times New Roman" w:hAnsi="Times New Roman" w:cs="Times New Roman"/>
              </w:rPr>
            </w:pPr>
          </w:p>
        </w:tc>
        <w:tc>
          <w:tcPr>
            <w:tcW w:w="158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rPr>
            </w:pPr>
            <w:r>
              <w:rPr>
                <w:rFonts w:ascii="Times New Roman" w:hAnsi="Times New Roman" w:hint="eastAsia"/>
                <w:szCs w:val="21"/>
              </w:rPr>
              <w:t>厦门银行股份有限公司南平分行</w:t>
            </w:r>
          </w:p>
        </w:tc>
        <w:tc>
          <w:tcPr>
            <w:tcW w:w="243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left"/>
              <w:rPr>
                <w:rFonts w:ascii="Times New Roman" w:hAnsi="Times New Roman"/>
              </w:rPr>
            </w:pPr>
            <w:r>
              <w:rPr>
                <w:rFonts w:ascii="Times New Roman" w:hAnsi="Times New Roman" w:hint="eastAsia"/>
                <w:szCs w:val="21"/>
              </w:rPr>
              <w:t>福建省南平市延平区水南街</w:t>
            </w:r>
            <w:r>
              <w:rPr>
                <w:rFonts w:ascii="Times New Roman" w:hAnsi="Times New Roman" w:cs="Times New Roman"/>
                <w:szCs w:val="21"/>
              </w:rPr>
              <w:t>480</w:t>
            </w:r>
            <w:r>
              <w:rPr>
                <w:rFonts w:ascii="Times New Roman" w:hAnsi="Times New Roman" w:hint="eastAsia"/>
                <w:szCs w:val="21"/>
              </w:rPr>
              <w:t>号加成</w:t>
            </w:r>
            <w:proofErr w:type="gramStart"/>
            <w:r>
              <w:rPr>
                <w:rFonts w:ascii="Times New Roman" w:hAnsi="Times New Roman" w:hint="eastAsia"/>
                <w:szCs w:val="21"/>
              </w:rPr>
              <w:t>世纪园</w:t>
            </w:r>
            <w:proofErr w:type="gramEnd"/>
            <w:r>
              <w:rPr>
                <w:rFonts w:ascii="Times New Roman" w:hAnsi="Times New Roman" w:hint="eastAsia"/>
                <w:szCs w:val="21"/>
              </w:rPr>
              <w:t>裙楼（</w:t>
            </w:r>
            <w:r>
              <w:rPr>
                <w:rFonts w:ascii="Times New Roman" w:hAnsi="Times New Roman" w:cs="Times New Roman"/>
                <w:szCs w:val="21"/>
              </w:rPr>
              <w:t>1</w:t>
            </w:r>
            <w:r>
              <w:rPr>
                <w:rFonts w:ascii="Times New Roman" w:hAnsi="Times New Roman" w:hint="eastAsia"/>
                <w:szCs w:val="21"/>
              </w:rPr>
              <w:t>层</w:t>
            </w:r>
            <w:r>
              <w:rPr>
                <w:rFonts w:ascii="Times New Roman" w:hAnsi="Times New Roman" w:cs="Times New Roman"/>
                <w:szCs w:val="21"/>
              </w:rPr>
              <w:t>7-10</w:t>
            </w:r>
            <w:r>
              <w:rPr>
                <w:rFonts w:ascii="Times New Roman" w:hAnsi="Times New Roman" w:hint="eastAsia"/>
                <w:szCs w:val="21"/>
              </w:rPr>
              <w:t>号；</w:t>
            </w:r>
            <w:r>
              <w:rPr>
                <w:rFonts w:ascii="Times New Roman" w:hAnsi="Times New Roman" w:cs="Times New Roman"/>
                <w:szCs w:val="21"/>
              </w:rPr>
              <w:t>1</w:t>
            </w:r>
            <w:r>
              <w:rPr>
                <w:rFonts w:ascii="Times New Roman" w:hAnsi="Times New Roman" w:hint="eastAsia"/>
                <w:szCs w:val="21"/>
              </w:rPr>
              <w:t>夹层</w:t>
            </w:r>
            <w:r>
              <w:rPr>
                <w:rFonts w:ascii="Times New Roman" w:hAnsi="Times New Roman" w:cs="Times New Roman"/>
                <w:szCs w:val="21"/>
              </w:rPr>
              <w:t>101</w:t>
            </w:r>
            <w:r>
              <w:rPr>
                <w:rFonts w:ascii="Times New Roman" w:hAnsi="Times New Roman" w:hint="eastAsia"/>
                <w:szCs w:val="21"/>
              </w:rPr>
              <w:t>夹</w:t>
            </w:r>
            <w:r>
              <w:rPr>
                <w:rFonts w:ascii="Times New Roman" w:hAnsi="Times New Roman" w:cs="Times New Roman"/>
                <w:szCs w:val="21"/>
              </w:rPr>
              <w:t>32-34</w:t>
            </w:r>
            <w:r>
              <w:rPr>
                <w:rFonts w:ascii="Times New Roman" w:hAnsi="Times New Roman" w:hint="eastAsia"/>
                <w:szCs w:val="21"/>
              </w:rPr>
              <w:t>号；</w:t>
            </w:r>
            <w:r>
              <w:rPr>
                <w:rFonts w:ascii="Times New Roman" w:hAnsi="Times New Roman" w:cs="Times New Roman"/>
                <w:szCs w:val="21"/>
              </w:rPr>
              <w:lastRenderedPageBreak/>
              <w:t>2</w:t>
            </w:r>
            <w:r>
              <w:rPr>
                <w:rFonts w:ascii="Times New Roman" w:hAnsi="Times New Roman" w:hint="eastAsia"/>
                <w:szCs w:val="21"/>
              </w:rPr>
              <w:t>层</w:t>
            </w:r>
            <w:r>
              <w:rPr>
                <w:rFonts w:ascii="Times New Roman" w:hAnsi="Times New Roman" w:cs="Times New Roman"/>
                <w:szCs w:val="21"/>
              </w:rPr>
              <w:t>201</w:t>
            </w:r>
            <w:r>
              <w:rPr>
                <w:rFonts w:ascii="Times New Roman" w:hAnsi="Times New Roman" w:hint="eastAsia"/>
                <w:szCs w:val="21"/>
              </w:rPr>
              <w:t>号）</w:t>
            </w:r>
          </w:p>
        </w:tc>
        <w:tc>
          <w:tcPr>
            <w:tcW w:w="72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right"/>
              <w:rPr>
                <w:rFonts w:ascii="Times New Roman" w:hAnsi="Times New Roman" w:cs="Times New Roman"/>
              </w:rPr>
            </w:pPr>
            <w:r>
              <w:rPr>
                <w:rFonts w:ascii="Times New Roman" w:hAnsi="Times New Roman" w:cs="Times New Roman" w:hint="eastAsia"/>
                <w:kern w:val="0"/>
                <w:szCs w:val="21"/>
              </w:rPr>
              <w:lastRenderedPageBreak/>
              <w:t>7</w:t>
            </w:r>
          </w:p>
        </w:tc>
        <w:tc>
          <w:tcPr>
            <w:tcW w:w="156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right"/>
              <w:rPr>
                <w:rFonts w:ascii="Times New Roman" w:hAnsi="Times New Roman" w:cs="Times New Roman"/>
                <w:kern w:val="0"/>
                <w:szCs w:val="21"/>
              </w:rPr>
            </w:pPr>
            <w:r>
              <w:rPr>
                <w:rFonts w:ascii="Times New Roman" w:hAnsi="Times New Roman" w:cs="Times New Roman"/>
                <w:kern w:val="0"/>
                <w:szCs w:val="21"/>
              </w:rPr>
              <w:t>125</w:t>
            </w:r>
          </w:p>
        </w:tc>
        <w:tc>
          <w:tcPr>
            <w:tcW w:w="160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eastAsia="Arial Narrow" w:hAnsi="Times New Roman" w:cs="Times New Roman"/>
                <w:color w:val="000000"/>
                <w:kern w:val="0"/>
                <w:szCs w:val="21"/>
                <w:lang w:bidi="ar"/>
              </w:rPr>
              <w:t xml:space="preserve">3,525,969 </w:t>
            </w:r>
          </w:p>
        </w:tc>
      </w:tr>
      <w:tr w:rsidR="00AD5BB5">
        <w:tc>
          <w:tcPr>
            <w:tcW w:w="628" w:type="dxa"/>
            <w:vMerge/>
            <w:tcBorders>
              <w:left w:val="single" w:sz="4" w:space="0" w:color="auto"/>
              <w:right w:val="single" w:sz="4" w:space="0" w:color="auto"/>
              <w:tl2br w:val="nil"/>
              <w:tr2bl w:val="nil"/>
            </w:tcBorders>
            <w:vAlign w:val="center"/>
          </w:tcPr>
          <w:p w:rsidR="00AD5BB5" w:rsidRDefault="00AD5BB5">
            <w:pPr>
              <w:pStyle w:val="aff2"/>
              <w:ind w:firstLineChars="0" w:firstLine="0"/>
              <w:rPr>
                <w:rFonts w:ascii="Times New Roman" w:hAnsi="Times New Roman" w:cs="Times New Roman"/>
              </w:rPr>
            </w:pPr>
          </w:p>
        </w:tc>
        <w:tc>
          <w:tcPr>
            <w:tcW w:w="158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rPr>
            </w:pPr>
            <w:r>
              <w:rPr>
                <w:rFonts w:ascii="Times New Roman" w:hAnsi="Times New Roman" w:hint="eastAsia"/>
                <w:szCs w:val="21"/>
              </w:rPr>
              <w:t>厦门银行股份有限公司莆田分行</w:t>
            </w:r>
          </w:p>
        </w:tc>
        <w:tc>
          <w:tcPr>
            <w:tcW w:w="243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left"/>
              <w:rPr>
                <w:rFonts w:ascii="Times New Roman" w:hAnsi="Times New Roman"/>
              </w:rPr>
            </w:pPr>
            <w:r>
              <w:rPr>
                <w:rFonts w:ascii="Times New Roman" w:hAnsi="Times New Roman" w:hint="eastAsia"/>
                <w:szCs w:val="21"/>
              </w:rPr>
              <w:t>福建省莆田市</w:t>
            </w:r>
            <w:proofErr w:type="gramStart"/>
            <w:r>
              <w:rPr>
                <w:rFonts w:ascii="Times New Roman" w:hAnsi="Times New Roman" w:hint="eastAsia"/>
                <w:szCs w:val="21"/>
              </w:rPr>
              <w:t>荔</w:t>
            </w:r>
            <w:proofErr w:type="gramEnd"/>
            <w:r>
              <w:rPr>
                <w:rFonts w:ascii="Times New Roman" w:hAnsi="Times New Roman" w:hint="eastAsia"/>
                <w:szCs w:val="21"/>
              </w:rPr>
              <w:t>城区镇海街道胜利北街</w:t>
            </w:r>
            <w:r>
              <w:rPr>
                <w:rFonts w:ascii="Times New Roman" w:hAnsi="Times New Roman" w:cs="Times New Roman"/>
                <w:szCs w:val="21"/>
              </w:rPr>
              <w:t>1115</w:t>
            </w:r>
            <w:r>
              <w:rPr>
                <w:rFonts w:ascii="Times New Roman" w:hAnsi="Times New Roman" w:hint="eastAsia"/>
                <w:szCs w:val="21"/>
              </w:rPr>
              <w:t>号</w:t>
            </w:r>
            <w:r>
              <w:rPr>
                <w:rFonts w:ascii="Times New Roman" w:hAnsi="Times New Roman" w:cs="Times New Roman"/>
                <w:szCs w:val="21"/>
              </w:rPr>
              <w:t>-1123</w:t>
            </w:r>
            <w:r>
              <w:rPr>
                <w:rFonts w:ascii="Times New Roman" w:hAnsi="Times New Roman" w:hint="eastAsia"/>
                <w:szCs w:val="21"/>
              </w:rPr>
              <w:t>号</w:t>
            </w:r>
          </w:p>
        </w:tc>
        <w:tc>
          <w:tcPr>
            <w:tcW w:w="72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right"/>
              <w:rPr>
                <w:rFonts w:ascii="Times New Roman" w:hAnsi="Times New Roman" w:cs="Times New Roman"/>
              </w:rPr>
            </w:pPr>
            <w:r>
              <w:rPr>
                <w:rFonts w:ascii="Times New Roman" w:hAnsi="Times New Roman" w:cs="Times New Roman" w:hint="eastAsia"/>
                <w:kern w:val="0"/>
                <w:szCs w:val="21"/>
              </w:rPr>
              <w:t>4</w:t>
            </w:r>
          </w:p>
        </w:tc>
        <w:tc>
          <w:tcPr>
            <w:tcW w:w="156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right"/>
              <w:rPr>
                <w:rFonts w:ascii="Times New Roman" w:hAnsi="Times New Roman" w:cs="Times New Roman"/>
                <w:kern w:val="0"/>
                <w:szCs w:val="21"/>
              </w:rPr>
            </w:pPr>
            <w:r>
              <w:rPr>
                <w:rFonts w:ascii="Times New Roman" w:hAnsi="Times New Roman" w:cs="Times New Roman"/>
                <w:kern w:val="0"/>
                <w:szCs w:val="21"/>
              </w:rPr>
              <w:t>129</w:t>
            </w:r>
          </w:p>
        </w:tc>
        <w:tc>
          <w:tcPr>
            <w:tcW w:w="160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eastAsia="Arial Narrow" w:hAnsi="Times New Roman" w:cs="Times New Roman"/>
                <w:color w:val="000000"/>
                <w:kern w:val="0"/>
                <w:szCs w:val="21"/>
                <w:lang w:bidi="ar"/>
              </w:rPr>
              <w:t xml:space="preserve">3,867,494 </w:t>
            </w:r>
          </w:p>
        </w:tc>
      </w:tr>
      <w:tr w:rsidR="00AD5BB5">
        <w:tc>
          <w:tcPr>
            <w:tcW w:w="628" w:type="dxa"/>
            <w:vMerge/>
            <w:tcBorders>
              <w:left w:val="single" w:sz="4" w:space="0" w:color="auto"/>
              <w:right w:val="single" w:sz="4" w:space="0" w:color="auto"/>
              <w:tl2br w:val="nil"/>
              <w:tr2bl w:val="nil"/>
            </w:tcBorders>
            <w:vAlign w:val="center"/>
          </w:tcPr>
          <w:p w:rsidR="00AD5BB5" w:rsidRDefault="00AD5BB5">
            <w:pPr>
              <w:pStyle w:val="aff2"/>
              <w:ind w:firstLineChars="0" w:firstLine="0"/>
              <w:rPr>
                <w:rFonts w:ascii="Times New Roman" w:hAnsi="Times New Roman" w:cs="Times New Roman"/>
              </w:rPr>
            </w:pPr>
          </w:p>
        </w:tc>
        <w:tc>
          <w:tcPr>
            <w:tcW w:w="158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rPr>
            </w:pPr>
            <w:r>
              <w:rPr>
                <w:rFonts w:ascii="Times New Roman" w:hAnsi="Times New Roman" w:hint="eastAsia"/>
                <w:szCs w:val="21"/>
              </w:rPr>
              <w:t>厦门银行股份有限公司宁德分行</w:t>
            </w:r>
          </w:p>
        </w:tc>
        <w:tc>
          <w:tcPr>
            <w:tcW w:w="243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left"/>
              <w:rPr>
                <w:rFonts w:ascii="Times New Roman" w:hAnsi="Times New Roman"/>
              </w:rPr>
            </w:pPr>
            <w:r>
              <w:rPr>
                <w:rFonts w:ascii="Times New Roman" w:hAnsi="Times New Roman" w:hint="eastAsia"/>
                <w:szCs w:val="21"/>
              </w:rPr>
              <w:t>福建省宁德</w:t>
            </w:r>
            <w:proofErr w:type="gramStart"/>
            <w:r>
              <w:rPr>
                <w:rFonts w:ascii="Times New Roman" w:hAnsi="Times New Roman" w:hint="eastAsia"/>
                <w:szCs w:val="21"/>
              </w:rPr>
              <w:t>市东侨经济</w:t>
            </w:r>
            <w:proofErr w:type="gramEnd"/>
            <w:r>
              <w:rPr>
                <w:rFonts w:ascii="Times New Roman" w:hAnsi="Times New Roman" w:hint="eastAsia"/>
                <w:szCs w:val="21"/>
              </w:rPr>
              <w:t>开发区南湖滨路</w:t>
            </w:r>
            <w:r>
              <w:rPr>
                <w:rFonts w:ascii="Times New Roman" w:hAnsi="Times New Roman" w:hint="eastAsia"/>
                <w:szCs w:val="21"/>
              </w:rPr>
              <w:t>6-1</w:t>
            </w:r>
            <w:r>
              <w:rPr>
                <w:rFonts w:ascii="Times New Roman" w:hAnsi="Times New Roman" w:hint="eastAsia"/>
                <w:szCs w:val="21"/>
              </w:rPr>
              <w:t>号华侨大厦商务办公楼一层</w:t>
            </w:r>
            <w:r>
              <w:rPr>
                <w:rFonts w:ascii="Times New Roman" w:hAnsi="Times New Roman" w:hint="eastAsia"/>
                <w:szCs w:val="21"/>
              </w:rPr>
              <w:t>101</w:t>
            </w:r>
            <w:r>
              <w:rPr>
                <w:rFonts w:ascii="Times New Roman" w:hAnsi="Times New Roman" w:hint="eastAsia"/>
                <w:szCs w:val="21"/>
              </w:rPr>
              <w:t>单元、三层</w:t>
            </w:r>
          </w:p>
        </w:tc>
        <w:tc>
          <w:tcPr>
            <w:tcW w:w="72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right"/>
              <w:rPr>
                <w:rFonts w:ascii="Times New Roman" w:hAnsi="Times New Roman" w:cs="Times New Roman"/>
              </w:rPr>
            </w:pPr>
            <w:r>
              <w:rPr>
                <w:rFonts w:ascii="Times New Roman" w:hAnsi="Times New Roman" w:cs="Times New Roman"/>
                <w:kern w:val="0"/>
                <w:szCs w:val="21"/>
              </w:rPr>
              <w:t>5</w:t>
            </w:r>
          </w:p>
        </w:tc>
        <w:tc>
          <w:tcPr>
            <w:tcW w:w="156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right"/>
              <w:rPr>
                <w:rFonts w:ascii="Times New Roman" w:hAnsi="Times New Roman" w:cs="Times New Roman"/>
                <w:kern w:val="0"/>
                <w:szCs w:val="21"/>
              </w:rPr>
            </w:pPr>
            <w:r>
              <w:rPr>
                <w:rFonts w:ascii="Times New Roman" w:hAnsi="Times New Roman" w:cs="Times New Roman"/>
                <w:kern w:val="0"/>
                <w:szCs w:val="21"/>
              </w:rPr>
              <w:t>115</w:t>
            </w:r>
          </w:p>
        </w:tc>
        <w:tc>
          <w:tcPr>
            <w:tcW w:w="160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eastAsia="Arial Narrow" w:hAnsi="Times New Roman" w:cs="Times New Roman"/>
                <w:color w:val="000000"/>
                <w:kern w:val="0"/>
                <w:szCs w:val="21"/>
                <w:lang w:bidi="ar"/>
              </w:rPr>
              <w:t xml:space="preserve">4,381,460 </w:t>
            </w:r>
          </w:p>
        </w:tc>
      </w:tr>
      <w:tr w:rsidR="00AD5BB5">
        <w:tc>
          <w:tcPr>
            <w:tcW w:w="628" w:type="dxa"/>
            <w:vMerge/>
            <w:tcBorders>
              <w:left w:val="single" w:sz="4" w:space="0" w:color="auto"/>
              <w:right w:val="single" w:sz="4" w:space="0" w:color="auto"/>
              <w:tl2br w:val="nil"/>
              <w:tr2bl w:val="nil"/>
            </w:tcBorders>
            <w:vAlign w:val="center"/>
          </w:tcPr>
          <w:p w:rsidR="00AD5BB5" w:rsidRDefault="00AD5BB5">
            <w:pPr>
              <w:pStyle w:val="aff2"/>
              <w:ind w:firstLineChars="0" w:firstLine="0"/>
              <w:rPr>
                <w:rFonts w:ascii="Times New Roman" w:hAnsi="Times New Roman" w:cs="Times New Roman"/>
              </w:rPr>
            </w:pPr>
          </w:p>
        </w:tc>
        <w:tc>
          <w:tcPr>
            <w:tcW w:w="158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rPr>
            </w:pPr>
            <w:r>
              <w:rPr>
                <w:rFonts w:ascii="Times New Roman" w:hAnsi="Times New Roman" w:hint="eastAsia"/>
                <w:szCs w:val="21"/>
              </w:rPr>
              <w:t>厦门银行股份有限公司三明分行</w:t>
            </w:r>
          </w:p>
        </w:tc>
        <w:tc>
          <w:tcPr>
            <w:tcW w:w="243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left"/>
              <w:rPr>
                <w:rFonts w:ascii="Times New Roman" w:hAnsi="Times New Roman"/>
              </w:rPr>
            </w:pPr>
            <w:r>
              <w:rPr>
                <w:rFonts w:ascii="Times New Roman" w:hAnsi="Times New Roman" w:hint="eastAsia"/>
                <w:szCs w:val="21"/>
              </w:rPr>
              <w:t>福建省三明市</w:t>
            </w:r>
            <w:proofErr w:type="gramStart"/>
            <w:r>
              <w:rPr>
                <w:rFonts w:ascii="Times New Roman" w:hAnsi="Times New Roman" w:hint="eastAsia"/>
                <w:szCs w:val="21"/>
              </w:rPr>
              <w:t>梅列区乾龙新村</w:t>
            </w:r>
            <w:proofErr w:type="gramEnd"/>
            <w:r>
              <w:rPr>
                <w:rFonts w:ascii="Times New Roman" w:hAnsi="Times New Roman" w:cs="Times New Roman"/>
                <w:szCs w:val="21"/>
              </w:rPr>
              <w:t>17</w:t>
            </w:r>
            <w:r>
              <w:rPr>
                <w:rFonts w:ascii="Times New Roman" w:hAnsi="Times New Roman" w:hint="eastAsia"/>
                <w:szCs w:val="21"/>
              </w:rPr>
              <w:t>幢梅列工商企业大厦一、十四、十五层</w:t>
            </w:r>
          </w:p>
        </w:tc>
        <w:tc>
          <w:tcPr>
            <w:tcW w:w="72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right"/>
              <w:rPr>
                <w:rFonts w:ascii="Times New Roman" w:hAnsi="Times New Roman" w:cs="Times New Roman"/>
              </w:rPr>
            </w:pPr>
            <w:r>
              <w:rPr>
                <w:rFonts w:ascii="Times New Roman" w:hAnsi="Times New Roman" w:cs="Times New Roman" w:hint="eastAsia"/>
                <w:kern w:val="0"/>
                <w:szCs w:val="21"/>
              </w:rPr>
              <w:t>4</w:t>
            </w:r>
          </w:p>
        </w:tc>
        <w:tc>
          <w:tcPr>
            <w:tcW w:w="156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right"/>
              <w:rPr>
                <w:rFonts w:ascii="Times New Roman" w:hAnsi="Times New Roman" w:cs="Times New Roman"/>
                <w:kern w:val="0"/>
                <w:szCs w:val="21"/>
              </w:rPr>
            </w:pPr>
            <w:r>
              <w:rPr>
                <w:rFonts w:ascii="Times New Roman" w:hAnsi="Times New Roman" w:cs="Times New Roman"/>
                <w:kern w:val="0"/>
                <w:szCs w:val="21"/>
              </w:rPr>
              <w:t>103</w:t>
            </w:r>
          </w:p>
        </w:tc>
        <w:tc>
          <w:tcPr>
            <w:tcW w:w="160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eastAsia="Arial Narrow" w:hAnsi="Times New Roman" w:cs="Times New Roman"/>
                <w:color w:val="000000"/>
                <w:kern w:val="0"/>
                <w:szCs w:val="21"/>
                <w:lang w:bidi="ar"/>
              </w:rPr>
              <w:t xml:space="preserve">3,729,698 </w:t>
            </w:r>
          </w:p>
        </w:tc>
      </w:tr>
      <w:tr w:rsidR="00AD5BB5">
        <w:tc>
          <w:tcPr>
            <w:tcW w:w="628" w:type="dxa"/>
            <w:vMerge/>
            <w:tcBorders>
              <w:left w:val="single" w:sz="4" w:space="0" w:color="auto"/>
              <w:bottom w:val="single" w:sz="4" w:space="0" w:color="auto"/>
              <w:right w:val="single" w:sz="4" w:space="0" w:color="auto"/>
              <w:tl2br w:val="nil"/>
              <w:tr2bl w:val="nil"/>
            </w:tcBorders>
            <w:vAlign w:val="center"/>
          </w:tcPr>
          <w:p w:rsidR="00AD5BB5" w:rsidRDefault="00AD5BB5">
            <w:pPr>
              <w:pStyle w:val="aff2"/>
              <w:ind w:firstLineChars="0" w:firstLine="0"/>
              <w:rPr>
                <w:rFonts w:ascii="Times New Roman" w:hAnsi="Times New Roman" w:cs="Times New Roman"/>
              </w:rPr>
            </w:pPr>
          </w:p>
        </w:tc>
        <w:tc>
          <w:tcPr>
            <w:tcW w:w="158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rPr>
            </w:pPr>
            <w:r>
              <w:rPr>
                <w:rFonts w:ascii="Times New Roman" w:hAnsi="Times New Roman" w:hint="eastAsia"/>
                <w:szCs w:val="21"/>
              </w:rPr>
              <w:t>厦门银行股份有限公司龙岩分行</w:t>
            </w:r>
          </w:p>
        </w:tc>
        <w:tc>
          <w:tcPr>
            <w:tcW w:w="243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left"/>
              <w:rPr>
                <w:rFonts w:ascii="Times New Roman" w:hAnsi="Times New Roman"/>
              </w:rPr>
            </w:pPr>
            <w:r>
              <w:rPr>
                <w:rFonts w:ascii="Times New Roman" w:hAnsi="Times New Roman" w:hint="eastAsia"/>
                <w:szCs w:val="21"/>
              </w:rPr>
              <w:t>福建省龙岩市新罗区龙岩大道</w:t>
            </w:r>
            <w:r>
              <w:rPr>
                <w:rFonts w:ascii="Times New Roman" w:hAnsi="Times New Roman" w:cs="Times New Roman"/>
                <w:szCs w:val="21"/>
              </w:rPr>
              <w:t>388</w:t>
            </w:r>
            <w:r>
              <w:rPr>
                <w:rFonts w:ascii="Times New Roman" w:hAnsi="Times New Roman" w:hint="eastAsia"/>
                <w:szCs w:val="21"/>
              </w:rPr>
              <w:t>号万宝广场</w:t>
            </w:r>
            <w:r>
              <w:rPr>
                <w:rFonts w:ascii="Times New Roman" w:hAnsi="Times New Roman" w:cs="Times New Roman"/>
                <w:szCs w:val="21"/>
              </w:rPr>
              <w:t>A</w:t>
            </w:r>
            <w:r>
              <w:rPr>
                <w:rFonts w:ascii="Times New Roman" w:hAnsi="Times New Roman" w:hint="eastAsia"/>
                <w:szCs w:val="21"/>
              </w:rPr>
              <w:t>地块裙房商铺</w:t>
            </w:r>
            <w:r>
              <w:rPr>
                <w:rFonts w:ascii="Times New Roman" w:hAnsi="Times New Roman" w:cs="Times New Roman"/>
                <w:szCs w:val="21"/>
              </w:rPr>
              <w:t>1001</w:t>
            </w:r>
            <w:r>
              <w:rPr>
                <w:rFonts w:ascii="Times New Roman" w:hAnsi="Times New Roman" w:hint="eastAsia"/>
                <w:szCs w:val="21"/>
              </w:rPr>
              <w:t>、</w:t>
            </w:r>
            <w:r>
              <w:rPr>
                <w:rFonts w:ascii="Times New Roman" w:hAnsi="Times New Roman" w:cs="Times New Roman"/>
                <w:szCs w:val="21"/>
              </w:rPr>
              <w:t>1002</w:t>
            </w:r>
            <w:r>
              <w:rPr>
                <w:rFonts w:ascii="Times New Roman" w:hAnsi="Times New Roman" w:hint="eastAsia"/>
                <w:szCs w:val="21"/>
              </w:rPr>
              <w:t>、</w:t>
            </w:r>
            <w:r>
              <w:rPr>
                <w:rFonts w:ascii="Times New Roman" w:hAnsi="Times New Roman" w:cs="Times New Roman"/>
                <w:szCs w:val="21"/>
              </w:rPr>
              <w:t>2001</w:t>
            </w:r>
            <w:r>
              <w:rPr>
                <w:rFonts w:ascii="Times New Roman" w:hAnsi="Times New Roman" w:hint="eastAsia"/>
                <w:szCs w:val="21"/>
              </w:rPr>
              <w:t>、</w:t>
            </w:r>
            <w:r>
              <w:rPr>
                <w:rFonts w:ascii="Times New Roman" w:hAnsi="Times New Roman" w:cs="Times New Roman"/>
                <w:szCs w:val="21"/>
              </w:rPr>
              <w:t>2002-1</w:t>
            </w:r>
            <w:r>
              <w:rPr>
                <w:rFonts w:ascii="Times New Roman" w:hAnsi="Times New Roman" w:hint="eastAsia"/>
                <w:szCs w:val="21"/>
              </w:rPr>
              <w:t>、</w:t>
            </w:r>
            <w:r>
              <w:rPr>
                <w:rFonts w:ascii="Times New Roman" w:hAnsi="Times New Roman" w:cs="Times New Roman"/>
                <w:szCs w:val="21"/>
              </w:rPr>
              <w:t>2068-1</w:t>
            </w:r>
          </w:p>
        </w:tc>
        <w:tc>
          <w:tcPr>
            <w:tcW w:w="72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right"/>
              <w:rPr>
                <w:rFonts w:ascii="Times New Roman" w:hAnsi="Times New Roman" w:cs="Times New Roman"/>
              </w:rPr>
            </w:pPr>
            <w:r>
              <w:rPr>
                <w:rFonts w:ascii="Times New Roman" w:hAnsi="Times New Roman" w:cs="Times New Roman" w:hint="eastAsia"/>
                <w:kern w:val="0"/>
                <w:szCs w:val="21"/>
              </w:rPr>
              <w:t>6</w:t>
            </w:r>
          </w:p>
        </w:tc>
        <w:tc>
          <w:tcPr>
            <w:tcW w:w="156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right"/>
              <w:rPr>
                <w:rFonts w:ascii="Times New Roman" w:hAnsi="Times New Roman" w:cs="Times New Roman"/>
                <w:kern w:val="0"/>
                <w:szCs w:val="21"/>
              </w:rPr>
            </w:pPr>
            <w:r>
              <w:rPr>
                <w:rFonts w:ascii="Times New Roman" w:hAnsi="Times New Roman" w:cs="Times New Roman"/>
                <w:kern w:val="0"/>
                <w:szCs w:val="21"/>
              </w:rPr>
              <w:t>118</w:t>
            </w:r>
          </w:p>
        </w:tc>
        <w:tc>
          <w:tcPr>
            <w:tcW w:w="160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eastAsia="Arial Narrow" w:hAnsi="Times New Roman" w:cs="Times New Roman"/>
                <w:color w:val="000000"/>
                <w:kern w:val="0"/>
                <w:szCs w:val="21"/>
                <w:lang w:bidi="ar"/>
              </w:rPr>
              <w:t xml:space="preserve">3,268,015 </w:t>
            </w:r>
          </w:p>
        </w:tc>
      </w:tr>
      <w:tr w:rsidR="00AD5BB5">
        <w:tc>
          <w:tcPr>
            <w:tcW w:w="628" w:type="dxa"/>
            <w:vMerge w:val="restart"/>
            <w:tcBorders>
              <w:top w:val="single" w:sz="4" w:space="0" w:color="auto"/>
              <w:left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cs="Times New Roman"/>
              </w:rPr>
            </w:pPr>
            <w:r>
              <w:rPr>
                <w:rFonts w:ascii="Times New Roman" w:hAnsi="Times New Roman" w:cs="Times New Roman"/>
              </w:rPr>
              <w:t>专营机构</w:t>
            </w:r>
          </w:p>
        </w:tc>
        <w:tc>
          <w:tcPr>
            <w:tcW w:w="158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rPr>
            </w:pPr>
            <w:r>
              <w:rPr>
                <w:rFonts w:ascii="Times New Roman" w:hAnsi="Times New Roman" w:hint="eastAsia"/>
                <w:szCs w:val="21"/>
              </w:rPr>
              <w:t>厦门银行股份有限公司厦门自贸试验区资金营运中心</w:t>
            </w:r>
          </w:p>
        </w:tc>
        <w:tc>
          <w:tcPr>
            <w:tcW w:w="243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left"/>
              <w:rPr>
                <w:rFonts w:ascii="Times New Roman" w:hAnsi="Times New Roman"/>
              </w:rPr>
            </w:pPr>
            <w:r>
              <w:rPr>
                <w:rFonts w:ascii="Times New Roman" w:hAnsi="Times New Roman" w:hint="eastAsia"/>
                <w:szCs w:val="21"/>
              </w:rPr>
              <w:t>中国（福建）自由贸易试验区厦门片</w:t>
            </w:r>
            <w:proofErr w:type="gramStart"/>
            <w:r>
              <w:rPr>
                <w:rFonts w:ascii="Times New Roman" w:hAnsi="Times New Roman" w:hint="eastAsia"/>
                <w:szCs w:val="21"/>
              </w:rPr>
              <w:t>区象屿路</w:t>
            </w:r>
            <w:r>
              <w:rPr>
                <w:rFonts w:ascii="Times New Roman" w:hAnsi="Times New Roman" w:cs="Times New Roman"/>
                <w:szCs w:val="21"/>
              </w:rPr>
              <w:t>97</w:t>
            </w:r>
            <w:r>
              <w:rPr>
                <w:rFonts w:ascii="Times New Roman" w:hAnsi="Times New Roman" w:hint="eastAsia"/>
                <w:szCs w:val="21"/>
              </w:rPr>
              <w:t>号</w:t>
            </w:r>
            <w:proofErr w:type="gramEnd"/>
            <w:r>
              <w:rPr>
                <w:rFonts w:ascii="Times New Roman" w:hAnsi="Times New Roman" w:hint="eastAsia"/>
                <w:szCs w:val="21"/>
              </w:rPr>
              <w:t>厦门国际航运中心</w:t>
            </w:r>
            <w:r>
              <w:rPr>
                <w:rFonts w:ascii="Times New Roman" w:hAnsi="Times New Roman" w:cs="Times New Roman"/>
                <w:szCs w:val="21"/>
              </w:rPr>
              <w:t>D</w:t>
            </w:r>
            <w:r>
              <w:rPr>
                <w:rFonts w:ascii="Times New Roman" w:hAnsi="Times New Roman" w:hint="eastAsia"/>
                <w:szCs w:val="21"/>
              </w:rPr>
              <w:t>栋</w:t>
            </w:r>
            <w:r>
              <w:rPr>
                <w:rFonts w:ascii="Times New Roman" w:hAnsi="Times New Roman" w:cs="Times New Roman"/>
                <w:szCs w:val="21"/>
              </w:rPr>
              <w:t>5</w:t>
            </w:r>
            <w:r>
              <w:rPr>
                <w:rFonts w:ascii="Times New Roman" w:hAnsi="Times New Roman" w:hint="eastAsia"/>
                <w:szCs w:val="21"/>
              </w:rPr>
              <w:t>层</w:t>
            </w:r>
            <w:r>
              <w:rPr>
                <w:rFonts w:ascii="Times New Roman" w:hAnsi="Times New Roman" w:cs="Times New Roman"/>
                <w:szCs w:val="21"/>
              </w:rPr>
              <w:t>10</w:t>
            </w:r>
            <w:r>
              <w:rPr>
                <w:rFonts w:ascii="Times New Roman" w:hAnsi="Times New Roman" w:hint="eastAsia"/>
                <w:szCs w:val="21"/>
              </w:rPr>
              <w:t>单元（该住所仅限作为商</w:t>
            </w:r>
            <w:proofErr w:type="gramStart"/>
            <w:r>
              <w:rPr>
                <w:rFonts w:ascii="Times New Roman" w:hAnsi="Times New Roman" w:hint="eastAsia"/>
                <w:szCs w:val="21"/>
              </w:rPr>
              <w:t>事主体</w:t>
            </w:r>
            <w:proofErr w:type="gramEnd"/>
            <w:r>
              <w:rPr>
                <w:rFonts w:ascii="Times New Roman" w:hAnsi="Times New Roman" w:hint="eastAsia"/>
                <w:szCs w:val="21"/>
              </w:rPr>
              <w:t>法律文书送达地址）</w:t>
            </w:r>
          </w:p>
        </w:tc>
        <w:tc>
          <w:tcPr>
            <w:tcW w:w="72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right"/>
              <w:rPr>
                <w:rFonts w:ascii="Times New Roman" w:hAnsi="Times New Roman" w:cs="Times New Roman"/>
              </w:rPr>
            </w:pPr>
            <w:r>
              <w:rPr>
                <w:rFonts w:ascii="Times New Roman" w:hAnsi="Times New Roman" w:cs="Times New Roman"/>
                <w:kern w:val="0"/>
                <w:szCs w:val="21"/>
              </w:rPr>
              <w:t>1</w:t>
            </w:r>
          </w:p>
        </w:tc>
        <w:tc>
          <w:tcPr>
            <w:tcW w:w="156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right"/>
              <w:rPr>
                <w:rFonts w:ascii="Times New Roman" w:hAnsi="Times New Roman" w:cs="Times New Roman"/>
                <w:kern w:val="0"/>
                <w:szCs w:val="21"/>
              </w:rPr>
            </w:pPr>
            <w:r>
              <w:rPr>
                <w:rFonts w:ascii="Times New Roman" w:hAnsi="Times New Roman" w:cs="Times New Roman"/>
                <w:kern w:val="0"/>
                <w:szCs w:val="21"/>
              </w:rPr>
              <w:t>46</w:t>
            </w:r>
          </w:p>
        </w:tc>
        <w:tc>
          <w:tcPr>
            <w:tcW w:w="160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eastAsia="Arial Narrow" w:hAnsi="Times New Roman" w:cs="Times New Roman"/>
                <w:color w:val="000000"/>
                <w:kern w:val="0"/>
                <w:szCs w:val="21"/>
                <w:lang w:bidi="ar"/>
              </w:rPr>
              <w:t xml:space="preserve">123,158,545 </w:t>
            </w:r>
          </w:p>
        </w:tc>
      </w:tr>
      <w:tr w:rsidR="00AD5BB5">
        <w:tc>
          <w:tcPr>
            <w:tcW w:w="628" w:type="dxa"/>
            <w:vMerge/>
            <w:tcBorders>
              <w:left w:val="single" w:sz="4" w:space="0" w:color="auto"/>
              <w:bottom w:val="single" w:sz="4" w:space="0" w:color="auto"/>
              <w:right w:val="single" w:sz="4" w:space="0" w:color="auto"/>
              <w:tl2br w:val="nil"/>
              <w:tr2bl w:val="nil"/>
            </w:tcBorders>
            <w:vAlign w:val="center"/>
          </w:tcPr>
          <w:p w:rsidR="00AD5BB5" w:rsidRDefault="00AD5BB5">
            <w:pPr>
              <w:pStyle w:val="aff2"/>
              <w:ind w:firstLineChars="0" w:firstLine="0"/>
              <w:rPr>
                <w:rFonts w:ascii="Times New Roman" w:hAnsi="Times New Roman" w:cs="Times New Roman"/>
                <w:kern w:val="0"/>
              </w:rPr>
            </w:pPr>
          </w:p>
        </w:tc>
        <w:tc>
          <w:tcPr>
            <w:tcW w:w="158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rPr>
            </w:pPr>
            <w:r>
              <w:rPr>
                <w:rFonts w:ascii="Times New Roman" w:hAnsi="Times New Roman" w:hint="eastAsia"/>
                <w:szCs w:val="21"/>
              </w:rPr>
              <w:t>厦门银行股份有限公司理财中心</w:t>
            </w:r>
          </w:p>
        </w:tc>
        <w:tc>
          <w:tcPr>
            <w:tcW w:w="243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left"/>
              <w:rPr>
                <w:rFonts w:ascii="Times New Roman" w:hAnsi="Times New Roman"/>
              </w:rPr>
            </w:pPr>
            <w:r>
              <w:rPr>
                <w:rFonts w:ascii="Times New Roman" w:hAnsi="Times New Roman" w:hint="eastAsia"/>
                <w:szCs w:val="21"/>
              </w:rPr>
              <w:t>福建省福州市马尾区湖里路</w:t>
            </w:r>
            <w:r>
              <w:rPr>
                <w:rFonts w:ascii="Times New Roman" w:hAnsi="Times New Roman" w:cs="Times New Roman"/>
                <w:szCs w:val="21"/>
              </w:rPr>
              <w:t>27</w:t>
            </w:r>
            <w:r>
              <w:rPr>
                <w:rFonts w:ascii="Times New Roman" w:hAnsi="Times New Roman" w:hint="eastAsia"/>
                <w:szCs w:val="21"/>
              </w:rPr>
              <w:t>号</w:t>
            </w:r>
            <w:r>
              <w:rPr>
                <w:rFonts w:ascii="Times New Roman" w:hAnsi="Times New Roman" w:cs="Times New Roman"/>
                <w:szCs w:val="21"/>
              </w:rPr>
              <w:t>1#</w:t>
            </w:r>
            <w:r>
              <w:rPr>
                <w:rFonts w:ascii="Times New Roman" w:hAnsi="Times New Roman" w:hint="eastAsia"/>
                <w:szCs w:val="21"/>
              </w:rPr>
              <w:t>楼</w:t>
            </w:r>
            <w:r>
              <w:rPr>
                <w:rFonts w:ascii="Times New Roman" w:hAnsi="Times New Roman" w:cs="Times New Roman"/>
                <w:szCs w:val="21"/>
              </w:rPr>
              <w:t>2-51L</w:t>
            </w:r>
            <w:r>
              <w:rPr>
                <w:rFonts w:ascii="Times New Roman" w:hAnsi="Times New Roman" w:hint="eastAsia"/>
                <w:szCs w:val="21"/>
              </w:rPr>
              <w:t>室（自贸试验区内）</w:t>
            </w:r>
          </w:p>
        </w:tc>
        <w:tc>
          <w:tcPr>
            <w:tcW w:w="72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right"/>
              <w:rPr>
                <w:rFonts w:ascii="Times New Roman" w:hAnsi="Times New Roman" w:cs="Times New Roman"/>
              </w:rPr>
            </w:pPr>
            <w:r>
              <w:rPr>
                <w:rFonts w:ascii="Times New Roman" w:hAnsi="Times New Roman" w:cs="Times New Roman"/>
                <w:kern w:val="0"/>
                <w:szCs w:val="21"/>
              </w:rPr>
              <w:t>1</w:t>
            </w:r>
          </w:p>
        </w:tc>
        <w:tc>
          <w:tcPr>
            <w:tcW w:w="156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right"/>
              <w:rPr>
                <w:rFonts w:ascii="Times New Roman" w:hAnsi="Times New Roman" w:cs="Times New Roman"/>
                <w:kern w:val="0"/>
                <w:szCs w:val="21"/>
              </w:rPr>
            </w:pPr>
            <w:r>
              <w:rPr>
                <w:rFonts w:ascii="Times New Roman" w:hAnsi="Times New Roman" w:cs="Times New Roman"/>
                <w:kern w:val="0"/>
                <w:szCs w:val="21"/>
              </w:rPr>
              <w:t>30</w:t>
            </w:r>
          </w:p>
        </w:tc>
        <w:tc>
          <w:tcPr>
            <w:tcW w:w="160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eastAsia="Arial Narrow" w:hAnsi="Times New Roman" w:cs="Times New Roman"/>
                <w:color w:val="000000"/>
                <w:kern w:val="0"/>
                <w:szCs w:val="21"/>
                <w:lang w:bidi="ar"/>
              </w:rPr>
              <w:t xml:space="preserve">7 </w:t>
            </w:r>
          </w:p>
        </w:tc>
      </w:tr>
    </w:tbl>
    <w:p w:rsidR="00AD5BB5" w:rsidRDefault="00AD5BB5">
      <w:pPr>
        <w:numPr>
          <w:ilvl w:val="255"/>
          <w:numId w:val="0"/>
        </w:numPr>
        <w:rPr>
          <w:rFonts w:ascii="Times New Roman" w:hAnsi="Times New Roman" w:cs="Times New Roman"/>
          <w:b/>
          <w:bCs/>
        </w:rPr>
      </w:pPr>
    </w:p>
    <w:p w:rsidR="00AD5BB5" w:rsidRDefault="00F87FF6" w:rsidP="00F22BE0">
      <w:pPr>
        <w:ind w:firstLineChars="100" w:firstLine="211"/>
        <w:rPr>
          <w:b/>
          <w:bCs/>
        </w:rPr>
      </w:pPr>
      <w:r>
        <w:rPr>
          <w:rFonts w:ascii="Times New Roman" w:hAnsi="Times New Roman" w:cs="Times New Roman" w:hint="eastAsia"/>
          <w:b/>
          <w:bCs/>
        </w:rPr>
        <w:t>（九）</w:t>
      </w:r>
      <w:r>
        <w:rPr>
          <w:rFonts w:ascii="Times New Roman" w:hAnsi="Times New Roman" w:cs="Times New Roman" w:hint="eastAsia"/>
          <w:b/>
          <w:bCs/>
          <w:kern w:val="0"/>
        </w:rPr>
        <w:t>信贷资产质量情</w:t>
      </w:r>
      <w:r>
        <w:rPr>
          <w:rFonts w:hint="eastAsia"/>
          <w:b/>
          <w:bCs/>
        </w:rPr>
        <w:t>况</w:t>
      </w:r>
    </w:p>
    <w:p w:rsidR="00AD5BB5" w:rsidRDefault="00AD5BB5"/>
    <w:p w:rsidR="00AD5BB5" w:rsidRDefault="00F87FF6">
      <w:pPr>
        <w:pStyle w:val="4"/>
        <w:numPr>
          <w:ilvl w:val="0"/>
          <w:numId w:val="14"/>
        </w:numPr>
        <w:spacing w:line="360" w:lineRule="auto"/>
        <w:rPr>
          <w:rFonts w:ascii="Times New Roman" w:hAnsi="Times New Roman" w:cs="Times New Roman"/>
        </w:rPr>
      </w:pPr>
      <w:r>
        <w:rPr>
          <w:rFonts w:ascii="Times New Roman" w:hAnsi="Times New Roman" w:cs="Times New Roman" w:hint="eastAsia"/>
        </w:rPr>
        <w:t>贷款五级分类情况</w:t>
      </w:r>
    </w:p>
    <w:p w:rsidR="00AD5BB5" w:rsidRDefault="00F87FF6">
      <w:pPr>
        <w:spacing w:line="360" w:lineRule="auto"/>
        <w:ind w:firstLineChars="200" w:firstLine="420"/>
        <w:rPr>
          <w:rFonts w:ascii="Times New Roman" w:hAnsi="Times New Roman" w:cs="Times New Roman"/>
          <w:bCs/>
        </w:rPr>
      </w:pPr>
      <w:r>
        <w:rPr>
          <w:rFonts w:ascii="Times New Roman" w:hAnsi="Times New Roman"/>
          <w:bCs/>
        </w:rPr>
        <w:t>截至报告期末，公司不良贷款余额</w:t>
      </w:r>
      <w:r>
        <w:rPr>
          <w:rFonts w:ascii="Times New Roman" w:hAnsi="Times New Roman" w:hint="eastAsia"/>
          <w:bCs/>
        </w:rPr>
        <w:t>16</w:t>
      </w:r>
      <w:r>
        <w:rPr>
          <w:rFonts w:ascii="Times New Roman" w:hAnsi="Times New Roman"/>
          <w:bCs/>
        </w:rPr>
        <w:t>.</w:t>
      </w:r>
      <w:r>
        <w:rPr>
          <w:rFonts w:ascii="Times New Roman" w:hAnsi="Times New Roman" w:hint="eastAsia"/>
          <w:bCs/>
        </w:rPr>
        <w:t>09</w:t>
      </w:r>
      <w:r>
        <w:rPr>
          <w:rFonts w:ascii="Times New Roman" w:hAnsi="Times New Roman"/>
          <w:bCs/>
        </w:rPr>
        <w:t>亿元，不良贷款率</w:t>
      </w:r>
      <w:r>
        <w:rPr>
          <w:rFonts w:ascii="Times New Roman" w:hAnsi="Times New Roman"/>
          <w:bCs/>
        </w:rPr>
        <w:t>0.</w:t>
      </w:r>
      <w:r>
        <w:rPr>
          <w:rFonts w:ascii="Times New Roman" w:hAnsi="Times New Roman" w:hint="eastAsia"/>
          <w:bCs/>
        </w:rPr>
        <w:t>80</w:t>
      </w:r>
      <w:r>
        <w:rPr>
          <w:rFonts w:ascii="Times New Roman" w:hAnsi="Times New Roman"/>
          <w:bCs/>
        </w:rPr>
        <w:t>%</w:t>
      </w:r>
      <w:r>
        <w:rPr>
          <w:rFonts w:ascii="Times New Roman" w:hAnsi="Times New Roman"/>
          <w:bCs/>
        </w:rPr>
        <w:t>，较上年末下降</w:t>
      </w:r>
      <w:r>
        <w:rPr>
          <w:rFonts w:ascii="Times New Roman" w:hAnsi="Times New Roman"/>
          <w:bCs/>
        </w:rPr>
        <w:t>0.</w:t>
      </w:r>
      <w:r>
        <w:rPr>
          <w:rFonts w:ascii="Times New Roman" w:hAnsi="Times New Roman" w:hint="eastAsia"/>
          <w:bCs/>
        </w:rPr>
        <w:t>06</w:t>
      </w:r>
      <w:r>
        <w:rPr>
          <w:rFonts w:ascii="Times New Roman" w:hAnsi="Times New Roman"/>
          <w:bCs/>
        </w:rPr>
        <w:t>个百分点。</w:t>
      </w:r>
      <w:r>
        <w:rPr>
          <w:rFonts w:ascii="Times New Roman" w:hAnsi="Times New Roman" w:cs="Times New Roman"/>
          <w:bCs/>
        </w:rPr>
        <w:t xml:space="preserve">                                                              </w:t>
      </w:r>
    </w:p>
    <w:p w:rsidR="00AD5BB5" w:rsidRDefault="00F87FF6">
      <w:pPr>
        <w:ind w:firstLineChars="3100" w:firstLine="6510"/>
        <w:rPr>
          <w:rFonts w:ascii="Times New Roman" w:hAnsi="Times New Roman" w:cs="Times New Roman"/>
        </w:rPr>
      </w:pPr>
      <w:r>
        <w:rPr>
          <w:rFonts w:ascii="Times New Roman" w:hAnsi="Times New Roman" w:cs="Times New Roman"/>
        </w:rPr>
        <w:t>单位：人民币千元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5"/>
        <w:gridCol w:w="1316"/>
        <w:gridCol w:w="1241"/>
        <w:gridCol w:w="1348"/>
        <w:gridCol w:w="1134"/>
        <w:gridCol w:w="1133"/>
        <w:gridCol w:w="1076"/>
      </w:tblGrid>
      <w:tr w:rsidR="00AD5BB5">
        <w:tc>
          <w:tcPr>
            <w:tcW w:w="635"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rPr>
            </w:pPr>
            <w:r>
              <w:rPr>
                <w:rFonts w:ascii="Times New Roman" w:hAnsi="Times New Roman" w:cs="Times New Roman"/>
                <w:b/>
                <w:bCs/>
              </w:rPr>
              <w:t>项目</w:t>
            </w:r>
          </w:p>
        </w:tc>
        <w:tc>
          <w:tcPr>
            <w:tcW w:w="1539" w:type="pct"/>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rPr>
            </w:pPr>
            <w:r>
              <w:rPr>
                <w:rFonts w:ascii="Times New Roman" w:hAnsi="Times New Roman" w:cs="Times New Roman"/>
                <w:b/>
                <w:bCs/>
              </w:rPr>
              <w:t>202</w:t>
            </w:r>
            <w:r>
              <w:rPr>
                <w:rFonts w:ascii="Times New Roman" w:hAnsi="Times New Roman" w:cs="Times New Roman" w:hint="eastAsia"/>
                <w:b/>
                <w:bCs/>
              </w:rPr>
              <w:t>3</w:t>
            </w:r>
            <w:r>
              <w:rPr>
                <w:rFonts w:ascii="Times New Roman" w:hAnsi="Times New Roman" w:cs="Times New Roman"/>
                <w:b/>
                <w:bCs/>
              </w:rPr>
              <w:t>年</w:t>
            </w:r>
            <w:r>
              <w:rPr>
                <w:rFonts w:ascii="Times New Roman" w:hAnsi="Times New Roman" w:cs="Times New Roman"/>
                <w:b/>
                <w:bCs/>
              </w:rPr>
              <w:t>6</w:t>
            </w:r>
            <w:r>
              <w:rPr>
                <w:rFonts w:ascii="Times New Roman" w:hAnsi="Times New Roman" w:cs="Times New Roman"/>
                <w:b/>
                <w:bCs/>
              </w:rPr>
              <w:t>月</w:t>
            </w:r>
            <w:r>
              <w:rPr>
                <w:rFonts w:ascii="Times New Roman" w:hAnsi="Times New Roman" w:cs="Times New Roman"/>
                <w:b/>
                <w:bCs/>
              </w:rPr>
              <w:t>30</w:t>
            </w:r>
            <w:r>
              <w:rPr>
                <w:rFonts w:ascii="Times New Roman" w:hAnsi="Times New Roman" w:cs="Times New Roman"/>
                <w:b/>
                <w:bCs/>
              </w:rPr>
              <w:t>日</w:t>
            </w:r>
          </w:p>
        </w:tc>
        <w:tc>
          <w:tcPr>
            <w:tcW w:w="1494" w:type="pct"/>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rPr>
            </w:pPr>
            <w:r>
              <w:rPr>
                <w:rFonts w:ascii="Times New Roman" w:hAnsi="Times New Roman" w:cs="Times New Roman"/>
                <w:b/>
                <w:bCs/>
              </w:rPr>
              <w:t>202</w:t>
            </w:r>
            <w:r>
              <w:rPr>
                <w:rFonts w:ascii="Times New Roman" w:hAnsi="Times New Roman" w:cs="Times New Roman" w:hint="eastAsia"/>
                <w:b/>
                <w:bCs/>
              </w:rPr>
              <w:t>2</w:t>
            </w:r>
            <w:r>
              <w:rPr>
                <w:rFonts w:ascii="Times New Roman" w:hAnsi="Times New Roman" w:cs="Times New Roman"/>
                <w:b/>
                <w:bCs/>
              </w:rPr>
              <w:t>年</w:t>
            </w:r>
            <w:r>
              <w:rPr>
                <w:rFonts w:ascii="Times New Roman" w:hAnsi="Times New Roman" w:cs="Times New Roman"/>
                <w:b/>
                <w:bCs/>
              </w:rPr>
              <w:t>12</w:t>
            </w:r>
            <w:r>
              <w:rPr>
                <w:rFonts w:ascii="Times New Roman" w:hAnsi="Times New Roman" w:cs="Times New Roman"/>
                <w:b/>
                <w:bCs/>
              </w:rPr>
              <w:t>月</w:t>
            </w:r>
            <w:r>
              <w:rPr>
                <w:rFonts w:ascii="Times New Roman" w:hAnsi="Times New Roman" w:cs="Times New Roman"/>
                <w:b/>
                <w:bCs/>
              </w:rPr>
              <w:t>31</w:t>
            </w:r>
            <w:r>
              <w:rPr>
                <w:rFonts w:ascii="Times New Roman" w:hAnsi="Times New Roman" w:cs="Times New Roman"/>
                <w:b/>
                <w:bCs/>
              </w:rPr>
              <w:t>日</w:t>
            </w:r>
          </w:p>
        </w:tc>
        <w:tc>
          <w:tcPr>
            <w:tcW w:w="1330" w:type="pct"/>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rPr>
            </w:pPr>
            <w:r>
              <w:rPr>
                <w:rFonts w:ascii="Times New Roman" w:hAnsi="Times New Roman" w:cs="Times New Roman"/>
                <w:b/>
                <w:bCs/>
              </w:rPr>
              <w:t>变动</w:t>
            </w:r>
          </w:p>
        </w:tc>
      </w:tr>
      <w:tr w:rsidR="00AD5BB5">
        <w:tc>
          <w:tcPr>
            <w:tcW w:w="635" w:type="pct"/>
            <w:vMerge/>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jc w:val="center"/>
              <w:rPr>
                <w:rFonts w:ascii="Times New Roman" w:hAnsi="Times New Roman" w:cs="Times New Roman"/>
                <w:b/>
                <w:bCs/>
              </w:rPr>
            </w:pPr>
          </w:p>
        </w:tc>
        <w:tc>
          <w:tcPr>
            <w:tcW w:w="79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Times New Roman"/>
                <w:b/>
                <w:bCs/>
              </w:rPr>
            </w:pPr>
            <w:r>
              <w:rPr>
                <w:rFonts w:ascii="Times New Roman" w:hAnsi="Times New Roman" w:cs="Times New Roman"/>
                <w:b/>
                <w:bCs/>
              </w:rPr>
              <w:t>金额</w:t>
            </w:r>
          </w:p>
        </w:tc>
        <w:tc>
          <w:tcPr>
            <w:tcW w:w="74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Times New Roman"/>
                <w:b/>
                <w:bCs/>
              </w:rPr>
            </w:pPr>
            <w:r>
              <w:rPr>
                <w:rFonts w:ascii="Times New Roman" w:hAnsi="Times New Roman" w:cs="Times New Roman"/>
                <w:b/>
                <w:bCs/>
              </w:rPr>
              <w:t>占比</w:t>
            </w:r>
          </w:p>
          <w:p w:rsidR="00AD5BB5" w:rsidRDefault="00F87FF6">
            <w:pPr>
              <w:kinsoku w:val="0"/>
              <w:overflowPunct w:val="0"/>
              <w:autoSpaceDE w:val="0"/>
              <w:autoSpaceDN w:val="0"/>
              <w:adjustRightInd w:val="0"/>
              <w:snapToGrid w:val="0"/>
              <w:ind w:right="180"/>
              <w:jc w:val="center"/>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rPr>
              <w:t>%</w:t>
            </w:r>
            <w:r>
              <w:rPr>
                <w:rFonts w:ascii="Times New Roman" w:hAnsi="Times New Roman" w:cs="Times New Roman"/>
                <w:b/>
                <w:bCs/>
              </w:rPr>
              <w:t>）</w:t>
            </w:r>
          </w:p>
        </w:tc>
        <w:tc>
          <w:tcPr>
            <w:tcW w:w="81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Times New Roman"/>
                <w:b/>
                <w:bCs/>
              </w:rPr>
            </w:pPr>
            <w:r>
              <w:rPr>
                <w:rFonts w:ascii="Times New Roman" w:hAnsi="Times New Roman" w:cs="Times New Roman"/>
                <w:b/>
                <w:bCs/>
              </w:rPr>
              <w:t>金额</w:t>
            </w:r>
          </w:p>
        </w:tc>
        <w:tc>
          <w:tcPr>
            <w:tcW w:w="6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Times New Roman"/>
                <w:b/>
                <w:bCs/>
              </w:rPr>
            </w:pPr>
            <w:r>
              <w:rPr>
                <w:rFonts w:ascii="Times New Roman" w:hAnsi="Times New Roman" w:cs="Times New Roman"/>
                <w:b/>
                <w:bCs/>
              </w:rPr>
              <w:t>占比</w:t>
            </w:r>
          </w:p>
          <w:p w:rsidR="00AD5BB5" w:rsidRDefault="00F87FF6">
            <w:pPr>
              <w:kinsoku w:val="0"/>
              <w:overflowPunct w:val="0"/>
              <w:autoSpaceDE w:val="0"/>
              <w:autoSpaceDN w:val="0"/>
              <w:adjustRightInd w:val="0"/>
              <w:snapToGrid w:val="0"/>
              <w:ind w:right="180"/>
              <w:jc w:val="center"/>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rPr>
              <w:t>%</w:t>
            </w:r>
            <w:r>
              <w:rPr>
                <w:rFonts w:ascii="Times New Roman" w:hAnsi="Times New Roman" w:cs="Times New Roman"/>
                <w:b/>
                <w:bCs/>
              </w:rPr>
              <w:t>）</w:t>
            </w:r>
          </w:p>
        </w:tc>
        <w:tc>
          <w:tcPr>
            <w:tcW w:w="6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Times New Roman"/>
                <w:b/>
                <w:bCs/>
              </w:rPr>
            </w:pPr>
            <w:r>
              <w:rPr>
                <w:rFonts w:ascii="Times New Roman" w:hAnsi="Times New Roman" w:cs="Times New Roman"/>
                <w:b/>
                <w:bCs/>
              </w:rPr>
              <w:t>金额</w:t>
            </w:r>
          </w:p>
        </w:tc>
        <w:tc>
          <w:tcPr>
            <w:tcW w:w="64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Times New Roman"/>
                <w:b/>
                <w:bCs/>
              </w:rPr>
            </w:pPr>
            <w:r>
              <w:rPr>
                <w:rFonts w:ascii="Times New Roman" w:hAnsi="Times New Roman" w:cs="Times New Roman"/>
                <w:b/>
                <w:bCs/>
              </w:rPr>
              <w:t>比例</w:t>
            </w:r>
          </w:p>
          <w:p w:rsidR="00AD5BB5" w:rsidRDefault="00F87FF6">
            <w:pPr>
              <w:kinsoku w:val="0"/>
              <w:overflowPunct w:val="0"/>
              <w:autoSpaceDE w:val="0"/>
              <w:autoSpaceDN w:val="0"/>
              <w:adjustRightInd w:val="0"/>
              <w:snapToGrid w:val="0"/>
              <w:ind w:right="180"/>
              <w:jc w:val="center"/>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rPr>
              <w:t>%</w:t>
            </w:r>
            <w:r>
              <w:rPr>
                <w:rFonts w:ascii="Times New Roman" w:hAnsi="Times New Roman" w:cs="Times New Roman"/>
                <w:b/>
                <w:bCs/>
              </w:rPr>
              <w:t>）</w:t>
            </w:r>
          </w:p>
        </w:tc>
      </w:tr>
      <w:tr w:rsidR="00AD5BB5">
        <w:tc>
          <w:tcPr>
            <w:tcW w:w="63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rPr>
            </w:pPr>
            <w:r>
              <w:rPr>
                <w:rFonts w:ascii="Times New Roman" w:hAnsi="Times New Roman" w:cs="Times New Roman"/>
              </w:rPr>
              <w:t>正常类</w:t>
            </w:r>
          </w:p>
        </w:tc>
        <w:tc>
          <w:tcPr>
            <w:tcW w:w="792"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197,300,966 </w:t>
            </w:r>
          </w:p>
        </w:tc>
        <w:tc>
          <w:tcPr>
            <w:tcW w:w="746"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98.03 </w:t>
            </w:r>
          </w:p>
        </w:tc>
        <w:tc>
          <w:tcPr>
            <w:tcW w:w="811"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196,201,976 </w:t>
            </w:r>
          </w:p>
        </w:tc>
        <w:tc>
          <w:tcPr>
            <w:tcW w:w="682"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97.91 </w:t>
            </w:r>
          </w:p>
        </w:tc>
        <w:tc>
          <w:tcPr>
            <w:tcW w:w="682"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1,098,989 </w:t>
            </w:r>
          </w:p>
        </w:tc>
        <w:tc>
          <w:tcPr>
            <w:tcW w:w="647"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0.56 </w:t>
            </w:r>
          </w:p>
        </w:tc>
      </w:tr>
      <w:tr w:rsidR="00AD5BB5">
        <w:tc>
          <w:tcPr>
            <w:tcW w:w="63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rPr>
            </w:pPr>
            <w:r>
              <w:rPr>
                <w:rFonts w:ascii="Times New Roman" w:hAnsi="Times New Roman" w:cs="Times New Roman"/>
              </w:rPr>
              <w:t>关注类</w:t>
            </w:r>
          </w:p>
        </w:tc>
        <w:tc>
          <w:tcPr>
            <w:tcW w:w="792"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2,348,306 </w:t>
            </w:r>
          </w:p>
        </w:tc>
        <w:tc>
          <w:tcPr>
            <w:tcW w:w="746"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1.17 </w:t>
            </w:r>
          </w:p>
        </w:tc>
        <w:tc>
          <w:tcPr>
            <w:tcW w:w="811"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2,459,672 </w:t>
            </w:r>
          </w:p>
        </w:tc>
        <w:tc>
          <w:tcPr>
            <w:tcW w:w="682"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1.23 </w:t>
            </w:r>
          </w:p>
        </w:tc>
        <w:tc>
          <w:tcPr>
            <w:tcW w:w="682"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-111,366 </w:t>
            </w:r>
          </w:p>
        </w:tc>
        <w:tc>
          <w:tcPr>
            <w:tcW w:w="647"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-4.53 </w:t>
            </w:r>
          </w:p>
        </w:tc>
      </w:tr>
      <w:tr w:rsidR="00AD5BB5">
        <w:tc>
          <w:tcPr>
            <w:tcW w:w="63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rPr>
            </w:pPr>
            <w:r>
              <w:rPr>
                <w:rFonts w:ascii="Times New Roman" w:hAnsi="Times New Roman" w:cs="Times New Roman"/>
              </w:rPr>
              <w:t>次级类</w:t>
            </w:r>
          </w:p>
        </w:tc>
        <w:tc>
          <w:tcPr>
            <w:tcW w:w="792"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394,590 </w:t>
            </w:r>
          </w:p>
        </w:tc>
        <w:tc>
          <w:tcPr>
            <w:tcW w:w="746"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0.20 </w:t>
            </w:r>
          </w:p>
        </w:tc>
        <w:tc>
          <w:tcPr>
            <w:tcW w:w="811"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625,928 </w:t>
            </w:r>
          </w:p>
        </w:tc>
        <w:tc>
          <w:tcPr>
            <w:tcW w:w="682"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0.31 </w:t>
            </w:r>
          </w:p>
        </w:tc>
        <w:tc>
          <w:tcPr>
            <w:tcW w:w="682"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-231,338 </w:t>
            </w:r>
          </w:p>
        </w:tc>
        <w:tc>
          <w:tcPr>
            <w:tcW w:w="647"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-36.96 </w:t>
            </w:r>
          </w:p>
        </w:tc>
      </w:tr>
      <w:tr w:rsidR="00AD5BB5">
        <w:tc>
          <w:tcPr>
            <w:tcW w:w="63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rPr>
            </w:pPr>
            <w:r>
              <w:rPr>
                <w:rFonts w:ascii="Times New Roman" w:hAnsi="Times New Roman" w:cs="Times New Roman"/>
              </w:rPr>
              <w:t>可疑类</w:t>
            </w:r>
          </w:p>
        </w:tc>
        <w:tc>
          <w:tcPr>
            <w:tcW w:w="792"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471,894 </w:t>
            </w:r>
          </w:p>
        </w:tc>
        <w:tc>
          <w:tcPr>
            <w:tcW w:w="746"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0.23 </w:t>
            </w:r>
          </w:p>
        </w:tc>
        <w:tc>
          <w:tcPr>
            <w:tcW w:w="811"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676,341 </w:t>
            </w:r>
          </w:p>
        </w:tc>
        <w:tc>
          <w:tcPr>
            <w:tcW w:w="682"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0.34 </w:t>
            </w:r>
          </w:p>
        </w:tc>
        <w:tc>
          <w:tcPr>
            <w:tcW w:w="682"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-204,448 </w:t>
            </w:r>
          </w:p>
        </w:tc>
        <w:tc>
          <w:tcPr>
            <w:tcW w:w="647"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-30.23 </w:t>
            </w:r>
          </w:p>
        </w:tc>
      </w:tr>
      <w:tr w:rsidR="00AD5BB5">
        <w:tc>
          <w:tcPr>
            <w:tcW w:w="63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rPr>
            </w:pPr>
            <w:r>
              <w:rPr>
                <w:rFonts w:ascii="Times New Roman" w:hAnsi="Times New Roman" w:cs="Times New Roman"/>
              </w:rPr>
              <w:t>损失类</w:t>
            </w:r>
          </w:p>
        </w:tc>
        <w:tc>
          <w:tcPr>
            <w:tcW w:w="792"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742,799 </w:t>
            </w:r>
          </w:p>
        </w:tc>
        <w:tc>
          <w:tcPr>
            <w:tcW w:w="746"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0.37 </w:t>
            </w:r>
          </w:p>
        </w:tc>
        <w:tc>
          <w:tcPr>
            <w:tcW w:w="811"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421,217 </w:t>
            </w:r>
          </w:p>
        </w:tc>
        <w:tc>
          <w:tcPr>
            <w:tcW w:w="682"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0.21 </w:t>
            </w:r>
          </w:p>
        </w:tc>
        <w:tc>
          <w:tcPr>
            <w:tcW w:w="682"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321,582 </w:t>
            </w:r>
          </w:p>
        </w:tc>
        <w:tc>
          <w:tcPr>
            <w:tcW w:w="647"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76.35 </w:t>
            </w:r>
          </w:p>
        </w:tc>
      </w:tr>
      <w:tr w:rsidR="00AD5BB5">
        <w:tc>
          <w:tcPr>
            <w:tcW w:w="63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rPr>
            </w:pPr>
            <w:r>
              <w:rPr>
                <w:rFonts w:ascii="Times New Roman" w:hAnsi="Times New Roman" w:cs="Times New Roman"/>
              </w:rPr>
              <w:t>贷款总额</w:t>
            </w:r>
          </w:p>
        </w:tc>
        <w:tc>
          <w:tcPr>
            <w:tcW w:w="792"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201,258,554 </w:t>
            </w:r>
          </w:p>
        </w:tc>
        <w:tc>
          <w:tcPr>
            <w:tcW w:w="746"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w:t>
            </w:r>
            <w:r>
              <w:rPr>
                <w:rFonts w:ascii="Times New Roman" w:hAnsi="Times New Roman" w:cs="Times New Roman" w:hint="eastAsia"/>
                <w:kern w:val="0"/>
                <w:szCs w:val="21"/>
                <w:lang w:bidi="ar"/>
              </w:rPr>
              <w:t>100.00</w:t>
            </w:r>
            <w:r>
              <w:rPr>
                <w:rFonts w:ascii="Times New Roman" w:hAnsi="Times New Roman" w:cs="Times New Roman"/>
                <w:kern w:val="0"/>
                <w:szCs w:val="21"/>
                <w:lang w:bidi="ar"/>
              </w:rPr>
              <w:t xml:space="preserve"> </w:t>
            </w:r>
          </w:p>
        </w:tc>
        <w:tc>
          <w:tcPr>
            <w:tcW w:w="811"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200,385,134 </w:t>
            </w:r>
          </w:p>
        </w:tc>
        <w:tc>
          <w:tcPr>
            <w:tcW w:w="682"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w:t>
            </w:r>
            <w:r>
              <w:rPr>
                <w:rFonts w:ascii="Times New Roman" w:hAnsi="Times New Roman" w:cs="Times New Roman" w:hint="eastAsia"/>
                <w:kern w:val="0"/>
                <w:szCs w:val="21"/>
                <w:lang w:bidi="ar"/>
              </w:rPr>
              <w:t>100.00</w:t>
            </w:r>
            <w:r>
              <w:rPr>
                <w:rFonts w:ascii="Times New Roman" w:hAnsi="Times New Roman" w:cs="Times New Roman"/>
                <w:kern w:val="0"/>
                <w:szCs w:val="21"/>
                <w:lang w:bidi="ar"/>
              </w:rPr>
              <w:t xml:space="preserve"> </w:t>
            </w:r>
          </w:p>
        </w:tc>
        <w:tc>
          <w:tcPr>
            <w:tcW w:w="682"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873,420 </w:t>
            </w:r>
          </w:p>
        </w:tc>
        <w:tc>
          <w:tcPr>
            <w:tcW w:w="647"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0.44 </w:t>
            </w:r>
          </w:p>
        </w:tc>
      </w:tr>
    </w:tbl>
    <w:p w:rsidR="00AD5BB5" w:rsidRDefault="00F87FF6">
      <w:pPr>
        <w:spacing w:line="360" w:lineRule="auto"/>
        <w:rPr>
          <w:rFonts w:ascii="Times New Roman" w:hAnsi="Times New Roman" w:cs="Times New Roman"/>
          <w:b/>
          <w:bCs/>
        </w:rPr>
      </w:pPr>
      <w:r>
        <w:rPr>
          <w:rFonts w:ascii="Times New Roman" w:hAnsi="Times New Roman" w:cs="Times New Roman"/>
          <w:b/>
          <w:bCs/>
        </w:rPr>
        <w:t xml:space="preserve"> </w:t>
      </w:r>
    </w:p>
    <w:p w:rsidR="00AD5BB5" w:rsidRDefault="00F87FF6">
      <w:pPr>
        <w:spacing w:line="360" w:lineRule="auto"/>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rPr>
        <w:t xml:space="preserve"> </w:t>
      </w:r>
      <w:r>
        <w:rPr>
          <w:rFonts w:ascii="Times New Roman" w:hAnsi="Times New Roman" w:cs="Times New Roman"/>
        </w:rPr>
        <w:t>截至报告期末，公司不良贷款按照</w:t>
      </w:r>
      <w:r>
        <w:rPr>
          <w:rFonts w:ascii="Times New Roman" w:hAnsi="Times New Roman" w:cs="Times New Roman" w:hint="eastAsia"/>
        </w:rPr>
        <w:t>客户所属</w:t>
      </w:r>
      <w:r>
        <w:rPr>
          <w:rFonts w:ascii="Times New Roman" w:hAnsi="Times New Roman" w:cs="Times New Roman"/>
        </w:rPr>
        <w:t>的前十位行业分布，不良率从高到低排列情况如下：</w:t>
      </w:r>
      <w:r>
        <w:rPr>
          <w:rFonts w:ascii="Times New Roman" w:hAnsi="Times New Roman" w:cs="Times New Roman"/>
        </w:rPr>
        <w:t xml:space="preserve"> </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0"/>
        <w:gridCol w:w="2528"/>
      </w:tblGrid>
      <w:tr w:rsidR="00AD5BB5">
        <w:tc>
          <w:tcPr>
            <w:tcW w:w="347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center"/>
              <w:rPr>
                <w:rFonts w:ascii="Times New Roman" w:hAnsi="Times New Roman" w:cs="Times New Roman"/>
                <w:b/>
                <w:bCs/>
              </w:rPr>
            </w:pPr>
            <w:r>
              <w:rPr>
                <w:rFonts w:ascii="Times New Roman" w:hAnsi="Times New Roman" w:cs="Times New Roman"/>
                <w:b/>
                <w:bCs/>
              </w:rPr>
              <w:lastRenderedPageBreak/>
              <w:t>不良贷款行业</w:t>
            </w:r>
            <w:r>
              <w:rPr>
                <w:rFonts w:ascii="Times New Roman" w:hAnsi="Times New Roman" w:cs="Times New Roman" w:hint="eastAsia"/>
                <w:b/>
                <w:bCs/>
              </w:rPr>
              <w:t>分布</w:t>
            </w:r>
          </w:p>
        </w:tc>
        <w:tc>
          <w:tcPr>
            <w:tcW w:w="152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center"/>
              <w:rPr>
                <w:rFonts w:ascii="Times New Roman" w:hAnsi="Times New Roman" w:cs="Times New Roman"/>
                <w:b/>
                <w:bCs/>
              </w:rPr>
            </w:pPr>
            <w:r>
              <w:rPr>
                <w:rFonts w:ascii="Times New Roman" w:hAnsi="Times New Roman" w:cs="Times New Roman"/>
                <w:b/>
                <w:bCs/>
              </w:rPr>
              <w:t>不良率（</w:t>
            </w:r>
            <w:r>
              <w:rPr>
                <w:rFonts w:ascii="Times New Roman" w:hAnsi="Times New Roman" w:cs="Times New Roman"/>
                <w:b/>
                <w:bCs/>
              </w:rPr>
              <w:t>%</w:t>
            </w:r>
            <w:r>
              <w:rPr>
                <w:rFonts w:ascii="Times New Roman" w:hAnsi="Times New Roman" w:cs="Times New Roman"/>
                <w:b/>
                <w:bCs/>
              </w:rPr>
              <w:t>）</w:t>
            </w:r>
          </w:p>
        </w:tc>
      </w:tr>
      <w:tr w:rsidR="00AD5BB5">
        <w:tc>
          <w:tcPr>
            <w:tcW w:w="3476"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rPr>
                <w:rFonts w:ascii="Times New Roman" w:hAnsi="Times New Roman" w:cs="Times New Roman"/>
                <w:szCs w:val="21"/>
              </w:rPr>
            </w:pPr>
            <w:r>
              <w:rPr>
                <w:rFonts w:ascii="Times New Roman" w:hAnsi="Times New Roman" w:cs="Times New Roman"/>
                <w:szCs w:val="21"/>
              </w:rPr>
              <w:t>房地产业</w:t>
            </w:r>
          </w:p>
        </w:tc>
        <w:tc>
          <w:tcPr>
            <w:tcW w:w="1523"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pStyle w:val="aff2"/>
              <w:ind w:firstLineChars="0" w:firstLine="0"/>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5.22 </w:t>
            </w:r>
          </w:p>
        </w:tc>
      </w:tr>
      <w:tr w:rsidR="00AD5BB5">
        <w:tc>
          <w:tcPr>
            <w:tcW w:w="3476"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rPr>
                <w:rFonts w:ascii="Times New Roman" w:hAnsi="Times New Roman" w:cs="Times New Roman"/>
                <w:szCs w:val="21"/>
              </w:rPr>
            </w:pPr>
            <w:r>
              <w:rPr>
                <w:rFonts w:ascii="Times New Roman" w:hAnsi="Times New Roman" w:cs="Times New Roman"/>
                <w:szCs w:val="21"/>
              </w:rPr>
              <w:t>制造业</w:t>
            </w:r>
          </w:p>
        </w:tc>
        <w:tc>
          <w:tcPr>
            <w:tcW w:w="1523"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pStyle w:val="aff2"/>
              <w:ind w:firstLineChars="0" w:firstLine="0"/>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3.00 </w:t>
            </w:r>
          </w:p>
        </w:tc>
      </w:tr>
      <w:tr w:rsidR="00AD5BB5">
        <w:trPr>
          <w:trHeight w:val="90"/>
        </w:trPr>
        <w:tc>
          <w:tcPr>
            <w:tcW w:w="3476"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rPr>
                <w:rFonts w:ascii="Times New Roman" w:hAnsi="Times New Roman" w:cs="Times New Roman"/>
                <w:szCs w:val="21"/>
              </w:rPr>
            </w:pPr>
            <w:r>
              <w:rPr>
                <w:rFonts w:ascii="Times New Roman" w:hAnsi="Times New Roman" w:cs="Times New Roman"/>
                <w:szCs w:val="21"/>
              </w:rPr>
              <w:t>信息传输、软件和信息技术服务业</w:t>
            </w:r>
          </w:p>
        </w:tc>
        <w:tc>
          <w:tcPr>
            <w:tcW w:w="1523"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pStyle w:val="aff2"/>
              <w:ind w:firstLineChars="0" w:firstLine="0"/>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1.04 </w:t>
            </w:r>
          </w:p>
        </w:tc>
      </w:tr>
      <w:tr w:rsidR="00AD5BB5">
        <w:tc>
          <w:tcPr>
            <w:tcW w:w="3476"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rPr>
                <w:rFonts w:ascii="Times New Roman" w:hAnsi="Times New Roman" w:cs="Times New Roman"/>
                <w:szCs w:val="21"/>
              </w:rPr>
            </w:pPr>
            <w:r>
              <w:rPr>
                <w:rFonts w:ascii="Times New Roman" w:hAnsi="Times New Roman" w:cs="Times New Roman"/>
                <w:szCs w:val="21"/>
              </w:rPr>
              <w:t>建筑业</w:t>
            </w:r>
          </w:p>
        </w:tc>
        <w:tc>
          <w:tcPr>
            <w:tcW w:w="1523"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pStyle w:val="aff2"/>
              <w:ind w:firstLineChars="0" w:firstLine="0"/>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0.76 </w:t>
            </w:r>
          </w:p>
        </w:tc>
      </w:tr>
      <w:tr w:rsidR="00AD5BB5">
        <w:tc>
          <w:tcPr>
            <w:tcW w:w="3476"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rPr>
                <w:rFonts w:ascii="Times New Roman" w:hAnsi="Times New Roman" w:cs="Times New Roman"/>
                <w:szCs w:val="21"/>
              </w:rPr>
            </w:pPr>
            <w:r>
              <w:rPr>
                <w:rFonts w:ascii="Times New Roman" w:hAnsi="Times New Roman" w:cs="Times New Roman"/>
                <w:szCs w:val="21"/>
              </w:rPr>
              <w:t>交通运输、仓储和邮政业</w:t>
            </w:r>
          </w:p>
        </w:tc>
        <w:tc>
          <w:tcPr>
            <w:tcW w:w="1523"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pStyle w:val="aff2"/>
              <w:ind w:firstLineChars="0" w:firstLine="0"/>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0.39 </w:t>
            </w:r>
          </w:p>
        </w:tc>
      </w:tr>
      <w:tr w:rsidR="00AD5BB5">
        <w:tc>
          <w:tcPr>
            <w:tcW w:w="3476"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rPr>
                <w:rFonts w:ascii="Times New Roman" w:hAnsi="Times New Roman" w:cs="Times New Roman"/>
                <w:szCs w:val="21"/>
              </w:rPr>
            </w:pPr>
            <w:r>
              <w:rPr>
                <w:rFonts w:ascii="Times New Roman" w:hAnsi="Times New Roman" w:cs="Times New Roman"/>
                <w:szCs w:val="21"/>
              </w:rPr>
              <w:t>批发和零售业</w:t>
            </w:r>
          </w:p>
        </w:tc>
        <w:tc>
          <w:tcPr>
            <w:tcW w:w="1523"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pStyle w:val="aff2"/>
              <w:ind w:firstLineChars="0" w:firstLine="0"/>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0.36 </w:t>
            </w:r>
          </w:p>
        </w:tc>
      </w:tr>
      <w:tr w:rsidR="00AD5BB5">
        <w:tc>
          <w:tcPr>
            <w:tcW w:w="3476"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rPr>
                <w:rFonts w:ascii="Times New Roman" w:hAnsi="Times New Roman" w:cs="Times New Roman"/>
                <w:szCs w:val="21"/>
              </w:rPr>
            </w:pPr>
            <w:r>
              <w:rPr>
                <w:rFonts w:ascii="Times New Roman" w:hAnsi="Times New Roman" w:cs="Times New Roman"/>
                <w:szCs w:val="21"/>
              </w:rPr>
              <w:t>租赁和商务服务业</w:t>
            </w:r>
          </w:p>
        </w:tc>
        <w:tc>
          <w:tcPr>
            <w:tcW w:w="1523"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pStyle w:val="aff2"/>
              <w:ind w:firstLineChars="0" w:firstLine="0"/>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0.12 </w:t>
            </w:r>
          </w:p>
        </w:tc>
      </w:tr>
      <w:tr w:rsidR="00AD5BB5">
        <w:tc>
          <w:tcPr>
            <w:tcW w:w="3476"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rPr>
                <w:rFonts w:ascii="Times New Roman" w:hAnsi="Times New Roman" w:cs="Times New Roman"/>
                <w:szCs w:val="21"/>
              </w:rPr>
            </w:pPr>
            <w:r>
              <w:rPr>
                <w:rFonts w:ascii="Times New Roman" w:hAnsi="Times New Roman" w:cs="Times New Roman"/>
                <w:szCs w:val="21"/>
              </w:rPr>
              <w:t>科学研究和技术服务业</w:t>
            </w:r>
          </w:p>
        </w:tc>
        <w:tc>
          <w:tcPr>
            <w:tcW w:w="1523"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pStyle w:val="aff2"/>
              <w:ind w:firstLineChars="0" w:firstLine="0"/>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0.08 </w:t>
            </w:r>
          </w:p>
        </w:tc>
      </w:tr>
      <w:tr w:rsidR="00AD5BB5">
        <w:tc>
          <w:tcPr>
            <w:tcW w:w="3476"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rPr>
                <w:rFonts w:ascii="Times New Roman" w:hAnsi="Times New Roman" w:cs="Times New Roman"/>
                <w:szCs w:val="21"/>
              </w:rPr>
            </w:pPr>
            <w:r>
              <w:rPr>
                <w:rFonts w:ascii="Times New Roman" w:hAnsi="Times New Roman" w:cs="Times New Roman"/>
                <w:szCs w:val="21"/>
              </w:rPr>
              <w:t>水利、环境和公共设施管理业</w:t>
            </w:r>
          </w:p>
        </w:tc>
        <w:tc>
          <w:tcPr>
            <w:tcW w:w="1523"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pStyle w:val="aff2"/>
              <w:ind w:firstLineChars="0" w:firstLine="0"/>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0.02 </w:t>
            </w:r>
          </w:p>
        </w:tc>
      </w:tr>
    </w:tbl>
    <w:p w:rsidR="00AD5BB5" w:rsidRDefault="00F87FF6">
      <w:pPr>
        <w:spacing w:line="360" w:lineRule="auto"/>
        <w:rPr>
          <w:rFonts w:ascii="Times New Roman" w:hAnsi="Times New Roman" w:cs="Times New Roman"/>
          <w:bCs/>
          <w:sz w:val="18"/>
          <w:szCs w:val="18"/>
        </w:rPr>
      </w:pPr>
      <w:r>
        <w:rPr>
          <w:rFonts w:ascii="Times New Roman" w:hAnsi="Times New Roman" w:cs="Times New Roman" w:hint="eastAsia"/>
          <w:bCs/>
          <w:sz w:val="18"/>
          <w:szCs w:val="18"/>
        </w:rPr>
        <w:t>注：截至报告期末，公司仅有上述行业存在不良贷款。</w:t>
      </w:r>
    </w:p>
    <w:p w:rsidR="00AD5BB5" w:rsidRDefault="00AD5BB5">
      <w:pPr>
        <w:spacing w:line="360" w:lineRule="auto"/>
        <w:rPr>
          <w:rFonts w:ascii="Times New Roman" w:hAnsi="Times New Roman" w:cs="Times New Roman"/>
          <w:bCs/>
          <w:sz w:val="18"/>
          <w:szCs w:val="18"/>
        </w:rPr>
      </w:pPr>
    </w:p>
    <w:p w:rsidR="00AD5BB5" w:rsidRDefault="00F87FF6">
      <w:pPr>
        <w:pStyle w:val="4"/>
        <w:numPr>
          <w:ilvl w:val="0"/>
          <w:numId w:val="14"/>
        </w:numPr>
        <w:spacing w:line="360" w:lineRule="auto"/>
        <w:rPr>
          <w:rFonts w:ascii="Times New Roman" w:hAnsi="Times New Roman" w:cs="Times New Roman"/>
        </w:rPr>
      </w:pPr>
      <w:r>
        <w:rPr>
          <w:rFonts w:ascii="Times New Roman" w:hAnsi="Times New Roman" w:cs="Times New Roman" w:hint="eastAsia"/>
        </w:rPr>
        <w:t>重组贷款及逾期贷款情况</w:t>
      </w:r>
    </w:p>
    <w:p w:rsidR="00AD5BB5" w:rsidRDefault="00F87FF6">
      <w:pPr>
        <w:spacing w:line="360" w:lineRule="auto"/>
        <w:ind w:firstLineChars="200" w:firstLine="420"/>
        <w:rPr>
          <w:rFonts w:ascii="Times New Roman" w:hAnsi="Times New Roman"/>
          <w:bCs/>
        </w:rPr>
      </w:pPr>
      <w:r>
        <w:rPr>
          <w:rFonts w:ascii="Times New Roman" w:hAnsi="Times New Roman" w:hint="eastAsia"/>
          <w:bCs/>
        </w:rPr>
        <w:t>截至报告期末，公司无重组贷款，逾期贷款期末金额</w:t>
      </w:r>
      <w:r>
        <w:rPr>
          <w:rFonts w:ascii="Times New Roman" w:hAnsi="Times New Roman" w:hint="eastAsia"/>
          <w:bCs/>
        </w:rPr>
        <w:t>30.18</w:t>
      </w:r>
      <w:r>
        <w:rPr>
          <w:rFonts w:ascii="Times New Roman" w:hAnsi="Times New Roman" w:hint="eastAsia"/>
          <w:bCs/>
        </w:rPr>
        <w:t>亿元，较上年末增加</w:t>
      </w:r>
      <w:r>
        <w:rPr>
          <w:rFonts w:ascii="Times New Roman" w:hAnsi="Times New Roman" w:hint="eastAsia"/>
          <w:bCs/>
        </w:rPr>
        <w:t>6.26</w:t>
      </w:r>
      <w:r>
        <w:rPr>
          <w:rFonts w:ascii="Times New Roman" w:hAnsi="Times New Roman" w:hint="eastAsia"/>
          <w:bCs/>
        </w:rPr>
        <w:t>亿元，逾期贷款占贷款及垫款总额</w:t>
      </w:r>
      <w:r>
        <w:rPr>
          <w:rFonts w:ascii="Times New Roman" w:hAnsi="Times New Roman" w:hint="eastAsia"/>
          <w:bCs/>
        </w:rPr>
        <w:t>1.50%</w:t>
      </w:r>
      <w:r>
        <w:rPr>
          <w:rFonts w:ascii="Times New Roman" w:hAnsi="Times New Roman" w:hint="eastAsia"/>
          <w:bCs/>
        </w:rPr>
        <w:t>，较上年末上升</w:t>
      </w:r>
      <w:r>
        <w:rPr>
          <w:rFonts w:ascii="Times New Roman" w:hAnsi="Times New Roman" w:hint="eastAsia"/>
          <w:bCs/>
        </w:rPr>
        <w:t>0.31</w:t>
      </w:r>
      <w:r>
        <w:rPr>
          <w:rFonts w:ascii="Times New Roman" w:hAnsi="Times New Roman" w:hint="eastAsia"/>
          <w:bCs/>
        </w:rPr>
        <w:t>个百分点，公司逾期</w:t>
      </w:r>
      <w:r>
        <w:rPr>
          <w:rFonts w:ascii="Times New Roman" w:hAnsi="Times New Roman" w:hint="eastAsia"/>
          <w:bCs/>
        </w:rPr>
        <w:t>60</w:t>
      </w:r>
      <w:r>
        <w:rPr>
          <w:rFonts w:ascii="Times New Roman" w:hAnsi="Times New Roman" w:hint="eastAsia"/>
          <w:bCs/>
        </w:rPr>
        <w:t>天以上贷款均分类为不良贷款，因此公司的贷款偏离</w:t>
      </w:r>
      <w:proofErr w:type="gramStart"/>
      <w:r>
        <w:rPr>
          <w:rFonts w:ascii="Times New Roman" w:hAnsi="Times New Roman" w:hint="eastAsia"/>
          <w:bCs/>
        </w:rPr>
        <w:t>度维持</w:t>
      </w:r>
      <w:proofErr w:type="gramEnd"/>
      <w:r>
        <w:rPr>
          <w:rFonts w:ascii="Times New Roman" w:hAnsi="Times New Roman" w:hint="eastAsia"/>
          <w:bCs/>
        </w:rPr>
        <w:t>在较低水平。</w:t>
      </w:r>
    </w:p>
    <w:p w:rsidR="00AD5BB5" w:rsidRDefault="00F87FF6">
      <w:pPr>
        <w:spacing w:line="360" w:lineRule="auto"/>
        <w:ind w:firstLineChars="200" w:firstLine="420"/>
        <w:rPr>
          <w:rFonts w:ascii="Times New Roman" w:hAnsi="Times New Roman" w:cs="Times New Roman"/>
          <w:bCs/>
        </w:rPr>
      </w:pPr>
      <w:r>
        <w:rPr>
          <w:rFonts w:ascii="Times New Roman" w:hAnsi="Times New Roman" w:hint="eastAsia"/>
          <w:bCs/>
        </w:rPr>
        <w:t>报告期内，公司逾期贷款上升主要受个别企业客户逾期贷款增加影响所致。公司已对逾期贷款计提充足拨备，并密切关注逾期贷款客户经营财务及偿债能力变化情况、负面舆情情况，加大已逾期贷款风险处置力度，持续防范化解信用风险。</w:t>
      </w:r>
    </w:p>
    <w:p w:rsidR="00AD5BB5" w:rsidRDefault="00F87FF6">
      <w:pPr>
        <w:spacing w:line="360" w:lineRule="auto"/>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rPr>
        <w:t>单位：人民币千元</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500"/>
        <w:gridCol w:w="1606"/>
        <w:gridCol w:w="1605"/>
        <w:gridCol w:w="1608"/>
      </w:tblGrid>
      <w:tr w:rsidR="00AD5BB5">
        <w:trPr>
          <w:trHeight w:val="312"/>
        </w:trPr>
        <w:tc>
          <w:tcPr>
            <w:tcW w:w="119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center"/>
              <w:rPr>
                <w:rFonts w:ascii="Times New Roman" w:hAnsi="Times New Roman" w:cs="Times New Roman"/>
                <w:b/>
                <w:bCs/>
              </w:rPr>
            </w:pPr>
            <w:r>
              <w:rPr>
                <w:rFonts w:ascii="Times New Roman" w:hAnsi="Times New Roman" w:cs="Times New Roman"/>
                <w:b/>
                <w:bCs/>
              </w:rPr>
              <w:t>项目</w:t>
            </w:r>
          </w:p>
        </w:tc>
        <w:tc>
          <w:tcPr>
            <w:tcW w:w="90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center"/>
              <w:rPr>
                <w:rFonts w:ascii="Times New Roman" w:hAnsi="Times New Roman" w:cs="Times New Roman"/>
                <w:b/>
                <w:bCs/>
              </w:rPr>
            </w:pPr>
            <w:r>
              <w:rPr>
                <w:rFonts w:ascii="Times New Roman" w:hAnsi="Times New Roman" w:cs="Times New Roman"/>
                <w:b/>
                <w:bCs/>
              </w:rPr>
              <w:t>期</w:t>
            </w:r>
            <w:proofErr w:type="gramStart"/>
            <w:r>
              <w:rPr>
                <w:rFonts w:ascii="Times New Roman" w:hAnsi="Times New Roman" w:cs="Times New Roman"/>
                <w:b/>
                <w:bCs/>
              </w:rPr>
              <w:t>初金额</w:t>
            </w:r>
            <w:proofErr w:type="gramEnd"/>
          </w:p>
        </w:tc>
        <w:tc>
          <w:tcPr>
            <w:tcW w:w="96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center"/>
              <w:rPr>
                <w:rFonts w:ascii="Times New Roman" w:hAnsi="Times New Roman" w:cs="Times New Roman"/>
                <w:b/>
                <w:bCs/>
              </w:rPr>
            </w:pPr>
            <w:r>
              <w:rPr>
                <w:rFonts w:ascii="Times New Roman" w:hAnsi="Times New Roman" w:cs="Times New Roman"/>
                <w:b/>
                <w:bCs/>
              </w:rPr>
              <w:t>期末金额</w:t>
            </w:r>
          </w:p>
        </w:tc>
        <w:tc>
          <w:tcPr>
            <w:tcW w:w="96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center"/>
              <w:rPr>
                <w:rFonts w:ascii="Times New Roman" w:hAnsi="Times New Roman" w:cs="Times New Roman"/>
                <w:b/>
                <w:bCs/>
              </w:rPr>
            </w:pPr>
            <w:r>
              <w:rPr>
                <w:rFonts w:ascii="Times New Roman" w:hAnsi="Times New Roman" w:cs="Times New Roman"/>
                <w:b/>
                <w:bCs/>
              </w:rPr>
              <w:t>本期变动</w:t>
            </w:r>
          </w:p>
        </w:tc>
        <w:tc>
          <w:tcPr>
            <w:tcW w:w="969"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jc w:val="center"/>
              <w:rPr>
                <w:rFonts w:ascii="Times New Roman" w:hAnsi="Times New Roman" w:cs="Times New Roman"/>
                <w:b/>
                <w:bCs/>
              </w:rPr>
            </w:pPr>
            <w:r>
              <w:rPr>
                <w:rFonts w:ascii="Times New Roman" w:hAnsi="Times New Roman" w:cs="Times New Roman"/>
                <w:b/>
                <w:bCs/>
              </w:rPr>
              <w:t>占比（</w:t>
            </w:r>
            <w:r>
              <w:rPr>
                <w:rFonts w:ascii="Times New Roman" w:hAnsi="Times New Roman" w:cs="Times New Roman"/>
                <w:b/>
                <w:bCs/>
              </w:rPr>
              <w:t>%</w:t>
            </w:r>
            <w:r>
              <w:rPr>
                <w:rFonts w:ascii="Times New Roman" w:hAnsi="Times New Roman" w:cs="Times New Roman"/>
                <w:b/>
                <w:bCs/>
              </w:rPr>
              <w:t>）</w:t>
            </w:r>
          </w:p>
        </w:tc>
      </w:tr>
      <w:tr w:rsidR="00AD5BB5">
        <w:trPr>
          <w:trHeight w:val="312"/>
        </w:trPr>
        <w:tc>
          <w:tcPr>
            <w:tcW w:w="119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cs="Times New Roman"/>
              </w:rPr>
            </w:pPr>
            <w:r>
              <w:rPr>
                <w:rFonts w:ascii="Times New Roman" w:hAnsi="Times New Roman" w:cs="Times New Roman"/>
              </w:rPr>
              <w:t>重组贷款</w:t>
            </w:r>
          </w:p>
        </w:tc>
        <w:tc>
          <w:tcPr>
            <w:tcW w:w="90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hint="eastAsia"/>
                <w:kern w:val="0"/>
                <w:lang w:bidi="ar"/>
              </w:rPr>
              <w:t xml:space="preserve"> -   </w:t>
            </w:r>
          </w:p>
        </w:tc>
        <w:tc>
          <w:tcPr>
            <w:tcW w:w="96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hint="eastAsia"/>
                <w:kern w:val="0"/>
                <w:lang w:bidi="ar"/>
              </w:rPr>
              <w:t xml:space="preserve"> -   </w:t>
            </w:r>
          </w:p>
        </w:tc>
        <w:tc>
          <w:tcPr>
            <w:tcW w:w="96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hint="eastAsia"/>
                <w:kern w:val="0"/>
                <w:lang w:bidi="ar"/>
              </w:rPr>
              <w:t xml:space="preserve"> -   </w:t>
            </w:r>
          </w:p>
        </w:tc>
        <w:tc>
          <w:tcPr>
            <w:tcW w:w="969"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hint="eastAsia"/>
                <w:kern w:val="0"/>
                <w:lang w:bidi="ar"/>
              </w:rPr>
              <w:t xml:space="preserve"> - </w:t>
            </w:r>
          </w:p>
        </w:tc>
      </w:tr>
      <w:tr w:rsidR="00AD5BB5">
        <w:trPr>
          <w:trHeight w:val="312"/>
        </w:trPr>
        <w:tc>
          <w:tcPr>
            <w:tcW w:w="119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0" w:firstLine="0"/>
              <w:rPr>
                <w:rFonts w:ascii="Times New Roman" w:hAnsi="Times New Roman" w:cs="Times New Roman"/>
              </w:rPr>
            </w:pPr>
            <w:r>
              <w:rPr>
                <w:rFonts w:ascii="Times New Roman" w:hAnsi="Times New Roman" w:cs="Times New Roman" w:hint="eastAsia"/>
              </w:rPr>
              <w:t>逾期贷款</w:t>
            </w:r>
          </w:p>
        </w:tc>
        <w:tc>
          <w:tcPr>
            <w:tcW w:w="903"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2,392,099 </w:t>
            </w:r>
          </w:p>
        </w:tc>
        <w:tc>
          <w:tcPr>
            <w:tcW w:w="967" w:type="pct"/>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3,018,125 </w:t>
            </w:r>
          </w:p>
        </w:tc>
        <w:tc>
          <w:tcPr>
            <w:tcW w:w="967" w:type="pct"/>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626,026 </w:t>
            </w:r>
          </w:p>
        </w:tc>
        <w:tc>
          <w:tcPr>
            <w:tcW w:w="969" w:type="pct"/>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1.50 </w:t>
            </w:r>
          </w:p>
        </w:tc>
      </w:tr>
      <w:tr w:rsidR="00AD5BB5">
        <w:trPr>
          <w:trHeight w:val="312"/>
        </w:trPr>
        <w:tc>
          <w:tcPr>
            <w:tcW w:w="119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100" w:firstLine="210"/>
              <w:rPr>
                <w:rFonts w:ascii="Times New Roman" w:hAnsi="Times New Roman" w:cs="Times New Roman"/>
              </w:rPr>
            </w:pPr>
            <w:r>
              <w:rPr>
                <w:rFonts w:ascii="Times New Roman" w:hAnsi="Times New Roman" w:cs="Times New Roman" w:hint="eastAsia"/>
              </w:rPr>
              <w:t>逾期</w:t>
            </w:r>
            <w:r>
              <w:rPr>
                <w:rFonts w:ascii="Times New Roman" w:hAnsi="Times New Roman" w:cs="Times New Roman"/>
              </w:rPr>
              <w:t>1</w:t>
            </w:r>
            <w:r>
              <w:rPr>
                <w:rFonts w:ascii="Times New Roman" w:hAnsi="Times New Roman" w:cs="Times New Roman" w:hint="eastAsia"/>
              </w:rPr>
              <w:t>天至</w:t>
            </w:r>
            <w:r>
              <w:rPr>
                <w:rFonts w:ascii="Times New Roman" w:hAnsi="Times New Roman" w:cs="Times New Roman"/>
              </w:rPr>
              <w:t>90</w:t>
            </w:r>
            <w:r>
              <w:rPr>
                <w:rFonts w:ascii="Times New Roman" w:hAnsi="Times New Roman" w:cs="Times New Roman" w:hint="eastAsia"/>
              </w:rPr>
              <w:t>天</w:t>
            </w:r>
          </w:p>
        </w:tc>
        <w:tc>
          <w:tcPr>
            <w:tcW w:w="903"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1,236,348 </w:t>
            </w:r>
          </w:p>
        </w:tc>
        <w:tc>
          <w:tcPr>
            <w:tcW w:w="967" w:type="pct"/>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1,755,115 </w:t>
            </w:r>
          </w:p>
        </w:tc>
        <w:tc>
          <w:tcPr>
            <w:tcW w:w="967" w:type="pct"/>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518,767 </w:t>
            </w:r>
          </w:p>
        </w:tc>
        <w:tc>
          <w:tcPr>
            <w:tcW w:w="969" w:type="pct"/>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0.87 </w:t>
            </w:r>
          </w:p>
        </w:tc>
      </w:tr>
      <w:tr w:rsidR="00AD5BB5">
        <w:trPr>
          <w:trHeight w:val="312"/>
        </w:trPr>
        <w:tc>
          <w:tcPr>
            <w:tcW w:w="119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100" w:firstLine="210"/>
              <w:rPr>
                <w:rFonts w:ascii="Times New Roman" w:hAnsi="Times New Roman" w:cs="Times New Roman"/>
              </w:rPr>
            </w:pPr>
            <w:r>
              <w:rPr>
                <w:rFonts w:ascii="Times New Roman" w:hAnsi="Times New Roman" w:cs="Times New Roman" w:hint="eastAsia"/>
              </w:rPr>
              <w:t>逾期</w:t>
            </w:r>
            <w:r>
              <w:rPr>
                <w:rFonts w:ascii="Times New Roman" w:hAnsi="Times New Roman" w:cs="Times New Roman"/>
              </w:rPr>
              <w:t>90</w:t>
            </w:r>
            <w:r>
              <w:rPr>
                <w:rFonts w:ascii="Times New Roman" w:hAnsi="Times New Roman" w:cs="Times New Roman" w:hint="eastAsia"/>
              </w:rPr>
              <w:t>天至</w:t>
            </w:r>
            <w:r>
              <w:rPr>
                <w:rFonts w:ascii="Times New Roman" w:hAnsi="Times New Roman" w:cs="Times New Roman"/>
              </w:rPr>
              <w:t>1</w:t>
            </w:r>
            <w:r>
              <w:rPr>
                <w:rFonts w:ascii="Times New Roman" w:hAnsi="Times New Roman" w:cs="Times New Roman" w:hint="eastAsia"/>
              </w:rPr>
              <w:t>年</w:t>
            </w:r>
          </w:p>
        </w:tc>
        <w:tc>
          <w:tcPr>
            <w:tcW w:w="903"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469,914 </w:t>
            </w:r>
          </w:p>
        </w:tc>
        <w:tc>
          <w:tcPr>
            <w:tcW w:w="967" w:type="pct"/>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923,437 </w:t>
            </w:r>
          </w:p>
        </w:tc>
        <w:tc>
          <w:tcPr>
            <w:tcW w:w="967" w:type="pct"/>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453,523 </w:t>
            </w:r>
          </w:p>
        </w:tc>
        <w:tc>
          <w:tcPr>
            <w:tcW w:w="969" w:type="pct"/>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0.46 </w:t>
            </w:r>
          </w:p>
        </w:tc>
      </w:tr>
      <w:tr w:rsidR="00AD5BB5">
        <w:trPr>
          <w:trHeight w:val="312"/>
        </w:trPr>
        <w:tc>
          <w:tcPr>
            <w:tcW w:w="119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100" w:firstLine="210"/>
              <w:rPr>
                <w:rFonts w:ascii="Times New Roman" w:hAnsi="Times New Roman" w:cs="Times New Roman"/>
              </w:rPr>
            </w:pPr>
            <w:r>
              <w:rPr>
                <w:rFonts w:ascii="Times New Roman" w:hAnsi="Times New Roman" w:cs="Times New Roman" w:hint="eastAsia"/>
              </w:rPr>
              <w:t>逾期</w:t>
            </w:r>
            <w:r>
              <w:rPr>
                <w:rFonts w:ascii="Times New Roman" w:hAnsi="Times New Roman" w:cs="Times New Roman"/>
              </w:rPr>
              <w:t>1</w:t>
            </w:r>
            <w:r>
              <w:rPr>
                <w:rFonts w:ascii="Times New Roman" w:hAnsi="Times New Roman" w:cs="Times New Roman" w:hint="eastAsia"/>
              </w:rPr>
              <w:t>年至</w:t>
            </w:r>
            <w:r>
              <w:rPr>
                <w:rFonts w:ascii="Times New Roman" w:hAnsi="Times New Roman" w:cs="Times New Roman"/>
              </w:rPr>
              <w:t>3</w:t>
            </w:r>
            <w:r>
              <w:rPr>
                <w:rFonts w:ascii="Times New Roman" w:hAnsi="Times New Roman" w:cs="Times New Roman" w:hint="eastAsia"/>
              </w:rPr>
              <w:t>年</w:t>
            </w:r>
          </w:p>
        </w:tc>
        <w:tc>
          <w:tcPr>
            <w:tcW w:w="903"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401,115 </w:t>
            </w:r>
          </w:p>
        </w:tc>
        <w:tc>
          <w:tcPr>
            <w:tcW w:w="967" w:type="pct"/>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305,853 </w:t>
            </w:r>
          </w:p>
        </w:tc>
        <w:tc>
          <w:tcPr>
            <w:tcW w:w="967" w:type="pct"/>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-95,262 </w:t>
            </w:r>
          </w:p>
        </w:tc>
        <w:tc>
          <w:tcPr>
            <w:tcW w:w="969" w:type="pct"/>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0.15 </w:t>
            </w:r>
          </w:p>
        </w:tc>
      </w:tr>
      <w:tr w:rsidR="00AD5BB5">
        <w:trPr>
          <w:trHeight w:val="312"/>
        </w:trPr>
        <w:tc>
          <w:tcPr>
            <w:tcW w:w="119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ff2"/>
              <w:ind w:firstLineChars="100" w:firstLine="210"/>
              <w:rPr>
                <w:rFonts w:ascii="Times New Roman" w:hAnsi="Times New Roman" w:cs="Times New Roman"/>
              </w:rPr>
            </w:pPr>
            <w:r>
              <w:rPr>
                <w:rFonts w:ascii="Times New Roman" w:hAnsi="Times New Roman" w:cs="Times New Roman" w:hint="eastAsia"/>
              </w:rPr>
              <w:t>逾期</w:t>
            </w:r>
            <w:r>
              <w:rPr>
                <w:rFonts w:ascii="Times New Roman" w:hAnsi="Times New Roman" w:cs="Times New Roman"/>
              </w:rPr>
              <w:t>3</w:t>
            </w:r>
            <w:r>
              <w:rPr>
                <w:rFonts w:ascii="Times New Roman" w:hAnsi="Times New Roman" w:cs="Times New Roman" w:hint="eastAsia"/>
              </w:rPr>
              <w:t>年以上</w:t>
            </w:r>
          </w:p>
        </w:tc>
        <w:tc>
          <w:tcPr>
            <w:tcW w:w="903"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284,722 </w:t>
            </w:r>
          </w:p>
        </w:tc>
        <w:tc>
          <w:tcPr>
            <w:tcW w:w="967" w:type="pct"/>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33,720 </w:t>
            </w:r>
          </w:p>
        </w:tc>
        <w:tc>
          <w:tcPr>
            <w:tcW w:w="967" w:type="pct"/>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-251,002 </w:t>
            </w:r>
          </w:p>
        </w:tc>
        <w:tc>
          <w:tcPr>
            <w:tcW w:w="969" w:type="pct"/>
            <w:tcBorders>
              <w:top w:val="single" w:sz="4" w:space="0" w:color="auto"/>
              <w:left w:val="single" w:sz="4" w:space="0" w:color="auto"/>
              <w:bottom w:val="single" w:sz="4" w:space="0" w:color="auto"/>
              <w:right w:val="single" w:sz="4" w:space="0" w:color="auto"/>
              <w:tl2br w:val="nil"/>
              <w:tr2bl w:val="nil"/>
            </w:tcBorders>
            <w:shd w:val="clear" w:color="auto" w:fill="auto"/>
            <w:vAlign w:val="bottom"/>
          </w:tcPr>
          <w:p w:rsidR="00AD5BB5" w:rsidRDefault="00F87FF6">
            <w:pPr>
              <w:jc w:val="right"/>
              <w:rPr>
                <w:rFonts w:ascii="Times New Roman" w:hAnsi="Times New Roman" w:cs="Times New Roman"/>
                <w:kern w:val="0"/>
                <w:szCs w:val="21"/>
                <w:lang w:bidi="ar"/>
              </w:rPr>
            </w:pPr>
            <w:r>
              <w:rPr>
                <w:rFonts w:ascii="Times New Roman" w:hAnsi="Times New Roman" w:cs="Times New Roman"/>
                <w:kern w:val="0"/>
                <w:szCs w:val="21"/>
                <w:lang w:bidi="ar"/>
              </w:rPr>
              <w:t xml:space="preserve"> 0.02 </w:t>
            </w:r>
          </w:p>
        </w:tc>
      </w:tr>
    </w:tbl>
    <w:p w:rsidR="00AD5BB5" w:rsidRDefault="00AD5BB5">
      <w:pPr>
        <w:rPr>
          <w:rFonts w:ascii="Times New Roman" w:hAnsi="Times New Roman" w:cs="Times New Roman"/>
          <w:b/>
          <w:bCs/>
        </w:rPr>
      </w:pPr>
    </w:p>
    <w:p w:rsidR="00AD5BB5" w:rsidRDefault="00F87FF6">
      <w:pPr>
        <w:pStyle w:val="4"/>
        <w:numPr>
          <w:ilvl w:val="0"/>
          <w:numId w:val="14"/>
        </w:numPr>
        <w:spacing w:line="360" w:lineRule="auto"/>
        <w:rPr>
          <w:rFonts w:ascii="Times New Roman" w:hAnsi="Times New Roman" w:cs="Times New Roman"/>
        </w:rPr>
      </w:pPr>
      <w:r>
        <w:rPr>
          <w:rFonts w:ascii="Times New Roman" w:hAnsi="Times New Roman" w:cs="Times New Roman" w:hint="eastAsia"/>
        </w:rPr>
        <w:t>对于不良贷款采取的措施</w:t>
      </w:r>
    </w:p>
    <w:p w:rsidR="00AD5BB5" w:rsidRDefault="00F87FF6">
      <w:pPr>
        <w:spacing w:line="360" w:lineRule="auto"/>
        <w:ind w:firstLineChars="200" w:firstLine="420"/>
        <w:jc w:val="left"/>
        <w:rPr>
          <w:rFonts w:ascii="Times New Roman" w:hAnsi="Times New Roman" w:cs="宋体"/>
        </w:rPr>
      </w:pPr>
      <w:r>
        <w:rPr>
          <w:rFonts w:ascii="Times New Roman" w:hAnsi="Times New Roman" w:cs="宋体" w:hint="eastAsia"/>
        </w:rPr>
        <w:t>一是审慎制定</w:t>
      </w:r>
      <w:r>
        <w:rPr>
          <w:rFonts w:ascii="Times New Roman" w:hAnsi="Times New Roman" w:cs="宋体" w:hint="eastAsia"/>
        </w:rPr>
        <w:t>2023</w:t>
      </w:r>
      <w:r>
        <w:rPr>
          <w:rFonts w:ascii="Times New Roman" w:hAnsi="Times New Roman" w:cs="宋体" w:hint="eastAsia"/>
        </w:rPr>
        <w:t>年授信政策、为授信准入提供指引，同时通过</w:t>
      </w:r>
      <w:proofErr w:type="gramStart"/>
      <w:r>
        <w:rPr>
          <w:rFonts w:ascii="Times New Roman" w:hAnsi="Times New Roman" w:cs="宋体" w:hint="eastAsia"/>
        </w:rPr>
        <w:t>完善征审流程</w:t>
      </w:r>
      <w:proofErr w:type="gramEnd"/>
      <w:r>
        <w:rPr>
          <w:rFonts w:ascii="Times New Roman" w:hAnsi="Times New Roman" w:cs="宋体" w:hint="eastAsia"/>
        </w:rPr>
        <w:t>、开展风险管控培训、</w:t>
      </w:r>
      <w:proofErr w:type="gramStart"/>
      <w:r>
        <w:rPr>
          <w:rFonts w:ascii="Times New Roman" w:hAnsi="Times New Roman" w:cs="宋体" w:hint="eastAsia"/>
        </w:rPr>
        <w:t>结合风控模型</w:t>
      </w:r>
      <w:proofErr w:type="gramEnd"/>
      <w:r>
        <w:rPr>
          <w:rFonts w:ascii="Times New Roman" w:hAnsi="Times New Roman" w:cs="宋体" w:hint="eastAsia"/>
        </w:rPr>
        <w:t>和大数据技术等把好审查关。</w:t>
      </w:r>
    </w:p>
    <w:p w:rsidR="00AD5BB5" w:rsidRDefault="00F87FF6">
      <w:pPr>
        <w:spacing w:line="360" w:lineRule="auto"/>
        <w:ind w:firstLineChars="200" w:firstLine="420"/>
        <w:jc w:val="left"/>
        <w:rPr>
          <w:rFonts w:ascii="Times New Roman" w:hAnsi="Times New Roman" w:cs="宋体"/>
          <w:szCs w:val="21"/>
        </w:rPr>
      </w:pPr>
      <w:r>
        <w:rPr>
          <w:rFonts w:ascii="Times New Roman" w:hAnsi="Times New Roman" w:cs="宋体" w:hint="eastAsia"/>
          <w:szCs w:val="21"/>
        </w:rPr>
        <w:t>二是持续加强资产质量日常监控，加强贷后和预警管理，尽早发现和化解处理风险。</w:t>
      </w:r>
    </w:p>
    <w:p w:rsidR="00AD5BB5" w:rsidRDefault="00F87FF6">
      <w:pPr>
        <w:spacing w:line="360" w:lineRule="auto"/>
        <w:ind w:firstLineChars="200" w:firstLine="420"/>
        <w:jc w:val="left"/>
        <w:rPr>
          <w:rFonts w:ascii="Times New Roman" w:hAnsi="Times New Roman" w:cs="Times New Roman"/>
          <w:bCs/>
          <w:kern w:val="0"/>
        </w:rPr>
      </w:pPr>
      <w:r>
        <w:rPr>
          <w:rFonts w:ascii="Times New Roman" w:hAnsi="Times New Roman" w:cs="宋体" w:hint="eastAsia"/>
          <w:szCs w:val="21"/>
        </w:rPr>
        <w:t>三是进一步加大不良贷款处置力度，主要通过司法追索案件跟踪管理和加强与</w:t>
      </w:r>
      <w:r>
        <w:rPr>
          <w:rFonts w:ascii="Times New Roman" w:hAnsi="Times New Roman" w:cs="宋体" w:hint="eastAsia"/>
          <w:szCs w:val="21"/>
        </w:rPr>
        <w:t>AMC</w:t>
      </w:r>
      <w:r>
        <w:rPr>
          <w:rFonts w:ascii="Times New Roman" w:hAnsi="Times New Roman" w:cs="宋体" w:hint="eastAsia"/>
          <w:szCs w:val="21"/>
        </w:rPr>
        <w:t>合</w:t>
      </w:r>
      <w:r>
        <w:rPr>
          <w:rFonts w:ascii="Times New Roman" w:hAnsi="Times New Roman" w:cs="宋体" w:hint="eastAsia"/>
        </w:rPr>
        <w:t>作，提高不良贷款的清收处置效能。</w:t>
      </w:r>
    </w:p>
    <w:p w:rsidR="00AD5BB5" w:rsidRDefault="00AD5BB5">
      <w:pPr>
        <w:spacing w:line="360" w:lineRule="auto"/>
        <w:ind w:firstLineChars="200" w:firstLine="420"/>
        <w:jc w:val="left"/>
      </w:pPr>
    </w:p>
    <w:p w:rsidR="00AD5BB5" w:rsidRDefault="00F87FF6" w:rsidP="00F22BE0">
      <w:pPr>
        <w:pStyle w:val="3"/>
        <w:ind w:firstLineChars="100" w:firstLine="211"/>
        <w:rPr>
          <w:b w:val="0"/>
          <w:bCs/>
        </w:rPr>
      </w:pPr>
      <w:r>
        <w:rPr>
          <w:rFonts w:hint="eastAsia"/>
        </w:rPr>
        <w:t>（十）</w:t>
      </w:r>
      <w:r>
        <w:rPr>
          <w:rFonts w:ascii="Times New Roman" w:hAnsi="Times New Roman" w:cs="Times New Roman" w:hint="eastAsia"/>
          <w:bCs/>
          <w:kern w:val="0"/>
        </w:rPr>
        <w:t>贷款和贷款减值准备计提和核销情</w:t>
      </w:r>
      <w:r>
        <w:rPr>
          <w:rFonts w:hint="eastAsia"/>
          <w:bCs/>
        </w:rPr>
        <w:t>况</w:t>
      </w:r>
    </w:p>
    <w:p w:rsidR="00AD5BB5" w:rsidRDefault="00AD5BB5"/>
    <w:p w:rsidR="00AD5BB5" w:rsidRDefault="00F87FF6">
      <w:pPr>
        <w:pStyle w:val="4"/>
        <w:numPr>
          <w:ilvl w:val="0"/>
          <w:numId w:val="15"/>
        </w:numPr>
        <w:spacing w:line="360" w:lineRule="auto"/>
        <w:rPr>
          <w:rFonts w:ascii="Times New Roman" w:hAnsi="Times New Roman" w:cs="Times New Roman"/>
        </w:rPr>
      </w:pPr>
      <w:r>
        <w:rPr>
          <w:rFonts w:ascii="Times New Roman" w:hAnsi="Times New Roman" w:cs="Times New Roman" w:hint="eastAsia"/>
        </w:rPr>
        <w:t>贷款损失准备计提的依据和方法</w:t>
      </w:r>
    </w:p>
    <w:p w:rsidR="00AD5BB5" w:rsidRDefault="00F87FF6">
      <w:pPr>
        <w:pStyle w:val="aff2"/>
        <w:spacing w:line="360" w:lineRule="auto"/>
        <w:ind w:left="425" w:firstLineChars="0" w:firstLine="0"/>
        <w:rPr>
          <w:rFonts w:ascii="Times New Roman" w:hAnsi="Times New Roman" w:cs="Times New Roman"/>
          <w:bCs/>
        </w:rPr>
      </w:pPr>
      <w:r>
        <w:rPr>
          <w:rFonts w:ascii="Times New Roman" w:hAnsi="Times New Roman" w:cs="Times New Roman" w:hint="eastAsia"/>
          <w:bCs/>
        </w:rPr>
        <w:t>详见“财务报告”中的“财务报表附注三、在执行会计政策中所</w:t>
      </w:r>
      <w:proofErr w:type="gramStart"/>
      <w:r>
        <w:rPr>
          <w:rFonts w:ascii="Times New Roman" w:hAnsi="Times New Roman" w:cs="Times New Roman" w:hint="eastAsia"/>
          <w:bCs/>
        </w:rPr>
        <w:t>作出</w:t>
      </w:r>
      <w:proofErr w:type="gramEnd"/>
      <w:r>
        <w:rPr>
          <w:rFonts w:ascii="Times New Roman" w:hAnsi="Times New Roman" w:cs="Times New Roman" w:hint="eastAsia"/>
          <w:bCs/>
        </w:rPr>
        <w:t>的重要会计估计和</w:t>
      </w:r>
      <w:r>
        <w:rPr>
          <w:rFonts w:ascii="Times New Roman" w:hAnsi="Times New Roman" w:cs="Times New Roman" w:hint="eastAsia"/>
          <w:bCs/>
        </w:rPr>
        <w:lastRenderedPageBreak/>
        <w:t>判断”。</w:t>
      </w:r>
    </w:p>
    <w:p w:rsidR="00AD5BB5" w:rsidRDefault="00F87FF6">
      <w:pPr>
        <w:pStyle w:val="4"/>
        <w:numPr>
          <w:ilvl w:val="0"/>
          <w:numId w:val="15"/>
        </w:numPr>
        <w:spacing w:line="360" w:lineRule="auto"/>
        <w:rPr>
          <w:rFonts w:ascii="Times New Roman" w:hAnsi="Times New Roman" w:cs="Times New Roman"/>
        </w:rPr>
      </w:pPr>
      <w:r>
        <w:rPr>
          <w:rFonts w:ascii="Times New Roman" w:hAnsi="Times New Roman" w:cs="Times New Roman" w:hint="eastAsia"/>
        </w:rPr>
        <w:t>报告期内贷款损失准备变动情况</w:t>
      </w:r>
    </w:p>
    <w:p w:rsidR="00AD5BB5" w:rsidRDefault="00F87FF6">
      <w:pPr>
        <w:jc w:val="right"/>
        <w:rPr>
          <w:rFonts w:ascii="Times New Roman" w:hAnsi="Times New Roman" w:cs="Times New Roman"/>
        </w:rPr>
      </w:pPr>
      <w:r>
        <w:rPr>
          <w:rFonts w:ascii="Times New Roman" w:hAnsi="Times New Roman" w:cs="Times New Roman"/>
        </w:rPr>
        <w:t>单位</w:t>
      </w:r>
      <w:r>
        <w:rPr>
          <w:rFonts w:ascii="Times New Roman" w:hAnsi="Times New Roman" w:cs="Times New Roman"/>
        </w:rPr>
        <w:t xml:space="preserve">: </w:t>
      </w:r>
      <w:r>
        <w:rPr>
          <w:rFonts w:ascii="Times New Roman" w:hAnsi="Times New Roman" w:cs="Times New Roman"/>
        </w:rPr>
        <w:t>人民币千元</w:t>
      </w:r>
      <w:r>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2"/>
        <w:gridCol w:w="4281"/>
      </w:tblGrid>
      <w:tr w:rsidR="00AD5BB5">
        <w:tc>
          <w:tcPr>
            <w:tcW w:w="242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rPr>
            </w:pPr>
            <w:r>
              <w:rPr>
                <w:rFonts w:ascii="Times New Roman" w:hAnsi="Times New Roman" w:cs="Times New Roman"/>
              </w:rPr>
              <w:t>期初余额</w:t>
            </w:r>
          </w:p>
        </w:tc>
        <w:tc>
          <w:tcPr>
            <w:tcW w:w="4398" w:type="dxa"/>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rPr>
            </w:pPr>
            <w:r>
              <w:rPr>
                <w:rFonts w:ascii="Times New Roman" w:hAnsi="Times New Roman" w:cs="Times New Roman"/>
                <w:kern w:val="0"/>
                <w:szCs w:val="21"/>
                <w:lang w:bidi="ar"/>
              </w:rPr>
              <w:t xml:space="preserve"> 6,685,928 </w:t>
            </w:r>
          </w:p>
        </w:tc>
      </w:tr>
      <w:tr w:rsidR="00AD5BB5">
        <w:tc>
          <w:tcPr>
            <w:tcW w:w="242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rPr>
            </w:pPr>
            <w:r>
              <w:rPr>
                <w:rFonts w:ascii="Times New Roman" w:hAnsi="Times New Roman" w:cs="Times New Roman"/>
              </w:rPr>
              <w:t>本期计提</w:t>
            </w:r>
          </w:p>
        </w:tc>
        <w:tc>
          <w:tcPr>
            <w:tcW w:w="4398" w:type="dxa"/>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rPr>
            </w:pPr>
            <w:r>
              <w:rPr>
                <w:rFonts w:ascii="Times New Roman" w:hAnsi="Times New Roman" w:cs="Times New Roman"/>
                <w:kern w:val="0"/>
                <w:szCs w:val="21"/>
                <w:lang w:bidi="ar"/>
              </w:rPr>
              <w:t xml:space="preserve"> 343,824 </w:t>
            </w:r>
          </w:p>
        </w:tc>
      </w:tr>
      <w:tr w:rsidR="00AD5BB5">
        <w:tc>
          <w:tcPr>
            <w:tcW w:w="242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rPr>
            </w:pPr>
            <w:r>
              <w:rPr>
                <w:rFonts w:ascii="Times New Roman" w:hAnsi="Times New Roman" w:cs="Times New Roman"/>
              </w:rPr>
              <w:t>本期核销及转出</w:t>
            </w:r>
          </w:p>
        </w:tc>
        <w:tc>
          <w:tcPr>
            <w:tcW w:w="4398" w:type="dxa"/>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rPr>
            </w:pPr>
            <w:r>
              <w:rPr>
                <w:rFonts w:ascii="Times New Roman" w:hAnsi="Times New Roman" w:cs="Times New Roman"/>
                <w:kern w:val="0"/>
                <w:szCs w:val="21"/>
                <w:lang w:bidi="ar"/>
              </w:rPr>
              <w:t xml:space="preserve"> -776,547 </w:t>
            </w:r>
          </w:p>
        </w:tc>
      </w:tr>
      <w:tr w:rsidR="00AD5BB5">
        <w:tc>
          <w:tcPr>
            <w:tcW w:w="242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rPr>
            </w:pPr>
            <w:r>
              <w:rPr>
                <w:rFonts w:ascii="Times New Roman" w:hAnsi="Times New Roman" w:cs="Times New Roman"/>
              </w:rPr>
              <w:t>收回以前年度核销</w:t>
            </w:r>
          </w:p>
        </w:tc>
        <w:tc>
          <w:tcPr>
            <w:tcW w:w="4398" w:type="dxa"/>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rPr>
            </w:pPr>
            <w:r>
              <w:rPr>
                <w:rFonts w:ascii="Times New Roman" w:hAnsi="Times New Roman" w:cs="Times New Roman"/>
                <w:kern w:val="0"/>
                <w:szCs w:val="21"/>
                <w:lang w:bidi="ar"/>
              </w:rPr>
              <w:t xml:space="preserve"> 110,716 </w:t>
            </w:r>
          </w:p>
        </w:tc>
      </w:tr>
      <w:tr w:rsidR="00AD5BB5">
        <w:tc>
          <w:tcPr>
            <w:tcW w:w="242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rPr>
            </w:pPr>
            <w:r>
              <w:rPr>
                <w:rFonts w:ascii="Times New Roman" w:hAnsi="Times New Roman" w:cs="Times New Roman"/>
              </w:rPr>
              <w:t>已减值贷款利息回拨</w:t>
            </w:r>
          </w:p>
        </w:tc>
        <w:tc>
          <w:tcPr>
            <w:tcW w:w="4398" w:type="dxa"/>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rPr>
            </w:pPr>
            <w:r>
              <w:rPr>
                <w:rFonts w:ascii="Times New Roman" w:hAnsi="Times New Roman" w:cs="Times New Roman"/>
                <w:kern w:val="0"/>
                <w:szCs w:val="21"/>
                <w:lang w:bidi="ar"/>
              </w:rPr>
              <w:t xml:space="preserve"> -13,914 </w:t>
            </w:r>
          </w:p>
        </w:tc>
      </w:tr>
      <w:tr w:rsidR="00AD5BB5">
        <w:tc>
          <w:tcPr>
            <w:tcW w:w="242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rPr>
            </w:pPr>
            <w:r>
              <w:rPr>
                <w:rFonts w:ascii="Times New Roman" w:hAnsi="Times New Roman" w:cs="Times New Roman" w:hint="eastAsia"/>
              </w:rPr>
              <w:t>外币折算差额及其他</w:t>
            </w:r>
          </w:p>
        </w:tc>
        <w:tc>
          <w:tcPr>
            <w:tcW w:w="4398" w:type="dxa"/>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rPr>
            </w:pPr>
            <w:r>
              <w:rPr>
                <w:rFonts w:ascii="Times New Roman" w:hAnsi="Times New Roman" w:cs="Times New Roman"/>
                <w:kern w:val="0"/>
                <w:szCs w:val="21"/>
                <w:lang w:bidi="ar"/>
              </w:rPr>
              <w:t xml:space="preserve"> 4,349 </w:t>
            </w:r>
          </w:p>
        </w:tc>
      </w:tr>
      <w:tr w:rsidR="00AD5BB5">
        <w:tc>
          <w:tcPr>
            <w:tcW w:w="242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rPr>
            </w:pPr>
            <w:r>
              <w:rPr>
                <w:rFonts w:ascii="Times New Roman" w:hAnsi="Times New Roman" w:cs="Times New Roman"/>
              </w:rPr>
              <w:t>期末余额</w:t>
            </w:r>
          </w:p>
        </w:tc>
        <w:tc>
          <w:tcPr>
            <w:tcW w:w="4398" w:type="dxa"/>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right"/>
              <w:rPr>
                <w:rFonts w:ascii="Times New Roman" w:hAnsi="Times New Roman" w:cs="Times New Roman"/>
              </w:rPr>
            </w:pPr>
            <w:r>
              <w:rPr>
                <w:rFonts w:ascii="Times New Roman" w:hAnsi="Times New Roman" w:cs="Times New Roman"/>
                <w:kern w:val="0"/>
                <w:szCs w:val="21"/>
                <w:lang w:bidi="ar"/>
              </w:rPr>
              <w:t xml:space="preserve"> 6,354,356 </w:t>
            </w:r>
          </w:p>
        </w:tc>
      </w:tr>
    </w:tbl>
    <w:p w:rsidR="00AD5BB5" w:rsidRDefault="00AD5BB5">
      <w:pPr>
        <w:pStyle w:val="aff2"/>
        <w:keepNext/>
        <w:keepLines/>
        <w:numPr>
          <w:ilvl w:val="0"/>
          <w:numId w:val="16"/>
        </w:numPr>
        <w:spacing w:before="60" w:after="60" w:line="360" w:lineRule="auto"/>
        <w:ind w:firstLineChars="0"/>
        <w:outlineLvl w:val="2"/>
        <w:rPr>
          <w:rFonts w:ascii="Times New Roman" w:hAnsi="Times New Roman" w:cs="Times New Roman"/>
          <w:b/>
          <w:bCs/>
          <w:vanish/>
          <w:kern w:val="0"/>
        </w:rPr>
      </w:pPr>
    </w:p>
    <w:p w:rsidR="00AD5BB5" w:rsidRDefault="00AD5BB5">
      <w:pPr>
        <w:pStyle w:val="aff2"/>
        <w:keepNext/>
        <w:keepLines/>
        <w:numPr>
          <w:ilvl w:val="0"/>
          <w:numId w:val="16"/>
        </w:numPr>
        <w:spacing w:before="60" w:after="60" w:line="360" w:lineRule="auto"/>
        <w:ind w:firstLineChars="0"/>
        <w:outlineLvl w:val="2"/>
        <w:rPr>
          <w:rFonts w:ascii="Times New Roman" w:hAnsi="Times New Roman" w:cs="Times New Roman"/>
          <w:b/>
          <w:bCs/>
          <w:vanish/>
          <w:kern w:val="0"/>
        </w:rPr>
      </w:pPr>
    </w:p>
    <w:p w:rsidR="00AD5BB5" w:rsidRDefault="00AD5BB5">
      <w:pPr>
        <w:pStyle w:val="aff2"/>
        <w:keepNext/>
        <w:keepLines/>
        <w:numPr>
          <w:ilvl w:val="0"/>
          <w:numId w:val="16"/>
        </w:numPr>
        <w:spacing w:before="60" w:after="60" w:line="360" w:lineRule="auto"/>
        <w:ind w:firstLineChars="0"/>
        <w:outlineLvl w:val="2"/>
        <w:rPr>
          <w:rFonts w:ascii="Times New Roman" w:hAnsi="Times New Roman" w:cs="Times New Roman"/>
          <w:b/>
          <w:bCs/>
          <w:vanish/>
          <w:kern w:val="0"/>
        </w:rPr>
      </w:pPr>
    </w:p>
    <w:p w:rsidR="00AD5BB5" w:rsidRDefault="00AD5BB5">
      <w:pPr>
        <w:pStyle w:val="aff2"/>
        <w:keepNext/>
        <w:keepLines/>
        <w:numPr>
          <w:ilvl w:val="0"/>
          <w:numId w:val="16"/>
        </w:numPr>
        <w:spacing w:before="60" w:after="60" w:line="360" w:lineRule="auto"/>
        <w:ind w:firstLineChars="0"/>
        <w:outlineLvl w:val="2"/>
        <w:rPr>
          <w:rFonts w:ascii="Times New Roman" w:hAnsi="Times New Roman" w:cs="Times New Roman"/>
          <w:b/>
          <w:bCs/>
          <w:vanish/>
          <w:kern w:val="0"/>
        </w:rPr>
      </w:pPr>
    </w:p>
    <w:p w:rsidR="00AD5BB5" w:rsidRDefault="00AD5BB5">
      <w:pPr>
        <w:pStyle w:val="aff2"/>
        <w:keepNext/>
        <w:keepLines/>
        <w:numPr>
          <w:ilvl w:val="0"/>
          <w:numId w:val="16"/>
        </w:numPr>
        <w:spacing w:before="60" w:after="60" w:line="360" w:lineRule="auto"/>
        <w:ind w:firstLineChars="0"/>
        <w:outlineLvl w:val="2"/>
        <w:rPr>
          <w:rFonts w:ascii="Times New Roman" w:hAnsi="Times New Roman" w:cs="Times New Roman"/>
          <w:b/>
          <w:bCs/>
          <w:vanish/>
          <w:kern w:val="0"/>
        </w:rPr>
      </w:pPr>
    </w:p>
    <w:p w:rsidR="00AD5BB5" w:rsidRDefault="00AD5BB5">
      <w:pPr>
        <w:rPr>
          <w:rFonts w:ascii="Times New Roman" w:hAnsi="Times New Roman"/>
        </w:rPr>
      </w:pPr>
    </w:p>
    <w:p w:rsidR="00AD5BB5" w:rsidRDefault="00F87FF6">
      <w:pPr>
        <w:pStyle w:val="3"/>
        <w:rPr>
          <w:b w:val="0"/>
        </w:rPr>
      </w:pPr>
      <w:r>
        <w:rPr>
          <w:rFonts w:hint="eastAsia"/>
        </w:rPr>
        <w:t>（十一）</w:t>
      </w:r>
      <w:r>
        <w:rPr>
          <w:rFonts w:ascii="Times New Roman" w:hAnsi="Times New Roman" w:cs="Times New Roman" w:hint="eastAsia"/>
          <w:bCs/>
          <w:kern w:val="0"/>
        </w:rPr>
        <w:t>抵债资产情</w:t>
      </w:r>
      <w:r>
        <w:rPr>
          <w:rFonts w:hint="eastAsia"/>
          <w:bCs/>
        </w:rPr>
        <w:t>况</w:t>
      </w:r>
    </w:p>
    <w:p w:rsidR="00AD5BB5" w:rsidRDefault="00AD5BB5"/>
    <w:p w:rsidR="00AD5BB5" w:rsidRDefault="00F87FF6">
      <w:pPr>
        <w:pStyle w:val="aff2"/>
        <w:spacing w:line="360" w:lineRule="auto"/>
        <w:rPr>
          <w:rFonts w:ascii="Times New Roman" w:hAnsi="Times New Roman" w:cs="Times New Roman"/>
          <w:bCs/>
          <w:szCs w:val="21"/>
        </w:rPr>
      </w:pPr>
      <w:r>
        <w:rPr>
          <w:rFonts w:ascii="Times New Roman" w:hAnsi="Times New Roman" w:cs="Times New Roman"/>
          <w:bCs/>
          <w:szCs w:val="21"/>
        </w:rPr>
        <w:t>截至报告期末，公司抵债资产已全额计提减值准备，较上年末未发生变化。</w:t>
      </w:r>
    </w:p>
    <w:p w:rsidR="00AD5BB5" w:rsidRDefault="00F87FF6">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单位：人民币千元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1293"/>
        <w:gridCol w:w="1831"/>
        <w:gridCol w:w="1413"/>
        <w:gridCol w:w="2125"/>
      </w:tblGrid>
      <w:tr w:rsidR="00AD5BB5">
        <w:tc>
          <w:tcPr>
            <w:tcW w:w="163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rPr>
            </w:pPr>
            <w:r>
              <w:rPr>
                <w:rFonts w:ascii="Times New Roman" w:hAnsi="Times New Roman" w:cs="Times New Roman"/>
              </w:rPr>
              <w:t>类别</w:t>
            </w:r>
          </w:p>
        </w:tc>
        <w:tc>
          <w:tcPr>
            <w:tcW w:w="312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rPr>
            </w:pPr>
            <w:r>
              <w:rPr>
                <w:rFonts w:ascii="Times New Roman" w:hAnsi="Times New Roman" w:cs="Times New Roman"/>
              </w:rPr>
              <w:t>202</w:t>
            </w:r>
            <w:r>
              <w:rPr>
                <w:rFonts w:ascii="Times New Roman" w:hAnsi="Times New Roman" w:cs="Times New Roman" w:hint="eastAsia"/>
              </w:rPr>
              <w:t>3</w:t>
            </w:r>
            <w:r>
              <w:rPr>
                <w:rFonts w:ascii="Times New Roman" w:hAnsi="Times New Roman" w:cs="Times New Roman"/>
              </w:rPr>
              <w:t>年</w:t>
            </w:r>
            <w:r>
              <w:rPr>
                <w:rFonts w:ascii="Times New Roman" w:hAnsi="Times New Roman" w:cs="Times New Roman"/>
              </w:rPr>
              <w:t>6</w:t>
            </w:r>
            <w:r>
              <w:rPr>
                <w:rFonts w:ascii="Times New Roman" w:hAnsi="Times New Roman" w:cs="Times New Roman"/>
              </w:rPr>
              <w:t>月</w:t>
            </w:r>
            <w:r>
              <w:rPr>
                <w:rFonts w:ascii="Times New Roman" w:hAnsi="Times New Roman" w:cs="Times New Roman"/>
              </w:rPr>
              <w:t>30</w:t>
            </w:r>
            <w:r>
              <w:rPr>
                <w:rFonts w:ascii="Times New Roman" w:hAnsi="Times New Roman" w:cs="Times New Roman"/>
              </w:rPr>
              <w:t>日</w:t>
            </w:r>
          </w:p>
        </w:tc>
        <w:tc>
          <w:tcPr>
            <w:tcW w:w="353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rPr>
            </w:pPr>
            <w:r>
              <w:rPr>
                <w:rFonts w:ascii="Times New Roman" w:hAnsi="Times New Roman" w:cs="Times New Roman"/>
              </w:rPr>
              <w:t>202</w:t>
            </w:r>
            <w:r>
              <w:rPr>
                <w:rFonts w:ascii="Times New Roman" w:hAnsi="Times New Roman" w:cs="Times New Roman" w:hint="eastAsia"/>
              </w:rPr>
              <w:t>2</w:t>
            </w:r>
            <w:r>
              <w:rPr>
                <w:rFonts w:ascii="Times New Roman" w:hAnsi="Times New Roman" w:cs="Times New Roman"/>
              </w:rPr>
              <w:t>年</w:t>
            </w:r>
            <w:r>
              <w:rPr>
                <w:rFonts w:ascii="Times New Roman" w:hAnsi="Times New Roman" w:cs="Times New Roman"/>
              </w:rPr>
              <w:t>12</w:t>
            </w:r>
            <w:r>
              <w:rPr>
                <w:rFonts w:ascii="Times New Roman" w:hAnsi="Times New Roman" w:cs="Times New Roman"/>
              </w:rPr>
              <w:t>月</w:t>
            </w:r>
            <w:r>
              <w:rPr>
                <w:rFonts w:ascii="Times New Roman" w:hAnsi="Times New Roman" w:cs="Times New Roman"/>
              </w:rPr>
              <w:t>31</w:t>
            </w:r>
            <w:r>
              <w:rPr>
                <w:rFonts w:ascii="Times New Roman" w:hAnsi="Times New Roman" w:cs="Times New Roman"/>
              </w:rPr>
              <w:t>日</w:t>
            </w:r>
          </w:p>
        </w:tc>
      </w:tr>
      <w:tr w:rsidR="00AD5BB5">
        <w:tc>
          <w:tcPr>
            <w:tcW w:w="1634" w:type="dxa"/>
            <w:vMerge/>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jc w:val="center"/>
              <w:rPr>
                <w:rFonts w:ascii="Times New Roman" w:hAnsi="Times New Roman" w:cs="Times New Roman"/>
              </w:rPr>
            </w:pPr>
          </w:p>
        </w:tc>
        <w:tc>
          <w:tcPr>
            <w:tcW w:w="129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Times New Roman"/>
              </w:rPr>
            </w:pPr>
            <w:r>
              <w:rPr>
                <w:rFonts w:ascii="Times New Roman" w:hAnsi="Times New Roman" w:cs="Times New Roman"/>
              </w:rPr>
              <w:t>金额</w:t>
            </w:r>
          </w:p>
        </w:tc>
        <w:tc>
          <w:tcPr>
            <w:tcW w:w="183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Times New Roman"/>
              </w:rPr>
            </w:pPr>
            <w:r>
              <w:rPr>
                <w:rFonts w:ascii="Times New Roman" w:hAnsi="Times New Roman" w:cs="Times New Roman"/>
              </w:rPr>
              <w:t>减值准备金额</w:t>
            </w:r>
          </w:p>
        </w:tc>
        <w:tc>
          <w:tcPr>
            <w:tcW w:w="141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Times New Roman"/>
              </w:rPr>
            </w:pPr>
            <w:r>
              <w:rPr>
                <w:rFonts w:ascii="Times New Roman" w:hAnsi="Times New Roman" w:cs="Times New Roman"/>
              </w:rPr>
              <w:t>金额</w:t>
            </w:r>
          </w:p>
        </w:tc>
        <w:tc>
          <w:tcPr>
            <w:tcW w:w="2125"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kinsoku w:val="0"/>
              <w:overflowPunct w:val="0"/>
              <w:autoSpaceDE w:val="0"/>
              <w:autoSpaceDN w:val="0"/>
              <w:adjustRightInd w:val="0"/>
              <w:snapToGrid w:val="0"/>
              <w:ind w:right="180"/>
              <w:jc w:val="center"/>
              <w:rPr>
                <w:rFonts w:ascii="Times New Roman" w:hAnsi="Times New Roman" w:cs="Times New Roman"/>
              </w:rPr>
            </w:pPr>
            <w:r>
              <w:rPr>
                <w:rFonts w:ascii="Times New Roman" w:hAnsi="Times New Roman" w:cs="Times New Roman"/>
              </w:rPr>
              <w:t>减值准备金额</w:t>
            </w:r>
          </w:p>
        </w:tc>
      </w:tr>
      <w:tr w:rsidR="00AD5BB5">
        <w:tc>
          <w:tcPr>
            <w:tcW w:w="163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rPr>
            </w:pPr>
            <w:r>
              <w:rPr>
                <w:rFonts w:ascii="Times New Roman" w:hAnsi="Times New Roman" w:cs="Times New Roman"/>
              </w:rPr>
              <w:t>房屋及建筑物</w:t>
            </w:r>
          </w:p>
        </w:tc>
        <w:tc>
          <w:tcPr>
            <w:tcW w:w="129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6,030</w:t>
            </w:r>
          </w:p>
        </w:tc>
        <w:tc>
          <w:tcPr>
            <w:tcW w:w="183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6,030</w:t>
            </w:r>
          </w:p>
        </w:tc>
        <w:tc>
          <w:tcPr>
            <w:tcW w:w="141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6,030</w:t>
            </w:r>
          </w:p>
        </w:tc>
        <w:tc>
          <w:tcPr>
            <w:tcW w:w="2125"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6,030</w:t>
            </w:r>
          </w:p>
        </w:tc>
      </w:tr>
      <w:tr w:rsidR="00AD5BB5">
        <w:tc>
          <w:tcPr>
            <w:tcW w:w="1634"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rPr>
            </w:pPr>
            <w:r>
              <w:rPr>
                <w:rFonts w:ascii="Times New Roman" w:hAnsi="Times New Roman" w:cs="Times New Roman"/>
              </w:rPr>
              <w:t>合计</w:t>
            </w:r>
          </w:p>
        </w:tc>
        <w:tc>
          <w:tcPr>
            <w:tcW w:w="129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6,030</w:t>
            </w:r>
          </w:p>
        </w:tc>
        <w:tc>
          <w:tcPr>
            <w:tcW w:w="1831"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6,030</w:t>
            </w:r>
          </w:p>
        </w:tc>
        <w:tc>
          <w:tcPr>
            <w:tcW w:w="141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6,030</w:t>
            </w:r>
          </w:p>
        </w:tc>
        <w:tc>
          <w:tcPr>
            <w:tcW w:w="2125"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rPr>
            </w:pPr>
            <w:r>
              <w:rPr>
                <w:rFonts w:ascii="Times New Roman" w:hAnsi="Times New Roman" w:cs="Times New Roman"/>
                <w:kern w:val="0"/>
                <w:szCs w:val="21"/>
                <w:lang w:bidi="ar"/>
              </w:rPr>
              <w:t>6,030</w:t>
            </w:r>
          </w:p>
        </w:tc>
      </w:tr>
    </w:tbl>
    <w:p w:rsidR="00AD5BB5" w:rsidRDefault="00AD5BB5">
      <w:pPr>
        <w:widowControl/>
        <w:jc w:val="left"/>
        <w:rPr>
          <w:rFonts w:ascii="Times New Roman" w:hAnsi="Times New Roman" w:cs="Times New Roman"/>
          <w:b/>
          <w:bCs/>
        </w:rPr>
      </w:pPr>
    </w:p>
    <w:p w:rsidR="00AD5BB5" w:rsidRDefault="00F87FF6">
      <w:pPr>
        <w:pStyle w:val="3"/>
        <w:rPr>
          <w:b w:val="0"/>
        </w:rPr>
      </w:pPr>
      <w:r>
        <w:rPr>
          <w:rFonts w:hint="eastAsia"/>
        </w:rPr>
        <w:t>（十二）</w:t>
      </w:r>
      <w:r>
        <w:rPr>
          <w:rFonts w:ascii="Times New Roman" w:hAnsi="Times New Roman" w:cs="Times New Roman" w:hint="eastAsia"/>
          <w:bCs/>
          <w:kern w:val="0"/>
        </w:rPr>
        <w:t>金融债券情</w:t>
      </w:r>
      <w:r>
        <w:rPr>
          <w:bCs/>
        </w:rPr>
        <w:t>况</w:t>
      </w:r>
    </w:p>
    <w:p w:rsidR="00AD5BB5" w:rsidRDefault="00AD5BB5"/>
    <w:p w:rsidR="00AD5BB5" w:rsidRDefault="00F87FF6">
      <w:pPr>
        <w:pStyle w:val="4"/>
        <w:numPr>
          <w:ilvl w:val="0"/>
          <w:numId w:val="17"/>
        </w:numPr>
        <w:spacing w:line="360" w:lineRule="auto"/>
        <w:rPr>
          <w:rFonts w:ascii="Times New Roman" w:hAnsi="Times New Roman" w:cs="Times New Roman"/>
        </w:rPr>
      </w:pPr>
      <w:r>
        <w:rPr>
          <w:rFonts w:ascii="Times New Roman" w:hAnsi="Times New Roman" w:cs="Times New Roman" w:hint="eastAsia"/>
        </w:rPr>
        <w:t>银行持有的金融债券的类别和金额</w:t>
      </w:r>
    </w:p>
    <w:p w:rsidR="00AD5BB5" w:rsidRDefault="00F87FF6">
      <w:pPr>
        <w:jc w:val="right"/>
        <w:rPr>
          <w:rFonts w:ascii="Times New Roman" w:hAnsi="Times New Roman" w:cs="Times New Roman"/>
        </w:rPr>
      </w:pPr>
      <w:r>
        <w:rPr>
          <w:rFonts w:ascii="Times New Roman" w:hAnsi="Times New Roman" w:cs="Times New Roman"/>
        </w:rPr>
        <w:t>单位</w:t>
      </w:r>
      <w:r>
        <w:rPr>
          <w:rFonts w:ascii="Times New Roman" w:hAnsi="Times New Roman" w:cs="Times New Roman"/>
        </w:rPr>
        <w:t>:</w:t>
      </w:r>
      <w:r>
        <w:rPr>
          <w:rFonts w:ascii="Times New Roman" w:hAnsi="Times New Roman" w:cs="Times New Roman"/>
        </w:rPr>
        <w:t>人民币千元</w:t>
      </w:r>
      <w:r>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2746"/>
        <w:gridCol w:w="2745"/>
      </w:tblGrid>
      <w:tr w:rsidR="00AD5BB5">
        <w:tc>
          <w:tcPr>
            <w:tcW w:w="169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rPr>
            </w:pPr>
            <w:r>
              <w:rPr>
                <w:rFonts w:ascii="Times New Roman" w:hAnsi="Times New Roman" w:cs="Times New Roman"/>
              </w:rPr>
              <w:t>类别</w:t>
            </w:r>
          </w:p>
        </w:tc>
        <w:tc>
          <w:tcPr>
            <w:tcW w:w="1653"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s="Times New Roman"/>
              </w:rPr>
            </w:pPr>
            <w:r>
              <w:rPr>
                <w:rFonts w:ascii="Times New Roman" w:hAnsi="Times New Roman" w:cs="Times New Roman"/>
              </w:rPr>
              <w:t>202</w:t>
            </w:r>
            <w:r>
              <w:rPr>
                <w:rFonts w:ascii="Times New Roman" w:hAnsi="Times New Roman" w:cs="Times New Roman" w:hint="eastAsia"/>
              </w:rPr>
              <w:t>3</w:t>
            </w:r>
            <w:r>
              <w:rPr>
                <w:rFonts w:ascii="Times New Roman" w:hAnsi="Times New Roman" w:cs="Times New Roman"/>
              </w:rPr>
              <w:t>年</w:t>
            </w:r>
            <w:r>
              <w:rPr>
                <w:rFonts w:ascii="Times New Roman" w:hAnsi="Times New Roman" w:cs="Times New Roman"/>
              </w:rPr>
              <w:t>6</w:t>
            </w:r>
            <w:r>
              <w:rPr>
                <w:rFonts w:ascii="Times New Roman" w:hAnsi="Times New Roman" w:cs="Times New Roman"/>
              </w:rPr>
              <w:t>月</w:t>
            </w:r>
            <w:r>
              <w:rPr>
                <w:rFonts w:ascii="Times New Roman" w:hAnsi="Times New Roman" w:cs="Times New Roman"/>
              </w:rPr>
              <w:t>30</w:t>
            </w:r>
            <w:r>
              <w:rPr>
                <w:rFonts w:ascii="Times New Roman" w:hAnsi="Times New Roman" w:cs="Times New Roman"/>
              </w:rPr>
              <w:t>日</w:t>
            </w:r>
          </w:p>
        </w:tc>
        <w:tc>
          <w:tcPr>
            <w:tcW w:w="1653"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s="Times New Roman"/>
              </w:rPr>
            </w:pPr>
            <w:r>
              <w:rPr>
                <w:rFonts w:ascii="Times New Roman" w:hAnsi="Times New Roman" w:cs="Times New Roman"/>
              </w:rPr>
              <w:t>202</w:t>
            </w:r>
            <w:r>
              <w:rPr>
                <w:rFonts w:ascii="Times New Roman" w:hAnsi="Times New Roman" w:cs="Times New Roman" w:hint="eastAsia"/>
              </w:rPr>
              <w:t>2</w:t>
            </w:r>
            <w:r>
              <w:rPr>
                <w:rFonts w:ascii="Times New Roman" w:hAnsi="Times New Roman" w:cs="Times New Roman"/>
              </w:rPr>
              <w:t>年</w:t>
            </w:r>
            <w:r>
              <w:rPr>
                <w:rFonts w:ascii="Times New Roman" w:hAnsi="Times New Roman" w:cs="Times New Roman"/>
              </w:rPr>
              <w:t>12</w:t>
            </w:r>
            <w:r>
              <w:rPr>
                <w:rFonts w:ascii="Times New Roman" w:hAnsi="Times New Roman" w:cs="Times New Roman"/>
              </w:rPr>
              <w:t>月</w:t>
            </w:r>
            <w:r>
              <w:rPr>
                <w:rFonts w:ascii="Times New Roman" w:hAnsi="Times New Roman" w:cs="Times New Roman"/>
              </w:rPr>
              <w:t>31</w:t>
            </w:r>
            <w:r>
              <w:rPr>
                <w:rFonts w:ascii="Times New Roman" w:hAnsi="Times New Roman" w:cs="Times New Roman"/>
              </w:rPr>
              <w:t>日</w:t>
            </w:r>
          </w:p>
        </w:tc>
      </w:tr>
      <w:tr w:rsidR="00AD5BB5">
        <w:tc>
          <w:tcPr>
            <w:tcW w:w="1693"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cs="Times New Roman"/>
              </w:rPr>
            </w:pPr>
            <w:r>
              <w:rPr>
                <w:rFonts w:ascii="Times New Roman" w:hAnsi="Times New Roman" w:cs="Times New Roman"/>
              </w:rPr>
              <w:t>政策性金融债券</w:t>
            </w:r>
          </w:p>
        </w:tc>
        <w:tc>
          <w:tcPr>
            <w:tcW w:w="1653"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color w:val="000000"/>
                <w:szCs w:val="21"/>
                <w:lang w:bidi="ar"/>
              </w:rPr>
            </w:pPr>
            <w:r>
              <w:rPr>
                <w:rFonts w:ascii="Times New Roman" w:hAnsi="Times New Roman" w:cs="Times New Roman"/>
                <w:color w:val="000000"/>
                <w:kern w:val="0"/>
                <w:szCs w:val="21"/>
                <w:lang w:bidi="ar"/>
              </w:rPr>
              <w:t xml:space="preserve">3,689,042 </w:t>
            </w:r>
          </w:p>
        </w:tc>
        <w:tc>
          <w:tcPr>
            <w:tcW w:w="1653"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color w:val="000000"/>
                <w:kern w:val="0"/>
                <w:szCs w:val="21"/>
                <w:lang w:bidi="ar"/>
              </w:rPr>
              <w:t xml:space="preserve">4,673,611 </w:t>
            </w:r>
          </w:p>
        </w:tc>
      </w:tr>
      <w:tr w:rsidR="00AD5BB5">
        <w:tc>
          <w:tcPr>
            <w:tcW w:w="1693"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cs="Times New Roman"/>
              </w:rPr>
            </w:pPr>
            <w:r>
              <w:rPr>
                <w:rFonts w:ascii="Times New Roman" w:hAnsi="Times New Roman" w:cs="Times New Roman"/>
              </w:rPr>
              <w:t>同业金融债券</w:t>
            </w:r>
          </w:p>
        </w:tc>
        <w:tc>
          <w:tcPr>
            <w:tcW w:w="1653"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color w:val="000000"/>
                <w:szCs w:val="21"/>
                <w:lang w:bidi="ar"/>
              </w:rPr>
            </w:pPr>
            <w:r>
              <w:rPr>
                <w:rFonts w:ascii="Times New Roman" w:hAnsi="Times New Roman" w:cs="Times New Roman"/>
                <w:color w:val="000000"/>
                <w:kern w:val="0"/>
                <w:szCs w:val="21"/>
                <w:lang w:bidi="ar"/>
              </w:rPr>
              <w:t xml:space="preserve">299,165 </w:t>
            </w:r>
          </w:p>
        </w:tc>
        <w:tc>
          <w:tcPr>
            <w:tcW w:w="1653"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hint="eastAsia"/>
                <w:color w:val="000000"/>
                <w:kern w:val="0"/>
                <w:szCs w:val="21"/>
                <w:lang w:bidi="ar"/>
              </w:rPr>
              <w:t>1,217,283</w:t>
            </w:r>
            <w:r>
              <w:rPr>
                <w:rFonts w:ascii="Times New Roman" w:hAnsi="Times New Roman" w:cs="Times New Roman"/>
                <w:color w:val="000000"/>
                <w:kern w:val="0"/>
                <w:szCs w:val="21"/>
                <w:lang w:bidi="ar"/>
              </w:rPr>
              <w:t xml:space="preserve"> </w:t>
            </w:r>
          </w:p>
        </w:tc>
      </w:tr>
      <w:tr w:rsidR="00AD5BB5">
        <w:tc>
          <w:tcPr>
            <w:tcW w:w="169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rPr>
            </w:pPr>
            <w:r>
              <w:rPr>
                <w:rFonts w:ascii="Times New Roman" w:hAnsi="Times New Roman" w:cs="Times New Roman"/>
              </w:rPr>
              <w:t>合计</w:t>
            </w:r>
          </w:p>
        </w:tc>
        <w:tc>
          <w:tcPr>
            <w:tcW w:w="1653"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color w:val="000000"/>
                <w:szCs w:val="21"/>
                <w:lang w:bidi="ar"/>
              </w:rPr>
            </w:pPr>
            <w:r>
              <w:rPr>
                <w:rFonts w:ascii="Times New Roman" w:hAnsi="Times New Roman" w:cs="Times New Roman"/>
                <w:color w:val="000000"/>
                <w:kern w:val="0"/>
                <w:szCs w:val="21"/>
                <w:lang w:bidi="ar"/>
              </w:rPr>
              <w:t xml:space="preserve">3,988,207 </w:t>
            </w:r>
          </w:p>
        </w:tc>
        <w:tc>
          <w:tcPr>
            <w:tcW w:w="1653"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widowControl/>
              <w:jc w:val="right"/>
              <w:textAlignment w:val="top"/>
              <w:rPr>
                <w:rFonts w:ascii="Times New Roman" w:hAnsi="Times New Roman" w:cs="Times New Roman"/>
              </w:rPr>
            </w:pPr>
            <w:r>
              <w:rPr>
                <w:rFonts w:ascii="Times New Roman" w:hAnsi="Times New Roman" w:cs="Times New Roman" w:hint="eastAsia"/>
                <w:color w:val="000000"/>
                <w:kern w:val="0"/>
                <w:szCs w:val="21"/>
                <w:lang w:bidi="ar"/>
              </w:rPr>
              <w:t>5,890,894</w:t>
            </w:r>
            <w:r>
              <w:rPr>
                <w:rFonts w:ascii="Times New Roman" w:hAnsi="Times New Roman" w:cs="Times New Roman"/>
                <w:color w:val="000000"/>
                <w:kern w:val="0"/>
                <w:szCs w:val="21"/>
                <w:lang w:bidi="ar"/>
              </w:rPr>
              <w:t xml:space="preserve"> </w:t>
            </w:r>
          </w:p>
        </w:tc>
      </w:tr>
    </w:tbl>
    <w:p w:rsidR="00AD5BB5" w:rsidRDefault="00AD5BB5">
      <w:pPr>
        <w:ind w:right="420"/>
        <w:rPr>
          <w:rFonts w:ascii="Times New Roman" w:hAnsi="Times New Roman" w:cs="Times New Roman"/>
        </w:rPr>
      </w:pPr>
    </w:p>
    <w:p w:rsidR="00AD5BB5" w:rsidRDefault="00F87FF6">
      <w:pPr>
        <w:pStyle w:val="4"/>
        <w:numPr>
          <w:ilvl w:val="0"/>
          <w:numId w:val="17"/>
        </w:numPr>
        <w:spacing w:line="360" w:lineRule="auto"/>
        <w:rPr>
          <w:rFonts w:ascii="Times New Roman" w:hAnsi="Times New Roman" w:cs="Times New Roman"/>
        </w:rPr>
      </w:pPr>
      <w:r>
        <w:rPr>
          <w:rFonts w:ascii="Times New Roman" w:hAnsi="Times New Roman" w:cs="Times New Roman"/>
        </w:rPr>
        <w:t>报告期末所持面值最大的十只金融债券情况</w:t>
      </w:r>
    </w:p>
    <w:p w:rsidR="00AD5BB5" w:rsidRDefault="00F87FF6">
      <w:pPr>
        <w:jc w:val="right"/>
        <w:rPr>
          <w:rFonts w:ascii="Times New Roman" w:hAnsi="Times New Roman" w:cs="Times New Roman"/>
        </w:rPr>
      </w:pPr>
      <w:r>
        <w:rPr>
          <w:rFonts w:ascii="Times New Roman" w:hAnsi="Times New Roman" w:cs="Times New Roman"/>
        </w:rPr>
        <w:t>单位</w:t>
      </w:r>
      <w:r>
        <w:rPr>
          <w:rFonts w:ascii="Times New Roman" w:hAnsi="Times New Roman" w:cs="Times New Roman"/>
        </w:rPr>
        <w:t>:</w:t>
      </w:r>
      <w:r>
        <w:rPr>
          <w:rFonts w:ascii="Times New Roman" w:hAnsi="Times New Roman" w:cs="Times New Roman"/>
        </w:rPr>
        <w:t>人民币千元</w:t>
      </w:r>
      <w:r>
        <w:rPr>
          <w:rFonts w:ascii="Times New Roman" w:hAnsi="Times New Roman" w:cs="Times New Roman"/>
        </w:rPr>
        <w:t xml:space="preserve">  </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1385"/>
        <w:gridCol w:w="1622"/>
        <w:gridCol w:w="1308"/>
        <w:gridCol w:w="1622"/>
      </w:tblGrid>
      <w:tr w:rsidR="00AD5BB5">
        <w:tc>
          <w:tcPr>
            <w:tcW w:w="142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rPr>
            </w:pPr>
            <w:r>
              <w:rPr>
                <w:rFonts w:ascii="Times New Roman" w:hAnsi="Times New Roman" w:cs="Times New Roman"/>
                <w:b/>
                <w:bCs/>
              </w:rPr>
              <w:t>债券名称</w:t>
            </w:r>
          </w:p>
        </w:tc>
        <w:tc>
          <w:tcPr>
            <w:tcW w:w="83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rPr>
            </w:pPr>
            <w:r>
              <w:rPr>
                <w:rFonts w:ascii="Times New Roman" w:hAnsi="Times New Roman" w:cs="Times New Roman"/>
                <w:b/>
                <w:bCs/>
              </w:rPr>
              <w:t>面值</w:t>
            </w:r>
          </w:p>
        </w:tc>
        <w:tc>
          <w:tcPr>
            <w:tcW w:w="97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rPr>
            </w:pPr>
            <w:r>
              <w:rPr>
                <w:rFonts w:ascii="Times New Roman" w:hAnsi="Times New Roman" w:cs="Times New Roman"/>
                <w:b/>
                <w:bCs/>
              </w:rPr>
              <w:t>年利率（</w:t>
            </w:r>
            <w:r>
              <w:rPr>
                <w:rFonts w:ascii="Times New Roman" w:hAnsi="Times New Roman" w:cs="Times New Roman"/>
                <w:b/>
                <w:bCs/>
              </w:rPr>
              <w:t>%</w:t>
            </w:r>
            <w:r>
              <w:rPr>
                <w:rFonts w:ascii="Times New Roman" w:hAnsi="Times New Roman" w:cs="Times New Roman"/>
                <w:b/>
                <w:bCs/>
              </w:rPr>
              <w:t>）</w:t>
            </w:r>
          </w:p>
        </w:tc>
        <w:tc>
          <w:tcPr>
            <w:tcW w:w="78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rPr>
            </w:pPr>
            <w:r>
              <w:rPr>
                <w:rFonts w:ascii="Times New Roman" w:hAnsi="Times New Roman" w:cs="Times New Roman"/>
                <w:b/>
                <w:bCs/>
              </w:rPr>
              <w:t>到期日</w:t>
            </w:r>
          </w:p>
        </w:tc>
        <w:tc>
          <w:tcPr>
            <w:tcW w:w="97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b/>
                <w:bCs/>
              </w:rPr>
            </w:pPr>
            <w:r>
              <w:rPr>
                <w:rFonts w:ascii="Times New Roman" w:hAnsi="Times New Roman" w:cs="Times New Roman"/>
                <w:b/>
                <w:bCs/>
              </w:rPr>
              <w:t>计提减值准备</w:t>
            </w:r>
          </w:p>
        </w:tc>
      </w:tr>
      <w:tr w:rsidR="00AD5BB5">
        <w:trPr>
          <w:trHeight w:val="244"/>
        </w:trPr>
        <w:tc>
          <w:tcPr>
            <w:tcW w:w="142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left"/>
              <w:rPr>
                <w:rFonts w:ascii="Times New Roman" w:hAnsi="Times New Roman" w:cs="Times New Roman"/>
              </w:rPr>
            </w:pPr>
            <w:r>
              <w:rPr>
                <w:rFonts w:ascii="Times New Roman" w:hAnsi="Times New Roman" w:cs="Times New Roman"/>
                <w:lang w:bidi="ar"/>
              </w:rPr>
              <w:t>23</w:t>
            </w:r>
            <w:r>
              <w:rPr>
                <w:rFonts w:ascii="Times New Roman" w:hAnsi="Times New Roman" w:cs="Times New Roman"/>
                <w:lang w:bidi="ar"/>
              </w:rPr>
              <w:t>年政策性金融债</w:t>
            </w:r>
          </w:p>
        </w:tc>
        <w:tc>
          <w:tcPr>
            <w:tcW w:w="83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rPr>
                <w:rFonts w:ascii="Times New Roman" w:hAnsi="Times New Roman" w:cs="Times New Roman"/>
              </w:rPr>
            </w:pPr>
            <w:r>
              <w:rPr>
                <w:rFonts w:ascii="Times New Roman" w:hAnsi="Times New Roman" w:cs="Times New Roman"/>
                <w:lang w:bidi="ar"/>
              </w:rPr>
              <w:t xml:space="preserve"> 600,000 </w:t>
            </w:r>
          </w:p>
        </w:tc>
        <w:tc>
          <w:tcPr>
            <w:tcW w:w="97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rPr>
                <w:rFonts w:ascii="Times New Roman" w:hAnsi="Times New Roman" w:cs="Times New Roman"/>
              </w:rPr>
            </w:pPr>
            <w:r>
              <w:rPr>
                <w:rFonts w:ascii="Times New Roman" w:hAnsi="Times New Roman" w:cs="Times New Roman"/>
                <w:lang w:bidi="ar"/>
              </w:rPr>
              <w:t>3.02</w:t>
            </w:r>
          </w:p>
        </w:tc>
        <w:tc>
          <w:tcPr>
            <w:tcW w:w="78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rPr>
                <w:rFonts w:ascii="Times New Roman" w:hAnsi="Times New Roman" w:cs="Times New Roman"/>
              </w:rPr>
            </w:pPr>
            <w:r>
              <w:rPr>
                <w:rFonts w:ascii="Times New Roman" w:hAnsi="Times New Roman" w:cs="Times New Roman"/>
                <w:lang w:bidi="ar"/>
              </w:rPr>
              <w:t>2033-</w:t>
            </w:r>
            <w:r>
              <w:rPr>
                <w:rFonts w:ascii="Times New Roman" w:hAnsi="Times New Roman" w:cs="Times New Roman" w:hint="eastAsia"/>
                <w:lang w:bidi="ar"/>
              </w:rPr>
              <w:t>0</w:t>
            </w:r>
            <w:r>
              <w:rPr>
                <w:rFonts w:ascii="Times New Roman" w:hAnsi="Times New Roman" w:cs="Times New Roman"/>
                <w:lang w:bidi="ar"/>
              </w:rPr>
              <w:t>3-</w:t>
            </w:r>
            <w:r>
              <w:rPr>
                <w:rFonts w:ascii="Times New Roman" w:hAnsi="Times New Roman" w:cs="Times New Roman" w:hint="eastAsia"/>
                <w:lang w:bidi="ar"/>
              </w:rPr>
              <w:t>0</w:t>
            </w:r>
            <w:r>
              <w:rPr>
                <w:rFonts w:ascii="Times New Roman" w:hAnsi="Times New Roman" w:cs="Times New Roman"/>
                <w:lang w:bidi="ar"/>
              </w:rPr>
              <w:t>6</w:t>
            </w:r>
          </w:p>
        </w:tc>
        <w:tc>
          <w:tcPr>
            <w:tcW w:w="97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rPr>
            </w:pPr>
            <w:r>
              <w:rPr>
                <w:rFonts w:ascii="Times New Roman" w:hAnsi="Times New Roman" w:cs="Times New Roman"/>
              </w:rPr>
              <w:t>-</w:t>
            </w:r>
          </w:p>
        </w:tc>
      </w:tr>
      <w:tr w:rsidR="00AD5BB5">
        <w:tc>
          <w:tcPr>
            <w:tcW w:w="142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left"/>
              <w:rPr>
                <w:rFonts w:ascii="Times New Roman" w:hAnsi="Times New Roman" w:cs="Times New Roman"/>
                <w:lang w:bidi="ar"/>
              </w:rPr>
            </w:pPr>
            <w:r>
              <w:rPr>
                <w:rFonts w:ascii="Times New Roman" w:hAnsi="Times New Roman" w:cs="Times New Roman"/>
                <w:lang w:bidi="ar"/>
              </w:rPr>
              <w:t>22</w:t>
            </w:r>
            <w:r>
              <w:rPr>
                <w:rFonts w:ascii="Times New Roman" w:hAnsi="Times New Roman" w:cs="Times New Roman"/>
                <w:lang w:bidi="ar"/>
              </w:rPr>
              <w:t>年商业银行金融债</w:t>
            </w:r>
          </w:p>
        </w:tc>
        <w:tc>
          <w:tcPr>
            <w:tcW w:w="83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rPr>
                <w:rFonts w:ascii="Times New Roman" w:hAnsi="Times New Roman" w:cs="Times New Roman"/>
                <w:lang w:bidi="ar"/>
              </w:rPr>
            </w:pPr>
            <w:r>
              <w:rPr>
                <w:rFonts w:ascii="Times New Roman" w:hAnsi="Times New Roman" w:cs="Times New Roman"/>
                <w:lang w:bidi="ar"/>
              </w:rPr>
              <w:t xml:space="preserve"> 300,000 </w:t>
            </w:r>
          </w:p>
        </w:tc>
        <w:tc>
          <w:tcPr>
            <w:tcW w:w="97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rPr>
                <w:rFonts w:ascii="Times New Roman" w:hAnsi="Times New Roman" w:cs="Times New Roman"/>
                <w:lang w:bidi="ar"/>
              </w:rPr>
            </w:pPr>
            <w:r>
              <w:rPr>
                <w:rFonts w:ascii="Times New Roman" w:hAnsi="Times New Roman" w:cs="Times New Roman"/>
                <w:lang w:bidi="ar"/>
              </w:rPr>
              <w:t>4.7</w:t>
            </w:r>
            <w:r>
              <w:rPr>
                <w:rFonts w:ascii="Times New Roman" w:hAnsi="Times New Roman" w:cs="Times New Roman" w:hint="eastAsia"/>
                <w:lang w:bidi="ar"/>
              </w:rPr>
              <w:t>0</w:t>
            </w:r>
          </w:p>
        </w:tc>
        <w:tc>
          <w:tcPr>
            <w:tcW w:w="78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widowControl/>
              <w:jc w:val="right"/>
              <w:rPr>
                <w:rFonts w:ascii="Times New Roman" w:hAnsi="Times New Roman" w:cs="Times New Roman"/>
                <w:lang w:bidi="ar"/>
              </w:rPr>
            </w:pPr>
          </w:p>
        </w:tc>
        <w:tc>
          <w:tcPr>
            <w:tcW w:w="97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rPr>
                <w:rFonts w:ascii="Times New Roman" w:hAnsi="Times New Roman" w:cs="Times New Roman"/>
                <w:lang w:bidi="ar"/>
              </w:rPr>
            </w:pPr>
            <w:r>
              <w:rPr>
                <w:rFonts w:ascii="Times New Roman" w:hAnsi="Times New Roman" w:cs="Times New Roman"/>
                <w:lang w:bidi="ar"/>
              </w:rPr>
              <w:t>-</w:t>
            </w:r>
          </w:p>
        </w:tc>
      </w:tr>
      <w:tr w:rsidR="00AD5BB5">
        <w:tc>
          <w:tcPr>
            <w:tcW w:w="142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left"/>
              <w:rPr>
                <w:rFonts w:ascii="Times New Roman" w:hAnsi="Times New Roman" w:cs="Times New Roman"/>
                <w:lang w:bidi="ar"/>
              </w:rPr>
            </w:pPr>
            <w:r>
              <w:rPr>
                <w:rFonts w:ascii="Times New Roman" w:hAnsi="Times New Roman" w:cs="Times New Roman"/>
                <w:lang w:bidi="ar"/>
              </w:rPr>
              <w:t>15</w:t>
            </w:r>
            <w:r>
              <w:rPr>
                <w:rFonts w:ascii="Times New Roman" w:hAnsi="Times New Roman" w:cs="Times New Roman"/>
                <w:lang w:bidi="ar"/>
              </w:rPr>
              <w:t>年政策性金融债</w:t>
            </w:r>
          </w:p>
        </w:tc>
        <w:tc>
          <w:tcPr>
            <w:tcW w:w="83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rPr>
                <w:rFonts w:ascii="Times New Roman" w:hAnsi="Times New Roman" w:cs="Times New Roman"/>
                <w:lang w:bidi="ar"/>
              </w:rPr>
            </w:pPr>
            <w:r>
              <w:rPr>
                <w:rFonts w:ascii="Times New Roman" w:hAnsi="Times New Roman" w:cs="Times New Roman"/>
                <w:lang w:bidi="ar"/>
              </w:rPr>
              <w:t xml:space="preserve"> 300,000 </w:t>
            </w:r>
          </w:p>
        </w:tc>
        <w:tc>
          <w:tcPr>
            <w:tcW w:w="97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rPr>
                <w:rFonts w:ascii="Times New Roman" w:hAnsi="Times New Roman" w:cs="Times New Roman"/>
                <w:lang w:bidi="ar"/>
              </w:rPr>
            </w:pPr>
            <w:r>
              <w:rPr>
                <w:rFonts w:ascii="Times New Roman" w:hAnsi="Times New Roman" w:cs="Times New Roman"/>
                <w:lang w:bidi="ar"/>
              </w:rPr>
              <w:t>4.21</w:t>
            </w:r>
          </w:p>
        </w:tc>
        <w:tc>
          <w:tcPr>
            <w:tcW w:w="78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rPr>
                <w:rFonts w:ascii="Times New Roman" w:hAnsi="Times New Roman" w:cs="Times New Roman"/>
                <w:lang w:bidi="ar"/>
              </w:rPr>
            </w:pPr>
            <w:r>
              <w:rPr>
                <w:rFonts w:ascii="Times New Roman" w:hAnsi="Times New Roman" w:cs="Times New Roman"/>
                <w:lang w:bidi="ar"/>
              </w:rPr>
              <w:t>2025-</w:t>
            </w:r>
            <w:r>
              <w:rPr>
                <w:rFonts w:ascii="Times New Roman" w:hAnsi="Times New Roman" w:cs="Times New Roman" w:hint="eastAsia"/>
                <w:lang w:bidi="ar"/>
              </w:rPr>
              <w:t>0</w:t>
            </w:r>
            <w:r>
              <w:rPr>
                <w:rFonts w:ascii="Times New Roman" w:hAnsi="Times New Roman" w:cs="Times New Roman"/>
                <w:lang w:bidi="ar"/>
              </w:rPr>
              <w:t>4-13</w:t>
            </w:r>
          </w:p>
        </w:tc>
        <w:tc>
          <w:tcPr>
            <w:tcW w:w="97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rPr>
                <w:rFonts w:ascii="Times New Roman" w:hAnsi="Times New Roman" w:cs="Times New Roman"/>
                <w:lang w:bidi="ar"/>
              </w:rPr>
            </w:pPr>
            <w:r>
              <w:rPr>
                <w:rFonts w:ascii="Times New Roman" w:hAnsi="Times New Roman" w:cs="Times New Roman"/>
                <w:lang w:bidi="ar"/>
              </w:rPr>
              <w:t>-</w:t>
            </w:r>
          </w:p>
        </w:tc>
      </w:tr>
      <w:tr w:rsidR="00AD5BB5">
        <w:tc>
          <w:tcPr>
            <w:tcW w:w="142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left"/>
              <w:rPr>
                <w:rFonts w:ascii="Times New Roman" w:hAnsi="Times New Roman" w:cs="Times New Roman"/>
                <w:lang w:bidi="ar"/>
              </w:rPr>
            </w:pPr>
            <w:r>
              <w:rPr>
                <w:rFonts w:ascii="Times New Roman" w:hAnsi="Times New Roman" w:cs="Times New Roman"/>
                <w:lang w:bidi="ar"/>
              </w:rPr>
              <w:t>22</w:t>
            </w:r>
            <w:r>
              <w:rPr>
                <w:rFonts w:ascii="Times New Roman" w:hAnsi="Times New Roman" w:cs="Times New Roman"/>
                <w:lang w:bidi="ar"/>
              </w:rPr>
              <w:t>年政策性金融债</w:t>
            </w:r>
          </w:p>
        </w:tc>
        <w:tc>
          <w:tcPr>
            <w:tcW w:w="83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rPr>
                <w:rFonts w:ascii="Times New Roman" w:hAnsi="Times New Roman" w:cs="Times New Roman"/>
                <w:lang w:bidi="ar"/>
              </w:rPr>
            </w:pPr>
            <w:r>
              <w:rPr>
                <w:rFonts w:ascii="Times New Roman" w:hAnsi="Times New Roman" w:cs="Times New Roman"/>
                <w:lang w:bidi="ar"/>
              </w:rPr>
              <w:t xml:space="preserve"> 300,000 </w:t>
            </w:r>
          </w:p>
        </w:tc>
        <w:tc>
          <w:tcPr>
            <w:tcW w:w="97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rPr>
                <w:rFonts w:ascii="Times New Roman" w:hAnsi="Times New Roman" w:cs="Times New Roman"/>
                <w:lang w:bidi="ar"/>
              </w:rPr>
            </w:pPr>
            <w:r>
              <w:rPr>
                <w:rFonts w:ascii="Times New Roman" w:hAnsi="Times New Roman" w:cs="Times New Roman"/>
                <w:lang w:bidi="ar"/>
              </w:rPr>
              <w:t>2.96</w:t>
            </w:r>
          </w:p>
        </w:tc>
        <w:tc>
          <w:tcPr>
            <w:tcW w:w="78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rPr>
                <w:rFonts w:ascii="Times New Roman" w:hAnsi="Times New Roman" w:cs="Times New Roman"/>
                <w:lang w:bidi="ar"/>
              </w:rPr>
            </w:pPr>
            <w:r>
              <w:rPr>
                <w:rFonts w:ascii="Times New Roman" w:hAnsi="Times New Roman" w:cs="Times New Roman"/>
                <w:lang w:bidi="ar"/>
              </w:rPr>
              <w:t>2023-</w:t>
            </w:r>
            <w:r>
              <w:rPr>
                <w:rFonts w:ascii="Times New Roman" w:hAnsi="Times New Roman" w:cs="Times New Roman" w:hint="eastAsia"/>
                <w:lang w:bidi="ar"/>
              </w:rPr>
              <w:t>0</w:t>
            </w:r>
            <w:r>
              <w:rPr>
                <w:rFonts w:ascii="Times New Roman" w:hAnsi="Times New Roman" w:cs="Times New Roman"/>
                <w:lang w:bidi="ar"/>
              </w:rPr>
              <w:t>7-18</w:t>
            </w:r>
          </w:p>
        </w:tc>
        <w:tc>
          <w:tcPr>
            <w:tcW w:w="97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rPr>
                <w:rFonts w:ascii="Times New Roman" w:hAnsi="Times New Roman" w:cs="Times New Roman"/>
                <w:lang w:bidi="ar"/>
              </w:rPr>
            </w:pPr>
            <w:r>
              <w:rPr>
                <w:rFonts w:ascii="Times New Roman" w:hAnsi="Times New Roman" w:cs="Times New Roman"/>
                <w:lang w:bidi="ar"/>
              </w:rPr>
              <w:t>-</w:t>
            </w:r>
          </w:p>
        </w:tc>
      </w:tr>
      <w:tr w:rsidR="00AD5BB5">
        <w:tc>
          <w:tcPr>
            <w:tcW w:w="142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left"/>
              <w:rPr>
                <w:rFonts w:ascii="Times New Roman" w:hAnsi="Times New Roman" w:cs="Times New Roman"/>
                <w:lang w:bidi="ar"/>
              </w:rPr>
            </w:pPr>
            <w:r>
              <w:rPr>
                <w:rFonts w:ascii="Times New Roman" w:hAnsi="Times New Roman" w:cs="Times New Roman" w:hint="eastAsia"/>
                <w:lang w:bidi="ar"/>
              </w:rPr>
              <w:t>14</w:t>
            </w:r>
            <w:r>
              <w:rPr>
                <w:rFonts w:ascii="Times New Roman" w:hAnsi="Times New Roman" w:cs="Times New Roman" w:hint="eastAsia"/>
                <w:lang w:bidi="ar"/>
              </w:rPr>
              <w:t>年政策性金融债</w:t>
            </w:r>
          </w:p>
        </w:tc>
        <w:tc>
          <w:tcPr>
            <w:tcW w:w="83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rPr>
                <w:rFonts w:ascii="Times New Roman" w:hAnsi="Times New Roman" w:cs="Times New Roman"/>
                <w:lang w:bidi="ar"/>
              </w:rPr>
            </w:pPr>
            <w:r>
              <w:rPr>
                <w:rFonts w:ascii="Times New Roman" w:hAnsi="Times New Roman" w:cs="Times New Roman" w:hint="eastAsia"/>
                <w:lang w:bidi="ar"/>
              </w:rPr>
              <w:t>200,000</w:t>
            </w:r>
          </w:p>
        </w:tc>
        <w:tc>
          <w:tcPr>
            <w:tcW w:w="97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rPr>
                <w:rFonts w:ascii="Times New Roman" w:hAnsi="Times New Roman" w:cs="Times New Roman"/>
                <w:lang w:bidi="ar"/>
              </w:rPr>
            </w:pPr>
            <w:r>
              <w:rPr>
                <w:rFonts w:ascii="Times New Roman" w:hAnsi="Times New Roman" w:cs="Times New Roman" w:hint="eastAsia"/>
                <w:lang w:bidi="ar"/>
              </w:rPr>
              <w:t>5.02</w:t>
            </w:r>
          </w:p>
        </w:tc>
        <w:tc>
          <w:tcPr>
            <w:tcW w:w="78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rPr>
                <w:rFonts w:ascii="Times New Roman" w:hAnsi="Times New Roman" w:cs="Times New Roman"/>
                <w:lang w:bidi="ar"/>
              </w:rPr>
            </w:pPr>
            <w:r>
              <w:rPr>
                <w:rFonts w:ascii="Times New Roman" w:hAnsi="Times New Roman" w:cs="Times New Roman" w:hint="eastAsia"/>
                <w:lang w:bidi="ar"/>
              </w:rPr>
              <w:t>2024-08-21</w:t>
            </w:r>
          </w:p>
        </w:tc>
        <w:tc>
          <w:tcPr>
            <w:tcW w:w="97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rPr>
                <w:rFonts w:ascii="Times New Roman" w:hAnsi="Times New Roman" w:cs="Times New Roman"/>
                <w:lang w:bidi="ar"/>
              </w:rPr>
            </w:pPr>
            <w:r>
              <w:rPr>
                <w:rFonts w:ascii="Times New Roman" w:hAnsi="Times New Roman" w:cs="Times New Roman" w:hint="eastAsia"/>
                <w:lang w:bidi="ar"/>
              </w:rPr>
              <w:t>-</w:t>
            </w:r>
          </w:p>
        </w:tc>
      </w:tr>
      <w:tr w:rsidR="00AD5BB5">
        <w:tc>
          <w:tcPr>
            <w:tcW w:w="142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left"/>
              <w:rPr>
                <w:rFonts w:ascii="Times New Roman" w:hAnsi="Times New Roman" w:cs="Times New Roman"/>
                <w:lang w:bidi="ar"/>
              </w:rPr>
            </w:pPr>
            <w:r>
              <w:rPr>
                <w:rFonts w:ascii="Times New Roman" w:hAnsi="Times New Roman" w:cs="Times New Roman" w:hint="eastAsia"/>
                <w:lang w:bidi="ar"/>
              </w:rPr>
              <w:t>15</w:t>
            </w:r>
            <w:r>
              <w:rPr>
                <w:rFonts w:ascii="Times New Roman" w:hAnsi="Times New Roman" w:cs="Times New Roman" w:hint="eastAsia"/>
                <w:lang w:bidi="ar"/>
              </w:rPr>
              <w:t>年政策性金融债</w:t>
            </w:r>
          </w:p>
        </w:tc>
        <w:tc>
          <w:tcPr>
            <w:tcW w:w="83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rPr>
                <w:rFonts w:ascii="Times New Roman" w:hAnsi="Times New Roman" w:cs="Times New Roman"/>
                <w:lang w:bidi="ar"/>
              </w:rPr>
            </w:pPr>
            <w:r>
              <w:rPr>
                <w:rFonts w:ascii="Times New Roman" w:hAnsi="Times New Roman" w:cs="Times New Roman" w:hint="eastAsia"/>
                <w:lang w:bidi="ar"/>
              </w:rPr>
              <w:t>200,000</w:t>
            </w:r>
          </w:p>
        </w:tc>
        <w:tc>
          <w:tcPr>
            <w:tcW w:w="97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D5BB5" w:rsidRDefault="00F87FF6">
            <w:pPr>
              <w:widowControl/>
              <w:jc w:val="right"/>
              <w:rPr>
                <w:rFonts w:ascii="Times New Roman" w:hAnsi="Times New Roman" w:cs="Times New Roman"/>
                <w:lang w:bidi="ar"/>
              </w:rPr>
            </w:pPr>
            <w:r>
              <w:rPr>
                <w:rFonts w:ascii="Times New Roman" w:hAnsi="Times New Roman" w:cs="Times New Roman"/>
                <w:lang w:bidi="ar"/>
              </w:rPr>
              <w:t>3.81</w:t>
            </w:r>
          </w:p>
        </w:tc>
        <w:tc>
          <w:tcPr>
            <w:tcW w:w="78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D5BB5" w:rsidRDefault="00F87FF6">
            <w:pPr>
              <w:widowControl/>
              <w:jc w:val="right"/>
              <w:rPr>
                <w:rFonts w:ascii="Times New Roman" w:hAnsi="Times New Roman" w:cs="Times New Roman"/>
                <w:lang w:bidi="ar"/>
              </w:rPr>
            </w:pPr>
            <w:r>
              <w:rPr>
                <w:rFonts w:ascii="Times New Roman" w:hAnsi="Times New Roman" w:cs="Times New Roman"/>
                <w:lang w:bidi="ar"/>
              </w:rPr>
              <w:t>2025-02-05</w:t>
            </w:r>
          </w:p>
        </w:tc>
        <w:tc>
          <w:tcPr>
            <w:tcW w:w="97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rPr>
                <w:rFonts w:ascii="Times New Roman" w:hAnsi="Times New Roman" w:cs="Times New Roman"/>
                <w:lang w:bidi="ar"/>
              </w:rPr>
            </w:pPr>
            <w:r>
              <w:rPr>
                <w:rFonts w:ascii="Times New Roman" w:hAnsi="Times New Roman" w:cs="Times New Roman" w:hint="eastAsia"/>
                <w:lang w:bidi="ar"/>
              </w:rPr>
              <w:t>-</w:t>
            </w:r>
          </w:p>
        </w:tc>
      </w:tr>
      <w:tr w:rsidR="00AD5BB5">
        <w:tc>
          <w:tcPr>
            <w:tcW w:w="142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left"/>
              <w:rPr>
                <w:rFonts w:ascii="Times New Roman" w:hAnsi="Times New Roman" w:cs="Times New Roman"/>
                <w:lang w:bidi="ar"/>
              </w:rPr>
            </w:pPr>
            <w:r>
              <w:rPr>
                <w:rFonts w:ascii="Times New Roman" w:hAnsi="Times New Roman" w:cs="Times New Roman" w:hint="eastAsia"/>
                <w:lang w:bidi="ar"/>
              </w:rPr>
              <w:t>16</w:t>
            </w:r>
            <w:r>
              <w:rPr>
                <w:rFonts w:ascii="Times New Roman" w:hAnsi="Times New Roman" w:cs="Times New Roman" w:hint="eastAsia"/>
                <w:lang w:bidi="ar"/>
              </w:rPr>
              <w:t>年政策性金融债</w:t>
            </w:r>
          </w:p>
        </w:tc>
        <w:tc>
          <w:tcPr>
            <w:tcW w:w="83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rPr>
                <w:rFonts w:ascii="Times New Roman" w:hAnsi="Times New Roman" w:cs="Times New Roman"/>
                <w:lang w:bidi="ar"/>
              </w:rPr>
            </w:pPr>
            <w:r>
              <w:rPr>
                <w:rFonts w:ascii="Times New Roman" w:hAnsi="Times New Roman" w:cs="Times New Roman" w:hint="eastAsia"/>
                <w:lang w:bidi="ar"/>
              </w:rPr>
              <w:t>200,000</w:t>
            </w:r>
          </w:p>
        </w:tc>
        <w:tc>
          <w:tcPr>
            <w:tcW w:w="97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D5BB5" w:rsidRDefault="00F87FF6">
            <w:pPr>
              <w:widowControl/>
              <w:jc w:val="right"/>
              <w:rPr>
                <w:rFonts w:ascii="Times New Roman" w:hAnsi="Times New Roman" w:cs="Times New Roman"/>
                <w:lang w:bidi="ar"/>
              </w:rPr>
            </w:pPr>
            <w:r>
              <w:rPr>
                <w:rFonts w:ascii="Times New Roman" w:hAnsi="Times New Roman" w:cs="Times New Roman" w:hint="eastAsia"/>
                <w:lang w:bidi="ar"/>
              </w:rPr>
              <w:t>3.18</w:t>
            </w:r>
          </w:p>
        </w:tc>
        <w:tc>
          <w:tcPr>
            <w:tcW w:w="78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D5BB5" w:rsidRDefault="00F87FF6">
            <w:pPr>
              <w:widowControl/>
              <w:jc w:val="right"/>
              <w:rPr>
                <w:rFonts w:ascii="Times New Roman" w:hAnsi="Times New Roman" w:cs="Times New Roman"/>
                <w:lang w:bidi="ar"/>
              </w:rPr>
            </w:pPr>
            <w:r>
              <w:rPr>
                <w:rFonts w:ascii="Times New Roman" w:hAnsi="Times New Roman" w:cs="Times New Roman" w:hint="eastAsia"/>
                <w:lang w:bidi="ar"/>
              </w:rPr>
              <w:t>2026-04-05</w:t>
            </w:r>
          </w:p>
        </w:tc>
        <w:tc>
          <w:tcPr>
            <w:tcW w:w="97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rPr>
                <w:rFonts w:ascii="Times New Roman" w:hAnsi="Times New Roman" w:cs="Times New Roman"/>
                <w:lang w:bidi="ar"/>
              </w:rPr>
            </w:pPr>
            <w:r>
              <w:rPr>
                <w:rFonts w:ascii="Times New Roman" w:hAnsi="Times New Roman" w:cs="Times New Roman" w:hint="eastAsia"/>
                <w:lang w:bidi="ar"/>
              </w:rPr>
              <w:t>-</w:t>
            </w:r>
          </w:p>
        </w:tc>
      </w:tr>
      <w:tr w:rsidR="00AD5BB5">
        <w:tc>
          <w:tcPr>
            <w:tcW w:w="142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left"/>
              <w:rPr>
                <w:rFonts w:ascii="Times New Roman" w:hAnsi="Times New Roman" w:cs="Times New Roman"/>
                <w:lang w:bidi="ar"/>
              </w:rPr>
            </w:pPr>
            <w:r>
              <w:rPr>
                <w:rFonts w:ascii="Times New Roman" w:hAnsi="Times New Roman" w:cs="Times New Roman" w:hint="eastAsia"/>
                <w:lang w:bidi="ar"/>
              </w:rPr>
              <w:t>23</w:t>
            </w:r>
            <w:r>
              <w:rPr>
                <w:rFonts w:ascii="Times New Roman" w:hAnsi="Times New Roman" w:cs="Times New Roman" w:hint="eastAsia"/>
                <w:lang w:bidi="ar"/>
              </w:rPr>
              <w:t>年政策性金融债</w:t>
            </w:r>
          </w:p>
        </w:tc>
        <w:tc>
          <w:tcPr>
            <w:tcW w:w="83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rPr>
                <w:rFonts w:ascii="Times New Roman" w:hAnsi="Times New Roman" w:cs="Times New Roman"/>
                <w:lang w:bidi="ar"/>
              </w:rPr>
            </w:pPr>
            <w:r>
              <w:rPr>
                <w:rFonts w:ascii="Times New Roman" w:hAnsi="Times New Roman" w:cs="Times New Roman" w:hint="eastAsia"/>
                <w:lang w:bidi="ar"/>
              </w:rPr>
              <w:t>200,000</w:t>
            </w:r>
          </w:p>
        </w:tc>
        <w:tc>
          <w:tcPr>
            <w:tcW w:w="97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D5BB5" w:rsidRDefault="00F87FF6">
            <w:pPr>
              <w:widowControl/>
              <w:jc w:val="right"/>
              <w:rPr>
                <w:rFonts w:ascii="Times New Roman" w:hAnsi="Times New Roman" w:cs="Times New Roman"/>
                <w:lang w:bidi="ar"/>
              </w:rPr>
            </w:pPr>
            <w:r>
              <w:rPr>
                <w:rFonts w:ascii="Times New Roman" w:hAnsi="Times New Roman" w:cs="Times New Roman" w:hint="eastAsia"/>
                <w:lang w:bidi="ar"/>
              </w:rPr>
              <w:t>2.73</w:t>
            </w:r>
          </w:p>
        </w:tc>
        <w:tc>
          <w:tcPr>
            <w:tcW w:w="78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D5BB5" w:rsidRDefault="00F87FF6">
            <w:pPr>
              <w:widowControl/>
              <w:jc w:val="right"/>
              <w:rPr>
                <w:rFonts w:ascii="Times New Roman" w:hAnsi="Times New Roman" w:cs="Times New Roman"/>
                <w:lang w:bidi="ar"/>
              </w:rPr>
            </w:pPr>
            <w:r>
              <w:rPr>
                <w:rFonts w:ascii="Times New Roman" w:hAnsi="Times New Roman" w:cs="Times New Roman" w:hint="eastAsia"/>
                <w:lang w:bidi="ar"/>
              </w:rPr>
              <w:t>2028-01-11</w:t>
            </w:r>
          </w:p>
        </w:tc>
        <w:tc>
          <w:tcPr>
            <w:tcW w:w="97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rPr>
                <w:rFonts w:ascii="Times New Roman" w:hAnsi="Times New Roman" w:cs="Times New Roman"/>
                <w:lang w:bidi="ar"/>
              </w:rPr>
            </w:pPr>
            <w:r>
              <w:rPr>
                <w:rFonts w:ascii="Times New Roman" w:hAnsi="Times New Roman" w:cs="Times New Roman" w:hint="eastAsia"/>
                <w:lang w:bidi="ar"/>
              </w:rPr>
              <w:t>-</w:t>
            </w:r>
          </w:p>
        </w:tc>
      </w:tr>
      <w:tr w:rsidR="00AD5BB5">
        <w:tc>
          <w:tcPr>
            <w:tcW w:w="142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left"/>
              <w:rPr>
                <w:rFonts w:ascii="Times New Roman" w:hAnsi="Times New Roman" w:cs="Times New Roman"/>
                <w:lang w:bidi="ar"/>
              </w:rPr>
            </w:pPr>
            <w:r>
              <w:rPr>
                <w:rFonts w:ascii="Times New Roman" w:hAnsi="Times New Roman" w:cs="Times New Roman" w:hint="eastAsia"/>
                <w:lang w:bidi="ar"/>
              </w:rPr>
              <w:t>21</w:t>
            </w:r>
            <w:r>
              <w:rPr>
                <w:rFonts w:ascii="Times New Roman" w:hAnsi="Times New Roman" w:cs="Times New Roman" w:hint="eastAsia"/>
                <w:lang w:bidi="ar"/>
              </w:rPr>
              <w:t>年非</w:t>
            </w:r>
            <w:proofErr w:type="gramStart"/>
            <w:r>
              <w:rPr>
                <w:rFonts w:ascii="Times New Roman" w:hAnsi="Times New Roman" w:cs="Times New Roman" w:hint="eastAsia"/>
                <w:lang w:bidi="ar"/>
              </w:rPr>
              <w:t>银金融</w:t>
            </w:r>
            <w:proofErr w:type="gramEnd"/>
            <w:r>
              <w:rPr>
                <w:rFonts w:ascii="Times New Roman" w:hAnsi="Times New Roman" w:cs="Times New Roman" w:hint="eastAsia"/>
                <w:lang w:bidi="ar"/>
              </w:rPr>
              <w:t>债</w:t>
            </w:r>
          </w:p>
        </w:tc>
        <w:tc>
          <w:tcPr>
            <w:tcW w:w="83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rPr>
                <w:rFonts w:ascii="Times New Roman" w:hAnsi="Times New Roman" w:cs="Times New Roman"/>
                <w:lang w:bidi="ar"/>
              </w:rPr>
            </w:pPr>
            <w:r>
              <w:rPr>
                <w:rFonts w:ascii="Times New Roman" w:hAnsi="Times New Roman" w:cs="Times New Roman" w:hint="eastAsia"/>
                <w:lang w:bidi="ar"/>
              </w:rPr>
              <w:t>180,645</w:t>
            </w:r>
          </w:p>
        </w:tc>
        <w:tc>
          <w:tcPr>
            <w:tcW w:w="97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D5BB5" w:rsidRDefault="00F87FF6">
            <w:pPr>
              <w:widowControl/>
              <w:jc w:val="right"/>
              <w:rPr>
                <w:rFonts w:ascii="Times New Roman" w:hAnsi="Times New Roman" w:cs="Times New Roman"/>
                <w:lang w:bidi="ar"/>
              </w:rPr>
            </w:pPr>
            <w:r>
              <w:rPr>
                <w:rFonts w:ascii="Times New Roman" w:hAnsi="Times New Roman" w:cs="Times New Roman" w:hint="eastAsia"/>
                <w:lang w:bidi="ar"/>
              </w:rPr>
              <w:t>3.40</w:t>
            </w:r>
          </w:p>
        </w:tc>
        <w:tc>
          <w:tcPr>
            <w:tcW w:w="78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D5BB5" w:rsidRDefault="00F87FF6">
            <w:pPr>
              <w:widowControl/>
              <w:jc w:val="right"/>
              <w:rPr>
                <w:rFonts w:ascii="Times New Roman" w:hAnsi="Times New Roman" w:cs="Times New Roman"/>
                <w:lang w:bidi="ar"/>
              </w:rPr>
            </w:pPr>
            <w:r>
              <w:rPr>
                <w:rFonts w:ascii="Times New Roman" w:hAnsi="Times New Roman" w:cs="Times New Roman" w:hint="eastAsia"/>
                <w:lang w:bidi="ar"/>
              </w:rPr>
              <w:t>2024-05-04</w:t>
            </w:r>
          </w:p>
        </w:tc>
        <w:tc>
          <w:tcPr>
            <w:tcW w:w="97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rPr>
                <w:rFonts w:ascii="Times New Roman" w:hAnsi="Times New Roman" w:cs="Times New Roman"/>
                <w:lang w:bidi="ar"/>
              </w:rPr>
            </w:pPr>
            <w:r>
              <w:rPr>
                <w:rFonts w:ascii="Times New Roman" w:hAnsi="Times New Roman" w:cs="Times New Roman" w:hint="eastAsia"/>
                <w:lang w:bidi="ar"/>
              </w:rPr>
              <w:t>100</w:t>
            </w:r>
          </w:p>
        </w:tc>
      </w:tr>
      <w:tr w:rsidR="00AD5BB5">
        <w:tc>
          <w:tcPr>
            <w:tcW w:w="142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left"/>
              <w:rPr>
                <w:rFonts w:ascii="Times New Roman" w:hAnsi="Times New Roman" w:cs="Times New Roman"/>
                <w:lang w:bidi="ar"/>
              </w:rPr>
            </w:pPr>
            <w:r>
              <w:rPr>
                <w:rFonts w:ascii="Times New Roman" w:hAnsi="Times New Roman" w:cs="Times New Roman" w:hint="eastAsia"/>
                <w:lang w:bidi="ar"/>
              </w:rPr>
              <w:t>22</w:t>
            </w:r>
            <w:r>
              <w:rPr>
                <w:rFonts w:ascii="Times New Roman" w:hAnsi="Times New Roman" w:cs="Times New Roman" w:hint="eastAsia"/>
                <w:lang w:bidi="ar"/>
              </w:rPr>
              <w:t>年政策性金融债</w:t>
            </w:r>
          </w:p>
        </w:tc>
        <w:tc>
          <w:tcPr>
            <w:tcW w:w="83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rPr>
                <w:rFonts w:ascii="Times New Roman" w:hAnsi="Times New Roman" w:cs="Times New Roman"/>
                <w:lang w:bidi="ar"/>
              </w:rPr>
            </w:pPr>
            <w:r>
              <w:rPr>
                <w:rFonts w:ascii="Times New Roman" w:hAnsi="Times New Roman" w:cs="Times New Roman" w:hint="eastAsia"/>
                <w:lang w:bidi="ar"/>
              </w:rPr>
              <w:t>160,000</w:t>
            </w:r>
          </w:p>
        </w:tc>
        <w:tc>
          <w:tcPr>
            <w:tcW w:w="97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D5BB5" w:rsidRDefault="00F87FF6">
            <w:pPr>
              <w:widowControl/>
              <w:jc w:val="right"/>
              <w:rPr>
                <w:rFonts w:ascii="Times New Roman" w:hAnsi="Times New Roman" w:cs="Times New Roman"/>
                <w:lang w:bidi="ar"/>
              </w:rPr>
            </w:pPr>
            <w:r>
              <w:rPr>
                <w:rFonts w:ascii="Times New Roman" w:hAnsi="Times New Roman" w:cs="Times New Roman" w:hint="eastAsia"/>
                <w:lang w:bidi="ar"/>
              </w:rPr>
              <w:t>2.77</w:t>
            </w:r>
          </w:p>
        </w:tc>
        <w:tc>
          <w:tcPr>
            <w:tcW w:w="78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D5BB5" w:rsidRDefault="00F87FF6">
            <w:pPr>
              <w:widowControl/>
              <w:jc w:val="right"/>
              <w:rPr>
                <w:rFonts w:ascii="Times New Roman" w:hAnsi="Times New Roman" w:cs="Times New Roman"/>
                <w:lang w:bidi="ar"/>
              </w:rPr>
            </w:pPr>
            <w:r>
              <w:rPr>
                <w:rFonts w:ascii="Times New Roman" w:hAnsi="Times New Roman" w:cs="Times New Roman" w:hint="eastAsia"/>
                <w:lang w:bidi="ar"/>
              </w:rPr>
              <w:t>2032-10-24</w:t>
            </w:r>
          </w:p>
        </w:tc>
        <w:tc>
          <w:tcPr>
            <w:tcW w:w="97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rPr>
                <w:rFonts w:ascii="Times New Roman" w:hAnsi="Times New Roman" w:cs="Times New Roman"/>
                <w:lang w:bidi="ar"/>
              </w:rPr>
            </w:pPr>
            <w:r>
              <w:rPr>
                <w:rFonts w:ascii="Times New Roman" w:hAnsi="Times New Roman" w:cs="Times New Roman" w:hint="eastAsia"/>
                <w:lang w:bidi="ar"/>
              </w:rPr>
              <w:t>-</w:t>
            </w:r>
          </w:p>
        </w:tc>
      </w:tr>
    </w:tbl>
    <w:p w:rsidR="00AD5BB5" w:rsidRDefault="00AD5BB5">
      <w:pPr>
        <w:widowControl/>
        <w:jc w:val="left"/>
        <w:rPr>
          <w:rFonts w:ascii="Times New Roman" w:hAnsi="Times New Roman" w:cs="Times New Roman"/>
          <w:lang w:bidi="ar"/>
        </w:rPr>
      </w:pPr>
    </w:p>
    <w:p w:rsidR="00AD5BB5" w:rsidRDefault="00F87FF6">
      <w:pPr>
        <w:pStyle w:val="3"/>
        <w:spacing w:line="360" w:lineRule="auto"/>
      </w:pPr>
      <w:r>
        <w:rPr>
          <w:rFonts w:hint="eastAsia"/>
        </w:rPr>
        <w:t>（十三）</w:t>
      </w:r>
      <w:r>
        <w:rPr>
          <w:rFonts w:ascii="Times New Roman" w:hAnsi="Times New Roman" w:cs="Times New Roman"/>
          <w:bCs/>
        </w:rPr>
        <w:t>报告期内理财业务、财富管理业务的开展和损益情</w:t>
      </w:r>
      <w:r>
        <w:rPr>
          <w:bCs/>
        </w:rPr>
        <w:t>况</w:t>
      </w:r>
    </w:p>
    <w:p w:rsidR="00AD5BB5" w:rsidRDefault="00F87FF6">
      <w:pPr>
        <w:numPr>
          <w:ilvl w:val="0"/>
          <w:numId w:val="18"/>
        </w:numPr>
        <w:spacing w:line="360" w:lineRule="auto"/>
        <w:rPr>
          <w:rFonts w:asciiTheme="minorEastAsia" w:hAnsiTheme="minorEastAsia" w:cstheme="minorEastAsia"/>
        </w:rPr>
      </w:pPr>
      <w:r>
        <w:rPr>
          <w:rFonts w:asciiTheme="minorEastAsia" w:hAnsiTheme="minorEastAsia" w:cstheme="minorEastAsia" w:hint="eastAsia"/>
          <w:szCs w:val="24"/>
        </w:rPr>
        <w:t>理财业务的开展和损益情况</w:t>
      </w:r>
    </w:p>
    <w:p w:rsidR="00AD5BB5" w:rsidRDefault="00F87FF6">
      <w:pPr>
        <w:spacing w:line="360" w:lineRule="auto"/>
        <w:ind w:firstLineChars="200" w:firstLine="420"/>
        <w:rPr>
          <w:rFonts w:asciiTheme="minorEastAsia" w:hAnsiTheme="minorEastAsia" w:cstheme="minorEastAsia"/>
        </w:rPr>
      </w:pPr>
      <w:r>
        <w:rPr>
          <w:rFonts w:asciiTheme="minorEastAsia" w:eastAsiaTheme="minorEastAsia" w:hAnsiTheme="minorEastAsia" w:cstheme="minorEastAsia" w:hint="eastAsia"/>
          <w:szCs w:val="24"/>
        </w:rPr>
        <w:lastRenderedPageBreak/>
        <w:t>2023年上半年，厦门银行在</w:t>
      </w:r>
      <w:proofErr w:type="gramStart"/>
      <w:r>
        <w:rPr>
          <w:rFonts w:asciiTheme="minorEastAsia" w:eastAsiaTheme="minorEastAsia" w:hAnsiTheme="minorEastAsia" w:cstheme="minorEastAsia" w:hint="eastAsia"/>
          <w:szCs w:val="24"/>
        </w:rPr>
        <w:t>资管新规</w:t>
      </w:r>
      <w:proofErr w:type="gramEnd"/>
      <w:r>
        <w:rPr>
          <w:rFonts w:asciiTheme="minorEastAsia" w:eastAsiaTheme="minorEastAsia" w:hAnsiTheme="minorEastAsia" w:cstheme="minorEastAsia" w:hint="eastAsia"/>
          <w:szCs w:val="24"/>
        </w:rPr>
        <w:t>、理财新</w:t>
      </w:r>
      <w:proofErr w:type="gramStart"/>
      <w:r>
        <w:rPr>
          <w:rFonts w:asciiTheme="minorEastAsia" w:eastAsiaTheme="minorEastAsia" w:hAnsiTheme="minorEastAsia" w:cstheme="minorEastAsia" w:hint="eastAsia"/>
          <w:szCs w:val="24"/>
        </w:rPr>
        <w:t>规</w:t>
      </w:r>
      <w:proofErr w:type="gramEnd"/>
      <w:r>
        <w:rPr>
          <w:rFonts w:asciiTheme="minorEastAsia" w:eastAsiaTheme="minorEastAsia" w:hAnsiTheme="minorEastAsia" w:cstheme="minorEastAsia" w:hint="eastAsia"/>
          <w:szCs w:val="24"/>
        </w:rPr>
        <w:t>的指引下，围绕“调整资产结构、丰富产品货架、深挖客户需求”等多方面开展工作，做好新策略和新产品布局，</w:t>
      </w:r>
      <w:proofErr w:type="gramStart"/>
      <w:r>
        <w:rPr>
          <w:rFonts w:asciiTheme="minorEastAsia" w:eastAsiaTheme="minorEastAsia" w:hAnsiTheme="minorEastAsia" w:cstheme="minorEastAsia" w:hint="eastAsia"/>
          <w:szCs w:val="24"/>
        </w:rPr>
        <w:t>实现资管业务</w:t>
      </w:r>
      <w:proofErr w:type="gramEnd"/>
      <w:r>
        <w:rPr>
          <w:rFonts w:asciiTheme="minorEastAsia" w:eastAsiaTheme="minorEastAsia" w:hAnsiTheme="minorEastAsia" w:cstheme="minorEastAsia" w:hint="eastAsia"/>
          <w:szCs w:val="24"/>
        </w:rPr>
        <w:t>的高质量发展。一是面对美元持续加息和国内实体经济围绕高质量发展总基调逐步推进的</w:t>
      </w:r>
      <w:r>
        <w:rPr>
          <w:rFonts w:asciiTheme="minorEastAsia" w:eastAsiaTheme="minorEastAsia" w:hAnsiTheme="minorEastAsia" w:cstheme="minorEastAsia"/>
          <w:szCs w:val="24"/>
        </w:rPr>
        <w:t>局面</w:t>
      </w:r>
      <w:r>
        <w:rPr>
          <w:rFonts w:asciiTheme="minorEastAsia" w:eastAsiaTheme="minorEastAsia" w:hAnsiTheme="minorEastAsia" w:cstheme="minorEastAsia" w:hint="eastAsia"/>
          <w:szCs w:val="24"/>
        </w:rPr>
        <w:t>，在投资方面顺应市场走势开展组合资产期限摆布及资产结构调整，增加交易性资产和交易性策略增厚组合收益；二是产品方面，聚焦现金管理、中短债策略理财产品和收益凭证策略产品三大核心产品，并新推出</w:t>
      </w:r>
      <w:proofErr w:type="gramStart"/>
      <w:r>
        <w:rPr>
          <w:rFonts w:asciiTheme="minorEastAsia" w:eastAsiaTheme="minorEastAsia" w:hAnsiTheme="minorEastAsia" w:cstheme="minorEastAsia" w:hint="eastAsia"/>
          <w:szCs w:val="24"/>
        </w:rPr>
        <w:t>日申季赎</w:t>
      </w:r>
      <w:proofErr w:type="gramEnd"/>
      <w:r>
        <w:rPr>
          <w:rFonts w:asciiTheme="minorEastAsia" w:eastAsiaTheme="minorEastAsia" w:hAnsiTheme="minorEastAsia" w:cstheme="minorEastAsia" w:hint="eastAsia"/>
          <w:szCs w:val="24"/>
        </w:rPr>
        <w:t>理财产品，自营理财产品体系进一步完善，满足客户多样化资产管理和财富保值增值的需求；三是渠道方面，深耕行内渠道，挖掘零售大客户和企业客户的定制需求，加强分支机构联动；四是持续强化投资策略研究和市场</w:t>
      </w:r>
      <w:proofErr w:type="gramStart"/>
      <w:r>
        <w:rPr>
          <w:rFonts w:asciiTheme="minorEastAsia" w:eastAsiaTheme="minorEastAsia" w:hAnsiTheme="minorEastAsia" w:cstheme="minorEastAsia" w:hint="eastAsia"/>
          <w:szCs w:val="24"/>
        </w:rPr>
        <w:t>研</w:t>
      </w:r>
      <w:proofErr w:type="gramEnd"/>
      <w:r>
        <w:rPr>
          <w:rFonts w:asciiTheme="minorEastAsia" w:eastAsiaTheme="minorEastAsia" w:hAnsiTheme="minorEastAsia" w:cstheme="minorEastAsia" w:hint="eastAsia"/>
          <w:szCs w:val="24"/>
        </w:rPr>
        <w:t>判，提升精细化运营管理水平和风险防控能力，开展丰富的投资者宣传教育活动，不断夯实理财业务的发展基础。</w:t>
      </w:r>
    </w:p>
    <w:p w:rsidR="00AD5BB5" w:rsidRDefault="00F87FF6">
      <w:pPr>
        <w:numPr>
          <w:ilvl w:val="0"/>
          <w:numId w:val="18"/>
        </w:numPr>
        <w:spacing w:line="360" w:lineRule="auto"/>
        <w:rPr>
          <w:rFonts w:asciiTheme="minorEastAsia" w:hAnsiTheme="minorEastAsia" w:cstheme="minorEastAsia"/>
        </w:rPr>
      </w:pPr>
      <w:r>
        <w:rPr>
          <w:rFonts w:asciiTheme="minorEastAsia" w:eastAsiaTheme="minorEastAsia" w:hAnsiTheme="minorEastAsia" w:cstheme="minorEastAsia" w:hint="eastAsia"/>
        </w:rPr>
        <w:t>财富管理业务的开展和损益情况</w:t>
      </w:r>
    </w:p>
    <w:p w:rsidR="00AD5BB5" w:rsidRDefault="00F87FF6">
      <w:pPr>
        <w:spacing w:line="360" w:lineRule="auto"/>
        <w:ind w:firstLineChars="200" w:firstLine="420"/>
        <w:rPr>
          <w:rFonts w:asciiTheme="minorEastAsia" w:hAnsiTheme="minorEastAsia" w:cstheme="minorEastAsia"/>
        </w:rPr>
      </w:pPr>
      <w:r>
        <w:rPr>
          <w:rFonts w:asciiTheme="minorEastAsia" w:hAnsiTheme="minorEastAsia" w:cstheme="minorEastAsia" w:hint="eastAsia"/>
        </w:rPr>
        <w:t>本公司始终坚持“您身边的财富管理专家”的定位，持续升级客户财富管理服务体系。一是不断完善产品平台建设，丰富开放式产品货架。在基本完成开放式产品货架搭建的基础上，本年度内，本公司加强针对产品的甄选，以客户为中心，遴选与本行客群适配的产品。二是增强资产配置能力，强化财富管理的服务能力。报告期内，本公司进一步强化对财富顾问团队和理财经理队伍对客户资产诊断与配置的能力，加强营销人员主动与客户服务的工作要求能力，逐步建立和打造针对高净值客户的“1+1+N”的服务模式。三是深化客群分群分层的经营策略。本公司上半年启动并</w:t>
      </w:r>
      <w:proofErr w:type="gramStart"/>
      <w:r>
        <w:rPr>
          <w:rFonts w:asciiTheme="minorEastAsia" w:hAnsiTheme="minorEastAsia" w:cstheme="minorEastAsia" w:hint="eastAsia"/>
        </w:rPr>
        <w:t>推进财管私行</w:t>
      </w:r>
      <w:proofErr w:type="gramEnd"/>
      <w:r>
        <w:rPr>
          <w:rFonts w:asciiTheme="minorEastAsia" w:hAnsiTheme="minorEastAsia" w:cstheme="minorEastAsia" w:hint="eastAsia"/>
        </w:rPr>
        <w:t>过程管理要求，要求支行的管理人员对客户经理与</w:t>
      </w:r>
      <w:proofErr w:type="gramStart"/>
      <w:r>
        <w:rPr>
          <w:rFonts w:asciiTheme="minorEastAsia" w:hAnsiTheme="minorEastAsia" w:cstheme="minorEastAsia" w:hint="eastAsia"/>
        </w:rPr>
        <w:t>客户触达营销</w:t>
      </w:r>
      <w:proofErr w:type="gramEnd"/>
      <w:r>
        <w:rPr>
          <w:rFonts w:asciiTheme="minorEastAsia" w:hAnsiTheme="minorEastAsia" w:cstheme="minorEastAsia" w:hint="eastAsia"/>
        </w:rPr>
        <w:t>的情况进行辅导与评价，强化针对不同客群的经营要求，优化不同客户层级客户权益体系，持续提升客户的服务体验。</w:t>
      </w:r>
      <w:r>
        <w:rPr>
          <w:rFonts w:hint="eastAsia"/>
        </w:rPr>
        <w:t xml:space="preserve">           </w:t>
      </w:r>
    </w:p>
    <w:p w:rsidR="00AD5BB5" w:rsidRDefault="00F87FF6">
      <w:pPr>
        <w:spacing w:beforeLines="50" w:before="120" w:line="360" w:lineRule="auto"/>
        <w:outlineLvl w:val="1"/>
        <w:rPr>
          <w:b/>
          <w:szCs w:val="21"/>
        </w:rPr>
      </w:pPr>
      <w:r>
        <w:rPr>
          <w:rFonts w:hint="eastAsia"/>
          <w:b/>
          <w:szCs w:val="21"/>
        </w:rPr>
        <w:t>五、报告期内的信息科技建设</w:t>
      </w:r>
    </w:p>
    <w:p w:rsidR="00AD5BB5" w:rsidRDefault="00F87FF6">
      <w:pPr>
        <w:widowControl/>
        <w:spacing w:line="360" w:lineRule="auto"/>
        <w:ind w:firstLineChars="250" w:firstLine="525"/>
        <w:rPr>
          <w:rFonts w:asciiTheme="minorEastAsia" w:hAnsiTheme="minorEastAsia" w:cs="仿宋_GB2312"/>
          <w:kern w:val="0"/>
          <w:szCs w:val="21"/>
        </w:rPr>
      </w:pPr>
      <w:r>
        <w:rPr>
          <w:rFonts w:asciiTheme="minorEastAsia" w:hAnsiTheme="minorEastAsia" w:cs="仿宋_GB2312" w:hint="eastAsia"/>
          <w:kern w:val="0"/>
          <w:szCs w:val="21"/>
        </w:rPr>
        <w:t>报告期内，本公司不断夯实信息科技建设工作，在深化信息科技治理、维护系统稳定运行、构建信息安全防护、持续落实金融科技项目建设交付、推动全行数据管</w:t>
      </w:r>
      <w:proofErr w:type="gramStart"/>
      <w:r>
        <w:rPr>
          <w:rFonts w:asciiTheme="minorEastAsia" w:hAnsiTheme="minorEastAsia" w:cs="仿宋_GB2312" w:hint="eastAsia"/>
          <w:kern w:val="0"/>
          <w:szCs w:val="21"/>
        </w:rPr>
        <w:t>控方面</w:t>
      </w:r>
      <w:proofErr w:type="gramEnd"/>
      <w:r>
        <w:rPr>
          <w:rFonts w:asciiTheme="minorEastAsia" w:hAnsiTheme="minorEastAsia" w:cs="仿宋_GB2312" w:hint="eastAsia"/>
          <w:kern w:val="0"/>
          <w:szCs w:val="21"/>
        </w:rPr>
        <w:t>都取得丰硕成果，为本公司业务发展提供更加全面有效的IT支撑。</w:t>
      </w:r>
    </w:p>
    <w:p w:rsidR="00AD5BB5" w:rsidRDefault="00F87FF6">
      <w:pPr>
        <w:widowControl/>
        <w:spacing w:line="360" w:lineRule="auto"/>
        <w:ind w:firstLineChars="250" w:firstLine="527"/>
        <w:rPr>
          <w:rFonts w:ascii="宋体" w:hAnsi="宋体"/>
          <w:b/>
          <w:bCs/>
          <w:szCs w:val="21"/>
        </w:rPr>
      </w:pPr>
      <w:r>
        <w:rPr>
          <w:rFonts w:ascii="宋体" w:hAnsi="宋体" w:hint="eastAsia"/>
          <w:b/>
          <w:bCs/>
          <w:szCs w:val="21"/>
        </w:rPr>
        <w:t>（一）信息科技治理</w:t>
      </w:r>
    </w:p>
    <w:p w:rsidR="00AD5BB5" w:rsidRDefault="00F87FF6">
      <w:pPr>
        <w:widowControl/>
        <w:spacing w:line="360" w:lineRule="auto"/>
        <w:ind w:firstLineChars="250" w:firstLine="525"/>
        <w:rPr>
          <w:rFonts w:ascii="宋体" w:hAnsi="宋体"/>
          <w:szCs w:val="21"/>
        </w:rPr>
      </w:pPr>
      <w:r>
        <w:rPr>
          <w:rFonts w:ascii="宋体" w:hAnsi="宋体" w:hint="eastAsia"/>
          <w:szCs w:val="21"/>
          <w:lang w:val="zh-CN"/>
        </w:rPr>
        <w:t>报告期内，本公司为提升业务管理及客户服务能力，根据本公司</w:t>
      </w:r>
      <w:r>
        <w:rPr>
          <w:rFonts w:ascii="宋体" w:hAnsi="宋体" w:hint="eastAsia"/>
          <w:szCs w:val="21"/>
        </w:rPr>
        <w:t>三年战略</w:t>
      </w:r>
      <w:r>
        <w:rPr>
          <w:rFonts w:ascii="宋体" w:hAnsi="宋体" w:hint="eastAsia"/>
          <w:szCs w:val="21"/>
          <w:lang w:val="zh-CN"/>
        </w:rPr>
        <w:t>要求，持续深化金融科技</w:t>
      </w:r>
      <w:r>
        <w:rPr>
          <w:rFonts w:ascii="宋体" w:hAnsi="宋体"/>
          <w:szCs w:val="21"/>
          <w:lang w:val="zh-CN"/>
        </w:rPr>
        <w:t>“</w:t>
      </w:r>
      <w:r>
        <w:rPr>
          <w:rFonts w:ascii="宋体" w:hAnsi="宋体" w:hint="eastAsia"/>
          <w:szCs w:val="21"/>
          <w:lang w:val="zh-CN"/>
        </w:rPr>
        <w:t>业务合作伙伴</w:t>
      </w:r>
      <w:r>
        <w:rPr>
          <w:rFonts w:ascii="宋体" w:hAnsi="宋体"/>
          <w:szCs w:val="21"/>
          <w:lang w:val="zh-CN"/>
        </w:rPr>
        <w:t>”</w:t>
      </w:r>
      <w:r>
        <w:rPr>
          <w:rFonts w:ascii="宋体" w:hAnsi="宋体" w:hint="eastAsia"/>
          <w:szCs w:val="21"/>
          <w:lang w:val="zh-CN"/>
        </w:rPr>
        <w:t>定位，</w:t>
      </w:r>
      <w:r>
        <w:rPr>
          <w:rFonts w:ascii="宋体" w:hAnsi="宋体" w:hint="eastAsia"/>
          <w:szCs w:val="21"/>
        </w:rPr>
        <w:t>不断完善</w:t>
      </w:r>
      <w:r>
        <w:rPr>
          <w:rFonts w:ascii="宋体" w:hAnsi="宋体" w:hint="eastAsia"/>
          <w:szCs w:val="21"/>
          <w:lang w:val="zh-CN"/>
        </w:rPr>
        <w:t>科技派驻制度</w:t>
      </w:r>
      <w:r>
        <w:rPr>
          <w:rFonts w:ascii="宋体" w:hAnsi="宋体" w:hint="eastAsia"/>
          <w:szCs w:val="21"/>
        </w:rPr>
        <w:t>，通过落地回顾、调研研究，</w:t>
      </w:r>
      <w:r>
        <w:rPr>
          <w:rFonts w:ascii="宋体" w:hAnsi="宋体" w:hint="eastAsia"/>
          <w:szCs w:val="21"/>
          <w:lang w:val="zh-CN"/>
        </w:rPr>
        <w:t>检视项目全流程角色分工、职责</w:t>
      </w:r>
      <w:r>
        <w:rPr>
          <w:rFonts w:ascii="宋体" w:hAnsi="宋体" w:hint="eastAsia"/>
          <w:szCs w:val="21"/>
        </w:rPr>
        <w:t>及岗位要求</w:t>
      </w:r>
      <w:r>
        <w:rPr>
          <w:rFonts w:ascii="宋体" w:hAnsi="宋体" w:hint="eastAsia"/>
          <w:szCs w:val="21"/>
          <w:lang w:val="zh-CN"/>
        </w:rPr>
        <w:t>。通过差距分析与培训，促进员工技能</w:t>
      </w:r>
      <w:r>
        <w:rPr>
          <w:rFonts w:ascii="宋体" w:hAnsi="宋体" w:hint="eastAsia"/>
          <w:szCs w:val="21"/>
        </w:rPr>
        <w:t>提升</w:t>
      </w:r>
      <w:r>
        <w:rPr>
          <w:rFonts w:ascii="宋体" w:hAnsi="宋体" w:hint="eastAsia"/>
          <w:szCs w:val="21"/>
          <w:lang w:val="zh-CN"/>
        </w:rPr>
        <w:t>，全面赋能前端业务。</w:t>
      </w:r>
    </w:p>
    <w:p w:rsidR="00AD5BB5" w:rsidRDefault="00F87FF6">
      <w:pPr>
        <w:widowControl/>
        <w:spacing w:line="360" w:lineRule="auto"/>
        <w:ind w:firstLineChars="250" w:firstLine="527"/>
        <w:rPr>
          <w:rFonts w:ascii="宋体" w:hAnsi="宋体"/>
          <w:b/>
          <w:bCs/>
          <w:szCs w:val="21"/>
        </w:rPr>
      </w:pPr>
      <w:r>
        <w:rPr>
          <w:rFonts w:ascii="宋体" w:hAnsi="宋体" w:hint="eastAsia"/>
          <w:b/>
          <w:bCs/>
          <w:szCs w:val="21"/>
        </w:rPr>
        <w:t>（二）信息运行保障</w:t>
      </w:r>
    </w:p>
    <w:p w:rsidR="00AD5BB5" w:rsidRDefault="00F87FF6">
      <w:pPr>
        <w:widowControl/>
        <w:spacing w:line="360" w:lineRule="auto"/>
        <w:ind w:firstLineChars="250" w:firstLine="527"/>
        <w:rPr>
          <w:rFonts w:ascii="宋体" w:hAnsi="宋体"/>
          <w:b/>
          <w:bCs/>
          <w:szCs w:val="21"/>
        </w:rPr>
      </w:pPr>
      <w:r>
        <w:rPr>
          <w:rFonts w:ascii="宋体" w:hAnsi="宋体" w:hint="eastAsia"/>
          <w:b/>
          <w:bCs/>
          <w:szCs w:val="21"/>
        </w:rPr>
        <w:t>1.扎实做好运行保障工作，保持信息系统高可用</w:t>
      </w:r>
    </w:p>
    <w:p w:rsidR="00AD5BB5" w:rsidRDefault="00F87FF6">
      <w:pPr>
        <w:widowControl/>
        <w:spacing w:line="360" w:lineRule="auto"/>
        <w:ind w:firstLineChars="250" w:firstLine="525"/>
        <w:rPr>
          <w:rFonts w:ascii="宋体" w:hAnsi="宋体"/>
          <w:szCs w:val="21"/>
        </w:rPr>
      </w:pPr>
      <w:r>
        <w:rPr>
          <w:rFonts w:ascii="宋体" w:hAnsi="宋体" w:hint="eastAsia"/>
          <w:szCs w:val="21"/>
        </w:rPr>
        <w:t>报告期内，本公司信息系统整体运行平稳，重要信息系统计划例外可用性为100%。持续推行同城数据中心实际切换演练常态化机制，重要信息系统</w:t>
      </w:r>
      <w:proofErr w:type="gramStart"/>
      <w:r>
        <w:rPr>
          <w:rFonts w:ascii="宋体" w:hAnsi="宋体" w:hint="eastAsia"/>
          <w:szCs w:val="21"/>
        </w:rPr>
        <w:t>应用灾备覆盖率</w:t>
      </w:r>
      <w:proofErr w:type="gramEnd"/>
      <w:r>
        <w:rPr>
          <w:rFonts w:ascii="宋体" w:hAnsi="宋体" w:hint="eastAsia"/>
          <w:szCs w:val="21"/>
        </w:rPr>
        <w:t>及演练计划达成率均达100%。持续推进运营标准化、自动化，提高运维效率，降低操作风险。</w:t>
      </w:r>
    </w:p>
    <w:p w:rsidR="00AD5BB5" w:rsidRDefault="00F87FF6">
      <w:pPr>
        <w:widowControl/>
        <w:spacing w:line="360" w:lineRule="auto"/>
        <w:ind w:firstLineChars="250" w:firstLine="527"/>
        <w:rPr>
          <w:rFonts w:ascii="宋体" w:hAnsi="宋体"/>
          <w:b/>
          <w:bCs/>
          <w:szCs w:val="21"/>
        </w:rPr>
      </w:pPr>
      <w:r>
        <w:rPr>
          <w:rFonts w:ascii="宋体" w:hAnsi="宋体" w:hint="eastAsia"/>
          <w:b/>
          <w:bCs/>
          <w:szCs w:val="21"/>
        </w:rPr>
        <w:lastRenderedPageBreak/>
        <w:t>2.多层面完善信息安全体系，夯实信息安全底座</w:t>
      </w:r>
    </w:p>
    <w:p w:rsidR="00AD5BB5" w:rsidRDefault="00F87FF6">
      <w:pPr>
        <w:widowControl/>
        <w:spacing w:line="360" w:lineRule="auto"/>
        <w:ind w:firstLineChars="250" w:firstLine="525"/>
        <w:rPr>
          <w:bCs/>
          <w:szCs w:val="21"/>
        </w:rPr>
      </w:pPr>
      <w:r>
        <w:rPr>
          <w:rFonts w:ascii="宋体" w:hAnsi="宋体" w:hint="eastAsia"/>
          <w:szCs w:val="21"/>
        </w:rPr>
        <w:t>报告期内，本公司</w:t>
      </w:r>
      <w:r>
        <w:rPr>
          <w:rFonts w:hint="eastAsia"/>
          <w:bCs/>
          <w:szCs w:val="21"/>
        </w:rPr>
        <w:t>从数据安全、应用系统安全、网络安全等多维度构筑安全防护体系，整体提升</w:t>
      </w:r>
      <w:r>
        <w:rPr>
          <w:bCs/>
          <w:szCs w:val="21"/>
        </w:rPr>
        <w:t>本公司</w:t>
      </w:r>
      <w:r>
        <w:rPr>
          <w:rFonts w:hint="eastAsia"/>
          <w:bCs/>
          <w:szCs w:val="21"/>
        </w:rPr>
        <w:t>安全防范能力。强化</w:t>
      </w:r>
      <w:r>
        <w:rPr>
          <w:bCs/>
          <w:szCs w:val="21"/>
        </w:rPr>
        <w:t>本</w:t>
      </w:r>
      <w:r>
        <w:rPr>
          <w:rFonts w:hint="eastAsia"/>
          <w:bCs/>
          <w:szCs w:val="21"/>
        </w:rPr>
        <w:t>行信息安全运营能力，上半年开展多种形式的网络安全排查工作，加固并完善网络安全防御措施，实现全国两会期间网络安全“零事件”，监管机构“零报告”的目标。投产上线应用数据动态脱敏系统，为</w:t>
      </w:r>
      <w:r>
        <w:rPr>
          <w:bCs/>
          <w:szCs w:val="21"/>
        </w:rPr>
        <w:t>本公司</w:t>
      </w:r>
      <w:r>
        <w:rPr>
          <w:rFonts w:hint="eastAsia"/>
          <w:bCs/>
          <w:szCs w:val="21"/>
        </w:rPr>
        <w:t>落实消费者权益相关工作提供技术能力支撑。</w:t>
      </w:r>
    </w:p>
    <w:p w:rsidR="00AD5BB5" w:rsidRDefault="00F87FF6">
      <w:pPr>
        <w:widowControl/>
        <w:spacing w:line="360" w:lineRule="auto"/>
        <w:ind w:firstLineChars="250" w:firstLine="527"/>
        <w:rPr>
          <w:rFonts w:ascii="宋体" w:hAnsi="宋体"/>
          <w:b/>
          <w:bCs/>
          <w:szCs w:val="21"/>
        </w:rPr>
      </w:pPr>
      <w:r>
        <w:rPr>
          <w:rFonts w:ascii="宋体" w:hAnsi="宋体" w:hint="eastAsia"/>
          <w:b/>
          <w:bCs/>
          <w:szCs w:val="21"/>
        </w:rPr>
        <w:t>（三）信息系统建设</w:t>
      </w:r>
    </w:p>
    <w:p w:rsidR="00AD5BB5" w:rsidRDefault="00F87FF6">
      <w:pPr>
        <w:widowControl/>
        <w:spacing w:line="360" w:lineRule="auto"/>
        <w:ind w:leftChars="250" w:left="525"/>
        <w:rPr>
          <w:rFonts w:ascii="宋体" w:hAnsi="宋体"/>
          <w:b/>
          <w:bCs/>
          <w:szCs w:val="21"/>
        </w:rPr>
      </w:pPr>
      <w:r>
        <w:rPr>
          <w:rFonts w:asciiTheme="minorEastAsia" w:eastAsiaTheme="minorEastAsia" w:hAnsiTheme="minorEastAsia" w:cs="仿宋_GB2312"/>
          <w:b/>
          <w:szCs w:val="21"/>
        </w:rPr>
        <w:t>1.</w:t>
      </w:r>
      <w:r>
        <w:rPr>
          <w:rFonts w:asciiTheme="minorEastAsia" w:eastAsiaTheme="minorEastAsia" w:hAnsiTheme="minorEastAsia" w:cs="仿宋_GB2312" w:hint="eastAsia"/>
          <w:b/>
          <w:szCs w:val="21"/>
        </w:rPr>
        <w:t>推进金融科技项目建设，助力经营效能提升</w:t>
      </w:r>
    </w:p>
    <w:p w:rsidR="00AD5BB5" w:rsidRDefault="00F87FF6">
      <w:pPr>
        <w:widowControl/>
        <w:spacing w:line="360" w:lineRule="auto"/>
        <w:ind w:firstLineChars="200" w:firstLine="420"/>
        <w:rPr>
          <w:bCs/>
          <w:szCs w:val="21"/>
        </w:rPr>
      </w:pPr>
      <w:r>
        <w:rPr>
          <w:rFonts w:ascii="宋体" w:hAnsi="宋体" w:hint="eastAsia"/>
          <w:szCs w:val="21"/>
        </w:rPr>
        <w:t>报告期内，为配合本公司战略规划，满足业务和IT基础建设需求，本公司报告期共开展100余项信息化提案建设，</w:t>
      </w:r>
      <w:r>
        <w:rPr>
          <w:rFonts w:hint="eastAsia"/>
          <w:bCs/>
          <w:szCs w:val="21"/>
        </w:rPr>
        <w:t>重点推进数字化转型战略任务。</w:t>
      </w:r>
    </w:p>
    <w:p w:rsidR="00AD5BB5" w:rsidRDefault="00F87FF6">
      <w:pPr>
        <w:widowControl/>
        <w:spacing w:line="360" w:lineRule="auto"/>
        <w:ind w:firstLineChars="200" w:firstLine="422"/>
        <w:rPr>
          <w:rFonts w:ascii="宋体" w:hAnsi="宋体"/>
          <w:szCs w:val="21"/>
        </w:rPr>
      </w:pPr>
      <w:r>
        <w:rPr>
          <w:rFonts w:ascii="宋体" w:hAnsi="宋体" w:hint="eastAsia"/>
          <w:b/>
          <w:bCs/>
          <w:szCs w:val="21"/>
        </w:rPr>
        <w:t>对公业务板块，推动线上主要服务渠道能力提升，加强产品服务应用建设。</w:t>
      </w:r>
      <w:r>
        <w:rPr>
          <w:rFonts w:ascii="宋体" w:hAnsi="宋体" w:hint="eastAsia"/>
          <w:szCs w:val="21"/>
        </w:rPr>
        <w:t>启动对公网上银行升级，应用数字科技全新打造公司业务渠道统一门户，构建渠道协同、完善渠道服务、提升客户体验、融入台商特色、支持数字化运营，以客户为中心，建设具备完善产品功能和极致客户体验的对公综合服务平台</w:t>
      </w:r>
      <w:r>
        <w:rPr>
          <w:rFonts w:ascii="宋体" w:hAnsi="宋体"/>
          <w:szCs w:val="21"/>
        </w:rPr>
        <w:t>；</w:t>
      </w:r>
      <w:proofErr w:type="gramStart"/>
      <w:r>
        <w:rPr>
          <w:rFonts w:ascii="宋体" w:hAnsi="宋体" w:hint="eastAsia"/>
          <w:szCs w:val="21"/>
        </w:rPr>
        <w:t>建设厦行</w:t>
      </w:r>
      <w:proofErr w:type="gramEnd"/>
      <w:r>
        <w:rPr>
          <w:rFonts w:ascii="宋体" w:hAnsi="宋体" w:hint="eastAsia"/>
          <w:szCs w:val="21"/>
        </w:rPr>
        <w:t>E发债小程序平台，优化完善债券估值功能，客户债券管家功能，建立中收业务平台，构建发行人预评级模型，提升投行财务咨询和信用债分销专营能力。</w:t>
      </w:r>
    </w:p>
    <w:p w:rsidR="00AD5BB5" w:rsidRDefault="00F87FF6">
      <w:pPr>
        <w:widowControl/>
        <w:spacing w:line="360" w:lineRule="auto"/>
        <w:ind w:firstLineChars="200" w:firstLine="422"/>
        <w:rPr>
          <w:rFonts w:ascii="宋体" w:hAnsi="宋体"/>
          <w:szCs w:val="21"/>
        </w:rPr>
      </w:pPr>
      <w:r>
        <w:rPr>
          <w:rFonts w:ascii="宋体" w:hAnsi="宋体" w:hint="eastAsia"/>
          <w:b/>
          <w:bCs/>
          <w:szCs w:val="21"/>
        </w:rPr>
        <w:t>零售业务板块，丰富零售产品种类，助力业务平稳快速发展。</w:t>
      </w:r>
      <w:r>
        <w:rPr>
          <w:rFonts w:ascii="宋体" w:hAnsi="宋体" w:hint="eastAsia"/>
          <w:szCs w:val="21"/>
        </w:rPr>
        <w:t>支持E</w:t>
      </w:r>
      <w:proofErr w:type="gramStart"/>
      <w:r>
        <w:rPr>
          <w:rFonts w:ascii="宋体" w:hAnsi="宋体" w:hint="eastAsia"/>
          <w:szCs w:val="21"/>
        </w:rPr>
        <w:t>秒贷子</w:t>
      </w:r>
      <w:proofErr w:type="gramEnd"/>
      <w:r>
        <w:rPr>
          <w:rFonts w:ascii="宋体" w:hAnsi="宋体" w:hint="eastAsia"/>
          <w:szCs w:val="21"/>
        </w:rPr>
        <w:t>产品新市民贷和台E</w:t>
      </w:r>
      <w:proofErr w:type="gramStart"/>
      <w:r>
        <w:rPr>
          <w:rFonts w:ascii="宋体" w:hAnsi="宋体" w:hint="eastAsia"/>
          <w:szCs w:val="21"/>
        </w:rPr>
        <w:t>贷产品</w:t>
      </w:r>
      <w:proofErr w:type="gramEnd"/>
      <w:r>
        <w:rPr>
          <w:rFonts w:ascii="宋体" w:hAnsi="宋体" w:hint="eastAsia"/>
          <w:szCs w:val="21"/>
        </w:rPr>
        <w:t>快速上线，扩大E</w:t>
      </w:r>
      <w:proofErr w:type="gramStart"/>
      <w:r>
        <w:rPr>
          <w:rFonts w:ascii="宋体" w:hAnsi="宋体" w:hint="eastAsia"/>
          <w:szCs w:val="21"/>
        </w:rPr>
        <w:t>秒贷服务</w:t>
      </w:r>
      <w:proofErr w:type="gramEnd"/>
      <w:r>
        <w:rPr>
          <w:rFonts w:ascii="宋体" w:hAnsi="宋体" w:hint="eastAsia"/>
          <w:szCs w:val="21"/>
        </w:rPr>
        <w:t>客群，丰富</w:t>
      </w:r>
      <w:r>
        <w:rPr>
          <w:rFonts w:ascii="宋体" w:hAnsi="宋体"/>
          <w:szCs w:val="21"/>
        </w:rPr>
        <w:t>本</w:t>
      </w:r>
      <w:r>
        <w:rPr>
          <w:rFonts w:ascii="宋体" w:hAnsi="宋体" w:hint="eastAsia"/>
          <w:szCs w:val="21"/>
        </w:rPr>
        <w:t>行服务台胞产品；实现公务卡产品上线，丰富信用卡产品形态；实现定存宝产品、月月</w:t>
      </w:r>
      <w:proofErr w:type="gramStart"/>
      <w:r>
        <w:rPr>
          <w:rFonts w:ascii="宋体" w:hAnsi="宋体" w:hint="eastAsia"/>
          <w:szCs w:val="21"/>
        </w:rPr>
        <w:t>领产品</w:t>
      </w:r>
      <w:proofErr w:type="gramEnd"/>
      <w:r>
        <w:rPr>
          <w:rFonts w:ascii="宋体" w:hAnsi="宋体" w:hint="eastAsia"/>
          <w:szCs w:val="21"/>
        </w:rPr>
        <w:t>快速上线，丰富理财产品形态；持续优化代发工资功能，新增支持零余额账户客户</w:t>
      </w:r>
      <w:proofErr w:type="gramStart"/>
      <w:r>
        <w:rPr>
          <w:rFonts w:ascii="宋体" w:hAnsi="宋体" w:hint="eastAsia"/>
          <w:szCs w:val="21"/>
        </w:rPr>
        <w:t>企业网银自助</w:t>
      </w:r>
      <w:proofErr w:type="gramEnd"/>
      <w:r>
        <w:rPr>
          <w:rFonts w:ascii="宋体" w:hAnsi="宋体" w:hint="eastAsia"/>
          <w:szCs w:val="21"/>
        </w:rPr>
        <w:t>代发工资功能，完善账户体系管理，提升客户体验。</w:t>
      </w:r>
    </w:p>
    <w:p w:rsidR="00AD5BB5" w:rsidRDefault="00F87FF6">
      <w:pPr>
        <w:widowControl/>
        <w:spacing w:line="360" w:lineRule="auto"/>
        <w:ind w:firstLineChars="200" w:firstLine="422"/>
        <w:rPr>
          <w:rFonts w:hAnsi="宋体"/>
          <w:szCs w:val="21"/>
        </w:rPr>
      </w:pPr>
      <w:r>
        <w:rPr>
          <w:rFonts w:ascii="宋体" w:hAnsi="宋体" w:hint="eastAsia"/>
          <w:b/>
          <w:bCs/>
          <w:szCs w:val="21"/>
        </w:rPr>
        <w:t>金融市场板块，建设智能运营，持续提升金融市场板块的经营管理能力、投资与交易能力、量化交易能力。</w:t>
      </w:r>
      <w:r>
        <w:rPr>
          <w:rFonts w:hAnsi="宋体" w:hint="eastAsia"/>
          <w:szCs w:val="21"/>
        </w:rPr>
        <w:t>完成金市智能运营三期上线，进一步</w:t>
      </w:r>
      <w:r>
        <w:rPr>
          <w:rFonts w:hAnsi="宋体"/>
          <w:szCs w:val="21"/>
        </w:rPr>
        <w:t>完善</w:t>
      </w:r>
      <w:r>
        <w:rPr>
          <w:rFonts w:hAnsi="宋体" w:hint="eastAsia"/>
          <w:szCs w:val="21"/>
        </w:rPr>
        <w:t>了</w:t>
      </w:r>
      <w:r>
        <w:rPr>
          <w:rFonts w:hAnsi="宋体"/>
          <w:szCs w:val="21"/>
        </w:rPr>
        <w:t>金</w:t>
      </w:r>
      <w:proofErr w:type="gramStart"/>
      <w:r>
        <w:rPr>
          <w:rFonts w:hAnsi="宋体"/>
          <w:szCs w:val="21"/>
        </w:rPr>
        <w:t>市风险</w:t>
      </w:r>
      <w:proofErr w:type="gramEnd"/>
      <w:r>
        <w:rPr>
          <w:rFonts w:hAnsi="宋体"/>
          <w:szCs w:val="21"/>
        </w:rPr>
        <w:t>管理体系</w:t>
      </w:r>
      <w:r>
        <w:rPr>
          <w:rFonts w:hAnsi="宋体" w:hint="eastAsia"/>
          <w:szCs w:val="21"/>
        </w:rPr>
        <w:t>、</w:t>
      </w:r>
      <w:r>
        <w:rPr>
          <w:rFonts w:hAnsi="宋体"/>
          <w:szCs w:val="21"/>
        </w:rPr>
        <w:t>代客业务的全视图分析</w:t>
      </w:r>
      <w:r>
        <w:rPr>
          <w:rFonts w:hAnsi="宋体" w:hint="eastAsia"/>
          <w:szCs w:val="21"/>
        </w:rPr>
        <w:t>，强化了</w:t>
      </w:r>
      <w:r>
        <w:rPr>
          <w:rFonts w:hAnsi="宋体"/>
          <w:szCs w:val="21"/>
        </w:rPr>
        <w:t>经营管理</w:t>
      </w:r>
      <w:r>
        <w:rPr>
          <w:rFonts w:hAnsi="宋体" w:hint="eastAsia"/>
          <w:szCs w:val="21"/>
        </w:rPr>
        <w:t>能力，打通</w:t>
      </w:r>
      <w:r>
        <w:rPr>
          <w:rFonts w:hAnsi="宋体"/>
          <w:szCs w:val="21"/>
        </w:rPr>
        <w:t>本</w:t>
      </w:r>
      <w:r>
        <w:rPr>
          <w:rFonts w:hAnsi="宋体" w:hint="eastAsia"/>
          <w:szCs w:val="21"/>
        </w:rPr>
        <w:t>行金融市场业务前、中、后台的管理链条，形成全生命周期全面管理的统一平台，提升管理效率，支撑</w:t>
      </w:r>
      <w:r>
        <w:rPr>
          <w:rFonts w:hAnsi="宋体"/>
          <w:szCs w:val="21"/>
        </w:rPr>
        <w:t>本</w:t>
      </w:r>
      <w:r>
        <w:rPr>
          <w:rFonts w:hAnsi="宋体" w:hint="eastAsia"/>
          <w:szCs w:val="21"/>
        </w:rPr>
        <w:t>行金融市场业务稳健发展；推进金融市场业务关联交易识别与管理功能建设，优化金融市场业务关联交易管理机制，提升金市</w:t>
      </w:r>
      <w:proofErr w:type="gramStart"/>
      <w:r>
        <w:rPr>
          <w:rFonts w:hAnsi="宋体" w:hint="eastAsia"/>
          <w:szCs w:val="21"/>
        </w:rPr>
        <w:t>版块</w:t>
      </w:r>
      <w:proofErr w:type="gramEnd"/>
      <w:r>
        <w:rPr>
          <w:rFonts w:hAnsi="宋体" w:hint="eastAsia"/>
          <w:szCs w:val="21"/>
        </w:rPr>
        <w:t>经营管理能力；完成程序化交易系统新监控平台</w:t>
      </w:r>
      <w:proofErr w:type="gramStart"/>
      <w:r>
        <w:rPr>
          <w:rFonts w:hAnsi="宋体" w:hint="eastAsia"/>
          <w:szCs w:val="21"/>
        </w:rPr>
        <w:t>策略风控指标</w:t>
      </w:r>
      <w:proofErr w:type="gramEnd"/>
      <w:r>
        <w:rPr>
          <w:rFonts w:hAnsi="宋体" w:hint="eastAsia"/>
          <w:szCs w:val="21"/>
        </w:rPr>
        <w:t>可视化监控功能建设，持续提升</w:t>
      </w:r>
      <w:r>
        <w:rPr>
          <w:rFonts w:hAnsi="宋体"/>
          <w:szCs w:val="21"/>
        </w:rPr>
        <w:t>本</w:t>
      </w:r>
      <w:r>
        <w:rPr>
          <w:rFonts w:hAnsi="宋体" w:hint="eastAsia"/>
          <w:szCs w:val="21"/>
        </w:rPr>
        <w:t>行量化交易能力、程序化风险管控能力。</w:t>
      </w:r>
    </w:p>
    <w:p w:rsidR="00AD5BB5" w:rsidRDefault="00F87FF6">
      <w:pPr>
        <w:widowControl/>
        <w:spacing w:line="360" w:lineRule="auto"/>
        <w:ind w:firstLineChars="200" w:firstLine="422"/>
      </w:pPr>
      <w:r>
        <w:rPr>
          <w:rFonts w:ascii="宋体" w:hAnsi="宋体" w:hint="eastAsia"/>
          <w:b/>
          <w:bCs/>
          <w:szCs w:val="21"/>
        </w:rPr>
        <w:t>中后台板块，开展</w:t>
      </w:r>
      <w:proofErr w:type="gramStart"/>
      <w:r>
        <w:rPr>
          <w:rFonts w:ascii="宋体" w:hAnsi="宋体" w:hint="eastAsia"/>
          <w:b/>
          <w:bCs/>
          <w:szCs w:val="21"/>
        </w:rPr>
        <w:t>跨板块</w:t>
      </w:r>
      <w:proofErr w:type="gramEnd"/>
      <w:r>
        <w:rPr>
          <w:rFonts w:ascii="宋体" w:hAnsi="宋体" w:hint="eastAsia"/>
          <w:b/>
          <w:bCs/>
          <w:szCs w:val="21"/>
        </w:rPr>
        <w:t>产品服务和风控能力建设，推动业务运营集中，加强管理决策支持。</w:t>
      </w:r>
      <w:r>
        <w:rPr>
          <w:rFonts w:hAnsi="宋体" w:hint="eastAsia"/>
          <w:szCs w:val="21"/>
        </w:rPr>
        <w:t>持续扩充空中柜台功能支撑，上线借记卡激活业务场景，采用远程音视频、人脸识别和</w:t>
      </w:r>
      <w:r>
        <w:rPr>
          <w:rFonts w:hAnsi="宋体" w:hint="eastAsia"/>
          <w:szCs w:val="21"/>
        </w:rPr>
        <w:t>OCR</w:t>
      </w:r>
      <w:r>
        <w:rPr>
          <w:rFonts w:hAnsi="宋体" w:hint="eastAsia"/>
          <w:szCs w:val="21"/>
        </w:rPr>
        <w:t>等新技术，将传统银行柜面业务延伸至远程服务，兼具实体网点面对面服务的“温度”与线上方便快捷服务的“速度”；</w:t>
      </w:r>
      <w:proofErr w:type="gramStart"/>
      <w:r>
        <w:rPr>
          <w:rFonts w:hAnsi="宋体"/>
          <w:szCs w:val="21"/>
        </w:rPr>
        <w:t>推动风控模型</w:t>
      </w:r>
      <w:proofErr w:type="gramEnd"/>
      <w:r>
        <w:rPr>
          <w:rFonts w:hAnsi="宋体"/>
          <w:szCs w:val="21"/>
        </w:rPr>
        <w:t>应用及监测</w:t>
      </w:r>
      <w:r>
        <w:rPr>
          <w:rFonts w:hAnsi="宋体" w:hint="eastAsia"/>
          <w:szCs w:val="21"/>
        </w:rPr>
        <w:t>，优化信用卡模型、员工异常行为模型、信贷工厂</w:t>
      </w:r>
      <w:r>
        <w:rPr>
          <w:rFonts w:hAnsi="宋体" w:hint="eastAsia"/>
          <w:szCs w:val="21"/>
        </w:rPr>
        <w:t>2.0</w:t>
      </w:r>
      <w:proofErr w:type="gramStart"/>
      <w:r>
        <w:rPr>
          <w:rFonts w:hAnsi="宋体" w:hint="eastAsia"/>
          <w:szCs w:val="21"/>
        </w:rPr>
        <w:t>风控策略</w:t>
      </w:r>
      <w:proofErr w:type="gramEnd"/>
      <w:r>
        <w:rPr>
          <w:rFonts w:hAnsi="宋体" w:hint="eastAsia"/>
          <w:szCs w:val="21"/>
        </w:rPr>
        <w:t>，拓宽风险策略在业务场景中的使用；优化</w:t>
      </w:r>
      <w:r>
        <w:rPr>
          <w:rFonts w:ascii="宋体" w:hAnsi="宋体" w:hint="eastAsia"/>
          <w:szCs w:val="21"/>
        </w:rPr>
        <w:t>管理会计功</w:t>
      </w:r>
      <w:r>
        <w:rPr>
          <w:rFonts w:ascii="宋体" w:hAnsi="宋体" w:hint="eastAsia"/>
          <w:szCs w:val="21"/>
        </w:rPr>
        <w:lastRenderedPageBreak/>
        <w:t>能，依据公司客户标签数据，完善对公客户盈利分析模型的客户信息，优化公私联动分析模型，支持客户综合价值和全行经营决策分析。</w:t>
      </w:r>
    </w:p>
    <w:p w:rsidR="00AD5BB5" w:rsidRDefault="00F87FF6">
      <w:pPr>
        <w:spacing w:line="360" w:lineRule="auto"/>
        <w:ind w:firstLineChars="200" w:firstLine="422"/>
        <w:jc w:val="left"/>
        <w:rPr>
          <w:rFonts w:asciiTheme="minorEastAsia" w:eastAsiaTheme="minorEastAsia" w:hAnsiTheme="minorEastAsia" w:cs="仿宋_GB2312"/>
          <w:b/>
          <w:szCs w:val="21"/>
        </w:rPr>
      </w:pPr>
      <w:r>
        <w:rPr>
          <w:rFonts w:asciiTheme="minorEastAsia" w:eastAsiaTheme="minorEastAsia" w:hAnsiTheme="minorEastAsia" w:cs="仿宋_GB2312"/>
          <w:b/>
          <w:szCs w:val="21"/>
        </w:rPr>
        <w:t>2.再获金融科技嘉奖，科技成果屡获肯定</w:t>
      </w:r>
    </w:p>
    <w:p w:rsidR="00AD5BB5" w:rsidRDefault="00F87FF6">
      <w:pPr>
        <w:widowControl/>
        <w:spacing w:line="360" w:lineRule="auto"/>
        <w:ind w:firstLineChars="200" w:firstLine="420"/>
        <w:rPr>
          <w:rFonts w:hAnsi="宋体"/>
          <w:szCs w:val="21"/>
        </w:rPr>
      </w:pPr>
      <w:r>
        <w:rPr>
          <w:rFonts w:hAnsi="宋体" w:hint="eastAsia"/>
          <w:szCs w:val="21"/>
        </w:rPr>
        <w:t>报告期内，本公司多个项目获得外部嘉奖：获得由“北京国家金融科技认证中心”主办的全球金融科技大会中国金融业开源技术应用与发展论坛颁发的“金融开源</w:t>
      </w:r>
      <w:proofErr w:type="gramStart"/>
      <w:r>
        <w:rPr>
          <w:rFonts w:hAnsi="宋体" w:hint="eastAsia"/>
          <w:szCs w:val="21"/>
        </w:rPr>
        <w:t>践行</w:t>
      </w:r>
      <w:proofErr w:type="gramEnd"/>
      <w:r>
        <w:rPr>
          <w:rFonts w:hAnsi="宋体" w:hint="eastAsia"/>
          <w:szCs w:val="21"/>
        </w:rPr>
        <w:t>者”荣誉；获得由“财视中国”主办的</w:t>
      </w:r>
      <w:r>
        <w:rPr>
          <w:rFonts w:hAnsi="宋体" w:hint="eastAsia"/>
          <w:szCs w:val="21"/>
        </w:rPr>
        <w:t>2023</w:t>
      </w:r>
      <w:r>
        <w:rPr>
          <w:rFonts w:hAnsi="宋体" w:hint="eastAsia"/>
          <w:szCs w:val="21"/>
        </w:rPr>
        <w:t>零售银行论坛暨零售银行</w:t>
      </w:r>
      <w:proofErr w:type="gramStart"/>
      <w:r>
        <w:rPr>
          <w:rFonts w:hAnsi="宋体" w:hint="eastAsia"/>
          <w:szCs w:val="21"/>
        </w:rPr>
        <w:t>介甫</w:t>
      </w:r>
      <w:proofErr w:type="gramEnd"/>
      <w:r>
        <w:rPr>
          <w:rFonts w:hAnsi="宋体" w:hint="eastAsia"/>
          <w:szCs w:val="21"/>
        </w:rPr>
        <w:t>奖颁奖典礼颁发的“卓越虚拟渠道零售银行奖”；</w:t>
      </w:r>
      <w:r>
        <w:rPr>
          <w:rFonts w:hAnsi="宋体"/>
          <w:szCs w:val="21"/>
          <w:lang w:eastAsia="zh-Hans"/>
        </w:rPr>
        <w:t>“金市智能运营”、“程序化做市”</w:t>
      </w:r>
      <w:r>
        <w:rPr>
          <w:rFonts w:hAnsi="宋体" w:hint="eastAsia"/>
          <w:szCs w:val="21"/>
        </w:rPr>
        <w:t>、</w:t>
      </w:r>
      <w:r>
        <w:rPr>
          <w:rFonts w:hAnsi="宋体"/>
          <w:szCs w:val="21"/>
          <w:lang w:eastAsia="zh-Hans"/>
        </w:rPr>
        <w:t>“程序化交易”三个自主研发系统</w:t>
      </w:r>
      <w:r>
        <w:rPr>
          <w:rFonts w:hAnsi="宋体" w:hint="eastAsia"/>
          <w:szCs w:val="21"/>
        </w:rPr>
        <w:t>经中国版权保护中心审核，被正式授予《中华人民共和国国家版权局计算机软件著作权登记证书》。</w:t>
      </w:r>
    </w:p>
    <w:p w:rsidR="00AD5BB5" w:rsidRDefault="00F87FF6">
      <w:pPr>
        <w:widowControl/>
        <w:numPr>
          <w:ilvl w:val="0"/>
          <w:numId w:val="19"/>
        </w:numPr>
        <w:spacing w:line="360" w:lineRule="auto"/>
        <w:ind w:firstLineChars="250" w:firstLine="527"/>
        <w:rPr>
          <w:rFonts w:ascii="宋体" w:hAnsi="宋体"/>
          <w:b/>
          <w:bCs/>
          <w:szCs w:val="21"/>
        </w:rPr>
      </w:pPr>
      <w:r>
        <w:rPr>
          <w:rFonts w:ascii="宋体" w:hAnsi="宋体" w:hint="eastAsia"/>
          <w:b/>
          <w:bCs/>
          <w:szCs w:val="21"/>
        </w:rPr>
        <w:t>数据管控</w:t>
      </w:r>
    </w:p>
    <w:p w:rsidR="00AD5BB5" w:rsidRDefault="00F87FF6">
      <w:pPr>
        <w:widowControl/>
        <w:spacing w:line="360" w:lineRule="auto"/>
        <w:ind w:firstLineChars="200" w:firstLine="420"/>
        <w:rPr>
          <w:rFonts w:ascii="宋体" w:hAnsi="宋体"/>
          <w:szCs w:val="21"/>
        </w:rPr>
      </w:pPr>
      <w:r>
        <w:rPr>
          <w:rFonts w:ascii="宋体" w:hAnsi="宋体" w:hint="eastAsia"/>
          <w:szCs w:val="21"/>
        </w:rPr>
        <w:t>报告期内，本公司持续推进数据治理工作，助力数据资产经营和价值创造提升。</w:t>
      </w:r>
    </w:p>
    <w:p w:rsidR="00AD5BB5" w:rsidRDefault="00F87FF6">
      <w:pPr>
        <w:widowControl/>
        <w:spacing w:line="360" w:lineRule="auto"/>
        <w:ind w:firstLineChars="200" w:firstLine="420"/>
        <w:rPr>
          <w:rFonts w:ascii="宋体" w:hAnsi="宋体"/>
          <w:szCs w:val="21"/>
        </w:rPr>
      </w:pPr>
      <w:r>
        <w:rPr>
          <w:rFonts w:ascii="宋体" w:hAnsi="宋体" w:hint="eastAsia"/>
          <w:szCs w:val="21"/>
        </w:rPr>
        <w:t>一是深化经营部门数据分析与应用能力，在营销和风控领域、运营支撑、战略市场等方向持续开展数据应用场景建设，聚焦数据应用，发挥数据价值。</w:t>
      </w:r>
    </w:p>
    <w:p w:rsidR="00AD5BB5" w:rsidRDefault="00F87FF6">
      <w:pPr>
        <w:widowControl/>
        <w:spacing w:line="360" w:lineRule="auto"/>
        <w:ind w:firstLineChars="200" w:firstLine="420"/>
        <w:rPr>
          <w:rFonts w:ascii="宋体" w:hAnsi="宋体"/>
          <w:szCs w:val="21"/>
        </w:rPr>
      </w:pPr>
      <w:r>
        <w:rPr>
          <w:rFonts w:ascii="宋体" w:hAnsi="宋体" w:hint="eastAsia"/>
          <w:szCs w:val="21"/>
        </w:rPr>
        <w:t>二是推进数据标准梳理与制定，结合数据应用需求推进分析数据标准的制定与复用，持续扩充企业级数据标准，夯实全行数据基础。</w:t>
      </w:r>
    </w:p>
    <w:p w:rsidR="00AD5BB5" w:rsidRDefault="00F87FF6">
      <w:pPr>
        <w:widowControl/>
        <w:spacing w:line="360" w:lineRule="auto"/>
        <w:ind w:firstLineChars="200" w:firstLine="420"/>
        <w:rPr>
          <w:rFonts w:ascii="宋体" w:hAnsi="宋体"/>
          <w:szCs w:val="21"/>
        </w:rPr>
      </w:pPr>
      <w:r>
        <w:rPr>
          <w:rFonts w:ascii="宋体" w:hAnsi="宋体" w:hint="eastAsia"/>
          <w:szCs w:val="21"/>
        </w:rPr>
        <w:t>三是持续开展数据人才能力建设，面向六大条线组织完成四场数据分析工具使用培训，推动业务部门自主取数，提升人员数据意识及数据能力，推动全面数字化转型。</w:t>
      </w:r>
    </w:p>
    <w:p w:rsidR="00AD5BB5" w:rsidRDefault="00F87FF6">
      <w:pPr>
        <w:pStyle w:val="2"/>
        <w:rPr>
          <w:rFonts w:cs="宋体"/>
          <w:bCs/>
          <w:szCs w:val="21"/>
        </w:rPr>
      </w:pPr>
      <w:r>
        <w:rPr>
          <w:rFonts w:cs="宋体"/>
          <w:bCs/>
          <w:szCs w:val="21"/>
        </w:rPr>
        <w:t>六、</w:t>
      </w:r>
      <w:r>
        <w:rPr>
          <w:rFonts w:cs="宋体" w:hint="eastAsia"/>
          <w:bCs/>
          <w:szCs w:val="21"/>
        </w:rPr>
        <w:t>报告期各类风险和风险管理情况</w:t>
      </w:r>
    </w:p>
    <w:p w:rsidR="00AD5BB5" w:rsidRDefault="00F87FF6">
      <w:pPr>
        <w:widowControl/>
        <w:spacing w:line="360" w:lineRule="auto"/>
        <w:ind w:firstLineChars="200" w:firstLine="420"/>
        <w:rPr>
          <w:rFonts w:ascii="Times New Roman" w:eastAsiaTheme="minorEastAsia" w:hAnsi="Times New Roman"/>
          <w:kern w:val="0"/>
          <w:shd w:val="clear" w:color="auto" w:fill="FFFFFF"/>
        </w:rPr>
      </w:pPr>
      <w:r>
        <w:rPr>
          <w:rFonts w:ascii="Times New Roman" w:eastAsiaTheme="minorEastAsia" w:hAnsi="Times New Roman" w:cs="Times New Roman" w:hint="eastAsia"/>
          <w:kern w:val="0"/>
          <w:shd w:val="clear" w:color="auto" w:fill="FFFFFF"/>
        </w:rPr>
        <w:t>本公司始终坚持稳健的风险文化，遵循“风险管理创造价值、全覆盖、独立性、有效性、匹配性”的原则，不断完善全面风险管理体系，提升全面风险管理水平。公司在统一的风险偏好框架下，执行风险策略和风险限额管理，有序开展对各类风险的识别、计量、监测、控制和报告工作，为实现公司经营和战略目标提供保证。</w:t>
      </w:r>
    </w:p>
    <w:p w:rsidR="00AD5BB5" w:rsidRDefault="00F87FF6">
      <w:pPr>
        <w:widowControl/>
        <w:spacing w:line="360" w:lineRule="auto"/>
        <w:ind w:firstLineChars="200" w:firstLine="420"/>
        <w:rPr>
          <w:rFonts w:ascii="Times New Roman" w:eastAsiaTheme="minorEastAsia" w:hAnsi="Times New Roman"/>
          <w:kern w:val="0"/>
          <w:shd w:val="clear" w:color="auto" w:fill="FFFFFF"/>
        </w:rPr>
      </w:pPr>
      <w:r>
        <w:rPr>
          <w:rFonts w:ascii="Times New Roman" w:eastAsiaTheme="minorEastAsia" w:hAnsi="Times New Roman" w:cs="Times New Roman" w:hint="eastAsia"/>
          <w:kern w:val="0"/>
          <w:shd w:val="clear" w:color="auto" w:fill="FFFFFF"/>
        </w:rPr>
        <w:t>报告期内，本公司贯彻落实国家宏观调控政策，支持符合产业结构升级、民生消费升级和绿色金融等重点行业的信贷投放；加强房地产、市政国企等重点领域的信贷业务分析研究和风险防控，保持资产质量稳定。公司主动适应监管政策和要求，准确把握合</w:t>
      </w:r>
      <w:proofErr w:type="gramStart"/>
      <w:r>
        <w:rPr>
          <w:rFonts w:ascii="Times New Roman" w:eastAsiaTheme="minorEastAsia" w:hAnsi="Times New Roman" w:cs="Times New Roman" w:hint="eastAsia"/>
          <w:kern w:val="0"/>
          <w:shd w:val="clear" w:color="auto" w:fill="FFFFFF"/>
        </w:rPr>
        <w:t>规</w:t>
      </w:r>
      <w:proofErr w:type="gramEnd"/>
      <w:r>
        <w:rPr>
          <w:rFonts w:ascii="Times New Roman" w:eastAsiaTheme="minorEastAsia" w:hAnsi="Times New Roman" w:cs="Times New Roman" w:hint="eastAsia"/>
          <w:kern w:val="0"/>
          <w:shd w:val="clear" w:color="auto" w:fill="FFFFFF"/>
        </w:rPr>
        <w:t>方向，加强制度全生命周期管理，开展“案防合规提升年”专项活动，强化合</w:t>
      </w:r>
      <w:proofErr w:type="gramStart"/>
      <w:r>
        <w:rPr>
          <w:rFonts w:ascii="Times New Roman" w:eastAsiaTheme="minorEastAsia" w:hAnsi="Times New Roman" w:cs="Times New Roman" w:hint="eastAsia"/>
          <w:kern w:val="0"/>
          <w:shd w:val="clear" w:color="auto" w:fill="FFFFFF"/>
        </w:rPr>
        <w:t>规</w:t>
      </w:r>
      <w:proofErr w:type="gramEnd"/>
      <w:r>
        <w:rPr>
          <w:rFonts w:ascii="Times New Roman" w:eastAsiaTheme="minorEastAsia" w:hAnsi="Times New Roman" w:cs="Times New Roman" w:hint="eastAsia"/>
          <w:kern w:val="0"/>
          <w:shd w:val="clear" w:color="auto" w:fill="FFFFFF"/>
        </w:rPr>
        <w:t>风险意识，落实合</w:t>
      </w:r>
      <w:proofErr w:type="gramStart"/>
      <w:r>
        <w:rPr>
          <w:rFonts w:ascii="Times New Roman" w:eastAsiaTheme="minorEastAsia" w:hAnsi="Times New Roman" w:cs="Times New Roman" w:hint="eastAsia"/>
          <w:kern w:val="0"/>
          <w:shd w:val="clear" w:color="auto" w:fill="FFFFFF"/>
        </w:rPr>
        <w:t>规</w:t>
      </w:r>
      <w:proofErr w:type="gramEnd"/>
      <w:r>
        <w:rPr>
          <w:rFonts w:ascii="Times New Roman" w:eastAsiaTheme="minorEastAsia" w:hAnsi="Times New Roman" w:cs="Times New Roman" w:hint="eastAsia"/>
          <w:kern w:val="0"/>
          <w:shd w:val="clear" w:color="auto" w:fill="FFFFFF"/>
        </w:rPr>
        <w:t>执行责任，筑牢合</w:t>
      </w:r>
      <w:proofErr w:type="gramStart"/>
      <w:r>
        <w:rPr>
          <w:rFonts w:ascii="Times New Roman" w:eastAsiaTheme="minorEastAsia" w:hAnsi="Times New Roman" w:cs="Times New Roman" w:hint="eastAsia"/>
          <w:kern w:val="0"/>
          <w:shd w:val="clear" w:color="auto" w:fill="FFFFFF"/>
        </w:rPr>
        <w:t>规</w:t>
      </w:r>
      <w:proofErr w:type="gramEnd"/>
      <w:r>
        <w:rPr>
          <w:rFonts w:ascii="Times New Roman" w:eastAsiaTheme="minorEastAsia" w:hAnsi="Times New Roman" w:cs="Times New Roman" w:hint="eastAsia"/>
          <w:kern w:val="0"/>
          <w:shd w:val="clear" w:color="auto" w:fill="FFFFFF"/>
        </w:rPr>
        <w:t>经营底线。</w:t>
      </w:r>
    </w:p>
    <w:p w:rsidR="00AD5BB5" w:rsidRDefault="00F87FF6">
      <w:pPr>
        <w:spacing w:line="360" w:lineRule="auto"/>
        <w:ind w:firstLineChars="200" w:firstLine="422"/>
        <w:outlineLvl w:val="2"/>
        <w:rPr>
          <w:rFonts w:ascii="Times New Roman" w:eastAsiaTheme="minorEastAsia" w:hAnsi="Times New Roman"/>
          <w:b/>
          <w:bCs/>
        </w:rPr>
      </w:pPr>
      <w:r>
        <w:rPr>
          <w:rFonts w:ascii="Times New Roman" w:eastAsiaTheme="minorEastAsia" w:hAnsi="Times New Roman"/>
          <w:b/>
          <w:bCs/>
        </w:rPr>
        <w:t>（一）信用风险管理</w:t>
      </w:r>
    </w:p>
    <w:p w:rsidR="00AD5BB5" w:rsidRDefault="00F87FF6">
      <w:pPr>
        <w:widowControl/>
        <w:spacing w:line="360" w:lineRule="auto"/>
        <w:ind w:firstLineChars="200" w:firstLine="420"/>
        <w:rPr>
          <w:rFonts w:ascii="Times New Roman" w:eastAsiaTheme="minorEastAsia" w:hAnsi="Times New Roman"/>
          <w:kern w:val="0"/>
          <w:shd w:val="clear" w:color="auto" w:fill="FFFFFF"/>
        </w:rPr>
      </w:pPr>
      <w:r>
        <w:rPr>
          <w:rFonts w:ascii="Times New Roman" w:eastAsiaTheme="minorEastAsia" w:hAnsi="Times New Roman" w:cs="Times New Roman" w:hint="eastAsia"/>
          <w:kern w:val="0"/>
          <w:shd w:val="clear" w:color="auto" w:fill="FFFFFF"/>
        </w:rPr>
        <w:t>信用风险是指由于债务人或交易对手的违约行为可能导致损失的风险。本公司秉承稳健经营的理念，以“围绕战略规划、优化资产结构、筑牢风险底线”为信贷导向，持续建设包括“政策制度、授权、审查、贷后排查、不良清收、大数据风控”在内的六道防线，</w:t>
      </w:r>
      <w:proofErr w:type="gramStart"/>
      <w:r>
        <w:rPr>
          <w:rFonts w:ascii="Times New Roman" w:eastAsiaTheme="minorEastAsia" w:hAnsi="Times New Roman" w:cs="Times New Roman" w:hint="eastAsia"/>
          <w:kern w:val="0"/>
          <w:shd w:val="clear" w:color="auto" w:fill="FFFFFF"/>
        </w:rPr>
        <w:t>优化全</w:t>
      </w:r>
      <w:proofErr w:type="gramEnd"/>
      <w:r>
        <w:rPr>
          <w:rFonts w:ascii="Times New Roman" w:eastAsiaTheme="minorEastAsia" w:hAnsi="Times New Roman" w:cs="Times New Roman" w:hint="eastAsia"/>
          <w:kern w:val="0"/>
          <w:shd w:val="clear" w:color="auto" w:fill="FFFFFF"/>
        </w:rPr>
        <w:t>生命周期信用风险管理流程，强化数据驱动和科技赋能，全面提升信用风险管理水平，实现业务增长和风险防控的协调发展，有效防范降低信用风险损失。</w:t>
      </w:r>
    </w:p>
    <w:p w:rsidR="00AD5BB5" w:rsidRDefault="00F87FF6">
      <w:pPr>
        <w:widowControl/>
        <w:spacing w:line="360" w:lineRule="auto"/>
        <w:ind w:firstLineChars="200" w:firstLine="420"/>
        <w:rPr>
          <w:rFonts w:ascii="Times New Roman" w:eastAsiaTheme="minorEastAsia" w:hAnsi="Times New Roman"/>
          <w:kern w:val="0"/>
          <w:shd w:val="clear" w:color="auto" w:fill="FFFFFF"/>
        </w:rPr>
      </w:pPr>
      <w:r>
        <w:rPr>
          <w:rFonts w:ascii="Times New Roman" w:eastAsiaTheme="minorEastAsia" w:hAnsi="Times New Roman" w:cs="Times New Roman" w:hint="eastAsia"/>
          <w:kern w:val="0"/>
          <w:shd w:val="clear" w:color="auto" w:fill="FFFFFF"/>
        </w:rPr>
        <w:lastRenderedPageBreak/>
        <w:t>报告期内，本公司贯彻落实国家宏观调控政策，完善信用风险管理体系建设，优化信贷结构，加强重点领域风险防控，推动风险化解处置，保持资产质量稳定。</w:t>
      </w:r>
    </w:p>
    <w:p w:rsidR="00AD5BB5" w:rsidRDefault="00F87FF6">
      <w:pPr>
        <w:widowControl/>
        <w:spacing w:line="360" w:lineRule="auto"/>
        <w:ind w:firstLineChars="200" w:firstLine="420"/>
        <w:rPr>
          <w:rFonts w:ascii="Times New Roman" w:eastAsiaTheme="minorEastAsia" w:hAnsi="Times New Roman"/>
          <w:kern w:val="0"/>
          <w:shd w:val="clear" w:color="auto" w:fill="FFFFFF"/>
        </w:rPr>
      </w:pPr>
      <w:r>
        <w:rPr>
          <w:rFonts w:ascii="Times New Roman" w:eastAsiaTheme="minorEastAsia" w:hAnsi="Times New Roman" w:cs="Times New Roman" w:hint="eastAsia"/>
          <w:kern w:val="0"/>
          <w:shd w:val="clear" w:color="auto" w:fill="FFFFFF"/>
        </w:rPr>
        <w:t>一是政策引领，明确把握信贷投向。通过制定统一的授</w:t>
      </w:r>
      <w:proofErr w:type="gramStart"/>
      <w:r>
        <w:rPr>
          <w:rFonts w:ascii="Times New Roman" w:eastAsiaTheme="minorEastAsia" w:hAnsi="Times New Roman" w:cs="Times New Roman" w:hint="eastAsia"/>
          <w:kern w:val="0"/>
          <w:shd w:val="clear" w:color="auto" w:fill="FFFFFF"/>
        </w:rPr>
        <w:t>信政策</w:t>
      </w:r>
      <w:proofErr w:type="gramEnd"/>
      <w:r>
        <w:rPr>
          <w:rFonts w:ascii="Times New Roman" w:eastAsiaTheme="minorEastAsia" w:hAnsi="Times New Roman" w:cs="Times New Roman" w:hint="eastAsia"/>
          <w:kern w:val="0"/>
          <w:shd w:val="clear" w:color="auto" w:fill="FFFFFF"/>
        </w:rPr>
        <w:t>和行业授信风险指引，推进精细化组合管理；采取“优质、实体、普惠、双新、本地、分散”的信贷策略，在产业、客群、产品、区域等维</w:t>
      </w:r>
      <w:proofErr w:type="gramStart"/>
      <w:r>
        <w:rPr>
          <w:rFonts w:ascii="Times New Roman" w:eastAsiaTheme="minorEastAsia" w:hAnsi="Times New Roman" w:cs="Times New Roman" w:hint="eastAsia"/>
          <w:kern w:val="0"/>
          <w:shd w:val="clear" w:color="auto" w:fill="FFFFFF"/>
        </w:rPr>
        <w:t>度合理</w:t>
      </w:r>
      <w:proofErr w:type="gramEnd"/>
      <w:r>
        <w:rPr>
          <w:rFonts w:ascii="Times New Roman" w:eastAsiaTheme="minorEastAsia" w:hAnsi="Times New Roman" w:cs="Times New Roman" w:hint="eastAsia"/>
          <w:kern w:val="0"/>
          <w:shd w:val="clear" w:color="auto" w:fill="FFFFFF"/>
        </w:rPr>
        <w:t>布局信贷资源，深入优化信贷结构；支持符合产业结构升级、民生消费升级和绿色金融等重点行业的信贷投放，支持制造业高质量发展，推进普惠金融领域业务发展；从严审查授</w:t>
      </w:r>
      <w:proofErr w:type="gramStart"/>
      <w:r>
        <w:rPr>
          <w:rFonts w:ascii="Times New Roman" w:eastAsiaTheme="minorEastAsia" w:hAnsi="Times New Roman" w:cs="Times New Roman" w:hint="eastAsia"/>
          <w:kern w:val="0"/>
          <w:shd w:val="clear" w:color="auto" w:fill="FFFFFF"/>
        </w:rPr>
        <w:t>信政策</w:t>
      </w:r>
      <w:proofErr w:type="gramEnd"/>
      <w:r>
        <w:rPr>
          <w:rFonts w:ascii="Times New Roman" w:eastAsiaTheme="minorEastAsia" w:hAnsi="Times New Roman" w:cs="Times New Roman" w:hint="eastAsia"/>
          <w:kern w:val="0"/>
          <w:shd w:val="clear" w:color="auto" w:fill="FFFFFF"/>
        </w:rPr>
        <w:t>严格控制类的授信业务，加强房地产、市政国企等重点领域风险管控，严格加强异地授信管理，强化省外分行管理。</w:t>
      </w:r>
    </w:p>
    <w:p w:rsidR="00AD5BB5" w:rsidRDefault="00F87FF6">
      <w:pPr>
        <w:widowControl/>
        <w:spacing w:line="360" w:lineRule="auto"/>
        <w:ind w:firstLineChars="200" w:firstLine="420"/>
        <w:rPr>
          <w:rFonts w:ascii="Times New Roman" w:eastAsiaTheme="minorEastAsia" w:hAnsi="Times New Roman"/>
          <w:kern w:val="0"/>
          <w:shd w:val="clear" w:color="auto" w:fill="FFFFFF"/>
        </w:rPr>
      </w:pPr>
      <w:r>
        <w:rPr>
          <w:rFonts w:ascii="Times New Roman" w:eastAsiaTheme="minorEastAsia" w:hAnsi="Times New Roman" w:cs="Times New Roman" w:hint="eastAsia"/>
          <w:kern w:val="0"/>
          <w:shd w:val="clear" w:color="auto" w:fill="FFFFFF"/>
        </w:rPr>
        <w:t>二是流程优化，提高管控效率。科学运用授权管理机制，加强对分行的授权管理，上</w:t>
      </w:r>
      <w:proofErr w:type="gramStart"/>
      <w:r>
        <w:rPr>
          <w:rFonts w:ascii="Times New Roman" w:eastAsiaTheme="minorEastAsia" w:hAnsi="Times New Roman" w:cs="Times New Roman" w:hint="eastAsia"/>
          <w:kern w:val="0"/>
          <w:shd w:val="clear" w:color="auto" w:fill="FFFFFF"/>
        </w:rPr>
        <w:t>收重点</w:t>
      </w:r>
      <w:proofErr w:type="gramEnd"/>
      <w:r>
        <w:rPr>
          <w:rFonts w:ascii="Times New Roman" w:eastAsiaTheme="minorEastAsia" w:hAnsi="Times New Roman" w:cs="Times New Roman" w:hint="eastAsia"/>
          <w:kern w:val="0"/>
          <w:shd w:val="clear" w:color="auto" w:fill="FFFFFF"/>
        </w:rPr>
        <w:t>关注授</w:t>
      </w:r>
      <w:proofErr w:type="gramStart"/>
      <w:r>
        <w:rPr>
          <w:rFonts w:ascii="Times New Roman" w:eastAsiaTheme="minorEastAsia" w:hAnsi="Times New Roman" w:cs="Times New Roman" w:hint="eastAsia"/>
          <w:kern w:val="0"/>
          <w:shd w:val="clear" w:color="auto" w:fill="FFFFFF"/>
        </w:rPr>
        <w:t>信领域</w:t>
      </w:r>
      <w:proofErr w:type="gramEnd"/>
      <w:r>
        <w:rPr>
          <w:rFonts w:ascii="Times New Roman" w:eastAsiaTheme="minorEastAsia" w:hAnsi="Times New Roman" w:cs="Times New Roman" w:hint="eastAsia"/>
          <w:kern w:val="0"/>
          <w:shd w:val="clear" w:color="auto" w:fill="FFFFFF"/>
        </w:rPr>
        <w:t>审批权限；</w:t>
      </w:r>
      <w:proofErr w:type="gramStart"/>
      <w:r>
        <w:rPr>
          <w:rFonts w:ascii="Times New Roman" w:eastAsiaTheme="minorEastAsia" w:hAnsi="Times New Roman" w:cs="Times New Roman" w:hint="eastAsia"/>
          <w:kern w:val="0"/>
          <w:shd w:val="clear" w:color="auto" w:fill="FFFFFF"/>
        </w:rPr>
        <w:t>构建线</w:t>
      </w:r>
      <w:proofErr w:type="gramEnd"/>
      <w:r>
        <w:rPr>
          <w:rFonts w:ascii="Times New Roman" w:eastAsiaTheme="minorEastAsia" w:hAnsi="Times New Roman" w:cs="Times New Roman" w:hint="eastAsia"/>
          <w:kern w:val="0"/>
          <w:shd w:val="clear" w:color="auto" w:fill="FFFFFF"/>
        </w:rPr>
        <w:t>上</w:t>
      </w:r>
      <w:proofErr w:type="gramStart"/>
      <w:r>
        <w:rPr>
          <w:rFonts w:ascii="Times New Roman" w:eastAsiaTheme="minorEastAsia" w:hAnsi="Times New Roman" w:cs="Times New Roman" w:hint="eastAsia"/>
          <w:kern w:val="0"/>
          <w:shd w:val="clear" w:color="auto" w:fill="FFFFFF"/>
        </w:rPr>
        <w:t>审批风控策略</w:t>
      </w:r>
      <w:proofErr w:type="gramEnd"/>
      <w:r>
        <w:rPr>
          <w:rFonts w:ascii="Times New Roman" w:eastAsiaTheme="minorEastAsia" w:hAnsi="Times New Roman" w:cs="Times New Roman" w:hint="eastAsia"/>
          <w:kern w:val="0"/>
          <w:shd w:val="clear" w:color="auto" w:fill="FFFFFF"/>
        </w:rPr>
        <w:t>，完善“一体化、数字化、智能化”管理体系；持续优化新信贷系统功能，实现自动化、模块化、标准化、无纸化审批，提升审批能效。</w:t>
      </w:r>
    </w:p>
    <w:p w:rsidR="00AD5BB5" w:rsidRDefault="00F87FF6">
      <w:pPr>
        <w:widowControl/>
        <w:spacing w:line="360" w:lineRule="auto"/>
        <w:ind w:firstLineChars="200" w:firstLine="420"/>
        <w:rPr>
          <w:rFonts w:ascii="Times New Roman" w:eastAsiaTheme="minorEastAsia" w:hAnsi="Times New Roman"/>
          <w:kern w:val="0"/>
          <w:shd w:val="clear" w:color="auto" w:fill="FFFFFF"/>
        </w:rPr>
      </w:pPr>
      <w:r>
        <w:rPr>
          <w:rFonts w:ascii="Times New Roman" w:eastAsiaTheme="minorEastAsia" w:hAnsi="Times New Roman" w:cs="Times New Roman" w:hint="eastAsia"/>
          <w:kern w:val="0"/>
          <w:shd w:val="clear" w:color="auto" w:fill="FFFFFF"/>
        </w:rPr>
        <w:t>三是动态检视，强化授信风险管控。做好房地产行业、市政国企等重点信贷业务审查的分析研究；加强大额客户、异地授信客户等的风险排查和管理；完善信用卡用卡管理，开展用卡风险检视；强化资金用途监控，及时发现并化解潜在风险隐患；优化风险预警与报告机制，完善授信预警管理办法，定期检视信贷资产风险分类，通过风险预警和风险分类等工作推动风险压降，提高风险防控的前瞻性，实现早预警、早暴露、早处置。</w:t>
      </w:r>
    </w:p>
    <w:p w:rsidR="00AD5BB5" w:rsidRDefault="00F87FF6">
      <w:pPr>
        <w:widowControl/>
        <w:spacing w:line="360" w:lineRule="auto"/>
        <w:ind w:firstLineChars="200" w:firstLine="420"/>
        <w:rPr>
          <w:rFonts w:ascii="Times New Roman" w:eastAsiaTheme="minorEastAsia" w:hAnsi="Times New Roman"/>
          <w:kern w:val="0"/>
          <w:shd w:val="clear" w:color="auto" w:fill="FFFFFF"/>
        </w:rPr>
      </w:pPr>
      <w:r>
        <w:rPr>
          <w:rFonts w:ascii="Times New Roman" w:eastAsiaTheme="minorEastAsia" w:hAnsi="Times New Roman" w:cs="Times New Roman" w:hint="eastAsia"/>
          <w:kern w:val="0"/>
          <w:shd w:val="clear" w:color="auto" w:fill="FFFFFF"/>
        </w:rPr>
        <w:t>四是多</w:t>
      </w:r>
      <w:proofErr w:type="gramStart"/>
      <w:r>
        <w:rPr>
          <w:rFonts w:ascii="Times New Roman" w:eastAsiaTheme="minorEastAsia" w:hAnsi="Times New Roman" w:cs="Times New Roman" w:hint="eastAsia"/>
          <w:kern w:val="0"/>
          <w:shd w:val="clear" w:color="auto" w:fill="FFFFFF"/>
        </w:rPr>
        <w:t>措</w:t>
      </w:r>
      <w:proofErr w:type="gramEnd"/>
      <w:r>
        <w:rPr>
          <w:rFonts w:ascii="Times New Roman" w:eastAsiaTheme="minorEastAsia" w:hAnsi="Times New Roman" w:cs="Times New Roman" w:hint="eastAsia"/>
          <w:kern w:val="0"/>
          <w:shd w:val="clear" w:color="auto" w:fill="FFFFFF"/>
        </w:rPr>
        <w:t>并举，高效处置不良资产。加强不良资产处置力度，持续推动不良资产清收、核销、重组、审慎批转的处置策略，多种途径化解风险资产，实现高效率、高效益的合</w:t>
      </w:r>
      <w:proofErr w:type="gramStart"/>
      <w:r>
        <w:rPr>
          <w:rFonts w:ascii="Times New Roman" w:eastAsiaTheme="minorEastAsia" w:hAnsi="Times New Roman" w:cs="Times New Roman" w:hint="eastAsia"/>
          <w:kern w:val="0"/>
          <w:shd w:val="clear" w:color="auto" w:fill="FFFFFF"/>
        </w:rPr>
        <w:t>规</w:t>
      </w:r>
      <w:proofErr w:type="gramEnd"/>
      <w:r>
        <w:rPr>
          <w:rFonts w:ascii="Times New Roman" w:eastAsiaTheme="minorEastAsia" w:hAnsi="Times New Roman" w:cs="Times New Roman" w:hint="eastAsia"/>
          <w:kern w:val="0"/>
          <w:shd w:val="clear" w:color="auto" w:fill="FFFFFF"/>
        </w:rPr>
        <w:t>不良处置；优化处置结构，为全行战略推进、资产管控、结构调整和效益提升提供坚实支撑。</w:t>
      </w:r>
    </w:p>
    <w:p w:rsidR="00AD5BB5" w:rsidRDefault="00F87FF6">
      <w:pPr>
        <w:widowControl/>
        <w:spacing w:line="360" w:lineRule="auto"/>
        <w:ind w:firstLineChars="200" w:firstLine="420"/>
        <w:rPr>
          <w:rFonts w:ascii="Times New Roman" w:eastAsiaTheme="minorEastAsia" w:hAnsi="Times New Roman"/>
          <w:kern w:val="0"/>
          <w:shd w:val="clear" w:color="auto" w:fill="FFFFFF"/>
        </w:rPr>
      </w:pPr>
      <w:r>
        <w:rPr>
          <w:rFonts w:ascii="Times New Roman" w:eastAsiaTheme="minorEastAsia" w:hAnsi="Times New Roman" w:cs="Times New Roman" w:hint="eastAsia"/>
          <w:kern w:val="0"/>
          <w:shd w:val="clear" w:color="auto" w:fill="FFFFFF"/>
        </w:rPr>
        <w:t>五是科技赋能，创新风险管理机制。开展完全自主的大</w:t>
      </w:r>
      <w:proofErr w:type="gramStart"/>
      <w:r>
        <w:rPr>
          <w:rFonts w:ascii="Times New Roman" w:eastAsiaTheme="minorEastAsia" w:hAnsi="Times New Roman" w:cs="Times New Roman" w:hint="eastAsia"/>
          <w:kern w:val="0"/>
          <w:shd w:val="clear" w:color="auto" w:fill="FFFFFF"/>
        </w:rPr>
        <w:t>数据风控模型</w:t>
      </w:r>
      <w:proofErr w:type="gramEnd"/>
      <w:r>
        <w:rPr>
          <w:rFonts w:ascii="Times New Roman" w:eastAsiaTheme="minorEastAsia" w:hAnsi="Times New Roman" w:cs="Times New Roman" w:hint="eastAsia"/>
          <w:kern w:val="0"/>
          <w:shd w:val="clear" w:color="auto" w:fill="FFFFFF"/>
        </w:rPr>
        <w:t>研发、监测、迭代工作；搭建自动化模型风险监测与报告系统；深化风险信息的归集、挖掘与应用水平，提升风险预测精度，推进大数据</w:t>
      </w:r>
      <w:proofErr w:type="gramStart"/>
      <w:r>
        <w:rPr>
          <w:rFonts w:ascii="Times New Roman" w:eastAsiaTheme="minorEastAsia" w:hAnsi="Times New Roman" w:cs="Times New Roman" w:hint="eastAsia"/>
          <w:kern w:val="0"/>
          <w:shd w:val="clear" w:color="auto" w:fill="FFFFFF"/>
        </w:rPr>
        <w:t>风控工具</w:t>
      </w:r>
      <w:proofErr w:type="gramEnd"/>
      <w:r>
        <w:rPr>
          <w:rFonts w:ascii="Times New Roman" w:eastAsiaTheme="minorEastAsia" w:hAnsi="Times New Roman" w:cs="Times New Roman" w:hint="eastAsia"/>
          <w:kern w:val="0"/>
          <w:shd w:val="clear" w:color="auto" w:fill="FFFFFF"/>
        </w:rPr>
        <w:t>对信贷业务的支持；自主研发并上线申请评分卡、行为评分卡，并以</w:t>
      </w:r>
      <w:proofErr w:type="gramStart"/>
      <w:r>
        <w:rPr>
          <w:rFonts w:ascii="Times New Roman" w:eastAsiaTheme="minorEastAsia" w:hAnsi="Times New Roman" w:cs="Times New Roman" w:hint="eastAsia"/>
          <w:kern w:val="0"/>
          <w:shd w:val="clear" w:color="auto" w:fill="FFFFFF"/>
        </w:rPr>
        <w:t>评分卡</w:t>
      </w:r>
      <w:proofErr w:type="gramEnd"/>
      <w:r>
        <w:rPr>
          <w:rFonts w:ascii="Times New Roman" w:eastAsiaTheme="minorEastAsia" w:hAnsi="Times New Roman" w:cs="Times New Roman" w:hint="eastAsia"/>
          <w:kern w:val="0"/>
          <w:shd w:val="clear" w:color="auto" w:fill="FFFFFF"/>
        </w:rPr>
        <w:t>为基础，迭代贷前</w:t>
      </w:r>
      <w:proofErr w:type="gramStart"/>
      <w:r>
        <w:rPr>
          <w:rFonts w:ascii="Times New Roman" w:eastAsiaTheme="minorEastAsia" w:hAnsi="Times New Roman" w:cs="Times New Roman" w:hint="eastAsia"/>
          <w:kern w:val="0"/>
          <w:shd w:val="clear" w:color="auto" w:fill="FFFFFF"/>
        </w:rPr>
        <w:t>及贷中</w:t>
      </w:r>
      <w:proofErr w:type="gramEnd"/>
      <w:r>
        <w:rPr>
          <w:rFonts w:ascii="Times New Roman" w:eastAsiaTheme="minorEastAsia" w:hAnsi="Times New Roman" w:cs="Times New Roman" w:hint="eastAsia"/>
          <w:kern w:val="0"/>
          <w:shd w:val="clear" w:color="auto" w:fill="FFFFFF"/>
        </w:rPr>
        <w:t>风险策略，提升零售业务的</w:t>
      </w:r>
      <w:proofErr w:type="gramStart"/>
      <w:r>
        <w:rPr>
          <w:rFonts w:ascii="Times New Roman" w:eastAsiaTheme="minorEastAsia" w:hAnsi="Times New Roman" w:cs="Times New Roman" w:hint="eastAsia"/>
          <w:kern w:val="0"/>
          <w:shd w:val="clear" w:color="auto" w:fill="FFFFFF"/>
        </w:rPr>
        <w:t>智能化风控水平</w:t>
      </w:r>
      <w:proofErr w:type="gramEnd"/>
      <w:r>
        <w:rPr>
          <w:rFonts w:ascii="Times New Roman" w:eastAsiaTheme="minorEastAsia" w:hAnsi="Times New Roman" w:cs="Times New Roman" w:hint="eastAsia"/>
          <w:kern w:val="0"/>
          <w:shd w:val="clear" w:color="auto" w:fill="FFFFFF"/>
        </w:rPr>
        <w:t>。</w:t>
      </w:r>
    </w:p>
    <w:p w:rsidR="00AD5BB5" w:rsidRDefault="00F87FF6">
      <w:pPr>
        <w:spacing w:line="360" w:lineRule="auto"/>
        <w:ind w:firstLineChars="200" w:firstLine="422"/>
        <w:outlineLvl w:val="2"/>
        <w:rPr>
          <w:rFonts w:ascii="Times New Roman" w:eastAsiaTheme="minorEastAsia" w:hAnsi="Times New Roman"/>
          <w:b/>
          <w:bCs/>
        </w:rPr>
      </w:pPr>
      <w:r>
        <w:rPr>
          <w:rFonts w:ascii="Times New Roman" w:eastAsiaTheme="minorEastAsia" w:hAnsi="Times New Roman"/>
          <w:b/>
          <w:bCs/>
        </w:rPr>
        <w:t>（二）流动性风险管理</w:t>
      </w:r>
    </w:p>
    <w:p w:rsidR="00AD5BB5" w:rsidRDefault="00F87FF6">
      <w:pPr>
        <w:widowControl/>
        <w:spacing w:line="360" w:lineRule="auto"/>
        <w:ind w:firstLineChars="200" w:firstLine="420"/>
        <w:rPr>
          <w:rFonts w:ascii="Times New Roman" w:eastAsiaTheme="minorEastAsia" w:hAnsi="Times New Roman" w:cs="Times New Roman"/>
          <w:kern w:val="0"/>
          <w:shd w:val="clear" w:color="auto" w:fill="FFFFFF"/>
        </w:rPr>
      </w:pPr>
      <w:r>
        <w:rPr>
          <w:rFonts w:ascii="Times New Roman" w:eastAsiaTheme="minorEastAsia" w:hAnsi="Times New Roman" w:cs="Times New Roman" w:hint="eastAsia"/>
          <w:kern w:val="0"/>
          <w:shd w:val="clear" w:color="auto" w:fill="FFFFFF"/>
        </w:rPr>
        <w:t>流动性风险是指公司无法以合理成本及时获得充足资金，用于偿付到期债务、履行其他支付义务和满足正常业务开展的其他资金需求的风险。本公司坚持稳健审慎原则，积极应对外部经营形势变化和货币政策调整，合理制定流动性风险偏好，健全流动性风险管理体系，稳妥规划资金来源和运用，定期开展流动性风险评估和压力测试，深化优质流动性资产管理，强化日间</w:t>
      </w:r>
      <w:proofErr w:type="gramStart"/>
      <w:r>
        <w:rPr>
          <w:rFonts w:ascii="Times New Roman" w:eastAsiaTheme="minorEastAsia" w:hAnsi="Times New Roman" w:cs="Times New Roman" w:hint="eastAsia"/>
          <w:kern w:val="0"/>
          <w:shd w:val="clear" w:color="auto" w:fill="FFFFFF"/>
        </w:rPr>
        <w:t>头寸管</w:t>
      </w:r>
      <w:proofErr w:type="gramEnd"/>
      <w:r>
        <w:rPr>
          <w:rFonts w:ascii="Times New Roman" w:eastAsiaTheme="minorEastAsia" w:hAnsi="Times New Roman" w:cs="Times New Roman" w:hint="eastAsia"/>
          <w:kern w:val="0"/>
          <w:shd w:val="clear" w:color="auto" w:fill="FFFFFF"/>
        </w:rPr>
        <w:t>控，确保公司流动性状况平稳可控。</w:t>
      </w:r>
    </w:p>
    <w:p w:rsidR="00AD5BB5" w:rsidRDefault="00F87FF6">
      <w:pPr>
        <w:widowControl/>
        <w:spacing w:line="360" w:lineRule="auto"/>
        <w:ind w:firstLineChars="200" w:firstLine="420"/>
        <w:rPr>
          <w:rFonts w:ascii="Times New Roman" w:eastAsiaTheme="minorEastAsia" w:hAnsi="Times New Roman"/>
          <w:kern w:val="0"/>
          <w:shd w:val="clear" w:color="auto" w:fill="FFFFFF"/>
        </w:rPr>
      </w:pPr>
      <w:r>
        <w:rPr>
          <w:rFonts w:ascii="Times New Roman" w:eastAsiaTheme="minorEastAsia" w:hAnsi="Times New Roman" w:cs="Times New Roman" w:hint="eastAsia"/>
          <w:kern w:val="0"/>
          <w:shd w:val="clear" w:color="auto" w:fill="FFFFFF"/>
        </w:rPr>
        <w:t>截至报告期末，公司流动性指标整体运行平稳，集团口径流动性比例为</w:t>
      </w:r>
      <w:r>
        <w:rPr>
          <w:rFonts w:ascii="Times New Roman" w:eastAsiaTheme="minorEastAsia" w:hAnsi="Times New Roman" w:cs="Times New Roman"/>
          <w:kern w:val="0"/>
          <w:shd w:val="clear" w:color="auto" w:fill="FFFFFF"/>
        </w:rPr>
        <w:t>78.7%</w:t>
      </w:r>
      <w:r>
        <w:rPr>
          <w:rFonts w:ascii="Times New Roman" w:eastAsiaTheme="minorEastAsia" w:hAnsi="Times New Roman" w:cs="Times New Roman" w:hint="eastAsia"/>
          <w:kern w:val="0"/>
          <w:shd w:val="clear" w:color="auto" w:fill="FFFFFF"/>
        </w:rPr>
        <w:t>，高于监管最低要求</w:t>
      </w:r>
      <w:r>
        <w:rPr>
          <w:rFonts w:ascii="Times New Roman" w:eastAsiaTheme="minorEastAsia" w:hAnsi="Times New Roman" w:cs="Times New Roman"/>
          <w:kern w:val="0"/>
          <w:shd w:val="clear" w:color="auto" w:fill="FFFFFF"/>
        </w:rPr>
        <w:t>53.7</w:t>
      </w:r>
      <w:r>
        <w:rPr>
          <w:rFonts w:ascii="Times New Roman" w:eastAsiaTheme="minorEastAsia" w:hAnsi="Times New Roman" w:cs="Times New Roman" w:hint="eastAsia"/>
          <w:kern w:val="0"/>
          <w:shd w:val="clear" w:color="auto" w:fill="FFFFFF"/>
        </w:rPr>
        <w:t>个百分点；流动性覆盖率为</w:t>
      </w:r>
      <w:r>
        <w:rPr>
          <w:rFonts w:ascii="Times New Roman" w:eastAsiaTheme="minorEastAsia" w:hAnsi="Times New Roman" w:cs="Times New Roman"/>
          <w:kern w:val="0"/>
          <w:shd w:val="clear" w:color="auto" w:fill="FFFFFF"/>
        </w:rPr>
        <w:t>226.48%</w:t>
      </w:r>
      <w:r>
        <w:rPr>
          <w:rFonts w:ascii="Times New Roman" w:eastAsiaTheme="minorEastAsia" w:hAnsi="Times New Roman" w:cs="Times New Roman" w:hint="eastAsia"/>
          <w:kern w:val="0"/>
          <w:shd w:val="clear" w:color="auto" w:fill="FFFFFF"/>
        </w:rPr>
        <w:t>，高于监管最低要求</w:t>
      </w:r>
      <w:r>
        <w:rPr>
          <w:rFonts w:ascii="Times New Roman" w:eastAsiaTheme="minorEastAsia" w:hAnsi="Times New Roman" w:cs="Times New Roman"/>
          <w:kern w:val="0"/>
          <w:shd w:val="clear" w:color="auto" w:fill="FFFFFF"/>
        </w:rPr>
        <w:t>126.48</w:t>
      </w:r>
      <w:r>
        <w:rPr>
          <w:rFonts w:ascii="Times New Roman" w:eastAsiaTheme="minorEastAsia" w:hAnsi="Times New Roman" w:cs="Times New Roman" w:hint="eastAsia"/>
          <w:kern w:val="0"/>
          <w:shd w:val="clear" w:color="auto" w:fill="FFFFFF"/>
        </w:rPr>
        <w:t>个百分点；</w:t>
      </w:r>
      <w:proofErr w:type="gramStart"/>
      <w:r>
        <w:rPr>
          <w:rFonts w:ascii="Times New Roman" w:eastAsiaTheme="minorEastAsia" w:hAnsi="Times New Roman" w:cs="Times New Roman" w:hint="eastAsia"/>
          <w:kern w:val="0"/>
          <w:shd w:val="clear" w:color="auto" w:fill="FFFFFF"/>
        </w:rPr>
        <w:t>净稳定</w:t>
      </w:r>
      <w:proofErr w:type="gramEnd"/>
      <w:r>
        <w:rPr>
          <w:rFonts w:ascii="Times New Roman" w:eastAsiaTheme="minorEastAsia" w:hAnsi="Times New Roman" w:cs="Times New Roman" w:hint="eastAsia"/>
          <w:kern w:val="0"/>
          <w:shd w:val="clear" w:color="auto" w:fill="FFFFFF"/>
        </w:rPr>
        <w:t>资金比例为</w:t>
      </w:r>
      <w:r>
        <w:rPr>
          <w:rFonts w:ascii="Times New Roman" w:eastAsiaTheme="minorEastAsia" w:hAnsi="Times New Roman" w:cs="Times New Roman"/>
          <w:kern w:val="0"/>
          <w:shd w:val="clear" w:color="auto" w:fill="FFFFFF"/>
        </w:rPr>
        <w:t>115.34%</w:t>
      </w:r>
      <w:r>
        <w:rPr>
          <w:rFonts w:ascii="Times New Roman" w:eastAsiaTheme="minorEastAsia" w:hAnsi="Times New Roman" w:cs="Times New Roman" w:hint="eastAsia"/>
          <w:kern w:val="0"/>
          <w:shd w:val="clear" w:color="auto" w:fill="FFFFFF"/>
        </w:rPr>
        <w:t>，高于监管最低要求</w:t>
      </w:r>
      <w:r>
        <w:rPr>
          <w:rFonts w:ascii="Times New Roman" w:eastAsiaTheme="minorEastAsia" w:hAnsi="Times New Roman" w:cs="Times New Roman"/>
          <w:kern w:val="0"/>
          <w:shd w:val="clear" w:color="auto" w:fill="FFFFFF"/>
        </w:rPr>
        <w:t>15.34</w:t>
      </w:r>
      <w:r>
        <w:rPr>
          <w:rFonts w:ascii="Times New Roman" w:eastAsiaTheme="minorEastAsia" w:hAnsi="Times New Roman" w:cs="Times New Roman" w:hint="eastAsia"/>
          <w:kern w:val="0"/>
          <w:shd w:val="clear" w:color="auto" w:fill="FFFFFF"/>
        </w:rPr>
        <w:t>个百分点，流动性储备充足，整体流</w:t>
      </w:r>
      <w:r>
        <w:rPr>
          <w:rFonts w:ascii="Times New Roman" w:eastAsiaTheme="minorEastAsia" w:hAnsi="Times New Roman" w:cs="Times New Roman" w:hint="eastAsia"/>
          <w:kern w:val="0"/>
          <w:shd w:val="clear" w:color="auto" w:fill="FFFFFF"/>
        </w:rPr>
        <w:lastRenderedPageBreak/>
        <w:t>动性安全，未出现异常流动性情况。报告期内，本公司主要采取以下措施加强流动性风险管理：</w:t>
      </w:r>
    </w:p>
    <w:p w:rsidR="00AD5BB5" w:rsidRDefault="00F87FF6">
      <w:pPr>
        <w:widowControl/>
        <w:spacing w:line="360" w:lineRule="auto"/>
        <w:ind w:firstLineChars="200" w:firstLine="420"/>
        <w:rPr>
          <w:rFonts w:ascii="Times New Roman" w:eastAsiaTheme="minorEastAsia" w:hAnsi="Times New Roman"/>
          <w:kern w:val="0"/>
          <w:shd w:val="clear" w:color="auto" w:fill="FFFFFF"/>
        </w:rPr>
      </w:pPr>
      <w:r>
        <w:rPr>
          <w:rFonts w:ascii="Times New Roman" w:eastAsiaTheme="minorEastAsia" w:hAnsi="Times New Roman" w:cs="Times New Roman" w:hint="eastAsia"/>
          <w:kern w:val="0"/>
          <w:shd w:val="clear" w:color="auto" w:fill="FFFFFF"/>
        </w:rPr>
        <w:t>一是加强对资金市场形势的预判，前瞻性、针对性地加大对资产负债的主动管理，密切关注央行政策和金融市场资金面情况；加强与监管部门的沟通交流，审慎对待外部流动性状况并适时调整应对策略。</w:t>
      </w:r>
    </w:p>
    <w:p w:rsidR="00AD5BB5" w:rsidRDefault="00F87FF6">
      <w:pPr>
        <w:widowControl/>
        <w:spacing w:line="360" w:lineRule="auto"/>
        <w:ind w:firstLineChars="200" w:firstLine="420"/>
        <w:rPr>
          <w:rFonts w:ascii="Times New Roman" w:eastAsiaTheme="minorEastAsia" w:hAnsi="Times New Roman"/>
          <w:kern w:val="0"/>
          <w:shd w:val="clear" w:color="auto" w:fill="FFFFFF"/>
        </w:rPr>
      </w:pPr>
      <w:r>
        <w:rPr>
          <w:rFonts w:ascii="Times New Roman" w:eastAsiaTheme="minorEastAsia" w:hAnsi="Times New Roman" w:cs="Times New Roman" w:hint="eastAsia"/>
          <w:kern w:val="0"/>
          <w:shd w:val="clear" w:color="auto" w:fill="FFFFFF"/>
        </w:rPr>
        <w:t>二是搭建资产负债管理指标体系，从日间流动性和中长期流动性管理视角入手，建立流动性限额指标体系，持续监测、跟踪和报告公司流动性状况，适时提出流动性管理应对策略，防范风险。</w:t>
      </w:r>
    </w:p>
    <w:p w:rsidR="00AD5BB5" w:rsidRDefault="00F87FF6">
      <w:pPr>
        <w:widowControl/>
        <w:spacing w:line="360" w:lineRule="auto"/>
        <w:ind w:firstLineChars="200" w:firstLine="420"/>
        <w:rPr>
          <w:rFonts w:ascii="Times New Roman" w:eastAsiaTheme="minorEastAsia" w:hAnsi="Times New Roman"/>
          <w:kern w:val="0"/>
          <w:shd w:val="clear" w:color="auto" w:fill="FFFFFF"/>
        </w:rPr>
      </w:pPr>
      <w:r>
        <w:rPr>
          <w:rFonts w:ascii="Times New Roman" w:eastAsiaTheme="minorEastAsia" w:hAnsi="Times New Roman" w:cs="Times New Roman" w:hint="eastAsia"/>
          <w:kern w:val="0"/>
          <w:shd w:val="clear" w:color="auto" w:fill="FFFFFF"/>
        </w:rPr>
        <w:t>三是优化资产负债结构，合理调整资产久期，加强负债质量管理，积极推进债券发行工作，运用同业存单、大额存单、黄金租赁等工具促进负债来源多样化，强化资产负债主动管理，优化资产负债期限配置。</w:t>
      </w:r>
    </w:p>
    <w:p w:rsidR="00AD5BB5" w:rsidRDefault="00F87FF6">
      <w:pPr>
        <w:widowControl/>
        <w:spacing w:line="360" w:lineRule="auto"/>
        <w:ind w:firstLineChars="200" w:firstLine="422"/>
        <w:rPr>
          <w:rFonts w:ascii="Times New Roman" w:eastAsiaTheme="minorEastAsia" w:hAnsi="Times New Roman"/>
          <w:b/>
          <w:bCs/>
          <w:kern w:val="0"/>
          <w:shd w:val="clear" w:color="auto" w:fill="FFFFFF"/>
        </w:rPr>
      </w:pPr>
      <w:r>
        <w:rPr>
          <w:rFonts w:ascii="Times New Roman" w:eastAsiaTheme="minorEastAsia" w:hAnsi="Times New Roman" w:cs="Times New Roman" w:hint="eastAsia"/>
          <w:b/>
          <w:bCs/>
          <w:kern w:val="0"/>
          <w:shd w:val="clear" w:color="auto" w:fill="FFFFFF"/>
        </w:rPr>
        <w:t>（三）市场风险管理</w:t>
      </w:r>
    </w:p>
    <w:p w:rsidR="00AD5BB5" w:rsidRDefault="00F87FF6">
      <w:pPr>
        <w:widowControl/>
        <w:spacing w:line="360" w:lineRule="auto"/>
        <w:ind w:firstLineChars="200" w:firstLine="420"/>
        <w:rPr>
          <w:rFonts w:ascii="Times New Roman" w:eastAsiaTheme="minorEastAsia" w:hAnsi="Times New Roman"/>
          <w:kern w:val="0"/>
          <w:shd w:val="clear" w:color="auto" w:fill="FFFFFF"/>
        </w:rPr>
      </w:pPr>
      <w:r>
        <w:rPr>
          <w:rFonts w:ascii="Times New Roman" w:eastAsiaTheme="minorEastAsia" w:hAnsi="Times New Roman" w:cs="Times New Roman" w:hint="eastAsia"/>
          <w:kern w:val="0"/>
          <w:shd w:val="clear" w:color="auto" w:fill="FFFFFF"/>
        </w:rPr>
        <w:t>市场风险是指因市场价格（利率、汇率、股票价格、商品价格）的不利变动而导致银行表内和表外业务发生损失的风险。利率风险和汇率风险是本公司所面临的主要市场风险。本公司的市场风险来自交易账簿和银行账簿。交易账簿包括以交易为目的或对冲交易账簿其他项目的风险而持有的资产负债和表外业务。银行账簿包括未纳入交易账簿的资产负债和表外业务。针对交易账簿和银行账簿头寸的性质和风险特征，本公司选择适当的、普遍接受的市场风险计量和管理方法。</w:t>
      </w:r>
    </w:p>
    <w:p w:rsidR="00AD5BB5" w:rsidRDefault="00F87FF6">
      <w:pPr>
        <w:widowControl/>
        <w:spacing w:line="360" w:lineRule="auto"/>
        <w:ind w:firstLineChars="200" w:firstLine="422"/>
        <w:rPr>
          <w:rFonts w:ascii="Times New Roman" w:eastAsiaTheme="minorEastAsia" w:hAnsi="Times New Roman"/>
          <w:b/>
          <w:bCs/>
          <w:kern w:val="0"/>
          <w:shd w:val="clear" w:color="auto" w:fill="FFFFFF"/>
        </w:rPr>
      </w:pPr>
      <w:r>
        <w:rPr>
          <w:rFonts w:ascii="Times New Roman" w:eastAsiaTheme="minorEastAsia" w:hAnsi="Times New Roman" w:cs="Times New Roman" w:hint="eastAsia"/>
          <w:b/>
          <w:bCs/>
          <w:kern w:val="0"/>
          <w:shd w:val="clear" w:color="auto" w:fill="FFFFFF"/>
        </w:rPr>
        <w:t>1.</w:t>
      </w:r>
      <w:r>
        <w:rPr>
          <w:rFonts w:ascii="Times New Roman" w:eastAsiaTheme="minorEastAsia" w:hAnsi="Times New Roman" w:cs="Times New Roman" w:hint="eastAsia"/>
          <w:b/>
          <w:bCs/>
          <w:kern w:val="0"/>
          <w:shd w:val="clear" w:color="auto" w:fill="FFFFFF"/>
        </w:rPr>
        <w:t>交易账簿市场风险管理</w:t>
      </w:r>
    </w:p>
    <w:p w:rsidR="00AD5BB5" w:rsidRDefault="00F87FF6">
      <w:pPr>
        <w:widowControl/>
        <w:spacing w:line="360" w:lineRule="auto"/>
        <w:ind w:firstLineChars="200" w:firstLine="420"/>
        <w:rPr>
          <w:rFonts w:ascii="Times New Roman" w:eastAsiaTheme="minorEastAsia" w:hAnsi="Times New Roman"/>
          <w:kern w:val="0"/>
          <w:shd w:val="clear" w:color="auto" w:fill="FFFFFF"/>
        </w:rPr>
      </w:pPr>
      <w:r>
        <w:rPr>
          <w:rFonts w:ascii="Times New Roman" w:eastAsiaTheme="minorEastAsia" w:hAnsi="Times New Roman" w:cs="Times New Roman" w:hint="eastAsia"/>
          <w:kern w:val="0"/>
          <w:shd w:val="clear" w:color="auto" w:fill="FFFFFF"/>
        </w:rPr>
        <w:t>本公司已建立完善的限额体系管理交易账簿市场风险，限额指标包括风险限额、交易限额、止损限额等。报告期内，本公司紧跟监管要求和金融市场走势，通过持续完善市场风险制度体系、制定并执行年度限额方案、开展风险监测和分析、落实新业务市场风险识别和管理、优化市场风险管理系统、定期开展压力测试等措施，不断强化市场风险识别、计量和监控效能。</w:t>
      </w:r>
    </w:p>
    <w:p w:rsidR="00AD5BB5" w:rsidRDefault="00F87FF6">
      <w:pPr>
        <w:widowControl/>
        <w:spacing w:line="360" w:lineRule="auto"/>
        <w:ind w:firstLineChars="200" w:firstLine="422"/>
        <w:rPr>
          <w:rFonts w:ascii="Times New Roman" w:eastAsiaTheme="minorEastAsia" w:hAnsi="Times New Roman"/>
          <w:b/>
          <w:bCs/>
          <w:kern w:val="0"/>
          <w:shd w:val="clear" w:color="auto" w:fill="FFFFFF"/>
        </w:rPr>
      </w:pPr>
      <w:r>
        <w:rPr>
          <w:rFonts w:ascii="Times New Roman" w:eastAsiaTheme="minorEastAsia" w:hAnsi="Times New Roman" w:cs="Times New Roman" w:hint="eastAsia"/>
          <w:b/>
          <w:bCs/>
          <w:kern w:val="0"/>
          <w:shd w:val="clear" w:color="auto" w:fill="FFFFFF"/>
        </w:rPr>
        <w:t>（</w:t>
      </w:r>
      <w:r>
        <w:rPr>
          <w:rFonts w:ascii="Times New Roman" w:eastAsiaTheme="minorEastAsia" w:hAnsi="Times New Roman" w:cs="Times New Roman" w:hint="eastAsia"/>
          <w:b/>
          <w:bCs/>
          <w:kern w:val="0"/>
          <w:shd w:val="clear" w:color="auto" w:fill="FFFFFF"/>
        </w:rPr>
        <w:t>1</w:t>
      </w:r>
      <w:r>
        <w:rPr>
          <w:rFonts w:ascii="Times New Roman" w:eastAsiaTheme="minorEastAsia" w:hAnsi="Times New Roman" w:cs="Times New Roman" w:hint="eastAsia"/>
          <w:b/>
          <w:bCs/>
          <w:kern w:val="0"/>
          <w:shd w:val="clear" w:color="auto" w:fill="FFFFFF"/>
        </w:rPr>
        <w:t>）交易账簿利率风险</w:t>
      </w:r>
    </w:p>
    <w:p w:rsidR="00AD5BB5" w:rsidRDefault="00F87FF6">
      <w:pPr>
        <w:widowControl/>
        <w:spacing w:line="360" w:lineRule="auto"/>
        <w:ind w:firstLineChars="200" w:firstLine="420"/>
        <w:rPr>
          <w:rFonts w:ascii="Times New Roman" w:eastAsiaTheme="minorEastAsia" w:hAnsi="Times New Roman"/>
          <w:kern w:val="0"/>
          <w:shd w:val="clear" w:color="auto" w:fill="FFFFFF"/>
        </w:rPr>
      </w:pPr>
      <w:r>
        <w:rPr>
          <w:rFonts w:ascii="Times New Roman" w:eastAsiaTheme="minorEastAsia" w:hAnsi="Times New Roman" w:cs="Times New Roman" w:hint="eastAsia"/>
          <w:kern w:val="0"/>
          <w:shd w:val="clear" w:color="auto" w:fill="FFFFFF"/>
        </w:rPr>
        <w:t>2023</w:t>
      </w:r>
      <w:r>
        <w:rPr>
          <w:rFonts w:ascii="Times New Roman" w:eastAsiaTheme="minorEastAsia" w:hAnsi="Times New Roman" w:cs="Times New Roman" w:hint="eastAsia"/>
          <w:kern w:val="0"/>
          <w:shd w:val="clear" w:color="auto" w:fill="FFFFFF"/>
        </w:rPr>
        <w:t>年上半年，债券利率整体呈现阶段震荡、整体走牛的态势。本公司深入研究并持续跟踪宏观经济和货币政策变动，交易账簿利率投资范围主要以人民币债券为主，总体采取较为谨慎的投资策略，通过使用利率类衍生品对冲等方式调整风险敞口，每日监控市场风险限额指标，各项利率类风险整体可控。</w:t>
      </w:r>
    </w:p>
    <w:p w:rsidR="00AD5BB5" w:rsidRDefault="00F87FF6">
      <w:pPr>
        <w:widowControl/>
        <w:spacing w:line="360" w:lineRule="auto"/>
        <w:ind w:firstLineChars="200" w:firstLine="422"/>
        <w:rPr>
          <w:rFonts w:ascii="Times New Roman" w:eastAsiaTheme="minorEastAsia" w:hAnsi="Times New Roman"/>
          <w:b/>
          <w:bCs/>
          <w:kern w:val="0"/>
          <w:shd w:val="clear" w:color="auto" w:fill="FFFFFF"/>
        </w:rPr>
      </w:pPr>
      <w:r>
        <w:rPr>
          <w:rFonts w:ascii="Times New Roman" w:eastAsiaTheme="minorEastAsia" w:hAnsi="Times New Roman" w:cs="Times New Roman" w:hint="eastAsia"/>
          <w:b/>
          <w:bCs/>
          <w:kern w:val="0"/>
          <w:shd w:val="clear" w:color="auto" w:fill="FFFFFF"/>
        </w:rPr>
        <w:t>（</w:t>
      </w:r>
      <w:r>
        <w:rPr>
          <w:rFonts w:ascii="Times New Roman" w:eastAsiaTheme="minorEastAsia" w:hAnsi="Times New Roman" w:cs="Times New Roman" w:hint="eastAsia"/>
          <w:b/>
          <w:bCs/>
          <w:kern w:val="0"/>
          <w:shd w:val="clear" w:color="auto" w:fill="FFFFFF"/>
        </w:rPr>
        <w:t>2</w:t>
      </w:r>
      <w:r>
        <w:rPr>
          <w:rFonts w:ascii="Times New Roman" w:eastAsiaTheme="minorEastAsia" w:hAnsi="Times New Roman" w:cs="Times New Roman" w:hint="eastAsia"/>
          <w:b/>
          <w:bCs/>
          <w:kern w:val="0"/>
          <w:shd w:val="clear" w:color="auto" w:fill="FFFFFF"/>
        </w:rPr>
        <w:t>）交易</w:t>
      </w:r>
      <w:proofErr w:type="gramStart"/>
      <w:r>
        <w:rPr>
          <w:rFonts w:ascii="Times New Roman" w:eastAsiaTheme="minorEastAsia" w:hAnsi="Times New Roman" w:cs="Times New Roman" w:hint="eastAsia"/>
          <w:b/>
          <w:bCs/>
          <w:kern w:val="0"/>
          <w:shd w:val="clear" w:color="auto" w:fill="FFFFFF"/>
        </w:rPr>
        <w:t>账簿汇率</w:t>
      </w:r>
      <w:proofErr w:type="gramEnd"/>
      <w:r>
        <w:rPr>
          <w:rFonts w:ascii="Times New Roman" w:eastAsiaTheme="minorEastAsia" w:hAnsi="Times New Roman" w:cs="Times New Roman" w:hint="eastAsia"/>
          <w:b/>
          <w:bCs/>
          <w:kern w:val="0"/>
          <w:shd w:val="clear" w:color="auto" w:fill="FFFFFF"/>
        </w:rPr>
        <w:t>风险</w:t>
      </w:r>
    </w:p>
    <w:p w:rsidR="00AD5BB5" w:rsidRDefault="00F87FF6">
      <w:pPr>
        <w:widowControl/>
        <w:spacing w:line="360" w:lineRule="auto"/>
        <w:ind w:firstLineChars="200" w:firstLine="420"/>
        <w:rPr>
          <w:rFonts w:ascii="Times New Roman" w:eastAsiaTheme="minorEastAsia" w:hAnsi="Times New Roman"/>
          <w:kern w:val="0"/>
          <w:shd w:val="clear" w:color="auto" w:fill="FFFFFF"/>
        </w:rPr>
      </w:pPr>
      <w:r>
        <w:rPr>
          <w:rFonts w:ascii="Times New Roman" w:eastAsiaTheme="minorEastAsia" w:hAnsi="Times New Roman" w:cs="Times New Roman" w:hint="eastAsia"/>
          <w:kern w:val="0"/>
          <w:shd w:val="clear" w:color="auto" w:fill="FFFFFF"/>
        </w:rPr>
        <w:t>2023</w:t>
      </w:r>
      <w:r>
        <w:rPr>
          <w:rFonts w:ascii="Times New Roman" w:eastAsiaTheme="minorEastAsia" w:hAnsi="Times New Roman" w:cs="Times New Roman" w:hint="eastAsia"/>
          <w:kern w:val="0"/>
          <w:shd w:val="clear" w:color="auto" w:fill="FFFFFF"/>
        </w:rPr>
        <w:t>年上半年，在美联储加息预期反复和中国复苏</w:t>
      </w:r>
      <w:proofErr w:type="gramStart"/>
      <w:r>
        <w:rPr>
          <w:rFonts w:ascii="Times New Roman" w:eastAsiaTheme="minorEastAsia" w:hAnsi="Times New Roman" w:cs="Times New Roman" w:hint="eastAsia"/>
          <w:kern w:val="0"/>
          <w:shd w:val="clear" w:color="auto" w:fill="FFFFFF"/>
        </w:rPr>
        <w:t>弱现实</w:t>
      </w:r>
      <w:proofErr w:type="gramEnd"/>
      <w:r>
        <w:rPr>
          <w:rFonts w:ascii="Times New Roman" w:eastAsiaTheme="minorEastAsia" w:hAnsi="Times New Roman" w:cs="Times New Roman" w:hint="eastAsia"/>
          <w:kern w:val="0"/>
          <w:shd w:val="clear" w:color="auto" w:fill="FFFFFF"/>
        </w:rPr>
        <w:t>的背景下，人民币汇率走出了先升后贬行情。本公司总体采取较为谨慎的投资策略，紧跟金融市场走势，适时调整交易策略，每日监控市场风险限额指标，各项汇率类风险整体可控。</w:t>
      </w:r>
    </w:p>
    <w:p w:rsidR="00AD5BB5" w:rsidRDefault="00F87FF6">
      <w:pPr>
        <w:widowControl/>
        <w:spacing w:line="360" w:lineRule="auto"/>
        <w:ind w:firstLineChars="200" w:firstLine="422"/>
        <w:rPr>
          <w:rFonts w:ascii="Times New Roman" w:eastAsiaTheme="minorEastAsia" w:hAnsi="Times New Roman"/>
          <w:b/>
          <w:bCs/>
          <w:kern w:val="0"/>
          <w:shd w:val="clear" w:color="auto" w:fill="FFFFFF"/>
        </w:rPr>
      </w:pPr>
      <w:r>
        <w:rPr>
          <w:rFonts w:ascii="Times New Roman" w:eastAsiaTheme="minorEastAsia" w:hAnsi="Times New Roman" w:cs="Times New Roman" w:hint="eastAsia"/>
          <w:b/>
          <w:bCs/>
          <w:kern w:val="0"/>
          <w:shd w:val="clear" w:color="auto" w:fill="FFFFFF"/>
        </w:rPr>
        <w:t>2.</w:t>
      </w:r>
      <w:r>
        <w:rPr>
          <w:rFonts w:ascii="Times New Roman" w:eastAsiaTheme="minorEastAsia" w:hAnsi="Times New Roman" w:cs="Times New Roman" w:hint="eastAsia"/>
          <w:b/>
          <w:bCs/>
          <w:kern w:val="0"/>
          <w:shd w:val="clear" w:color="auto" w:fill="FFFFFF"/>
        </w:rPr>
        <w:t>银行账簿市场风险管理</w:t>
      </w:r>
    </w:p>
    <w:p w:rsidR="00AD5BB5" w:rsidRDefault="00F87FF6">
      <w:pPr>
        <w:widowControl/>
        <w:spacing w:line="360" w:lineRule="auto"/>
        <w:ind w:firstLineChars="200" w:firstLine="422"/>
        <w:rPr>
          <w:rFonts w:ascii="Times New Roman" w:eastAsiaTheme="minorEastAsia" w:hAnsi="Times New Roman"/>
          <w:b/>
          <w:bCs/>
          <w:kern w:val="0"/>
          <w:shd w:val="clear" w:color="auto" w:fill="FFFFFF"/>
        </w:rPr>
      </w:pPr>
      <w:r>
        <w:rPr>
          <w:rFonts w:ascii="Times New Roman" w:eastAsiaTheme="minorEastAsia" w:hAnsi="Times New Roman" w:cs="Times New Roman" w:hint="eastAsia"/>
          <w:b/>
          <w:bCs/>
          <w:kern w:val="0"/>
          <w:shd w:val="clear" w:color="auto" w:fill="FFFFFF"/>
        </w:rPr>
        <w:lastRenderedPageBreak/>
        <w:t>（</w:t>
      </w:r>
      <w:r>
        <w:rPr>
          <w:rFonts w:ascii="Times New Roman" w:eastAsiaTheme="minorEastAsia" w:hAnsi="Times New Roman" w:cs="Times New Roman" w:hint="eastAsia"/>
          <w:b/>
          <w:bCs/>
          <w:kern w:val="0"/>
          <w:shd w:val="clear" w:color="auto" w:fill="FFFFFF"/>
        </w:rPr>
        <w:t>1</w:t>
      </w:r>
      <w:r>
        <w:rPr>
          <w:rFonts w:ascii="Times New Roman" w:eastAsiaTheme="minorEastAsia" w:hAnsi="Times New Roman" w:cs="Times New Roman" w:hint="eastAsia"/>
          <w:b/>
          <w:bCs/>
          <w:kern w:val="0"/>
          <w:shd w:val="clear" w:color="auto" w:fill="FFFFFF"/>
        </w:rPr>
        <w:t>）银行账簿利率风险</w:t>
      </w:r>
    </w:p>
    <w:p w:rsidR="00AD5BB5" w:rsidRDefault="00F87FF6">
      <w:pPr>
        <w:widowControl/>
        <w:spacing w:line="360" w:lineRule="auto"/>
        <w:ind w:firstLineChars="200" w:firstLine="420"/>
        <w:rPr>
          <w:rFonts w:ascii="Times New Roman" w:eastAsiaTheme="minorEastAsia" w:hAnsi="Times New Roman"/>
          <w:kern w:val="0"/>
          <w:shd w:val="clear" w:color="auto" w:fill="FFFFFF"/>
        </w:rPr>
      </w:pPr>
      <w:r>
        <w:rPr>
          <w:rFonts w:ascii="Times New Roman" w:eastAsiaTheme="minorEastAsia" w:hAnsi="Times New Roman" w:cs="Times New Roman" w:hint="eastAsia"/>
          <w:kern w:val="0"/>
          <w:shd w:val="clear" w:color="auto" w:fill="FFFFFF"/>
        </w:rPr>
        <w:t>银行账簿利率风险是</w:t>
      </w:r>
      <w:proofErr w:type="gramStart"/>
      <w:r>
        <w:rPr>
          <w:rFonts w:ascii="Times New Roman" w:eastAsiaTheme="minorEastAsia" w:hAnsi="Times New Roman" w:cs="Times New Roman" w:hint="eastAsia"/>
          <w:kern w:val="0"/>
          <w:shd w:val="clear" w:color="auto" w:fill="FFFFFF"/>
        </w:rPr>
        <w:t>指利率</w:t>
      </w:r>
      <w:proofErr w:type="gramEnd"/>
      <w:r>
        <w:rPr>
          <w:rFonts w:ascii="Times New Roman" w:eastAsiaTheme="minorEastAsia" w:hAnsi="Times New Roman" w:cs="Times New Roman" w:hint="eastAsia"/>
          <w:kern w:val="0"/>
          <w:shd w:val="clear" w:color="auto" w:fill="FFFFFF"/>
        </w:rPr>
        <w:t>水平、期限结构等不利变动导致银行账簿经济价值和整体收益遭受损失的风险，主要包括缺口风险、基准风险和期权性风险。</w:t>
      </w:r>
    </w:p>
    <w:p w:rsidR="00AD5BB5" w:rsidRDefault="00F87FF6">
      <w:pPr>
        <w:widowControl/>
        <w:spacing w:line="360" w:lineRule="auto"/>
        <w:ind w:firstLineChars="200" w:firstLine="420"/>
        <w:rPr>
          <w:rFonts w:ascii="Times New Roman" w:eastAsiaTheme="minorEastAsia" w:hAnsi="Times New Roman"/>
          <w:kern w:val="0"/>
          <w:shd w:val="clear" w:color="auto" w:fill="FFFFFF"/>
        </w:rPr>
      </w:pPr>
      <w:r>
        <w:rPr>
          <w:rFonts w:ascii="Times New Roman" w:eastAsiaTheme="minorEastAsia" w:hAnsi="Times New Roman" w:cs="Times New Roman" w:hint="eastAsia"/>
          <w:kern w:val="0"/>
          <w:shd w:val="clear" w:color="auto" w:fill="FFFFFF"/>
        </w:rPr>
        <w:t>本公司主要运用重定价缺口分析、</w:t>
      </w:r>
      <w:proofErr w:type="gramStart"/>
      <w:r>
        <w:rPr>
          <w:rFonts w:ascii="Times New Roman" w:eastAsiaTheme="minorEastAsia" w:hAnsi="Times New Roman" w:cs="Times New Roman" w:hint="eastAsia"/>
          <w:kern w:val="0"/>
          <w:shd w:val="clear" w:color="auto" w:fill="FFFFFF"/>
        </w:rPr>
        <w:t>久期分析</w:t>
      </w:r>
      <w:proofErr w:type="gramEnd"/>
      <w:r>
        <w:rPr>
          <w:rFonts w:ascii="Times New Roman" w:eastAsiaTheme="minorEastAsia" w:hAnsi="Times New Roman" w:cs="Times New Roman" w:hint="eastAsia"/>
          <w:kern w:val="0"/>
          <w:shd w:val="clear" w:color="auto" w:fill="FFFFFF"/>
        </w:rPr>
        <w:t>、净利息收入分析、经济价值分析和压力测试等方法，对银行账簿利率风险进行计量和分析。报告期内，本公司积极应对市场环境变化和政策动向，制定银行账簿利率风险管理策略和偏好，根据利率走势分析和预判，主动调整业务结构和重定价方式，同时，加强相关风险指标监测，确保在可承受的风险范围内，实现净利息收益和经济价值的最大化。</w:t>
      </w:r>
    </w:p>
    <w:p w:rsidR="00AD5BB5" w:rsidRDefault="00F87FF6">
      <w:pPr>
        <w:widowControl/>
        <w:spacing w:line="360" w:lineRule="auto"/>
        <w:ind w:firstLineChars="200" w:firstLine="422"/>
        <w:rPr>
          <w:rFonts w:ascii="Times New Roman" w:eastAsiaTheme="minorEastAsia" w:hAnsi="Times New Roman"/>
          <w:b/>
          <w:bCs/>
          <w:kern w:val="0"/>
          <w:shd w:val="clear" w:color="auto" w:fill="FFFFFF"/>
        </w:rPr>
      </w:pPr>
      <w:r>
        <w:rPr>
          <w:rFonts w:ascii="Times New Roman" w:eastAsiaTheme="minorEastAsia" w:hAnsi="Times New Roman" w:cs="Times New Roman" w:hint="eastAsia"/>
          <w:b/>
          <w:bCs/>
          <w:kern w:val="0"/>
          <w:shd w:val="clear" w:color="auto" w:fill="FFFFFF"/>
        </w:rPr>
        <w:t>（</w:t>
      </w:r>
      <w:r>
        <w:rPr>
          <w:rFonts w:ascii="Times New Roman" w:eastAsiaTheme="minorEastAsia" w:hAnsi="Times New Roman" w:cs="Times New Roman" w:hint="eastAsia"/>
          <w:b/>
          <w:bCs/>
          <w:kern w:val="0"/>
          <w:shd w:val="clear" w:color="auto" w:fill="FFFFFF"/>
        </w:rPr>
        <w:t>2</w:t>
      </w:r>
      <w:r>
        <w:rPr>
          <w:rFonts w:ascii="Times New Roman" w:eastAsiaTheme="minorEastAsia" w:hAnsi="Times New Roman" w:cs="Times New Roman" w:hint="eastAsia"/>
          <w:b/>
          <w:bCs/>
          <w:kern w:val="0"/>
          <w:shd w:val="clear" w:color="auto" w:fill="FFFFFF"/>
        </w:rPr>
        <w:t>）银行</w:t>
      </w:r>
      <w:proofErr w:type="gramStart"/>
      <w:r>
        <w:rPr>
          <w:rFonts w:ascii="Times New Roman" w:eastAsiaTheme="minorEastAsia" w:hAnsi="Times New Roman" w:cs="Times New Roman" w:hint="eastAsia"/>
          <w:b/>
          <w:bCs/>
          <w:kern w:val="0"/>
          <w:shd w:val="clear" w:color="auto" w:fill="FFFFFF"/>
        </w:rPr>
        <w:t>账簿汇率</w:t>
      </w:r>
      <w:proofErr w:type="gramEnd"/>
      <w:r>
        <w:rPr>
          <w:rFonts w:ascii="Times New Roman" w:eastAsiaTheme="minorEastAsia" w:hAnsi="Times New Roman" w:cs="Times New Roman" w:hint="eastAsia"/>
          <w:b/>
          <w:bCs/>
          <w:kern w:val="0"/>
          <w:shd w:val="clear" w:color="auto" w:fill="FFFFFF"/>
        </w:rPr>
        <w:t>风险</w:t>
      </w:r>
    </w:p>
    <w:p w:rsidR="00AD5BB5" w:rsidRDefault="00F87FF6">
      <w:pPr>
        <w:widowControl/>
        <w:spacing w:line="360" w:lineRule="auto"/>
        <w:ind w:firstLineChars="200" w:firstLine="420"/>
        <w:rPr>
          <w:rFonts w:ascii="Times New Roman" w:eastAsiaTheme="minorEastAsia" w:hAnsi="Times New Roman"/>
          <w:kern w:val="0"/>
          <w:shd w:val="clear" w:color="auto" w:fill="FFFFFF"/>
        </w:rPr>
      </w:pPr>
      <w:r>
        <w:rPr>
          <w:rFonts w:ascii="Times New Roman" w:eastAsiaTheme="minorEastAsia" w:hAnsi="Times New Roman" w:cs="Times New Roman" w:hint="eastAsia"/>
          <w:kern w:val="0"/>
          <w:shd w:val="clear" w:color="auto" w:fill="FFFFFF"/>
        </w:rPr>
        <w:t>本公司银行</w:t>
      </w:r>
      <w:proofErr w:type="gramStart"/>
      <w:r>
        <w:rPr>
          <w:rFonts w:ascii="Times New Roman" w:eastAsiaTheme="minorEastAsia" w:hAnsi="Times New Roman" w:cs="Times New Roman" w:hint="eastAsia"/>
          <w:kern w:val="0"/>
          <w:shd w:val="clear" w:color="auto" w:fill="FFFFFF"/>
        </w:rPr>
        <w:t>账簿汇率</w:t>
      </w:r>
      <w:proofErr w:type="gramEnd"/>
      <w:r>
        <w:rPr>
          <w:rFonts w:ascii="Times New Roman" w:eastAsiaTheme="minorEastAsia" w:hAnsi="Times New Roman" w:cs="Times New Roman" w:hint="eastAsia"/>
          <w:kern w:val="0"/>
          <w:shd w:val="clear" w:color="auto" w:fill="FFFFFF"/>
        </w:rPr>
        <w:t>风险主要来自非人民币计价的资产负债在币种间的错配风险。</w:t>
      </w:r>
    </w:p>
    <w:p w:rsidR="00AD5BB5" w:rsidRDefault="00F87FF6">
      <w:pPr>
        <w:widowControl/>
        <w:spacing w:line="360" w:lineRule="auto"/>
        <w:ind w:firstLineChars="200" w:firstLine="420"/>
        <w:rPr>
          <w:rFonts w:ascii="Times New Roman" w:eastAsiaTheme="minorEastAsia" w:hAnsi="Times New Roman"/>
          <w:kern w:val="0"/>
          <w:shd w:val="clear" w:color="auto" w:fill="FFFFFF"/>
        </w:rPr>
      </w:pPr>
      <w:r>
        <w:rPr>
          <w:rFonts w:ascii="Times New Roman" w:eastAsiaTheme="minorEastAsia" w:hAnsi="Times New Roman" w:cs="Times New Roman" w:hint="eastAsia"/>
          <w:kern w:val="0"/>
          <w:shd w:val="clear" w:color="auto" w:fill="FFFFFF"/>
        </w:rPr>
        <w:t>报告期内，本公司执行稳健的汇率风险管理政策，在国内外形势多变的情况下，主要通过限额管理、调整资产负债规模和结构等方式管</w:t>
      </w:r>
      <w:proofErr w:type="gramStart"/>
      <w:r>
        <w:rPr>
          <w:rFonts w:ascii="Times New Roman" w:eastAsiaTheme="minorEastAsia" w:hAnsi="Times New Roman" w:cs="Times New Roman" w:hint="eastAsia"/>
          <w:kern w:val="0"/>
          <w:shd w:val="clear" w:color="auto" w:fill="FFFFFF"/>
        </w:rPr>
        <w:t>控银行账簿汇率</w:t>
      </w:r>
      <w:proofErr w:type="gramEnd"/>
      <w:r>
        <w:rPr>
          <w:rFonts w:ascii="Times New Roman" w:eastAsiaTheme="minorEastAsia" w:hAnsi="Times New Roman" w:cs="Times New Roman" w:hint="eastAsia"/>
          <w:kern w:val="0"/>
          <w:shd w:val="clear" w:color="auto" w:fill="FFFFFF"/>
        </w:rPr>
        <w:t>风险，并通过累计外汇敞口头寸比例衡量本公司面临的银行</w:t>
      </w:r>
      <w:proofErr w:type="gramStart"/>
      <w:r>
        <w:rPr>
          <w:rFonts w:ascii="Times New Roman" w:eastAsiaTheme="minorEastAsia" w:hAnsi="Times New Roman" w:cs="Times New Roman" w:hint="eastAsia"/>
          <w:kern w:val="0"/>
          <w:shd w:val="clear" w:color="auto" w:fill="FFFFFF"/>
        </w:rPr>
        <w:t>账簿汇率</w:t>
      </w:r>
      <w:proofErr w:type="gramEnd"/>
      <w:r>
        <w:rPr>
          <w:rFonts w:ascii="Times New Roman" w:eastAsiaTheme="minorEastAsia" w:hAnsi="Times New Roman" w:cs="Times New Roman" w:hint="eastAsia"/>
          <w:kern w:val="0"/>
          <w:shd w:val="clear" w:color="auto" w:fill="FFFFFF"/>
        </w:rPr>
        <w:t>风险，通过指标动态跟踪和监测，确保银行</w:t>
      </w:r>
      <w:proofErr w:type="gramStart"/>
      <w:r>
        <w:rPr>
          <w:rFonts w:ascii="Times New Roman" w:eastAsiaTheme="minorEastAsia" w:hAnsi="Times New Roman" w:cs="Times New Roman" w:hint="eastAsia"/>
          <w:kern w:val="0"/>
          <w:shd w:val="clear" w:color="auto" w:fill="FFFFFF"/>
        </w:rPr>
        <w:t>账簿汇率</w:t>
      </w:r>
      <w:proofErr w:type="gramEnd"/>
      <w:r>
        <w:rPr>
          <w:rFonts w:ascii="Times New Roman" w:eastAsiaTheme="minorEastAsia" w:hAnsi="Times New Roman" w:cs="Times New Roman" w:hint="eastAsia"/>
          <w:kern w:val="0"/>
          <w:shd w:val="clear" w:color="auto" w:fill="FFFFFF"/>
        </w:rPr>
        <w:t>风险保持在可控范围。截至报告期末，本公司汇率风险总体可控。</w:t>
      </w:r>
    </w:p>
    <w:p w:rsidR="00AD5BB5" w:rsidRDefault="00F87FF6">
      <w:pPr>
        <w:spacing w:line="360" w:lineRule="auto"/>
        <w:ind w:firstLineChars="200" w:firstLine="422"/>
        <w:outlineLvl w:val="2"/>
        <w:rPr>
          <w:rFonts w:ascii="Times New Roman" w:eastAsiaTheme="minorEastAsia" w:hAnsi="Times New Roman"/>
          <w:b/>
          <w:bCs/>
        </w:rPr>
      </w:pPr>
      <w:r>
        <w:rPr>
          <w:rFonts w:ascii="Times New Roman" w:eastAsiaTheme="minorEastAsia" w:hAnsi="Times New Roman"/>
          <w:b/>
          <w:bCs/>
        </w:rPr>
        <w:t>（四）操作风险管理</w:t>
      </w:r>
    </w:p>
    <w:p w:rsidR="00AD5BB5" w:rsidRDefault="00F87FF6">
      <w:pPr>
        <w:widowControl/>
        <w:spacing w:line="360" w:lineRule="auto"/>
        <w:ind w:firstLineChars="200" w:firstLine="420"/>
        <w:rPr>
          <w:rFonts w:ascii="Times New Roman" w:eastAsiaTheme="minorEastAsia" w:hAnsi="Times New Roman"/>
          <w:kern w:val="0"/>
          <w:shd w:val="clear" w:color="auto" w:fill="FFFFFF"/>
        </w:rPr>
      </w:pPr>
      <w:r>
        <w:rPr>
          <w:rFonts w:ascii="Times New Roman" w:eastAsiaTheme="minorEastAsia" w:hAnsi="Times New Roman" w:cs="Times New Roman" w:hint="eastAsia"/>
          <w:kern w:val="0"/>
          <w:shd w:val="clear" w:color="auto" w:fill="FFFFFF"/>
        </w:rPr>
        <w:t>操作风险是指由不完善或有问题的内部程序、员工和信息科技系统，以及外部事件所造成损失的风险。</w:t>
      </w:r>
    </w:p>
    <w:p w:rsidR="00AD5BB5" w:rsidRDefault="00F87FF6">
      <w:pPr>
        <w:widowControl/>
        <w:spacing w:line="360" w:lineRule="auto"/>
        <w:ind w:firstLineChars="200" w:firstLine="420"/>
        <w:rPr>
          <w:rFonts w:ascii="Times New Roman" w:eastAsiaTheme="minorEastAsia" w:hAnsi="Times New Roman"/>
          <w:kern w:val="0"/>
          <w:shd w:val="clear" w:color="auto" w:fill="FFFFFF"/>
        </w:rPr>
      </w:pPr>
      <w:r>
        <w:rPr>
          <w:rFonts w:asciiTheme="minorEastAsia" w:eastAsiaTheme="minorEastAsia" w:hAnsiTheme="minorEastAsia" w:cstheme="minorEastAsia" w:hint="eastAsia"/>
          <w:kern w:val="0"/>
          <w:shd w:val="clear" w:color="auto" w:fill="FFFFFF"/>
        </w:rPr>
        <w:t>针对操作风险点多面广的特点，本公司操作风险管理本着成本收益匹配、投入产出平衡的原则，在一定的成本下，最大限度地加强操作风险管理体系建设，落实内部控制制度，持续稳健开展各项业务。在操作风险管理过程中，本公司在董事会设定的风险容忍度内，通过完善风险管理机制、加强重点领域风险排查、优化操作风险管理工具等措施，进一步提升操</w:t>
      </w:r>
      <w:r>
        <w:rPr>
          <w:rFonts w:ascii="Times New Roman" w:eastAsiaTheme="minorEastAsia" w:hAnsi="Times New Roman" w:cs="Times New Roman" w:hint="eastAsia"/>
          <w:kern w:val="0"/>
          <w:shd w:val="clear" w:color="auto" w:fill="FFFFFF"/>
        </w:rPr>
        <w:t>作风险管理质效，防范或降低操作风险损失。</w:t>
      </w:r>
    </w:p>
    <w:p w:rsidR="00AD5BB5" w:rsidRDefault="00F87FF6">
      <w:pPr>
        <w:widowControl/>
        <w:spacing w:line="360" w:lineRule="auto"/>
        <w:ind w:firstLineChars="200" w:firstLine="420"/>
        <w:rPr>
          <w:rFonts w:ascii="Times New Roman" w:eastAsiaTheme="minorEastAsia" w:hAnsi="Times New Roman"/>
          <w:kern w:val="0"/>
          <w:shd w:val="clear" w:color="auto" w:fill="FFFFFF"/>
        </w:rPr>
      </w:pPr>
      <w:r>
        <w:rPr>
          <w:rFonts w:ascii="Times New Roman" w:eastAsiaTheme="minorEastAsia" w:hAnsi="Times New Roman" w:cs="Times New Roman" w:hint="eastAsia"/>
          <w:kern w:val="0"/>
          <w:shd w:val="clear" w:color="auto" w:fill="FFFFFF"/>
        </w:rPr>
        <w:t>报告期内，本公司以优化操作风险管理质效为目标，持续完善操作风险管理体系：</w:t>
      </w:r>
    </w:p>
    <w:p w:rsidR="00AD5BB5" w:rsidRDefault="00F87FF6">
      <w:pPr>
        <w:widowControl/>
        <w:spacing w:line="360" w:lineRule="auto"/>
        <w:ind w:firstLineChars="200" w:firstLine="420"/>
        <w:rPr>
          <w:rFonts w:ascii="Times New Roman" w:eastAsiaTheme="minorEastAsia" w:hAnsi="Times New Roman"/>
          <w:kern w:val="0"/>
          <w:shd w:val="clear" w:color="auto" w:fill="FFFFFF"/>
        </w:rPr>
      </w:pPr>
      <w:r>
        <w:rPr>
          <w:rFonts w:ascii="Times New Roman" w:eastAsiaTheme="minorEastAsia" w:hAnsi="Times New Roman" w:cs="Times New Roman" w:hint="eastAsia"/>
          <w:kern w:val="0"/>
          <w:shd w:val="clear" w:color="auto" w:fill="FFFFFF"/>
        </w:rPr>
        <w:t>一是持续完善操作风险管理制度，细化管理要求与执行标准，深化操作风险制度体系建设。</w:t>
      </w:r>
    </w:p>
    <w:p w:rsidR="00AD5BB5" w:rsidRDefault="00F87FF6">
      <w:pPr>
        <w:widowControl/>
        <w:spacing w:line="360" w:lineRule="auto"/>
        <w:ind w:firstLineChars="200" w:firstLine="420"/>
        <w:rPr>
          <w:rFonts w:ascii="Times New Roman" w:eastAsiaTheme="minorEastAsia" w:hAnsi="Times New Roman"/>
          <w:kern w:val="0"/>
          <w:shd w:val="clear" w:color="auto" w:fill="FFFFFF"/>
        </w:rPr>
      </w:pPr>
      <w:r>
        <w:rPr>
          <w:rFonts w:ascii="Times New Roman" w:eastAsiaTheme="minorEastAsia" w:hAnsi="Times New Roman" w:cs="Times New Roman" w:hint="eastAsia"/>
          <w:kern w:val="0"/>
          <w:shd w:val="clear" w:color="auto" w:fill="FFFFFF"/>
        </w:rPr>
        <w:t>二是加强重点领域风险防控，重点关注高风险领域和关键流程，及时发布操作风险提示并开展专项自查，捕捉潜在风险隐患，优化风险控制措施。</w:t>
      </w:r>
    </w:p>
    <w:p w:rsidR="00AD5BB5" w:rsidRDefault="00F87FF6">
      <w:pPr>
        <w:widowControl/>
        <w:spacing w:line="360" w:lineRule="auto"/>
        <w:ind w:firstLineChars="200" w:firstLine="420"/>
        <w:rPr>
          <w:rFonts w:ascii="Times New Roman" w:eastAsiaTheme="minorEastAsia" w:hAnsi="Times New Roman"/>
          <w:kern w:val="0"/>
          <w:shd w:val="clear" w:color="auto" w:fill="FFFFFF"/>
        </w:rPr>
      </w:pPr>
      <w:r>
        <w:rPr>
          <w:rFonts w:ascii="Times New Roman" w:eastAsiaTheme="minorEastAsia" w:hAnsi="Times New Roman" w:cs="Times New Roman" w:hint="eastAsia"/>
          <w:kern w:val="0"/>
          <w:shd w:val="clear" w:color="auto" w:fill="FFFFFF"/>
        </w:rPr>
        <w:t>三是定期组织操作风险自评估，主动、持续地识别评估业务流程中的潜在风险并采取优化方案。</w:t>
      </w:r>
    </w:p>
    <w:p w:rsidR="00AD5BB5" w:rsidRDefault="00F87FF6">
      <w:pPr>
        <w:widowControl/>
        <w:spacing w:line="360" w:lineRule="auto"/>
        <w:ind w:firstLineChars="200" w:firstLine="420"/>
        <w:rPr>
          <w:rFonts w:ascii="Times New Roman" w:eastAsiaTheme="minorEastAsia" w:hAnsi="Times New Roman"/>
          <w:kern w:val="0"/>
          <w:shd w:val="clear" w:color="auto" w:fill="FFFFFF"/>
        </w:rPr>
      </w:pPr>
      <w:r>
        <w:rPr>
          <w:rFonts w:ascii="Times New Roman" w:eastAsiaTheme="minorEastAsia" w:hAnsi="Times New Roman" w:cs="Times New Roman" w:hint="eastAsia"/>
          <w:kern w:val="0"/>
          <w:shd w:val="clear" w:color="auto" w:fill="FFFFFF"/>
        </w:rPr>
        <w:t>四是优化操作风险管理工具，建立并完善符合业务实际、具有风险管</w:t>
      </w:r>
      <w:proofErr w:type="gramStart"/>
      <w:r>
        <w:rPr>
          <w:rFonts w:ascii="Times New Roman" w:eastAsiaTheme="minorEastAsia" w:hAnsi="Times New Roman" w:cs="Times New Roman" w:hint="eastAsia"/>
          <w:kern w:val="0"/>
          <w:shd w:val="clear" w:color="auto" w:fill="FFFFFF"/>
        </w:rPr>
        <w:t>控效果</w:t>
      </w:r>
      <w:proofErr w:type="gramEnd"/>
      <w:r>
        <w:rPr>
          <w:rFonts w:ascii="Times New Roman" w:eastAsiaTheme="minorEastAsia" w:hAnsi="Times New Roman" w:cs="Times New Roman" w:hint="eastAsia"/>
          <w:kern w:val="0"/>
          <w:shd w:val="clear" w:color="auto" w:fill="FFFFFF"/>
        </w:rPr>
        <w:t>的关键风险指标，确保指标变动能够及时、客观地反映操作风险的变化情况。</w:t>
      </w:r>
    </w:p>
    <w:p w:rsidR="00AD5BB5" w:rsidRDefault="00F87FF6">
      <w:pPr>
        <w:widowControl/>
        <w:spacing w:line="360" w:lineRule="auto"/>
        <w:ind w:firstLineChars="200" w:firstLine="420"/>
        <w:rPr>
          <w:rFonts w:ascii="Times New Roman" w:eastAsiaTheme="minorEastAsia" w:hAnsi="Times New Roman"/>
          <w:kern w:val="0"/>
          <w:shd w:val="clear" w:color="auto" w:fill="FFFFFF"/>
        </w:rPr>
      </w:pPr>
      <w:r>
        <w:rPr>
          <w:rFonts w:ascii="Times New Roman" w:eastAsiaTheme="minorEastAsia" w:hAnsi="Times New Roman" w:cs="Times New Roman" w:hint="eastAsia"/>
          <w:kern w:val="0"/>
          <w:shd w:val="clear" w:color="auto" w:fill="FFFFFF"/>
        </w:rPr>
        <w:t>五是持续跟踪、监测操作风险事件信息，强化操作风险事件收集与分析，督导事中及时纠正，关注操作风险事件整改质效，完善操作风险闭环管理。</w:t>
      </w:r>
    </w:p>
    <w:p w:rsidR="00AD5BB5" w:rsidRDefault="00F87FF6">
      <w:pPr>
        <w:spacing w:line="360" w:lineRule="auto"/>
        <w:ind w:firstLineChars="200" w:firstLine="422"/>
        <w:outlineLvl w:val="2"/>
        <w:rPr>
          <w:rFonts w:ascii="Times New Roman" w:eastAsiaTheme="minorEastAsia" w:hAnsi="Times New Roman"/>
          <w:b/>
          <w:bCs/>
        </w:rPr>
      </w:pPr>
      <w:r>
        <w:rPr>
          <w:rFonts w:ascii="Times New Roman" w:eastAsiaTheme="minorEastAsia" w:hAnsi="Times New Roman"/>
          <w:b/>
          <w:bCs/>
        </w:rPr>
        <w:t>（五）合</w:t>
      </w:r>
      <w:proofErr w:type="gramStart"/>
      <w:r>
        <w:rPr>
          <w:rFonts w:ascii="Times New Roman" w:eastAsiaTheme="minorEastAsia" w:hAnsi="Times New Roman"/>
          <w:b/>
          <w:bCs/>
        </w:rPr>
        <w:t>规</w:t>
      </w:r>
      <w:proofErr w:type="gramEnd"/>
      <w:r>
        <w:rPr>
          <w:rFonts w:ascii="Times New Roman" w:eastAsiaTheme="minorEastAsia" w:hAnsi="Times New Roman"/>
          <w:b/>
          <w:bCs/>
        </w:rPr>
        <w:t>风险管理</w:t>
      </w:r>
    </w:p>
    <w:p w:rsidR="00AD5BB5" w:rsidRDefault="00F87FF6">
      <w:pPr>
        <w:widowControl/>
        <w:spacing w:line="360" w:lineRule="auto"/>
        <w:ind w:firstLineChars="200" w:firstLine="420"/>
        <w:rPr>
          <w:rFonts w:ascii="Times New Roman" w:eastAsiaTheme="minorEastAsia" w:hAnsi="Times New Roman"/>
          <w:kern w:val="0"/>
          <w:shd w:val="clear" w:color="auto" w:fill="FFFFFF"/>
        </w:rPr>
      </w:pPr>
      <w:r>
        <w:rPr>
          <w:rFonts w:ascii="Times New Roman" w:eastAsiaTheme="minorEastAsia" w:hAnsi="Times New Roman" w:cs="Times New Roman" w:hint="eastAsia"/>
          <w:kern w:val="0"/>
          <w:shd w:val="clear" w:color="auto" w:fill="FFFFFF"/>
        </w:rPr>
        <w:lastRenderedPageBreak/>
        <w:t>合</w:t>
      </w:r>
      <w:proofErr w:type="gramStart"/>
      <w:r>
        <w:rPr>
          <w:rFonts w:ascii="Times New Roman" w:eastAsiaTheme="minorEastAsia" w:hAnsi="Times New Roman" w:cs="Times New Roman" w:hint="eastAsia"/>
          <w:kern w:val="0"/>
          <w:shd w:val="clear" w:color="auto" w:fill="FFFFFF"/>
        </w:rPr>
        <w:t>规</w:t>
      </w:r>
      <w:proofErr w:type="gramEnd"/>
      <w:r>
        <w:rPr>
          <w:rFonts w:ascii="Times New Roman" w:eastAsiaTheme="minorEastAsia" w:hAnsi="Times New Roman" w:cs="Times New Roman" w:hint="eastAsia"/>
          <w:kern w:val="0"/>
          <w:shd w:val="clear" w:color="auto" w:fill="FFFFFF"/>
        </w:rPr>
        <w:t>风险是指本公司因没有遵循外部法律法规、规则和准则可能遭受法律制裁、监管处罚、重大财务损失和声誉损失的风险。</w:t>
      </w:r>
    </w:p>
    <w:p w:rsidR="00AD5BB5" w:rsidRDefault="00F87FF6">
      <w:pPr>
        <w:widowControl/>
        <w:spacing w:line="360" w:lineRule="auto"/>
        <w:ind w:firstLineChars="200" w:firstLine="420"/>
        <w:rPr>
          <w:rFonts w:ascii="Times New Roman" w:eastAsiaTheme="minorEastAsia" w:hAnsi="Times New Roman"/>
          <w:kern w:val="0"/>
          <w:shd w:val="clear" w:color="auto" w:fill="FFFFFF"/>
        </w:rPr>
      </w:pPr>
      <w:r>
        <w:rPr>
          <w:rFonts w:ascii="Times New Roman" w:eastAsiaTheme="minorEastAsia" w:hAnsi="Times New Roman" w:cs="Times New Roman" w:hint="eastAsia"/>
          <w:kern w:val="0"/>
          <w:shd w:val="clear" w:color="auto" w:fill="FFFFFF"/>
        </w:rPr>
        <w:t>报告期内，面对持续“强监管、严监管”态势，本公司主动适应监管政策和要求，持续健全内控合</w:t>
      </w:r>
      <w:proofErr w:type="gramStart"/>
      <w:r>
        <w:rPr>
          <w:rFonts w:ascii="Times New Roman" w:eastAsiaTheme="minorEastAsia" w:hAnsi="Times New Roman" w:cs="Times New Roman" w:hint="eastAsia"/>
          <w:kern w:val="0"/>
          <w:shd w:val="clear" w:color="auto" w:fill="FFFFFF"/>
        </w:rPr>
        <w:t>规</w:t>
      </w:r>
      <w:proofErr w:type="gramEnd"/>
      <w:r>
        <w:rPr>
          <w:rFonts w:ascii="Times New Roman" w:eastAsiaTheme="minorEastAsia" w:hAnsi="Times New Roman" w:cs="Times New Roman" w:hint="eastAsia"/>
          <w:kern w:val="0"/>
          <w:shd w:val="clear" w:color="auto" w:fill="FFFFFF"/>
        </w:rPr>
        <w:t>管理的长效机制，主要采取以下措施防范合</w:t>
      </w:r>
      <w:proofErr w:type="gramStart"/>
      <w:r>
        <w:rPr>
          <w:rFonts w:ascii="Times New Roman" w:eastAsiaTheme="minorEastAsia" w:hAnsi="Times New Roman" w:cs="Times New Roman" w:hint="eastAsia"/>
          <w:kern w:val="0"/>
          <w:shd w:val="clear" w:color="auto" w:fill="FFFFFF"/>
        </w:rPr>
        <w:t>规</w:t>
      </w:r>
      <w:proofErr w:type="gramEnd"/>
      <w:r>
        <w:rPr>
          <w:rFonts w:ascii="Times New Roman" w:eastAsiaTheme="minorEastAsia" w:hAnsi="Times New Roman" w:cs="Times New Roman" w:hint="eastAsia"/>
          <w:kern w:val="0"/>
          <w:shd w:val="clear" w:color="auto" w:fill="FFFFFF"/>
        </w:rPr>
        <w:t>风险：</w:t>
      </w:r>
    </w:p>
    <w:p w:rsidR="00AD5BB5" w:rsidRDefault="00F87FF6">
      <w:pPr>
        <w:widowControl/>
        <w:spacing w:line="360" w:lineRule="auto"/>
        <w:ind w:firstLineChars="200" w:firstLine="420"/>
        <w:rPr>
          <w:rFonts w:ascii="Times New Roman" w:eastAsiaTheme="minorEastAsia" w:hAnsi="Times New Roman"/>
          <w:kern w:val="0"/>
          <w:shd w:val="clear" w:color="auto" w:fill="FFFFFF"/>
        </w:rPr>
      </w:pPr>
      <w:r>
        <w:rPr>
          <w:rFonts w:ascii="Times New Roman" w:eastAsiaTheme="minorEastAsia" w:hAnsi="Times New Roman" w:cs="Times New Roman" w:hint="eastAsia"/>
          <w:kern w:val="0"/>
          <w:shd w:val="clear" w:color="auto" w:fill="FFFFFF"/>
        </w:rPr>
        <w:t>一是准确把握合</w:t>
      </w:r>
      <w:proofErr w:type="gramStart"/>
      <w:r>
        <w:rPr>
          <w:rFonts w:ascii="Times New Roman" w:eastAsiaTheme="minorEastAsia" w:hAnsi="Times New Roman" w:cs="Times New Roman" w:hint="eastAsia"/>
          <w:kern w:val="0"/>
          <w:shd w:val="clear" w:color="auto" w:fill="FFFFFF"/>
        </w:rPr>
        <w:t>规</w:t>
      </w:r>
      <w:proofErr w:type="gramEnd"/>
      <w:r>
        <w:rPr>
          <w:rFonts w:ascii="Times New Roman" w:eastAsiaTheme="minorEastAsia" w:hAnsi="Times New Roman" w:cs="Times New Roman" w:hint="eastAsia"/>
          <w:kern w:val="0"/>
          <w:shd w:val="clear" w:color="auto" w:fill="FFFFFF"/>
        </w:rPr>
        <w:t>方向，加强对监管新</w:t>
      </w:r>
      <w:proofErr w:type="gramStart"/>
      <w:r>
        <w:rPr>
          <w:rFonts w:ascii="Times New Roman" w:eastAsiaTheme="minorEastAsia" w:hAnsi="Times New Roman" w:cs="Times New Roman" w:hint="eastAsia"/>
          <w:kern w:val="0"/>
          <w:shd w:val="clear" w:color="auto" w:fill="FFFFFF"/>
        </w:rPr>
        <w:t>规</w:t>
      </w:r>
      <w:proofErr w:type="gramEnd"/>
      <w:r>
        <w:rPr>
          <w:rFonts w:ascii="Times New Roman" w:eastAsiaTheme="minorEastAsia" w:hAnsi="Times New Roman" w:cs="Times New Roman" w:hint="eastAsia"/>
          <w:kern w:val="0"/>
          <w:shd w:val="clear" w:color="auto" w:fill="FFFFFF"/>
        </w:rPr>
        <w:t>的解读、传导，及时开展外</w:t>
      </w:r>
      <w:proofErr w:type="gramStart"/>
      <w:r>
        <w:rPr>
          <w:rFonts w:ascii="Times New Roman" w:eastAsiaTheme="minorEastAsia" w:hAnsi="Times New Roman" w:cs="Times New Roman" w:hint="eastAsia"/>
          <w:kern w:val="0"/>
          <w:shd w:val="clear" w:color="auto" w:fill="FFFFFF"/>
        </w:rPr>
        <w:t>规</w:t>
      </w:r>
      <w:proofErr w:type="gramEnd"/>
      <w:r>
        <w:rPr>
          <w:rFonts w:ascii="Times New Roman" w:eastAsiaTheme="minorEastAsia" w:hAnsi="Times New Roman" w:cs="Times New Roman" w:hint="eastAsia"/>
          <w:kern w:val="0"/>
          <w:shd w:val="clear" w:color="auto" w:fill="FFFFFF"/>
        </w:rPr>
        <w:t>转内</w:t>
      </w:r>
      <w:proofErr w:type="gramStart"/>
      <w:r>
        <w:rPr>
          <w:rFonts w:ascii="Times New Roman" w:eastAsiaTheme="minorEastAsia" w:hAnsi="Times New Roman" w:cs="Times New Roman" w:hint="eastAsia"/>
          <w:kern w:val="0"/>
          <w:shd w:val="clear" w:color="auto" w:fill="FFFFFF"/>
        </w:rPr>
        <w:t>规</w:t>
      </w:r>
      <w:proofErr w:type="gramEnd"/>
      <w:r>
        <w:rPr>
          <w:rFonts w:ascii="Times New Roman" w:eastAsiaTheme="minorEastAsia" w:hAnsi="Times New Roman" w:cs="Times New Roman" w:hint="eastAsia"/>
          <w:kern w:val="0"/>
          <w:shd w:val="clear" w:color="auto" w:fill="FFFFFF"/>
        </w:rPr>
        <w:t>，落实监管新</w:t>
      </w:r>
      <w:proofErr w:type="gramStart"/>
      <w:r>
        <w:rPr>
          <w:rFonts w:ascii="Times New Roman" w:eastAsiaTheme="minorEastAsia" w:hAnsi="Times New Roman" w:cs="Times New Roman" w:hint="eastAsia"/>
          <w:kern w:val="0"/>
          <w:shd w:val="clear" w:color="auto" w:fill="FFFFFF"/>
        </w:rPr>
        <w:t>规</w:t>
      </w:r>
      <w:proofErr w:type="gramEnd"/>
      <w:r>
        <w:rPr>
          <w:rFonts w:ascii="Times New Roman" w:eastAsiaTheme="minorEastAsia" w:hAnsi="Times New Roman" w:cs="Times New Roman" w:hint="eastAsia"/>
          <w:kern w:val="0"/>
          <w:shd w:val="clear" w:color="auto" w:fill="FFFFFF"/>
        </w:rPr>
        <w:t>在本公司的应用与实施，有效识别、评估、缓释新产品、新业务及重大项目的合</w:t>
      </w:r>
      <w:proofErr w:type="gramStart"/>
      <w:r>
        <w:rPr>
          <w:rFonts w:ascii="Times New Roman" w:eastAsiaTheme="minorEastAsia" w:hAnsi="Times New Roman" w:cs="Times New Roman" w:hint="eastAsia"/>
          <w:kern w:val="0"/>
          <w:shd w:val="clear" w:color="auto" w:fill="FFFFFF"/>
        </w:rPr>
        <w:t>规</w:t>
      </w:r>
      <w:proofErr w:type="gramEnd"/>
      <w:r>
        <w:rPr>
          <w:rFonts w:ascii="Times New Roman" w:eastAsiaTheme="minorEastAsia" w:hAnsi="Times New Roman" w:cs="Times New Roman" w:hint="eastAsia"/>
          <w:kern w:val="0"/>
          <w:shd w:val="clear" w:color="auto" w:fill="FFFFFF"/>
        </w:rPr>
        <w:t>风险。</w:t>
      </w:r>
    </w:p>
    <w:p w:rsidR="00AD5BB5" w:rsidRDefault="00F87FF6">
      <w:pPr>
        <w:widowControl/>
        <w:spacing w:line="360" w:lineRule="auto"/>
        <w:ind w:firstLineChars="200" w:firstLine="420"/>
        <w:rPr>
          <w:rFonts w:ascii="Times New Roman" w:eastAsiaTheme="minorEastAsia" w:hAnsi="Times New Roman"/>
          <w:shd w:val="clear" w:color="auto" w:fill="FFFFFF"/>
        </w:rPr>
      </w:pPr>
      <w:r>
        <w:rPr>
          <w:rFonts w:ascii="Times New Roman" w:eastAsiaTheme="minorEastAsia" w:hAnsi="Times New Roman" w:hint="eastAsia"/>
          <w:kern w:val="0"/>
          <w:shd w:val="clear" w:color="auto" w:fill="FFFFFF"/>
        </w:rPr>
        <w:t>二是深化内控合</w:t>
      </w:r>
      <w:proofErr w:type="gramStart"/>
      <w:r>
        <w:rPr>
          <w:rFonts w:ascii="Times New Roman" w:eastAsiaTheme="minorEastAsia" w:hAnsi="Times New Roman" w:hint="eastAsia"/>
          <w:kern w:val="0"/>
          <w:shd w:val="clear" w:color="auto" w:fill="FFFFFF"/>
        </w:rPr>
        <w:t>规</w:t>
      </w:r>
      <w:proofErr w:type="gramEnd"/>
      <w:r>
        <w:rPr>
          <w:rFonts w:ascii="Times New Roman" w:eastAsiaTheme="minorEastAsia" w:hAnsi="Times New Roman" w:hint="eastAsia"/>
          <w:kern w:val="0"/>
          <w:shd w:val="clear" w:color="auto" w:fill="FFFFFF"/>
        </w:rPr>
        <w:t>管理建设，扎实开展“案防合规提升年”活动，重点围绕员工行为管理、业务操作流程两条主线开展案件风险点排查，加强监管政策、法律规制、典型案例三方</w:t>
      </w:r>
      <w:r>
        <w:rPr>
          <w:rFonts w:ascii="Times New Roman" w:eastAsiaTheme="minorEastAsia" w:hAnsi="Times New Roman" w:cs="Times New Roman" w:hint="eastAsia"/>
          <w:shd w:val="clear" w:color="auto" w:fill="FFFFFF"/>
        </w:rPr>
        <w:t>面的宣讲教育，从组织架构、制度体系、业务流程、合</w:t>
      </w:r>
      <w:proofErr w:type="gramStart"/>
      <w:r>
        <w:rPr>
          <w:rFonts w:ascii="Times New Roman" w:eastAsiaTheme="minorEastAsia" w:hAnsi="Times New Roman" w:cs="Times New Roman" w:hint="eastAsia"/>
          <w:shd w:val="clear" w:color="auto" w:fill="FFFFFF"/>
        </w:rPr>
        <w:t>规</w:t>
      </w:r>
      <w:proofErr w:type="gramEnd"/>
      <w:r>
        <w:rPr>
          <w:rFonts w:ascii="Times New Roman" w:eastAsiaTheme="minorEastAsia" w:hAnsi="Times New Roman" w:cs="Times New Roman" w:hint="eastAsia"/>
          <w:shd w:val="clear" w:color="auto" w:fill="FFFFFF"/>
        </w:rPr>
        <w:t>文化四维度优化建设，持续</w:t>
      </w:r>
      <w:proofErr w:type="gramStart"/>
      <w:r>
        <w:rPr>
          <w:rFonts w:ascii="Times New Roman" w:eastAsiaTheme="minorEastAsia" w:hAnsi="Times New Roman" w:cs="Times New Roman" w:hint="eastAsia"/>
          <w:shd w:val="clear" w:color="auto" w:fill="FFFFFF"/>
        </w:rPr>
        <w:t>提升案防合规</w:t>
      </w:r>
      <w:proofErr w:type="gramEnd"/>
      <w:r>
        <w:rPr>
          <w:rFonts w:ascii="Times New Roman" w:eastAsiaTheme="minorEastAsia" w:hAnsi="Times New Roman" w:cs="Times New Roman" w:hint="eastAsia"/>
          <w:shd w:val="clear" w:color="auto" w:fill="FFFFFF"/>
        </w:rPr>
        <w:t>管理水平。</w:t>
      </w:r>
    </w:p>
    <w:p w:rsidR="00AD5BB5" w:rsidRDefault="00F87FF6">
      <w:pPr>
        <w:widowControl/>
        <w:spacing w:line="360" w:lineRule="auto"/>
        <w:ind w:firstLineChars="200" w:firstLine="420"/>
        <w:rPr>
          <w:rFonts w:ascii="Times New Roman" w:eastAsiaTheme="minorEastAsia" w:hAnsi="Times New Roman"/>
          <w:shd w:val="clear" w:color="auto" w:fill="FFFFFF"/>
        </w:rPr>
      </w:pPr>
      <w:r>
        <w:rPr>
          <w:rFonts w:ascii="Times New Roman" w:eastAsiaTheme="minorEastAsia" w:hAnsi="Times New Roman" w:cs="Times New Roman" w:hint="eastAsia"/>
          <w:shd w:val="clear" w:color="auto" w:fill="FFFFFF"/>
        </w:rPr>
        <w:t>三是加强制度全生命周期管理，建立健全制度体系，促进业务管理制度化、制度制定标准化、制度内容精细化，提升制度管理质效，为内控合</w:t>
      </w:r>
      <w:proofErr w:type="gramStart"/>
      <w:r>
        <w:rPr>
          <w:rFonts w:ascii="Times New Roman" w:eastAsiaTheme="minorEastAsia" w:hAnsi="Times New Roman" w:cs="Times New Roman" w:hint="eastAsia"/>
          <w:shd w:val="clear" w:color="auto" w:fill="FFFFFF"/>
        </w:rPr>
        <w:t>规</w:t>
      </w:r>
      <w:proofErr w:type="gramEnd"/>
      <w:r>
        <w:rPr>
          <w:rFonts w:ascii="Times New Roman" w:eastAsiaTheme="minorEastAsia" w:hAnsi="Times New Roman" w:cs="Times New Roman" w:hint="eastAsia"/>
          <w:shd w:val="clear" w:color="auto" w:fill="FFFFFF"/>
        </w:rPr>
        <w:t>持续深化提供保障。</w:t>
      </w:r>
    </w:p>
    <w:p w:rsidR="00AD5BB5" w:rsidRDefault="00F87FF6">
      <w:pPr>
        <w:widowControl/>
        <w:spacing w:line="360" w:lineRule="auto"/>
        <w:ind w:firstLineChars="200" w:firstLine="420"/>
        <w:rPr>
          <w:rFonts w:ascii="Times New Roman" w:eastAsiaTheme="minorEastAsia" w:hAnsi="Times New Roman"/>
          <w:shd w:val="clear" w:color="auto" w:fill="FFFFFF"/>
        </w:rPr>
      </w:pPr>
      <w:r>
        <w:rPr>
          <w:rFonts w:ascii="Times New Roman" w:eastAsiaTheme="minorEastAsia" w:hAnsi="Times New Roman" w:cs="Times New Roman" w:hint="eastAsia"/>
          <w:shd w:val="clear" w:color="auto" w:fill="FFFFFF"/>
        </w:rPr>
        <w:t>四是强化员工行为管理，实现案件风险信息化监测管理、员工异常行为信息监测管理，定期开展案件风险排查、员工异常行为排查等，通过“预防从业人员金融违法犯罪警示教育培训”等课程，筑牢员工思想防线，严防案件风险。</w:t>
      </w:r>
    </w:p>
    <w:p w:rsidR="00AD5BB5" w:rsidRDefault="00F87FF6">
      <w:pPr>
        <w:spacing w:line="360" w:lineRule="auto"/>
        <w:ind w:firstLineChars="200" w:firstLine="422"/>
        <w:outlineLvl w:val="2"/>
        <w:rPr>
          <w:rFonts w:ascii="Times New Roman" w:eastAsiaTheme="minorEastAsia" w:hAnsi="Times New Roman"/>
          <w:b/>
          <w:bCs/>
        </w:rPr>
      </w:pPr>
      <w:r>
        <w:rPr>
          <w:rFonts w:ascii="Times New Roman" w:eastAsiaTheme="minorEastAsia" w:hAnsi="Times New Roman"/>
          <w:b/>
          <w:bCs/>
        </w:rPr>
        <w:t>（六）信息科技风险管理</w:t>
      </w:r>
    </w:p>
    <w:p w:rsidR="00AD5BB5" w:rsidRDefault="00F87FF6">
      <w:pPr>
        <w:widowControl/>
        <w:spacing w:line="360" w:lineRule="auto"/>
        <w:ind w:firstLineChars="200" w:firstLine="420"/>
        <w:rPr>
          <w:rFonts w:ascii="Times New Roman" w:eastAsiaTheme="minorEastAsia" w:hAnsi="Times New Roman"/>
          <w:shd w:val="clear" w:color="auto" w:fill="FFFFFF"/>
        </w:rPr>
      </w:pPr>
      <w:r>
        <w:rPr>
          <w:rFonts w:ascii="Times New Roman" w:eastAsiaTheme="minorEastAsia" w:hAnsi="Times New Roman" w:cs="Times New Roman" w:hint="eastAsia"/>
          <w:shd w:val="clear" w:color="auto" w:fill="FFFFFF"/>
        </w:rPr>
        <w:t>信息科技风险是指信息科技在本公司运用过程中，由于自然因素、人为因素、技术漏洞和管理缺陷产生的操作、法律和声誉风险。</w:t>
      </w:r>
    </w:p>
    <w:p w:rsidR="00AD5BB5" w:rsidRDefault="00F87FF6">
      <w:pPr>
        <w:widowControl/>
        <w:spacing w:line="360" w:lineRule="auto"/>
        <w:ind w:firstLineChars="200" w:firstLine="420"/>
        <w:rPr>
          <w:rFonts w:ascii="Times New Roman" w:eastAsiaTheme="minorEastAsia" w:hAnsi="Times New Roman"/>
          <w:shd w:val="clear" w:color="auto" w:fill="FFFFFF"/>
        </w:rPr>
      </w:pPr>
      <w:r>
        <w:rPr>
          <w:rFonts w:ascii="Times New Roman" w:eastAsiaTheme="minorEastAsia" w:hAnsi="Times New Roman" w:hint="eastAsia"/>
          <w:kern w:val="0"/>
          <w:shd w:val="clear" w:color="auto" w:fill="FFFFFF"/>
        </w:rPr>
        <w:t>报告期内，本公司信息系统生产运行总体平稳有序，重要信息系统运行情况正常，顺利完成各重要时期的生产安全及网络安全保障工作；未发生信息安全事件，未发生重要业务运</w:t>
      </w:r>
      <w:r>
        <w:rPr>
          <w:rFonts w:ascii="Times New Roman" w:eastAsiaTheme="minorEastAsia" w:hAnsi="Times New Roman" w:cs="Times New Roman" w:hint="eastAsia"/>
          <w:shd w:val="clear" w:color="auto" w:fill="FFFFFF"/>
        </w:rPr>
        <w:t>营中断事件。</w:t>
      </w:r>
    </w:p>
    <w:p w:rsidR="00AD5BB5" w:rsidRDefault="00F87FF6">
      <w:pPr>
        <w:widowControl/>
        <w:spacing w:line="360" w:lineRule="auto"/>
        <w:ind w:firstLineChars="200" w:firstLine="420"/>
        <w:rPr>
          <w:rFonts w:ascii="Times New Roman" w:eastAsiaTheme="minorEastAsia" w:hAnsi="Times New Roman"/>
          <w:shd w:val="clear" w:color="auto" w:fill="FFFFFF"/>
        </w:rPr>
      </w:pPr>
      <w:r>
        <w:rPr>
          <w:rFonts w:ascii="Times New Roman" w:eastAsiaTheme="minorEastAsia" w:hAnsi="Times New Roman" w:cs="Times New Roman" w:hint="eastAsia"/>
          <w:shd w:val="clear" w:color="auto" w:fill="FFFFFF"/>
        </w:rPr>
        <w:t>报告期内，公司持续夯实信息科技基础建设，完善网络信息安全防护体系，推进信息安全管理和技术措施全面落地，强化信息科技风险防控：</w:t>
      </w:r>
    </w:p>
    <w:p w:rsidR="00AD5BB5" w:rsidRDefault="00F87FF6">
      <w:pPr>
        <w:widowControl/>
        <w:spacing w:line="360" w:lineRule="auto"/>
        <w:ind w:firstLineChars="200" w:firstLine="420"/>
        <w:rPr>
          <w:rFonts w:ascii="Times New Roman" w:eastAsiaTheme="minorEastAsia" w:hAnsi="Times New Roman"/>
          <w:shd w:val="clear" w:color="auto" w:fill="FFFFFF"/>
        </w:rPr>
      </w:pPr>
      <w:r>
        <w:rPr>
          <w:rFonts w:ascii="Times New Roman" w:eastAsiaTheme="minorEastAsia" w:hAnsi="Times New Roman" w:cs="Times New Roman" w:hint="eastAsia"/>
          <w:shd w:val="clear" w:color="auto" w:fill="FFFFFF"/>
        </w:rPr>
        <w:t>一是持续完善公司网络安全防护体系，完善信息安全相关规范和技术防范手段，开展安全渗透测试、</w:t>
      </w:r>
      <w:proofErr w:type="gramStart"/>
      <w:r>
        <w:rPr>
          <w:rFonts w:ascii="Times New Roman" w:eastAsiaTheme="minorEastAsia" w:hAnsi="Times New Roman" w:cs="Times New Roman" w:hint="eastAsia"/>
          <w:shd w:val="clear" w:color="auto" w:fill="FFFFFF"/>
        </w:rPr>
        <w:t>安全众测</w:t>
      </w:r>
      <w:proofErr w:type="gramEnd"/>
      <w:r>
        <w:rPr>
          <w:rFonts w:ascii="Times New Roman" w:eastAsiaTheme="minorEastAsia" w:hAnsi="Times New Roman" w:cs="Times New Roman" w:hint="eastAsia"/>
          <w:shd w:val="clear" w:color="auto" w:fill="FFFFFF"/>
        </w:rPr>
        <w:t>及信息安全评估，将信息安全落实到项目开发建设全生命周期。</w:t>
      </w:r>
    </w:p>
    <w:p w:rsidR="00AD5BB5" w:rsidRDefault="00F87FF6">
      <w:pPr>
        <w:widowControl/>
        <w:spacing w:line="360" w:lineRule="auto"/>
        <w:ind w:firstLineChars="200" w:firstLine="420"/>
        <w:rPr>
          <w:rFonts w:ascii="Times New Roman" w:eastAsiaTheme="minorEastAsia" w:hAnsi="Times New Roman"/>
          <w:shd w:val="clear" w:color="auto" w:fill="FFFFFF"/>
        </w:rPr>
      </w:pPr>
      <w:r>
        <w:rPr>
          <w:rFonts w:ascii="Times New Roman" w:eastAsiaTheme="minorEastAsia" w:hAnsi="Times New Roman" w:cs="Times New Roman" w:hint="eastAsia"/>
          <w:shd w:val="clear" w:color="auto" w:fill="FFFFFF"/>
        </w:rPr>
        <w:t>二是丰富信息科技风险监测指标库，开展信息科技风险监测、信息科技全面风险评估及各类专项风险评估，开展项目开发建设过程的规范性检查。</w:t>
      </w:r>
    </w:p>
    <w:p w:rsidR="00AD5BB5" w:rsidRDefault="00F87FF6">
      <w:pPr>
        <w:widowControl/>
        <w:spacing w:line="360" w:lineRule="auto"/>
        <w:ind w:firstLineChars="200" w:firstLine="420"/>
        <w:rPr>
          <w:rFonts w:ascii="Times New Roman" w:eastAsiaTheme="minorEastAsia" w:hAnsi="Times New Roman"/>
          <w:shd w:val="clear" w:color="auto" w:fill="FFFFFF"/>
        </w:rPr>
      </w:pPr>
      <w:r>
        <w:rPr>
          <w:rFonts w:ascii="Times New Roman" w:eastAsiaTheme="minorEastAsia" w:hAnsi="Times New Roman" w:cs="Times New Roman" w:hint="eastAsia"/>
          <w:shd w:val="clear" w:color="auto" w:fill="FFFFFF"/>
        </w:rPr>
        <w:t>三是加强信息科技外包风险管理，明确外包准入范围，建立外包服务目录，强化外包服务日常监控，开展外包业务风险评估和外包</w:t>
      </w:r>
      <w:proofErr w:type="gramStart"/>
      <w:r>
        <w:rPr>
          <w:rFonts w:ascii="Times New Roman" w:eastAsiaTheme="minorEastAsia" w:hAnsi="Times New Roman" w:cs="Times New Roman" w:hint="eastAsia"/>
          <w:shd w:val="clear" w:color="auto" w:fill="FFFFFF"/>
        </w:rPr>
        <w:t>商服务</w:t>
      </w:r>
      <w:proofErr w:type="gramEnd"/>
      <w:r>
        <w:rPr>
          <w:rFonts w:ascii="Times New Roman" w:eastAsiaTheme="minorEastAsia" w:hAnsi="Times New Roman" w:cs="Times New Roman" w:hint="eastAsia"/>
          <w:shd w:val="clear" w:color="auto" w:fill="FFFFFF"/>
        </w:rPr>
        <w:t>质量评价，开展信息科技非驻场外包现场检查。</w:t>
      </w:r>
    </w:p>
    <w:p w:rsidR="00AD5BB5" w:rsidRDefault="00F87FF6">
      <w:pPr>
        <w:widowControl/>
        <w:spacing w:line="360" w:lineRule="auto"/>
        <w:ind w:firstLineChars="200" w:firstLine="420"/>
        <w:rPr>
          <w:rFonts w:ascii="Times New Roman" w:eastAsiaTheme="minorEastAsia" w:hAnsi="Times New Roman"/>
          <w:shd w:val="clear" w:color="auto" w:fill="FFFFFF"/>
        </w:rPr>
      </w:pPr>
      <w:r>
        <w:rPr>
          <w:rFonts w:ascii="Times New Roman" w:eastAsiaTheme="minorEastAsia" w:hAnsi="Times New Roman" w:cs="Times New Roman" w:hint="eastAsia"/>
          <w:shd w:val="clear" w:color="auto" w:fill="FFFFFF"/>
        </w:rPr>
        <w:t>四是持续加强业务连续性管理，组织开展信息系统的真实接管演练工作。</w:t>
      </w:r>
    </w:p>
    <w:p w:rsidR="00AD5BB5" w:rsidRDefault="00F87FF6">
      <w:pPr>
        <w:spacing w:line="360" w:lineRule="auto"/>
        <w:ind w:firstLineChars="200" w:firstLine="422"/>
        <w:outlineLvl w:val="2"/>
        <w:rPr>
          <w:rFonts w:ascii="Times New Roman" w:eastAsiaTheme="minorEastAsia" w:hAnsi="Times New Roman"/>
          <w:kern w:val="0"/>
          <w:shd w:val="clear" w:color="auto" w:fill="FFFFFF"/>
        </w:rPr>
      </w:pPr>
      <w:r>
        <w:rPr>
          <w:rFonts w:ascii="Times New Roman" w:eastAsiaTheme="minorEastAsia" w:hAnsi="Times New Roman"/>
          <w:b/>
          <w:bCs/>
        </w:rPr>
        <w:t>（七）声誉风险管理</w:t>
      </w:r>
    </w:p>
    <w:p w:rsidR="00AD5BB5" w:rsidRDefault="00F87FF6">
      <w:pPr>
        <w:widowControl/>
        <w:spacing w:line="360" w:lineRule="auto"/>
        <w:ind w:firstLineChars="200" w:firstLine="420"/>
        <w:rPr>
          <w:rFonts w:ascii="Times New Roman" w:eastAsiaTheme="minorEastAsia" w:hAnsi="Times New Roman"/>
          <w:shd w:val="clear" w:color="auto" w:fill="FFFFFF"/>
        </w:rPr>
      </w:pPr>
      <w:r>
        <w:rPr>
          <w:rFonts w:ascii="Times New Roman" w:eastAsiaTheme="minorEastAsia" w:hAnsi="Times New Roman" w:cs="Times New Roman" w:hint="eastAsia"/>
          <w:shd w:val="clear" w:color="auto" w:fill="FFFFFF"/>
        </w:rPr>
        <w:lastRenderedPageBreak/>
        <w:t>声誉风险是指由本公司经营、管理及其他行为或外部事件导致利益相关方、社会公众、媒体对本公司做出负面评价的风险。</w:t>
      </w:r>
    </w:p>
    <w:p w:rsidR="00AD5BB5" w:rsidRDefault="00F87FF6">
      <w:pPr>
        <w:widowControl/>
        <w:spacing w:line="360" w:lineRule="auto"/>
        <w:ind w:firstLineChars="200" w:firstLine="420"/>
        <w:rPr>
          <w:rFonts w:ascii="Times New Roman" w:eastAsiaTheme="minorEastAsia" w:hAnsi="Times New Roman"/>
          <w:shd w:val="clear" w:color="auto" w:fill="FFFFFF"/>
        </w:rPr>
      </w:pPr>
      <w:r>
        <w:rPr>
          <w:rFonts w:ascii="Times New Roman" w:eastAsiaTheme="minorEastAsia" w:hAnsi="Times New Roman" w:cs="Times New Roman" w:hint="eastAsia"/>
          <w:shd w:val="clear" w:color="auto" w:fill="FFFFFF"/>
        </w:rPr>
        <w:t>报告期内，本公司主要采取以下措施，多</w:t>
      </w:r>
      <w:proofErr w:type="gramStart"/>
      <w:r>
        <w:rPr>
          <w:rFonts w:ascii="Times New Roman" w:eastAsiaTheme="minorEastAsia" w:hAnsi="Times New Roman" w:cs="Times New Roman" w:hint="eastAsia"/>
          <w:shd w:val="clear" w:color="auto" w:fill="FFFFFF"/>
        </w:rPr>
        <w:t>措</w:t>
      </w:r>
      <w:proofErr w:type="gramEnd"/>
      <w:r>
        <w:rPr>
          <w:rFonts w:ascii="Times New Roman" w:eastAsiaTheme="minorEastAsia" w:hAnsi="Times New Roman" w:cs="Times New Roman" w:hint="eastAsia"/>
          <w:shd w:val="clear" w:color="auto" w:fill="FFFFFF"/>
        </w:rPr>
        <w:t>并举，做好各项声誉风险管理工作：</w:t>
      </w:r>
    </w:p>
    <w:p w:rsidR="00AD5BB5" w:rsidRDefault="00F87FF6">
      <w:pPr>
        <w:widowControl/>
        <w:spacing w:line="360" w:lineRule="auto"/>
        <w:ind w:firstLineChars="200" w:firstLine="420"/>
        <w:rPr>
          <w:rFonts w:ascii="Times New Roman" w:eastAsiaTheme="minorEastAsia" w:hAnsi="Times New Roman"/>
          <w:shd w:val="clear" w:color="auto" w:fill="FFFFFF"/>
        </w:rPr>
      </w:pPr>
      <w:r>
        <w:rPr>
          <w:rFonts w:ascii="Times New Roman" w:eastAsiaTheme="minorEastAsia" w:hAnsi="Times New Roman" w:cs="Times New Roman" w:hint="eastAsia"/>
          <w:shd w:val="clear" w:color="auto" w:fill="FFFFFF"/>
        </w:rPr>
        <w:t>一是完善机制建设，监督制度落实。本公司根据外部环境变化，及时调整声誉风险管理策略，持续完善声誉风险管理制度与应急预案；严格按照声誉风险管理制度要求开展管理工作，规范声誉风险管理流程及报告路径，同时将声誉风险管理因素纳入全面风险管理绩效考核指标范畴；定期在总分行、子公司、各网点开展声誉风险排查，化解潜在声誉隐患；积极开展声誉风险演练与培训，强化风险防范意识，提升全员声誉风险应对及处置能力。</w:t>
      </w:r>
    </w:p>
    <w:p w:rsidR="00AD5BB5" w:rsidRDefault="00F87FF6">
      <w:pPr>
        <w:widowControl/>
        <w:spacing w:line="360" w:lineRule="auto"/>
        <w:ind w:firstLineChars="200" w:firstLine="420"/>
        <w:rPr>
          <w:rFonts w:ascii="Times New Roman" w:eastAsiaTheme="minorEastAsia" w:hAnsi="Times New Roman"/>
          <w:shd w:val="clear" w:color="auto" w:fill="FFFFFF"/>
        </w:rPr>
      </w:pPr>
      <w:r>
        <w:rPr>
          <w:rFonts w:ascii="Times New Roman" w:eastAsiaTheme="minorEastAsia" w:hAnsi="Times New Roman" w:cs="Times New Roman" w:hint="eastAsia"/>
          <w:shd w:val="clear" w:color="auto" w:fill="FFFFFF"/>
        </w:rPr>
        <w:t>二是强化公司形象塑造，积极引导正面舆论。本公司积极开展正面新闻宣传，并以事件宣传带动品牌宣传及业务营销工作，建立各层次、多渠道适合公司的新闻宣传渠道，宣传本公司发展动态及产品信息，树立正面良好的品牌形象，稳步提升公司的知名度和认同感。</w:t>
      </w:r>
    </w:p>
    <w:p w:rsidR="00AD5BB5" w:rsidRDefault="00F87FF6">
      <w:pPr>
        <w:spacing w:line="360" w:lineRule="auto"/>
        <w:ind w:firstLineChars="200" w:firstLine="422"/>
        <w:outlineLvl w:val="2"/>
        <w:rPr>
          <w:rFonts w:ascii="Times New Roman" w:eastAsiaTheme="minorEastAsia" w:hAnsi="Times New Roman"/>
          <w:b/>
          <w:bCs/>
        </w:rPr>
      </w:pPr>
      <w:r>
        <w:rPr>
          <w:rFonts w:ascii="Times New Roman" w:eastAsiaTheme="minorEastAsia" w:hAnsi="Times New Roman"/>
          <w:b/>
          <w:bCs/>
        </w:rPr>
        <w:t>（八）洗钱风险管理</w:t>
      </w:r>
    </w:p>
    <w:p w:rsidR="00AD5BB5" w:rsidRDefault="00F87FF6">
      <w:pPr>
        <w:widowControl/>
        <w:spacing w:line="360" w:lineRule="auto"/>
        <w:ind w:firstLineChars="200" w:firstLine="420"/>
        <w:rPr>
          <w:rFonts w:ascii="Times New Roman" w:eastAsiaTheme="minorEastAsia" w:hAnsi="Times New Roman"/>
          <w:shd w:val="clear" w:color="auto" w:fill="FFFFFF"/>
        </w:rPr>
      </w:pPr>
      <w:r>
        <w:rPr>
          <w:rFonts w:ascii="Times New Roman" w:eastAsiaTheme="minorEastAsia" w:hAnsi="Times New Roman" w:hint="eastAsia"/>
          <w:shd w:val="clear" w:color="auto" w:fill="FFFFFF"/>
        </w:rPr>
        <w:t>洗钱风险是指本公司在开展业务和经营管理过程中可能被洗钱违法犯罪活动利用而面临的风险，包括洗钱、恐怖融资和扩散融资风险。本公司已建立较为完善的洗钱风险管理机制及完备的反洗钱管理制度，以保障反洗</w:t>
      </w:r>
      <w:proofErr w:type="gramStart"/>
      <w:r>
        <w:rPr>
          <w:rFonts w:ascii="Times New Roman" w:eastAsiaTheme="minorEastAsia" w:hAnsi="Times New Roman" w:hint="eastAsia"/>
          <w:shd w:val="clear" w:color="auto" w:fill="FFFFFF"/>
        </w:rPr>
        <w:t>钱工作</w:t>
      </w:r>
      <w:proofErr w:type="gramEnd"/>
      <w:r>
        <w:rPr>
          <w:rFonts w:ascii="Times New Roman" w:eastAsiaTheme="minorEastAsia" w:hAnsi="Times New Roman" w:hint="eastAsia"/>
          <w:shd w:val="clear" w:color="auto" w:fill="FFFFFF"/>
        </w:rPr>
        <w:t>有序开展。</w:t>
      </w:r>
    </w:p>
    <w:p w:rsidR="00AD5BB5" w:rsidRDefault="00F87FF6">
      <w:pPr>
        <w:widowControl/>
        <w:spacing w:line="360" w:lineRule="auto"/>
        <w:ind w:firstLineChars="200" w:firstLine="420"/>
        <w:rPr>
          <w:rFonts w:ascii="Times New Roman" w:eastAsiaTheme="minorEastAsia" w:hAnsi="Times New Roman"/>
          <w:shd w:val="clear" w:color="auto" w:fill="FFFFFF"/>
        </w:rPr>
      </w:pPr>
      <w:r>
        <w:rPr>
          <w:rFonts w:ascii="Times New Roman" w:eastAsiaTheme="minorEastAsia" w:hAnsi="Times New Roman" w:hint="eastAsia"/>
          <w:shd w:val="clear" w:color="auto" w:fill="FFFFFF"/>
        </w:rPr>
        <w:t>报告期内，本公司根据反洗钱相关法律法规和监管要求，认真履行反洗钱义务，采取多项举措保障洗钱风险管理的有效性。</w:t>
      </w:r>
    </w:p>
    <w:p w:rsidR="00AD5BB5" w:rsidRDefault="00F87FF6">
      <w:pPr>
        <w:widowControl/>
        <w:spacing w:line="360" w:lineRule="auto"/>
        <w:ind w:firstLineChars="200" w:firstLine="420"/>
        <w:rPr>
          <w:rFonts w:ascii="Times New Roman" w:eastAsiaTheme="minorEastAsia" w:hAnsi="Times New Roman"/>
          <w:shd w:val="clear" w:color="auto" w:fill="FFFFFF"/>
        </w:rPr>
      </w:pPr>
      <w:r>
        <w:rPr>
          <w:rFonts w:ascii="Times New Roman" w:eastAsiaTheme="minorEastAsia" w:hAnsi="Times New Roman" w:cs="Times New Roman" w:hint="eastAsia"/>
          <w:shd w:val="clear" w:color="auto" w:fill="FFFFFF"/>
        </w:rPr>
        <w:t>一是科技驱动反洗</w:t>
      </w:r>
      <w:proofErr w:type="gramStart"/>
      <w:r>
        <w:rPr>
          <w:rFonts w:ascii="Times New Roman" w:eastAsiaTheme="minorEastAsia" w:hAnsi="Times New Roman" w:cs="Times New Roman" w:hint="eastAsia"/>
          <w:shd w:val="clear" w:color="auto" w:fill="FFFFFF"/>
        </w:rPr>
        <w:t>钱系统</w:t>
      </w:r>
      <w:proofErr w:type="gramEnd"/>
      <w:r>
        <w:rPr>
          <w:rFonts w:ascii="Times New Roman" w:eastAsiaTheme="minorEastAsia" w:hAnsi="Times New Roman" w:cs="Times New Roman" w:hint="eastAsia"/>
          <w:shd w:val="clear" w:color="auto" w:fill="FFFFFF"/>
        </w:rPr>
        <w:t>迭代升级。全面重构可疑交易自主监控模型，提升金融情报价值；完善系统辅助尽职调查功能，提升尽职调查的精准度和有效性；健全反洗钱名单监控机制，强化重点领域洗钱风险管控；优化反洗</w:t>
      </w:r>
      <w:proofErr w:type="gramStart"/>
      <w:r>
        <w:rPr>
          <w:rFonts w:ascii="Times New Roman" w:eastAsiaTheme="minorEastAsia" w:hAnsi="Times New Roman" w:cs="Times New Roman" w:hint="eastAsia"/>
          <w:shd w:val="clear" w:color="auto" w:fill="FFFFFF"/>
        </w:rPr>
        <w:t>钱系统</w:t>
      </w:r>
      <w:proofErr w:type="gramEnd"/>
      <w:r>
        <w:rPr>
          <w:rFonts w:ascii="Times New Roman" w:eastAsiaTheme="minorEastAsia" w:hAnsi="Times New Roman" w:cs="Times New Roman" w:hint="eastAsia"/>
          <w:shd w:val="clear" w:color="auto" w:fill="FFFFFF"/>
        </w:rPr>
        <w:t>报送要素采集功能，加强数据报送管理。</w:t>
      </w:r>
    </w:p>
    <w:p w:rsidR="00AD5BB5" w:rsidRDefault="00F87FF6">
      <w:pPr>
        <w:widowControl/>
        <w:spacing w:line="360" w:lineRule="auto"/>
        <w:ind w:firstLineChars="200" w:firstLine="420"/>
        <w:rPr>
          <w:rFonts w:ascii="Times New Roman" w:eastAsiaTheme="minorEastAsia" w:hAnsi="Times New Roman"/>
          <w:shd w:val="clear" w:color="auto" w:fill="FFFFFF"/>
        </w:rPr>
      </w:pPr>
      <w:r>
        <w:rPr>
          <w:rFonts w:ascii="Times New Roman" w:eastAsiaTheme="minorEastAsia" w:hAnsi="Times New Roman" w:cs="Times New Roman" w:hint="eastAsia"/>
          <w:shd w:val="clear" w:color="auto" w:fill="FFFFFF"/>
        </w:rPr>
        <w:t>二是加快向自主管理洗钱风险转型。开展分行反洗</w:t>
      </w:r>
      <w:proofErr w:type="gramStart"/>
      <w:r>
        <w:rPr>
          <w:rFonts w:ascii="Times New Roman" w:eastAsiaTheme="minorEastAsia" w:hAnsi="Times New Roman" w:cs="Times New Roman" w:hint="eastAsia"/>
          <w:shd w:val="clear" w:color="auto" w:fill="FFFFFF"/>
        </w:rPr>
        <w:t>钱现场</w:t>
      </w:r>
      <w:proofErr w:type="gramEnd"/>
      <w:r>
        <w:rPr>
          <w:rFonts w:ascii="Times New Roman" w:eastAsiaTheme="minorEastAsia" w:hAnsi="Times New Roman" w:cs="Times New Roman" w:hint="eastAsia"/>
          <w:shd w:val="clear" w:color="auto" w:fill="FFFFFF"/>
        </w:rPr>
        <w:t>检查，全面检视反洗钱管理职能调整</w:t>
      </w:r>
      <w:proofErr w:type="gramStart"/>
      <w:r>
        <w:rPr>
          <w:rFonts w:ascii="Times New Roman" w:eastAsiaTheme="minorEastAsia" w:hAnsi="Times New Roman" w:cs="Times New Roman" w:hint="eastAsia"/>
          <w:shd w:val="clear" w:color="auto" w:fill="FFFFFF"/>
        </w:rPr>
        <w:t>及集中</w:t>
      </w:r>
      <w:proofErr w:type="gramEnd"/>
      <w:r>
        <w:rPr>
          <w:rFonts w:ascii="Times New Roman" w:eastAsiaTheme="minorEastAsia" w:hAnsi="Times New Roman" w:cs="Times New Roman" w:hint="eastAsia"/>
          <w:shd w:val="clear" w:color="auto" w:fill="FFFFFF"/>
        </w:rPr>
        <w:t>作业运行情况；加大反洗</w:t>
      </w:r>
      <w:proofErr w:type="gramStart"/>
      <w:r>
        <w:rPr>
          <w:rFonts w:ascii="Times New Roman" w:eastAsiaTheme="minorEastAsia" w:hAnsi="Times New Roman" w:cs="Times New Roman" w:hint="eastAsia"/>
          <w:shd w:val="clear" w:color="auto" w:fill="FFFFFF"/>
        </w:rPr>
        <w:t>钱监督</w:t>
      </w:r>
      <w:proofErr w:type="gramEnd"/>
      <w:r>
        <w:rPr>
          <w:rFonts w:ascii="Times New Roman" w:eastAsiaTheme="minorEastAsia" w:hAnsi="Times New Roman" w:cs="Times New Roman" w:hint="eastAsia"/>
          <w:shd w:val="clear" w:color="auto" w:fill="FFFFFF"/>
        </w:rPr>
        <w:t>考核力度，促进</w:t>
      </w:r>
      <w:proofErr w:type="gramStart"/>
      <w:r>
        <w:rPr>
          <w:rFonts w:ascii="Times New Roman" w:eastAsiaTheme="minorEastAsia" w:hAnsi="Times New Roman" w:cs="Times New Roman" w:hint="eastAsia"/>
          <w:shd w:val="clear" w:color="auto" w:fill="FFFFFF"/>
        </w:rPr>
        <w:t>反洗钱履职能</w:t>
      </w:r>
      <w:proofErr w:type="gramEnd"/>
      <w:r>
        <w:rPr>
          <w:rFonts w:ascii="Times New Roman" w:eastAsiaTheme="minorEastAsia" w:hAnsi="Times New Roman" w:cs="Times New Roman" w:hint="eastAsia"/>
          <w:shd w:val="clear" w:color="auto" w:fill="FFFFFF"/>
        </w:rPr>
        <w:t>力提升。</w:t>
      </w:r>
    </w:p>
    <w:p w:rsidR="00AD5BB5" w:rsidRDefault="00F87FF6">
      <w:pPr>
        <w:widowControl/>
        <w:spacing w:line="360" w:lineRule="auto"/>
        <w:ind w:firstLineChars="200" w:firstLine="420"/>
        <w:rPr>
          <w:rFonts w:ascii="Times New Roman" w:eastAsiaTheme="minorEastAsia" w:hAnsi="Times New Roman"/>
          <w:shd w:val="clear" w:color="auto" w:fill="FFFFFF"/>
        </w:rPr>
      </w:pPr>
      <w:r>
        <w:rPr>
          <w:rFonts w:ascii="Times New Roman" w:eastAsiaTheme="minorEastAsia" w:hAnsi="Times New Roman" w:cs="Times New Roman" w:hint="eastAsia"/>
          <w:shd w:val="clear" w:color="auto" w:fill="FFFFFF"/>
        </w:rPr>
        <w:t>三是建立健全反洗钱内控机制。不断完善反洗</w:t>
      </w:r>
      <w:proofErr w:type="gramStart"/>
      <w:r>
        <w:rPr>
          <w:rFonts w:ascii="Times New Roman" w:eastAsiaTheme="minorEastAsia" w:hAnsi="Times New Roman" w:cs="Times New Roman" w:hint="eastAsia"/>
          <w:shd w:val="clear" w:color="auto" w:fill="FFFFFF"/>
        </w:rPr>
        <w:t>钱制度</w:t>
      </w:r>
      <w:proofErr w:type="gramEnd"/>
      <w:r>
        <w:rPr>
          <w:rFonts w:ascii="Times New Roman" w:eastAsiaTheme="minorEastAsia" w:hAnsi="Times New Roman" w:cs="Times New Roman" w:hint="eastAsia"/>
          <w:shd w:val="clear" w:color="auto" w:fill="FFFFFF"/>
        </w:rPr>
        <w:t>体系，提升制度的合</w:t>
      </w:r>
      <w:proofErr w:type="gramStart"/>
      <w:r>
        <w:rPr>
          <w:rFonts w:ascii="Times New Roman" w:eastAsiaTheme="minorEastAsia" w:hAnsi="Times New Roman" w:cs="Times New Roman" w:hint="eastAsia"/>
          <w:shd w:val="clear" w:color="auto" w:fill="FFFFFF"/>
        </w:rPr>
        <w:t>规</w:t>
      </w:r>
      <w:proofErr w:type="gramEnd"/>
      <w:r>
        <w:rPr>
          <w:rFonts w:ascii="Times New Roman" w:eastAsiaTheme="minorEastAsia" w:hAnsi="Times New Roman" w:cs="Times New Roman" w:hint="eastAsia"/>
          <w:shd w:val="clear" w:color="auto" w:fill="FFFFFF"/>
        </w:rPr>
        <w:t>性和可操作性；强化反洗</w:t>
      </w:r>
      <w:proofErr w:type="gramStart"/>
      <w:r>
        <w:rPr>
          <w:rFonts w:ascii="Times New Roman" w:eastAsiaTheme="minorEastAsia" w:hAnsi="Times New Roman" w:cs="Times New Roman" w:hint="eastAsia"/>
          <w:shd w:val="clear" w:color="auto" w:fill="FFFFFF"/>
        </w:rPr>
        <w:t>钱信息</w:t>
      </w:r>
      <w:proofErr w:type="gramEnd"/>
      <w:r>
        <w:rPr>
          <w:rFonts w:ascii="Times New Roman" w:eastAsiaTheme="minorEastAsia" w:hAnsi="Times New Roman" w:cs="Times New Roman" w:hint="eastAsia"/>
          <w:shd w:val="clear" w:color="auto" w:fill="FFFFFF"/>
        </w:rPr>
        <w:t>安全，实现反洗</w:t>
      </w:r>
      <w:proofErr w:type="gramStart"/>
      <w:r>
        <w:rPr>
          <w:rFonts w:ascii="Times New Roman" w:eastAsiaTheme="minorEastAsia" w:hAnsi="Times New Roman" w:cs="Times New Roman" w:hint="eastAsia"/>
          <w:shd w:val="clear" w:color="auto" w:fill="FFFFFF"/>
        </w:rPr>
        <w:t>钱数据</w:t>
      </w:r>
      <w:proofErr w:type="gramEnd"/>
      <w:r>
        <w:rPr>
          <w:rFonts w:ascii="Times New Roman" w:eastAsiaTheme="minorEastAsia" w:hAnsi="Times New Roman" w:cs="Times New Roman" w:hint="eastAsia"/>
          <w:shd w:val="clear" w:color="auto" w:fill="FFFFFF"/>
        </w:rPr>
        <w:t>使用闭环管理。</w:t>
      </w:r>
    </w:p>
    <w:p w:rsidR="00AD5BB5" w:rsidRDefault="00F87FF6">
      <w:pPr>
        <w:widowControl/>
        <w:spacing w:line="360" w:lineRule="auto"/>
        <w:ind w:firstLineChars="200" w:firstLine="420"/>
        <w:rPr>
          <w:rFonts w:ascii="Times New Roman" w:eastAsiaTheme="minorEastAsia" w:hAnsi="Times New Roman"/>
          <w:shd w:val="clear" w:color="auto" w:fill="FFFFFF"/>
        </w:rPr>
      </w:pPr>
      <w:r>
        <w:rPr>
          <w:rFonts w:ascii="Times New Roman" w:eastAsiaTheme="minorEastAsia" w:hAnsi="Times New Roman" w:cs="Times New Roman" w:hint="eastAsia"/>
          <w:shd w:val="clear" w:color="auto" w:fill="FFFFFF"/>
        </w:rPr>
        <w:t>四是持续完善反洗钱合</w:t>
      </w:r>
      <w:proofErr w:type="gramStart"/>
      <w:r>
        <w:rPr>
          <w:rFonts w:ascii="Times New Roman" w:eastAsiaTheme="minorEastAsia" w:hAnsi="Times New Roman" w:cs="Times New Roman" w:hint="eastAsia"/>
          <w:shd w:val="clear" w:color="auto" w:fill="FFFFFF"/>
        </w:rPr>
        <w:t>规</w:t>
      </w:r>
      <w:proofErr w:type="gramEnd"/>
      <w:r>
        <w:rPr>
          <w:rFonts w:ascii="Times New Roman" w:eastAsiaTheme="minorEastAsia" w:hAnsi="Times New Roman" w:cs="Times New Roman" w:hint="eastAsia"/>
          <w:shd w:val="clear" w:color="auto" w:fill="FFFFFF"/>
        </w:rPr>
        <w:t>文化建设。开展反洗钱调研，以研究成果促进反洗</w:t>
      </w:r>
      <w:proofErr w:type="gramStart"/>
      <w:r>
        <w:rPr>
          <w:rFonts w:ascii="Times New Roman" w:eastAsiaTheme="minorEastAsia" w:hAnsi="Times New Roman" w:cs="Times New Roman" w:hint="eastAsia"/>
          <w:shd w:val="clear" w:color="auto" w:fill="FFFFFF"/>
        </w:rPr>
        <w:t>钱持续</w:t>
      </w:r>
      <w:proofErr w:type="gramEnd"/>
      <w:r>
        <w:rPr>
          <w:rFonts w:ascii="Times New Roman" w:eastAsiaTheme="minorEastAsia" w:hAnsi="Times New Roman" w:cs="Times New Roman" w:hint="eastAsia"/>
          <w:shd w:val="clear" w:color="auto" w:fill="FFFFFF"/>
        </w:rPr>
        <w:t>发展；开展反洗钱培训，强化反洗</w:t>
      </w:r>
      <w:proofErr w:type="gramStart"/>
      <w:r>
        <w:rPr>
          <w:rFonts w:ascii="Times New Roman" w:eastAsiaTheme="minorEastAsia" w:hAnsi="Times New Roman" w:cs="Times New Roman" w:hint="eastAsia"/>
          <w:shd w:val="clear" w:color="auto" w:fill="FFFFFF"/>
        </w:rPr>
        <w:t>钱专业</w:t>
      </w:r>
      <w:proofErr w:type="gramEnd"/>
      <w:r>
        <w:rPr>
          <w:rFonts w:ascii="Times New Roman" w:eastAsiaTheme="minorEastAsia" w:hAnsi="Times New Roman" w:cs="Times New Roman" w:hint="eastAsia"/>
          <w:shd w:val="clear" w:color="auto" w:fill="FFFFFF"/>
        </w:rPr>
        <w:t>人才队伍建设；加大反洗钱宣传活动的深度和广度，</w:t>
      </w:r>
      <w:proofErr w:type="gramStart"/>
      <w:r>
        <w:rPr>
          <w:rFonts w:ascii="Times New Roman" w:eastAsiaTheme="minorEastAsia" w:hAnsi="Times New Roman" w:cs="Times New Roman" w:hint="eastAsia"/>
          <w:shd w:val="clear" w:color="auto" w:fill="FFFFFF"/>
        </w:rPr>
        <w:t>践行</w:t>
      </w:r>
      <w:proofErr w:type="gramEnd"/>
      <w:r>
        <w:rPr>
          <w:rFonts w:ascii="Times New Roman" w:eastAsiaTheme="minorEastAsia" w:hAnsi="Times New Roman" w:cs="Times New Roman" w:hint="eastAsia"/>
          <w:shd w:val="clear" w:color="auto" w:fill="FFFFFF"/>
        </w:rPr>
        <w:t>社会责任。</w:t>
      </w:r>
    </w:p>
    <w:p w:rsidR="00AD5BB5" w:rsidRDefault="00F87FF6">
      <w:pPr>
        <w:pStyle w:val="2"/>
        <w:spacing w:line="360" w:lineRule="auto"/>
        <w:rPr>
          <w:rFonts w:cs="宋体"/>
          <w:bCs/>
          <w:color w:val="FF0000"/>
        </w:rPr>
      </w:pPr>
      <w:r>
        <w:rPr>
          <w:rFonts w:cs="宋体"/>
          <w:bCs/>
        </w:rPr>
        <w:t>七、</w:t>
      </w:r>
      <w:r>
        <w:rPr>
          <w:rFonts w:cs="宋体" w:hint="eastAsia"/>
          <w:bCs/>
        </w:rPr>
        <w:t>报告期内推出创新业务品种情况</w:t>
      </w:r>
    </w:p>
    <w:p w:rsidR="00AD5BB5" w:rsidRDefault="00F87FF6">
      <w:pPr>
        <w:pStyle w:val="2"/>
        <w:spacing w:line="360" w:lineRule="auto"/>
        <w:ind w:firstLineChars="200" w:firstLine="420"/>
        <w:rPr>
          <w:b w:val="0"/>
          <w:bCs/>
        </w:rPr>
      </w:pPr>
      <w:r>
        <w:rPr>
          <w:rFonts w:hint="eastAsia"/>
          <w:b w:val="0"/>
          <w:bCs/>
        </w:rPr>
        <w:t>报告期内，本公司持续开展业务创新和新产品开发，有关业务创新和新产品开发情况详见本节“一、（三）报告期公司主要业务情况”。</w:t>
      </w:r>
    </w:p>
    <w:p w:rsidR="00AD5BB5" w:rsidRDefault="00F87FF6">
      <w:pPr>
        <w:pStyle w:val="2"/>
        <w:spacing w:line="360" w:lineRule="auto"/>
        <w:rPr>
          <w:rFonts w:ascii="宋体" w:hAnsi="宋体" w:cs="宋体"/>
          <w:color w:val="FF0000"/>
        </w:rPr>
      </w:pPr>
      <w:r>
        <w:rPr>
          <w:rFonts w:ascii="宋体" w:hAnsi="宋体" w:cs="宋体" w:hint="eastAsia"/>
        </w:rPr>
        <w:t>八、关于公司未来发展的讨论与分析</w:t>
      </w:r>
    </w:p>
    <w:p w:rsidR="00AD5BB5" w:rsidRDefault="00F87FF6">
      <w:pPr>
        <w:pStyle w:val="3"/>
        <w:spacing w:line="360" w:lineRule="auto"/>
        <w:rPr>
          <w:rFonts w:ascii="宋体" w:hAnsi="宋体"/>
        </w:rPr>
      </w:pPr>
      <w:r>
        <w:rPr>
          <w:rFonts w:ascii="宋体" w:hAnsi="宋体" w:hint="eastAsia"/>
        </w:rPr>
        <w:t>（一）行业格局和趋势</w:t>
      </w:r>
    </w:p>
    <w:p w:rsidR="00AD5BB5" w:rsidRDefault="00F87FF6">
      <w:pPr>
        <w:pStyle w:val="ad"/>
        <w:spacing w:line="360" w:lineRule="auto"/>
        <w:ind w:firstLineChars="200" w:firstLine="420"/>
        <w:rPr>
          <w:rFonts w:ascii="Times New Roman" w:hAnsi="Times New Roman" w:cs="Times New Roman" w:hint="default"/>
          <w:bCs/>
        </w:rPr>
      </w:pPr>
      <w:r>
        <w:rPr>
          <w:rFonts w:ascii="Times New Roman" w:hAnsi="Times New Roman" w:cs="Times New Roman"/>
          <w:bCs/>
        </w:rPr>
        <w:t>随着围绕稳增长、稳就业、防风险的政策“组合拳”加快出台并持续发力，消费有望保</w:t>
      </w:r>
      <w:r>
        <w:rPr>
          <w:rFonts w:ascii="Times New Roman" w:hAnsi="Times New Roman" w:cs="Times New Roman"/>
          <w:bCs/>
        </w:rPr>
        <w:lastRenderedPageBreak/>
        <w:t>持温和修复，基建投资继续较快增长，高技术产业投资对制造业投资增长带来结构性支撑，房地产市场逐步探底修复，我国经济发展动能稳步提升，推动经济运行持续恢复。下半年，央行仍将精准有力实施稳健的货币政策，保持流动性的合理充裕；同时，加大逆周期调节力度，综合运用政策工具，切实服务实体经济。随着微观主体的信心提振、投资和消费意愿的修复，整体信贷供需环境有望改善。</w:t>
      </w:r>
    </w:p>
    <w:p w:rsidR="00AD5BB5" w:rsidRDefault="00F87FF6">
      <w:pPr>
        <w:pStyle w:val="ad"/>
        <w:spacing w:line="360" w:lineRule="auto"/>
        <w:ind w:firstLineChars="200" w:firstLine="420"/>
        <w:rPr>
          <w:rFonts w:hint="default"/>
        </w:rPr>
      </w:pPr>
      <w:r>
        <w:rPr>
          <w:rFonts w:ascii="Times New Roman" w:hAnsi="Times New Roman" w:cs="Times New Roman"/>
          <w:bCs/>
        </w:rPr>
        <w:t>从银行业未来发展趋势来看，商业银行积极</w:t>
      </w:r>
      <w:r>
        <w:rPr>
          <w:rFonts w:cs="Times New Roman"/>
        </w:rPr>
        <w:t>发挥金融支持宏观经济稳定作用，持续提升金融服</w:t>
      </w:r>
      <w:r>
        <w:rPr>
          <w:rFonts w:ascii="Times New Roman" w:hAnsi="Times New Roman" w:cs="Times New Roman"/>
          <w:bCs/>
        </w:rPr>
        <w:t>务实体经济水平，通过不断创新金融产品和服务、完善金融服务机制、提升金融服务质效，为地方经济高质量发展提供有力支撑。对城商行而言更应回归本源、专注主业，作为地方重要金融资源，加大信贷投放力度以维护地方经济稳定，优化信贷投放结构向先进制造业、绿色金融和普惠金融等重点领域和薄弱环节倾斜，坚守“服务地方经济、服务中小企业、服务城乡居民”的初心及定位。</w:t>
      </w:r>
    </w:p>
    <w:p w:rsidR="00AD5BB5" w:rsidRDefault="00F87FF6">
      <w:pPr>
        <w:pStyle w:val="3"/>
        <w:spacing w:line="360" w:lineRule="auto"/>
        <w:rPr>
          <w:rFonts w:ascii="宋体" w:hAnsi="宋体"/>
          <w:color w:val="000000"/>
          <w:szCs w:val="21"/>
        </w:rPr>
      </w:pPr>
      <w:r>
        <w:rPr>
          <w:rFonts w:ascii="宋体" w:hAnsi="宋体" w:hint="eastAsia"/>
          <w:color w:val="000000"/>
          <w:szCs w:val="21"/>
        </w:rPr>
        <w:t>（二）公司发展战略</w:t>
      </w:r>
    </w:p>
    <w:p w:rsidR="00AD5BB5" w:rsidRPr="00F22BE0" w:rsidRDefault="00F87FF6" w:rsidP="00F22BE0">
      <w:pPr>
        <w:spacing w:line="360" w:lineRule="auto"/>
        <w:ind w:firstLineChars="200" w:firstLine="420"/>
        <w:rPr>
          <w:rFonts w:asciiTheme="minorEastAsia" w:eastAsiaTheme="minorEastAsia" w:hAnsiTheme="minorEastAsia" w:hint="eastAsia"/>
          <w:color w:val="000000" w:themeColor="text1"/>
          <w:szCs w:val="21"/>
        </w:rPr>
      </w:pPr>
      <w:r>
        <w:rPr>
          <w:rFonts w:asciiTheme="minorEastAsia" w:eastAsiaTheme="minorEastAsia" w:hAnsiTheme="minorEastAsia" w:hint="eastAsia"/>
          <w:color w:val="000000" w:themeColor="text1"/>
          <w:szCs w:val="21"/>
        </w:rPr>
        <w:t>2023年为本公司第五轮三年发展战略规划的“收官之年”，下半年，本公司将持续围绕“聚焦中小、深耕海西、</w:t>
      </w:r>
      <w:proofErr w:type="gramStart"/>
      <w:r>
        <w:rPr>
          <w:rFonts w:asciiTheme="minorEastAsia" w:eastAsiaTheme="minorEastAsia" w:hAnsiTheme="minorEastAsia" w:hint="eastAsia"/>
          <w:color w:val="000000" w:themeColor="text1"/>
          <w:szCs w:val="21"/>
        </w:rPr>
        <w:t>融汇</w:t>
      </w:r>
      <w:proofErr w:type="gramEnd"/>
      <w:r>
        <w:rPr>
          <w:rFonts w:asciiTheme="minorEastAsia" w:eastAsiaTheme="minorEastAsia" w:hAnsiTheme="minorEastAsia" w:hint="eastAsia"/>
          <w:color w:val="000000" w:themeColor="text1"/>
          <w:szCs w:val="21"/>
        </w:rPr>
        <w:t>两岸、打造价值领先的综合金融服务商”的战略愿景，继续坚定执行“做大零售、做强对公、做深两岸、做优资金”的业务发展战略，持续优化资产负债结构。零售业务方面，持续深化推进大零售转型，有计划地补充服务网点，完善零售客</w:t>
      </w:r>
      <w:proofErr w:type="gramStart"/>
      <w:r>
        <w:rPr>
          <w:rFonts w:asciiTheme="minorEastAsia" w:eastAsiaTheme="minorEastAsia" w:hAnsiTheme="minorEastAsia" w:hint="eastAsia"/>
          <w:color w:val="000000" w:themeColor="text1"/>
          <w:szCs w:val="21"/>
        </w:rPr>
        <w:t>群经营</w:t>
      </w:r>
      <w:proofErr w:type="gramEnd"/>
      <w:r>
        <w:rPr>
          <w:rFonts w:asciiTheme="minorEastAsia" w:eastAsiaTheme="minorEastAsia" w:hAnsiTheme="minorEastAsia" w:hint="eastAsia"/>
          <w:color w:val="000000" w:themeColor="text1"/>
          <w:szCs w:val="21"/>
        </w:rPr>
        <w:t>体系，持续优化普惠金融信贷工厂2.0，加大普惠信用贷款的营销推广力度，聚焦财富及私行客户，狠抓产品体系、增值服务和队伍培养，奠定牢固未来可持续发展的“基石”。对公业务方面，加强对公专业化经营体系建设，深化绿色金融专营业务体系，不断优化信贷工厂2.0，持续推广供货贷等重点产品，加快发展供应</w:t>
      </w:r>
      <w:proofErr w:type="gramStart"/>
      <w:r>
        <w:rPr>
          <w:rFonts w:asciiTheme="minorEastAsia" w:eastAsiaTheme="minorEastAsia" w:hAnsiTheme="minorEastAsia" w:hint="eastAsia"/>
          <w:color w:val="000000" w:themeColor="text1"/>
          <w:szCs w:val="21"/>
        </w:rPr>
        <w:t>链金融</w:t>
      </w:r>
      <w:proofErr w:type="gramEnd"/>
      <w:r>
        <w:rPr>
          <w:rFonts w:asciiTheme="minorEastAsia" w:eastAsiaTheme="minorEastAsia" w:hAnsiTheme="minorEastAsia" w:hint="eastAsia"/>
          <w:color w:val="000000" w:themeColor="text1"/>
          <w:szCs w:val="21"/>
        </w:rPr>
        <w:t>和现金管理业务，完善交易银行服务体系和投行业务模式，构建“商行+投行”、“融资+融智”、</w:t>
      </w:r>
      <w:proofErr w:type="gramStart"/>
      <w:r>
        <w:rPr>
          <w:rFonts w:asciiTheme="minorEastAsia" w:eastAsiaTheme="minorEastAsia" w:hAnsiTheme="minorEastAsia" w:hint="eastAsia"/>
          <w:color w:val="000000" w:themeColor="text1"/>
          <w:szCs w:val="21"/>
        </w:rPr>
        <w:t>银租协同</w:t>
      </w:r>
      <w:proofErr w:type="gramEnd"/>
      <w:r>
        <w:rPr>
          <w:rFonts w:asciiTheme="minorEastAsia" w:eastAsiaTheme="minorEastAsia" w:hAnsiTheme="minorEastAsia" w:hint="eastAsia"/>
          <w:color w:val="000000" w:themeColor="text1"/>
          <w:szCs w:val="21"/>
        </w:rPr>
        <w:t>的综合金融服务体系，夯实稳固未来稳健发展的“压舱石”。两岸金融业务方面，持续</w:t>
      </w:r>
      <w:proofErr w:type="gramStart"/>
      <w:r>
        <w:rPr>
          <w:rFonts w:asciiTheme="minorEastAsia" w:eastAsiaTheme="minorEastAsia" w:hAnsiTheme="minorEastAsia" w:hint="eastAsia"/>
          <w:color w:val="000000" w:themeColor="text1"/>
          <w:szCs w:val="21"/>
        </w:rPr>
        <w:t>优化两岸</w:t>
      </w:r>
      <w:proofErr w:type="gramEnd"/>
      <w:r>
        <w:rPr>
          <w:rFonts w:asciiTheme="minorEastAsia" w:eastAsiaTheme="minorEastAsia" w:hAnsiTheme="minorEastAsia" w:hint="eastAsia"/>
          <w:color w:val="000000" w:themeColor="text1"/>
          <w:szCs w:val="21"/>
        </w:rPr>
        <w:t>金融营销体系，构建围绕个人、公司及同业的两岸金</w:t>
      </w:r>
      <w:bookmarkStart w:id="27" w:name="_GoBack"/>
      <w:bookmarkEnd w:id="27"/>
      <w:r>
        <w:rPr>
          <w:rFonts w:asciiTheme="minorEastAsia" w:eastAsiaTheme="minorEastAsia" w:hAnsiTheme="minorEastAsia" w:hint="eastAsia"/>
          <w:color w:val="000000" w:themeColor="text1"/>
          <w:szCs w:val="21"/>
        </w:rPr>
        <w:t>融服务体系，打造厦门银行两岸金融服务特色名片。资金业务方面，依托金融行销专业团队，持续提升代客业务水平，不断扩大外部市场同业合作朋友圈。</w:t>
      </w:r>
    </w:p>
    <w:p w:rsidR="00AD5BB5" w:rsidRDefault="00F87FF6">
      <w:pPr>
        <w:pStyle w:val="3"/>
        <w:spacing w:line="360" w:lineRule="auto"/>
        <w:rPr>
          <w:rFonts w:ascii="宋体" w:hAnsi="宋体"/>
          <w:color w:val="000000"/>
          <w:szCs w:val="21"/>
        </w:rPr>
      </w:pPr>
      <w:r>
        <w:rPr>
          <w:rFonts w:ascii="宋体" w:hAnsi="宋体"/>
          <w:color w:val="000000"/>
          <w:szCs w:val="21"/>
        </w:rPr>
        <w:t>（三）</w:t>
      </w:r>
      <w:r>
        <w:rPr>
          <w:rFonts w:ascii="宋体" w:hAnsi="宋体" w:hint="eastAsia"/>
          <w:color w:val="000000"/>
          <w:szCs w:val="21"/>
        </w:rPr>
        <w:t>可能面对的风险</w:t>
      </w:r>
    </w:p>
    <w:p w:rsidR="00AD5BB5" w:rsidRDefault="00F87FF6">
      <w:pPr>
        <w:spacing w:line="360" w:lineRule="auto"/>
        <w:ind w:firstLineChars="200" w:firstLine="420"/>
        <w:rPr>
          <w:rFonts w:ascii="Times New Roman" w:hAnsi="Times New Roman"/>
        </w:rPr>
      </w:pPr>
      <w:r>
        <w:rPr>
          <w:rFonts w:ascii="Times New Roman" w:hAnsi="Times New Roman" w:hint="eastAsia"/>
        </w:rPr>
        <w:t>1.</w:t>
      </w:r>
      <w:r>
        <w:rPr>
          <w:rFonts w:ascii="Times New Roman" w:hAnsi="Times New Roman" w:hint="eastAsia"/>
        </w:rPr>
        <w:t>信用风险。如果</w:t>
      </w:r>
      <w:r>
        <w:rPr>
          <w:rFonts w:ascii="Times New Roman" w:hAnsi="Times New Roman"/>
        </w:rPr>
        <w:t>经济复苏进程不及预期，对企业融资需求</w:t>
      </w:r>
      <w:r>
        <w:rPr>
          <w:rFonts w:ascii="Times New Roman" w:hAnsi="Times New Roman" w:hint="eastAsia"/>
        </w:rPr>
        <w:t>和</w:t>
      </w:r>
      <w:r>
        <w:rPr>
          <w:rFonts w:ascii="Times New Roman" w:hAnsi="Times New Roman"/>
        </w:rPr>
        <w:t>居民消费需求</w:t>
      </w:r>
      <w:r>
        <w:rPr>
          <w:rFonts w:ascii="Times New Roman" w:hAnsi="Times New Roman" w:hint="eastAsia"/>
        </w:rPr>
        <w:t>都将</w:t>
      </w:r>
      <w:r>
        <w:rPr>
          <w:rFonts w:ascii="Times New Roman" w:hAnsi="Times New Roman"/>
        </w:rPr>
        <w:t>产生负面影响</w:t>
      </w:r>
      <w:r>
        <w:rPr>
          <w:rFonts w:ascii="Times New Roman" w:hAnsi="Times New Roman" w:hint="eastAsia"/>
        </w:rPr>
        <w:t>；同时，房地产需求端恢复趋势有待确认、行业风险仍在出清中；上半年，</w:t>
      </w:r>
      <w:r>
        <w:rPr>
          <w:rFonts w:ascii="Times New Roman" w:hAnsi="Times New Roman"/>
        </w:rPr>
        <w:t>部分弱资质城投</w:t>
      </w:r>
      <w:r>
        <w:rPr>
          <w:rFonts w:ascii="Times New Roman" w:hAnsi="Times New Roman" w:hint="eastAsia"/>
        </w:rPr>
        <w:t>的风险事件频发，尾部城投的债务</w:t>
      </w:r>
      <w:r>
        <w:rPr>
          <w:rFonts w:ascii="Times New Roman" w:hAnsi="Times New Roman"/>
        </w:rPr>
        <w:t>风险</w:t>
      </w:r>
      <w:r>
        <w:rPr>
          <w:rFonts w:ascii="Times New Roman" w:hAnsi="Times New Roman" w:hint="eastAsia"/>
        </w:rPr>
        <w:t>加剧</w:t>
      </w:r>
      <w:r>
        <w:rPr>
          <w:rFonts w:ascii="Times New Roman" w:hAnsi="Times New Roman"/>
        </w:rPr>
        <w:t>，</w:t>
      </w:r>
      <w:r>
        <w:rPr>
          <w:rFonts w:ascii="Times New Roman" w:hAnsi="Times New Roman" w:hint="eastAsia"/>
        </w:rPr>
        <w:t>对</w:t>
      </w:r>
      <w:r>
        <w:rPr>
          <w:rFonts w:ascii="Times New Roman" w:hAnsi="Times New Roman"/>
        </w:rPr>
        <w:t>银行业资产质量</w:t>
      </w:r>
      <w:r>
        <w:rPr>
          <w:rFonts w:ascii="Times New Roman" w:hAnsi="Times New Roman" w:hint="eastAsia"/>
        </w:rPr>
        <w:t>带来扰动</w:t>
      </w:r>
      <w:r>
        <w:rPr>
          <w:rFonts w:ascii="Times New Roman" w:hAnsi="Times New Roman"/>
        </w:rPr>
        <w:t>。</w:t>
      </w:r>
    </w:p>
    <w:p w:rsidR="00AD5BB5" w:rsidRDefault="00F87FF6">
      <w:pPr>
        <w:spacing w:line="360" w:lineRule="auto"/>
        <w:ind w:firstLineChars="200" w:firstLine="420"/>
        <w:rPr>
          <w:rFonts w:ascii="Times New Roman" w:hAnsi="Times New Roman"/>
        </w:rPr>
      </w:pPr>
      <w:r>
        <w:rPr>
          <w:rFonts w:ascii="Times New Roman" w:hAnsi="Times New Roman" w:hint="eastAsia"/>
        </w:rPr>
        <w:t>2.</w:t>
      </w:r>
      <w:r>
        <w:rPr>
          <w:rFonts w:ascii="Times New Roman" w:hAnsi="Times New Roman" w:hint="eastAsia"/>
        </w:rPr>
        <w:t>息差风险。</w:t>
      </w:r>
      <w:r>
        <w:rPr>
          <w:rFonts w:ascii="Times New Roman" w:hAnsi="Times New Roman" w:cs="Times New Roman" w:hint="eastAsia"/>
        </w:rPr>
        <w:t>受金融让利实体、</w:t>
      </w:r>
      <w:r>
        <w:rPr>
          <w:rFonts w:ascii="Times New Roman" w:hAnsi="Times New Roman" w:cs="Times New Roman" w:hint="eastAsia"/>
        </w:rPr>
        <w:t>LPR</w:t>
      </w:r>
      <w:r>
        <w:rPr>
          <w:rFonts w:ascii="Times New Roman" w:hAnsi="Times New Roman" w:cs="Times New Roman" w:hint="eastAsia"/>
        </w:rPr>
        <w:t>下调等因素影响，银行资产收益率持续下降</w:t>
      </w:r>
      <w:r>
        <w:rPr>
          <w:rFonts w:ascii="Microsoft YaHei UI" w:eastAsia="Microsoft YaHei UI" w:hAnsi="Microsoft YaHei UI" w:cs="Microsoft YaHei UI"/>
          <w:spacing w:val="5"/>
          <w:sz w:val="17"/>
          <w:szCs w:val="17"/>
          <w:shd w:val="clear" w:color="auto" w:fill="FFFFFF"/>
        </w:rPr>
        <w:t>，</w:t>
      </w:r>
      <w:r>
        <w:rPr>
          <w:rFonts w:ascii="Times New Roman" w:hAnsi="Times New Roman" w:hint="eastAsia"/>
        </w:rPr>
        <w:t>当前新投放贷款利率已连创历史新低，</w:t>
      </w:r>
      <w:r>
        <w:rPr>
          <w:rFonts w:ascii="Times New Roman" w:hAnsi="Times New Roman" w:cs="Times New Roman" w:hint="eastAsia"/>
        </w:rPr>
        <w:t>存款定期化又进一步挤压净息差。展望后续，在国家持续降低融资成本、存款刚性及定期化趋势等多重因素下，净息差预计仍将持续承压</w:t>
      </w:r>
      <w:r>
        <w:rPr>
          <w:rFonts w:ascii="Times New Roman" w:hAnsi="Times New Roman" w:hint="eastAsia"/>
        </w:rPr>
        <w:t>。</w:t>
      </w:r>
    </w:p>
    <w:p w:rsidR="00AD5BB5" w:rsidRDefault="00F87FF6">
      <w:pPr>
        <w:spacing w:line="360" w:lineRule="auto"/>
        <w:ind w:firstLineChars="200" w:firstLine="420"/>
        <w:rPr>
          <w:rFonts w:ascii="Times New Roman" w:hAnsi="Times New Roman"/>
        </w:rPr>
      </w:pPr>
      <w:r>
        <w:rPr>
          <w:rFonts w:ascii="Times New Roman" w:hAnsi="Times New Roman" w:hint="eastAsia"/>
        </w:rPr>
        <w:t>3.</w:t>
      </w:r>
      <w:r>
        <w:rPr>
          <w:rFonts w:ascii="Times New Roman" w:hAnsi="Times New Roman" w:hint="eastAsia"/>
        </w:rPr>
        <w:t>市场风险。受</w:t>
      </w:r>
      <w:r>
        <w:rPr>
          <w:rFonts w:ascii="Times New Roman" w:hAnsi="Times New Roman"/>
        </w:rPr>
        <w:t>美联储</w:t>
      </w:r>
      <w:r>
        <w:rPr>
          <w:rFonts w:ascii="Times New Roman" w:hAnsi="Times New Roman" w:hint="eastAsia"/>
        </w:rPr>
        <w:t>持续</w:t>
      </w:r>
      <w:r>
        <w:rPr>
          <w:rFonts w:ascii="Times New Roman" w:hAnsi="Times New Roman"/>
        </w:rPr>
        <w:t>加息</w:t>
      </w:r>
      <w:r>
        <w:rPr>
          <w:rFonts w:ascii="Times New Roman" w:hAnsi="Times New Roman" w:hint="eastAsia"/>
        </w:rPr>
        <w:t>影响</w:t>
      </w:r>
      <w:r>
        <w:rPr>
          <w:rFonts w:ascii="Times New Roman" w:hAnsi="Times New Roman"/>
        </w:rPr>
        <w:t>，</w:t>
      </w:r>
      <w:r>
        <w:rPr>
          <w:rFonts w:ascii="Times New Roman" w:hAnsi="Times New Roman" w:hint="eastAsia"/>
        </w:rPr>
        <w:t>中美利率市场分化明显，美元利率保持上行趋势，</w:t>
      </w:r>
      <w:r>
        <w:rPr>
          <w:rFonts w:ascii="Times New Roman" w:hAnsi="Times New Roman" w:hint="eastAsia"/>
        </w:rPr>
        <w:lastRenderedPageBreak/>
        <w:t>人民币利率振荡探底，中美利差持续倒挂。</w:t>
      </w:r>
      <w:r>
        <w:rPr>
          <w:rFonts w:ascii="Times New Roman" w:hAnsi="Times New Roman" w:cs="Times New Roman" w:hint="eastAsia"/>
        </w:rPr>
        <w:t>在国内经济基本面和美元指数两大主要因素的相互作用下，上半年人民币汇率双边波动幅度加大，总体保持弹性、合理可控。后续我国经济复苏进程仍将显著影响利率、汇率等市场风险指标的表现</w:t>
      </w:r>
      <w:r>
        <w:rPr>
          <w:rFonts w:ascii="Times New Roman" w:hAnsi="Times New Roman"/>
        </w:rPr>
        <w:t>。</w:t>
      </w:r>
    </w:p>
    <w:p w:rsidR="00AD5BB5" w:rsidRDefault="00AD5BB5"/>
    <w:p w:rsidR="00AD5BB5" w:rsidRDefault="00AD5BB5"/>
    <w:p w:rsidR="00AD5BB5" w:rsidRDefault="00AD5BB5"/>
    <w:p w:rsidR="00AD5BB5" w:rsidRDefault="00AD5BB5"/>
    <w:p w:rsidR="00AD5BB5" w:rsidRDefault="00AD5BB5"/>
    <w:p w:rsidR="00AD5BB5" w:rsidRDefault="00F87FF6">
      <w:pPr>
        <w:widowControl/>
        <w:jc w:val="left"/>
      </w:pPr>
      <w:r>
        <w:br w:type="page"/>
      </w:r>
    </w:p>
    <w:p w:rsidR="00AD5BB5" w:rsidRDefault="00F87FF6">
      <w:pPr>
        <w:pStyle w:val="1"/>
        <w:ind w:left="425"/>
        <w:rPr>
          <w:color w:val="FF0000"/>
        </w:rPr>
      </w:pPr>
      <w:bookmarkStart w:id="28" w:name="_Toc68005712"/>
      <w:bookmarkStart w:id="29" w:name="_Toc409437606"/>
      <w:bookmarkStart w:id="30" w:name="_Toc79665920"/>
      <w:r>
        <w:rPr>
          <w:rFonts w:hint="eastAsia"/>
        </w:rPr>
        <w:lastRenderedPageBreak/>
        <w:t>第四节</w:t>
      </w:r>
      <w:r>
        <w:rPr>
          <w:rFonts w:hint="eastAsia"/>
        </w:rPr>
        <w:t xml:space="preserve">  </w:t>
      </w:r>
      <w:bookmarkEnd w:id="28"/>
      <w:bookmarkEnd w:id="29"/>
      <w:r>
        <w:rPr>
          <w:rFonts w:hint="eastAsia"/>
        </w:rPr>
        <w:t>公司治理</w:t>
      </w:r>
      <w:bookmarkEnd w:id="30"/>
    </w:p>
    <w:p w:rsidR="00AD5BB5" w:rsidRDefault="00F87FF6">
      <w:pPr>
        <w:pStyle w:val="2"/>
        <w:numPr>
          <w:ilvl w:val="0"/>
          <w:numId w:val="20"/>
        </w:numPr>
        <w:spacing w:line="360" w:lineRule="auto"/>
        <w:rPr>
          <w:rFonts w:ascii="宋体" w:hAnsi="宋体"/>
          <w:color w:val="FF0000"/>
        </w:rPr>
      </w:pPr>
      <w:r>
        <w:rPr>
          <w:rFonts w:ascii="宋体" w:hAnsi="宋体" w:hint="eastAsia"/>
        </w:rPr>
        <w:t>股东大会情况简介</w:t>
      </w: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964"/>
        <w:gridCol w:w="1796"/>
        <w:gridCol w:w="1381"/>
        <w:gridCol w:w="3748"/>
      </w:tblGrid>
      <w:tr w:rsidR="00AD5BB5">
        <w:trPr>
          <w:trHeight w:val="673"/>
        </w:trPr>
        <w:tc>
          <w:tcPr>
            <w:tcW w:w="45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pPr>
            <w:r>
              <w:t>会议届次</w:t>
            </w:r>
          </w:p>
        </w:tc>
        <w:tc>
          <w:tcPr>
            <w:tcW w:w="55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pPr>
            <w:r>
              <w:t>召开日期</w:t>
            </w:r>
          </w:p>
        </w:tc>
        <w:tc>
          <w:tcPr>
            <w:tcW w:w="103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pPr>
            <w:r>
              <w:t>决议刊登的指定网站的查询索引</w:t>
            </w:r>
          </w:p>
        </w:tc>
        <w:tc>
          <w:tcPr>
            <w:tcW w:w="79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pPr>
            <w:r>
              <w:t>决议刊登的披露日期</w:t>
            </w:r>
          </w:p>
        </w:tc>
        <w:tc>
          <w:tcPr>
            <w:tcW w:w="215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pPr>
            <w:r>
              <w:rPr>
                <w:rFonts w:hint="eastAsia"/>
              </w:rPr>
              <w:t>会议决议</w:t>
            </w:r>
          </w:p>
        </w:tc>
      </w:tr>
      <w:tr w:rsidR="00AD5BB5">
        <w:trPr>
          <w:trHeight w:val="496"/>
        </w:trPr>
        <w:tc>
          <w:tcPr>
            <w:tcW w:w="45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r>
              <w:rPr>
                <w:rFonts w:ascii="Times New Roman" w:eastAsiaTheme="minorEastAsia" w:hAnsi="Times New Roman" w:cs="Times New Roman"/>
              </w:rPr>
              <w:t>厦门银行股份有限公司</w:t>
            </w:r>
            <w:r>
              <w:rPr>
                <w:rFonts w:ascii="Times New Roman" w:eastAsiaTheme="minorEastAsia" w:hAnsi="Times New Roman" w:cs="Times New Roman" w:hint="eastAsia"/>
              </w:rPr>
              <w:t>2023</w:t>
            </w:r>
            <w:r>
              <w:rPr>
                <w:rFonts w:ascii="Times New Roman" w:eastAsiaTheme="minorEastAsia" w:hAnsi="Times New Roman" w:cs="Times New Roman" w:hint="eastAsia"/>
              </w:rPr>
              <w:t>年第一次临时股东大会</w:t>
            </w:r>
          </w:p>
        </w:tc>
        <w:tc>
          <w:tcPr>
            <w:tcW w:w="55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r>
              <w:rPr>
                <w:rFonts w:hint="eastAsia"/>
              </w:rPr>
              <w:t>2023</w:t>
            </w:r>
            <w:r>
              <w:rPr>
                <w:rFonts w:hint="eastAsia"/>
              </w:rPr>
              <w:t>年</w:t>
            </w:r>
            <w:r>
              <w:rPr>
                <w:rFonts w:hint="eastAsia"/>
              </w:rPr>
              <w:t>3</w:t>
            </w:r>
            <w:r>
              <w:rPr>
                <w:rFonts w:hint="eastAsia"/>
              </w:rPr>
              <w:t>月</w:t>
            </w:r>
            <w:r>
              <w:rPr>
                <w:rFonts w:hint="eastAsia"/>
              </w:rPr>
              <w:t>13</w:t>
            </w:r>
            <w:r>
              <w:rPr>
                <w:rFonts w:hint="eastAsia"/>
              </w:rPr>
              <w:t>日</w:t>
            </w:r>
          </w:p>
        </w:tc>
        <w:tc>
          <w:tcPr>
            <w:tcW w:w="103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r>
              <w:rPr>
                <w:rFonts w:ascii="Times New Roman" w:eastAsiaTheme="minorEastAsia" w:hAnsi="Times New Roman" w:cs="Times New Roman" w:hint="eastAsia"/>
              </w:rPr>
              <w:t>www.sse.com.cn</w:t>
            </w:r>
          </w:p>
        </w:tc>
        <w:tc>
          <w:tcPr>
            <w:tcW w:w="79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r>
              <w:rPr>
                <w:rFonts w:hint="eastAsia"/>
              </w:rPr>
              <w:t>2023</w:t>
            </w:r>
            <w:r>
              <w:rPr>
                <w:rFonts w:hint="eastAsia"/>
              </w:rPr>
              <w:t>年</w:t>
            </w:r>
            <w:r>
              <w:rPr>
                <w:rFonts w:hint="eastAsia"/>
              </w:rPr>
              <w:t>3</w:t>
            </w:r>
            <w:r>
              <w:rPr>
                <w:rFonts w:hint="eastAsia"/>
              </w:rPr>
              <w:t>月</w:t>
            </w:r>
            <w:r>
              <w:rPr>
                <w:rFonts w:hint="eastAsia"/>
              </w:rPr>
              <w:t>14</w:t>
            </w:r>
            <w:r>
              <w:rPr>
                <w:rFonts w:hint="eastAsia"/>
              </w:rPr>
              <w:t>日</w:t>
            </w:r>
          </w:p>
        </w:tc>
        <w:tc>
          <w:tcPr>
            <w:tcW w:w="215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eastAsiaTheme="minorEastAsia" w:hAnsi="Times New Roman" w:cs="Times New Roman"/>
                <w:szCs w:val="24"/>
              </w:rPr>
            </w:pPr>
            <w:r>
              <w:rPr>
                <w:rFonts w:ascii="Times New Roman" w:eastAsiaTheme="minorEastAsia" w:hAnsi="Times New Roman" w:cs="Times New Roman" w:hint="eastAsia"/>
                <w:szCs w:val="24"/>
              </w:rPr>
              <w:t>审议通过</w:t>
            </w:r>
          </w:p>
          <w:p w:rsidR="00AD5BB5" w:rsidRDefault="00F87FF6">
            <w:pPr>
              <w:rPr>
                <w:rFonts w:ascii="Times New Roman" w:eastAsiaTheme="minorEastAsia" w:hAnsi="Times New Roman" w:cs="Times New Roman"/>
                <w:szCs w:val="24"/>
              </w:rPr>
            </w:pPr>
            <w:r>
              <w:rPr>
                <w:rFonts w:ascii="Times New Roman" w:eastAsiaTheme="minorEastAsia" w:hAnsi="Times New Roman" w:cs="Times New Roman" w:hint="eastAsia"/>
                <w:szCs w:val="24"/>
              </w:rPr>
              <w:t>1.</w:t>
            </w:r>
            <w:r>
              <w:rPr>
                <w:rFonts w:ascii="Times New Roman" w:eastAsiaTheme="minorEastAsia" w:hAnsi="Times New Roman" w:cs="Times New Roman" w:hint="eastAsia"/>
                <w:szCs w:val="24"/>
              </w:rPr>
              <w:t>《厦门银行股份有限公司关于向不特定对象发行可转换公司债券方案的论证分析报告的议案》</w:t>
            </w:r>
          </w:p>
          <w:p w:rsidR="00AD5BB5" w:rsidRDefault="00F87FF6">
            <w:pPr>
              <w:rPr>
                <w:rFonts w:ascii="Times New Roman" w:eastAsiaTheme="minorEastAsia" w:hAnsi="Times New Roman" w:cs="Times New Roman"/>
                <w:szCs w:val="24"/>
              </w:rPr>
            </w:pPr>
            <w:r>
              <w:rPr>
                <w:rFonts w:ascii="Times New Roman" w:eastAsiaTheme="minorEastAsia" w:hAnsi="Times New Roman" w:cs="Times New Roman" w:hint="eastAsia"/>
                <w:szCs w:val="24"/>
              </w:rPr>
              <w:t>2.</w:t>
            </w:r>
            <w:r>
              <w:rPr>
                <w:rFonts w:ascii="Times New Roman" w:eastAsiaTheme="minorEastAsia" w:hAnsi="Times New Roman" w:cs="Times New Roman" w:hint="eastAsia"/>
                <w:szCs w:val="24"/>
              </w:rPr>
              <w:t>《厦门银行股份有限公司关于未来三年（</w:t>
            </w:r>
            <w:r>
              <w:rPr>
                <w:rFonts w:ascii="Times New Roman" w:eastAsiaTheme="minorEastAsia" w:hAnsi="Times New Roman" w:cs="Times New Roman" w:hint="eastAsia"/>
                <w:szCs w:val="24"/>
              </w:rPr>
              <w:t>2023-2025</w:t>
            </w:r>
            <w:r>
              <w:rPr>
                <w:rFonts w:ascii="Times New Roman" w:eastAsiaTheme="minorEastAsia" w:hAnsi="Times New Roman" w:cs="Times New Roman" w:hint="eastAsia"/>
                <w:szCs w:val="24"/>
              </w:rPr>
              <w:t>年）股东回报规划的议案》</w:t>
            </w:r>
          </w:p>
          <w:p w:rsidR="00AD5BB5" w:rsidRDefault="00F87FF6">
            <w:pPr>
              <w:rPr>
                <w:rFonts w:ascii="Times New Roman" w:eastAsiaTheme="minorEastAsia" w:hAnsi="Times New Roman" w:cs="Times New Roman"/>
                <w:szCs w:val="24"/>
              </w:rPr>
            </w:pPr>
            <w:r>
              <w:rPr>
                <w:rFonts w:ascii="Times New Roman" w:eastAsiaTheme="minorEastAsia" w:hAnsi="Times New Roman" w:cs="Times New Roman" w:hint="eastAsia"/>
                <w:szCs w:val="24"/>
              </w:rPr>
              <w:t>3.</w:t>
            </w:r>
            <w:r>
              <w:rPr>
                <w:rFonts w:ascii="Times New Roman" w:eastAsiaTheme="minorEastAsia" w:hAnsi="Times New Roman" w:cs="Times New Roman" w:hint="eastAsia"/>
                <w:szCs w:val="24"/>
              </w:rPr>
              <w:t>《厦门银行股份有限公司关于提请股东大会授权办理本次向不特定对象发行可转换公司债券相关事宜的议案》</w:t>
            </w:r>
          </w:p>
          <w:p w:rsidR="00AD5BB5" w:rsidRDefault="00F87FF6">
            <w:pPr>
              <w:rPr>
                <w:rFonts w:ascii="Times New Roman" w:eastAsiaTheme="minorEastAsia" w:hAnsi="Times New Roman" w:cs="Times New Roman"/>
                <w:szCs w:val="24"/>
              </w:rPr>
            </w:pPr>
            <w:r>
              <w:rPr>
                <w:rFonts w:ascii="Times New Roman" w:eastAsiaTheme="minorEastAsia" w:hAnsi="Times New Roman" w:cs="Times New Roman" w:hint="eastAsia"/>
                <w:szCs w:val="24"/>
              </w:rPr>
              <w:t>4.</w:t>
            </w:r>
            <w:r>
              <w:rPr>
                <w:rFonts w:ascii="Times New Roman" w:eastAsiaTheme="minorEastAsia" w:hAnsi="Times New Roman" w:cs="Times New Roman" w:hint="eastAsia"/>
                <w:szCs w:val="24"/>
              </w:rPr>
              <w:t>《厦门银行股份有限公司关于延长可转换公司债券发行决议有效期的议案》</w:t>
            </w:r>
          </w:p>
          <w:p w:rsidR="00AD5BB5" w:rsidRDefault="00F87FF6">
            <w:pPr>
              <w:rPr>
                <w:rFonts w:ascii="Times New Roman" w:eastAsiaTheme="minorEastAsia" w:hAnsi="Times New Roman" w:cs="Times New Roman"/>
                <w:szCs w:val="24"/>
              </w:rPr>
            </w:pPr>
            <w:r>
              <w:rPr>
                <w:rFonts w:ascii="Times New Roman" w:eastAsiaTheme="minorEastAsia" w:hAnsi="Times New Roman" w:cs="Times New Roman" w:hint="eastAsia"/>
                <w:szCs w:val="24"/>
              </w:rPr>
              <w:t>5.</w:t>
            </w:r>
            <w:r>
              <w:rPr>
                <w:rFonts w:ascii="Times New Roman" w:eastAsiaTheme="minorEastAsia" w:hAnsi="Times New Roman" w:cs="Times New Roman" w:hint="eastAsia"/>
                <w:szCs w:val="24"/>
              </w:rPr>
              <w:t>《关于修订</w:t>
            </w:r>
            <w:r>
              <w:rPr>
                <w:rFonts w:ascii="Times New Roman" w:eastAsiaTheme="minorEastAsia" w:hAnsi="Times New Roman" w:cs="Times New Roman" w:hint="eastAsia"/>
                <w:szCs w:val="24"/>
              </w:rPr>
              <w:t>&lt;</w:t>
            </w:r>
            <w:r>
              <w:rPr>
                <w:rFonts w:ascii="Times New Roman" w:eastAsiaTheme="minorEastAsia" w:hAnsi="Times New Roman" w:cs="Times New Roman" w:hint="eastAsia"/>
                <w:szCs w:val="24"/>
              </w:rPr>
              <w:t>厦门银行股份有限公司章程</w:t>
            </w:r>
            <w:r>
              <w:rPr>
                <w:rFonts w:ascii="Times New Roman" w:eastAsiaTheme="minorEastAsia" w:hAnsi="Times New Roman" w:cs="Times New Roman" w:hint="eastAsia"/>
                <w:szCs w:val="24"/>
              </w:rPr>
              <w:t>&gt;</w:t>
            </w:r>
            <w:r>
              <w:rPr>
                <w:rFonts w:ascii="Times New Roman" w:eastAsiaTheme="minorEastAsia" w:hAnsi="Times New Roman" w:cs="Times New Roman" w:hint="eastAsia"/>
                <w:szCs w:val="24"/>
              </w:rPr>
              <w:t>的议案》</w:t>
            </w:r>
          </w:p>
          <w:p w:rsidR="00AD5BB5" w:rsidRDefault="00F87FF6">
            <w:pPr>
              <w:rPr>
                <w:rFonts w:ascii="Times New Roman" w:eastAsiaTheme="minorEastAsia" w:hAnsi="Times New Roman" w:cs="Times New Roman"/>
                <w:szCs w:val="24"/>
              </w:rPr>
            </w:pPr>
            <w:r>
              <w:rPr>
                <w:rFonts w:ascii="Times New Roman" w:eastAsiaTheme="minorEastAsia" w:hAnsi="Times New Roman" w:cs="Times New Roman" w:hint="eastAsia"/>
                <w:szCs w:val="24"/>
              </w:rPr>
              <w:t>6.</w:t>
            </w:r>
            <w:r>
              <w:rPr>
                <w:rFonts w:ascii="Times New Roman" w:eastAsiaTheme="minorEastAsia" w:hAnsi="Times New Roman" w:cs="Times New Roman" w:hint="eastAsia"/>
                <w:szCs w:val="24"/>
              </w:rPr>
              <w:t>《关于修订</w:t>
            </w:r>
            <w:r>
              <w:rPr>
                <w:rFonts w:ascii="Times New Roman" w:eastAsiaTheme="minorEastAsia" w:hAnsi="Times New Roman" w:cs="Times New Roman" w:hint="eastAsia"/>
                <w:szCs w:val="24"/>
              </w:rPr>
              <w:t>&lt;</w:t>
            </w:r>
            <w:r>
              <w:rPr>
                <w:rFonts w:ascii="Times New Roman" w:eastAsiaTheme="minorEastAsia" w:hAnsi="Times New Roman" w:cs="Times New Roman" w:hint="eastAsia"/>
                <w:szCs w:val="24"/>
              </w:rPr>
              <w:t>厦门银行股份有限公司股东大会议事规则</w:t>
            </w:r>
            <w:r>
              <w:rPr>
                <w:rFonts w:ascii="Times New Roman" w:eastAsiaTheme="minorEastAsia" w:hAnsi="Times New Roman" w:cs="Times New Roman" w:hint="eastAsia"/>
                <w:szCs w:val="24"/>
              </w:rPr>
              <w:t>&gt;</w:t>
            </w:r>
            <w:r>
              <w:rPr>
                <w:rFonts w:ascii="Times New Roman" w:eastAsiaTheme="minorEastAsia" w:hAnsi="Times New Roman" w:cs="Times New Roman" w:hint="eastAsia"/>
                <w:szCs w:val="24"/>
              </w:rPr>
              <w:t>的议案》</w:t>
            </w:r>
          </w:p>
          <w:p w:rsidR="00AD5BB5" w:rsidRDefault="00F87FF6">
            <w:r>
              <w:rPr>
                <w:rFonts w:ascii="Times New Roman" w:eastAsiaTheme="minorEastAsia" w:hAnsi="Times New Roman" w:cs="Times New Roman" w:hint="eastAsia"/>
                <w:szCs w:val="24"/>
              </w:rPr>
              <w:t>7.</w:t>
            </w:r>
            <w:r>
              <w:rPr>
                <w:rFonts w:ascii="Times New Roman" w:eastAsiaTheme="minorEastAsia" w:hAnsi="Times New Roman" w:cs="Times New Roman" w:hint="eastAsia"/>
                <w:szCs w:val="24"/>
              </w:rPr>
              <w:t>《关于修订</w:t>
            </w:r>
            <w:r>
              <w:rPr>
                <w:rFonts w:ascii="Times New Roman" w:eastAsiaTheme="minorEastAsia" w:hAnsi="Times New Roman" w:cs="Times New Roman" w:hint="eastAsia"/>
                <w:szCs w:val="24"/>
              </w:rPr>
              <w:t>&lt;</w:t>
            </w:r>
            <w:r>
              <w:rPr>
                <w:rFonts w:ascii="Times New Roman" w:eastAsiaTheme="minorEastAsia" w:hAnsi="Times New Roman" w:cs="Times New Roman" w:hint="eastAsia"/>
                <w:szCs w:val="24"/>
              </w:rPr>
              <w:t>厦门银行股份有限公司董事会议事规则</w:t>
            </w:r>
            <w:r>
              <w:rPr>
                <w:rFonts w:ascii="Times New Roman" w:eastAsiaTheme="minorEastAsia" w:hAnsi="Times New Roman" w:cs="Times New Roman" w:hint="eastAsia"/>
                <w:szCs w:val="24"/>
              </w:rPr>
              <w:t>&gt;</w:t>
            </w:r>
            <w:r>
              <w:rPr>
                <w:rFonts w:ascii="Times New Roman" w:eastAsiaTheme="minorEastAsia" w:hAnsi="Times New Roman" w:cs="Times New Roman" w:hint="eastAsia"/>
                <w:szCs w:val="24"/>
              </w:rPr>
              <w:t>的议案》</w:t>
            </w:r>
          </w:p>
        </w:tc>
      </w:tr>
      <w:tr w:rsidR="00AD5BB5">
        <w:trPr>
          <w:trHeight w:val="496"/>
        </w:trPr>
        <w:tc>
          <w:tcPr>
            <w:tcW w:w="45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eastAsiaTheme="minorEastAsia" w:hAnsi="Times New Roman" w:cs="Times New Roman"/>
              </w:rPr>
            </w:pPr>
            <w:r>
              <w:rPr>
                <w:rFonts w:ascii="Times New Roman" w:eastAsiaTheme="minorEastAsia" w:hAnsi="Times New Roman" w:cs="Times New Roman" w:hint="eastAsia"/>
              </w:rPr>
              <w:t>厦门银行股份有限公司</w:t>
            </w:r>
            <w:r>
              <w:rPr>
                <w:rFonts w:ascii="Times New Roman" w:eastAsiaTheme="minorEastAsia" w:hAnsi="Times New Roman" w:cs="Times New Roman" w:hint="eastAsia"/>
              </w:rPr>
              <w:t>2022</w:t>
            </w:r>
            <w:r>
              <w:rPr>
                <w:rFonts w:ascii="Times New Roman" w:eastAsiaTheme="minorEastAsia" w:hAnsi="Times New Roman" w:cs="Times New Roman" w:hint="eastAsia"/>
              </w:rPr>
              <w:t>年度股东大会</w:t>
            </w:r>
          </w:p>
        </w:tc>
        <w:tc>
          <w:tcPr>
            <w:tcW w:w="55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r>
              <w:rPr>
                <w:rFonts w:hint="eastAsia"/>
              </w:rPr>
              <w:t>2023</w:t>
            </w:r>
            <w:r>
              <w:rPr>
                <w:rFonts w:hint="eastAsia"/>
              </w:rPr>
              <w:t>年</w:t>
            </w:r>
            <w:r>
              <w:rPr>
                <w:rFonts w:hint="eastAsia"/>
              </w:rPr>
              <w:t>5</w:t>
            </w:r>
            <w:r>
              <w:rPr>
                <w:rFonts w:hint="eastAsia"/>
              </w:rPr>
              <w:t>月</w:t>
            </w:r>
            <w:r>
              <w:rPr>
                <w:rFonts w:hint="eastAsia"/>
              </w:rPr>
              <w:t>18</w:t>
            </w:r>
            <w:r>
              <w:rPr>
                <w:rFonts w:hint="eastAsia"/>
              </w:rPr>
              <w:t>日</w:t>
            </w:r>
          </w:p>
        </w:tc>
        <w:tc>
          <w:tcPr>
            <w:tcW w:w="103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eastAsiaTheme="minorEastAsia" w:hAnsi="Times New Roman" w:cs="Times New Roman"/>
              </w:rPr>
            </w:pPr>
            <w:r>
              <w:rPr>
                <w:rFonts w:ascii="Times New Roman" w:eastAsiaTheme="minorEastAsia" w:hAnsi="Times New Roman" w:cs="Times New Roman"/>
              </w:rPr>
              <w:t>www.sse.com.cn</w:t>
            </w:r>
          </w:p>
        </w:tc>
        <w:tc>
          <w:tcPr>
            <w:tcW w:w="79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r>
              <w:rPr>
                <w:rFonts w:hint="eastAsia"/>
              </w:rPr>
              <w:t>2023</w:t>
            </w:r>
            <w:r>
              <w:rPr>
                <w:rFonts w:hint="eastAsia"/>
              </w:rPr>
              <w:t>年</w:t>
            </w:r>
            <w:r>
              <w:rPr>
                <w:rFonts w:hint="eastAsia"/>
              </w:rPr>
              <w:t>5</w:t>
            </w:r>
            <w:r>
              <w:rPr>
                <w:rFonts w:hint="eastAsia"/>
              </w:rPr>
              <w:t>月</w:t>
            </w:r>
            <w:r>
              <w:rPr>
                <w:rFonts w:hint="eastAsia"/>
              </w:rPr>
              <w:t>19</w:t>
            </w:r>
            <w:r>
              <w:rPr>
                <w:rFonts w:hint="eastAsia"/>
              </w:rPr>
              <w:t>日</w:t>
            </w:r>
          </w:p>
        </w:tc>
        <w:tc>
          <w:tcPr>
            <w:tcW w:w="215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eastAsiaTheme="minorEastAsia" w:hAnsi="Times New Roman" w:cs="Times New Roman"/>
                <w:szCs w:val="24"/>
              </w:rPr>
            </w:pPr>
            <w:r>
              <w:rPr>
                <w:rFonts w:ascii="Times New Roman" w:eastAsiaTheme="minorEastAsia" w:hAnsi="Times New Roman" w:cs="Times New Roman" w:hint="eastAsia"/>
                <w:szCs w:val="24"/>
              </w:rPr>
              <w:t>审议通过</w:t>
            </w:r>
          </w:p>
          <w:p w:rsidR="00AD5BB5" w:rsidRDefault="00F87FF6">
            <w:pPr>
              <w:rPr>
                <w:rFonts w:ascii="Times New Roman" w:eastAsiaTheme="minorEastAsia" w:hAnsi="Times New Roman" w:cs="Times New Roman"/>
                <w:szCs w:val="24"/>
              </w:rPr>
            </w:pPr>
            <w:r>
              <w:rPr>
                <w:rFonts w:ascii="Times New Roman" w:eastAsiaTheme="minorEastAsia" w:hAnsi="Times New Roman" w:cs="Times New Roman" w:hint="eastAsia"/>
                <w:szCs w:val="24"/>
              </w:rPr>
              <w:t>1.</w:t>
            </w:r>
            <w:r>
              <w:rPr>
                <w:rFonts w:ascii="Times New Roman" w:eastAsiaTheme="minorEastAsia" w:hAnsi="Times New Roman" w:cs="Times New Roman" w:hint="eastAsia"/>
                <w:szCs w:val="24"/>
              </w:rPr>
              <w:t>《厦门银行股份有限公司关于</w:t>
            </w:r>
            <w:r>
              <w:rPr>
                <w:rFonts w:ascii="Times New Roman" w:eastAsiaTheme="minorEastAsia" w:hAnsi="Times New Roman" w:cs="Times New Roman" w:hint="eastAsia"/>
                <w:szCs w:val="24"/>
              </w:rPr>
              <w:t>2022</w:t>
            </w:r>
            <w:r>
              <w:rPr>
                <w:rFonts w:ascii="Times New Roman" w:eastAsiaTheme="minorEastAsia" w:hAnsi="Times New Roman" w:cs="Times New Roman" w:hint="eastAsia"/>
                <w:szCs w:val="24"/>
              </w:rPr>
              <w:t>年度董事会工作报告的议案》</w:t>
            </w:r>
          </w:p>
          <w:p w:rsidR="00AD5BB5" w:rsidRDefault="00F87FF6">
            <w:pPr>
              <w:rPr>
                <w:rFonts w:ascii="Times New Roman" w:eastAsiaTheme="minorEastAsia" w:hAnsi="Times New Roman" w:cs="Times New Roman"/>
                <w:szCs w:val="24"/>
              </w:rPr>
            </w:pPr>
            <w:r>
              <w:rPr>
                <w:rFonts w:ascii="Times New Roman" w:eastAsiaTheme="minorEastAsia" w:hAnsi="Times New Roman" w:cs="Times New Roman" w:hint="eastAsia"/>
                <w:szCs w:val="24"/>
              </w:rPr>
              <w:t>2.</w:t>
            </w:r>
            <w:r>
              <w:rPr>
                <w:rFonts w:ascii="Times New Roman" w:eastAsiaTheme="minorEastAsia" w:hAnsi="Times New Roman" w:cs="Times New Roman" w:hint="eastAsia"/>
                <w:szCs w:val="24"/>
              </w:rPr>
              <w:t>《厦门银行股份有限公司关于</w:t>
            </w:r>
            <w:r>
              <w:rPr>
                <w:rFonts w:ascii="Times New Roman" w:eastAsiaTheme="minorEastAsia" w:hAnsi="Times New Roman" w:cs="Times New Roman" w:hint="eastAsia"/>
                <w:szCs w:val="24"/>
              </w:rPr>
              <w:t>2022</w:t>
            </w:r>
            <w:r>
              <w:rPr>
                <w:rFonts w:ascii="Times New Roman" w:eastAsiaTheme="minorEastAsia" w:hAnsi="Times New Roman" w:cs="Times New Roman" w:hint="eastAsia"/>
                <w:szCs w:val="24"/>
              </w:rPr>
              <w:t>年度监事会工作报告的议案》</w:t>
            </w:r>
          </w:p>
          <w:p w:rsidR="00AD5BB5" w:rsidRDefault="00F87FF6">
            <w:pPr>
              <w:rPr>
                <w:rFonts w:ascii="Times New Roman" w:eastAsiaTheme="minorEastAsia" w:hAnsi="Times New Roman" w:cs="Times New Roman"/>
                <w:szCs w:val="24"/>
              </w:rPr>
            </w:pPr>
            <w:r>
              <w:rPr>
                <w:rFonts w:ascii="Times New Roman" w:eastAsiaTheme="minorEastAsia" w:hAnsi="Times New Roman" w:cs="Times New Roman" w:hint="eastAsia"/>
                <w:szCs w:val="24"/>
              </w:rPr>
              <w:t>3.</w:t>
            </w:r>
            <w:r>
              <w:rPr>
                <w:rFonts w:ascii="Times New Roman" w:eastAsiaTheme="minorEastAsia" w:hAnsi="Times New Roman" w:cs="Times New Roman" w:hint="eastAsia"/>
                <w:szCs w:val="24"/>
              </w:rPr>
              <w:t>《厦门银行股份有限公司关于</w:t>
            </w:r>
            <w:r>
              <w:rPr>
                <w:rFonts w:ascii="Times New Roman" w:eastAsiaTheme="minorEastAsia" w:hAnsi="Times New Roman" w:cs="Times New Roman" w:hint="eastAsia"/>
                <w:szCs w:val="24"/>
              </w:rPr>
              <w:t>2022</w:t>
            </w:r>
            <w:r>
              <w:rPr>
                <w:rFonts w:ascii="Times New Roman" w:eastAsiaTheme="minorEastAsia" w:hAnsi="Times New Roman" w:cs="Times New Roman" w:hint="eastAsia"/>
                <w:szCs w:val="24"/>
              </w:rPr>
              <w:t>年年度报告及其摘要的议案》</w:t>
            </w:r>
          </w:p>
          <w:p w:rsidR="00AD5BB5" w:rsidRDefault="00F87FF6">
            <w:pPr>
              <w:rPr>
                <w:rFonts w:ascii="Times New Roman" w:eastAsiaTheme="minorEastAsia" w:hAnsi="Times New Roman" w:cs="Times New Roman"/>
                <w:szCs w:val="24"/>
              </w:rPr>
            </w:pPr>
            <w:r>
              <w:rPr>
                <w:rFonts w:ascii="Times New Roman" w:eastAsiaTheme="minorEastAsia" w:hAnsi="Times New Roman" w:cs="Times New Roman" w:hint="eastAsia"/>
                <w:szCs w:val="24"/>
              </w:rPr>
              <w:t>4.</w:t>
            </w:r>
            <w:r>
              <w:rPr>
                <w:rFonts w:ascii="Times New Roman" w:eastAsiaTheme="minorEastAsia" w:hAnsi="Times New Roman" w:cs="Times New Roman" w:hint="eastAsia"/>
                <w:szCs w:val="24"/>
              </w:rPr>
              <w:t>《厦门银行股份有限公司关于</w:t>
            </w:r>
            <w:r>
              <w:rPr>
                <w:rFonts w:ascii="Times New Roman" w:eastAsiaTheme="minorEastAsia" w:hAnsi="Times New Roman" w:cs="Times New Roman" w:hint="eastAsia"/>
                <w:szCs w:val="24"/>
              </w:rPr>
              <w:t>2022</w:t>
            </w:r>
            <w:r>
              <w:rPr>
                <w:rFonts w:ascii="Times New Roman" w:eastAsiaTheme="minorEastAsia" w:hAnsi="Times New Roman" w:cs="Times New Roman" w:hint="eastAsia"/>
                <w:szCs w:val="24"/>
              </w:rPr>
              <w:t>年度财务决算报告的议案》</w:t>
            </w:r>
          </w:p>
          <w:p w:rsidR="00AD5BB5" w:rsidRDefault="00F87FF6">
            <w:pPr>
              <w:rPr>
                <w:rFonts w:ascii="Times New Roman" w:eastAsiaTheme="minorEastAsia" w:hAnsi="Times New Roman" w:cs="Times New Roman"/>
                <w:szCs w:val="24"/>
              </w:rPr>
            </w:pPr>
            <w:r>
              <w:rPr>
                <w:rFonts w:ascii="Times New Roman" w:eastAsiaTheme="minorEastAsia" w:hAnsi="Times New Roman" w:cs="Times New Roman" w:hint="eastAsia"/>
                <w:szCs w:val="24"/>
              </w:rPr>
              <w:t>5.</w:t>
            </w:r>
            <w:r>
              <w:rPr>
                <w:rFonts w:ascii="Times New Roman" w:eastAsiaTheme="minorEastAsia" w:hAnsi="Times New Roman" w:cs="Times New Roman" w:hint="eastAsia"/>
                <w:szCs w:val="24"/>
              </w:rPr>
              <w:t>《厦门银行股份有限公司关于</w:t>
            </w:r>
            <w:r>
              <w:rPr>
                <w:rFonts w:ascii="Times New Roman" w:eastAsiaTheme="minorEastAsia" w:hAnsi="Times New Roman" w:cs="Times New Roman" w:hint="eastAsia"/>
                <w:szCs w:val="24"/>
              </w:rPr>
              <w:t>2022</w:t>
            </w:r>
            <w:r>
              <w:rPr>
                <w:rFonts w:ascii="Times New Roman" w:eastAsiaTheme="minorEastAsia" w:hAnsi="Times New Roman" w:cs="Times New Roman" w:hint="eastAsia"/>
                <w:szCs w:val="24"/>
              </w:rPr>
              <w:t>年度利润分配方案的议案》</w:t>
            </w:r>
          </w:p>
          <w:p w:rsidR="00AD5BB5" w:rsidRDefault="00F87FF6">
            <w:pPr>
              <w:rPr>
                <w:rFonts w:ascii="Times New Roman" w:eastAsiaTheme="minorEastAsia" w:hAnsi="Times New Roman" w:cs="Times New Roman"/>
                <w:szCs w:val="24"/>
              </w:rPr>
            </w:pPr>
            <w:r>
              <w:rPr>
                <w:rFonts w:ascii="Times New Roman" w:eastAsiaTheme="minorEastAsia" w:hAnsi="Times New Roman" w:cs="Times New Roman" w:hint="eastAsia"/>
                <w:szCs w:val="24"/>
              </w:rPr>
              <w:t>6.</w:t>
            </w:r>
            <w:r>
              <w:rPr>
                <w:rFonts w:ascii="Times New Roman" w:eastAsiaTheme="minorEastAsia" w:hAnsi="Times New Roman" w:cs="Times New Roman" w:hint="eastAsia"/>
                <w:szCs w:val="24"/>
              </w:rPr>
              <w:t>《厦门银行股份有限公司关于</w:t>
            </w:r>
            <w:r>
              <w:rPr>
                <w:rFonts w:ascii="Times New Roman" w:eastAsiaTheme="minorEastAsia" w:hAnsi="Times New Roman" w:cs="Times New Roman" w:hint="eastAsia"/>
                <w:szCs w:val="24"/>
              </w:rPr>
              <w:t>2023</w:t>
            </w:r>
            <w:r>
              <w:rPr>
                <w:rFonts w:ascii="Times New Roman" w:eastAsiaTheme="minorEastAsia" w:hAnsi="Times New Roman" w:cs="Times New Roman" w:hint="eastAsia"/>
                <w:szCs w:val="24"/>
              </w:rPr>
              <w:t>年度财务预算方案的议案》</w:t>
            </w:r>
          </w:p>
          <w:p w:rsidR="00AD5BB5" w:rsidRDefault="00F87FF6">
            <w:pPr>
              <w:rPr>
                <w:rFonts w:ascii="Times New Roman" w:eastAsiaTheme="minorEastAsia" w:hAnsi="Times New Roman" w:cs="Times New Roman"/>
                <w:szCs w:val="24"/>
              </w:rPr>
            </w:pPr>
            <w:r>
              <w:rPr>
                <w:rFonts w:ascii="Times New Roman" w:eastAsiaTheme="minorEastAsia" w:hAnsi="Times New Roman" w:cs="Times New Roman" w:hint="eastAsia"/>
                <w:szCs w:val="24"/>
              </w:rPr>
              <w:t>7.</w:t>
            </w:r>
            <w:r>
              <w:rPr>
                <w:rFonts w:ascii="Times New Roman" w:eastAsiaTheme="minorEastAsia" w:hAnsi="Times New Roman" w:cs="Times New Roman" w:hint="eastAsia"/>
                <w:szCs w:val="24"/>
              </w:rPr>
              <w:t>《厦门银行股份有限公司关于聘请</w:t>
            </w:r>
            <w:r>
              <w:rPr>
                <w:rFonts w:ascii="Times New Roman" w:eastAsiaTheme="minorEastAsia" w:hAnsi="Times New Roman" w:cs="Times New Roman" w:hint="eastAsia"/>
                <w:szCs w:val="24"/>
              </w:rPr>
              <w:t>2023</w:t>
            </w:r>
            <w:r>
              <w:rPr>
                <w:rFonts w:ascii="Times New Roman" w:eastAsiaTheme="minorEastAsia" w:hAnsi="Times New Roman" w:cs="Times New Roman" w:hint="eastAsia"/>
                <w:szCs w:val="24"/>
              </w:rPr>
              <w:t>年度会计师事务所的议案》</w:t>
            </w:r>
          </w:p>
          <w:p w:rsidR="00AD5BB5" w:rsidRDefault="00F87FF6">
            <w:pPr>
              <w:rPr>
                <w:rFonts w:ascii="Times New Roman" w:eastAsiaTheme="minorEastAsia" w:hAnsi="Times New Roman" w:cs="Times New Roman"/>
                <w:szCs w:val="24"/>
              </w:rPr>
            </w:pPr>
            <w:r>
              <w:rPr>
                <w:rFonts w:ascii="Times New Roman" w:eastAsiaTheme="minorEastAsia" w:hAnsi="Times New Roman" w:cs="Times New Roman" w:hint="eastAsia"/>
                <w:szCs w:val="24"/>
              </w:rPr>
              <w:t>8.</w:t>
            </w:r>
            <w:r>
              <w:rPr>
                <w:rFonts w:ascii="Times New Roman" w:eastAsiaTheme="minorEastAsia" w:hAnsi="Times New Roman" w:cs="Times New Roman" w:hint="eastAsia"/>
                <w:szCs w:val="24"/>
              </w:rPr>
              <w:t>《厦门银行股份有限公司关于</w:t>
            </w:r>
            <w:r>
              <w:rPr>
                <w:rFonts w:ascii="Times New Roman" w:eastAsiaTheme="minorEastAsia" w:hAnsi="Times New Roman" w:cs="Times New Roman" w:hint="eastAsia"/>
                <w:szCs w:val="24"/>
              </w:rPr>
              <w:t>2023</w:t>
            </w:r>
            <w:r>
              <w:rPr>
                <w:rFonts w:ascii="Times New Roman" w:eastAsiaTheme="minorEastAsia" w:hAnsi="Times New Roman" w:cs="Times New Roman" w:hint="eastAsia"/>
                <w:szCs w:val="24"/>
              </w:rPr>
              <w:t>年度日常关联交易预计额度的议案》</w:t>
            </w:r>
          </w:p>
          <w:p w:rsidR="00AD5BB5" w:rsidRDefault="00F87FF6">
            <w:pPr>
              <w:rPr>
                <w:rFonts w:ascii="Times New Roman" w:eastAsiaTheme="minorEastAsia" w:hAnsi="Times New Roman" w:cs="Times New Roman"/>
                <w:szCs w:val="24"/>
              </w:rPr>
            </w:pPr>
            <w:r>
              <w:rPr>
                <w:rFonts w:ascii="Times New Roman" w:eastAsiaTheme="minorEastAsia" w:hAnsi="Times New Roman" w:cs="Times New Roman" w:hint="eastAsia"/>
                <w:szCs w:val="24"/>
              </w:rPr>
              <w:t>听取</w:t>
            </w:r>
          </w:p>
          <w:p w:rsidR="00AD5BB5" w:rsidRDefault="00F87FF6">
            <w:pPr>
              <w:rPr>
                <w:rFonts w:ascii="Times New Roman" w:eastAsiaTheme="minorEastAsia" w:hAnsi="Times New Roman" w:cs="Times New Roman"/>
                <w:szCs w:val="24"/>
              </w:rPr>
            </w:pPr>
            <w:r>
              <w:rPr>
                <w:rFonts w:ascii="Times New Roman" w:eastAsiaTheme="minorEastAsia" w:hAnsi="Times New Roman" w:cs="Times New Roman" w:hint="eastAsia"/>
                <w:szCs w:val="24"/>
              </w:rPr>
              <w:t>1.</w:t>
            </w:r>
            <w:r>
              <w:rPr>
                <w:rFonts w:ascii="Times New Roman" w:eastAsiaTheme="minorEastAsia" w:hAnsi="Times New Roman" w:cs="Times New Roman" w:hint="eastAsia"/>
                <w:szCs w:val="24"/>
              </w:rPr>
              <w:t>《厦门银行股份有限公司</w:t>
            </w:r>
            <w:r>
              <w:rPr>
                <w:rFonts w:ascii="Times New Roman" w:eastAsiaTheme="minorEastAsia" w:hAnsi="Times New Roman" w:cs="Times New Roman" w:hint="eastAsia"/>
                <w:szCs w:val="24"/>
              </w:rPr>
              <w:t>2022</w:t>
            </w:r>
            <w:r>
              <w:rPr>
                <w:rFonts w:ascii="Times New Roman" w:eastAsiaTheme="minorEastAsia" w:hAnsi="Times New Roman" w:cs="Times New Roman" w:hint="eastAsia"/>
                <w:szCs w:val="24"/>
              </w:rPr>
              <w:t>年度独立董事述职报告》</w:t>
            </w:r>
          </w:p>
          <w:p w:rsidR="00AD5BB5" w:rsidRDefault="00F87FF6">
            <w:pPr>
              <w:rPr>
                <w:rFonts w:ascii="Times New Roman" w:eastAsiaTheme="minorEastAsia" w:hAnsi="Times New Roman" w:cs="Times New Roman"/>
                <w:szCs w:val="24"/>
              </w:rPr>
            </w:pPr>
            <w:r>
              <w:rPr>
                <w:rFonts w:ascii="Times New Roman" w:eastAsiaTheme="minorEastAsia" w:hAnsi="Times New Roman" w:cs="Times New Roman" w:hint="eastAsia"/>
                <w:szCs w:val="24"/>
              </w:rPr>
              <w:t>2.</w:t>
            </w:r>
            <w:r>
              <w:rPr>
                <w:rFonts w:ascii="Times New Roman" w:eastAsiaTheme="minorEastAsia" w:hAnsi="Times New Roman" w:cs="Times New Roman" w:hint="eastAsia"/>
                <w:szCs w:val="24"/>
              </w:rPr>
              <w:t>《厦门银行股份有限公司</w:t>
            </w:r>
            <w:r>
              <w:rPr>
                <w:rFonts w:ascii="Times New Roman" w:eastAsiaTheme="minorEastAsia" w:hAnsi="Times New Roman" w:cs="Times New Roman" w:hint="eastAsia"/>
                <w:szCs w:val="24"/>
              </w:rPr>
              <w:t>2022</w:t>
            </w:r>
            <w:r>
              <w:rPr>
                <w:rFonts w:ascii="Times New Roman" w:eastAsiaTheme="minorEastAsia" w:hAnsi="Times New Roman" w:cs="Times New Roman" w:hint="eastAsia"/>
                <w:szCs w:val="24"/>
              </w:rPr>
              <w:t>年度关联交易管理情况报告》</w:t>
            </w:r>
          </w:p>
          <w:p w:rsidR="00AD5BB5" w:rsidRDefault="00F87FF6">
            <w:pPr>
              <w:rPr>
                <w:rFonts w:ascii="Times New Roman" w:eastAsiaTheme="minorEastAsia" w:hAnsi="Times New Roman" w:cs="Times New Roman"/>
                <w:szCs w:val="24"/>
              </w:rPr>
            </w:pPr>
            <w:r>
              <w:rPr>
                <w:rFonts w:ascii="Times New Roman" w:eastAsiaTheme="minorEastAsia" w:hAnsi="Times New Roman" w:cs="Times New Roman" w:hint="eastAsia"/>
                <w:szCs w:val="24"/>
              </w:rPr>
              <w:t>3.</w:t>
            </w:r>
            <w:r>
              <w:rPr>
                <w:rFonts w:ascii="Times New Roman" w:eastAsiaTheme="minorEastAsia" w:hAnsi="Times New Roman" w:cs="Times New Roman" w:hint="eastAsia"/>
                <w:szCs w:val="24"/>
              </w:rPr>
              <w:t>《厦门银行股份有限公司</w:t>
            </w:r>
            <w:r>
              <w:rPr>
                <w:rFonts w:ascii="Times New Roman" w:eastAsiaTheme="minorEastAsia" w:hAnsi="Times New Roman" w:cs="Times New Roman" w:hint="eastAsia"/>
                <w:szCs w:val="24"/>
              </w:rPr>
              <w:t>2022</w:t>
            </w:r>
            <w:r>
              <w:rPr>
                <w:rFonts w:ascii="Times New Roman" w:eastAsiaTheme="minorEastAsia" w:hAnsi="Times New Roman" w:cs="Times New Roman" w:hint="eastAsia"/>
                <w:szCs w:val="24"/>
              </w:rPr>
              <w:t>年度董事会及董事履职评价报告》</w:t>
            </w:r>
          </w:p>
          <w:p w:rsidR="00AD5BB5" w:rsidRDefault="00F87FF6">
            <w:pPr>
              <w:rPr>
                <w:rFonts w:ascii="Times New Roman" w:eastAsiaTheme="minorEastAsia" w:hAnsi="Times New Roman" w:cs="Times New Roman"/>
                <w:szCs w:val="24"/>
              </w:rPr>
            </w:pPr>
            <w:r>
              <w:rPr>
                <w:rFonts w:ascii="Times New Roman" w:eastAsiaTheme="minorEastAsia" w:hAnsi="Times New Roman" w:cs="Times New Roman" w:hint="eastAsia"/>
                <w:szCs w:val="24"/>
              </w:rPr>
              <w:t>4.</w:t>
            </w:r>
            <w:r>
              <w:rPr>
                <w:rFonts w:ascii="Times New Roman" w:eastAsiaTheme="minorEastAsia" w:hAnsi="Times New Roman" w:cs="Times New Roman" w:hint="eastAsia"/>
                <w:szCs w:val="24"/>
              </w:rPr>
              <w:t>《厦门银行股份有限公司</w:t>
            </w:r>
            <w:r>
              <w:rPr>
                <w:rFonts w:ascii="Times New Roman" w:eastAsiaTheme="minorEastAsia" w:hAnsi="Times New Roman" w:cs="Times New Roman" w:hint="eastAsia"/>
                <w:szCs w:val="24"/>
              </w:rPr>
              <w:t>2022</w:t>
            </w:r>
            <w:r>
              <w:rPr>
                <w:rFonts w:ascii="Times New Roman" w:eastAsiaTheme="minorEastAsia" w:hAnsi="Times New Roman" w:cs="Times New Roman" w:hint="eastAsia"/>
                <w:szCs w:val="24"/>
              </w:rPr>
              <w:t>年度高级管理层及其成员履职评价报告》</w:t>
            </w:r>
          </w:p>
          <w:p w:rsidR="00AD5BB5" w:rsidRDefault="00F87FF6">
            <w:pPr>
              <w:rPr>
                <w:rFonts w:ascii="Times New Roman" w:eastAsiaTheme="minorEastAsia" w:hAnsi="Times New Roman" w:cs="Times New Roman"/>
                <w:szCs w:val="24"/>
              </w:rPr>
            </w:pPr>
            <w:r>
              <w:rPr>
                <w:rFonts w:ascii="Times New Roman" w:eastAsiaTheme="minorEastAsia" w:hAnsi="Times New Roman" w:cs="Times New Roman" w:hint="eastAsia"/>
                <w:szCs w:val="24"/>
              </w:rPr>
              <w:lastRenderedPageBreak/>
              <w:t>5.</w:t>
            </w:r>
            <w:r>
              <w:rPr>
                <w:rFonts w:ascii="Times New Roman" w:eastAsiaTheme="minorEastAsia" w:hAnsi="Times New Roman" w:cs="Times New Roman" w:hint="eastAsia"/>
                <w:szCs w:val="24"/>
              </w:rPr>
              <w:t>《厦门银行股份有限公司</w:t>
            </w:r>
            <w:r>
              <w:rPr>
                <w:rFonts w:ascii="Times New Roman" w:eastAsiaTheme="minorEastAsia" w:hAnsi="Times New Roman" w:cs="Times New Roman" w:hint="eastAsia"/>
                <w:szCs w:val="24"/>
              </w:rPr>
              <w:t>2022</w:t>
            </w:r>
            <w:r>
              <w:rPr>
                <w:rFonts w:ascii="Times New Roman" w:eastAsiaTheme="minorEastAsia" w:hAnsi="Times New Roman" w:cs="Times New Roman" w:hint="eastAsia"/>
                <w:szCs w:val="24"/>
              </w:rPr>
              <w:t>年度监事会及监事履职评价报告》</w:t>
            </w:r>
          </w:p>
        </w:tc>
      </w:tr>
    </w:tbl>
    <w:p w:rsidR="00AD5BB5" w:rsidRDefault="00AD5BB5">
      <w:pPr>
        <w:spacing w:line="360" w:lineRule="auto"/>
      </w:pPr>
    </w:p>
    <w:p w:rsidR="00AD5BB5" w:rsidRDefault="00F87FF6">
      <w:pPr>
        <w:spacing w:line="360" w:lineRule="auto"/>
        <w:rPr>
          <w:b/>
          <w:color w:val="000000" w:themeColor="text1"/>
        </w:rPr>
      </w:pPr>
      <w:bookmarkStart w:id="31" w:name="_Hlk41294309"/>
      <w:bookmarkStart w:id="32" w:name="_Hlk75176716"/>
      <w:bookmarkEnd w:id="31"/>
      <w:r>
        <w:rPr>
          <w:rFonts w:hint="eastAsia"/>
          <w:b/>
          <w:color w:val="000000" w:themeColor="text1"/>
        </w:rPr>
        <w:t>股东大会情况说明</w:t>
      </w:r>
    </w:p>
    <w:p w:rsidR="00AD5BB5" w:rsidRDefault="00F87FF6">
      <w:pPr>
        <w:spacing w:line="360" w:lineRule="auto"/>
        <w:ind w:firstLineChars="200" w:firstLine="420"/>
        <w:rPr>
          <w:b/>
          <w:color w:val="000000" w:themeColor="text1"/>
        </w:rPr>
      </w:pPr>
      <w:r>
        <w:rPr>
          <w:rFonts w:ascii="Times New Roman" w:hAnsi="Times New Roman" w:cs="Times New Roman"/>
        </w:rPr>
        <w:t>报告期内，本公司共召开股东大会</w:t>
      </w:r>
      <w:r>
        <w:rPr>
          <w:rFonts w:ascii="Times New Roman" w:hAnsi="Times New Roman" w:cs="Times New Roman" w:hint="eastAsia"/>
        </w:rPr>
        <w:t>2</w:t>
      </w:r>
      <w:r>
        <w:rPr>
          <w:rFonts w:ascii="Times New Roman" w:hAnsi="Times New Roman" w:cs="Times New Roman"/>
        </w:rPr>
        <w:t>次，</w:t>
      </w:r>
      <w:r>
        <w:rPr>
          <w:rFonts w:ascii="Times New Roman" w:hAnsi="Times New Roman" w:cs="Times New Roman" w:hint="eastAsia"/>
        </w:rPr>
        <w:t>共</w:t>
      </w:r>
      <w:r>
        <w:rPr>
          <w:rFonts w:ascii="Times New Roman" w:hAnsi="Times New Roman" w:cs="Times New Roman"/>
        </w:rPr>
        <w:t>审议</w:t>
      </w:r>
      <w:r>
        <w:rPr>
          <w:rFonts w:ascii="Times New Roman" w:hAnsi="Times New Roman" w:cs="Times New Roman" w:hint="eastAsia"/>
        </w:rPr>
        <w:t>15</w:t>
      </w:r>
      <w:r>
        <w:rPr>
          <w:rFonts w:ascii="Times New Roman" w:hAnsi="Times New Roman" w:cs="Times New Roman"/>
        </w:rPr>
        <w:t>项议案，</w:t>
      </w:r>
      <w:r>
        <w:rPr>
          <w:rFonts w:ascii="Times New Roman" w:hAnsi="Times New Roman" w:cs="Times New Roman" w:hint="eastAsia"/>
        </w:rPr>
        <w:t>听取了</w:t>
      </w:r>
      <w:r>
        <w:rPr>
          <w:rFonts w:ascii="Times New Roman" w:hAnsi="Times New Roman" w:cs="Times New Roman" w:hint="eastAsia"/>
        </w:rPr>
        <w:t>5</w:t>
      </w:r>
      <w:r>
        <w:rPr>
          <w:rFonts w:ascii="Times New Roman" w:hAnsi="Times New Roman" w:cs="Times New Roman" w:hint="eastAsia"/>
        </w:rPr>
        <w:t>项报告，涉及年度财务决算报告、利润分配方案、董事会年度工作报告、监事会年度工作报告、日常关联交易预计额度制定、年度关联交易管理情况、公司章程修订等多个方面内容。</w:t>
      </w:r>
    </w:p>
    <w:bookmarkEnd w:id="32"/>
    <w:p w:rsidR="00AD5BB5" w:rsidRDefault="00F87FF6">
      <w:pPr>
        <w:pStyle w:val="2"/>
        <w:numPr>
          <w:ilvl w:val="0"/>
          <w:numId w:val="20"/>
        </w:numPr>
        <w:spacing w:line="360" w:lineRule="auto"/>
        <w:rPr>
          <w:rFonts w:ascii="宋体" w:hAnsi="宋体"/>
        </w:rPr>
      </w:pPr>
      <w:r>
        <w:rPr>
          <w:rFonts w:ascii="宋体" w:hAnsi="宋体" w:hint="eastAsia"/>
        </w:rPr>
        <w:t>关于董事和董事会</w:t>
      </w:r>
    </w:p>
    <w:p w:rsidR="00AD5BB5" w:rsidRDefault="00F87FF6">
      <w:pPr>
        <w:pStyle w:val="aff2"/>
        <w:numPr>
          <w:ilvl w:val="0"/>
          <w:numId w:val="21"/>
        </w:numPr>
        <w:spacing w:line="360" w:lineRule="auto"/>
        <w:ind w:left="723" w:hangingChars="343" w:hanging="723"/>
        <w:outlineLvl w:val="2"/>
        <w:rPr>
          <w:b/>
        </w:rPr>
      </w:pPr>
      <w:r>
        <w:rPr>
          <w:b/>
        </w:rPr>
        <w:t>公司董事、监事、高级管理人员变动情况</w:t>
      </w:r>
    </w:p>
    <w:p w:rsidR="00AD5BB5" w:rsidRDefault="00F87FF6">
      <w:pPr>
        <w:spacing w:line="360" w:lineRule="auto"/>
        <w:ind w:firstLineChars="200" w:firstLine="420"/>
      </w:pPr>
      <w:r>
        <w:t>报告期内，公司董事、监事及高级管理人员未发生变动。</w:t>
      </w:r>
    </w:p>
    <w:p w:rsidR="00AD5BB5" w:rsidRDefault="00F87FF6">
      <w:pPr>
        <w:pStyle w:val="aff2"/>
        <w:numPr>
          <w:ilvl w:val="0"/>
          <w:numId w:val="21"/>
        </w:numPr>
        <w:spacing w:line="360" w:lineRule="auto"/>
        <w:ind w:firstLineChars="0"/>
        <w:outlineLvl w:val="2"/>
        <w:rPr>
          <w:rFonts w:ascii="Times New Roman" w:hAnsi="Times New Roman" w:cs="Times New Roman"/>
          <w:b/>
        </w:rPr>
      </w:pPr>
      <w:r>
        <w:rPr>
          <w:rFonts w:ascii="Times New Roman" w:hAnsi="Times New Roman" w:cs="Times New Roman" w:hint="eastAsia"/>
          <w:b/>
        </w:rPr>
        <w:t>董事会工作情况</w:t>
      </w:r>
    </w:p>
    <w:p w:rsidR="00AD5BB5" w:rsidRDefault="00F87FF6">
      <w:pPr>
        <w:spacing w:line="360" w:lineRule="auto"/>
        <w:ind w:firstLineChars="200" w:firstLine="420"/>
        <w:rPr>
          <w:rFonts w:ascii="Times New Roman" w:hAnsi="Times New Roman" w:cs="Times New Roman"/>
        </w:rPr>
      </w:pPr>
      <w:r>
        <w:rPr>
          <w:rFonts w:ascii="Times New Roman" w:hAnsi="Times New Roman" w:cs="Times New Roman" w:hint="eastAsia"/>
        </w:rPr>
        <w:t>截至报告期末，本公司董事会由</w:t>
      </w:r>
      <w:r>
        <w:rPr>
          <w:rFonts w:ascii="Times New Roman" w:hAnsi="Times New Roman" w:cs="Times New Roman"/>
        </w:rPr>
        <w:t>13</w:t>
      </w:r>
      <w:r>
        <w:rPr>
          <w:rFonts w:ascii="Times New Roman" w:hAnsi="Times New Roman" w:cs="Times New Roman" w:hint="eastAsia"/>
        </w:rPr>
        <w:t>名董事组成，其中执行董事</w:t>
      </w:r>
      <w:r>
        <w:rPr>
          <w:rFonts w:ascii="Times New Roman" w:hAnsi="Times New Roman" w:cs="Times New Roman"/>
        </w:rPr>
        <w:t>2</w:t>
      </w:r>
      <w:r>
        <w:rPr>
          <w:rFonts w:ascii="Times New Roman" w:hAnsi="Times New Roman" w:cs="Times New Roman" w:hint="eastAsia"/>
        </w:rPr>
        <w:t>名，非执行董事</w:t>
      </w:r>
      <w:r>
        <w:rPr>
          <w:rFonts w:ascii="Times New Roman" w:hAnsi="Times New Roman" w:cs="Times New Roman"/>
        </w:rPr>
        <w:t>6</w:t>
      </w:r>
      <w:r>
        <w:rPr>
          <w:rFonts w:ascii="Times New Roman" w:hAnsi="Times New Roman" w:cs="Times New Roman" w:hint="eastAsia"/>
        </w:rPr>
        <w:t>名，独立董事</w:t>
      </w:r>
      <w:r>
        <w:rPr>
          <w:rFonts w:ascii="Times New Roman" w:hAnsi="Times New Roman" w:cs="Times New Roman"/>
        </w:rPr>
        <w:t>5</w:t>
      </w:r>
      <w:r>
        <w:rPr>
          <w:rFonts w:ascii="Times New Roman" w:hAnsi="Times New Roman" w:cs="Times New Roman" w:hint="eastAsia"/>
        </w:rPr>
        <w:t>名，其构成符合相关法律法规的要求。报告期内，本公司董事会召开董事会共</w:t>
      </w:r>
      <w:r>
        <w:rPr>
          <w:rFonts w:ascii="Times New Roman" w:hAnsi="Times New Roman" w:cs="Times New Roman"/>
        </w:rPr>
        <w:t>8</w:t>
      </w:r>
      <w:r>
        <w:rPr>
          <w:rFonts w:ascii="Times New Roman" w:hAnsi="Times New Roman" w:cs="Times New Roman" w:hint="eastAsia"/>
        </w:rPr>
        <w:t>次，其中</w:t>
      </w:r>
      <w:r>
        <w:rPr>
          <w:rFonts w:ascii="Times New Roman" w:hAnsi="Times New Roman" w:cs="Times New Roman"/>
        </w:rPr>
        <w:t>5</w:t>
      </w:r>
      <w:r>
        <w:rPr>
          <w:rFonts w:ascii="Times New Roman" w:hAnsi="Times New Roman" w:cs="Times New Roman" w:hint="eastAsia"/>
        </w:rPr>
        <w:t>次现场会议，</w:t>
      </w:r>
      <w:r>
        <w:rPr>
          <w:rFonts w:ascii="Times New Roman" w:hAnsi="Times New Roman" w:cs="Times New Roman"/>
        </w:rPr>
        <w:t>3</w:t>
      </w:r>
      <w:r>
        <w:rPr>
          <w:rFonts w:ascii="Times New Roman" w:hAnsi="Times New Roman" w:cs="Times New Roman" w:hint="eastAsia"/>
        </w:rPr>
        <w:t>次通讯会议，共审议</w:t>
      </w:r>
      <w:r>
        <w:rPr>
          <w:rFonts w:ascii="Times New Roman" w:hAnsi="Times New Roman" w:cs="Times New Roman"/>
        </w:rPr>
        <w:t>53</w:t>
      </w:r>
      <w:r>
        <w:rPr>
          <w:rFonts w:ascii="Times New Roman" w:hAnsi="Times New Roman" w:cs="Times New Roman" w:hint="eastAsia"/>
        </w:rPr>
        <w:t>项议案，听取</w:t>
      </w:r>
      <w:r>
        <w:rPr>
          <w:rFonts w:ascii="Times New Roman" w:hAnsi="Times New Roman" w:cs="Times New Roman"/>
        </w:rPr>
        <w:t>4</w:t>
      </w:r>
      <w:r>
        <w:rPr>
          <w:rFonts w:ascii="Times New Roman" w:hAnsi="Times New Roman" w:cs="Times New Roman" w:hint="eastAsia"/>
        </w:rPr>
        <w:t>项报告，对</w:t>
      </w:r>
      <w:r>
        <w:rPr>
          <w:rFonts w:ascii="Times New Roman" w:hAnsi="Times New Roman" w:cs="Times New Roman" w:hint="eastAsia"/>
          <w:lang w:val="zh-CN"/>
        </w:rPr>
        <w:t>经营情况、风险控制、内控报告、</w:t>
      </w:r>
      <w:r>
        <w:rPr>
          <w:rFonts w:ascii="Times New Roman" w:hAnsi="Times New Roman" w:cs="Times New Roman" w:hint="eastAsia"/>
        </w:rPr>
        <w:t>董事会年度工作报告、战略执行情况、会计师事务所选聘、消费者权益保护等多个方面进行有效深入的讨论，充分体现了董事会核心决策作用。</w:t>
      </w:r>
    </w:p>
    <w:p w:rsidR="00AD5BB5" w:rsidRDefault="00F87FF6">
      <w:pPr>
        <w:pStyle w:val="aff2"/>
        <w:numPr>
          <w:ilvl w:val="0"/>
          <w:numId w:val="21"/>
        </w:numPr>
        <w:spacing w:line="360" w:lineRule="auto"/>
        <w:ind w:firstLineChars="0"/>
        <w:outlineLvl w:val="2"/>
        <w:rPr>
          <w:rFonts w:ascii="Times New Roman" w:hAnsi="Times New Roman" w:cs="Times New Roman"/>
          <w:b/>
        </w:rPr>
      </w:pPr>
      <w:r>
        <w:rPr>
          <w:rFonts w:ascii="Times New Roman" w:hAnsi="Times New Roman" w:cs="Times New Roman" w:hint="eastAsia"/>
          <w:b/>
        </w:rPr>
        <w:t>董事会各专门委员会运作情况</w:t>
      </w:r>
    </w:p>
    <w:p w:rsidR="00AD5BB5" w:rsidRDefault="00F87FF6">
      <w:pPr>
        <w:snapToGrid w:val="0"/>
        <w:spacing w:line="360" w:lineRule="auto"/>
        <w:ind w:firstLineChars="200" w:firstLine="420"/>
        <w:rPr>
          <w:rFonts w:ascii="Times New Roman" w:hAnsi="Times New Roman" w:cs="Times New Roman"/>
        </w:rPr>
      </w:pPr>
      <w:r>
        <w:rPr>
          <w:rFonts w:ascii="Times New Roman" w:hAnsi="Times New Roman" w:cs="Times New Roman"/>
        </w:rPr>
        <w:t>报告期内，公司董事会下设</w:t>
      </w:r>
      <w:r>
        <w:rPr>
          <w:rFonts w:ascii="Times New Roman" w:hAnsi="Times New Roman" w:cs="Times New Roman"/>
        </w:rPr>
        <w:t>5</w:t>
      </w:r>
      <w:r>
        <w:rPr>
          <w:rFonts w:ascii="Times New Roman" w:hAnsi="Times New Roman" w:cs="Times New Roman"/>
        </w:rPr>
        <w:t>个专门委员会：战略委员会、提名委员会、薪酬委员会、审计与消费者权益保护委员会、风险控制与关联交易管理委员会。董事会不断加强与各专门委员会之间的沟通与合作，各专门委员会</w:t>
      </w:r>
      <w:r>
        <w:rPr>
          <w:rFonts w:ascii="Times New Roman" w:hAnsi="Times New Roman" w:cs="Times New Roman" w:hint="eastAsia"/>
        </w:rPr>
        <w:t>根据职责分工和自身专业特长积极履行职责、建言献策，辅助董事会良好履职，</w:t>
      </w:r>
      <w:r>
        <w:rPr>
          <w:rFonts w:ascii="Times New Roman" w:hAnsi="Times New Roman" w:cs="Times New Roman"/>
          <w:lang w:val="zh-CN"/>
        </w:rPr>
        <w:t>促进了</w:t>
      </w:r>
      <w:r>
        <w:rPr>
          <w:rFonts w:ascii="Times New Roman" w:hAnsi="Times New Roman" w:cs="Times New Roman" w:hint="eastAsia"/>
        </w:rPr>
        <w:t>公司</w:t>
      </w:r>
      <w:r>
        <w:rPr>
          <w:rFonts w:ascii="Times New Roman" w:hAnsi="Times New Roman" w:cs="Times New Roman"/>
          <w:lang w:val="zh-CN"/>
        </w:rPr>
        <w:t>董事会及其专门委员会决策的科学性和有效性。</w:t>
      </w:r>
      <w:r>
        <w:rPr>
          <w:rFonts w:ascii="Times New Roman" w:hAnsi="Times New Roman" w:cs="Times New Roman" w:hint="eastAsia"/>
        </w:rPr>
        <w:t>报告期内，</w:t>
      </w:r>
      <w:r>
        <w:rPr>
          <w:rFonts w:ascii="Times New Roman" w:hAnsi="Times New Roman" w:cs="Times New Roman"/>
        </w:rPr>
        <w:t>董事会各专门委员会共召开会议</w:t>
      </w:r>
      <w:r>
        <w:rPr>
          <w:rFonts w:ascii="Times New Roman" w:hAnsi="Times New Roman" w:cs="Times New Roman"/>
        </w:rPr>
        <w:t>11</w:t>
      </w:r>
      <w:r>
        <w:rPr>
          <w:rFonts w:ascii="Times New Roman" w:hAnsi="Times New Roman" w:cs="Times New Roman" w:hint="eastAsia"/>
        </w:rPr>
        <w:t>次</w:t>
      </w:r>
      <w:r>
        <w:rPr>
          <w:rFonts w:ascii="Times New Roman" w:hAnsi="Times New Roman" w:cs="Times New Roman"/>
        </w:rPr>
        <w:t>，对公司的财务报告、风险管理、内控合</w:t>
      </w:r>
      <w:proofErr w:type="gramStart"/>
      <w:r>
        <w:rPr>
          <w:rFonts w:ascii="Times New Roman" w:hAnsi="Times New Roman" w:cs="Times New Roman"/>
        </w:rPr>
        <w:t>规</w:t>
      </w:r>
      <w:proofErr w:type="gramEnd"/>
      <w:r>
        <w:rPr>
          <w:rFonts w:ascii="Times New Roman" w:hAnsi="Times New Roman" w:cs="Times New Roman"/>
        </w:rPr>
        <w:t>、关联交易控制以及消费者权益保护等工作提出了专业的意见和建议，促进了公司稳健经营和可持续发展。</w:t>
      </w:r>
      <w:r>
        <w:rPr>
          <w:rFonts w:ascii="Times New Roman" w:hAnsi="Times New Roman" w:cs="Times New Roman" w:hint="eastAsia"/>
        </w:rPr>
        <w:t>报告期内，</w:t>
      </w:r>
      <w:r>
        <w:rPr>
          <w:rFonts w:ascii="Times New Roman" w:hAnsi="Times New Roman" w:cs="Times New Roman"/>
        </w:rPr>
        <w:t>董事会各专门委员会会议具体情况如下：</w:t>
      </w:r>
    </w:p>
    <w:p w:rsidR="00AD5BB5" w:rsidRDefault="00F87FF6">
      <w:pPr>
        <w:spacing w:line="360" w:lineRule="auto"/>
        <w:ind w:firstLineChars="200" w:firstLine="420"/>
        <w:rPr>
          <w:rFonts w:ascii="Times New Roman" w:hAnsi="Times New Roman" w:cs="Times New Roman"/>
        </w:rPr>
      </w:pPr>
      <w:r>
        <w:rPr>
          <w:rFonts w:ascii="Times New Roman" w:hAnsi="Times New Roman" w:cs="Times New Roman"/>
        </w:rPr>
        <w:t>董事会战略委员会召开会议共</w:t>
      </w:r>
      <w:r>
        <w:rPr>
          <w:rFonts w:ascii="Times New Roman" w:hAnsi="Times New Roman" w:cs="Times New Roman" w:hint="eastAsia"/>
        </w:rPr>
        <w:t>2</w:t>
      </w:r>
      <w:r>
        <w:rPr>
          <w:rFonts w:ascii="Times New Roman" w:hAnsi="Times New Roman" w:cs="Times New Roman"/>
        </w:rPr>
        <w:t>次，审议并通过了</w:t>
      </w:r>
      <w:r>
        <w:rPr>
          <w:rFonts w:ascii="Times New Roman" w:hAnsi="Times New Roman" w:cs="Times New Roman" w:hint="eastAsia"/>
          <w:lang w:val="zh-CN"/>
        </w:rPr>
        <w:t>战略执行情况、</w:t>
      </w:r>
      <w:r>
        <w:rPr>
          <w:rFonts w:ascii="Times New Roman" w:hAnsi="Times New Roman" w:cs="Times New Roman" w:hint="eastAsia"/>
        </w:rPr>
        <w:t>战略委员会议事规则修订、绿色信贷发展工作报告</w:t>
      </w:r>
      <w:r>
        <w:rPr>
          <w:rFonts w:ascii="Times New Roman" w:hAnsi="Times New Roman" w:cs="Times New Roman" w:hint="eastAsia"/>
        </w:rPr>
        <w:t>3</w:t>
      </w:r>
      <w:r>
        <w:rPr>
          <w:rFonts w:ascii="Times New Roman" w:hAnsi="Times New Roman" w:cs="Times New Roman" w:hint="eastAsia"/>
        </w:rPr>
        <w:t>项</w:t>
      </w:r>
      <w:r>
        <w:rPr>
          <w:rFonts w:ascii="Times New Roman" w:hAnsi="Times New Roman" w:cs="Times New Roman"/>
        </w:rPr>
        <w:t>议案。</w:t>
      </w:r>
    </w:p>
    <w:p w:rsidR="00AD5BB5" w:rsidRDefault="00F87FF6">
      <w:pPr>
        <w:spacing w:line="360" w:lineRule="auto"/>
        <w:ind w:firstLineChars="200" w:firstLine="420"/>
        <w:rPr>
          <w:rFonts w:ascii="Times New Roman" w:hAnsi="Times New Roman" w:cs="Times New Roman"/>
        </w:rPr>
      </w:pPr>
      <w:r>
        <w:rPr>
          <w:rFonts w:ascii="Times New Roman" w:hAnsi="Times New Roman" w:cs="Times New Roman"/>
        </w:rPr>
        <w:t>董事会薪酬委员会召开会议共</w:t>
      </w:r>
      <w:r>
        <w:rPr>
          <w:rFonts w:ascii="Times New Roman" w:hAnsi="Times New Roman" w:cs="Times New Roman" w:hint="eastAsia"/>
        </w:rPr>
        <w:t>1</w:t>
      </w:r>
      <w:r>
        <w:rPr>
          <w:rFonts w:ascii="Times New Roman" w:hAnsi="Times New Roman" w:cs="Times New Roman"/>
        </w:rPr>
        <w:t>次，审议并通过了</w:t>
      </w:r>
      <w:r>
        <w:rPr>
          <w:rFonts w:ascii="Times New Roman" w:hAnsi="Times New Roman" w:cs="Times New Roman" w:hint="eastAsia"/>
        </w:rPr>
        <w:t>2023</w:t>
      </w:r>
      <w:r>
        <w:rPr>
          <w:rFonts w:ascii="Times New Roman" w:hAnsi="Times New Roman" w:cs="Times New Roman" w:hint="eastAsia"/>
        </w:rPr>
        <w:t>年绩效任务书</w:t>
      </w:r>
      <w:r>
        <w:rPr>
          <w:rFonts w:ascii="Times New Roman" w:hAnsi="Times New Roman" w:cs="Times New Roman" w:hint="eastAsia"/>
        </w:rPr>
        <w:t>1</w:t>
      </w:r>
      <w:r>
        <w:rPr>
          <w:rFonts w:ascii="Times New Roman" w:hAnsi="Times New Roman" w:cs="Times New Roman" w:hint="eastAsia"/>
        </w:rPr>
        <w:t>项</w:t>
      </w:r>
      <w:r>
        <w:rPr>
          <w:rFonts w:ascii="Times New Roman" w:hAnsi="Times New Roman" w:cs="Times New Roman"/>
        </w:rPr>
        <w:t>议案。</w:t>
      </w:r>
    </w:p>
    <w:p w:rsidR="00AD5BB5" w:rsidRDefault="00F87FF6">
      <w:pPr>
        <w:spacing w:line="360" w:lineRule="auto"/>
        <w:ind w:firstLineChars="200" w:firstLine="420"/>
        <w:rPr>
          <w:rFonts w:ascii="Times New Roman" w:hAnsi="Times New Roman" w:cs="Times New Roman"/>
        </w:rPr>
      </w:pPr>
      <w:r>
        <w:rPr>
          <w:rFonts w:ascii="Times New Roman" w:hAnsi="Times New Roman" w:cs="Times New Roman"/>
        </w:rPr>
        <w:t>董事会审计与消费者权益保护委员会召开会议共</w:t>
      </w:r>
      <w:r>
        <w:rPr>
          <w:rFonts w:ascii="Times New Roman" w:hAnsi="Times New Roman" w:cs="Times New Roman" w:hint="eastAsia"/>
        </w:rPr>
        <w:t>4</w:t>
      </w:r>
      <w:r>
        <w:rPr>
          <w:rFonts w:ascii="Times New Roman" w:hAnsi="Times New Roman" w:cs="Times New Roman"/>
        </w:rPr>
        <w:t>次，审议并通过了消费者权益保护情况、</w:t>
      </w:r>
      <w:r>
        <w:rPr>
          <w:rFonts w:ascii="Times New Roman" w:hAnsi="Times New Roman" w:cs="Times New Roman" w:hint="eastAsia"/>
          <w:lang w:val="zh-CN"/>
        </w:rPr>
        <w:t>内控报告、</w:t>
      </w:r>
      <w:r>
        <w:rPr>
          <w:rFonts w:ascii="Times New Roman" w:hAnsi="Times New Roman" w:cs="Times New Roman" w:hint="eastAsia"/>
        </w:rPr>
        <w:t>委员会履职评价</w:t>
      </w:r>
      <w:r>
        <w:rPr>
          <w:rFonts w:ascii="Times New Roman" w:hAnsi="Times New Roman" w:cs="Times New Roman" w:hint="eastAsia"/>
          <w:lang w:val="zh-CN"/>
        </w:rPr>
        <w:t>报告</w:t>
      </w:r>
      <w:r>
        <w:rPr>
          <w:rFonts w:ascii="Times New Roman" w:hAnsi="Times New Roman" w:cs="Times New Roman"/>
        </w:rPr>
        <w:t>、</w:t>
      </w:r>
      <w:r>
        <w:rPr>
          <w:rFonts w:ascii="Times New Roman" w:hAnsi="Times New Roman" w:cs="Times New Roman" w:hint="eastAsia"/>
        </w:rPr>
        <w:t>会计师事务所选聘</w:t>
      </w:r>
      <w:r>
        <w:rPr>
          <w:rFonts w:ascii="Times New Roman" w:hAnsi="Times New Roman" w:cs="Times New Roman"/>
        </w:rPr>
        <w:t>等</w:t>
      </w:r>
      <w:r>
        <w:rPr>
          <w:rFonts w:ascii="Times New Roman" w:hAnsi="Times New Roman" w:cs="Times New Roman" w:hint="eastAsia"/>
        </w:rPr>
        <w:t>9</w:t>
      </w:r>
      <w:r>
        <w:rPr>
          <w:rFonts w:ascii="Times New Roman" w:hAnsi="Times New Roman" w:cs="Times New Roman"/>
        </w:rPr>
        <w:t>项议案，听取</w:t>
      </w:r>
      <w:r>
        <w:rPr>
          <w:rFonts w:ascii="Times New Roman" w:hAnsi="Times New Roman" w:cs="Times New Roman" w:hint="eastAsia"/>
        </w:rPr>
        <w:t>2022</w:t>
      </w:r>
      <w:r>
        <w:rPr>
          <w:rFonts w:ascii="Times New Roman" w:hAnsi="Times New Roman" w:cs="Times New Roman" w:hint="eastAsia"/>
        </w:rPr>
        <w:t>年度管理建议书</w:t>
      </w:r>
      <w:r>
        <w:rPr>
          <w:rFonts w:ascii="Times New Roman" w:hAnsi="Times New Roman" w:cs="Times New Roman" w:hint="eastAsia"/>
        </w:rPr>
        <w:t>1</w:t>
      </w:r>
      <w:r>
        <w:rPr>
          <w:rFonts w:ascii="Times New Roman" w:hAnsi="Times New Roman" w:cs="Times New Roman" w:hint="eastAsia"/>
        </w:rPr>
        <w:t>项</w:t>
      </w:r>
      <w:r>
        <w:rPr>
          <w:rFonts w:ascii="Times New Roman" w:hAnsi="Times New Roman" w:cs="Times New Roman"/>
        </w:rPr>
        <w:t>报告。</w:t>
      </w:r>
    </w:p>
    <w:p w:rsidR="00AD5BB5" w:rsidRDefault="00F87FF6">
      <w:pPr>
        <w:spacing w:line="360" w:lineRule="auto"/>
        <w:ind w:firstLineChars="200" w:firstLine="420"/>
        <w:rPr>
          <w:rFonts w:ascii="Times New Roman" w:hAnsi="Times New Roman" w:cs="Times New Roman"/>
        </w:rPr>
      </w:pPr>
      <w:r>
        <w:rPr>
          <w:rFonts w:ascii="Times New Roman" w:hAnsi="Times New Roman" w:cs="Times New Roman"/>
        </w:rPr>
        <w:t>董事会风险控制与关联交易管理委员会召开会议共</w:t>
      </w:r>
      <w:r>
        <w:rPr>
          <w:rFonts w:ascii="Times New Roman" w:hAnsi="Times New Roman" w:cs="Times New Roman" w:hint="eastAsia"/>
        </w:rPr>
        <w:t>4</w:t>
      </w:r>
      <w:r>
        <w:rPr>
          <w:rFonts w:ascii="Times New Roman" w:hAnsi="Times New Roman" w:cs="Times New Roman"/>
        </w:rPr>
        <w:t>次，审议并通过了</w:t>
      </w:r>
      <w:r>
        <w:rPr>
          <w:rFonts w:ascii="Times New Roman" w:hAnsi="Times New Roman" w:cs="Times New Roman" w:hint="eastAsia"/>
        </w:rPr>
        <w:t>年度关联交易管理情况报告、风险偏好陈述书、重大关联交易</w:t>
      </w:r>
      <w:r>
        <w:rPr>
          <w:rFonts w:ascii="Times New Roman" w:hAnsi="Times New Roman" w:cs="Times New Roman"/>
        </w:rPr>
        <w:t>等</w:t>
      </w:r>
      <w:r>
        <w:rPr>
          <w:rFonts w:ascii="Times New Roman" w:hAnsi="Times New Roman" w:cs="Times New Roman" w:hint="eastAsia"/>
        </w:rPr>
        <w:t>15</w:t>
      </w:r>
      <w:r>
        <w:rPr>
          <w:rFonts w:ascii="Times New Roman" w:hAnsi="Times New Roman" w:cs="Times New Roman"/>
        </w:rPr>
        <w:t>项议案</w:t>
      </w:r>
      <w:r>
        <w:rPr>
          <w:rFonts w:ascii="Times New Roman" w:hAnsi="Times New Roman" w:cs="Times New Roman" w:hint="eastAsia"/>
        </w:rPr>
        <w:t>。</w:t>
      </w:r>
    </w:p>
    <w:p w:rsidR="00AD5BB5" w:rsidRDefault="00F87FF6">
      <w:pPr>
        <w:spacing w:line="360" w:lineRule="auto"/>
        <w:outlineLvl w:val="2"/>
        <w:rPr>
          <w:b/>
        </w:rPr>
      </w:pPr>
      <w:r>
        <w:rPr>
          <w:rFonts w:hint="eastAsia"/>
          <w:b/>
        </w:rPr>
        <w:t>（四）</w:t>
      </w:r>
      <w:r>
        <w:rPr>
          <w:b/>
        </w:rPr>
        <w:t>董事履行职责情况</w:t>
      </w:r>
    </w:p>
    <w:p w:rsidR="00AD5BB5" w:rsidRDefault="00F87FF6">
      <w:pPr>
        <w:pStyle w:val="ad"/>
        <w:spacing w:line="360" w:lineRule="auto"/>
        <w:rPr>
          <w:rFonts w:hint="default"/>
          <w:b/>
        </w:rPr>
      </w:pPr>
      <w:r>
        <w:rPr>
          <w:b/>
        </w:rPr>
        <w:t>1.董事参加董事会和股东大会的情况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773"/>
        <w:gridCol w:w="1008"/>
        <w:gridCol w:w="782"/>
        <w:gridCol w:w="888"/>
        <w:gridCol w:w="830"/>
        <w:gridCol w:w="774"/>
        <w:gridCol w:w="1192"/>
        <w:gridCol w:w="1157"/>
      </w:tblGrid>
      <w:tr w:rsidR="00AD5BB5">
        <w:trPr>
          <w:trHeight w:val="561"/>
        </w:trPr>
        <w:tc>
          <w:tcPr>
            <w:tcW w:w="541"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lastRenderedPageBreak/>
              <w:t>董事</w:t>
            </w:r>
          </w:p>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姓名</w:t>
            </w:r>
          </w:p>
        </w:tc>
        <w:tc>
          <w:tcPr>
            <w:tcW w:w="465"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是否独立董事</w:t>
            </w:r>
          </w:p>
        </w:tc>
        <w:tc>
          <w:tcPr>
            <w:tcW w:w="3297" w:type="pct"/>
            <w:gridSpan w:val="6"/>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参加董事会情况</w:t>
            </w:r>
          </w:p>
        </w:tc>
        <w:tc>
          <w:tcPr>
            <w:tcW w:w="69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参加股东大会情况</w:t>
            </w:r>
          </w:p>
        </w:tc>
      </w:tr>
      <w:tr w:rsidR="00AD5BB5">
        <w:trPr>
          <w:trHeight w:val="120"/>
        </w:trPr>
        <w:tc>
          <w:tcPr>
            <w:tcW w:w="0" w:type="auto"/>
            <w:vMerge/>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rPr>
                <w:rFonts w:ascii="Times New Roman" w:hAnsi="Times New Roman" w:cs="Times New Roman"/>
                <w:kern w:val="0"/>
                <w:szCs w:val="21"/>
              </w:rPr>
            </w:pPr>
          </w:p>
        </w:tc>
        <w:tc>
          <w:tcPr>
            <w:tcW w:w="0" w:type="auto"/>
            <w:vMerge/>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rPr>
                <w:rFonts w:ascii="Times New Roman" w:hAnsi="Times New Roman" w:cs="Times New Roman"/>
                <w:kern w:val="0"/>
                <w:szCs w:val="21"/>
              </w:rPr>
            </w:pPr>
          </w:p>
        </w:tc>
        <w:tc>
          <w:tcPr>
            <w:tcW w:w="60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半</w:t>
            </w:r>
            <w:r>
              <w:rPr>
                <w:rFonts w:ascii="Times New Roman" w:hAnsi="Times New Roman" w:cs="Times New Roman"/>
                <w:kern w:val="0"/>
                <w:szCs w:val="21"/>
              </w:rPr>
              <w:t>年应参加董事会次数</w:t>
            </w:r>
          </w:p>
        </w:tc>
        <w:tc>
          <w:tcPr>
            <w:tcW w:w="47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亲自出席次数</w:t>
            </w:r>
          </w:p>
        </w:tc>
        <w:tc>
          <w:tcPr>
            <w:tcW w:w="53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以通讯方式参加次数</w:t>
            </w:r>
          </w:p>
        </w:tc>
        <w:tc>
          <w:tcPr>
            <w:tcW w:w="50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委托出席次数</w:t>
            </w:r>
          </w:p>
        </w:tc>
        <w:tc>
          <w:tcPr>
            <w:tcW w:w="46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缺席</w:t>
            </w:r>
          </w:p>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次数</w:t>
            </w:r>
          </w:p>
        </w:tc>
        <w:tc>
          <w:tcPr>
            <w:tcW w:w="71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是否连续两次未亲自参加会议</w:t>
            </w:r>
          </w:p>
        </w:tc>
        <w:tc>
          <w:tcPr>
            <w:tcW w:w="69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出席股东大会的次数</w:t>
            </w:r>
          </w:p>
        </w:tc>
      </w:tr>
      <w:tr w:rsidR="00AD5BB5">
        <w:trPr>
          <w:trHeight w:val="77"/>
        </w:trPr>
        <w:tc>
          <w:tcPr>
            <w:tcW w:w="54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kern w:val="0"/>
                <w:szCs w:val="21"/>
              </w:rPr>
            </w:pPr>
            <w:r>
              <w:rPr>
                <w:rFonts w:ascii="Times New Roman" w:hAnsi="Times New Roman" w:cs="Times New Roman" w:hint="eastAsia"/>
                <w:szCs w:val="21"/>
              </w:rPr>
              <w:t>姚志萍</w:t>
            </w:r>
          </w:p>
        </w:tc>
        <w:tc>
          <w:tcPr>
            <w:tcW w:w="46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否</w:t>
            </w:r>
          </w:p>
        </w:tc>
        <w:tc>
          <w:tcPr>
            <w:tcW w:w="60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8</w:t>
            </w:r>
          </w:p>
        </w:tc>
        <w:tc>
          <w:tcPr>
            <w:tcW w:w="47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8</w:t>
            </w:r>
          </w:p>
        </w:tc>
        <w:tc>
          <w:tcPr>
            <w:tcW w:w="53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3</w:t>
            </w:r>
          </w:p>
        </w:tc>
        <w:tc>
          <w:tcPr>
            <w:tcW w:w="50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0</w:t>
            </w:r>
          </w:p>
        </w:tc>
        <w:tc>
          <w:tcPr>
            <w:tcW w:w="46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0</w:t>
            </w:r>
          </w:p>
        </w:tc>
        <w:tc>
          <w:tcPr>
            <w:tcW w:w="71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否</w:t>
            </w:r>
          </w:p>
        </w:tc>
        <w:tc>
          <w:tcPr>
            <w:tcW w:w="69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szCs w:val="21"/>
              </w:rPr>
              <w:t>2</w:t>
            </w:r>
          </w:p>
        </w:tc>
      </w:tr>
      <w:tr w:rsidR="00AD5BB5">
        <w:trPr>
          <w:trHeight w:val="77"/>
        </w:trPr>
        <w:tc>
          <w:tcPr>
            <w:tcW w:w="54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kern w:val="0"/>
                <w:szCs w:val="21"/>
              </w:rPr>
            </w:pPr>
            <w:r>
              <w:rPr>
                <w:rFonts w:ascii="Times New Roman" w:hAnsi="Times New Roman" w:cs="Times New Roman"/>
                <w:szCs w:val="21"/>
              </w:rPr>
              <w:t>檀庄龙</w:t>
            </w:r>
          </w:p>
        </w:tc>
        <w:tc>
          <w:tcPr>
            <w:tcW w:w="46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否</w:t>
            </w:r>
          </w:p>
        </w:tc>
        <w:tc>
          <w:tcPr>
            <w:tcW w:w="60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8</w:t>
            </w:r>
          </w:p>
        </w:tc>
        <w:tc>
          <w:tcPr>
            <w:tcW w:w="47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8</w:t>
            </w:r>
          </w:p>
        </w:tc>
        <w:tc>
          <w:tcPr>
            <w:tcW w:w="53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3</w:t>
            </w:r>
          </w:p>
        </w:tc>
        <w:tc>
          <w:tcPr>
            <w:tcW w:w="50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0</w:t>
            </w:r>
          </w:p>
        </w:tc>
        <w:tc>
          <w:tcPr>
            <w:tcW w:w="46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0</w:t>
            </w:r>
          </w:p>
        </w:tc>
        <w:tc>
          <w:tcPr>
            <w:tcW w:w="71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否</w:t>
            </w:r>
          </w:p>
        </w:tc>
        <w:tc>
          <w:tcPr>
            <w:tcW w:w="69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szCs w:val="21"/>
              </w:rPr>
              <w:t>1</w:t>
            </w:r>
          </w:p>
        </w:tc>
      </w:tr>
      <w:tr w:rsidR="00AD5BB5">
        <w:trPr>
          <w:trHeight w:val="77"/>
        </w:trPr>
        <w:tc>
          <w:tcPr>
            <w:tcW w:w="54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kern w:val="0"/>
                <w:szCs w:val="21"/>
              </w:rPr>
            </w:pPr>
            <w:proofErr w:type="gramStart"/>
            <w:r>
              <w:rPr>
                <w:rFonts w:ascii="Times New Roman" w:hAnsi="Times New Roman" w:cs="Times New Roman"/>
                <w:szCs w:val="21"/>
              </w:rPr>
              <w:t>洪主民</w:t>
            </w:r>
            <w:proofErr w:type="gramEnd"/>
          </w:p>
        </w:tc>
        <w:tc>
          <w:tcPr>
            <w:tcW w:w="46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否</w:t>
            </w:r>
          </w:p>
        </w:tc>
        <w:tc>
          <w:tcPr>
            <w:tcW w:w="60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8</w:t>
            </w:r>
          </w:p>
        </w:tc>
        <w:tc>
          <w:tcPr>
            <w:tcW w:w="47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8</w:t>
            </w:r>
          </w:p>
        </w:tc>
        <w:tc>
          <w:tcPr>
            <w:tcW w:w="53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3</w:t>
            </w:r>
          </w:p>
        </w:tc>
        <w:tc>
          <w:tcPr>
            <w:tcW w:w="50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0</w:t>
            </w:r>
          </w:p>
        </w:tc>
        <w:tc>
          <w:tcPr>
            <w:tcW w:w="46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0</w:t>
            </w:r>
          </w:p>
        </w:tc>
        <w:tc>
          <w:tcPr>
            <w:tcW w:w="71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否</w:t>
            </w:r>
          </w:p>
        </w:tc>
        <w:tc>
          <w:tcPr>
            <w:tcW w:w="69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szCs w:val="21"/>
              </w:rPr>
              <w:t>1</w:t>
            </w:r>
          </w:p>
        </w:tc>
      </w:tr>
      <w:tr w:rsidR="00AD5BB5">
        <w:trPr>
          <w:trHeight w:val="77"/>
        </w:trPr>
        <w:tc>
          <w:tcPr>
            <w:tcW w:w="54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kern w:val="0"/>
                <w:szCs w:val="21"/>
              </w:rPr>
            </w:pPr>
            <w:r>
              <w:rPr>
                <w:rFonts w:ascii="Times New Roman" w:hAnsi="Times New Roman" w:cs="Times New Roman" w:hint="eastAsia"/>
                <w:szCs w:val="21"/>
              </w:rPr>
              <w:t>吴昕颢</w:t>
            </w:r>
          </w:p>
        </w:tc>
        <w:tc>
          <w:tcPr>
            <w:tcW w:w="46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否</w:t>
            </w:r>
          </w:p>
        </w:tc>
        <w:tc>
          <w:tcPr>
            <w:tcW w:w="60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8</w:t>
            </w:r>
          </w:p>
        </w:tc>
        <w:tc>
          <w:tcPr>
            <w:tcW w:w="47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8</w:t>
            </w:r>
          </w:p>
        </w:tc>
        <w:tc>
          <w:tcPr>
            <w:tcW w:w="53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3</w:t>
            </w:r>
          </w:p>
        </w:tc>
        <w:tc>
          <w:tcPr>
            <w:tcW w:w="50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0</w:t>
            </w:r>
          </w:p>
        </w:tc>
        <w:tc>
          <w:tcPr>
            <w:tcW w:w="46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0</w:t>
            </w:r>
          </w:p>
        </w:tc>
        <w:tc>
          <w:tcPr>
            <w:tcW w:w="71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否</w:t>
            </w:r>
          </w:p>
        </w:tc>
        <w:tc>
          <w:tcPr>
            <w:tcW w:w="69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szCs w:val="21"/>
              </w:rPr>
              <w:t>2</w:t>
            </w:r>
          </w:p>
        </w:tc>
      </w:tr>
      <w:tr w:rsidR="00AD5BB5">
        <w:trPr>
          <w:trHeight w:val="77"/>
        </w:trPr>
        <w:tc>
          <w:tcPr>
            <w:tcW w:w="54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kern w:val="0"/>
                <w:szCs w:val="21"/>
              </w:rPr>
            </w:pPr>
            <w:proofErr w:type="gramStart"/>
            <w:r>
              <w:rPr>
                <w:rFonts w:ascii="Times New Roman" w:hAnsi="Times New Roman" w:cs="Times New Roman"/>
                <w:szCs w:val="21"/>
              </w:rPr>
              <w:t>毛建忠</w:t>
            </w:r>
            <w:proofErr w:type="gramEnd"/>
          </w:p>
        </w:tc>
        <w:tc>
          <w:tcPr>
            <w:tcW w:w="46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否</w:t>
            </w:r>
          </w:p>
        </w:tc>
        <w:tc>
          <w:tcPr>
            <w:tcW w:w="60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8</w:t>
            </w:r>
          </w:p>
        </w:tc>
        <w:tc>
          <w:tcPr>
            <w:tcW w:w="47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8</w:t>
            </w:r>
          </w:p>
        </w:tc>
        <w:tc>
          <w:tcPr>
            <w:tcW w:w="53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3</w:t>
            </w:r>
          </w:p>
        </w:tc>
        <w:tc>
          <w:tcPr>
            <w:tcW w:w="50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0</w:t>
            </w:r>
          </w:p>
        </w:tc>
        <w:tc>
          <w:tcPr>
            <w:tcW w:w="46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0</w:t>
            </w:r>
          </w:p>
        </w:tc>
        <w:tc>
          <w:tcPr>
            <w:tcW w:w="71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否</w:t>
            </w:r>
          </w:p>
        </w:tc>
        <w:tc>
          <w:tcPr>
            <w:tcW w:w="69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szCs w:val="21"/>
              </w:rPr>
              <w:t>2</w:t>
            </w:r>
          </w:p>
        </w:tc>
      </w:tr>
      <w:tr w:rsidR="00AD5BB5">
        <w:trPr>
          <w:trHeight w:val="77"/>
        </w:trPr>
        <w:tc>
          <w:tcPr>
            <w:tcW w:w="54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kern w:val="0"/>
                <w:szCs w:val="21"/>
              </w:rPr>
            </w:pPr>
            <w:r>
              <w:rPr>
                <w:rFonts w:ascii="Times New Roman" w:hAnsi="Times New Roman" w:cs="Times New Roman"/>
                <w:szCs w:val="21"/>
              </w:rPr>
              <w:t>周永伟</w:t>
            </w:r>
          </w:p>
        </w:tc>
        <w:tc>
          <w:tcPr>
            <w:tcW w:w="46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否</w:t>
            </w:r>
          </w:p>
        </w:tc>
        <w:tc>
          <w:tcPr>
            <w:tcW w:w="60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8</w:t>
            </w:r>
          </w:p>
        </w:tc>
        <w:tc>
          <w:tcPr>
            <w:tcW w:w="47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7</w:t>
            </w:r>
          </w:p>
        </w:tc>
        <w:tc>
          <w:tcPr>
            <w:tcW w:w="53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3</w:t>
            </w:r>
          </w:p>
        </w:tc>
        <w:tc>
          <w:tcPr>
            <w:tcW w:w="50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46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0</w:t>
            </w:r>
          </w:p>
        </w:tc>
        <w:tc>
          <w:tcPr>
            <w:tcW w:w="71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否</w:t>
            </w:r>
          </w:p>
        </w:tc>
        <w:tc>
          <w:tcPr>
            <w:tcW w:w="69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szCs w:val="21"/>
              </w:rPr>
              <w:t>2</w:t>
            </w:r>
          </w:p>
        </w:tc>
      </w:tr>
      <w:tr w:rsidR="00AD5BB5">
        <w:trPr>
          <w:trHeight w:val="77"/>
        </w:trPr>
        <w:tc>
          <w:tcPr>
            <w:tcW w:w="54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kern w:val="0"/>
                <w:szCs w:val="21"/>
              </w:rPr>
            </w:pPr>
            <w:r>
              <w:rPr>
                <w:rFonts w:ascii="Times New Roman" w:hAnsi="Times New Roman" w:cs="Times New Roman" w:hint="eastAsia"/>
                <w:kern w:val="0"/>
                <w:szCs w:val="21"/>
              </w:rPr>
              <w:t>黄金典</w:t>
            </w:r>
          </w:p>
        </w:tc>
        <w:tc>
          <w:tcPr>
            <w:tcW w:w="46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否</w:t>
            </w:r>
          </w:p>
        </w:tc>
        <w:tc>
          <w:tcPr>
            <w:tcW w:w="60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8</w:t>
            </w:r>
          </w:p>
        </w:tc>
        <w:tc>
          <w:tcPr>
            <w:tcW w:w="47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7</w:t>
            </w:r>
          </w:p>
        </w:tc>
        <w:tc>
          <w:tcPr>
            <w:tcW w:w="53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3</w:t>
            </w:r>
          </w:p>
        </w:tc>
        <w:tc>
          <w:tcPr>
            <w:tcW w:w="50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46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0</w:t>
            </w:r>
          </w:p>
        </w:tc>
        <w:tc>
          <w:tcPr>
            <w:tcW w:w="71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否</w:t>
            </w:r>
          </w:p>
        </w:tc>
        <w:tc>
          <w:tcPr>
            <w:tcW w:w="69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szCs w:val="21"/>
              </w:rPr>
              <w:t>2</w:t>
            </w:r>
          </w:p>
        </w:tc>
      </w:tr>
      <w:tr w:rsidR="00AD5BB5">
        <w:trPr>
          <w:trHeight w:val="77"/>
        </w:trPr>
        <w:tc>
          <w:tcPr>
            <w:tcW w:w="54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kern w:val="0"/>
                <w:szCs w:val="21"/>
              </w:rPr>
            </w:pPr>
            <w:proofErr w:type="gramStart"/>
            <w:r>
              <w:rPr>
                <w:rFonts w:ascii="Times New Roman" w:hAnsi="Times New Roman" w:cs="Times New Roman"/>
                <w:szCs w:val="21"/>
              </w:rPr>
              <w:t>汤琼兰</w:t>
            </w:r>
            <w:proofErr w:type="gramEnd"/>
          </w:p>
        </w:tc>
        <w:tc>
          <w:tcPr>
            <w:tcW w:w="46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否</w:t>
            </w:r>
          </w:p>
        </w:tc>
        <w:tc>
          <w:tcPr>
            <w:tcW w:w="60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8</w:t>
            </w:r>
          </w:p>
        </w:tc>
        <w:tc>
          <w:tcPr>
            <w:tcW w:w="47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8</w:t>
            </w:r>
          </w:p>
        </w:tc>
        <w:tc>
          <w:tcPr>
            <w:tcW w:w="53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3</w:t>
            </w:r>
          </w:p>
        </w:tc>
        <w:tc>
          <w:tcPr>
            <w:tcW w:w="50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0</w:t>
            </w:r>
          </w:p>
        </w:tc>
        <w:tc>
          <w:tcPr>
            <w:tcW w:w="46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0</w:t>
            </w:r>
          </w:p>
        </w:tc>
        <w:tc>
          <w:tcPr>
            <w:tcW w:w="71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否</w:t>
            </w:r>
          </w:p>
        </w:tc>
        <w:tc>
          <w:tcPr>
            <w:tcW w:w="69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szCs w:val="21"/>
              </w:rPr>
              <w:t>2</w:t>
            </w:r>
          </w:p>
        </w:tc>
      </w:tr>
      <w:tr w:rsidR="00AD5BB5">
        <w:trPr>
          <w:trHeight w:val="77"/>
        </w:trPr>
        <w:tc>
          <w:tcPr>
            <w:tcW w:w="54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kern w:val="0"/>
                <w:szCs w:val="21"/>
              </w:rPr>
            </w:pPr>
            <w:r>
              <w:rPr>
                <w:rFonts w:ascii="Times New Roman" w:hAnsi="Times New Roman" w:cs="Times New Roman"/>
                <w:szCs w:val="21"/>
              </w:rPr>
              <w:t>宁向东</w:t>
            </w:r>
          </w:p>
        </w:tc>
        <w:tc>
          <w:tcPr>
            <w:tcW w:w="46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是</w:t>
            </w:r>
          </w:p>
        </w:tc>
        <w:tc>
          <w:tcPr>
            <w:tcW w:w="60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8</w:t>
            </w:r>
          </w:p>
        </w:tc>
        <w:tc>
          <w:tcPr>
            <w:tcW w:w="47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8</w:t>
            </w:r>
          </w:p>
        </w:tc>
        <w:tc>
          <w:tcPr>
            <w:tcW w:w="53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3</w:t>
            </w:r>
          </w:p>
        </w:tc>
        <w:tc>
          <w:tcPr>
            <w:tcW w:w="50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0</w:t>
            </w:r>
          </w:p>
        </w:tc>
        <w:tc>
          <w:tcPr>
            <w:tcW w:w="46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0</w:t>
            </w:r>
          </w:p>
        </w:tc>
        <w:tc>
          <w:tcPr>
            <w:tcW w:w="71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否</w:t>
            </w:r>
          </w:p>
        </w:tc>
        <w:tc>
          <w:tcPr>
            <w:tcW w:w="69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szCs w:val="21"/>
              </w:rPr>
              <w:t>2</w:t>
            </w:r>
          </w:p>
        </w:tc>
      </w:tr>
      <w:tr w:rsidR="00AD5BB5">
        <w:trPr>
          <w:trHeight w:val="77"/>
        </w:trPr>
        <w:tc>
          <w:tcPr>
            <w:tcW w:w="54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kern w:val="0"/>
                <w:szCs w:val="21"/>
              </w:rPr>
            </w:pPr>
            <w:r>
              <w:rPr>
                <w:rFonts w:ascii="Times New Roman" w:hAnsi="Times New Roman" w:cs="Times New Roman" w:hint="eastAsia"/>
                <w:szCs w:val="21"/>
              </w:rPr>
              <w:t>戴亦</w:t>
            </w:r>
            <w:proofErr w:type="gramStart"/>
            <w:r>
              <w:rPr>
                <w:rFonts w:ascii="Times New Roman" w:hAnsi="Times New Roman" w:cs="Times New Roman" w:hint="eastAsia"/>
                <w:szCs w:val="21"/>
              </w:rPr>
              <w:t>一</w:t>
            </w:r>
            <w:proofErr w:type="gramEnd"/>
          </w:p>
        </w:tc>
        <w:tc>
          <w:tcPr>
            <w:tcW w:w="46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是</w:t>
            </w:r>
          </w:p>
        </w:tc>
        <w:tc>
          <w:tcPr>
            <w:tcW w:w="60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8</w:t>
            </w:r>
          </w:p>
        </w:tc>
        <w:tc>
          <w:tcPr>
            <w:tcW w:w="47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7</w:t>
            </w:r>
          </w:p>
        </w:tc>
        <w:tc>
          <w:tcPr>
            <w:tcW w:w="53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3</w:t>
            </w:r>
          </w:p>
        </w:tc>
        <w:tc>
          <w:tcPr>
            <w:tcW w:w="50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1</w:t>
            </w:r>
          </w:p>
        </w:tc>
        <w:tc>
          <w:tcPr>
            <w:tcW w:w="46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0</w:t>
            </w:r>
          </w:p>
        </w:tc>
        <w:tc>
          <w:tcPr>
            <w:tcW w:w="71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否</w:t>
            </w:r>
          </w:p>
        </w:tc>
        <w:tc>
          <w:tcPr>
            <w:tcW w:w="69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1</w:t>
            </w:r>
          </w:p>
        </w:tc>
      </w:tr>
      <w:tr w:rsidR="00AD5BB5">
        <w:trPr>
          <w:trHeight w:val="77"/>
        </w:trPr>
        <w:tc>
          <w:tcPr>
            <w:tcW w:w="54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kern w:val="0"/>
                <w:szCs w:val="21"/>
              </w:rPr>
            </w:pPr>
            <w:r>
              <w:rPr>
                <w:rFonts w:ascii="Times New Roman" w:hAnsi="Times New Roman" w:cs="Times New Roman" w:hint="eastAsia"/>
                <w:szCs w:val="21"/>
              </w:rPr>
              <w:t>谢德仁</w:t>
            </w:r>
          </w:p>
        </w:tc>
        <w:tc>
          <w:tcPr>
            <w:tcW w:w="46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是</w:t>
            </w:r>
          </w:p>
        </w:tc>
        <w:tc>
          <w:tcPr>
            <w:tcW w:w="60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8</w:t>
            </w:r>
          </w:p>
        </w:tc>
        <w:tc>
          <w:tcPr>
            <w:tcW w:w="47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8</w:t>
            </w:r>
          </w:p>
        </w:tc>
        <w:tc>
          <w:tcPr>
            <w:tcW w:w="53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3</w:t>
            </w:r>
          </w:p>
        </w:tc>
        <w:tc>
          <w:tcPr>
            <w:tcW w:w="50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0</w:t>
            </w:r>
          </w:p>
        </w:tc>
        <w:tc>
          <w:tcPr>
            <w:tcW w:w="46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0</w:t>
            </w:r>
          </w:p>
        </w:tc>
        <w:tc>
          <w:tcPr>
            <w:tcW w:w="71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否</w:t>
            </w:r>
          </w:p>
        </w:tc>
        <w:tc>
          <w:tcPr>
            <w:tcW w:w="69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szCs w:val="21"/>
              </w:rPr>
              <w:t>2</w:t>
            </w:r>
          </w:p>
        </w:tc>
      </w:tr>
      <w:tr w:rsidR="00AD5BB5">
        <w:trPr>
          <w:trHeight w:val="77"/>
        </w:trPr>
        <w:tc>
          <w:tcPr>
            <w:tcW w:w="54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kern w:val="0"/>
                <w:szCs w:val="21"/>
              </w:rPr>
            </w:pPr>
            <w:r>
              <w:rPr>
                <w:rFonts w:ascii="Times New Roman" w:hAnsi="Times New Roman" w:cs="Times New Roman" w:hint="eastAsia"/>
                <w:szCs w:val="21"/>
              </w:rPr>
              <w:t>聂秀峰</w:t>
            </w:r>
          </w:p>
        </w:tc>
        <w:tc>
          <w:tcPr>
            <w:tcW w:w="46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是</w:t>
            </w:r>
          </w:p>
        </w:tc>
        <w:tc>
          <w:tcPr>
            <w:tcW w:w="60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8</w:t>
            </w:r>
          </w:p>
        </w:tc>
        <w:tc>
          <w:tcPr>
            <w:tcW w:w="47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8</w:t>
            </w:r>
          </w:p>
        </w:tc>
        <w:tc>
          <w:tcPr>
            <w:tcW w:w="53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3</w:t>
            </w:r>
          </w:p>
        </w:tc>
        <w:tc>
          <w:tcPr>
            <w:tcW w:w="50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0</w:t>
            </w:r>
          </w:p>
        </w:tc>
        <w:tc>
          <w:tcPr>
            <w:tcW w:w="46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0</w:t>
            </w:r>
          </w:p>
        </w:tc>
        <w:tc>
          <w:tcPr>
            <w:tcW w:w="71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否</w:t>
            </w:r>
          </w:p>
        </w:tc>
        <w:tc>
          <w:tcPr>
            <w:tcW w:w="69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2</w:t>
            </w:r>
          </w:p>
        </w:tc>
      </w:tr>
      <w:tr w:rsidR="00AD5BB5">
        <w:trPr>
          <w:trHeight w:val="77"/>
        </w:trPr>
        <w:tc>
          <w:tcPr>
            <w:tcW w:w="54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kern w:val="0"/>
                <w:szCs w:val="21"/>
              </w:rPr>
            </w:pPr>
            <w:r>
              <w:rPr>
                <w:rFonts w:ascii="Times New Roman" w:hAnsi="Times New Roman" w:cs="Times New Roman" w:hint="eastAsia"/>
                <w:szCs w:val="21"/>
              </w:rPr>
              <w:t>陈</w:t>
            </w:r>
            <w:r>
              <w:rPr>
                <w:rFonts w:ascii="Times New Roman" w:hAnsi="Times New Roman" w:cs="Times New Roman" w:hint="eastAsia"/>
                <w:szCs w:val="21"/>
              </w:rPr>
              <w:t xml:space="preserve">  </w:t>
            </w:r>
            <w:r>
              <w:rPr>
                <w:rFonts w:ascii="Times New Roman" w:hAnsi="Times New Roman" w:cs="Times New Roman" w:hint="eastAsia"/>
                <w:szCs w:val="21"/>
              </w:rPr>
              <w:t>欣</w:t>
            </w:r>
          </w:p>
        </w:tc>
        <w:tc>
          <w:tcPr>
            <w:tcW w:w="46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是</w:t>
            </w:r>
          </w:p>
        </w:tc>
        <w:tc>
          <w:tcPr>
            <w:tcW w:w="60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8</w:t>
            </w:r>
          </w:p>
        </w:tc>
        <w:tc>
          <w:tcPr>
            <w:tcW w:w="47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8</w:t>
            </w:r>
          </w:p>
        </w:tc>
        <w:tc>
          <w:tcPr>
            <w:tcW w:w="53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3</w:t>
            </w:r>
          </w:p>
        </w:tc>
        <w:tc>
          <w:tcPr>
            <w:tcW w:w="50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0</w:t>
            </w:r>
          </w:p>
        </w:tc>
        <w:tc>
          <w:tcPr>
            <w:tcW w:w="466"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0</w:t>
            </w:r>
          </w:p>
        </w:tc>
        <w:tc>
          <w:tcPr>
            <w:tcW w:w="71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否</w:t>
            </w:r>
          </w:p>
        </w:tc>
        <w:tc>
          <w:tcPr>
            <w:tcW w:w="697"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hint="eastAsia"/>
                <w:szCs w:val="21"/>
              </w:rPr>
              <w:t>2</w:t>
            </w:r>
          </w:p>
        </w:tc>
      </w:tr>
    </w:tbl>
    <w:p w:rsidR="00AD5BB5" w:rsidRDefault="00AD5BB5">
      <w:pPr>
        <w:rPr>
          <w:rFonts w:ascii="Times New Roman" w:hAnsi="Times New Roman" w:cs="Times New Roman"/>
          <w:b/>
        </w:rPr>
      </w:pPr>
    </w:p>
    <w:p w:rsidR="00AD5BB5" w:rsidRDefault="00F87FF6">
      <w:pPr>
        <w:spacing w:line="360" w:lineRule="auto"/>
        <w:rPr>
          <w:rFonts w:ascii="Times New Roman" w:hAnsi="Times New Roman" w:cs="Times New Roman"/>
          <w:b/>
        </w:rPr>
      </w:pPr>
      <w:r>
        <w:rPr>
          <w:rFonts w:ascii="Times New Roman" w:hAnsi="Times New Roman" w:cs="Times New Roman" w:hint="eastAsia"/>
          <w:b/>
        </w:rPr>
        <w:t>2.</w:t>
      </w:r>
      <w:r>
        <w:rPr>
          <w:rFonts w:ascii="Times New Roman" w:hAnsi="Times New Roman" w:cs="Times New Roman"/>
          <w:b/>
        </w:rPr>
        <w:t>连续两次未亲自出席董事会会议的说明</w:t>
      </w:r>
    </w:p>
    <w:p w:rsidR="00AD5BB5" w:rsidRDefault="00F87FF6">
      <w:pPr>
        <w:spacing w:line="360" w:lineRule="auto"/>
        <w:ind w:firstLineChars="200" w:firstLine="420"/>
        <w:rPr>
          <w:rFonts w:ascii="Times New Roman" w:hAnsi="Times New Roman" w:cs="Times New Roman"/>
          <w:b/>
        </w:rPr>
      </w:pPr>
      <w:r>
        <w:rPr>
          <w:rFonts w:ascii="Times New Roman" w:hAnsi="Times New Roman" w:cs="Times New Roman"/>
        </w:rPr>
        <w:t>报告</w:t>
      </w:r>
      <w:r>
        <w:rPr>
          <w:rFonts w:ascii="Times New Roman" w:hAnsi="Times New Roman" w:cs="Times New Roman" w:hint="eastAsia"/>
        </w:rPr>
        <w:t>期内，本公司董事无连续两次未亲自出席董事会会议的情况。</w:t>
      </w:r>
    </w:p>
    <w:p w:rsidR="00AD5BB5" w:rsidRDefault="00F87FF6">
      <w:pPr>
        <w:spacing w:line="360" w:lineRule="auto"/>
        <w:rPr>
          <w:rFonts w:ascii="Times New Roman" w:hAnsi="Times New Roman" w:cs="Times New Roman"/>
          <w:b/>
        </w:rPr>
      </w:pPr>
      <w:r>
        <w:rPr>
          <w:rFonts w:ascii="Times New Roman" w:hAnsi="Times New Roman" w:cs="Times New Roman" w:hint="eastAsia"/>
          <w:b/>
        </w:rPr>
        <w:t>3.</w:t>
      </w:r>
      <w:r>
        <w:rPr>
          <w:rFonts w:ascii="Times New Roman" w:hAnsi="Times New Roman" w:cs="Times New Roman" w:hint="eastAsia"/>
          <w:b/>
        </w:rPr>
        <w:t>董事会召开情况</w:t>
      </w:r>
    </w:p>
    <w:tbl>
      <w:tblPr>
        <w:tblW w:w="8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0"/>
        <w:gridCol w:w="4133"/>
      </w:tblGrid>
      <w:tr w:rsidR="00AD5BB5">
        <w:tc>
          <w:tcPr>
            <w:tcW w:w="4170"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spacing w:line="360" w:lineRule="auto"/>
              <w:rPr>
                <w:rFonts w:ascii="Times New Roman" w:hAnsi="Times New Roman" w:cs="Times New Roman"/>
                <w:kern w:val="0"/>
                <w:szCs w:val="21"/>
              </w:rPr>
            </w:pPr>
            <w:r>
              <w:rPr>
                <w:rFonts w:ascii="Times New Roman" w:hAnsi="Times New Roman" w:cs="Times New Roman" w:hint="eastAsia"/>
                <w:kern w:val="0"/>
                <w:szCs w:val="21"/>
              </w:rPr>
              <w:t>报告期</w:t>
            </w:r>
            <w:r>
              <w:rPr>
                <w:rFonts w:ascii="Times New Roman" w:hAnsi="Times New Roman" w:cs="Times New Roman"/>
                <w:kern w:val="0"/>
                <w:szCs w:val="21"/>
              </w:rPr>
              <w:t>内召开董事会会议次数</w:t>
            </w:r>
          </w:p>
        </w:tc>
        <w:tc>
          <w:tcPr>
            <w:tcW w:w="4133"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spacing w:line="360" w:lineRule="auto"/>
              <w:rPr>
                <w:rFonts w:ascii="Times New Roman" w:hAnsi="Times New Roman" w:cs="Times New Roman"/>
                <w:kern w:val="0"/>
                <w:szCs w:val="21"/>
              </w:rPr>
            </w:pPr>
            <w:r>
              <w:rPr>
                <w:rFonts w:ascii="Times New Roman" w:hAnsi="Times New Roman" w:cs="Times New Roman" w:hint="eastAsia"/>
                <w:kern w:val="0"/>
                <w:szCs w:val="21"/>
              </w:rPr>
              <w:t>8</w:t>
            </w:r>
          </w:p>
        </w:tc>
      </w:tr>
      <w:tr w:rsidR="00AD5BB5">
        <w:tc>
          <w:tcPr>
            <w:tcW w:w="4170"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spacing w:line="360" w:lineRule="auto"/>
              <w:rPr>
                <w:rFonts w:ascii="Times New Roman" w:hAnsi="Times New Roman" w:cs="Times New Roman"/>
                <w:kern w:val="0"/>
                <w:szCs w:val="21"/>
              </w:rPr>
            </w:pPr>
            <w:r>
              <w:rPr>
                <w:rFonts w:ascii="Times New Roman" w:hAnsi="Times New Roman" w:cs="Times New Roman"/>
                <w:kern w:val="0"/>
                <w:szCs w:val="21"/>
              </w:rPr>
              <w:t>其中：现场会议次数</w:t>
            </w:r>
          </w:p>
        </w:tc>
        <w:tc>
          <w:tcPr>
            <w:tcW w:w="4133"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spacing w:line="360" w:lineRule="auto"/>
              <w:rPr>
                <w:rFonts w:ascii="Times New Roman" w:hAnsi="Times New Roman" w:cs="Times New Roman"/>
                <w:kern w:val="0"/>
                <w:szCs w:val="21"/>
              </w:rPr>
            </w:pPr>
            <w:r>
              <w:rPr>
                <w:rFonts w:ascii="Times New Roman" w:hAnsi="Times New Roman" w:cs="Times New Roman" w:hint="eastAsia"/>
                <w:kern w:val="0"/>
                <w:szCs w:val="21"/>
              </w:rPr>
              <w:t>5</w:t>
            </w:r>
          </w:p>
        </w:tc>
      </w:tr>
      <w:tr w:rsidR="00AD5BB5">
        <w:tc>
          <w:tcPr>
            <w:tcW w:w="4170"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spacing w:line="360" w:lineRule="auto"/>
              <w:rPr>
                <w:rFonts w:ascii="Times New Roman" w:hAnsi="Times New Roman" w:cs="Times New Roman"/>
                <w:kern w:val="0"/>
                <w:szCs w:val="21"/>
              </w:rPr>
            </w:pPr>
            <w:r>
              <w:rPr>
                <w:rFonts w:ascii="Times New Roman" w:hAnsi="Times New Roman" w:cs="Times New Roman"/>
                <w:kern w:val="0"/>
                <w:szCs w:val="21"/>
              </w:rPr>
              <w:t>通讯方式召开会议次数</w:t>
            </w:r>
          </w:p>
        </w:tc>
        <w:tc>
          <w:tcPr>
            <w:tcW w:w="4133"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spacing w:line="360" w:lineRule="auto"/>
              <w:rPr>
                <w:rFonts w:ascii="Times New Roman" w:hAnsi="Times New Roman" w:cs="Times New Roman"/>
                <w:kern w:val="0"/>
                <w:szCs w:val="21"/>
              </w:rPr>
            </w:pPr>
            <w:r>
              <w:rPr>
                <w:rFonts w:ascii="Times New Roman" w:hAnsi="Times New Roman" w:cs="Times New Roman" w:hint="eastAsia"/>
                <w:kern w:val="0"/>
                <w:szCs w:val="21"/>
              </w:rPr>
              <w:t>3</w:t>
            </w:r>
          </w:p>
        </w:tc>
      </w:tr>
      <w:tr w:rsidR="00AD5BB5">
        <w:tc>
          <w:tcPr>
            <w:tcW w:w="4170"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spacing w:line="360" w:lineRule="auto"/>
              <w:rPr>
                <w:rFonts w:ascii="Times New Roman" w:hAnsi="Times New Roman" w:cs="Times New Roman"/>
                <w:kern w:val="0"/>
                <w:szCs w:val="21"/>
              </w:rPr>
            </w:pPr>
            <w:r>
              <w:rPr>
                <w:rFonts w:ascii="Times New Roman" w:hAnsi="Times New Roman" w:cs="Times New Roman"/>
                <w:kern w:val="0"/>
                <w:szCs w:val="21"/>
              </w:rPr>
              <w:t>现场结合通讯方式召开会议次数</w:t>
            </w:r>
          </w:p>
        </w:tc>
        <w:tc>
          <w:tcPr>
            <w:tcW w:w="4133"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spacing w:line="360" w:lineRule="auto"/>
              <w:rPr>
                <w:rFonts w:ascii="Times New Roman" w:hAnsi="Times New Roman" w:cs="Times New Roman"/>
                <w:kern w:val="0"/>
                <w:szCs w:val="21"/>
              </w:rPr>
            </w:pPr>
            <w:r>
              <w:rPr>
                <w:rFonts w:ascii="Times New Roman" w:hAnsi="Times New Roman" w:cs="Times New Roman" w:hint="eastAsia"/>
                <w:kern w:val="0"/>
                <w:szCs w:val="21"/>
              </w:rPr>
              <w:t>0</w:t>
            </w:r>
          </w:p>
        </w:tc>
      </w:tr>
    </w:tbl>
    <w:p w:rsidR="00AD5BB5" w:rsidRDefault="00F87FF6">
      <w:pPr>
        <w:tabs>
          <w:tab w:val="left" w:pos="312"/>
        </w:tabs>
        <w:spacing w:line="360" w:lineRule="auto"/>
        <w:rPr>
          <w:b/>
        </w:rPr>
      </w:pPr>
      <w:r>
        <w:rPr>
          <w:rFonts w:hint="eastAsia"/>
          <w:b/>
        </w:rPr>
        <w:t>4</w:t>
      </w:r>
      <w:r>
        <w:rPr>
          <w:b/>
        </w:rPr>
        <w:t>.</w:t>
      </w:r>
      <w:r>
        <w:rPr>
          <w:rFonts w:hint="eastAsia"/>
          <w:b/>
        </w:rPr>
        <w:t>独立董事履职情况</w:t>
      </w:r>
    </w:p>
    <w:p w:rsidR="00AD5BB5" w:rsidRDefault="00F87FF6">
      <w:pPr>
        <w:tabs>
          <w:tab w:val="left" w:pos="312"/>
        </w:tabs>
        <w:spacing w:line="360" w:lineRule="auto"/>
        <w:ind w:firstLineChars="200" w:firstLine="420"/>
        <w:rPr>
          <w:b/>
        </w:rPr>
      </w:pPr>
      <w:r>
        <w:rPr>
          <w:rFonts w:ascii="Times New Roman" w:hAnsi="Times New Roman" w:cs="Times New Roman" w:hint="eastAsia"/>
        </w:rPr>
        <w:t>报告期内，公司独立董事均能严格按照法律法规的相关规定，遵守公司章程，忠实勤勉、恪尽职守，与公司各方沟通和协调，及时对公司会计师事务所选聘、关联交易管理、风险管理等相关重大事项发表独立意见并</w:t>
      </w:r>
      <w:proofErr w:type="gramStart"/>
      <w:r>
        <w:rPr>
          <w:rFonts w:ascii="Times New Roman" w:hAnsi="Times New Roman" w:cs="Times New Roman" w:hint="eastAsia"/>
        </w:rPr>
        <w:t>作出</w:t>
      </w:r>
      <w:proofErr w:type="gramEnd"/>
      <w:r>
        <w:rPr>
          <w:rFonts w:ascii="Times New Roman" w:hAnsi="Times New Roman" w:cs="Times New Roman" w:hint="eastAsia"/>
        </w:rPr>
        <w:t>指示，进一步促进公司稳健经营和可持续发展，有效提升董事会科学决策能力。</w:t>
      </w:r>
    </w:p>
    <w:p w:rsidR="00AD5BB5" w:rsidRDefault="00F87FF6">
      <w:pPr>
        <w:pStyle w:val="ad"/>
        <w:spacing w:line="360" w:lineRule="auto"/>
        <w:rPr>
          <w:rFonts w:hint="default"/>
          <w:b/>
        </w:rPr>
      </w:pPr>
      <w:r>
        <w:rPr>
          <w:b/>
        </w:rPr>
        <w:t>5.独立董事对公司有关事项提出异议的情况</w:t>
      </w:r>
    </w:p>
    <w:p w:rsidR="00AD5BB5" w:rsidRDefault="00F87FF6">
      <w:pPr>
        <w:spacing w:line="360" w:lineRule="auto"/>
        <w:ind w:firstLineChars="200" w:firstLine="420"/>
        <w:rPr>
          <w:color w:val="333399"/>
          <w:u w:val="single"/>
        </w:rPr>
      </w:pPr>
      <w:r>
        <w:t>报告期内，本公司</w:t>
      </w:r>
      <w:r>
        <w:rPr>
          <w:rFonts w:hint="eastAsia"/>
        </w:rPr>
        <w:t>独立</w:t>
      </w:r>
      <w:r>
        <w:t>董事不存在对公司有关事项提出异议的情况。</w:t>
      </w:r>
    </w:p>
    <w:p w:rsidR="00AD5BB5" w:rsidRDefault="00F87FF6">
      <w:pPr>
        <w:pStyle w:val="aff2"/>
        <w:numPr>
          <w:ilvl w:val="0"/>
          <w:numId w:val="22"/>
        </w:numPr>
        <w:spacing w:line="360" w:lineRule="auto"/>
        <w:ind w:left="448" w:firstLineChars="0" w:hanging="448"/>
        <w:outlineLvl w:val="1"/>
        <w:rPr>
          <w:b/>
          <w:color w:val="FF0000"/>
        </w:rPr>
      </w:pPr>
      <w:r>
        <w:rPr>
          <w:rFonts w:hint="eastAsia"/>
          <w:b/>
        </w:rPr>
        <w:t>关于监事和监事会</w:t>
      </w:r>
    </w:p>
    <w:p w:rsidR="00AD5BB5" w:rsidRDefault="00F87FF6">
      <w:pPr>
        <w:pStyle w:val="3"/>
        <w:numPr>
          <w:ilvl w:val="0"/>
          <w:numId w:val="23"/>
        </w:numPr>
        <w:spacing w:line="360" w:lineRule="auto"/>
      </w:pPr>
      <w:r>
        <w:rPr>
          <w:rFonts w:hint="eastAsia"/>
        </w:rPr>
        <w:t>监事会工作情况</w:t>
      </w:r>
    </w:p>
    <w:p w:rsidR="00AD5BB5" w:rsidRDefault="00F87FF6">
      <w:pPr>
        <w:spacing w:line="360" w:lineRule="auto"/>
        <w:ind w:firstLineChars="200" w:firstLine="420"/>
      </w:pPr>
      <w:r>
        <w:rPr>
          <w:rFonts w:hint="eastAsia"/>
        </w:rPr>
        <w:t>截至报告期末，本公司监事会由</w:t>
      </w:r>
      <w:r>
        <w:rPr>
          <w:rFonts w:hint="eastAsia"/>
        </w:rPr>
        <w:t>6</w:t>
      </w:r>
      <w:r>
        <w:rPr>
          <w:rFonts w:hint="eastAsia"/>
        </w:rPr>
        <w:t>名监事组成，其中股东监事</w:t>
      </w:r>
      <w:r>
        <w:rPr>
          <w:rFonts w:hint="eastAsia"/>
        </w:rPr>
        <w:t>2</w:t>
      </w:r>
      <w:r>
        <w:rPr>
          <w:rFonts w:hint="eastAsia"/>
        </w:rPr>
        <w:t>名，外部监事</w:t>
      </w:r>
      <w:r>
        <w:rPr>
          <w:rFonts w:hint="eastAsia"/>
        </w:rPr>
        <w:t>2</w:t>
      </w:r>
      <w:r>
        <w:rPr>
          <w:rFonts w:hint="eastAsia"/>
        </w:rPr>
        <w:t>名，职工监事</w:t>
      </w:r>
      <w:r>
        <w:rPr>
          <w:rFonts w:hint="eastAsia"/>
        </w:rPr>
        <w:t>2</w:t>
      </w:r>
      <w:r>
        <w:rPr>
          <w:rFonts w:hint="eastAsia"/>
        </w:rPr>
        <w:t>名，其人数和人员构成符合《公司法》等相关法律、法规和《公司章程》的规定。</w:t>
      </w:r>
    </w:p>
    <w:p w:rsidR="00AD5BB5" w:rsidRDefault="00F87FF6">
      <w:pPr>
        <w:spacing w:line="360" w:lineRule="auto"/>
        <w:ind w:firstLineChars="200" w:firstLine="420"/>
      </w:pPr>
      <w:r>
        <w:rPr>
          <w:rFonts w:hint="eastAsia"/>
        </w:rPr>
        <w:t>报告期内，本公司监事会共召开会议</w:t>
      </w:r>
      <w:r>
        <w:rPr>
          <w:rFonts w:hint="eastAsia"/>
        </w:rPr>
        <w:t>4</w:t>
      </w:r>
      <w:r>
        <w:rPr>
          <w:rFonts w:hint="eastAsia"/>
          <w:lang w:val="zh-CN"/>
        </w:rPr>
        <w:t>次，均为现场会议，审议并通过</w:t>
      </w:r>
      <w:r>
        <w:rPr>
          <w:rFonts w:hint="eastAsia"/>
        </w:rPr>
        <w:t>35</w:t>
      </w:r>
      <w:r>
        <w:rPr>
          <w:rFonts w:hint="eastAsia"/>
          <w:lang w:val="zh-CN"/>
        </w:rPr>
        <w:t>项议案，听取</w:t>
      </w:r>
      <w:r>
        <w:rPr>
          <w:rFonts w:hint="eastAsia"/>
        </w:rPr>
        <w:t>3</w:t>
      </w:r>
      <w:r>
        <w:rPr>
          <w:rFonts w:hint="eastAsia"/>
          <w:lang w:val="zh-CN"/>
        </w:rPr>
        <w:t>项报告，内容涉及年度报告、社会责任报告、财务决算报告、全面风险报告、内部控制</w:t>
      </w:r>
      <w:r>
        <w:rPr>
          <w:rFonts w:hint="eastAsia"/>
          <w:lang w:val="zh-CN"/>
        </w:rPr>
        <w:lastRenderedPageBreak/>
        <w:t>评价报告、利润分配方案、“</w:t>
      </w:r>
      <w:r>
        <w:rPr>
          <w:rFonts w:hint="eastAsia"/>
        </w:rPr>
        <w:t>两会一层”及其成员履职评价报告、向不特定对象发行可转换公司债</w:t>
      </w:r>
      <w:proofErr w:type="gramStart"/>
      <w:r>
        <w:rPr>
          <w:rFonts w:hint="eastAsia"/>
        </w:rPr>
        <w:t>券</w:t>
      </w:r>
      <w:proofErr w:type="gramEnd"/>
      <w:r>
        <w:rPr>
          <w:rFonts w:hint="eastAsia"/>
        </w:rPr>
        <w:t>等多方面内容。全体监事能够独立客观地行使监督职能，勤勉、诚信地履行监事义务，对完善公司治理，维护公司、股东和其他利益相关者的共同利益，推动公司持续稳健发展发挥了积极作用。</w:t>
      </w:r>
    </w:p>
    <w:p w:rsidR="00AD5BB5" w:rsidRDefault="00F87FF6">
      <w:pPr>
        <w:numPr>
          <w:ilvl w:val="0"/>
          <w:numId w:val="23"/>
        </w:numPr>
        <w:spacing w:line="360" w:lineRule="auto"/>
        <w:outlineLvl w:val="2"/>
        <w:rPr>
          <w:b/>
        </w:rPr>
      </w:pPr>
      <w:r>
        <w:rPr>
          <w:rFonts w:hint="eastAsia"/>
          <w:b/>
        </w:rPr>
        <w:t>监事会各专门委员会运作情况</w:t>
      </w:r>
    </w:p>
    <w:p w:rsidR="00AD5BB5" w:rsidRDefault="00F87FF6">
      <w:pPr>
        <w:spacing w:line="360" w:lineRule="auto"/>
        <w:ind w:firstLineChars="200" w:firstLine="420"/>
      </w:pPr>
      <w:r>
        <w:rPr>
          <w:rFonts w:hint="eastAsia"/>
        </w:rPr>
        <w:t>报告期内，监事会审计委员会共召开会议</w:t>
      </w:r>
      <w:r>
        <w:t>3</w:t>
      </w:r>
      <w:r>
        <w:rPr>
          <w:rFonts w:hint="eastAsia"/>
        </w:rPr>
        <w:t>次，对公司年度报告、全面风险报告、内部控制评价报告、专项检查调研方案等</w:t>
      </w:r>
      <w:r>
        <w:t>13</w:t>
      </w:r>
      <w:r>
        <w:rPr>
          <w:rFonts w:hint="eastAsia"/>
        </w:rPr>
        <w:t>项议案进行了审议；监事会提名委员会召开会议</w:t>
      </w:r>
      <w:r>
        <w:t>1</w:t>
      </w:r>
      <w:r>
        <w:rPr>
          <w:rFonts w:hint="eastAsia"/>
        </w:rPr>
        <w:t>次，审议“两会一层”及其成员履职评价报告、年度绩效任务书等</w:t>
      </w:r>
      <w:r>
        <w:t>4</w:t>
      </w:r>
      <w:r>
        <w:rPr>
          <w:rFonts w:hint="eastAsia"/>
        </w:rPr>
        <w:t>项议案，监事会各专门委员会持续规范对董事会及高级管理层的履职监督，有效履行了监事会赋予的职责。</w:t>
      </w:r>
    </w:p>
    <w:p w:rsidR="00AD5BB5" w:rsidRDefault="00F87FF6">
      <w:pPr>
        <w:numPr>
          <w:ilvl w:val="0"/>
          <w:numId w:val="23"/>
        </w:numPr>
        <w:spacing w:line="360" w:lineRule="auto"/>
        <w:outlineLvl w:val="2"/>
        <w:rPr>
          <w:b/>
        </w:rPr>
      </w:pPr>
      <w:r>
        <w:rPr>
          <w:rFonts w:hint="eastAsia"/>
          <w:b/>
        </w:rPr>
        <w:t>外部监事履职情况</w:t>
      </w:r>
    </w:p>
    <w:p w:rsidR="00AD5BB5" w:rsidRDefault="00F87FF6">
      <w:pPr>
        <w:spacing w:line="360" w:lineRule="auto"/>
        <w:ind w:firstLineChars="200" w:firstLine="420"/>
        <w:rPr>
          <w:b/>
        </w:rPr>
      </w:pPr>
      <w:r>
        <w:rPr>
          <w:rFonts w:hint="eastAsia"/>
        </w:rPr>
        <w:t>报告期内，本公司外部监事按时参加监事会及其专门委员会会议，列席董事会，积极提出监督意见和建议，对公司治理、财务活动、内部控制、风险管理和合法经营等情况进行了重点监督，认真履行外部监事职责，在推动本公司进一步完善公司治理、加强经营管理，实现持续、快速、健康发展等方面发挥了重要作用。</w:t>
      </w:r>
    </w:p>
    <w:p w:rsidR="00AD5BB5" w:rsidRDefault="00F87FF6">
      <w:pPr>
        <w:pStyle w:val="2"/>
        <w:numPr>
          <w:ilvl w:val="0"/>
          <w:numId w:val="22"/>
        </w:numPr>
        <w:spacing w:line="360" w:lineRule="auto"/>
        <w:rPr>
          <w:rFonts w:ascii="Times New Roman" w:hAnsi="Times New Roman" w:cs="Times New Roman"/>
        </w:rPr>
      </w:pPr>
      <w:r>
        <w:rPr>
          <w:rFonts w:ascii="Times New Roman" w:hAnsi="Times New Roman" w:cs="Times New Roman"/>
        </w:rPr>
        <w:t>利润分配或资本公积金转增方案的执行情况</w:t>
      </w:r>
    </w:p>
    <w:p w:rsidR="00AD5BB5" w:rsidRDefault="00F87FF6">
      <w:pPr>
        <w:pStyle w:val="ad"/>
        <w:spacing w:line="360" w:lineRule="auto"/>
        <w:ind w:firstLineChars="200" w:firstLine="420"/>
        <w:rPr>
          <w:rFonts w:ascii="Times New Roman" w:hAnsi="Times New Roman" w:cs="Times New Roman" w:hint="default"/>
          <w:b/>
        </w:rPr>
      </w:pPr>
      <w:r>
        <w:rPr>
          <w:rFonts w:ascii="Times New Roman" w:hAnsi="Times New Roman" w:cs="Times New Roman" w:hint="default"/>
        </w:rPr>
        <w:t>2023</w:t>
      </w:r>
      <w:r>
        <w:rPr>
          <w:rFonts w:ascii="Times New Roman" w:hAnsi="Times New Roman" w:cs="Times New Roman" w:hint="default"/>
        </w:rPr>
        <w:t>年</w:t>
      </w:r>
      <w:r>
        <w:rPr>
          <w:rFonts w:ascii="Times New Roman" w:hAnsi="Times New Roman" w:cs="Times New Roman" w:hint="default"/>
        </w:rPr>
        <w:t>5</w:t>
      </w:r>
      <w:r>
        <w:rPr>
          <w:rFonts w:ascii="Times New Roman" w:hAnsi="Times New Roman" w:cs="Times New Roman" w:hint="default"/>
        </w:rPr>
        <w:t>月</w:t>
      </w:r>
      <w:r>
        <w:rPr>
          <w:rFonts w:ascii="Times New Roman" w:hAnsi="Times New Roman" w:cs="Times New Roman" w:hint="default"/>
        </w:rPr>
        <w:t>18</w:t>
      </w:r>
      <w:r>
        <w:rPr>
          <w:rFonts w:ascii="Times New Roman" w:hAnsi="Times New Roman" w:cs="Times New Roman" w:hint="default"/>
        </w:rPr>
        <w:t>日，公司</w:t>
      </w:r>
      <w:r>
        <w:rPr>
          <w:rFonts w:ascii="Times New Roman" w:hAnsi="Times New Roman" w:cs="Times New Roman" w:hint="default"/>
        </w:rPr>
        <w:t>2022</w:t>
      </w:r>
      <w:r>
        <w:rPr>
          <w:rFonts w:ascii="Times New Roman" w:hAnsi="Times New Roman" w:cs="Times New Roman" w:hint="default"/>
        </w:rPr>
        <w:t>年度股东大会审议通过《厦门银行股份有限公司关于</w:t>
      </w:r>
      <w:r>
        <w:rPr>
          <w:rFonts w:ascii="Times New Roman" w:hAnsi="Times New Roman" w:cs="Times New Roman" w:hint="default"/>
        </w:rPr>
        <w:t>2022</w:t>
      </w:r>
      <w:r>
        <w:rPr>
          <w:rFonts w:ascii="Times New Roman" w:hAnsi="Times New Roman" w:cs="Times New Roman" w:hint="default"/>
        </w:rPr>
        <w:t>年度利润分配方案的议案》，决定向权益分派股权登记日登记在册的普通股股东分配现金股利合计</w:t>
      </w:r>
      <w:sdt>
        <w:sdtPr>
          <w:rPr>
            <w:rFonts w:ascii="Times New Roman" w:hAnsi="Times New Roman" w:cs="Times New Roman"/>
          </w:rPr>
          <w:alias w:val="税前红利总额"/>
          <w:tag w:val="_GBC_9d46df5d002943fe9d2be253b9fa3310"/>
          <w:id w:val="2037930159"/>
          <w:placeholder>
            <w:docPart w:val="F2A3FFAF830242E2B3BDC03511AA9E8D"/>
          </w:placeholder>
        </w:sdtPr>
        <w:sdtContent>
          <w:r>
            <w:rPr>
              <w:rFonts w:ascii="Times New Roman" w:hAnsi="Times New Roman" w:cs="Times New Roman"/>
            </w:rPr>
            <w:t>765,347,087.52</w:t>
          </w:r>
        </w:sdtContent>
      </w:sdt>
      <w:r>
        <w:rPr>
          <w:rFonts w:ascii="Times New Roman" w:hAnsi="Times New Roman" w:cs="Times New Roman" w:hint="default"/>
        </w:rPr>
        <w:t>元（含税），每</w:t>
      </w:r>
      <w:r>
        <w:rPr>
          <w:rFonts w:ascii="Times New Roman" w:hAnsi="Times New Roman" w:cs="Times New Roman" w:hint="default"/>
        </w:rPr>
        <w:t>10</w:t>
      </w:r>
      <w:r>
        <w:rPr>
          <w:rFonts w:ascii="Times New Roman" w:hAnsi="Times New Roman" w:cs="Times New Roman" w:hint="default"/>
        </w:rPr>
        <w:t>股派发现金股利</w:t>
      </w:r>
      <w:r>
        <w:rPr>
          <w:rFonts w:ascii="Times New Roman" w:hAnsi="Times New Roman" w:cs="Times New Roman"/>
        </w:rPr>
        <w:t>2</w:t>
      </w:r>
      <w:r>
        <w:rPr>
          <w:rFonts w:ascii="Times New Roman" w:hAnsi="Times New Roman" w:cs="Times New Roman" w:hint="default"/>
        </w:rPr>
        <w:t>.90</w:t>
      </w:r>
      <w:r>
        <w:rPr>
          <w:rFonts w:ascii="Times New Roman" w:hAnsi="Times New Roman" w:cs="Times New Roman" w:hint="default"/>
        </w:rPr>
        <w:t>元（含税）。</w:t>
      </w:r>
      <w:r>
        <w:rPr>
          <w:rFonts w:ascii="Times New Roman" w:hAnsi="Times New Roman" w:cs="Times New Roman" w:hint="default"/>
        </w:rPr>
        <w:t xml:space="preserve"> </w:t>
      </w:r>
    </w:p>
    <w:p w:rsidR="00AD5BB5" w:rsidRDefault="00F87FF6">
      <w:pPr>
        <w:spacing w:line="360" w:lineRule="auto"/>
        <w:ind w:firstLineChars="200" w:firstLine="420"/>
        <w:rPr>
          <w:rFonts w:ascii="Times New Roman" w:hAnsi="Times New Roman" w:cs="Times New Roman"/>
        </w:rPr>
      </w:pPr>
      <w:r>
        <w:rPr>
          <w:rFonts w:ascii="Times New Roman" w:hAnsi="Times New Roman" w:cs="Times New Roman"/>
        </w:rPr>
        <w:t>2023</w:t>
      </w:r>
      <w:r>
        <w:rPr>
          <w:rFonts w:ascii="Times New Roman" w:hAnsi="Times New Roman" w:cs="Times New Roman"/>
        </w:rPr>
        <w:t>年</w:t>
      </w:r>
      <w:r>
        <w:rPr>
          <w:rFonts w:ascii="Times New Roman" w:hAnsi="Times New Roman" w:cs="Times New Roman"/>
        </w:rPr>
        <w:t>5</w:t>
      </w:r>
      <w:r>
        <w:rPr>
          <w:rFonts w:ascii="Times New Roman" w:hAnsi="Times New Roman" w:cs="Times New Roman"/>
        </w:rPr>
        <w:t>月</w:t>
      </w:r>
      <w:r>
        <w:rPr>
          <w:rFonts w:ascii="Times New Roman" w:hAnsi="Times New Roman" w:cs="Times New Roman" w:hint="eastAsia"/>
        </w:rPr>
        <w:t>3</w:t>
      </w:r>
      <w:r>
        <w:rPr>
          <w:rFonts w:ascii="Times New Roman" w:hAnsi="Times New Roman" w:cs="Times New Roman"/>
        </w:rPr>
        <w:t>1</w:t>
      </w:r>
      <w:r>
        <w:rPr>
          <w:rFonts w:ascii="Times New Roman" w:hAnsi="Times New Roman" w:cs="Times New Roman"/>
        </w:rPr>
        <w:t>日，公司在《中国证券报》《上海证券报》《证券时报》《证券日报》及上海证券交易所网站（</w:t>
      </w:r>
      <w:r>
        <w:rPr>
          <w:rFonts w:ascii="Times New Roman" w:hAnsi="Times New Roman" w:cs="Times New Roman"/>
        </w:rPr>
        <w:t>www.sse.com.cn</w:t>
      </w:r>
      <w:r>
        <w:rPr>
          <w:rFonts w:ascii="Times New Roman" w:hAnsi="Times New Roman" w:cs="Times New Roman"/>
        </w:rPr>
        <w:t>）登载了《厦门银行股份有限公司</w:t>
      </w:r>
      <w:r>
        <w:rPr>
          <w:rFonts w:ascii="Times New Roman" w:hAnsi="Times New Roman" w:cs="Times New Roman"/>
        </w:rPr>
        <w:t>2022</w:t>
      </w:r>
      <w:r>
        <w:rPr>
          <w:rFonts w:ascii="Times New Roman" w:hAnsi="Times New Roman" w:cs="Times New Roman"/>
        </w:rPr>
        <w:t>年年度权益分派实施公告》</w:t>
      </w:r>
      <w:r>
        <w:rPr>
          <w:rFonts w:ascii="Times New Roman" w:hAnsi="Times New Roman" w:cs="Times New Roman" w:hint="eastAsia"/>
        </w:rPr>
        <w:t>（公告编号：</w:t>
      </w:r>
      <w:r>
        <w:rPr>
          <w:rFonts w:ascii="Times New Roman" w:hAnsi="Times New Roman" w:cs="Times New Roman" w:hint="eastAsia"/>
        </w:rPr>
        <w:t>202</w:t>
      </w:r>
      <w:r>
        <w:rPr>
          <w:rFonts w:ascii="Times New Roman" w:hAnsi="Times New Roman" w:cs="Times New Roman"/>
        </w:rPr>
        <w:t>3</w:t>
      </w:r>
      <w:r>
        <w:rPr>
          <w:rFonts w:ascii="Times New Roman" w:hAnsi="Times New Roman" w:cs="Times New Roman" w:hint="eastAsia"/>
        </w:rPr>
        <w:t>-0</w:t>
      </w:r>
      <w:r>
        <w:rPr>
          <w:rFonts w:ascii="Times New Roman" w:hAnsi="Times New Roman" w:cs="Times New Roman"/>
        </w:rPr>
        <w:t>24</w:t>
      </w:r>
      <w:r>
        <w:rPr>
          <w:rFonts w:ascii="Times New Roman" w:hAnsi="Times New Roman" w:cs="Times New Roman" w:hint="eastAsia"/>
        </w:rPr>
        <w:t>）</w:t>
      </w:r>
      <w:r>
        <w:rPr>
          <w:rFonts w:ascii="Times New Roman" w:hAnsi="Times New Roman" w:cs="Times New Roman"/>
        </w:rPr>
        <w:t>，确定股权登记日为</w:t>
      </w:r>
      <w:r>
        <w:rPr>
          <w:rFonts w:ascii="Times New Roman" w:hAnsi="Times New Roman" w:cs="Times New Roman"/>
        </w:rPr>
        <w:t>2023</w:t>
      </w:r>
      <w:r>
        <w:rPr>
          <w:rFonts w:ascii="Times New Roman" w:hAnsi="Times New Roman" w:cs="Times New Roman"/>
        </w:rPr>
        <w:t>年</w:t>
      </w:r>
      <w:r>
        <w:rPr>
          <w:rFonts w:ascii="Times New Roman" w:hAnsi="Times New Roman" w:cs="Times New Roman"/>
        </w:rPr>
        <w:t>6</w:t>
      </w:r>
      <w:r>
        <w:rPr>
          <w:rFonts w:ascii="Times New Roman" w:hAnsi="Times New Roman" w:cs="Times New Roman"/>
        </w:rPr>
        <w:t>月</w:t>
      </w:r>
      <w:r>
        <w:rPr>
          <w:rFonts w:ascii="Times New Roman" w:hAnsi="Times New Roman" w:cs="Times New Roman" w:hint="eastAsia"/>
        </w:rPr>
        <w:t>7</w:t>
      </w:r>
      <w:r>
        <w:rPr>
          <w:rFonts w:ascii="Times New Roman" w:hAnsi="Times New Roman" w:cs="Times New Roman"/>
        </w:rPr>
        <w:t>日，除权（息）日为</w:t>
      </w:r>
      <w:r>
        <w:rPr>
          <w:rFonts w:ascii="Times New Roman" w:hAnsi="Times New Roman" w:cs="Times New Roman"/>
        </w:rPr>
        <w:t>2023</w:t>
      </w:r>
      <w:r>
        <w:rPr>
          <w:rFonts w:ascii="Times New Roman" w:hAnsi="Times New Roman" w:cs="Times New Roman"/>
        </w:rPr>
        <w:t>年</w:t>
      </w:r>
      <w:r>
        <w:rPr>
          <w:rFonts w:ascii="Times New Roman" w:hAnsi="Times New Roman" w:cs="Times New Roman"/>
        </w:rPr>
        <w:t>6</w:t>
      </w:r>
      <w:r>
        <w:rPr>
          <w:rFonts w:ascii="Times New Roman" w:hAnsi="Times New Roman" w:cs="Times New Roman"/>
        </w:rPr>
        <w:t>月</w:t>
      </w:r>
      <w:r>
        <w:rPr>
          <w:rFonts w:ascii="Times New Roman" w:hAnsi="Times New Roman" w:cs="Times New Roman"/>
        </w:rPr>
        <w:t>8</w:t>
      </w:r>
      <w:r>
        <w:rPr>
          <w:rFonts w:ascii="Times New Roman" w:hAnsi="Times New Roman" w:cs="Times New Roman"/>
        </w:rPr>
        <w:t>日，现金红利发放日为</w:t>
      </w:r>
      <w:r>
        <w:rPr>
          <w:rFonts w:ascii="Times New Roman" w:hAnsi="Times New Roman" w:cs="Times New Roman"/>
        </w:rPr>
        <w:t>2023</w:t>
      </w:r>
      <w:r>
        <w:rPr>
          <w:rFonts w:ascii="Times New Roman" w:hAnsi="Times New Roman" w:cs="Times New Roman"/>
        </w:rPr>
        <w:t>年</w:t>
      </w:r>
      <w:r>
        <w:rPr>
          <w:rFonts w:ascii="Times New Roman" w:hAnsi="Times New Roman" w:cs="Times New Roman"/>
        </w:rPr>
        <w:t>6</w:t>
      </w:r>
      <w:r>
        <w:rPr>
          <w:rFonts w:ascii="Times New Roman" w:hAnsi="Times New Roman" w:cs="Times New Roman"/>
        </w:rPr>
        <w:t>月</w:t>
      </w:r>
      <w:r>
        <w:rPr>
          <w:rFonts w:ascii="Times New Roman" w:hAnsi="Times New Roman" w:cs="Times New Roman"/>
        </w:rPr>
        <w:t>8</w:t>
      </w:r>
      <w:r>
        <w:rPr>
          <w:rFonts w:ascii="Times New Roman" w:hAnsi="Times New Roman" w:cs="Times New Roman"/>
        </w:rPr>
        <w:t>日。</w:t>
      </w:r>
      <w:proofErr w:type="gramStart"/>
      <w:r>
        <w:rPr>
          <w:rFonts w:ascii="Times New Roman" w:hAnsi="Times New Roman" w:cs="Times New Roman"/>
        </w:rPr>
        <w:t>截至本半年度</w:t>
      </w:r>
      <w:proofErr w:type="gramEnd"/>
      <w:r>
        <w:rPr>
          <w:rFonts w:ascii="Times New Roman" w:hAnsi="Times New Roman" w:cs="Times New Roman"/>
        </w:rPr>
        <w:t>报告披露日，公司本次权益分派已实施完毕。</w:t>
      </w:r>
      <w:r>
        <w:rPr>
          <w:rFonts w:ascii="Times New Roman" w:hAnsi="Times New Roman" w:cs="Times New Roman"/>
        </w:rPr>
        <w:t xml:space="preserve"> </w:t>
      </w:r>
    </w:p>
    <w:p w:rsidR="00AD5BB5" w:rsidRDefault="00F87FF6">
      <w:pPr>
        <w:spacing w:line="360" w:lineRule="auto"/>
        <w:ind w:firstLineChars="200" w:firstLine="420"/>
        <w:rPr>
          <w:rFonts w:ascii="Times New Roman" w:hAnsi="Times New Roman" w:cs="Times New Roman"/>
        </w:rPr>
      </w:pPr>
      <w:r>
        <w:rPr>
          <w:rFonts w:ascii="Times New Roman" w:hAnsi="Times New Roman" w:cs="Times New Roman" w:hint="eastAsia"/>
        </w:rPr>
        <w:t>公司</w:t>
      </w:r>
      <w:r>
        <w:rPr>
          <w:rFonts w:ascii="Times New Roman" w:hAnsi="Times New Roman" w:cs="Times New Roman" w:hint="eastAsia"/>
        </w:rPr>
        <w:t>202</w:t>
      </w:r>
      <w:r>
        <w:rPr>
          <w:rFonts w:ascii="Times New Roman" w:hAnsi="Times New Roman" w:cs="Times New Roman"/>
        </w:rPr>
        <w:t>3</w:t>
      </w:r>
      <w:r>
        <w:rPr>
          <w:rFonts w:ascii="Times New Roman" w:hAnsi="Times New Roman" w:cs="Times New Roman" w:hint="eastAsia"/>
        </w:rPr>
        <w:t>年中期不进行利润分配或资本公积金转增股本。</w:t>
      </w:r>
    </w:p>
    <w:p w:rsidR="00AD5BB5" w:rsidRDefault="00F87FF6">
      <w:pPr>
        <w:spacing w:line="360" w:lineRule="auto"/>
        <w:outlineLvl w:val="1"/>
        <w:rPr>
          <w:b/>
          <w:color w:val="FF0000"/>
        </w:rPr>
      </w:pPr>
      <w:bookmarkStart w:id="33" w:name="_Toc76129970"/>
      <w:r>
        <w:rPr>
          <w:rFonts w:hint="eastAsia"/>
          <w:b/>
        </w:rPr>
        <w:t>五、公司员工情况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1"/>
        <w:gridCol w:w="4152"/>
      </w:tblGrid>
      <w:tr w:rsidR="00AD5BB5">
        <w:trPr>
          <w:trHeight w:val="120"/>
        </w:trPr>
        <w:tc>
          <w:tcPr>
            <w:tcW w:w="2500"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母公司在职员工的数量</w:t>
            </w:r>
          </w:p>
        </w:tc>
        <w:tc>
          <w:tcPr>
            <w:tcW w:w="2500"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3</w:t>
            </w:r>
            <w:r>
              <w:rPr>
                <w:rFonts w:ascii="Times New Roman" w:hAnsi="Times New Roman" w:cs="Times New Roman"/>
                <w:kern w:val="0"/>
                <w:szCs w:val="21"/>
              </w:rPr>
              <w:t>,</w:t>
            </w:r>
            <w:r>
              <w:rPr>
                <w:rFonts w:ascii="Times New Roman" w:hAnsi="Times New Roman" w:cs="Times New Roman" w:hint="eastAsia"/>
                <w:kern w:val="0"/>
                <w:szCs w:val="21"/>
              </w:rPr>
              <w:t>6</w:t>
            </w:r>
            <w:r>
              <w:rPr>
                <w:rFonts w:ascii="Times New Roman" w:hAnsi="Times New Roman" w:cs="Times New Roman"/>
                <w:kern w:val="0"/>
                <w:szCs w:val="21"/>
              </w:rPr>
              <w:t>16</w:t>
            </w:r>
          </w:p>
        </w:tc>
      </w:tr>
      <w:tr w:rsidR="00AD5BB5">
        <w:trPr>
          <w:trHeight w:val="195"/>
        </w:trPr>
        <w:tc>
          <w:tcPr>
            <w:tcW w:w="2500"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主要子公司在职员工的数量</w:t>
            </w:r>
          </w:p>
        </w:tc>
        <w:tc>
          <w:tcPr>
            <w:tcW w:w="2500"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80</w:t>
            </w:r>
          </w:p>
        </w:tc>
      </w:tr>
      <w:tr w:rsidR="00AD5BB5">
        <w:trPr>
          <w:trHeight w:val="116"/>
        </w:trPr>
        <w:tc>
          <w:tcPr>
            <w:tcW w:w="2500"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在职员工的数量合计</w:t>
            </w:r>
          </w:p>
        </w:tc>
        <w:tc>
          <w:tcPr>
            <w:tcW w:w="2500"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3</w:t>
            </w:r>
            <w:r>
              <w:rPr>
                <w:rFonts w:ascii="Times New Roman" w:hAnsi="Times New Roman" w:cs="Times New Roman"/>
                <w:kern w:val="0"/>
                <w:szCs w:val="21"/>
              </w:rPr>
              <w:t>,</w:t>
            </w:r>
            <w:r>
              <w:rPr>
                <w:rFonts w:ascii="Times New Roman" w:hAnsi="Times New Roman" w:cs="Times New Roman" w:hint="eastAsia"/>
                <w:kern w:val="0"/>
                <w:szCs w:val="21"/>
              </w:rPr>
              <w:t>696</w:t>
            </w:r>
          </w:p>
        </w:tc>
      </w:tr>
      <w:tr w:rsidR="00AD5BB5">
        <w:trPr>
          <w:trHeight w:val="116"/>
        </w:trPr>
        <w:tc>
          <w:tcPr>
            <w:tcW w:w="2500"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母公司及主要子公司需承担费用的离退休职工人数</w:t>
            </w:r>
          </w:p>
        </w:tc>
        <w:tc>
          <w:tcPr>
            <w:tcW w:w="2500"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0</w:t>
            </w:r>
          </w:p>
        </w:tc>
      </w:tr>
      <w:tr w:rsidR="00AD5BB5">
        <w:trPr>
          <w:trHeight w:val="101"/>
        </w:trPr>
        <w:tc>
          <w:tcPr>
            <w:tcW w:w="5000" w:type="pct"/>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专业构成</w:t>
            </w:r>
          </w:p>
        </w:tc>
      </w:tr>
      <w:tr w:rsidR="00AD5BB5">
        <w:trPr>
          <w:trHeight w:val="150"/>
        </w:trPr>
        <w:tc>
          <w:tcPr>
            <w:tcW w:w="2500"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t>专业</w:t>
            </w:r>
            <w:r>
              <w:rPr>
                <w:rFonts w:ascii="Times New Roman" w:hAnsi="Times New Roman" w:cs="Times New Roman"/>
                <w:kern w:val="0"/>
                <w:szCs w:val="21"/>
              </w:rPr>
              <w:t>构成类别</w:t>
            </w:r>
          </w:p>
        </w:tc>
        <w:tc>
          <w:tcPr>
            <w:tcW w:w="2500"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专业构成人数</w:t>
            </w:r>
          </w:p>
        </w:tc>
      </w:tr>
      <w:tr w:rsidR="00AD5BB5">
        <w:trPr>
          <w:trHeight w:val="150"/>
        </w:trPr>
        <w:tc>
          <w:tcPr>
            <w:tcW w:w="2500"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管理人员</w:t>
            </w:r>
          </w:p>
        </w:tc>
        <w:tc>
          <w:tcPr>
            <w:tcW w:w="2500"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center"/>
              <w:rPr>
                <w:rFonts w:ascii="Times New Roman" w:hAnsi="Times New Roman" w:cs="Times New Roman"/>
                <w:szCs w:val="21"/>
              </w:rPr>
            </w:pPr>
            <w:r>
              <w:rPr>
                <w:rFonts w:ascii="Times New Roman" w:hAnsi="Times New Roman" w:cs="Times New Roman"/>
                <w:sz w:val="20"/>
              </w:rPr>
              <w:t>750</w:t>
            </w:r>
          </w:p>
        </w:tc>
      </w:tr>
      <w:tr w:rsidR="00AD5BB5">
        <w:trPr>
          <w:trHeight w:val="150"/>
        </w:trPr>
        <w:tc>
          <w:tcPr>
            <w:tcW w:w="2500"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业务人员</w:t>
            </w:r>
          </w:p>
        </w:tc>
        <w:tc>
          <w:tcPr>
            <w:tcW w:w="2500"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center"/>
              <w:rPr>
                <w:rFonts w:ascii="Times New Roman" w:hAnsi="Times New Roman" w:cs="Times New Roman"/>
                <w:szCs w:val="21"/>
              </w:rPr>
            </w:pPr>
            <w:r>
              <w:rPr>
                <w:rFonts w:ascii="Times New Roman" w:hAnsi="Times New Roman" w:cs="Times New Roman"/>
                <w:sz w:val="20"/>
              </w:rPr>
              <w:t>1,542</w:t>
            </w:r>
          </w:p>
        </w:tc>
      </w:tr>
      <w:tr w:rsidR="00AD5BB5">
        <w:trPr>
          <w:trHeight w:val="101"/>
        </w:trPr>
        <w:tc>
          <w:tcPr>
            <w:tcW w:w="2500"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行政人员</w:t>
            </w:r>
          </w:p>
        </w:tc>
        <w:tc>
          <w:tcPr>
            <w:tcW w:w="2500"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center"/>
              <w:rPr>
                <w:rFonts w:ascii="Times New Roman" w:hAnsi="Times New Roman" w:cs="Times New Roman"/>
                <w:szCs w:val="21"/>
              </w:rPr>
            </w:pPr>
            <w:r>
              <w:rPr>
                <w:rFonts w:ascii="Times New Roman" w:hAnsi="Times New Roman" w:cs="Times New Roman"/>
                <w:sz w:val="20"/>
              </w:rPr>
              <w:t>1,404</w:t>
            </w:r>
          </w:p>
        </w:tc>
      </w:tr>
      <w:tr w:rsidR="00AD5BB5">
        <w:trPr>
          <w:trHeight w:val="146"/>
        </w:trPr>
        <w:tc>
          <w:tcPr>
            <w:tcW w:w="250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合计</w:t>
            </w:r>
          </w:p>
        </w:tc>
        <w:tc>
          <w:tcPr>
            <w:tcW w:w="2500"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center"/>
              <w:rPr>
                <w:rFonts w:ascii="Times New Roman" w:hAnsi="Times New Roman" w:cs="Times New Roman"/>
                <w:szCs w:val="21"/>
              </w:rPr>
            </w:pPr>
            <w:r>
              <w:rPr>
                <w:rFonts w:ascii="Times New Roman" w:hAnsi="Times New Roman" w:cs="Times New Roman"/>
                <w:sz w:val="20"/>
              </w:rPr>
              <w:t>3,696</w:t>
            </w:r>
          </w:p>
        </w:tc>
      </w:tr>
      <w:tr w:rsidR="00AD5BB5">
        <w:trPr>
          <w:trHeight w:val="101"/>
        </w:trPr>
        <w:tc>
          <w:tcPr>
            <w:tcW w:w="5000" w:type="pct"/>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教育程度</w:t>
            </w:r>
          </w:p>
        </w:tc>
      </w:tr>
      <w:tr w:rsidR="00AD5BB5">
        <w:trPr>
          <w:trHeight w:val="116"/>
        </w:trPr>
        <w:tc>
          <w:tcPr>
            <w:tcW w:w="2500"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s="Times New Roman"/>
                <w:kern w:val="0"/>
                <w:szCs w:val="21"/>
              </w:rPr>
            </w:pPr>
            <w:r>
              <w:rPr>
                <w:rFonts w:ascii="Times New Roman" w:hAnsi="Times New Roman" w:cs="Times New Roman" w:hint="eastAsia"/>
                <w:kern w:val="0"/>
                <w:szCs w:val="21"/>
              </w:rPr>
              <w:lastRenderedPageBreak/>
              <w:t>教育程度</w:t>
            </w:r>
            <w:r>
              <w:rPr>
                <w:rFonts w:ascii="Times New Roman" w:hAnsi="Times New Roman" w:cs="Times New Roman"/>
                <w:kern w:val="0"/>
                <w:szCs w:val="21"/>
              </w:rPr>
              <w:t>类别</w:t>
            </w:r>
          </w:p>
        </w:tc>
        <w:tc>
          <w:tcPr>
            <w:tcW w:w="2500"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数量（人）</w:t>
            </w:r>
          </w:p>
        </w:tc>
      </w:tr>
      <w:tr w:rsidR="00AD5BB5">
        <w:trPr>
          <w:trHeight w:val="131"/>
        </w:trPr>
        <w:tc>
          <w:tcPr>
            <w:tcW w:w="2500"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研究生或以上学历</w:t>
            </w:r>
          </w:p>
        </w:tc>
        <w:tc>
          <w:tcPr>
            <w:tcW w:w="2500"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center"/>
              <w:rPr>
                <w:rFonts w:ascii="Times New Roman" w:hAnsi="Times New Roman" w:cs="Times New Roman"/>
                <w:szCs w:val="21"/>
              </w:rPr>
            </w:pPr>
            <w:r>
              <w:rPr>
                <w:rFonts w:ascii="Times New Roman" w:hAnsi="Times New Roman" w:cs="Times New Roman"/>
                <w:sz w:val="20"/>
              </w:rPr>
              <w:t>478</w:t>
            </w:r>
          </w:p>
        </w:tc>
      </w:tr>
      <w:tr w:rsidR="00AD5BB5">
        <w:trPr>
          <w:trHeight w:val="131"/>
        </w:trPr>
        <w:tc>
          <w:tcPr>
            <w:tcW w:w="2500"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本科</w:t>
            </w:r>
          </w:p>
        </w:tc>
        <w:tc>
          <w:tcPr>
            <w:tcW w:w="2500"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center"/>
              <w:rPr>
                <w:rFonts w:ascii="Times New Roman" w:hAnsi="Times New Roman" w:cs="Times New Roman"/>
                <w:szCs w:val="21"/>
              </w:rPr>
            </w:pPr>
            <w:r>
              <w:rPr>
                <w:rFonts w:ascii="Times New Roman" w:hAnsi="Times New Roman" w:cs="Times New Roman"/>
                <w:sz w:val="20"/>
              </w:rPr>
              <w:t>3,018</w:t>
            </w:r>
          </w:p>
        </w:tc>
      </w:tr>
      <w:tr w:rsidR="00AD5BB5">
        <w:trPr>
          <w:trHeight w:val="131"/>
        </w:trPr>
        <w:tc>
          <w:tcPr>
            <w:tcW w:w="2500"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专科及以下</w:t>
            </w:r>
          </w:p>
        </w:tc>
        <w:tc>
          <w:tcPr>
            <w:tcW w:w="2500"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center"/>
              <w:rPr>
                <w:rFonts w:ascii="Times New Roman" w:hAnsi="Times New Roman" w:cs="Times New Roman"/>
                <w:szCs w:val="21"/>
              </w:rPr>
            </w:pPr>
            <w:r>
              <w:rPr>
                <w:rFonts w:ascii="Times New Roman" w:hAnsi="Times New Roman" w:cs="Times New Roman"/>
                <w:sz w:val="20"/>
              </w:rPr>
              <w:t>200</w:t>
            </w:r>
          </w:p>
        </w:tc>
      </w:tr>
      <w:tr w:rsidR="00AD5BB5">
        <w:trPr>
          <w:trHeight w:val="165"/>
        </w:trPr>
        <w:tc>
          <w:tcPr>
            <w:tcW w:w="2500"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kern w:val="0"/>
                <w:szCs w:val="21"/>
              </w:rPr>
            </w:pPr>
            <w:r>
              <w:rPr>
                <w:rFonts w:ascii="Times New Roman" w:hAnsi="Times New Roman" w:cs="Times New Roman"/>
                <w:kern w:val="0"/>
                <w:szCs w:val="21"/>
              </w:rPr>
              <w:t>合计</w:t>
            </w:r>
          </w:p>
        </w:tc>
        <w:tc>
          <w:tcPr>
            <w:tcW w:w="2500" w:type="pct"/>
            <w:tcBorders>
              <w:top w:val="single" w:sz="4" w:space="0" w:color="auto"/>
              <w:left w:val="single" w:sz="4" w:space="0" w:color="auto"/>
              <w:bottom w:val="single" w:sz="4" w:space="0" w:color="auto"/>
              <w:right w:val="single" w:sz="4" w:space="0" w:color="auto"/>
              <w:tl2br w:val="nil"/>
              <w:tr2bl w:val="nil"/>
            </w:tcBorders>
            <w:vAlign w:val="bottom"/>
          </w:tcPr>
          <w:p w:rsidR="00AD5BB5" w:rsidRDefault="00F87FF6">
            <w:pPr>
              <w:jc w:val="center"/>
              <w:rPr>
                <w:rFonts w:ascii="Times New Roman" w:hAnsi="Times New Roman" w:cs="Times New Roman"/>
                <w:szCs w:val="21"/>
              </w:rPr>
            </w:pPr>
            <w:r>
              <w:rPr>
                <w:rFonts w:ascii="Times New Roman" w:hAnsi="Times New Roman" w:cs="Times New Roman"/>
                <w:sz w:val="20"/>
              </w:rPr>
              <w:t>3,696</w:t>
            </w:r>
          </w:p>
        </w:tc>
      </w:tr>
    </w:tbl>
    <w:p w:rsidR="00AD5BB5" w:rsidRDefault="00F87FF6">
      <w:pPr>
        <w:spacing w:line="360" w:lineRule="auto"/>
        <w:rPr>
          <w:rFonts w:ascii="Times New Roman" w:hAnsi="Times New Roman" w:cs="Times New Roman"/>
        </w:rPr>
      </w:pPr>
      <w:r>
        <w:rPr>
          <w:rFonts w:ascii="Times New Roman" w:hAnsi="Times New Roman" w:cs="Times New Roman" w:hint="eastAsia"/>
        </w:rPr>
        <w:t>备注：另有劳务派遣人员</w:t>
      </w:r>
      <w:r>
        <w:rPr>
          <w:rFonts w:ascii="Times New Roman" w:hAnsi="Times New Roman" w:cs="Times New Roman"/>
        </w:rPr>
        <w:t>59</w:t>
      </w:r>
      <w:r>
        <w:rPr>
          <w:rFonts w:ascii="Times New Roman" w:hAnsi="Times New Roman" w:cs="Times New Roman" w:hint="eastAsia"/>
        </w:rPr>
        <w:t>人。</w:t>
      </w:r>
    </w:p>
    <w:p w:rsidR="00AD5BB5" w:rsidRDefault="00F87FF6">
      <w:pPr>
        <w:widowControl/>
        <w:jc w:val="left"/>
        <w:rPr>
          <w:rFonts w:ascii="Times New Roman" w:hAnsi="Times New Roman" w:cs="Times New Roman"/>
        </w:rPr>
      </w:pPr>
      <w:r>
        <w:rPr>
          <w:rFonts w:ascii="Times New Roman" w:hAnsi="Times New Roman" w:cs="Times New Roman"/>
        </w:rPr>
        <w:br w:type="page"/>
      </w:r>
    </w:p>
    <w:p w:rsidR="00AD5BB5" w:rsidRDefault="00F87FF6">
      <w:pPr>
        <w:pStyle w:val="1"/>
        <w:ind w:left="2835"/>
        <w:jc w:val="both"/>
        <w:rPr>
          <w:rFonts w:ascii="黑体" w:hAnsi="黑体"/>
        </w:rPr>
      </w:pPr>
      <w:bookmarkStart w:id="34" w:name="_Toc79665921"/>
      <w:r>
        <w:rPr>
          <w:rFonts w:ascii="黑体" w:hAnsi="黑体" w:hint="eastAsia"/>
        </w:rPr>
        <w:lastRenderedPageBreak/>
        <w:t>第五节 环境与社会责任</w:t>
      </w:r>
      <w:bookmarkEnd w:id="33"/>
      <w:bookmarkEnd w:id="34"/>
    </w:p>
    <w:p w:rsidR="00AD5BB5" w:rsidRDefault="00F87FF6">
      <w:pPr>
        <w:pStyle w:val="2"/>
        <w:numPr>
          <w:ilvl w:val="0"/>
          <w:numId w:val="24"/>
        </w:numPr>
        <w:spacing w:line="360" w:lineRule="auto"/>
        <w:rPr>
          <w:rFonts w:ascii="宋体" w:hAnsi="宋体"/>
          <w:color w:val="000000" w:themeColor="text1"/>
        </w:rPr>
      </w:pPr>
      <w:r>
        <w:rPr>
          <w:rFonts w:ascii="宋体" w:hAnsi="宋体" w:hint="eastAsia"/>
          <w:color w:val="000000" w:themeColor="text1"/>
        </w:rPr>
        <w:t>环境信息情况</w:t>
      </w:r>
    </w:p>
    <w:p w:rsidR="00AD5BB5" w:rsidRDefault="00F87FF6">
      <w:pPr>
        <w:spacing w:line="360" w:lineRule="auto"/>
        <w:ind w:firstLineChars="200" w:firstLine="420"/>
        <w:rPr>
          <w:rFonts w:ascii="宋体" w:hAnsi="宋体" w:cs="宋体"/>
          <w:color w:val="000000" w:themeColor="text1"/>
        </w:rPr>
      </w:pPr>
      <w:r>
        <w:rPr>
          <w:rFonts w:hint="eastAsia"/>
          <w:color w:val="000000" w:themeColor="text1"/>
        </w:rPr>
        <w:t>本公司不属于环境保护部门公布的重点排污单位。报告期内，公司不存在因环境问题受到行政处罚的情况。本公司积极响应国家发展绿色金融、保护生态的号召，</w:t>
      </w:r>
      <w:proofErr w:type="gramStart"/>
      <w:r>
        <w:rPr>
          <w:rFonts w:hint="eastAsia"/>
          <w:color w:val="000000" w:themeColor="text1"/>
        </w:rPr>
        <w:t>践行</w:t>
      </w:r>
      <w:proofErr w:type="gramEnd"/>
      <w:r>
        <w:rPr>
          <w:rFonts w:hint="eastAsia"/>
          <w:color w:val="000000" w:themeColor="text1"/>
        </w:rPr>
        <w:t>“碳达峰、碳中和”国家战略下的机构责任，从全行战略的高度将绿色发展的理念融</w:t>
      </w:r>
      <w:r>
        <w:rPr>
          <w:rFonts w:ascii="Microsoft JhengHei" w:eastAsia="Microsoft JhengHei" w:hAnsi="Microsoft JhengHei" w:cs="Microsoft JhengHei" w:hint="eastAsia"/>
          <w:color w:val="000000" w:themeColor="text1"/>
        </w:rPr>
        <w:t>⼊</w:t>
      </w:r>
      <w:r>
        <w:rPr>
          <w:rFonts w:ascii="宋体" w:hAnsi="宋体" w:cs="宋体" w:hint="eastAsia"/>
          <w:color w:val="000000" w:themeColor="text1"/>
        </w:rPr>
        <w:t>决策和业务经营中，运用绿色信贷指引、创新研发信贷产品、规范绿色信贷业务授信审批流程等措施，支持发展绿色经济、低碳经济、循环经济，充分发挥金融对环境治理和社会发展的资源配置作用，助力绿色发展，共建和谐生态环境与绿色美好家园。</w:t>
      </w:r>
    </w:p>
    <w:p w:rsidR="00AD5BB5" w:rsidRDefault="00F87FF6">
      <w:pPr>
        <w:spacing w:line="360" w:lineRule="auto"/>
        <w:ind w:firstLineChars="200" w:firstLine="420"/>
        <w:rPr>
          <w:color w:val="000000" w:themeColor="text1"/>
        </w:rPr>
      </w:pPr>
      <w:r>
        <w:rPr>
          <w:rFonts w:ascii="宋体" w:hAnsi="宋体" w:cs="宋体"/>
          <w:color w:val="000000" w:themeColor="text1"/>
        </w:rPr>
        <w:t>（一）</w:t>
      </w:r>
      <w:proofErr w:type="gramStart"/>
      <w:r>
        <w:rPr>
          <w:rFonts w:ascii="宋体" w:hAnsi="宋体" w:cs="宋体"/>
          <w:color w:val="000000" w:themeColor="text1"/>
        </w:rPr>
        <w:t>践行</w:t>
      </w:r>
      <w:proofErr w:type="gramEnd"/>
      <w:r>
        <w:rPr>
          <w:rFonts w:ascii="宋体" w:hAnsi="宋体" w:cs="宋体"/>
          <w:color w:val="000000" w:themeColor="text1"/>
        </w:rPr>
        <w:t>绿色运营</w:t>
      </w:r>
    </w:p>
    <w:p w:rsidR="00AD5BB5" w:rsidRDefault="00F87FF6">
      <w:pPr>
        <w:spacing w:line="360" w:lineRule="auto"/>
        <w:ind w:firstLineChars="200" w:firstLine="420"/>
        <w:rPr>
          <w:color w:val="000000" w:themeColor="text1"/>
        </w:rPr>
      </w:pPr>
      <w:r>
        <w:rPr>
          <w:rFonts w:hint="eastAsia"/>
          <w:color w:val="000000" w:themeColor="text1"/>
        </w:rPr>
        <w:t>本公司以绿色发展理念引领自身经营行为，贯彻落实国家相关政策要求，大力推进节能减排，持续主动减少对环境所产生的资源和能源消耗。（</w:t>
      </w:r>
      <w:r>
        <w:rPr>
          <w:color w:val="000000" w:themeColor="text1"/>
        </w:rPr>
        <w:t>1</w:t>
      </w:r>
      <w:r>
        <w:rPr>
          <w:rFonts w:hint="eastAsia"/>
          <w:color w:val="000000" w:themeColor="text1"/>
        </w:rPr>
        <w:t>）在绿色办公上，节约使用办公耗材，推进无纸化、电子化办公，增强办公用品管理，倡导绿色出行；（</w:t>
      </w:r>
      <w:r>
        <w:rPr>
          <w:color w:val="000000" w:themeColor="text1"/>
        </w:rPr>
        <w:t>2</w:t>
      </w:r>
      <w:r>
        <w:rPr>
          <w:rFonts w:hint="eastAsia"/>
          <w:color w:val="000000" w:themeColor="text1"/>
        </w:rPr>
        <w:t>）在绿色用能上，养成员工节约用能用水用电的行为习惯；（</w:t>
      </w:r>
      <w:r>
        <w:rPr>
          <w:color w:val="000000" w:themeColor="text1"/>
        </w:rPr>
        <w:t>3</w:t>
      </w:r>
      <w:r>
        <w:rPr>
          <w:rFonts w:hint="eastAsia"/>
          <w:color w:val="000000" w:themeColor="text1"/>
        </w:rPr>
        <w:t>）在绿色采购上，优先采购高效、节能、节水或有环保标志，符合绿色低碳标准的产品，不采购国家明令禁止使用的高耗能设备或产品；（</w:t>
      </w:r>
      <w:r>
        <w:rPr>
          <w:color w:val="000000" w:themeColor="text1"/>
        </w:rPr>
        <w:t>4</w:t>
      </w:r>
      <w:r>
        <w:rPr>
          <w:rFonts w:hint="eastAsia"/>
          <w:color w:val="000000" w:themeColor="text1"/>
        </w:rPr>
        <w:t>）在绿色基建上，使用节能环保的新技术、新材料，重视既有建筑的节能改造，努力降低建筑能耗，打造绿色节能型企业。同时建立可量化的绿色办公考核标准，渐进有序地减少</w:t>
      </w:r>
      <w:r>
        <w:rPr>
          <w:color w:val="000000" w:themeColor="text1"/>
        </w:rPr>
        <w:t>本</w:t>
      </w:r>
      <w:r>
        <w:rPr>
          <w:rFonts w:hint="eastAsia"/>
          <w:color w:val="000000" w:themeColor="text1"/>
        </w:rPr>
        <w:t>行碳足迹，加强</w:t>
      </w:r>
      <w:r>
        <w:rPr>
          <w:color w:val="000000" w:themeColor="text1"/>
        </w:rPr>
        <w:t>ESG</w:t>
      </w:r>
      <w:r>
        <w:rPr>
          <w:rFonts w:hint="eastAsia"/>
          <w:color w:val="000000" w:themeColor="text1"/>
        </w:rPr>
        <w:t>理念宣传教育，进一步</w:t>
      </w:r>
      <w:proofErr w:type="gramStart"/>
      <w:r>
        <w:rPr>
          <w:rFonts w:hint="eastAsia"/>
          <w:color w:val="000000" w:themeColor="text1"/>
        </w:rPr>
        <w:t>践行双碳战略</w:t>
      </w:r>
      <w:proofErr w:type="gramEnd"/>
      <w:r>
        <w:rPr>
          <w:rFonts w:hint="eastAsia"/>
          <w:color w:val="000000" w:themeColor="text1"/>
        </w:rPr>
        <w:t>目标。</w:t>
      </w:r>
    </w:p>
    <w:p w:rsidR="00AD5BB5" w:rsidRDefault="00F87FF6">
      <w:pPr>
        <w:spacing w:line="360" w:lineRule="auto"/>
        <w:ind w:firstLineChars="200" w:firstLine="420"/>
        <w:rPr>
          <w:color w:val="000000" w:themeColor="text1"/>
        </w:rPr>
      </w:pPr>
      <w:r>
        <w:rPr>
          <w:color w:val="000000" w:themeColor="text1"/>
        </w:rPr>
        <w:t>（二）发展绿色金融</w:t>
      </w:r>
    </w:p>
    <w:p w:rsidR="00AD5BB5" w:rsidRDefault="00F87FF6">
      <w:pPr>
        <w:widowControl/>
        <w:spacing w:line="360" w:lineRule="auto"/>
        <w:ind w:firstLineChars="200" w:firstLine="420"/>
        <w:jc w:val="left"/>
        <w:rPr>
          <w:color w:val="000000" w:themeColor="text1"/>
        </w:rPr>
      </w:pPr>
      <w:r>
        <w:rPr>
          <w:rFonts w:hint="eastAsia"/>
          <w:color w:val="000000" w:themeColor="text1"/>
        </w:rPr>
        <w:t>本公司积极响应国家发展绿色金融、保护生态的号召，将绿色发展理念融入自身发展战略与经营活动中，持续推进绿色金融建设，支持发展绿色经济、低碳经济、循环经济。报告期内，本公司建立健全有利于绿色金融发展的长效机制，出台并加快落实《厦门银行股份有限公司绿色金融工作方案》，通过同业交流、人员培训、指标考核等措施，加大绿色信贷、绿色债券、</w:t>
      </w:r>
      <w:proofErr w:type="gramStart"/>
      <w:r>
        <w:rPr>
          <w:rFonts w:hint="eastAsia"/>
          <w:color w:val="000000" w:themeColor="text1"/>
        </w:rPr>
        <w:t>碳减排支持</w:t>
      </w:r>
      <w:proofErr w:type="gramEnd"/>
      <w:r>
        <w:rPr>
          <w:rFonts w:hint="eastAsia"/>
          <w:color w:val="000000" w:themeColor="text1"/>
        </w:rPr>
        <w:t>工具等多元化金融服务力度。</w:t>
      </w:r>
    </w:p>
    <w:p w:rsidR="00AD5BB5" w:rsidRDefault="00F87FF6">
      <w:pPr>
        <w:spacing w:line="360" w:lineRule="auto"/>
        <w:ind w:firstLineChars="200" w:firstLine="420"/>
        <w:rPr>
          <w:rFonts w:ascii="Times New Roman" w:hAnsi="Times New Roman" w:cs="Times New Roman"/>
        </w:rPr>
      </w:pPr>
      <w:r>
        <w:rPr>
          <w:rFonts w:ascii="Times New Roman" w:hAnsi="Times New Roman" w:cs="Times New Roman" w:hint="eastAsia"/>
          <w:color w:val="000000" w:themeColor="text1"/>
        </w:rPr>
        <w:t>截至报告期末，本公司绿色信贷余额（人行口径）</w:t>
      </w:r>
      <w:r>
        <w:rPr>
          <w:rFonts w:ascii="Times New Roman" w:hAnsi="Times New Roman" w:cs="Times New Roman"/>
          <w:color w:val="000000" w:themeColor="text1"/>
        </w:rPr>
        <w:t>59.73</w:t>
      </w:r>
      <w:r>
        <w:rPr>
          <w:rFonts w:ascii="Times New Roman" w:hAnsi="Times New Roman" w:cs="Times New Roman" w:hint="eastAsia"/>
          <w:color w:val="000000" w:themeColor="text1"/>
        </w:rPr>
        <w:t>亿元，较年初增幅</w:t>
      </w:r>
      <w:r>
        <w:rPr>
          <w:rFonts w:ascii="Times New Roman" w:hAnsi="Times New Roman" w:cs="Times New Roman"/>
          <w:color w:val="000000" w:themeColor="text1"/>
        </w:rPr>
        <w:t>44.59%</w:t>
      </w:r>
      <w:r>
        <w:rPr>
          <w:rFonts w:ascii="Times New Roman" w:hAnsi="Times New Roman" w:cs="Times New Roman" w:hint="eastAsia"/>
          <w:color w:val="000000" w:themeColor="text1"/>
        </w:rPr>
        <w:t>。本公司已累计申请</w:t>
      </w:r>
      <w:proofErr w:type="gramStart"/>
      <w:r>
        <w:rPr>
          <w:rFonts w:ascii="Times New Roman" w:hAnsi="Times New Roman" w:cs="Times New Roman" w:hint="eastAsia"/>
          <w:color w:val="000000" w:themeColor="text1"/>
        </w:rPr>
        <w:t>碳减排支持</w:t>
      </w:r>
      <w:proofErr w:type="gramEnd"/>
      <w:r>
        <w:rPr>
          <w:rFonts w:ascii="Times New Roman" w:hAnsi="Times New Roman" w:cs="Times New Roman" w:hint="eastAsia"/>
          <w:color w:val="000000" w:themeColor="text1"/>
        </w:rPr>
        <w:t>工具</w:t>
      </w:r>
      <w:r>
        <w:rPr>
          <w:rFonts w:ascii="Times New Roman" w:hAnsi="Times New Roman" w:cs="Times New Roman"/>
          <w:color w:val="000000" w:themeColor="text1"/>
        </w:rPr>
        <w:t>6,383.61</w:t>
      </w:r>
      <w:r>
        <w:rPr>
          <w:rFonts w:ascii="Times New Roman" w:hAnsi="Times New Roman" w:cs="Times New Roman" w:hint="eastAsia"/>
          <w:color w:val="000000" w:themeColor="text1"/>
        </w:rPr>
        <w:t>万元，</w:t>
      </w:r>
      <w:proofErr w:type="gramStart"/>
      <w:r>
        <w:rPr>
          <w:rFonts w:ascii="Times New Roman" w:hAnsi="Times New Roman" w:cs="Times New Roman" w:hint="eastAsia"/>
          <w:color w:val="000000" w:themeColor="text1"/>
        </w:rPr>
        <w:t>实现碳减排</w:t>
      </w:r>
      <w:proofErr w:type="gramEnd"/>
      <w:r>
        <w:rPr>
          <w:rFonts w:ascii="Times New Roman" w:hAnsi="Times New Roman" w:cs="Times New Roman"/>
          <w:color w:val="000000" w:themeColor="text1"/>
        </w:rPr>
        <w:t>11,273.75</w:t>
      </w:r>
      <w:r>
        <w:rPr>
          <w:rFonts w:ascii="Times New Roman" w:hAnsi="Times New Roman" w:cs="Times New Roman" w:hint="eastAsia"/>
          <w:color w:val="000000" w:themeColor="text1"/>
        </w:rPr>
        <w:t>吨，成为福建省</w:t>
      </w:r>
      <w:proofErr w:type="gramStart"/>
      <w:r>
        <w:rPr>
          <w:rFonts w:ascii="Times New Roman" w:hAnsi="Times New Roman" w:cs="Times New Roman" w:hint="eastAsia"/>
          <w:color w:val="000000" w:themeColor="text1"/>
        </w:rPr>
        <w:t>内碳减排贷款</w:t>
      </w:r>
      <w:proofErr w:type="gramEnd"/>
      <w:r>
        <w:rPr>
          <w:rFonts w:ascii="Times New Roman" w:hAnsi="Times New Roman" w:cs="Times New Roman" w:hint="eastAsia"/>
          <w:color w:val="000000" w:themeColor="text1"/>
        </w:rPr>
        <w:t>投放金额和笔数双第一的地方法人金融机构。</w:t>
      </w:r>
    </w:p>
    <w:p w:rsidR="00AD5BB5" w:rsidRDefault="00F87FF6">
      <w:pPr>
        <w:pStyle w:val="2"/>
        <w:spacing w:line="360" w:lineRule="auto"/>
        <w:rPr>
          <w:rFonts w:ascii="宋体" w:hAnsi="宋体"/>
        </w:rPr>
      </w:pPr>
      <w:r>
        <w:rPr>
          <w:rFonts w:ascii="宋体" w:hAnsi="宋体" w:hint="eastAsia"/>
        </w:rPr>
        <w:t>二、巩固拓展脱贫攻坚成果、乡村振兴等工作具体情况</w:t>
      </w:r>
    </w:p>
    <w:p w:rsidR="00AD5BB5" w:rsidRDefault="00F87FF6">
      <w:pPr>
        <w:spacing w:line="360" w:lineRule="auto"/>
        <w:ind w:firstLineChars="200" w:firstLine="420"/>
        <w:rPr>
          <w:rFonts w:ascii="宋体" w:hAnsi="宋体" w:cs="微软雅黑"/>
          <w:szCs w:val="21"/>
        </w:rPr>
      </w:pPr>
      <w:r>
        <w:rPr>
          <w:rFonts w:ascii="宋体" w:hAnsi="宋体" w:cs="微软雅黑" w:hint="eastAsia"/>
          <w:kern w:val="0"/>
          <w:szCs w:val="21"/>
          <w:lang w:bidi="ar"/>
        </w:rPr>
        <w:t>报告期内，本公司</w:t>
      </w:r>
      <w:r>
        <w:rPr>
          <w:rFonts w:ascii="宋体" w:hAnsi="宋体" w:cs="微软雅黑" w:hint="eastAsia"/>
          <w:color w:val="333333"/>
          <w:szCs w:val="21"/>
        </w:rPr>
        <w:t>充分</w:t>
      </w:r>
      <w:r>
        <w:rPr>
          <w:rFonts w:ascii="宋体" w:hAnsi="宋体" w:cs="微软雅黑"/>
          <w:color w:val="333333"/>
          <w:szCs w:val="21"/>
        </w:rPr>
        <w:t>发挥金融精准服务功能，立足资源禀赋</w:t>
      </w:r>
      <w:r>
        <w:rPr>
          <w:rFonts w:ascii="宋体" w:hAnsi="宋体" w:cs="微软雅黑" w:hint="eastAsia"/>
          <w:color w:val="333333"/>
          <w:szCs w:val="21"/>
        </w:rPr>
        <w:t>，</w:t>
      </w:r>
      <w:r>
        <w:rPr>
          <w:rFonts w:ascii="宋体" w:hAnsi="宋体" w:cs="微软雅黑" w:hint="eastAsia"/>
          <w:kern w:val="0"/>
          <w:szCs w:val="21"/>
          <w:lang w:bidi="ar"/>
        </w:rPr>
        <w:t>做好新型农业经营主体、种业振兴、农业基础设施等乡村振兴重点领域金融服务，创新乡村振兴特色金融产品和服务，推动</w:t>
      </w:r>
      <w:r>
        <w:rPr>
          <w:rFonts w:ascii="宋体" w:hAnsi="宋体" w:cs="微软雅黑" w:hint="eastAsia"/>
          <w:szCs w:val="21"/>
        </w:rPr>
        <w:t>普惠</w:t>
      </w:r>
      <w:r>
        <w:rPr>
          <w:rFonts w:ascii="宋体" w:hAnsi="宋体" w:cs="微软雅黑" w:hint="eastAsia"/>
          <w:kern w:val="0"/>
          <w:szCs w:val="21"/>
          <w:lang w:bidi="ar"/>
        </w:rPr>
        <w:t>涉农贷款投放稳中有增。</w:t>
      </w:r>
      <w:r>
        <w:rPr>
          <w:rFonts w:ascii="宋体" w:hAnsi="宋体" w:cs="微软雅黑" w:hint="eastAsia"/>
          <w:szCs w:val="21"/>
        </w:rPr>
        <w:t>截至报告期末，本公司普惠涉农贷款余额35.16亿元，较年初增幅12.53%。</w:t>
      </w:r>
    </w:p>
    <w:p w:rsidR="00AD5BB5" w:rsidRDefault="00F87FF6">
      <w:pPr>
        <w:widowControl/>
        <w:spacing w:line="360" w:lineRule="auto"/>
        <w:ind w:firstLineChars="200" w:firstLine="422"/>
        <w:rPr>
          <w:rFonts w:ascii="宋体" w:hAnsi="宋体" w:cs="微软雅黑"/>
          <w:szCs w:val="21"/>
        </w:rPr>
      </w:pPr>
      <w:r>
        <w:rPr>
          <w:rFonts w:ascii="宋体" w:hAnsi="宋体" w:cs="微软雅黑" w:hint="eastAsia"/>
          <w:b/>
          <w:bCs/>
          <w:szCs w:val="21"/>
        </w:rPr>
        <w:t>着力推进新型农业经营主体金融服务。</w:t>
      </w:r>
      <w:r>
        <w:rPr>
          <w:rFonts w:ascii="宋体" w:hAnsi="宋体" w:cs="微软雅黑" w:hint="eastAsia"/>
          <w:szCs w:val="21"/>
        </w:rPr>
        <w:t>本公司制定《厦门银行股份有限公司提升新型农业经营主体金融服务质效行动方案（2023-2025年）》，进一步提升服务新型农业经营主体</w:t>
      </w:r>
      <w:r>
        <w:rPr>
          <w:rFonts w:ascii="宋体" w:hAnsi="宋体" w:cs="微软雅黑" w:hint="eastAsia"/>
          <w:szCs w:val="21"/>
        </w:rPr>
        <w:lastRenderedPageBreak/>
        <w:t>金融服务质效，支持新型农业经营主体高质量发展，助力农业农村现代化，推动乡村全面振兴。截至报告期末，本公司新型农业经营主体贷款余额超6.5亿元。</w:t>
      </w:r>
    </w:p>
    <w:p w:rsidR="00AD5BB5" w:rsidRDefault="00F87FF6">
      <w:pPr>
        <w:numPr>
          <w:ilvl w:val="255"/>
          <w:numId w:val="0"/>
        </w:numPr>
        <w:spacing w:line="360" w:lineRule="auto"/>
        <w:ind w:firstLineChars="200" w:firstLine="422"/>
        <w:rPr>
          <w:rFonts w:ascii="宋体" w:hAnsi="宋体" w:cs="微软雅黑"/>
          <w:szCs w:val="21"/>
        </w:rPr>
      </w:pPr>
      <w:r>
        <w:rPr>
          <w:rFonts w:ascii="宋体" w:hAnsi="宋体" w:cs="微软雅黑" w:hint="eastAsia"/>
          <w:b/>
          <w:bCs/>
          <w:szCs w:val="21"/>
        </w:rPr>
        <w:t>支农产品优化创新。</w:t>
      </w:r>
      <w:r>
        <w:rPr>
          <w:rFonts w:ascii="宋体" w:hAnsi="宋体" w:cs="微软雅黑" w:hint="eastAsia"/>
          <w:szCs w:val="21"/>
        </w:rPr>
        <w:t>本公司以“增信基金业务”为基础，加入“增信惠农贷”等应用场景，进一步贴合涉农企业的融资需求，丰富涉农企业贷款品种。本公司于去年9月份正式推出“台农贷”产品，该产品荣获福建省地方金融监管局等单位联合评选的“2022年福建省金融创新项目”，为台</w:t>
      </w:r>
      <w:proofErr w:type="gramStart"/>
      <w:r>
        <w:rPr>
          <w:rFonts w:ascii="宋体" w:hAnsi="宋体" w:cs="微软雅黑" w:hint="eastAsia"/>
          <w:szCs w:val="21"/>
        </w:rPr>
        <w:t>农企业</w:t>
      </w:r>
      <w:proofErr w:type="gramEnd"/>
      <w:r>
        <w:rPr>
          <w:rFonts w:ascii="宋体" w:hAnsi="宋体" w:cs="微软雅黑" w:hint="eastAsia"/>
          <w:szCs w:val="21"/>
        </w:rPr>
        <w:t>再添一道优质便捷的融资渠道。截至报告期末，本公司已累计落地台</w:t>
      </w:r>
      <w:proofErr w:type="gramStart"/>
      <w:r>
        <w:rPr>
          <w:rFonts w:ascii="宋体" w:hAnsi="宋体" w:cs="微软雅黑" w:hint="eastAsia"/>
          <w:szCs w:val="21"/>
        </w:rPr>
        <w:t>农授信户超</w:t>
      </w:r>
      <w:proofErr w:type="gramEnd"/>
      <w:r>
        <w:rPr>
          <w:rFonts w:ascii="宋体" w:hAnsi="宋体" w:cs="微软雅黑" w:hint="eastAsia"/>
          <w:szCs w:val="21"/>
        </w:rPr>
        <w:t>70户，贷款金额近3亿元。</w:t>
      </w:r>
    </w:p>
    <w:p w:rsidR="00AD5BB5" w:rsidRDefault="00F87FF6">
      <w:pPr>
        <w:spacing w:line="360" w:lineRule="auto"/>
        <w:ind w:firstLineChars="200" w:firstLine="422"/>
        <w:rPr>
          <w:rFonts w:ascii="宋体" w:hAnsi="宋体" w:cs="微软雅黑"/>
          <w:szCs w:val="21"/>
        </w:rPr>
      </w:pPr>
      <w:r>
        <w:rPr>
          <w:rFonts w:ascii="宋体" w:hAnsi="宋体" w:cs="微软雅黑" w:hint="eastAsia"/>
          <w:b/>
          <w:bCs/>
          <w:szCs w:val="21"/>
        </w:rPr>
        <w:t>积极对接信息平台。</w:t>
      </w:r>
      <w:r>
        <w:rPr>
          <w:rFonts w:ascii="宋体" w:hAnsi="宋体" w:cs="微软雅黑" w:hint="eastAsia"/>
          <w:szCs w:val="21"/>
        </w:rPr>
        <w:t>本公司主动作为，在当地监管部门的指导下，依托互联网和大数据技术，以“金服云”平台为切入点，累计向农业企业发放“乡村振兴贷”22笔，金额超8,000万元，有效缓解中小</w:t>
      </w:r>
      <w:proofErr w:type="gramStart"/>
      <w:r>
        <w:rPr>
          <w:rFonts w:ascii="宋体" w:hAnsi="宋体" w:cs="微软雅黑" w:hint="eastAsia"/>
          <w:szCs w:val="21"/>
        </w:rPr>
        <w:t>微农业</w:t>
      </w:r>
      <w:proofErr w:type="gramEnd"/>
      <w:r>
        <w:rPr>
          <w:rFonts w:ascii="宋体" w:hAnsi="宋体" w:cs="微软雅黑" w:hint="eastAsia"/>
          <w:szCs w:val="21"/>
        </w:rPr>
        <w:t>企业融资难、融资贵、融资慢等问题。</w:t>
      </w:r>
    </w:p>
    <w:p w:rsidR="00AD5BB5" w:rsidRDefault="00F87FF6">
      <w:pPr>
        <w:tabs>
          <w:tab w:val="left" w:pos="2660"/>
        </w:tabs>
        <w:spacing w:line="360" w:lineRule="auto"/>
        <w:rPr>
          <w:b/>
          <w:color w:val="FF0000"/>
        </w:rPr>
      </w:pPr>
      <w:r>
        <w:rPr>
          <w:b/>
        </w:rPr>
        <w:t>三、消费者权益保护</w:t>
      </w:r>
    </w:p>
    <w:p w:rsidR="00AD5BB5" w:rsidRDefault="00F87FF6">
      <w:pPr>
        <w:spacing w:line="360" w:lineRule="auto"/>
        <w:ind w:firstLineChars="200" w:firstLine="420"/>
        <w:rPr>
          <w:rFonts w:ascii="Times New Roman" w:hAnsi="Times New Roman"/>
        </w:rPr>
      </w:pPr>
      <w:bookmarkStart w:id="35" w:name="_Toc76129971"/>
      <w:r>
        <w:rPr>
          <w:rFonts w:ascii="Times New Roman" w:hAnsi="Times New Roman" w:hint="eastAsia"/>
        </w:rPr>
        <w:t>本公司严格遵循法律法规，落实监管机构对金融消费者权益保护的要求，积极推进消费者权益保护工作，依法维护消费者权益。</w:t>
      </w:r>
    </w:p>
    <w:p w:rsidR="00AD5BB5" w:rsidRDefault="00F87FF6">
      <w:pPr>
        <w:spacing w:line="360" w:lineRule="auto"/>
        <w:ind w:firstLineChars="200" w:firstLine="420"/>
        <w:rPr>
          <w:rFonts w:ascii="Times New Roman" w:hAnsi="Times New Roman"/>
        </w:rPr>
      </w:pPr>
      <w:r>
        <w:rPr>
          <w:rFonts w:ascii="Times New Roman" w:hAnsi="Times New Roman"/>
        </w:rPr>
        <w:t>1.</w:t>
      </w:r>
      <w:r>
        <w:rPr>
          <w:rFonts w:ascii="Times New Roman" w:hAnsi="Times New Roman" w:hint="eastAsia"/>
        </w:rPr>
        <w:t>健全管理体系</w:t>
      </w:r>
    </w:p>
    <w:p w:rsidR="00AD5BB5" w:rsidRDefault="00F87FF6">
      <w:pPr>
        <w:spacing w:line="360" w:lineRule="auto"/>
        <w:ind w:firstLineChars="200" w:firstLine="420"/>
        <w:rPr>
          <w:rFonts w:ascii="Times New Roman" w:hAnsi="Times New Roman"/>
        </w:rPr>
      </w:pPr>
      <w:r>
        <w:rPr>
          <w:rFonts w:ascii="Times New Roman" w:hAnsi="Times New Roman" w:hint="eastAsia"/>
        </w:rPr>
        <w:t>本公司董事会是本行消费者权益保护工作的最高决策机构，承担消费者权益保护工作的最终责任。董事会下设审计与消费者权益保护委员会，根据董事会授权开展相关工作，讨论决定相关事项，研究消费者权益保护重大问题和重要政策。高级管理</w:t>
      </w:r>
      <w:proofErr w:type="gramStart"/>
      <w:r>
        <w:rPr>
          <w:rFonts w:ascii="Times New Roman" w:hAnsi="Times New Roman" w:hint="eastAsia"/>
        </w:rPr>
        <w:t>层负责</w:t>
      </w:r>
      <w:proofErr w:type="gramEnd"/>
      <w:r>
        <w:rPr>
          <w:rFonts w:ascii="Times New Roman" w:hAnsi="Times New Roman" w:hint="eastAsia"/>
        </w:rPr>
        <w:t>落实董事会关于消费者权益保护工作的相关决议，制定、审查、统筹消费者权益保护工作计划、方案和任务。</w:t>
      </w:r>
    </w:p>
    <w:p w:rsidR="00AD5BB5" w:rsidRDefault="00F87FF6">
      <w:pPr>
        <w:spacing w:line="360" w:lineRule="auto"/>
      </w:pPr>
      <w:r>
        <w:rPr>
          <w:rFonts w:ascii="Times New Roman" w:hAnsi="Times New Roman" w:hint="eastAsia"/>
        </w:rPr>
        <w:t>监事会负责对董事会、高级管理</w:t>
      </w:r>
      <w:proofErr w:type="gramStart"/>
      <w:r>
        <w:rPr>
          <w:rFonts w:ascii="Times New Roman" w:hAnsi="Times New Roman" w:hint="eastAsia"/>
        </w:rPr>
        <w:t>层开展</w:t>
      </w:r>
      <w:proofErr w:type="gramEnd"/>
      <w:r>
        <w:rPr>
          <w:rFonts w:ascii="Times New Roman" w:hAnsi="Times New Roman" w:hint="eastAsia"/>
        </w:rPr>
        <w:t>消费者权益保护工作履职情况进行监督。</w:t>
      </w:r>
    </w:p>
    <w:p w:rsidR="00AD5BB5" w:rsidRDefault="00F87FF6">
      <w:pPr>
        <w:spacing w:line="360" w:lineRule="auto"/>
        <w:ind w:firstLineChars="200" w:firstLine="420"/>
      </w:pPr>
      <w:r>
        <w:rPr>
          <w:rFonts w:ascii="Times New Roman" w:hAnsi="Times New Roman" w:hint="eastAsia"/>
        </w:rPr>
        <w:t>本公司设立总行消费者权益保护工作领导小组，作为全行消费者权益保护工作常设机构，统一规划、统一部署消费者权益保护工作。</w:t>
      </w:r>
    </w:p>
    <w:p w:rsidR="00AD5BB5" w:rsidRDefault="00F87FF6">
      <w:pPr>
        <w:spacing w:line="360" w:lineRule="auto"/>
        <w:ind w:firstLineChars="200" w:firstLine="420"/>
        <w:rPr>
          <w:rFonts w:ascii="Times New Roman" w:hAnsi="Times New Roman"/>
        </w:rPr>
      </w:pPr>
      <w:r>
        <w:rPr>
          <w:rFonts w:ascii="Times New Roman" w:hAnsi="Times New Roman"/>
        </w:rPr>
        <w:t>2023</w:t>
      </w:r>
      <w:r>
        <w:rPr>
          <w:rFonts w:ascii="Times New Roman" w:hAnsi="Times New Roman" w:hint="eastAsia"/>
        </w:rPr>
        <w:t>年</w:t>
      </w:r>
      <w:r>
        <w:rPr>
          <w:rFonts w:ascii="Times New Roman" w:hAnsi="Times New Roman"/>
        </w:rPr>
        <w:t>3</w:t>
      </w:r>
      <w:r>
        <w:rPr>
          <w:rFonts w:ascii="Times New Roman" w:hAnsi="Times New Roman" w:hint="eastAsia"/>
        </w:rPr>
        <w:t>月，本公司高级管理层、董事会下设审计与消费者权益保护委员会、董事会依次审议并通过《</w:t>
      </w:r>
      <w:r>
        <w:rPr>
          <w:rFonts w:ascii="Times New Roman" w:hAnsi="Times New Roman"/>
        </w:rPr>
        <w:t>2022</w:t>
      </w:r>
      <w:r>
        <w:rPr>
          <w:rFonts w:ascii="Times New Roman" w:hAnsi="Times New Roman" w:hint="eastAsia"/>
        </w:rPr>
        <w:t>年消保工作总结》与《</w:t>
      </w:r>
      <w:r>
        <w:rPr>
          <w:rFonts w:ascii="Times New Roman" w:hAnsi="Times New Roman"/>
        </w:rPr>
        <w:t>2023</w:t>
      </w:r>
      <w:r>
        <w:rPr>
          <w:rFonts w:ascii="Times New Roman" w:hAnsi="Times New Roman" w:hint="eastAsia"/>
        </w:rPr>
        <w:t>年消保重点工作计划》。</w:t>
      </w:r>
      <w:r>
        <w:rPr>
          <w:rFonts w:ascii="Times New Roman" w:hAnsi="Times New Roman"/>
        </w:rPr>
        <w:t>2023</w:t>
      </w:r>
      <w:r>
        <w:rPr>
          <w:rFonts w:ascii="Times New Roman" w:hAnsi="Times New Roman" w:hint="eastAsia"/>
        </w:rPr>
        <w:t>年</w:t>
      </w:r>
      <w:r>
        <w:rPr>
          <w:rFonts w:ascii="Times New Roman" w:hAnsi="Times New Roman"/>
        </w:rPr>
        <w:t>5</w:t>
      </w:r>
      <w:r>
        <w:rPr>
          <w:rFonts w:ascii="Times New Roman" w:hAnsi="Times New Roman" w:hint="eastAsia"/>
        </w:rPr>
        <w:t>月，董事会下设审计与消费者权益保护委员会听取</w:t>
      </w:r>
      <w:proofErr w:type="gramStart"/>
      <w:r>
        <w:rPr>
          <w:rFonts w:ascii="Times New Roman" w:hAnsi="Times New Roman" w:hint="eastAsia"/>
        </w:rPr>
        <w:t>一季度消保工作</w:t>
      </w:r>
      <w:proofErr w:type="gramEnd"/>
      <w:r>
        <w:rPr>
          <w:rFonts w:ascii="Times New Roman" w:hAnsi="Times New Roman" w:hint="eastAsia"/>
        </w:rPr>
        <w:t>报告。</w:t>
      </w:r>
    </w:p>
    <w:p w:rsidR="00AD5BB5" w:rsidRDefault="00F87FF6">
      <w:pPr>
        <w:spacing w:line="360" w:lineRule="auto"/>
        <w:ind w:firstLineChars="200" w:firstLine="420"/>
        <w:rPr>
          <w:rFonts w:ascii="Times New Roman" w:hAnsi="Times New Roman"/>
        </w:rPr>
      </w:pPr>
      <w:r>
        <w:rPr>
          <w:rFonts w:ascii="Times New Roman" w:hAnsi="Times New Roman"/>
        </w:rPr>
        <w:t>2.</w:t>
      </w:r>
      <w:proofErr w:type="gramStart"/>
      <w:r>
        <w:rPr>
          <w:rFonts w:ascii="Times New Roman" w:hAnsi="Times New Roman" w:hint="eastAsia"/>
        </w:rPr>
        <w:t>完善消保机制</w:t>
      </w:r>
      <w:proofErr w:type="gramEnd"/>
      <w:r>
        <w:rPr>
          <w:rFonts w:ascii="Times New Roman" w:hAnsi="Times New Roman" w:hint="eastAsia"/>
        </w:rPr>
        <w:t>建设</w:t>
      </w:r>
    </w:p>
    <w:p w:rsidR="00AD5BB5" w:rsidRDefault="00F87FF6">
      <w:pPr>
        <w:spacing w:line="360" w:lineRule="auto"/>
        <w:ind w:firstLineChars="200" w:firstLine="420"/>
        <w:rPr>
          <w:rFonts w:ascii="Times New Roman" w:hAnsi="Times New Roman"/>
        </w:rPr>
      </w:pPr>
      <w:r>
        <w:rPr>
          <w:rFonts w:ascii="Times New Roman" w:hAnsi="Times New Roman" w:hint="eastAsia"/>
        </w:rPr>
        <w:t>本公司持续</w:t>
      </w:r>
      <w:proofErr w:type="gramStart"/>
      <w:r>
        <w:rPr>
          <w:rFonts w:ascii="Times New Roman" w:hAnsi="Times New Roman" w:hint="eastAsia"/>
        </w:rPr>
        <w:t>完善消保</w:t>
      </w:r>
      <w:proofErr w:type="gramEnd"/>
      <w:r>
        <w:rPr>
          <w:rFonts w:ascii="Times New Roman" w:hAnsi="Times New Roman" w:hint="eastAsia"/>
        </w:rPr>
        <w:t>内控机制，搭建了以消费者权益保护工作规定为核心，以</w:t>
      </w:r>
      <w:proofErr w:type="gramStart"/>
      <w:r>
        <w:rPr>
          <w:rFonts w:ascii="Times New Roman" w:hAnsi="Times New Roman" w:hint="eastAsia"/>
        </w:rPr>
        <w:t>消保专门</w:t>
      </w:r>
      <w:proofErr w:type="gramEnd"/>
      <w:r>
        <w:rPr>
          <w:rFonts w:ascii="Times New Roman" w:hAnsi="Times New Roman" w:hint="eastAsia"/>
        </w:rPr>
        <w:t>制度</w:t>
      </w:r>
      <w:proofErr w:type="gramStart"/>
      <w:r>
        <w:rPr>
          <w:rFonts w:ascii="Times New Roman" w:hAnsi="Times New Roman" w:hint="eastAsia"/>
        </w:rPr>
        <w:t>和消保关联</w:t>
      </w:r>
      <w:proofErr w:type="gramEnd"/>
      <w:r>
        <w:rPr>
          <w:rFonts w:ascii="Times New Roman" w:hAnsi="Times New Roman" w:hint="eastAsia"/>
        </w:rPr>
        <w:t>制度为系列配套制度的、较为完备的消费者权益保护内控制度体系。本公司建立消保全流程管控机制，持续优化</w:t>
      </w:r>
      <w:proofErr w:type="gramStart"/>
      <w:r>
        <w:rPr>
          <w:rFonts w:ascii="Times New Roman" w:hAnsi="Times New Roman" w:hint="eastAsia"/>
        </w:rPr>
        <w:t>消保考核</w:t>
      </w:r>
      <w:proofErr w:type="gramEnd"/>
      <w:r>
        <w:rPr>
          <w:rFonts w:ascii="Times New Roman" w:hAnsi="Times New Roman" w:hint="eastAsia"/>
        </w:rPr>
        <w:t>评价体系，强化对全行各单位的组织、指导和监督，不断</w:t>
      </w:r>
      <w:proofErr w:type="gramStart"/>
      <w:r>
        <w:rPr>
          <w:rFonts w:ascii="Times New Roman" w:hAnsi="Times New Roman" w:hint="eastAsia"/>
        </w:rPr>
        <w:t>提高消保工作</w:t>
      </w:r>
      <w:proofErr w:type="gramEnd"/>
      <w:r>
        <w:rPr>
          <w:rFonts w:ascii="Times New Roman" w:hAnsi="Times New Roman" w:hint="eastAsia"/>
        </w:rPr>
        <w:t>水平。</w:t>
      </w:r>
    </w:p>
    <w:p w:rsidR="00AD5BB5" w:rsidRDefault="00F87FF6">
      <w:pPr>
        <w:spacing w:line="360" w:lineRule="auto"/>
        <w:ind w:firstLineChars="200" w:firstLine="420"/>
        <w:rPr>
          <w:rFonts w:ascii="Times New Roman" w:hAnsi="Times New Roman"/>
        </w:rPr>
      </w:pPr>
      <w:r>
        <w:rPr>
          <w:rFonts w:ascii="Times New Roman" w:hAnsi="Times New Roman" w:hint="eastAsia"/>
        </w:rPr>
        <w:t>本公司</w:t>
      </w:r>
      <w:proofErr w:type="gramStart"/>
      <w:r>
        <w:rPr>
          <w:rFonts w:ascii="Times New Roman" w:hAnsi="Times New Roman" w:hint="eastAsia"/>
        </w:rPr>
        <w:t>将消保</w:t>
      </w:r>
      <w:proofErr w:type="gramEnd"/>
      <w:r>
        <w:rPr>
          <w:rFonts w:ascii="Times New Roman" w:hAnsi="Times New Roman" w:hint="eastAsia"/>
        </w:rPr>
        <w:t>审查作为保护消费者权益的第一道防线，</w:t>
      </w:r>
      <w:proofErr w:type="gramStart"/>
      <w:r>
        <w:rPr>
          <w:rFonts w:ascii="Times New Roman" w:hAnsi="Times New Roman" w:hint="eastAsia"/>
        </w:rPr>
        <w:t>将消保要求</w:t>
      </w:r>
      <w:proofErr w:type="gramEnd"/>
      <w:r>
        <w:rPr>
          <w:rFonts w:ascii="Times New Roman" w:hAnsi="Times New Roman" w:hint="eastAsia"/>
        </w:rPr>
        <w:t>落实到产品开发、运营、下架的全生命周期，落实到产品和服务的设计开发、定价管理、协议制定等环节。</w:t>
      </w:r>
    </w:p>
    <w:p w:rsidR="00AD5BB5" w:rsidRDefault="00F87FF6">
      <w:pPr>
        <w:spacing w:line="360" w:lineRule="auto"/>
        <w:ind w:firstLineChars="200" w:firstLine="420"/>
        <w:rPr>
          <w:rFonts w:ascii="Times New Roman" w:hAnsi="Times New Roman"/>
        </w:rPr>
      </w:pPr>
      <w:r>
        <w:rPr>
          <w:rFonts w:ascii="Times New Roman" w:hAnsi="Times New Roman"/>
        </w:rPr>
        <w:t>3.</w:t>
      </w:r>
      <w:r>
        <w:rPr>
          <w:rFonts w:ascii="Times New Roman" w:hAnsi="Times New Roman" w:hint="eastAsia"/>
        </w:rPr>
        <w:t>个人信息保护</w:t>
      </w:r>
    </w:p>
    <w:p w:rsidR="00AD5BB5" w:rsidRDefault="00F87FF6">
      <w:pPr>
        <w:spacing w:line="360" w:lineRule="auto"/>
        <w:ind w:firstLineChars="200" w:firstLine="420"/>
      </w:pPr>
      <w:r>
        <w:rPr>
          <w:rFonts w:ascii="Times New Roman" w:hAnsi="Times New Roman" w:hint="eastAsia"/>
        </w:rPr>
        <w:t>本公司持续完善个人金融信息保护工作机制，一是组织个人金融信息保护应急演练，二是开展个人信息保护影响评估，三是开展个人金融信息保护检查，</w:t>
      </w:r>
      <w:r>
        <w:rPr>
          <w:rFonts w:hint="eastAsia"/>
        </w:rPr>
        <w:t>依法</w:t>
      </w:r>
      <w:r>
        <w:rPr>
          <w:rFonts w:ascii="Times New Roman" w:hAnsi="Times New Roman" w:hint="eastAsia"/>
        </w:rPr>
        <w:t>依规保护消费者金融</w:t>
      </w:r>
      <w:r>
        <w:rPr>
          <w:rFonts w:ascii="Times New Roman" w:hAnsi="Times New Roman" w:hint="eastAsia"/>
        </w:rPr>
        <w:lastRenderedPageBreak/>
        <w:t>信息，严格防控金融消费者信息泄露风险。</w:t>
      </w:r>
    </w:p>
    <w:p w:rsidR="00AD5BB5" w:rsidRDefault="00F87FF6">
      <w:pPr>
        <w:spacing w:line="360" w:lineRule="auto"/>
        <w:ind w:firstLineChars="200" w:firstLine="420"/>
        <w:rPr>
          <w:rFonts w:ascii="Times New Roman" w:hAnsi="Times New Roman"/>
        </w:rPr>
      </w:pPr>
      <w:r>
        <w:rPr>
          <w:rFonts w:ascii="Times New Roman" w:hAnsi="Times New Roman"/>
        </w:rPr>
        <w:t>4.</w:t>
      </w:r>
      <w:r>
        <w:rPr>
          <w:rFonts w:ascii="Times New Roman" w:hAnsi="Times New Roman" w:hint="eastAsia"/>
        </w:rPr>
        <w:t>金融知识宣教</w:t>
      </w:r>
    </w:p>
    <w:p w:rsidR="00AD5BB5" w:rsidRDefault="00F87FF6">
      <w:pPr>
        <w:spacing w:line="360" w:lineRule="auto"/>
        <w:ind w:firstLineChars="200" w:firstLine="420"/>
        <w:rPr>
          <w:rFonts w:ascii="Times New Roman" w:hAnsi="Times New Roman"/>
        </w:rPr>
      </w:pPr>
      <w:r>
        <w:rPr>
          <w:rFonts w:ascii="Times New Roman" w:hAnsi="Times New Roman" w:hint="eastAsia"/>
        </w:rPr>
        <w:t>本公司积极响应厦门人行、厦门银保监局发起的“</w:t>
      </w:r>
      <w:r>
        <w:rPr>
          <w:rFonts w:ascii="Times New Roman" w:hAnsi="Times New Roman"/>
        </w:rPr>
        <w:t>315</w:t>
      </w:r>
      <w:r>
        <w:rPr>
          <w:rFonts w:ascii="Times New Roman" w:hAnsi="Times New Roman" w:hint="eastAsia"/>
        </w:rPr>
        <w:t>消费者权益保护教育宣传周”“存款保险宣传月”“普及金融知识万里行”“普及金融知识，守住钱袋子”等金融知识宣传活动。统一部署组织全辖分支机构分工协作，线下线上联动，重点通过官方网站、</w:t>
      </w:r>
      <w:proofErr w:type="gramStart"/>
      <w:r>
        <w:rPr>
          <w:rFonts w:ascii="Times New Roman" w:hAnsi="Times New Roman" w:hint="eastAsia"/>
        </w:rPr>
        <w:t>微信公众号</w:t>
      </w:r>
      <w:proofErr w:type="gramEnd"/>
      <w:r>
        <w:rPr>
          <w:rFonts w:ascii="Times New Roman" w:hAnsi="Times New Roman" w:hint="eastAsia"/>
        </w:rPr>
        <w:t>、手机银行等渠道尽可能触及更多消费者。各分行响应配合，通过漫画、视频、动画等形式多样的宣教方式向广大金融消费者普及金融知识。</w:t>
      </w:r>
    </w:p>
    <w:p w:rsidR="00AD5BB5" w:rsidRDefault="00F87FF6">
      <w:pPr>
        <w:spacing w:line="360" w:lineRule="auto"/>
        <w:ind w:firstLineChars="200" w:firstLine="420"/>
        <w:rPr>
          <w:rFonts w:ascii="Times New Roman" w:hAnsi="Times New Roman"/>
        </w:rPr>
      </w:pPr>
      <w:r>
        <w:rPr>
          <w:rFonts w:ascii="Times New Roman" w:hAnsi="Times New Roman"/>
        </w:rPr>
        <w:t>5.</w:t>
      </w:r>
      <w:r>
        <w:rPr>
          <w:rFonts w:ascii="Times New Roman" w:hAnsi="Times New Roman" w:hint="eastAsia"/>
        </w:rPr>
        <w:t>健全投诉处理机制</w:t>
      </w:r>
    </w:p>
    <w:p w:rsidR="00AD5BB5" w:rsidRDefault="00F87FF6">
      <w:pPr>
        <w:spacing w:line="360" w:lineRule="auto"/>
        <w:ind w:firstLineChars="200" w:firstLine="420"/>
        <w:rPr>
          <w:rFonts w:ascii="Times New Roman" w:hAnsi="Times New Roman"/>
        </w:rPr>
      </w:pPr>
      <w:r>
        <w:rPr>
          <w:rFonts w:ascii="Times New Roman" w:hAnsi="Times New Roman" w:hint="eastAsia"/>
        </w:rPr>
        <w:t>本公司坚持</w:t>
      </w:r>
      <w:r>
        <w:rPr>
          <w:rFonts w:ascii="Times New Roman" w:hAnsi="Times New Roman"/>
        </w:rPr>
        <w:t>“</w:t>
      </w:r>
      <w:r>
        <w:rPr>
          <w:rFonts w:ascii="Times New Roman" w:hAnsi="Times New Roman" w:hint="eastAsia"/>
        </w:rPr>
        <w:t>以客户为中心</w:t>
      </w:r>
      <w:r>
        <w:rPr>
          <w:rFonts w:ascii="Times New Roman" w:hAnsi="Times New Roman"/>
        </w:rPr>
        <w:t>”</w:t>
      </w:r>
      <w:r>
        <w:rPr>
          <w:rFonts w:ascii="Times New Roman" w:hAnsi="Times New Roman" w:hint="eastAsia"/>
        </w:rPr>
        <w:t>的服务理念，健全投诉管理制度、畅通投诉受理渠道、规范投诉处理流程、压实涉</w:t>
      </w:r>
      <w:proofErr w:type="gramStart"/>
      <w:r>
        <w:rPr>
          <w:rFonts w:ascii="Times New Roman" w:hAnsi="Times New Roman" w:hint="eastAsia"/>
        </w:rPr>
        <w:t>诉单位</w:t>
      </w:r>
      <w:proofErr w:type="gramEnd"/>
      <w:r>
        <w:rPr>
          <w:rFonts w:ascii="Times New Roman" w:hAnsi="Times New Roman" w:hint="eastAsia"/>
        </w:rPr>
        <w:t>主体责任，建设多元纠纷化解机制，引导消费者依法维护自身合法权益，切实提高客户满意度。</w:t>
      </w:r>
    </w:p>
    <w:p w:rsidR="00AD5BB5" w:rsidRDefault="00F87FF6">
      <w:pPr>
        <w:spacing w:line="360" w:lineRule="auto"/>
        <w:ind w:firstLineChars="200" w:firstLine="420"/>
        <w:rPr>
          <w:rFonts w:ascii="Times New Roman" w:hAnsi="Times New Roman"/>
        </w:rPr>
      </w:pPr>
      <w:r>
        <w:rPr>
          <w:rFonts w:ascii="Times New Roman" w:hAnsi="Times New Roman"/>
        </w:rPr>
        <w:t>2023</w:t>
      </w:r>
      <w:r>
        <w:rPr>
          <w:rFonts w:ascii="Times New Roman" w:hAnsi="Times New Roman" w:hint="eastAsia"/>
        </w:rPr>
        <w:t>年</w:t>
      </w:r>
      <w:r>
        <w:rPr>
          <w:rFonts w:ascii="Times New Roman" w:hAnsi="Times New Roman"/>
        </w:rPr>
        <w:t>1</w:t>
      </w:r>
      <w:r>
        <w:rPr>
          <w:rFonts w:ascii="Times New Roman" w:hAnsi="Times New Roman" w:hint="eastAsia"/>
        </w:rPr>
        <w:t>月</w:t>
      </w:r>
      <w:r>
        <w:rPr>
          <w:rFonts w:ascii="Times New Roman" w:hAnsi="Times New Roman"/>
        </w:rPr>
        <w:t>1</w:t>
      </w:r>
      <w:r>
        <w:rPr>
          <w:rFonts w:ascii="Times New Roman" w:hAnsi="Times New Roman" w:hint="eastAsia"/>
        </w:rPr>
        <w:t>日至</w:t>
      </w:r>
      <w:r>
        <w:rPr>
          <w:rFonts w:ascii="Times New Roman" w:hAnsi="Times New Roman"/>
        </w:rPr>
        <w:t>6</w:t>
      </w:r>
      <w:r>
        <w:rPr>
          <w:rFonts w:ascii="Times New Roman" w:hAnsi="Times New Roman" w:hint="eastAsia"/>
        </w:rPr>
        <w:t>月</w:t>
      </w:r>
      <w:r>
        <w:rPr>
          <w:rFonts w:ascii="Times New Roman" w:hAnsi="Times New Roman"/>
        </w:rPr>
        <w:t>30</w:t>
      </w:r>
      <w:r>
        <w:rPr>
          <w:rFonts w:ascii="Times New Roman" w:hAnsi="Times New Roman" w:hint="eastAsia"/>
        </w:rPr>
        <w:t>日，本公司受理金融消费者投诉共计</w:t>
      </w:r>
      <w:r>
        <w:rPr>
          <w:rFonts w:ascii="Times New Roman" w:hAnsi="Times New Roman"/>
        </w:rPr>
        <w:t>1,868</w:t>
      </w:r>
      <w:r>
        <w:rPr>
          <w:rFonts w:ascii="Times New Roman" w:hAnsi="Times New Roman" w:hint="eastAsia"/>
        </w:rPr>
        <w:t>起（剔除重复投诉），投诉办结率</w:t>
      </w:r>
      <w:r>
        <w:rPr>
          <w:rFonts w:ascii="Times New Roman" w:hAnsi="Times New Roman"/>
        </w:rPr>
        <w:t>100%</w:t>
      </w:r>
      <w:r>
        <w:rPr>
          <w:rFonts w:ascii="Times New Roman" w:hAnsi="Times New Roman" w:hint="eastAsia"/>
        </w:rPr>
        <w:t>、客户满意率</w:t>
      </w:r>
      <w:r>
        <w:rPr>
          <w:rFonts w:ascii="Times New Roman" w:hAnsi="Times New Roman"/>
        </w:rPr>
        <w:t>92%</w:t>
      </w:r>
      <w:r>
        <w:rPr>
          <w:rFonts w:ascii="Times New Roman" w:hAnsi="Times New Roman" w:hint="eastAsia"/>
        </w:rPr>
        <w:t>。投诉主要情况分析如下：</w:t>
      </w:r>
    </w:p>
    <w:p w:rsidR="00AD5BB5" w:rsidRDefault="00F87FF6">
      <w:pPr>
        <w:tabs>
          <w:tab w:val="left" w:pos="312"/>
        </w:tabs>
        <w:spacing w:line="360" w:lineRule="auto"/>
        <w:ind w:left="480"/>
        <w:rPr>
          <w:rFonts w:ascii="Times New Roman" w:hAnsi="Times New Roman"/>
        </w:rPr>
      </w:pPr>
      <w:r>
        <w:rPr>
          <w:rFonts w:ascii="Times New Roman" w:hAnsi="Times New Roman" w:hint="eastAsia"/>
        </w:rPr>
        <w:t>（</w:t>
      </w:r>
      <w:r>
        <w:rPr>
          <w:rFonts w:ascii="Times New Roman" w:hAnsi="Times New Roman"/>
        </w:rPr>
        <w:t>1</w:t>
      </w:r>
      <w:r>
        <w:rPr>
          <w:rFonts w:ascii="Times New Roman" w:hAnsi="Times New Roman" w:hint="eastAsia"/>
        </w:rPr>
        <w:t>）投诉地区分布情况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2262"/>
        <w:gridCol w:w="2955"/>
      </w:tblGrid>
      <w:tr w:rsidR="00AD5BB5">
        <w:trPr>
          <w:trHeight w:val="293"/>
        </w:trPr>
        <w:tc>
          <w:tcPr>
            <w:tcW w:w="3235" w:type="dxa"/>
            <w:vAlign w:val="center"/>
          </w:tcPr>
          <w:p w:rsidR="00AD5BB5" w:rsidRDefault="00F87FF6">
            <w:pPr>
              <w:spacing w:line="360" w:lineRule="auto"/>
              <w:jc w:val="center"/>
              <w:rPr>
                <w:rFonts w:ascii="Times New Roman" w:hAnsi="Times New Roman"/>
              </w:rPr>
            </w:pPr>
            <w:r>
              <w:rPr>
                <w:rFonts w:ascii="Times New Roman" w:hAnsi="Times New Roman" w:hint="eastAsia"/>
              </w:rPr>
              <w:t>地区</w:t>
            </w:r>
          </w:p>
        </w:tc>
        <w:tc>
          <w:tcPr>
            <w:tcW w:w="2342" w:type="dxa"/>
            <w:vAlign w:val="center"/>
          </w:tcPr>
          <w:p w:rsidR="00AD5BB5" w:rsidRDefault="00F87FF6">
            <w:pPr>
              <w:spacing w:line="360" w:lineRule="auto"/>
              <w:jc w:val="center"/>
              <w:rPr>
                <w:rFonts w:ascii="Times New Roman" w:hAnsi="Times New Roman"/>
              </w:rPr>
            </w:pPr>
            <w:r>
              <w:rPr>
                <w:rFonts w:ascii="Times New Roman" w:hAnsi="Times New Roman" w:hint="eastAsia"/>
              </w:rPr>
              <w:t>投诉数量（起）</w:t>
            </w:r>
          </w:p>
        </w:tc>
        <w:tc>
          <w:tcPr>
            <w:tcW w:w="3062" w:type="dxa"/>
            <w:vAlign w:val="center"/>
          </w:tcPr>
          <w:p w:rsidR="00AD5BB5" w:rsidRDefault="00F87FF6">
            <w:pPr>
              <w:spacing w:line="360" w:lineRule="auto"/>
              <w:ind w:firstLineChars="300" w:firstLine="630"/>
              <w:jc w:val="center"/>
              <w:rPr>
                <w:rFonts w:ascii="Times New Roman" w:hAnsi="Times New Roman"/>
              </w:rPr>
            </w:pPr>
            <w:r>
              <w:rPr>
                <w:rFonts w:ascii="Times New Roman" w:hAnsi="Times New Roman" w:hint="eastAsia"/>
              </w:rPr>
              <w:t>占比（</w:t>
            </w:r>
            <w:r>
              <w:rPr>
                <w:rFonts w:ascii="Times New Roman" w:hAnsi="Times New Roman"/>
              </w:rPr>
              <w:t>%</w:t>
            </w:r>
            <w:r>
              <w:rPr>
                <w:rFonts w:ascii="Times New Roman" w:hAnsi="Times New Roman" w:hint="eastAsia"/>
              </w:rPr>
              <w:t>）</w:t>
            </w:r>
          </w:p>
        </w:tc>
      </w:tr>
      <w:tr w:rsidR="00AD5BB5">
        <w:trPr>
          <w:trHeight w:val="293"/>
        </w:trPr>
        <w:tc>
          <w:tcPr>
            <w:tcW w:w="3235" w:type="dxa"/>
            <w:vAlign w:val="center"/>
          </w:tcPr>
          <w:p w:rsidR="00AD5BB5" w:rsidRDefault="00F87FF6">
            <w:pPr>
              <w:spacing w:line="360" w:lineRule="auto"/>
              <w:jc w:val="center"/>
              <w:rPr>
                <w:rFonts w:ascii="Times New Roman" w:hAnsi="Times New Roman"/>
              </w:rPr>
            </w:pPr>
            <w:r>
              <w:rPr>
                <w:rFonts w:ascii="Times New Roman" w:hAnsi="Times New Roman" w:hint="eastAsia"/>
              </w:rPr>
              <w:t>厦门</w:t>
            </w:r>
          </w:p>
        </w:tc>
        <w:tc>
          <w:tcPr>
            <w:tcW w:w="2342" w:type="dxa"/>
            <w:vAlign w:val="center"/>
          </w:tcPr>
          <w:p w:rsidR="00AD5BB5" w:rsidRDefault="00F87FF6">
            <w:pPr>
              <w:spacing w:line="360" w:lineRule="auto"/>
              <w:jc w:val="center"/>
              <w:rPr>
                <w:rFonts w:ascii="Times New Roman" w:hAnsi="Times New Roman"/>
              </w:rPr>
            </w:pPr>
            <w:r>
              <w:rPr>
                <w:rFonts w:ascii="Times New Roman" w:hAnsi="Times New Roman"/>
              </w:rPr>
              <w:t>1,427</w:t>
            </w:r>
          </w:p>
        </w:tc>
        <w:tc>
          <w:tcPr>
            <w:tcW w:w="3062" w:type="dxa"/>
            <w:vAlign w:val="center"/>
          </w:tcPr>
          <w:p w:rsidR="00AD5BB5" w:rsidRDefault="00F87FF6">
            <w:pPr>
              <w:spacing w:line="360" w:lineRule="auto"/>
              <w:jc w:val="center"/>
              <w:rPr>
                <w:rFonts w:ascii="Times New Roman" w:hAnsi="Times New Roman"/>
              </w:rPr>
            </w:pPr>
            <w:r>
              <w:rPr>
                <w:rFonts w:ascii="Times New Roman" w:hAnsi="Times New Roman"/>
              </w:rPr>
              <w:t>76.39</w:t>
            </w:r>
          </w:p>
        </w:tc>
      </w:tr>
      <w:tr w:rsidR="00AD5BB5">
        <w:trPr>
          <w:trHeight w:val="293"/>
        </w:trPr>
        <w:tc>
          <w:tcPr>
            <w:tcW w:w="3235" w:type="dxa"/>
            <w:vAlign w:val="center"/>
          </w:tcPr>
          <w:p w:rsidR="00AD5BB5" w:rsidRDefault="00F87FF6">
            <w:pPr>
              <w:spacing w:line="360" w:lineRule="auto"/>
              <w:jc w:val="center"/>
              <w:rPr>
                <w:rFonts w:ascii="Times New Roman" w:hAnsi="Times New Roman"/>
              </w:rPr>
            </w:pPr>
            <w:r>
              <w:rPr>
                <w:rFonts w:ascii="Times New Roman" w:hAnsi="Times New Roman" w:hint="eastAsia"/>
              </w:rPr>
              <w:t>福州</w:t>
            </w:r>
          </w:p>
        </w:tc>
        <w:tc>
          <w:tcPr>
            <w:tcW w:w="2342" w:type="dxa"/>
            <w:vAlign w:val="center"/>
          </w:tcPr>
          <w:p w:rsidR="00AD5BB5" w:rsidRDefault="00F87FF6">
            <w:pPr>
              <w:spacing w:line="360" w:lineRule="auto"/>
              <w:jc w:val="center"/>
              <w:rPr>
                <w:rFonts w:ascii="Times New Roman" w:hAnsi="Times New Roman"/>
              </w:rPr>
            </w:pPr>
            <w:r>
              <w:rPr>
                <w:rFonts w:ascii="Times New Roman" w:hAnsi="Times New Roman"/>
              </w:rPr>
              <w:t>92</w:t>
            </w:r>
          </w:p>
        </w:tc>
        <w:tc>
          <w:tcPr>
            <w:tcW w:w="3062" w:type="dxa"/>
            <w:vAlign w:val="center"/>
          </w:tcPr>
          <w:p w:rsidR="00AD5BB5" w:rsidRDefault="00F87FF6">
            <w:pPr>
              <w:spacing w:line="360" w:lineRule="auto"/>
              <w:jc w:val="center"/>
              <w:rPr>
                <w:rFonts w:ascii="Times New Roman" w:hAnsi="Times New Roman"/>
              </w:rPr>
            </w:pPr>
            <w:r>
              <w:rPr>
                <w:rFonts w:ascii="Times New Roman" w:hAnsi="Times New Roman"/>
              </w:rPr>
              <w:t>4.93</w:t>
            </w:r>
          </w:p>
        </w:tc>
      </w:tr>
      <w:tr w:rsidR="00AD5BB5">
        <w:trPr>
          <w:trHeight w:val="293"/>
        </w:trPr>
        <w:tc>
          <w:tcPr>
            <w:tcW w:w="3235" w:type="dxa"/>
            <w:vAlign w:val="center"/>
          </w:tcPr>
          <w:p w:rsidR="00AD5BB5" w:rsidRDefault="00F87FF6">
            <w:pPr>
              <w:spacing w:line="360" w:lineRule="auto"/>
              <w:jc w:val="center"/>
              <w:rPr>
                <w:rFonts w:ascii="Times New Roman" w:hAnsi="Times New Roman"/>
              </w:rPr>
            </w:pPr>
            <w:r>
              <w:rPr>
                <w:rFonts w:ascii="Times New Roman" w:hAnsi="Times New Roman" w:hint="eastAsia"/>
              </w:rPr>
              <w:t>泉州</w:t>
            </w:r>
          </w:p>
        </w:tc>
        <w:tc>
          <w:tcPr>
            <w:tcW w:w="2342" w:type="dxa"/>
            <w:vAlign w:val="center"/>
          </w:tcPr>
          <w:p w:rsidR="00AD5BB5" w:rsidRDefault="00F87FF6">
            <w:pPr>
              <w:spacing w:line="360" w:lineRule="auto"/>
              <w:jc w:val="center"/>
              <w:rPr>
                <w:rFonts w:ascii="Times New Roman" w:hAnsi="Times New Roman"/>
              </w:rPr>
            </w:pPr>
            <w:r>
              <w:rPr>
                <w:rFonts w:ascii="Times New Roman" w:hAnsi="Times New Roman"/>
              </w:rPr>
              <w:t>96</w:t>
            </w:r>
          </w:p>
        </w:tc>
        <w:tc>
          <w:tcPr>
            <w:tcW w:w="3062" w:type="dxa"/>
            <w:vAlign w:val="center"/>
          </w:tcPr>
          <w:p w:rsidR="00AD5BB5" w:rsidRDefault="00F87FF6">
            <w:pPr>
              <w:spacing w:line="360" w:lineRule="auto"/>
              <w:jc w:val="center"/>
              <w:rPr>
                <w:rFonts w:ascii="Times New Roman" w:hAnsi="Times New Roman"/>
              </w:rPr>
            </w:pPr>
            <w:r>
              <w:rPr>
                <w:rFonts w:ascii="Times New Roman" w:hAnsi="Times New Roman"/>
              </w:rPr>
              <w:t>5.14</w:t>
            </w:r>
          </w:p>
        </w:tc>
      </w:tr>
      <w:tr w:rsidR="00AD5BB5">
        <w:trPr>
          <w:trHeight w:val="293"/>
        </w:trPr>
        <w:tc>
          <w:tcPr>
            <w:tcW w:w="3235" w:type="dxa"/>
            <w:vAlign w:val="center"/>
          </w:tcPr>
          <w:p w:rsidR="00AD5BB5" w:rsidRDefault="00F87FF6">
            <w:pPr>
              <w:spacing w:line="360" w:lineRule="auto"/>
              <w:jc w:val="center"/>
              <w:rPr>
                <w:rFonts w:ascii="Times New Roman" w:hAnsi="Times New Roman"/>
              </w:rPr>
            </w:pPr>
            <w:r>
              <w:rPr>
                <w:rFonts w:ascii="Times New Roman" w:hAnsi="Times New Roman" w:hint="eastAsia"/>
              </w:rPr>
              <w:t>重庆</w:t>
            </w:r>
          </w:p>
        </w:tc>
        <w:tc>
          <w:tcPr>
            <w:tcW w:w="2342" w:type="dxa"/>
            <w:vAlign w:val="center"/>
          </w:tcPr>
          <w:p w:rsidR="00AD5BB5" w:rsidRDefault="00F87FF6">
            <w:pPr>
              <w:spacing w:line="360" w:lineRule="auto"/>
              <w:jc w:val="center"/>
              <w:rPr>
                <w:rFonts w:ascii="Times New Roman" w:hAnsi="Times New Roman"/>
              </w:rPr>
            </w:pPr>
            <w:r>
              <w:rPr>
                <w:rFonts w:ascii="Times New Roman" w:hAnsi="Times New Roman"/>
              </w:rPr>
              <w:t>76</w:t>
            </w:r>
          </w:p>
        </w:tc>
        <w:tc>
          <w:tcPr>
            <w:tcW w:w="3062" w:type="dxa"/>
            <w:vAlign w:val="center"/>
          </w:tcPr>
          <w:p w:rsidR="00AD5BB5" w:rsidRDefault="00F87FF6">
            <w:pPr>
              <w:spacing w:line="360" w:lineRule="auto"/>
              <w:jc w:val="center"/>
              <w:rPr>
                <w:rFonts w:ascii="Times New Roman" w:hAnsi="Times New Roman"/>
              </w:rPr>
            </w:pPr>
            <w:r>
              <w:rPr>
                <w:rFonts w:ascii="Times New Roman" w:hAnsi="Times New Roman"/>
              </w:rPr>
              <w:t>4.07</w:t>
            </w:r>
          </w:p>
        </w:tc>
      </w:tr>
      <w:tr w:rsidR="00AD5BB5">
        <w:trPr>
          <w:trHeight w:val="293"/>
        </w:trPr>
        <w:tc>
          <w:tcPr>
            <w:tcW w:w="3235" w:type="dxa"/>
            <w:vAlign w:val="center"/>
          </w:tcPr>
          <w:p w:rsidR="00AD5BB5" w:rsidRDefault="00F87FF6">
            <w:pPr>
              <w:spacing w:line="360" w:lineRule="auto"/>
              <w:jc w:val="center"/>
              <w:rPr>
                <w:rFonts w:ascii="Times New Roman" w:hAnsi="Times New Roman"/>
              </w:rPr>
            </w:pPr>
            <w:r>
              <w:rPr>
                <w:rFonts w:ascii="Times New Roman" w:hAnsi="Times New Roman" w:hint="eastAsia"/>
              </w:rPr>
              <w:t>漳州</w:t>
            </w:r>
          </w:p>
        </w:tc>
        <w:tc>
          <w:tcPr>
            <w:tcW w:w="2342" w:type="dxa"/>
            <w:vAlign w:val="center"/>
          </w:tcPr>
          <w:p w:rsidR="00AD5BB5" w:rsidRDefault="00F87FF6">
            <w:pPr>
              <w:spacing w:line="360" w:lineRule="auto"/>
              <w:jc w:val="center"/>
              <w:rPr>
                <w:rFonts w:ascii="Times New Roman" w:hAnsi="Times New Roman"/>
              </w:rPr>
            </w:pPr>
            <w:r>
              <w:rPr>
                <w:rFonts w:ascii="Times New Roman" w:hAnsi="Times New Roman"/>
              </w:rPr>
              <w:t>61</w:t>
            </w:r>
          </w:p>
        </w:tc>
        <w:tc>
          <w:tcPr>
            <w:tcW w:w="3062" w:type="dxa"/>
            <w:vAlign w:val="center"/>
          </w:tcPr>
          <w:p w:rsidR="00AD5BB5" w:rsidRDefault="00F87FF6">
            <w:pPr>
              <w:spacing w:line="360" w:lineRule="auto"/>
              <w:jc w:val="center"/>
              <w:rPr>
                <w:rFonts w:ascii="Times New Roman" w:hAnsi="Times New Roman"/>
              </w:rPr>
            </w:pPr>
            <w:r>
              <w:rPr>
                <w:rFonts w:ascii="Times New Roman" w:hAnsi="Times New Roman"/>
              </w:rPr>
              <w:t>3.27</w:t>
            </w:r>
          </w:p>
        </w:tc>
      </w:tr>
      <w:tr w:rsidR="00AD5BB5">
        <w:trPr>
          <w:trHeight w:val="293"/>
        </w:trPr>
        <w:tc>
          <w:tcPr>
            <w:tcW w:w="3235" w:type="dxa"/>
            <w:vAlign w:val="center"/>
          </w:tcPr>
          <w:p w:rsidR="00AD5BB5" w:rsidRDefault="00F87FF6">
            <w:pPr>
              <w:spacing w:line="360" w:lineRule="auto"/>
              <w:jc w:val="center"/>
              <w:rPr>
                <w:rFonts w:ascii="Times New Roman" w:hAnsi="Times New Roman"/>
              </w:rPr>
            </w:pPr>
            <w:r>
              <w:rPr>
                <w:rFonts w:ascii="Times New Roman" w:hAnsi="Times New Roman" w:hint="eastAsia"/>
              </w:rPr>
              <w:t>南平</w:t>
            </w:r>
          </w:p>
        </w:tc>
        <w:tc>
          <w:tcPr>
            <w:tcW w:w="2342" w:type="dxa"/>
            <w:vAlign w:val="center"/>
          </w:tcPr>
          <w:p w:rsidR="00AD5BB5" w:rsidRDefault="00F87FF6">
            <w:pPr>
              <w:spacing w:line="360" w:lineRule="auto"/>
              <w:jc w:val="center"/>
              <w:rPr>
                <w:rFonts w:ascii="Times New Roman" w:hAnsi="Times New Roman"/>
              </w:rPr>
            </w:pPr>
            <w:r>
              <w:rPr>
                <w:rFonts w:ascii="Times New Roman" w:hAnsi="Times New Roman"/>
              </w:rPr>
              <w:t>34</w:t>
            </w:r>
          </w:p>
        </w:tc>
        <w:tc>
          <w:tcPr>
            <w:tcW w:w="3062" w:type="dxa"/>
            <w:vAlign w:val="center"/>
          </w:tcPr>
          <w:p w:rsidR="00AD5BB5" w:rsidRDefault="00F87FF6">
            <w:pPr>
              <w:spacing w:line="360" w:lineRule="auto"/>
              <w:jc w:val="center"/>
              <w:rPr>
                <w:rFonts w:ascii="Times New Roman" w:hAnsi="Times New Roman"/>
              </w:rPr>
            </w:pPr>
            <w:r>
              <w:rPr>
                <w:rFonts w:ascii="Times New Roman" w:hAnsi="Times New Roman"/>
              </w:rPr>
              <w:t>1.82</w:t>
            </w:r>
          </w:p>
        </w:tc>
      </w:tr>
      <w:tr w:rsidR="00AD5BB5">
        <w:trPr>
          <w:trHeight w:val="293"/>
        </w:trPr>
        <w:tc>
          <w:tcPr>
            <w:tcW w:w="3235" w:type="dxa"/>
            <w:vAlign w:val="center"/>
          </w:tcPr>
          <w:p w:rsidR="00AD5BB5" w:rsidRDefault="00F87FF6">
            <w:pPr>
              <w:spacing w:line="360" w:lineRule="auto"/>
              <w:jc w:val="center"/>
              <w:rPr>
                <w:rFonts w:ascii="Times New Roman" w:hAnsi="Times New Roman"/>
              </w:rPr>
            </w:pPr>
            <w:r>
              <w:rPr>
                <w:rFonts w:ascii="Times New Roman" w:hAnsi="Times New Roman" w:hint="eastAsia"/>
              </w:rPr>
              <w:t>莆田</w:t>
            </w:r>
          </w:p>
        </w:tc>
        <w:tc>
          <w:tcPr>
            <w:tcW w:w="2342" w:type="dxa"/>
            <w:vAlign w:val="center"/>
          </w:tcPr>
          <w:p w:rsidR="00AD5BB5" w:rsidRDefault="00F87FF6">
            <w:pPr>
              <w:spacing w:line="360" w:lineRule="auto"/>
              <w:jc w:val="center"/>
              <w:rPr>
                <w:rFonts w:ascii="Times New Roman" w:hAnsi="Times New Roman"/>
              </w:rPr>
            </w:pPr>
            <w:r>
              <w:rPr>
                <w:rFonts w:ascii="Times New Roman" w:hAnsi="Times New Roman"/>
              </w:rPr>
              <w:t>29</w:t>
            </w:r>
          </w:p>
        </w:tc>
        <w:tc>
          <w:tcPr>
            <w:tcW w:w="3062" w:type="dxa"/>
            <w:vAlign w:val="center"/>
          </w:tcPr>
          <w:p w:rsidR="00AD5BB5" w:rsidRDefault="00F87FF6">
            <w:pPr>
              <w:spacing w:line="360" w:lineRule="auto"/>
              <w:jc w:val="center"/>
              <w:rPr>
                <w:rFonts w:ascii="Times New Roman" w:hAnsi="Times New Roman"/>
              </w:rPr>
            </w:pPr>
            <w:r>
              <w:rPr>
                <w:rFonts w:ascii="Times New Roman" w:hAnsi="Times New Roman"/>
              </w:rPr>
              <w:t>1.55</w:t>
            </w:r>
          </w:p>
        </w:tc>
      </w:tr>
      <w:tr w:rsidR="00AD5BB5">
        <w:trPr>
          <w:trHeight w:val="293"/>
        </w:trPr>
        <w:tc>
          <w:tcPr>
            <w:tcW w:w="3235" w:type="dxa"/>
            <w:vAlign w:val="center"/>
          </w:tcPr>
          <w:p w:rsidR="00AD5BB5" w:rsidRDefault="00F87FF6">
            <w:pPr>
              <w:spacing w:line="360" w:lineRule="auto"/>
              <w:jc w:val="center"/>
              <w:rPr>
                <w:rFonts w:ascii="Times New Roman" w:hAnsi="Times New Roman"/>
              </w:rPr>
            </w:pPr>
            <w:r>
              <w:rPr>
                <w:rFonts w:ascii="Times New Roman" w:hAnsi="Times New Roman" w:hint="eastAsia"/>
              </w:rPr>
              <w:t>宁德</w:t>
            </w:r>
          </w:p>
        </w:tc>
        <w:tc>
          <w:tcPr>
            <w:tcW w:w="2342" w:type="dxa"/>
            <w:vAlign w:val="center"/>
          </w:tcPr>
          <w:p w:rsidR="00AD5BB5" w:rsidRDefault="00F87FF6">
            <w:pPr>
              <w:spacing w:line="360" w:lineRule="auto"/>
              <w:jc w:val="center"/>
              <w:rPr>
                <w:rFonts w:ascii="Times New Roman" w:hAnsi="Times New Roman"/>
              </w:rPr>
            </w:pPr>
            <w:r>
              <w:rPr>
                <w:rFonts w:ascii="Times New Roman" w:hAnsi="Times New Roman"/>
              </w:rPr>
              <w:t>13</w:t>
            </w:r>
          </w:p>
        </w:tc>
        <w:tc>
          <w:tcPr>
            <w:tcW w:w="3062" w:type="dxa"/>
            <w:vAlign w:val="center"/>
          </w:tcPr>
          <w:p w:rsidR="00AD5BB5" w:rsidRDefault="00F87FF6">
            <w:pPr>
              <w:spacing w:line="360" w:lineRule="auto"/>
              <w:jc w:val="center"/>
              <w:rPr>
                <w:rFonts w:ascii="Times New Roman" w:hAnsi="Times New Roman"/>
              </w:rPr>
            </w:pPr>
            <w:r>
              <w:rPr>
                <w:rFonts w:ascii="Times New Roman" w:hAnsi="Times New Roman"/>
              </w:rPr>
              <w:t>0.70</w:t>
            </w:r>
          </w:p>
        </w:tc>
      </w:tr>
      <w:tr w:rsidR="00AD5BB5">
        <w:trPr>
          <w:trHeight w:val="293"/>
        </w:trPr>
        <w:tc>
          <w:tcPr>
            <w:tcW w:w="3235" w:type="dxa"/>
            <w:vAlign w:val="center"/>
          </w:tcPr>
          <w:p w:rsidR="00AD5BB5" w:rsidRDefault="00F87FF6">
            <w:pPr>
              <w:spacing w:line="360" w:lineRule="auto"/>
              <w:jc w:val="center"/>
              <w:rPr>
                <w:rFonts w:ascii="Times New Roman" w:hAnsi="Times New Roman"/>
              </w:rPr>
            </w:pPr>
            <w:r>
              <w:rPr>
                <w:rFonts w:ascii="Times New Roman" w:hAnsi="Times New Roman" w:hint="eastAsia"/>
              </w:rPr>
              <w:t>三明</w:t>
            </w:r>
          </w:p>
        </w:tc>
        <w:tc>
          <w:tcPr>
            <w:tcW w:w="2342" w:type="dxa"/>
            <w:vAlign w:val="center"/>
          </w:tcPr>
          <w:p w:rsidR="00AD5BB5" w:rsidRDefault="00F87FF6">
            <w:pPr>
              <w:spacing w:line="360" w:lineRule="auto"/>
              <w:jc w:val="center"/>
              <w:rPr>
                <w:rFonts w:ascii="Times New Roman" w:hAnsi="Times New Roman"/>
              </w:rPr>
            </w:pPr>
            <w:r>
              <w:rPr>
                <w:rFonts w:ascii="Times New Roman" w:hAnsi="Times New Roman"/>
              </w:rPr>
              <w:t>22</w:t>
            </w:r>
          </w:p>
        </w:tc>
        <w:tc>
          <w:tcPr>
            <w:tcW w:w="3062" w:type="dxa"/>
            <w:vAlign w:val="center"/>
          </w:tcPr>
          <w:p w:rsidR="00AD5BB5" w:rsidRDefault="00F87FF6">
            <w:pPr>
              <w:spacing w:line="360" w:lineRule="auto"/>
              <w:jc w:val="center"/>
              <w:rPr>
                <w:rFonts w:ascii="Times New Roman" w:hAnsi="Times New Roman"/>
              </w:rPr>
            </w:pPr>
            <w:r>
              <w:rPr>
                <w:rFonts w:ascii="Times New Roman" w:hAnsi="Times New Roman"/>
              </w:rPr>
              <w:t>1.18</w:t>
            </w:r>
          </w:p>
        </w:tc>
      </w:tr>
      <w:tr w:rsidR="00AD5BB5">
        <w:trPr>
          <w:trHeight w:val="293"/>
        </w:trPr>
        <w:tc>
          <w:tcPr>
            <w:tcW w:w="3235" w:type="dxa"/>
            <w:vAlign w:val="center"/>
          </w:tcPr>
          <w:p w:rsidR="00AD5BB5" w:rsidRDefault="00F87FF6">
            <w:pPr>
              <w:spacing w:line="360" w:lineRule="auto"/>
              <w:jc w:val="center"/>
              <w:rPr>
                <w:rFonts w:ascii="Times New Roman" w:hAnsi="Times New Roman"/>
              </w:rPr>
            </w:pPr>
            <w:r>
              <w:rPr>
                <w:rFonts w:ascii="Times New Roman" w:hAnsi="Times New Roman" w:hint="eastAsia"/>
              </w:rPr>
              <w:t>龙岩</w:t>
            </w:r>
          </w:p>
        </w:tc>
        <w:tc>
          <w:tcPr>
            <w:tcW w:w="2342" w:type="dxa"/>
            <w:vAlign w:val="center"/>
          </w:tcPr>
          <w:p w:rsidR="00AD5BB5" w:rsidRDefault="00F87FF6">
            <w:pPr>
              <w:spacing w:line="360" w:lineRule="auto"/>
              <w:jc w:val="center"/>
              <w:rPr>
                <w:rFonts w:ascii="Times New Roman" w:hAnsi="Times New Roman"/>
              </w:rPr>
            </w:pPr>
            <w:r>
              <w:rPr>
                <w:rFonts w:ascii="Times New Roman" w:hAnsi="Times New Roman"/>
              </w:rPr>
              <w:t>18</w:t>
            </w:r>
          </w:p>
        </w:tc>
        <w:tc>
          <w:tcPr>
            <w:tcW w:w="3062" w:type="dxa"/>
            <w:vAlign w:val="center"/>
          </w:tcPr>
          <w:p w:rsidR="00AD5BB5" w:rsidRDefault="00F87FF6">
            <w:pPr>
              <w:spacing w:line="360" w:lineRule="auto"/>
              <w:jc w:val="center"/>
              <w:rPr>
                <w:rFonts w:ascii="Times New Roman" w:hAnsi="Times New Roman"/>
              </w:rPr>
            </w:pPr>
            <w:r>
              <w:rPr>
                <w:rFonts w:ascii="Times New Roman" w:hAnsi="Times New Roman"/>
              </w:rPr>
              <w:t>0.96</w:t>
            </w:r>
          </w:p>
        </w:tc>
      </w:tr>
      <w:tr w:rsidR="00AD5BB5">
        <w:trPr>
          <w:trHeight w:val="303"/>
        </w:trPr>
        <w:tc>
          <w:tcPr>
            <w:tcW w:w="3235" w:type="dxa"/>
            <w:vAlign w:val="center"/>
          </w:tcPr>
          <w:p w:rsidR="00AD5BB5" w:rsidRDefault="00F87FF6">
            <w:pPr>
              <w:spacing w:line="360" w:lineRule="auto"/>
              <w:jc w:val="center"/>
              <w:rPr>
                <w:rFonts w:ascii="Times New Roman" w:hAnsi="Times New Roman"/>
              </w:rPr>
            </w:pPr>
            <w:r>
              <w:rPr>
                <w:rFonts w:ascii="Times New Roman" w:hAnsi="Times New Roman" w:hint="eastAsia"/>
              </w:rPr>
              <w:t>合计</w:t>
            </w:r>
          </w:p>
        </w:tc>
        <w:tc>
          <w:tcPr>
            <w:tcW w:w="2342" w:type="dxa"/>
            <w:vAlign w:val="center"/>
          </w:tcPr>
          <w:p w:rsidR="00AD5BB5" w:rsidRDefault="00F87FF6">
            <w:pPr>
              <w:spacing w:line="360" w:lineRule="auto"/>
              <w:jc w:val="center"/>
              <w:rPr>
                <w:rFonts w:ascii="Times New Roman" w:hAnsi="Times New Roman"/>
              </w:rPr>
            </w:pPr>
            <w:r>
              <w:rPr>
                <w:rFonts w:ascii="Times New Roman" w:hAnsi="Times New Roman"/>
              </w:rPr>
              <w:t>1,868</w:t>
            </w:r>
          </w:p>
        </w:tc>
        <w:tc>
          <w:tcPr>
            <w:tcW w:w="3062" w:type="dxa"/>
            <w:vAlign w:val="center"/>
          </w:tcPr>
          <w:p w:rsidR="00AD5BB5" w:rsidRDefault="00F87FF6">
            <w:pPr>
              <w:spacing w:line="360" w:lineRule="auto"/>
              <w:jc w:val="center"/>
              <w:rPr>
                <w:rFonts w:ascii="Times New Roman" w:hAnsi="Times New Roman"/>
              </w:rPr>
            </w:pPr>
            <w:r>
              <w:rPr>
                <w:rFonts w:ascii="Times New Roman" w:hAnsi="Times New Roman"/>
              </w:rPr>
              <w:t>100</w:t>
            </w:r>
          </w:p>
        </w:tc>
      </w:tr>
    </w:tbl>
    <w:p w:rsidR="00AD5BB5" w:rsidRDefault="00F87FF6">
      <w:pPr>
        <w:spacing w:line="360" w:lineRule="auto"/>
        <w:ind w:firstLineChars="200" w:firstLine="420"/>
        <w:rPr>
          <w:rFonts w:ascii="Times New Roman" w:hAnsi="Times New Roman"/>
        </w:rPr>
      </w:pPr>
      <w:r>
        <w:rPr>
          <w:rFonts w:ascii="Times New Roman" w:hAnsi="Times New Roman" w:hint="eastAsia"/>
        </w:rPr>
        <w:t>从涉</w:t>
      </w:r>
      <w:proofErr w:type="gramStart"/>
      <w:r>
        <w:rPr>
          <w:rFonts w:ascii="Times New Roman" w:hAnsi="Times New Roman" w:hint="eastAsia"/>
        </w:rPr>
        <w:t>诉机构</w:t>
      </w:r>
      <w:proofErr w:type="gramEnd"/>
      <w:r>
        <w:rPr>
          <w:rFonts w:ascii="Times New Roman" w:hAnsi="Times New Roman" w:hint="eastAsia"/>
        </w:rPr>
        <w:t>分布情况看，厦门地区涉及投诉数量最多，占比</w:t>
      </w:r>
      <w:r>
        <w:rPr>
          <w:rFonts w:ascii="Times New Roman" w:hAnsi="Times New Roman"/>
        </w:rPr>
        <w:t>76.39%</w:t>
      </w:r>
      <w:r>
        <w:rPr>
          <w:rFonts w:ascii="Times New Roman" w:hAnsi="Times New Roman" w:hint="eastAsia"/>
        </w:rPr>
        <w:t>，主要涉及总行及厦门辖区分支机构；其次泉州、福州、重庆地区机构涉及投诉数量相对较多，合计占比</w:t>
      </w:r>
      <w:r>
        <w:rPr>
          <w:rFonts w:ascii="Times New Roman" w:hAnsi="Times New Roman"/>
        </w:rPr>
        <w:t>14.13%</w:t>
      </w:r>
      <w:r>
        <w:rPr>
          <w:rFonts w:ascii="Times New Roman" w:hAnsi="Times New Roman" w:hint="eastAsia"/>
        </w:rPr>
        <w:t>。</w:t>
      </w:r>
    </w:p>
    <w:p w:rsidR="00AD5BB5" w:rsidRDefault="00F87FF6">
      <w:pPr>
        <w:spacing w:line="360" w:lineRule="auto"/>
        <w:ind w:firstLineChars="200" w:firstLine="420"/>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）投诉业务类别</w:t>
      </w:r>
      <w:r>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1"/>
        <w:gridCol w:w="2247"/>
        <w:gridCol w:w="2935"/>
      </w:tblGrid>
      <w:tr w:rsidR="00AD5BB5">
        <w:trPr>
          <w:trHeight w:val="293"/>
        </w:trPr>
        <w:tc>
          <w:tcPr>
            <w:tcW w:w="3188" w:type="dxa"/>
          </w:tcPr>
          <w:p w:rsidR="00AD5BB5" w:rsidRDefault="00F87FF6">
            <w:pPr>
              <w:spacing w:line="360" w:lineRule="auto"/>
              <w:jc w:val="center"/>
              <w:rPr>
                <w:rFonts w:ascii="Times New Roman" w:hAnsi="Times New Roman"/>
              </w:rPr>
            </w:pPr>
            <w:r>
              <w:rPr>
                <w:rFonts w:ascii="Times New Roman" w:hAnsi="Times New Roman" w:hint="eastAsia"/>
              </w:rPr>
              <w:t>类别</w:t>
            </w:r>
          </w:p>
        </w:tc>
        <w:tc>
          <w:tcPr>
            <w:tcW w:w="2312" w:type="dxa"/>
          </w:tcPr>
          <w:p w:rsidR="00AD5BB5" w:rsidRDefault="00F87FF6">
            <w:pPr>
              <w:spacing w:line="360" w:lineRule="auto"/>
              <w:jc w:val="center"/>
              <w:rPr>
                <w:rFonts w:ascii="Times New Roman" w:hAnsi="Times New Roman"/>
              </w:rPr>
            </w:pPr>
            <w:r>
              <w:rPr>
                <w:rFonts w:ascii="Times New Roman" w:hAnsi="Times New Roman" w:hint="eastAsia"/>
              </w:rPr>
              <w:t>投诉数量（起）</w:t>
            </w:r>
          </w:p>
        </w:tc>
        <w:tc>
          <w:tcPr>
            <w:tcW w:w="3022" w:type="dxa"/>
          </w:tcPr>
          <w:p w:rsidR="00AD5BB5" w:rsidRDefault="00F87FF6">
            <w:pPr>
              <w:spacing w:line="360" w:lineRule="auto"/>
              <w:ind w:firstLineChars="300" w:firstLine="630"/>
              <w:jc w:val="center"/>
              <w:rPr>
                <w:rFonts w:ascii="Times New Roman" w:hAnsi="Times New Roman"/>
              </w:rPr>
            </w:pPr>
            <w:r>
              <w:rPr>
                <w:rFonts w:ascii="Times New Roman" w:hAnsi="Times New Roman" w:hint="eastAsia"/>
              </w:rPr>
              <w:t>占比（</w:t>
            </w:r>
            <w:r>
              <w:rPr>
                <w:rFonts w:ascii="Times New Roman" w:hAnsi="Times New Roman"/>
              </w:rPr>
              <w:t>%</w:t>
            </w:r>
            <w:r>
              <w:rPr>
                <w:rFonts w:ascii="Times New Roman" w:hAnsi="Times New Roman" w:hint="eastAsia"/>
              </w:rPr>
              <w:t>）</w:t>
            </w:r>
          </w:p>
        </w:tc>
      </w:tr>
      <w:tr w:rsidR="00AD5BB5">
        <w:trPr>
          <w:trHeight w:val="293"/>
        </w:trPr>
        <w:tc>
          <w:tcPr>
            <w:tcW w:w="3188" w:type="dxa"/>
          </w:tcPr>
          <w:p w:rsidR="00AD5BB5" w:rsidRDefault="00F87FF6">
            <w:pPr>
              <w:spacing w:line="360" w:lineRule="auto"/>
              <w:jc w:val="center"/>
              <w:rPr>
                <w:rFonts w:ascii="Times New Roman" w:hAnsi="Times New Roman"/>
              </w:rPr>
            </w:pPr>
            <w:r>
              <w:rPr>
                <w:rFonts w:ascii="Times New Roman" w:hAnsi="Times New Roman" w:hint="eastAsia"/>
              </w:rPr>
              <w:t>贷款</w:t>
            </w:r>
          </w:p>
        </w:tc>
        <w:tc>
          <w:tcPr>
            <w:tcW w:w="2312" w:type="dxa"/>
          </w:tcPr>
          <w:p w:rsidR="00AD5BB5" w:rsidRDefault="00F87FF6">
            <w:pPr>
              <w:spacing w:line="360" w:lineRule="auto"/>
              <w:jc w:val="center"/>
              <w:rPr>
                <w:rFonts w:ascii="Times New Roman" w:hAnsi="Times New Roman"/>
              </w:rPr>
            </w:pPr>
            <w:r>
              <w:rPr>
                <w:rFonts w:ascii="Times New Roman" w:hAnsi="Times New Roman"/>
              </w:rPr>
              <w:t>513</w:t>
            </w:r>
          </w:p>
        </w:tc>
        <w:tc>
          <w:tcPr>
            <w:tcW w:w="3022" w:type="dxa"/>
          </w:tcPr>
          <w:p w:rsidR="00AD5BB5" w:rsidRDefault="00F87FF6">
            <w:pPr>
              <w:spacing w:line="360" w:lineRule="auto"/>
              <w:jc w:val="center"/>
              <w:rPr>
                <w:rFonts w:ascii="Times New Roman" w:hAnsi="Times New Roman"/>
              </w:rPr>
            </w:pPr>
            <w:r>
              <w:rPr>
                <w:rFonts w:ascii="Times New Roman" w:hAnsi="Times New Roman"/>
              </w:rPr>
              <w:t>27.46</w:t>
            </w:r>
          </w:p>
        </w:tc>
      </w:tr>
      <w:tr w:rsidR="00AD5BB5">
        <w:trPr>
          <w:trHeight w:val="293"/>
        </w:trPr>
        <w:tc>
          <w:tcPr>
            <w:tcW w:w="3188" w:type="dxa"/>
          </w:tcPr>
          <w:p w:rsidR="00AD5BB5" w:rsidRDefault="00F87FF6">
            <w:pPr>
              <w:spacing w:line="360" w:lineRule="auto"/>
              <w:jc w:val="center"/>
              <w:rPr>
                <w:rFonts w:ascii="Times New Roman" w:hAnsi="Times New Roman"/>
              </w:rPr>
            </w:pPr>
            <w:r>
              <w:rPr>
                <w:rFonts w:ascii="Times New Roman" w:hAnsi="Times New Roman" w:hint="eastAsia"/>
              </w:rPr>
              <w:t>信用卡</w:t>
            </w:r>
          </w:p>
        </w:tc>
        <w:tc>
          <w:tcPr>
            <w:tcW w:w="2312" w:type="dxa"/>
          </w:tcPr>
          <w:p w:rsidR="00AD5BB5" w:rsidRDefault="00F87FF6">
            <w:pPr>
              <w:spacing w:line="360" w:lineRule="auto"/>
              <w:jc w:val="center"/>
              <w:rPr>
                <w:rFonts w:ascii="Times New Roman" w:hAnsi="Times New Roman"/>
              </w:rPr>
            </w:pPr>
            <w:r>
              <w:rPr>
                <w:rFonts w:ascii="Times New Roman" w:hAnsi="Times New Roman"/>
              </w:rPr>
              <w:t>468</w:t>
            </w:r>
          </w:p>
        </w:tc>
        <w:tc>
          <w:tcPr>
            <w:tcW w:w="3022" w:type="dxa"/>
          </w:tcPr>
          <w:p w:rsidR="00AD5BB5" w:rsidRDefault="00F87FF6">
            <w:pPr>
              <w:spacing w:line="360" w:lineRule="auto"/>
              <w:jc w:val="center"/>
              <w:rPr>
                <w:rFonts w:ascii="Times New Roman" w:hAnsi="Times New Roman"/>
              </w:rPr>
            </w:pPr>
            <w:r>
              <w:rPr>
                <w:rFonts w:ascii="Times New Roman" w:hAnsi="Times New Roman"/>
              </w:rPr>
              <w:t>25.05</w:t>
            </w:r>
          </w:p>
        </w:tc>
      </w:tr>
      <w:tr w:rsidR="00AD5BB5">
        <w:trPr>
          <w:trHeight w:val="90"/>
        </w:trPr>
        <w:tc>
          <w:tcPr>
            <w:tcW w:w="3188" w:type="dxa"/>
          </w:tcPr>
          <w:p w:rsidR="00AD5BB5" w:rsidRDefault="00F87FF6">
            <w:pPr>
              <w:spacing w:line="360" w:lineRule="auto"/>
              <w:jc w:val="center"/>
              <w:rPr>
                <w:rFonts w:ascii="Times New Roman" w:hAnsi="Times New Roman"/>
              </w:rPr>
            </w:pPr>
            <w:r>
              <w:rPr>
                <w:rFonts w:ascii="Times New Roman" w:hAnsi="Times New Roman" w:hint="eastAsia"/>
              </w:rPr>
              <w:t>借记卡</w:t>
            </w:r>
          </w:p>
        </w:tc>
        <w:tc>
          <w:tcPr>
            <w:tcW w:w="2312" w:type="dxa"/>
          </w:tcPr>
          <w:p w:rsidR="00AD5BB5" w:rsidRDefault="00F87FF6">
            <w:pPr>
              <w:spacing w:line="360" w:lineRule="auto"/>
              <w:jc w:val="center"/>
              <w:rPr>
                <w:rFonts w:ascii="Times New Roman" w:hAnsi="Times New Roman"/>
              </w:rPr>
            </w:pPr>
            <w:r>
              <w:rPr>
                <w:rFonts w:ascii="Times New Roman" w:hAnsi="Times New Roman"/>
              </w:rPr>
              <w:t>450</w:t>
            </w:r>
          </w:p>
        </w:tc>
        <w:tc>
          <w:tcPr>
            <w:tcW w:w="3022" w:type="dxa"/>
          </w:tcPr>
          <w:p w:rsidR="00AD5BB5" w:rsidRDefault="00F87FF6">
            <w:pPr>
              <w:spacing w:line="360" w:lineRule="auto"/>
              <w:jc w:val="center"/>
              <w:rPr>
                <w:rFonts w:ascii="Times New Roman" w:hAnsi="Times New Roman"/>
              </w:rPr>
            </w:pPr>
            <w:r>
              <w:rPr>
                <w:rFonts w:ascii="Times New Roman" w:hAnsi="Times New Roman"/>
              </w:rPr>
              <w:t>24.09</w:t>
            </w:r>
          </w:p>
        </w:tc>
      </w:tr>
      <w:tr w:rsidR="00AD5BB5">
        <w:trPr>
          <w:trHeight w:val="293"/>
        </w:trPr>
        <w:tc>
          <w:tcPr>
            <w:tcW w:w="3188" w:type="dxa"/>
          </w:tcPr>
          <w:p w:rsidR="00AD5BB5" w:rsidRDefault="00F87FF6">
            <w:pPr>
              <w:spacing w:line="360" w:lineRule="auto"/>
              <w:rPr>
                <w:rFonts w:ascii="Times New Roman" w:hAnsi="Times New Roman"/>
              </w:rPr>
            </w:pPr>
            <w:r>
              <w:rPr>
                <w:rFonts w:ascii="Times New Roman" w:hAnsi="Times New Roman"/>
              </w:rPr>
              <w:lastRenderedPageBreak/>
              <w:t xml:space="preserve">         </w:t>
            </w:r>
            <w:r>
              <w:rPr>
                <w:rFonts w:ascii="Times New Roman" w:hAnsi="Times New Roman" w:hint="eastAsia"/>
              </w:rPr>
              <w:t>个人金融信息</w:t>
            </w:r>
          </w:p>
        </w:tc>
        <w:tc>
          <w:tcPr>
            <w:tcW w:w="2312" w:type="dxa"/>
          </w:tcPr>
          <w:p w:rsidR="00AD5BB5" w:rsidRDefault="00F87FF6">
            <w:pPr>
              <w:spacing w:line="360" w:lineRule="auto"/>
              <w:jc w:val="center"/>
              <w:rPr>
                <w:rFonts w:ascii="Times New Roman" w:hAnsi="Times New Roman"/>
              </w:rPr>
            </w:pPr>
            <w:r>
              <w:rPr>
                <w:rFonts w:ascii="Times New Roman" w:hAnsi="Times New Roman"/>
              </w:rPr>
              <w:t>93</w:t>
            </w:r>
          </w:p>
        </w:tc>
        <w:tc>
          <w:tcPr>
            <w:tcW w:w="3022" w:type="dxa"/>
          </w:tcPr>
          <w:p w:rsidR="00AD5BB5" w:rsidRDefault="00F87FF6">
            <w:pPr>
              <w:spacing w:line="360" w:lineRule="auto"/>
              <w:jc w:val="center"/>
              <w:rPr>
                <w:rFonts w:ascii="Times New Roman" w:hAnsi="Times New Roman"/>
              </w:rPr>
            </w:pPr>
            <w:r>
              <w:rPr>
                <w:rFonts w:ascii="Times New Roman" w:hAnsi="Times New Roman"/>
              </w:rPr>
              <w:t>4.98</w:t>
            </w:r>
          </w:p>
        </w:tc>
      </w:tr>
      <w:tr w:rsidR="00AD5BB5">
        <w:trPr>
          <w:trHeight w:val="293"/>
        </w:trPr>
        <w:tc>
          <w:tcPr>
            <w:tcW w:w="3188" w:type="dxa"/>
          </w:tcPr>
          <w:p w:rsidR="00AD5BB5" w:rsidRDefault="00F87FF6">
            <w:pPr>
              <w:spacing w:line="360" w:lineRule="auto"/>
              <w:jc w:val="center"/>
              <w:rPr>
                <w:rFonts w:ascii="Times New Roman" w:hAnsi="Times New Roman"/>
              </w:rPr>
            </w:pPr>
            <w:r>
              <w:rPr>
                <w:rFonts w:ascii="Times New Roman" w:hAnsi="Times New Roman" w:hint="eastAsia"/>
              </w:rPr>
              <w:t>支付结算</w:t>
            </w:r>
          </w:p>
        </w:tc>
        <w:tc>
          <w:tcPr>
            <w:tcW w:w="2312" w:type="dxa"/>
          </w:tcPr>
          <w:p w:rsidR="00AD5BB5" w:rsidRDefault="00F87FF6">
            <w:pPr>
              <w:spacing w:line="360" w:lineRule="auto"/>
              <w:jc w:val="center"/>
              <w:rPr>
                <w:rFonts w:ascii="Times New Roman" w:hAnsi="Times New Roman"/>
              </w:rPr>
            </w:pPr>
            <w:r>
              <w:rPr>
                <w:rFonts w:ascii="Times New Roman" w:hAnsi="Times New Roman"/>
              </w:rPr>
              <w:t>85</w:t>
            </w:r>
          </w:p>
        </w:tc>
        <w:tc>
          <w:tcPr>
            <w:tcW w:w="3022" w:type="dxa"/>
          </w:tcPr>
          <w:p w:rsidR="00AD5BB5" w:rsidRDefault="00F87FF6">
            <w:pPr>
              <w:spacing w:line="360" w:lineRule="auto"/>
              <w:jc w:val="center"/>
              <w:rPr>
                <w:rFonts w:ascii="Times New Roman" w:hAnsi="Times New Roman"/>
              </w:rPr>
            </w:pPr>
            <w:r>
              <w:rPr>
                <w:rFonts w:ascii="Times New Roman" w:hAnsi="Times New Roman"/>
              </w:rPr>
              <w:t>4.55</w:t>
            </w:r>
          </w:p>
        </w:tc>
      </w:tr>
      <w:tr w:rsidR="00AD5BB5">
        <w:trPr>
          <w:trHeight w:val="293"/>
        </w:trPr>
        <w:tc>
          <w:tcPr>
            <w:tcW w:w="3188" w:type="dxa"/>
          </w:tcPr>
          <w:p w:rsidR="00AD5BB5" w:rsidRDefault="00F87FF6">
            <w:pPr>
              <w:spacing w:line="360" w:lineRule="auto"/>
              <w:jc w:val="center"/>
              <w:rPr>
                <w:rFonts w:ascii="Times New Roman" w:hAnsi="Times New Roman"/>
              </w:rPr>
            </w:pPr>
            <w:r>
              <w:rPr>
                <w:rFonts w:ascii="Times New Roman" w:hAnsi="Times New Roman" w:hint="eastAsia"/>
              </w:rPr>
              <w:t>理财</w:t>
            </w:r>
          </w:p>
        </w:tc>
        <w:tc>
          <w:tcPr>
            <w:tcW w:w="2312" w:type="dxa"/>
          </w:tcPr>
          <w:p w:rsidR="00AD5BB5" w:rsidRDefault="00F87FF6">
            <w:pPr>
              <w:spacing w:line="360" w:lineRule="auto"/>
              <w:jc w:val="center"/>
              <w:rPr>
                <w:rFonts w:ascii="Times New Roman" w:hAnsi="Times New Roman"/>
              </w:rPr>
            </w:pPr>
            <w:r>
              <w:rPr>
                <w:rFonts w:ascii="Times New Roman" w:hAnsi="Times New Roman"/>
              </w:rPr>
              <w:t>51</w:t>
            </w:r>
          </w:p>
        </w:tc>
        <w:tc>
          <w:tcPr>
            <w:tcW w:w="3022" w:type="dxa"/>
          </w:tcPr>
          <w:p w:rsidR="00AD5BB5" w:rsidRDefault="00F87FF6">
            <w:pPr>
              <w:spacing w:line="360" w:lineRule="auto"/>
              <w:jc w:val="center"/>
              <w:rPr>
                <w:rFonts w:ascii="Times New Roman" w:hAnsi="Times New Roman"/>
              </w:rPr>
            </w:pPr>
            <w:r>
              <w:rPr>
                <w:rFonts w:ascii="Times New Roman" w:hAnsi="Times New Roman"/>
              </w:rPr>
              <w:t>2.73</w:t>
            </w:r>
          </w:p>
        </w:tc>
      </w:tr>
      <w:tr w:rsidR="00AD5BB5">
        <w:trPr>
          <w:trHeight w:val="293"/>
        </w:trPr>
        <w:tc>
          <w:tcPr>
            <w:tcW w:w="3188" w:type="dxa"/>
          </w:tcPr>
          <w:p w:rsidR="00AD5BB5" w:rsidRDefault="00F87FF6">
            <w:pPr>
              <w:spacing w:line="360" w:lineRule="auto"/>
              <w:ind w:firstLineChars="600" w:firstLine="1260"/>
              <w:rPr>
                <w:rFonts w:ascii="Times New Roman" w:hAnsi="Times New Roman"/>
              </w:rPr>
            </w:pPr>
            <w:r>
              <w:rPr>
                <w:rFonts w:ascii="Times New Roman" w:hAnsi="Times New Roman" w:hint="eastAsia"/>
              </w:rPr>
              <w:t>其他</w:t>
            </w:r>
          </w:p>
        </w:tc>
        <w:tc>
          <w:tcPr>
            <w:tcW w:w="2312" w:type="dxa"/>
          </w:tcPr>
          <w:p w:rsidR="00AD5BB5" w:rsidRDefault="00F87FF6">
            <w:pPr>
              <w:spacing w:line="360" w:lineRule="auto"/>
              <w:jc w:val="center"/>
              <w:rPr>
                <w:rFonts w:ascii="Times New Roman" w:hAnsi="Times New Roman"/>
              </w:rPr>
            </w:pPr>
            <w:r>
              <w:rPr>
                <w:rFonts w:ascii="Times New Roman" w:hAnsi="Times New Roman"/>
              </w:rPr>
              <w:t>208</w:t>
            </w:r>
          </w:p>
        </w:tc>
        <w:tc>
          <w:tcPr>
            <w:tcW w:w="3022" w:type="dxa"/>
          </w:tcPr>
          <w:p w:rsidR="00AD5BB5" w:rsidRDefault="00F87FF6">
            <w:pPr>
              <w:spacing w:line="360" w:lineRule="auto"/>
              <w:jc w:val="center"/>
              <w:rPr>
                <w:rFonts w:ascii="Times New Roman" w:hAnsi="Times New Roman"/>
              </w:rPr>
            </w:pPr>
            <w:r>
              <w:rPr>
                <w:rFonts w:ascii="Times New Roman" w:hAnsi="Times New Roman"/>
              </w:rPr>
              <w:t>11.14</w:t>
            </w:r>
          </w:p>
        </w:tc>
      </w:tr>
      <w:tr w:rsidR="00AD5BB5">
        <w:trPr>
          <w:trHeight w:val="293"/>
        </w:trPr>
        <w:tc>
          <w:tcPr>
            <w:tcW w:w="3188" w:type="dxa"/>
          </w:tcPr>
          <w:p w:rsidR="00AD5BB5" w:rsidRDefault="00F87FF6">
            <w:pPr>
              <w:spacing w:line="360" w:lineRule="auto"/>
              <w:ind w:firstLineChars="600" w:firstLine="1260"/>
              <w:rPr>
                <w:rFonts w:ascii="Times New Roman" w:hAnsi="Times New Roman"/>
              </w:rPr>
            </w:pPr>
            <w:r>
              <w:rPr>
                <w:rFonts w:ascii="Times New Roman" w:hAnsi="Times New Roman" w:hint="eastAsia"/>
              </w:rPr>
              <w:t>合计</w:t>
            </w:r>
          </w:p>
        </w:tc>
        <w:tc>
          <w:tcPr>
            <w:tcW w:w="2312" w:type="dxa"/>
          </w:tcPr>
          <w:p w:rsidR="00AD5BB5" w:rsidRDefault="00F87FF6">
            <w:pPr>
              <w:spacing w:line="360" w:lineRule="auto"/>
              <w:jc w:val="center"/>
              <w:rPr>
                <w:rFonts w:ascii="Times New Roman" w:hAnsi="Times New Roman"/>
              </w:rPr>
            </w:pPr>
            <w:r>
              <w:rPr>
                <w:rFonts w:ascii="Times New Roman" w:hAnsi="Times New Roman"/>
              </w:rPr>
              <w:t>1</w:t>
            </w:r>
            <w:r>
              <w:rPr>
                <w:rFonts w:ascii="Times New Roman" w:hAnsi="Times New Roman" w:hint="eastAsia"/>
              </w:rPr>
              <w:t>,</w:t>
            </w:r>
            <w:r>
              <w:rPr>
                <w:rFonts w:ascii="Times New Roman" w:hAnsi="Times New Roman"/>
              </w:rPr>
              <w:t>868</w:t>
            </w:r>
          </w:p>
        </w:tc>
        <w:tc>
          <w:tcPr>
            <w:tcW w:w="3022" w:type="dxa"/>
          </w:tcPr>
          <w:p w:rsidR="00AD5BB5" w:rsidRDefault="00F87FF6">
            <w:pPr>
              <w:spacing w:line="360" w:lineRule="auto"/>
              <w:jc w:val="center"/>
              <w:rPr>
                <w:rFonts w:ascii="Times New Roman" w:hAnsi="Times New Roman"/>
              </w:rPr>
            </w:pPr>
            <w:r>
              <w:rPr>
                <w:rFonts w:ascii="Times New Roman" w:hAnsi="Times New Roman"/>
              </w:rPr>
              <w:t>100</w:t>
            </w:r>
          </w:p>
        </w:tc>
      </w:tr>
    </w:tbl>
    <w:p w:rsidR="00AD5BB5" w:rsidRDefault="00F87FF6">
      <w:pPr>
        <w:spacing w:line="360" w:lineRule="auto"/>
        <w:ind w:firstLineChars="200" w:firstLine="420"/>
        <w:rPr>
          <w:rFonts w:ascii="Times New Roman" w:hAnsi="Times New Roman"/>
        </w:rPr>
      </w:pPr>
      <w:r>
        <w:rPr>
          <w:rFonts w:ascii="Times New Roman" w:hAnsi="Times New Roman" w:hint="eastAsia"/>
        </w:rPr>
        <w:t>从投诉涉及业务类别来看</w:t>
      </w:r>
      <w:r>
        <w:rPr>
          <w:rFonts w:ascii="Times New Roman" w:hAnsi="Times New Roman"/>
        </w:rPr>
        <w:t>,</w:t>
      </w:r>
      <w:r>
        <w:rPr>
          <w:rFonts w:ascii="Times New Roman" w:hAnsi="Times New Roman" w:hint="eastAsia"/>
        </w:rPr>
        <w:t>主要涉及三类业务，其中贷款业务的投诉数量最多，占比</w:t>
      </w:r>
      <w:r>
        <w:rPr>
          <w:rFonts w:ascii="Times New Roman" w:hAnsi="Times New Roman"/>
        </w:rPr>
        <w:t>27.46%</w:t>
      </w:r>
      <w:r>
        <w:rPr>
          <w:rFonts w:ascii="Times New Roman" w:hAnsi="Times New Roman" w:hint="eastAsia"/>
        </w:rPr>
        <w:t>；其次信用卡业务、借记卡业务涉及投诉数量相对较高，合计占比</w:t>
      </w:r>
      <w:r>
        <w:rPr>
          <w:rFonts w:ascii="Times New Roman" w:hAnsi="Times New Roman"/>
        </w:rPr>
        <w:t>49.14%</w:t>
      </w:r>
      <w:r>
        <w:rPr>
          <w:rFonts w:ascii="Times New Roman" w:hAnsi="Times New Roman" w:hint="eastAsia"/>
        </w:rPr>
        <w:t>。</w:t>
      </w:r>
    </w:p>
    <w:p w:rsidR="00AD5BB5" w:rsidRDefault="00F87FF6">
      <w:pPr>
        <w:spacing w:line="360" w:lineRule="auto"/>
        <w:ind w:firstLineChars="200" w:firstLine="420"/>
        <w:rPr>
          <w:rFonts w:ascii="Times New Roman" w:hAnsi="Times New Roman"/>
        </w:rPr>
      </w:pPr>
      <w:r>
        <w:rPr>
          <w:rFonts w:ascii="Times New Roman" w:hAnsi="Times New Roman" w:hint="eastAsia"/>
        </w:rPr>
        <w:t>（</w:t>
      </w:r>
      <w:r>
        <w:rPr>
          <w:rFonts w:ascii="Times New Roman" w:hAnsi="Times New Roman"/>
        </w:rPr>
        <w:t>3</w:t>
      </w:r>
      <w:r>
        <w:rPr>
          <w:rFonts w:ascii="Times New Roman" w:hAnsi="Times New Roman" w:hint="eastAsia"/>
        </w:rPr>
        <w:t>）投诉原因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780"/>
        <w:gridCol w:w="2778"/>
      </w:tblGrid>
      <w:tr w:rsidR="00AD5BB5">
        <w:tc>
          <w:tcPr>
            <w:tcW w:w="2830" w:type="dxa"/>
          </w:tcPr>
          <w:p w:rsidR="00AD5BB5" w:rsidRDefault="00F87FF6">
            <w:pPr>
              <w:spacing w:line="360" w:lineRule="auto"/>
              <w:jc w:val="center"/>
              <w:rPr>
                <w:rFonts w:ascii="Times New Roman" w:hAnsi="Times New Roman"/>
              </w:rPr>
            </w:pPr>
            <w:r>
              <w:rPr>
                <w:rFonts w:ascii="Times New Roman" w:hAnsi="Times New Roman" w:hint="eastAsia"/>
              </w:rPr>
              <w:t>投诉原因</w:t>
            </w:r>
          </w:p>
        </w:tc>
        <w:tc>
          <w:tcPr>
            <w:tcW w:w="2850" w:type="dxa"/>
          </w:tcPr>
          <w:p w:rsidR="00AD5BB5" w:rsidRDefault="00F87FF6">
            <w:pPr>
              <w:spacing w:line="360" w:lineRule="auto"/>
              <w:jc w:val="center"/>
              <w:rPr>
                <w:rFonts w:ascii="Times New Roman" w:hAnsi="Times New Roman"/>
              </w:rPr>
            </w:pPr>
            <w:r>
              <w:rPr>
                <w:rFonts w:ascii="Times New Roman" w:hAnsi="Times New Roman" w:hint="eastAsia"/>
              </w:rPr>
              <w:t>投诉数量（起）</w:t>
            </w:r>
          </w:p>
        </w:tc>
        <w:tc>
          <w:tcPr>
            <w:tcW w:w="2849" w:type="dxa"/>
          </w:tcPr>
          <w:p w:rsidR="00AD5BB5" w:rsidRDefault="00F87FF6">
            <w:pPr>
              <w:spacing w:line="360" w:lineRule="auto"/>
              <w:jc w:val="center"/>
              <w:rPr>
                <w:rFonts w:ascii="Times New Roman" w:hAnsi="Times New Roman"/>
              </w:rPr>
            </w:pPr>
            <w:r>
              <w:rPr>
                <w:rFonts w:ascii="Times New Roman" w:hAnsi="Times New Roman" w:hint="eastAsia"/>
              </w:rPr>
              <w:t>占比（</w:t>
            </w:r>
            <w:r>
              <w:rPr>
                <w:rFonts w:ascii="Times New Roman" w:hAnsi="Times New Roman"/>
              </w:rPr>
              <w:t>%</w:t>
            </w:r>
            <w:r>
              <w:rPr>
                <w:rFonts w:ascii="Times New Roman" w:hAnsi="Times New Roman" w:hint="eastAsia"/>
              </w:rPr>
              <w:t>）</w:t>
            </w:r>
          </w:p>
        </w:tc>
      </w:tr>
      <w:tr w:rsidR="00AD5BB5">
        <w:tc>
          <w:tcPr>
            <w:tcW w:w="2830" w:type="dxa"/>
          </w:tcPr>
          <w:p w:rsidR="00AD5BB5" w:rsidRDefault="00F87FF6">
            <w:pPr>
              <w:spacing w:line="360" w:lineRule="auto"/>
              <w:jc w:val="center"/>
              <w:rPr>
                <w:rFonts w:ascii="Times New Roman" w:hAnsi="Times New Roman"/>
              </w:rPr>
            </w:pPr>
            <w:r>
              <w:rPr>
                <w:rFonts w:ascii="Times New Roman" w:hAnsi="Times New Roman" w:hint="eastAsia"/>
              </w:rPr>
              <w:t>管理制度</w:t>
            </w:r>
            <w:r>
              <w:rPr>
                <w:rFonts w:ascii="Times New Roman" w:hAnsi="Times New Roman"/>
              </w:rPr>
              <w:t>/</w:t>
            </w:r>
            <w:r>
              <w:rPr>
                <w:rFonts w:ascii="Times New Roman" w:hAnsi="Times New Roman" w:hint="eastAsia"/>
              </w:rPr>
              <w:t>业务规则</w:t>
            </w:r>
            <w:r>
              <w:rPr>
                <w:rFonts w:ascii="Times New Roman" w:hAnsi="Times New Roman"/>
              </w:rPr>
              <w:t>/</w:t>
            </w:r>
            <w:r>
              <w:rPr>
                <w:rFonts w:ascii="Times New Roman" w:hAnsi="Times New Roman" w:hint="eastAsia"/>
              </w:rPr>
              <w:t>流程</w:t>
            </w:r>
          </w:p>
        </w:tc>
        <w:tc>
          <w:tcPr>
            <w:tcW w:w="2850" w:type="dxa"/>
          </w:tcPr>
          <w:p w:rsidR="00AD5BB5" w:rsidRDefault="00F87FF6">
            <w:pPr>
              <w:spacing w:line="360" w:lineRule="auto"/>
              <w:jc w:val="center"/>
              <w:rPr>
                <w:rFonts w:ascii="Times New Roman" w:hAnsi="Times New Roman"/>
              </w:rPr>
            </w:pPr>
            <w:r>
              <w:rPr>
                <w:rFonts w:ascii="Times New Roman" w:hAnsi="Times New Roman"/>
              </w:rPr>
              <w:t>644</w:t>
            </w:r>
          </w:p>
        </w:tc>
        <w:tc>
          <w:tcPr>
            <w:tcW w:w="2849" w:type="dxa"/>
          </w:tcPr>
          <w:p w:rsidR="00AD5BB5" w:rsidRDefault="00F87FF6">
            <w:pPr>
              <w:spacing w:line="360" w:lineRule="auto"/>
              <w:jc w:val="center"/>
              <w:rPr>
                <w:rFonts w:ascii="Times New Roman" w:hAnsi="Times New Roman"/>
              </w:rPr>
            </w:pPr>
            <w:r>
              <w:rPr>
                <w:rFonts w:ascii="Times New Roman" w:hAnsi="Times New Roman"/>
              </w:rPr>
              <w:t>34.48</w:t>
            </w:r>
          </w:p>
        </w:tc>
      </w:tr>
      <w:tr w:rsidR="00AD5BB5">
        <w:tc>
          <w:tcPr>
            <w:tcW w:w="2830" w:type="dxa"/>
          </w:tcPr>
          <w:p w:rsidR="00AD5BB5" w:rsidRDefault="00F87FF6">
            <w:pPr>
              <w:spacing w:line="360" w:lineRule="auto"/>
              <w:jc w:val="center"/>
              <w:rPr>
                <w:rFonts w:ascii="Times New Roman" w:hAnsi="Times New Roman"/>
              </w:rPr>
            </w:pPr>
            <w:r>
              <w:rPr>
                <w:rFonts w:ascii="Times New Roman" w:hAnsi="Times New Roman" w:hint="eastAsia"/>
              </w:rPr>
              <w:t>服务态度及服务质量</w:t>
            </w:r>
          </w:p>
        </w:tc>
        <w:tc>
          <w:tcPr>
            <w:tcW w:w="2850" w:type="dxa"/>
          </w:tcPr>
          <w:p w:rsidR="00AD5BB5" w:rsidRDefault="00F87FF6">
            <w:pPr>
              <w:spacing w:line="360" w:lineRule="auto"/>
              <w:jc w:val="center"/>
              <w:rPr>
                <w:rFonts w:ascii="Times New Roman" w:hAnsi="Times New Roman"/>
              </w:rPr>
            </w:pPr>
            <w:r>
              <w:rPr>
                <w:rFonts w:ascii="Times New Roman" w:hAnsi="Times New Roman"/>
              </w:rPr>
              <w:t>521</w:t>
            </w:r>
          </w:p>
        </w:tc>
        <w:tc>
          <w:tcPr>
            <w:tcW w:w="2849" w:type="dxa"/>
          </w:tcPr>
          <w:p w:rsidR="00AD5BB5" w:rsidRDefault="00F87FF6">
            <w:pPr>
              <w:spacing w:line="360" w:lineRule="auto"/>
              <w:jc w:val="center"/>
              <w:rPr>
                <w:rFonts w:ascii="Times New Roman" w:hAnsi="Times New Roman"/>
              </w:rPr>
            </w:pPr>
            <w:r>
              <w:rPr>
                <w:rFonts w:ascii="Times New Roman" w:hAnsi="Times New Roman"/>
              </w:rPr>
              <w:t>27.89</w:t>
            </w:r>
          </w:p>
        </w:tc>
      </w:tr>
      <w:tr w:rsidR="00AD5BB5">
        <w:tc>
          <w:tcPr>
            <w:tcW w:w="2830" w:type="dxa"/>
          </w:tcPr>
          <w:p w:rsidR="00AD5BB5" w:rsidRDefault="00F87FF6">
            <w:pPr>
              <w:spacing w:line="360" w:lineRule="auto"/>
              <w:jc w:val="center"/>
              <w:rPr>
                <w:rFonts w:ascii="Times New Roman" w:hAnsi="Times New Roman"/>
              </w:rPr>
            </w:pPr>
            <w:r>
              <w:rPr>
                <w:rFonts w:ascii="Times New Roman" w:hAnsi="Times New Roman" w:hint="eastAsia"/>
              </w:rPr>
              <w:t>服务设施</w:t>
            </w:r>
            <w:r>
              <w:rPr>
                <w:rFonts w:ascii="Times New Roman" w:hAnsi="Times New Roman"/>
              </w:rPr>
              <w:t>/</w:t>
            </w:r>
            <w:r>
              <w:rPr>
                <w:rFonts w:ascii="Times New Roman" w:hAnsi="Times New Roman" w:hint="eastAsia"/>
              </w:rPr>
              <w:t>设备</w:t>
            </w:r>
            <w:r>
              <w:rPr>
                <w:rFonts w:ascii="Times New Roman" w:hAnsi="Times New Roman"/>
              </w:rPr>
              <w:t>/</w:t>
            </w:r>
            <w:r>
              <w:rPr>
                <w:rFonts w:ascii="Times New Roman" w:hAnsi="Times New Roman" w:hint="eastAsia"/>
              </w:rPr>
              <w:t>业务系统</w:t>
            </w:r>
          </w:p>
        </w:tc>
        <w:tc>
          <w:tcPr>
            <w:tcW w:w="2850" w:type="dxa"/>
          </w:tcPr>
          <w:p w:rsidR="00AD5BB5" w:rsidRDefault="00F87FF6">
            <w:pPr>
              <w:spacing w:line="360" w:lineRule="auto"/>
              <w:jc w:val="center"/>
              <w:rPr>
                <w:rFonts w:ascii="Times New Roman" w:hAnsi="Times New Roman"/>
              </w:rPr>
            </w:pPr>
            <w:r>
              <w:rPr>
                <w:rFonts w:ascii="Times New Roman" w:hAnsi="Times New Roman"/>
              </w:rPr>
              <w:t>116</w:t>
            </w:r>
          </w:p>
        </w:tc>
        <w:tc>
          <w:tcPr>
            <w:tcW w:w="2849" w:type="dxa"/>
          </w:tcPr>
          <w:p w:rsidR="00AD5BB5" w:rsidRDefault="00F87FF6">
            <w:pPr>
              <w:spacing w:line="360" w:lineRule="auto"/>
              <w:jc w:val="center"/>
              <w:rPr>
                <w:rFonts w:ascii="Times New Roman" w:hAnsi="Times New Roman"/>
              </w:rPr>
            </w:pPr>
            <w:r>
              <w:rPr>
                <w:rFonts w:ascii="Times New Roman" w:hAnsi="Times New Roman"/>
              </w:rPr>
              <w:t>6.21</w:t>
            </w:r>
          </w:p>
        </w:tc>
      </w:tr>
      <w:tr w:rsidR="00AD5BB5">
        <w:tc>
          <w:tcPr>
            <w:tcW w:w="2830" w:type="dxa"/>
          </w:tcPr>
          <w:p w:rsidR="00AD5BB5" w:rsidRDefault="00F87FF6">
            <w:pPr>
              <w:spacing w:line="360" w:lineRule="auto"/>
              <w:jc w:val="center"/>
              <w:rPr>
                <w:rFonts w:ascii="Times New Roman" w:hAnsi="Times New Roman"/>
              </w:rPr>
            </w:pPr>
            <w:r>
              <w:rPr>
                <w:rFonts w:ascii="Times New Roman" w:hAnsi="Times New Roman" w:hint="eastAsia"/>
              </w:rPr>
              <w:t>信息披露</w:t>
            </w:r>
          </w:p>
        </w:tc>
        <w:tc>
          <w:tcPr>
            <w:tcW w:w="2850" w:type="dxa"/>
          </w:tcPr>
          <w:p w:rsidR="00AD5BB5" w:rsidRDefault="00F87FF6">
            <w:pPr>
              <w:spacing w:line="360" w:lineRule="auto"/>
              <w:jc w:val="center"/>
              <w:rPr>
                <w:rFonts w:ascii="Times New Roman" w:hAnsi="Times New Roman"/>
              </w:rPr>
            </w:pPr>
            <w:r>
              <w:rPr>
                <w:rFonts w:ascii="Times New Roman" w:hAnsi="Times New Roman"/>
              </w:rPr>
              <w:t>172</w:t>
            </w:r>
          </w:p>
        </w:tc>
        <w:tc>
          <w:tcPr>
            <w:tcW w:w="2849" w:type="dxa"/>
          </w:tcPr>
          <w:p w:rsidR="00AD5BB5" w:rsidRDefault="00F87FF6">
            <w:pPr>
              <w:spacing w:line="360" w:lineRule="auto"/>
              <w:jc w:val="center"/>
              <w:rPr>
                <w:rFonts w:ascii="Times New Roman" w:hAnsi="Times New Roman"/>
              </w:rPr>
            </w:pPr>
            <w:r>
              <w:rPr>
                <w:rFonts w:ascii="Times New Roman" w:hAnsi="Times New Roman"/>
              </w:rPr>
              <w:t>9.21</w:t>
            </w:r>
          </w:p>
        </w:tc>
      </w:tr>
      <w:tr w:rsidR="00AD5BB5">
        <w:tc>
          <w:tcPr>
            <w:tcW w:w="2830" w:type="dxa"/>
          </w:tcPr>
          <w:p w:rsidR="00AD5BB5" w:rsidRDefault="00F87FF6">
            <w:pPr>
              <w:spacing w:line="360" w:lineRule="auto"/>
              <w:jc w:val="center"/>
              <w:rPr>
                <w:rFonts w:ascii="Times New Roman" w:hAnsi="Times New Roman"/>
              </w:rPr>
            </w:pPr>
            <w:r>
              <w:rPr>
                <w:rFonts w:ascii="Times New Roman" w:hAnsi="Times New Roman" w:hint="eastAsia"/>
              </w:rPr>
              <w:t>定价收费</w:t>
            </w:r>
          </w:p>
        </w:tc>
        <w:tc>
          <w:tcPr>
            <w:tcW w:w="2850" w:type="dxa"/>
          </w:tcPr>
          <w:p w:rsidR="00AD5BB5" w:rsidRDefault="00F87FF6">
            <w:pPr>
              <w:spacing w:line="360" w:lineRule="auto"/>
              <w:jc w:val="center"/>
              <w:rPr>
                <w:rFonts w:ascii="Times New Roman" w:hAnsi="Times New Roman"/>
              </w:rPr>
            </w:pPr>
            <w:r>
              <w:rPr>
                <w:rFonts w:ascii="Times New Roman" w:hAnsi="Times New Roman"/>
              </w:rPr>
              <w:t>118</w:t>
            </w:r>
          </w:p>
        </w:tc>
        <w:tc>
          <w:tcPr>
            <w:tcW w:w="2849" w:type="dxa"/>
          </w:tcPr>
          <w:p w:rsidR="00AD5BB5" w:rsidRDefault="00F87FF6">
            <w:pPr>
              <w:spacing w:line="360" w:lineRule="auto"/>
              <w:jc w:val="center"/>
              <w:rPr>
                <w:rFonts w:ascii="Times New Roman" w:hAnsi="Times New Roman"/>
              </w:rPr>
            </w:pPr>
            <w:r>
              <w:rPr>
                <w:rFonts w:ascii="Times New Roman" w:hAnsi="Times New Roman"/>
              </w:rPr>
              <w:t>6.32</w:t>
            </w:r>
          </w:p>
        </w:tc>
      </w:tr>
      <w:tr w:rsidR="00AD5BB5">
        <w:tc>
          <w:tcPr>
            <w:tcW w:w="2830" w:type="dxa"/>
          </w:tcPr>
          <w:p w:rsidR="00AD5BB5" w:rsidRDefault="00F87FF6">
            <w:pPr>
              <w:spacing w:line="360" w:lineRule="auto"/>
              <w:jc w:val="center"/>
              <w:rPr>
                <w:rFonts w:ascii="Times New Roman" w:hAnsi="Times New Roman"/>
              </w:rPr>
            </w:pPr>
            <w:r>
              <w:rPr>
                <w:rFonts w:ascii="Times New Roman" w:hAnsi="Times New Roman" w:hint="eastAsia"/>
              </w:rPr>
              <w:t>债务催收方式</w:t>
            </w:r>
          </w:p>
        </w:tc>
        <w:tc>
          <w:tcPr>
            <w:tcW w:w="2850" w:type="dxa"/>
          </w:tcPr>
          <w:p w:rsidR="00AD5BB5" w:rsidRDefault="00F87FF6">
            <w:pPr>
              <w:spacing w:line="360" w:lineRule="auto"/>
              <w:jc w:val="center"/>
              <w:rPr>
                <w:rFonts w:ascii="Times New Roman" w:hAnsi="Times New Roman"/>
              </w:rPr>
            </w:pPr>
            <w:r>
              <w:rPr>
                <w:rFonts w:ascii="Times New Roman" w:hAnsi="Times New Roman"/>
              </w:rPr>
              <w:t>104</w:t>
            </w:r>
          </w:p>
        </w:tc>
        <w:tc>
          <w:tcPr>
            <w:tcW w:w="2849" w:type="dxa"/>
          </w:tcPr>
          <w:p w:rsidR="00AD5BB5" w:rsidRDefault="00F87FF6">
            <w:pPr>
              <w:spacing w:line="360" w:lineRule="auto"/>
              <w:jc w:val="center"/>
              <w:rPr>
                <w:rFonts w:ascii="Times New Roman" w:hAnsi="Times New Roman"/>
              </w:rPr>
            </w:pPr>
            <w:r>
              <w:rPr>
                <w:rFonts w:ascii="Times New Roman" w:hAnsi="Times New Roman"/>
              </w:rPr>
              <w:t>5.57</w:t>
            </w:r>
          </w:p>
        </w:tc>
      </w:tr>
      <w:tr w:rsidR="00AD5BB5">
        <w:tc>
          <w:tcPr>
            <w:tcW w:w="2830" w:type="dxa"/>
          </w:tcPr>
          <w:p w:rsidR="00AD5BB5" w:rsidRDefault="00F87FF6">
            <w:pPr>
              <w:spacing w:line="360" w:lineRule="auto"/>
              <w:jc w:val="center"/>
              <w:rPr>
                <w:rFonts w:ascii="Times New Roman" w:hAnsi="Times New Roman"/>
              </w:rPr>
            </w:pPr>
            <w:r>
              <w:rPr>
                <w:rFonts w:ascii="Times New Roman" w:hAnsi="Times New Roman" w:hint="eastAsia"/>
              </w:rPr>
              <w:t>营销方式和手段</w:t>
            </w:r>
          </w:p>
        </w:tc>
        <w:tc>
          <w:tcPr>
            <w:tcW w:w="2850" w:type="dxa"/>
          </w:tcPr>
          <w:p w:rsidR="00AD5BB5" w:rsidRDefault="00F87FF6">
            <w:pPr>
              <w:spacing w:line="360" w:lineRule="auto"/>
              <w:jc w:val="center"/>
              <w:rPr>
                <w:rFonts w:ascii="Times New Roman" w:hAnsi="Times New Roman"/>
              </w:rPr>
            </w:pPr>
            <w:r>
              <w:rPr>
                <w:rFonts w:ascii="Times New Roman" w:hAnsi="Times New Roman"/>
              </w:rPr>
              <w:t>53</w:t>
            </w:r>
          </w:p>
        </w:tc>
        <w:tc>
          <w:tcPr>
            <w:tcW w:w="2849" w:type="dxa"/>
          </w:tcPr>
          <w:p w:rsidR="00AD5BB5" w:rsidRDefault="00F87FF6">
            <w:pPr>
              <w:spacing w:line="360" w:lineRule="auto"/>
              <w:jc w:val="center"/>
              <w:rPr>
                <w:rFonts w:ascii="Times New Roman" w:hAnsi="Times New Roman"/>
              </w:rPr>
            </w:pPr>
            <w:r>
              <w:rPr>
                <w:rFonts w:ascii="Times New Roman" w:hAnsi="Times New Roman"/>
              </w:rPr>
              <w:t>2.84</w:t>
            </w:r>
          </w:p>
        </w:tc>
      </w:tr>
      <w:tr w:rsidR="00AD5BB5">
        <w:tc>
          <w:tcPr>
            <w:tcW w:w="2830" w:type="dxa"/>
          </w:tcPr>
          <w:p w:rsidR="00AD5BB5" w:rsidRDefault="00F87FF6">
            <w:pPr>
              <w:spacing w:line="360" w:lineRule="auto"/>
              <w:jc w:val="center"/>
              <w:rPr>
                <w:rFonts w:ascii="Times New Roman" w:hAnsi="Times New Roman"/>
              </w:rPr>
            </w:pPr>
            <w:r>
              <w:rPr>
                <w:rFonts w:ascii="Times New Roman" w:hAnsi="Times New Roman" w:hint="eastAsia"/>
              </w:rPr>
              <w:t>其他</w:t>
            </w:r>
          </w:p>
        </w:tc>
        <w:tc>
          <w:tcPr>
            <w:tcW w:w="2850" w:type="dxa"/>
          </w:tcPr>
          <w:p w:rsidR="00AD5BB5" w:rsidRDefault="00F87FF6">
            <w:pPr>
              <w:spacing w:line="360" w:lineRule="auto"/>
              <w:jc w:val="center"/>
              <w:rPr>
                <w:rFonts w:ascii="Times New Roman" w:hAnsi="Times New Roman"/>
              </w:rPr>
            </w:pPr>
            <w:r>
              <w:rPr>
                <w:rFonts w:ascii="Times New Roman" w:hAnsi="Times New Roman"/>
              </w:rPr>
              <w:t>140</w:t>
            </w:r>
          </w:p>
        </w:tc>
        <w:tc>
          <w:tcPr>
            <w:tcW w:w="2849" w:type="dxa"/>
          </w:tcPr>
          <w:p w:rsidR="00AD5BB5" w:rsidRDefault="00F87FF6">
            <w:pPr>
              <w:spacing w:line="360" w:lineRule="auto"/>
              <w:jc w:val="center"/>
              <w:rPr>
                <w:rFonts w:ascii="Times New Roman" w:hAnsi="Times New Roman"/>
              </w:rPr>
            </w:pPr>
            <w:r>
              <w:rPr>
                <w:rFonts w:ascii="Times New Roman" w:hAnsi="Times New Roman"/>
              </w:rPr>
              <w:t>7.49</w:t>
            </w:r>
          </w:p>
        </w:tc>
      </w:tr>
      <w:tr w:rsidR="00AD5BB5">
        <w:tc>
          <w:tcPr>
            <w:tcW w:w="2830" w:type="dxa"/>
          </w:tcPr>
          <w:p w:rsidR="00AD5BB5" w:rsidRDefault="00F87FF6">
            <w:pPr>
              <w:spacing w:line="360" w:lineRule="auto"/>
              <w:jc w:val="center"/>
              <w:rPr>
                <w:rFonts w:ascii="Times New Roman" w:hAnsi="Times New Roman"/>
              </w:rPr>
            </w:pPr>
            <w:r>
              <w:rPr>
                <w:rFonts w:ascii="Times New Roman" w:hAnsi="Times New Roman" w:hint="eastAsia"/>
              </w:rPr>
              <w:t>合计</w:t>
            </w:r>
          </w:p>
        </w:tc>
        <w:tc>
          <w:tcPr>
            <w:tcW w:w="2850" w:type="dxa"/>
          </w:tcPr>
          <w:p w:rsidR="00AD5BB5" w:rsidRDefault="00F87FF6">
            <w:pPr>
              <w:spacing w:line="360" w:lineRule="auto"/>
              <w:jc w:val="center"/>
              <w:rPr>
                <w:rFonts w:ascii="Times New Roman" w:hAnsi="Times New Roman"/>
              </w:rPr>
            </w:pPr>
            <w:r>
              <w:rPr>
                <w:rFonts w:ascii="Times New Roman" w:hAnsi="Times New Roman"/>
              </w:rPr>
              <w:t>1</w:t>
            </w:r>
            <w:r>
              <w:rPr>
                <w:rFonts w:ascii="Times New Roman" w:hAnsi="Times New Roman" w:hint="eastAsia"/>
              </w:rPr>
              <w:t>,</w:t>
            </w:r>
            <w:r>
              <w:rPr>
                <w:rFonts w:ascii="Times New Roman" w:hAnsi="Times New Roman"/>
              </w:rPr>
              <w:t>868</w:t>
            </w:r>
          </w:p>
        </w:tc>
        <w:tc>
          <w:tcPr>
            <w:tcW w:w="2849" w:type="dxa"/>
          </w:tcPr>
          <w:p w:rsidR="00AD5BB5" w:rsidRDefault="00F87FF6">
            <w:pPr>
              <w:spacing w:line="360" w:lineRule="auto"/>
              <w:jc w:val="center"/>
              <w:rPr>
                <w:rFonts w:ascii="Times New Roman" w:hAnsi="Times New Roman"/>
              </w:rPr>
            </w:pPr>
            <w:r>
              <w:rPr>
                <w:rFonts w:ascii="Times New Roman" w:hAnsi="Times New Roman"/>
              </w:rPr>
              <w:t>100</w:t>
            </w:r>
          </w:p>
        </w:tc>
      </w:tr>
    </w:tbl>
    <w:p w:rsidR="00AD5BB5" w:rsidRDefault="00F87FF6">
      <w:pPr>
        <w:spacing w:line="360" w:lineRule="auto"/>
        <w:ind w:firstLineChars="200" w:firstLine="420"/>
        <w:rPr>
          <w:rFonts w:ascii="Times New Roman" w:hAnsi="Times New Roman"/>
        </w:rPr>
      </w:pPr>
      <w:r>
        <w:rPr>
          <w:rFonts w:ascii="Times New Roman" w:hAnsi="Times New Roman" w:hint="eastAsia"/>
        </w:rPr>
        <w:t>从投诉原因看</w:t>
      </w:r>
      <w:r>
        <w:rPr>
          <w:rFonts w:ascii="Times New Roman" w:hAnsi="Times New Roman"/>
        </w:rPr>
        <w:t>,</w:t>
      </w:r>
      <w:r>
        <w:rPr>
          <w:rFonts w:ascii="Times New Roman" w:hAnsi="Times New Roman" w:hint="eastAsia"/>
        </w:rPr>
        <w:t>因银行管理制度、业务规则及流程引起的投诉数量最多，占比</w:t>
      </w:r>
      <w:r>
        <w:rPr>
          <w:rFonts w:ascii="Times New Roman" w:hAnsi="Times New Roman"/>
        </w:rPr>
        <w:t>34.48%</w:t>
      </w:r>
      <w:r>
        <w:rPr>
          <w:rFonts w:ascii="Times New Roman" w:hAnsi="Times New Roman" w:hint="eastAsia"/>
        </w:rPr>
        <w:t>；其次因服务态度及质量引起的投诉数量较多，占比</w:t>
      </w:r>
      <w:r>
        <w:rPr>
          <w:rFonts w:ascii="Times New Roman" w:hAnsi="Times New Roman"/>
        </w:rPr>
        <w:t>27.89%</w:t>
      </w:r>
      <w:r>
        <w:rPr>
          <w:rFonts w:ascii="Times New Roman" w:hAnsi="Times New Roman" w:hint="eastAsia"/>
        </w:rPr>
        <w:t>。</w:t>
      </w:r>
    </w:p>
    <w:p w:rsidR="00AD5BB5" w:rsidRDefault="00F87FF6">
      <w:pPr>
        <w:widowControl/>
        <w:rPr>
          <w:rFonts w:ascii="黑体" w:eastAsia="黑体" w:hAnsi="黑体"/>
          <w:b/>
          <w:kern w:val="44"/>
          <w:sz w:val="28"/>
        </w:rPr>
      </w:pPr>
      <w:r>
        <w:rPr>
          <w:rFonts w:ascii="黑体" w:hAnsi="黑体"/>
        </w:rPr>
        <w:br w:type="page"/>
      </w:r>
    </w:p>
    <w:p w:rsidR="00AD5BB5" w:rsidRDefault="00F87FF6">
      <w:pPr>
        <w:pStyle w:val="1"/>
        <w:ind w:left="2835"/>
        <w:jc w:val="both"/>
        <w:rPr>
          <w:rFonts w:ascii="黑体" w:hAnsi="黑体"/>
        </w:rPr>
      </w:pPr>
      <w:bookmarkStart w:id="36" w:name="_Toc79665922"/>
      <w:r>
        <w:rPr>
          <w:rFonts w:ascii="黑体" w:hAnsi="黑体" w:hint="eastAsia"/>
        </w:rPr>
        <w:lastRenderedPageBreak/>
        <w:t>第六节 重要事项</w:t>
      </w:r>
      <w:bookmarkEnd w:id="35"/>
      <w:bookmarkEnd w:id="36"/>
    </w:p>
    <w:p w:rsidR="00AD5BB5" w:rsidRDefault="00AD5BB5"/>
    <w:p w:rsidR="00AD5BB5" w:rsidRDefault="00F87FF6">
      <w:pPr>
        <w:pStyle w:val="2"/>
        <w:spacing w:line="360" w:lineRule="auto"/>
        <w:rPr>
          <w:color w:val="FF0000"/>
        </w:rPr>
      </w:pPr>
      <w:r>
        <w:rPr>
          <w:rFonts w:ascii="宋体" w:hAnsi="宋体" w:hint="eastAsia"/>
          <w:color w:val="000000"/>
        </w:rPr>
        <w:t>一、</w:t>
      </w:r>
      <w:r>
        <w:rPr>
          <w:rFonts w:hint="eastAsia"/>
        </w:rPr>
        <w:t>承诺事项履行情况</w:t>
      </w:r>
    </w:p>
    <w:p w:rsidR="00AD5BB5" w:rsidRDefault="00F87FF6">
      <w:pPr>
        <w:spacing w:line="360" w:lineRule="auto"/>
        <w:ind w:firstLineChars="200" w:firstLine="422"/>
        <w:rPr>
          <w:b/>
        </w:rPr>
      </w:pPr>
      <w:r>
        <w:rPr>
          <w:rFonts w:hint="eastAsia"/>
          <w:b/>
        </w:rPr>
        <w:t>公司实际控制人、股东、关联方、收购人以及公司等承诺相关方在报告期内或持续到报告期内的承诺事项</w:t>
      </w:r>
    </w:p>
    <w:tbl>
      <w:tblPr>
        <w:tblW w:w="6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619"/>
        <w:gridCol w:w="1525"/>
        <w:gridCol w:w="3455"/>
        <w:gridCol w:w="1003"/>
        <w:gridCol w:w="564"/>
        <w:gridCol w:w="692"/>
        <w:gridCol w:w="863"/>
        <w:gridCol w:w="775"/>
      </w:tblGrid>
      <w:tr w:rsidR="00AD5BB5">
        <w:trPr>
          <w:jc w:val="center"/>
        </w:trPr>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bookmarkStart w:id="37" w:name="_Hlk535238507"/>
            <w:r>
              <w:rPr>
                <w:rFonts w:ascii="宋体" w:hAnsi="宋体" w:hint="eastAsia"/>
                <w:sz w:val="18"/>
              </w:rPr>
              <w:t>承诺背景</w:t>
            </w:r>
          </w:p>
        </w:tc>
        <w:tc>
          <w:tcPr>
            <w:tcW w:w="30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承诺</w:t>
            </w:r>
          </w:p>
          <w:p w:rsidR="00AD5BB5" w:rsidRDefault="00F87FF6">
            <w:pPr>
              <w:spacing w:line="276" w:lineRule="auto"/>
              <w:jc w:val="center"/>
              <w:rPr>
                <w:rFonts w:ascii="宋体" w:hAnsi="宋体"/>
                <w:sz w:val="18"/>
              </w:rPr>
            </w:pPr>
            <w:r>
              <w:rPr>
                <w:rFonts w:ascii="宋体" w:hAnsi="宋体" w:hint="eastAsia"/>
                <w:sz w:val="18"/>
              </w:rPr>
              <w:t>类型</w:t>
            </w:r>
          </w:p>
        </w:tc>
        <w:tc>
          <w:tcPr>
            <w:tcW w:w="75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承诺方</w:t>
            </w:r>
          </w:p>
        </w:tc>
        <w:tc>
          <w:tcPr>
            <w:tcW w:w="170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承诺</w:t>
            </w:r>
          </w:p>
          <w:p w:rsidR="00AD5BB5" w:rsidRDefault="00F87FF6">
            <w:pPr>
              <w:spacing w:line="276" w:lineRule="auto"/>
              <w:jc w:val="center"/>
              <w:rPr>
                <w:rFonts w:ascii="宋体" w:hAnsi="宋体"/>
                <w:sz w:val="18"/>
              </w:rPr>
            </w:pPr>
            <w:r>
              <w:rPr>
                <w:rFonts w:ascii="宋体" w:hAnsi="宋体" w:hint="eastAsia"/>
                <w:sz w:val="18"/>
              </w:rPr>
              <w:t>内容</w:t>
            </w:r>
          </w:p>
        </w:tc>
        <w:tc>
          <w:tcPr>
            <w:tcW w:w="49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承诺时间及期限</w:t>
            </w:r>
          </w:p>
        </w:tc>
        <w:tc>
          <w:tcPr>
            <w:tcW w:w="27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是否有履行期限</w:t>
            </w:r>
          </w:p>
        </w:tc>
        <w:tc>
          <w:tcPr>
            <w:tcW w:w="34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是否及时严格履行</w:t>
            </w:r>
          </w:p>
        </w:tc>
        <w:tc>
          <w:tcPr>
            <w:tcW w:w="42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如未能及时履行应说明未完</w:t>
            </w:r>
            <w:proofErr w:type="gramStart"/>
            <w:r>
              <w:rPr>
                <w:rFonts w:ascii="宋体" w:hAnsi="宋体" w:hint="eastAsia"/>
                <w:sz w:val="18"/>
              </w:rPr>
              <w:t>成履行</w:t>
            </w:r>
            <w:proofErr w:type="gramEnd"/>
            <w:r>
              <w:rPr>
                <w:rFonts w:ascii="宋体" w:hAnsi="宋体" w:hint="eastAsia"/>
                <w:sz w:val="18"/>
              </w:rPr>
              <w:t>的具体原因</w:t>
            </w:r>
          </w:p>
        </w:tc>
        <w:tc>
          <w:tcPr>
            <w:tcW w:w="3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如未能及时履行应说明下一步计划</w:t>
            </w:r>
          </w:p>
        </w:tc>
      </w:tr>
      <w:tr w:rsidR="00AD5BB5">
        <w:trPr>
          <w:trHeight w:val="1839"/>
          <w:jc w:val="center"/>
        </w:trPr>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rPr>
                <w:rFonts w:ascii="宋体" w:hAnsi="宋体"/>
                <w:sz w:val="18"/>
              </w:rPr>
            </w:pPr>
            <w:r>
              <w:rPr>
                <w:rFonts w:ascii="宋体" w:hAnsi="宋体" w:hint="eastAsia"/>
                <w:sz w:val="18"/>
              </w:rPr>
              <w:t>与首次公开发行相关的承诺</w:t>
            </w:r>
          </w:p>
        </w:tc>
        <w:tc>
          <w:tcPr>
            <w:tcW w:w="30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股份限售</w:t>
            </w:r>
          </w:p>
        </w:tc>
        <w:tc>
          <w:tcPr>
            <w:tcW w:w="75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厦门金圆投资集团有限公司、</w:t>
            </w:r>
            <w:r>
              <w:rPr>
                <w:rFonts w:ascii="宋体" w:hAnsi="宋体" w:hint="eastAsia"/>
                <w:kern w:val="0"/>
                <w:sz w:val="18"/>
              </w:rPr>
              <w:t>富邦金融控股股份有限公司</w:t>
            </w:r>
            <w:r>
              <w:rPr>
                <w:rFonts w:ascii="宋体" w:hAnsi="宋体" w:hint="eastAsia"/>
                <w:sz w:val="18"/>
              </w:rPr>
              <w:t>、北京盛达兴业房地产开发有限公司、福建七匹狼集团有限公司</w:t>
            </w:r>
          </w:p>
        </w:tc>
        <w:tc>
          <w:tcPr>
            <w:tcW w:w="170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snapToGrid w:val="0"/>
              <w:spacing w:beforeLines="50" w:before="120" w:line="276" w:lineRule="auto"/>
              <w:rPr>
                <w:rFonts w:ascii="宋体" w:hAnsi="宋体"/>
                <w:sz w:val="18"/>
              </w:rPr>
            </w:pPr>
            <w:r>
              <w:rPr>
                <w:rFonts w:ascii="宋体" w:hAnsi="宋体" w:hint="eastAsia"/>
                <w:sz w:val="18"/>
              </w:rPr>
              <w:t>自厦门银行A股股票上市之日起三十六个月内，不转让或者委托他人管理其直接及间接持有的厦门银行公开发行股票前已发行的股份，也不由厦门银行回购该等股份。如监管部门对发行人股东持股期限有其他要求，以监管部门的意见为准。</w:t>
            </w:r>
          </w:p>
        </w:tc>
        <w:tc>
          <w:tcPr>
            <w:tcW w:w="49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2020年10月27日至</w:t>
            </w:r>
          </w:p>
          <w:p w:rsidR="00AD5BB5" w:rsidRDefault="00F87FF6">
            <w:pPr>
              <w:spacing w:line="276" w:lineRule="auto"/>
              <w:jc w:val="center"/>
              <w:rPr>
                <w:rFonts w:ascii="宋体" w:hAnsi="宋体"/>
                <w:sz w:val="18"/>
              </w:rPr>
            </w:pPr>
            <w:r>
              <w:rPr>
                <w:rFonts w:ascii="宋体" w:hAnsi="宋体" w:hint="eastAsia"/>
                <w:sz w:val="18"/>
              </w:rPr>
              <w:t>2023年10月26日</w:t>
            </w:r>
          </w:p>
        </w:tc>
        <w:tc>
          <w:tcPr>
            <w:tcW w:w="27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是</w:t>
            </w:r>
          </w:p>
        </w:tc>
        <w:tc>
          <w:tcPr>
            <w:tcW w:w="34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是</w:t>
            </w:r>
          </w:p>
        </w:tc>
        <w:tc>
          <w:tcPr>
            <w:tcW w:w="42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不适用</w:t>
            </w:r>
          </w:p>
        </w:tc>
        <w:tc>
          <w:tcPr>
            <w:tcW w:w="3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不适用</w:t>
            </w:r>
          </w:p>
        </w:tc>
      </w:tr>
      <w:tr w:rsidR="00AD5BB5">
        <w:trPr>
          <w:jc w:val="center"/>
        </w:trPr>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rPr>
                <w:rFonts w:ascii="宋体" w:hAnsi="宋体"/>
                <w:sz w:val="18"/>
              </w:rPr>
            </w:pPr>
            <w:r>
              <w:rPr>
                <w:rFonts w:ascii="宋体" w:hAnsi="宋体" w:hint="eastAsia"/>
                <w:sz w:val="18"/>
              </w:rPr>
              <w:t>与首次公开发行相关的承诺</w:t>
            </w:r>
          </w:p>
          <w:p w:rsidR="00AD5BB5" w:rsidRDefault="00AD5BB5">
            <w:pPr>
              <w:spacing w:line="276" w:lineRule="auto"/>
              <w:rPr>
                <w:rFonts w:ascii="宋体" w:hAnsi="宋体"/>
                <w:sz w:val="18"/>
              </w:rPr>
            </w:pPr>
          </w:p>
        </w:tc>
        <w:tc>
          <w:tcPr>
            <w:tcW w:w="30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股份限售</w:t>
            </w:r>
          </w:p>
          <w:p w:rsidR="00AD5BB5" w:rsidRDefault="00AD5BB5">
            <w:pPr>
              <w:spacing w:line="276" w:lineRule="auto"/>
              <w:jc w:val="center"/>
              <w:rPr>
                <w:rFonts w:ascii="宋体" w:hAnsi="宋体"/>
                <w:sz w:val="18"/>
              </w:rPr>
            </w:pPr>
          </w:p>
        </w:tc>
        <w:tc>
          <w:tcPr>
            <w:tcW w:w="75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持有公司股份的董事、监事、高级管理人员</w:t>
            </w:r>
          </w:p>
        </w:tc>
        <w:tc>
          <w:tcPr>
            <w:tcW w:w="170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snapToGrid w:val="0"/>
              <w:spacing w:beforeLines="50" w:before="120" w:line="276" w:lineRule="auto"/>
              <w:rPr>
                <w:rFonts w:ascii="宋体" w:hAnsi="宋体"/>
                <w:sz w:val="18"/>
              </w:rPr>
            </w:pPr>
            <w:r>
              <w:rPr>
                <w:rFonts w:ascii="宋体" w:hAnsi="宋体" w:hint="eastAsia"/>
                <w:sz w:val="18"/>
              </w:rPr>
              <w:t>1、本人持有的厦门银行股份自厦门银行股票上市之日起，股份转让锁定期不得低于三年，持股锁定期期满后，每年可出售股份不得超过持股总数的15%，5年内不得超过持股总数的50%。同时，持有发行人股权在锁定期满之后，在任职期间每年转让的股份不得超过本人持有的厦门银行股份总数的25%，离职后半年以内不转让本人持有的厦门银行股份。</w:t>
            </w:r>
          </w:p>
          <w:p w:rsidR="00AD5BB5" w:rsidRDefault="00F87FF6">
            <w:pPr>
              <w:snapToGrid w:val="0"/>
              <w:spacing w:beforeLines="50" w:before="120" w:line="276" w:lineRule="auto"/>
              <w:rPr>
                <w:rFonts w:ascii="宋体" w:hAnsi="宋体"/>
                <w:sz w:val="18"/>
              </w:rPr>
            </w:pPr>
            <w:r>
              <w:rPr>
                <w:rFonts w:ascii="宋体" w:hAnsi="宋体" w:hint="eastAsia"/>
                <w:sz w:val="18"/>
              </w:rPr>
              <w:t>2、所持公司A股股票在锁定期满后两年内减持的，减</w:t>
            </w:r>
            <w:proofErr w:type="gramStart"/>
            <w:r>
              <w:rPr>
                <w:rFonts w:ascii="宋体" w:hAnsi="宋体" w:hint="eastAsia"/>
                <w:sz w:val="18"/>
              </w:rPr>
              <w:t>持价格</w:t>
            </w:r>
            <w:proofErr w:type="gramEnd"/>
            <w:r>
              <w:rPr>
                <w:rFonts w:ascii="宋体" w:hAnsi="宋体" w:hint="eastAsia"/>
                <w:sz w:val="18"/>
              </w:rPr>
              <w:t>不低于公司本次首次公开发行的发行价格（自公司股票上市至本人减持期间，公司如有派息、送股、资本公积金转增股本、配股等除权除息事项，减持底价下限将相应进行调整）；公司股票在证券交易所上市后6个月内如公司A股股票连续20个交易日的收盘价均低于发行价，或者上市后6个月期末收盘价低于发行价，持有公司A股股票的锁定期限在原有持股锁定</w:t>
            </w:r>
            <w:proofErr w:type="gramStart"/>
            <w:r>
              <w:rPr>
                <w:rFonts w:ascii="宋体" w:hAnsi="宋体" w:hint="eastAsia"/>
                <w:sz w:val="18"/>
              </w:rPr>
              <w:t>期基础</w:t>
            </w:r>
            <w:proofErr w:type="gramEnd"/>
            <w:r>
              <w:rPr>
                <w:rFonts w:ascii="宋体" w:hAnsi="宋体" w:hint="eastAsia"/>
                <w:sz w:val="18"/>
              </w:rPr>
              <w:t>上自动延长6个月。</w:t>
            </w:r>
          </w:p>
          <w:p w:rsidR="00AD5BB5" w:rsidRDefault="00F87FF6">
            <w:pPr>
              <w:snapToGrid w:val="0"/>
              <w:spacing w:beforeLines="50" w:before="120" w:line="276" w:lineRule="auto"/>
              <w:rPr>
                <w:rFonts w:ascii="宋体" w:hAnsi="宋体"/>
                <w:sz w:val="18"/>
              </w:rPr>
            </w:pPr>
            <w:r>
              <w:rPr>
                <w:rFonts w:ascii="宋体" w:hAnsi="宋体" w:hint="eastAsia"/>
                <w:sz w:val="18"/>
              </w:rPr>
              <w:t>3、本人不因职务变更、离职等主观原因而拒绝履行上述承诺。如本人减</w:t>
            </w:r>
            <w:proofErr w:type="gramStart"/>
            <w:r>
              <w:rPr>
                <w:rFonts w:ascii="宋体" w:hAnsi="宋体" w:hint="eastAsia"/>
                <w:sz w:val="18"/>
              </w:rPr>
              <w:t>持行为</w:t>
            </w:r>
            <w:proofErr w:type="gramEnd"/>
            <w:r>
              <w:rPr>
                <w:rFonts w:ascii="宋体" w:hAnsi="宋体" w:hint="eastAsia"/>
                <w:sz w:val="18"/>
              </w:rPr>
              <w:t>违反上述承诺的，减</w:t>
            </w:r>
            <w:proofErr w:type="gramStart"/>
            <w:r>
              <w:rPr>
                <w:rFonts w:ascii="宋体" w:hAnsi="宋体" w:hint="eastAsia"/>
                <w:sz w:val="18"/>
              </w:rPr>
              <w:t>持所得</w:t>
            </w:r>
            <w:proofErr w:type="gramEnd"/>
            <w:r>
              <w:rPr>
                <w:rFonts w:ascii="宋体" w:hAnsi="宋体" w:hint="eastAsia"/>
                <w:sz w:val="18"/>
              </w:rPr>
              <w:t>收入归公司所有；如本人减</w:t>
            </w:r>
            <w:proofErr w:type="gramStart"/>
            <w:r>
              <w:rPr>
                <w:rFonts w:ascii="宋体" w:hAnsi="宋体" w:hint="eastAsia"/>
                <w:sz w:val="18"/>
              </w:rPr>
              <w:t>持收入</w:t>
            </w:r>
            <w:proofErr w:type="gramEnd"/>
            <w:r>
              <w:rPr>
                <w:rFonts w:ascii="宋体" w:hAnsi="宋体" w:hint="eastAsia"/>
                <w:sz w:val="18"/>
              </w:rPr>
              <w:t>未上交公司，则公司有权将应付本人现金分红及薪酬中与违规减</w:t>
            </w:r>
            <w:proofErr w:type="gramStart"/>
            <w:r>
              <w:rPr>
                <w:rFonts w:ascii="宋体" w:hAnsi="宋体" w:hint="eastAsia"/>
                <w:sz w:val="18"/>
              </w:rPr>
              <w:t>持所得</w:t>
            </w:r>
            <w:proofErr w:type="gramEnd"/>
            <w:r>
              <w:rPr>
                <w:rFonts w:ascii="宋体" w:hAnsi="宋体" w:hint="eastAsia"/>
                <w:sz w:val="18"/>
              </w:rPr>
              <w:t>相等的金额收归公司所有。</w:t>
            </w:r>
          </w:p>
        </w:tc>
        <w:tc>
          <w:tcPr>
            <w:tcW w:w="49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2020年10月27日至</w:t>
            </w:r>
          </w:p>
          <w:p w:rsidR="00AD5BB5" w:rsidRDefault="00F87FF6">
            <w:pPr>
              <w:spacing w:line="276" w:lineRule="auto"/>
              <w:jc w:val="center"/>
              <w:rPr>
                <w:rFonts w:ascii="宋体" w:hAnsi="宋体"/>
                <w:sz w:val="18"/>
              </w:rPr>
            </w:pPr>
            <w:r>
              <w:rPr>
                <w:rFonts w:ascii="宋体" w:hAnsi="宋体" w:hint="eastAsia"/>
                <w:sz w:val="18"/>
              </w:rPr>
              <w:t>2028年10月26日</w:t>
            </w:r>
          </w:p>
        </w:tc>
        <w:tc>
          <w:tcPr>
            <w:tcW w:w="27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是</w:t>
            </w:r>
          </w:p>
          <w:p w:rsidR="00AD5BB5" w:rsidRDefault="00AD5BB5">
            <w:pPr>
              <w:spacing w:line="276" w:lineRule="auto"/>
              <w:jc w:val="center"/>
              <w:rPr>
                <w:rFonts w:ascii="宋体" w:hAnsi="宋体"/>
                <w:sz w:val="18"/>
              </w:rPr>
            </w:pPr>
          </w:p>
        </w:tc>
        <w:tc>
          <w:tcPr>
            <w:tcW w:w="34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是</w:t>
            </w:r>
          </w:p>
          <w:p w:rsidR="00AD5BB5" w:rsidRDefault="00AD5BB5">
            <w:pPr>
              <w:spacing w:line="276" w:lineRule="auto"/>
              <w:jc w:val="center"/>
              <w:rPr>
                <w:rFonts w:ascii="宋体" w:hAnsi="宋体"/>
                <w:sz w:val="18"/>
              </w:rPr>
            </w:pPr>
          </w:p>
        </w:tc>
        <w:tc>
          <w:tcPr>
            <w:tcW w:w="42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不适用</w:t>
            </w:r>
          </w:p>
        </w:tc>
        <w:tc>
          <w:tcPr>
            <w:tcW w:w="3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不适用</w:t>
            </w:r>
          </w:p>
        </w:tc>
      </w:tr>
      <w:tr w:rsidR="00AD5BB5">
        <w:trPr>
          <w:jc w:val="center"/>
        </w:trPr>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rPr>
                <w:rFonts w:ascii="宋体" w:hAnsi="宋体"/>
                <w:sz w:val="18"/>
              </w:rPr>
            </w:pPr>
            <w:r>
              <w:rPr>
                <w:rFonts w:ascii="宋体" w:hAnsi="宋体" w:hint="eastAsia"/>
                <w:sz w:val="18"/>
              </w:rPr>
              <w:lastRenderedPageBreak/>
              <w:t>与首次公开发行相关的承诺</w:t>
            </w:r>
          </w:p>
          <w:p w:rsidR="00AD5BB5" w:rsidRDefault="00AD5BB5">
            <w:pPr>
              <w:spacing w:line="276" w:lineRule="auto"/>
              <w:rPr>
                <w:rFonts w:ascii="宋体" w:hAnsi="宋体"/>
                <w:sz w:val="18"/>
              </w:rPr>
            </w:pPr>
          </w:p>
        </w:tc>
        <w:tc>
          <w:tcPr>
            <w:tcW w:w="30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股份限售</w:t>
            </w:r>
          </w:p>
          <w:p w:rsidR="00AD5BB5" w:rsidRDefault="00AD5BB5">
            <w:pPr>
              <w:spacing w:line="276" w:lineRule="auto"/>
              <w:jc w:val="center"/>
              <w:rPr>
                <w:rFonts w:ascii="宋体" w:hAnsi="宋体"/>
                <w:sz w:val="18"/>
              </w:rPr>
            </w:pPr>
          </w:p>
        </w:tc>
        <w:tc>
          <w:tcPr>
            <w:tcW w:w="75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持有本行股份超过5万股的员工股东</w:t>
            </w:r>
          </w:p>
        </w:tc>
        <w:tc>
          <w:tcPr>
            <w:tcW w:w="170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snapToGrid w:val="0"/>
              <w:spacing w:beforeLines="50" w:before="120" w:line="276" w:lineRule="auto"/>
              <w:rPr>
                <w:rFonts w:ascii="宋体" w:hAnsi="宋体"/>
                <w:sz w:val="18"/>
              </w:rPr>
            </w:pPr>
            <w:r>
              <w:rPr>
                <w:rFonts w:ascii="宋体" w:hAnsi="宋体" w:hint="eastAsia"/>
                <w:sz w:val="18"/>
              </w:rPr>
              <w:t>本人所持的厦门银行内部职工股股份（股份数以厦门银行登记确认的为准），自厦门银行股票上市之日起，股份转让锁定期不得低于三年，持股锁定期期满后，每年可出售股份不得超过持股总数的15%，5年内不得超过持股总数的50%。如职工持股或／及自然人股东股份锁定的相关法律规定发生变化，本人承诺根据相关法律规定的最新要求执行。</w:t>
            </w:r>
          </w:p>
        </w:tc>
        <w:tc>
          <w:tcPr>
            <w:tcW w:w="49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rPr>
                <w:rFonts w:ascii="宋体" w:hAnsi="宋体"/>
                <w:sz w:val="18"/>
              </w:rPr>
            </w:pPr>
            <w:r>
              <w:rPr>
                <w:rFonts w:ascii="宋体" w:hAnsi="宋体" w:hint="eastAsia"/>
                <w:sz w:val="18"/>
              </w:rPr>
              <w:t>2020年10月27日</w:t>
            </w:r>
          </w:p>
          <w:p w:rsidR="00AD5BB5" w:rsidRDefault="00F87FF6">
            <w:pPr>
              <w:spacing w:line="276" w:lineRule="auto"/>
              <w:rPr>
                <w:rFonts w:ascii="宋体" w:hAnsi="宋体"/>
                <w:sz w:val="18"/>
              </w:rPr>
            </w:pPr>
            <w:r>
              <w:rPr>
                <w:rFonts w:ascii="宋体" w:hAnsi="宋体" w:hint="eastAsia"/>
                <w:sz w:val="18"/>
              </w:rPr>
              <w:t>至</w:t>
            </w:r>
          </w:p>
          <w:p w:rsidR="00AD5BB5" w:rsidRDefault="00F87FF6">
            <w:pPr>
              <w:spacing w:line="276" w:lineRule="auto"/>
              <w:rPr>
                <w:rFonts w:ascii="宋体" w:hAnsi="宋体"/>
                <w:sz w:val="18"/>
              </w:rPr>
            </w:pPr>
            <w:r>
              <w:rPr>
                <w:rFonts w:ascii="宋体" w:hAnsi="宋体" w:hint="eastAsia"/>
                <w:sz w:val="18"/>
              </w:rPr>
              <w:t>2028年10月26日</w:t>
            </w:r>
          </w:p>
        </w:tc>
        <w:tc>
          <w:tcPr>
            <w:tcW w:w="27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是</w:t>
            </w:r>
          </w:p>
          <w:p w:rsidR="00AD5BB5" w:rsidRDefault="00AD5BB5">
            <w:pPr>
              <w:spacing w:line="276" w:lineRule="auto"/>
              <w:jc w:val="center"/>
              <w:rPr>
                <w:rFonts w:ascii="宋体" w:hAnsi="宋体"/>
                <w:sz w:val="18"/>
              </w:rPr>
            </w:pPr>
          </w:p>
        </w:tc>
        <w:tc>
          <w:tcPr>
            <w:tcW w:w="34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是</w:t>
            </w:r>
          </w:p>
          <w:p w:rsidR="00AD5BB5" w:rsidRDefault="00AD5BB5">
            <w:pPr>
              <w:spacing w:line="276" w:lineRule="auto"/>
              <w:jc w:val="center"/>
              <w:rPr>
                <w:rFonts w:ascii="宋体" w:hAnsi="宋体"/>
                <w:sz w:val="18"/>
              </w:rPr>
            </w:pPr>
          </w:p>
        </w:tc>
        <w:tc>
          <w:tcPr>
            <w:tcW w:w="42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不适用</w:t>
            </w:r>
          </w:p>
        </w:tc>
        <w:tc>
          <w:tcPr>
            <w:tcW w:w="3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不适用</w:t>
            </w:r>
          </w:p>
        </w:tc>
      </w:tr>
      <w:tr w:rsidR="00AD5BB5">
        <w:trPr>
          <w:jc w:val="center"/>
        </w:trPr>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rPr>
                <w:rFonts w:ascii="宋体" w:hAnsi="宋体"/>
                <w:sz w:val="18"/>
              </w:rPr>
            </w:pPr>
            <w:r>
              <w:rPr>
                <w:rFonts w:ascii="宋体" w:hAnsi="宋体" w:hint="eastAsia"/>
                <w:sz w:val="18"/>
              </w:rPr>
              <w:t>与首次公开发行相关的承诺</w:t>
            </w:r>
          </w:p>
          <w:p w:rsidR="00AD5BB5" w:rsidRDefault="00AD5BB5">
            <w:pPr>
              <w:spacing w:line="276" w:lineRule="auto"/>
              <w:rPr>
                <w:rFonts w:ascii="宋体" w:hAnsi="宋体"/>
                <w:sz w:val="18"/>
              </w:rPr>
            </w:pPr>
          </w:p>
        </w:tc>
        <w:tc>
          <w:tcPr>
            <w:tcW w:w="30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其他</w:t>
            </w:r>
          </w:p>
          <w:p w:rsidR="00AD5BB5" w:rsidRDefault="00AD5BB5">
            <w:pPr>
              <w:spacing w:line="276" w:lineRule="auto"/>
              <w:jc w:val="center"/>
              <w:rPr>
                <w:rFonts w:ascii="宋体" w:hAnsi="宋体"/>
                <w:sz w:val="18"/>
              </w:rPr>
            </w:pPr>
          </w:p>
        </w:tc>
        <w:tc>
          <w:tcPr>
            <w:tcW w:w="75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厦门金圆投资集团有限公司</w:t>
            </w:r>
          </w:p>
        </w:tc>
        <w:tc>
          <w:tcPr>
            <w:tcW w:w="170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snapToGrid w:val="0"/>
              <w:spacing w:beforeLines="50" w:before="120" w:line="276" w:lineRule="auto"/>
              <w:rPr>
                <w:rFonts w:ascii="宋体" w:hAnsi="宋体"/>
                <w:sz w:val="18"/>
              </w:rPr>
            </w:pPr>
            <w:r>
              <w:rPr>
                <w:rFonts w:ascii="宋体" w:hAnsi="宋体" w:hint="eastAsia"/>
                <w:sz w:val="18"/>
              </w:rPr>
              <w:t>1、如果在股票锁定期满后，本公司拟减持厦门银行股票的，将认真遵守中国证监会、证券交易所等相关主管/监管部门关于股东减持的相关规定，结合公司稳定股价、开展经营、资本运作的需要，审慎制定股票减持计划，在股票锁定期满后逐步减持；</w:t>
            </w:r>
          </w:p>
          <w:p w:rsidR="00AD5BB5" w:rsidRDefault="00F87FF6">
            <w:pPr>
              <w:snapToGrid w:val="0"/>
              <w:spacing w:beforeLines="50" w:before="120" w:line="276" w:lineRule="auto"/>
              <w:rPr>
                <w:rFonts w:ascii="宋体" w:hAnsi="宋体"/>
                <w:sz w:val="18"/>
              </w:rPr>
            </w:pPr>
            <w:r>
              <w:rPr>
                <w:rFonts w:ascii="宋体" w:hAnsi="宋体" w:hint="eastAsia"/>
                <w:sz w:val="18"/>
              </w:rPr>
              <w:t>2、本公司减持厦门银行股份应符合相关法律、法规、规章的规定，具体方式包括但不限于在证券交易所以集中竞价交易方式、大宗交易方式、协议转让方式以及中国证监会、证券交易所认可的其他方式等；</w:t>
            </w:r>
          </w:p>
          <w:p w:rsidR="00AD5BB5" w:rsidRDefault="00F87FF6">
            <w:pPr>
              <w:snapToGrid w:val="0"/>
              <w:spacing w:beforeLines="50" w:before="120" w:line="276" w:lineRule="auto"/>
              <w:rPr>
                <w:rFonts w:ascii="宋体" w:hAnsi="宋体"/>
                <w:sz w:val="18"/>
              </w:rPr>
            </w:pPr>
            <w:r>
              <w:rPr>
                <w:rFonts w:ascii="宋体" w:hAnsi="宋体" w:hint="eastAsia"/>
                <w:sz w:val="18"/>
              </w:rPr>
              <w:t>3、本公司减持厦门银行股份前，应提前三个交易日通过厦门银行予以公告，并按照证券交易所的规则及时、准确地履行信息披露义务；本公司持有厦门银行的股份低于5%以下时除外；</w:t>
            </w:r>
          </w:p>
          <w:p w:rsidR="00AD5BB5" w:rsidRDefault="00F87FF6">
            <w:pPr>
              <w:snapToGrid w:val="0"/>
              <w:spacing w:beforeLines="50" w:before="120" w:line="276" w:lineRule="auto"/>
              <w:rPr>
                <w:rFonts w:ascii="宋体" w:hAnsi="宋体"/>
                <w:sz w:val="18"/>
              </w:rPr>
            </w:pPr>
            <w:r>
              <w:rPr>
                <w:rFonts w:ascii="宋体" w:hAnsi="宋体" w:hint="eastAsia"/>
                <w:sz w:val="18"/>
              </w:rPr>
              <w:t>4、在股票锁定期满后两年内，本公司不减持厦门银行股份；在股票锁定期满两年后，是否减</w:t>
            </w:r>
            <w:proofErr w:type="gramStart"/>
            <w:r>
              <w:rPr>
                <w:rFonts w:ascii="宋体" w:hAnsi="宋体" w:hint="eastAsia"/>
                <w:sz w:val="18"/>
              </w:rPr>
              <w:t>持及减持数量</w:t>
            </w:r>
            <w:proofErr w:type="gramEnd"/>
            <w:r>
              <w:rPr>
                <w:rFonts w:ascii="宋体" w:hAnsi="宋体" w:hint="eastAsia"/>
                <w:sz w:val="18"/>
              </w:rPr>
              <w:t>视本公司实际需要以及根据相关法律法规的规定而确定；</w:t>
            </w:r>
          </w:p>
          <w:p w:rsidR="00AD5BB5" w:rsidRDefault="00F87FF6">
            <w:pPr>
              <w:snapToGrid w:val="0"/>
              <w:spacing w:beforeLines="50" w:before="120" w:line="276" w:lineRule="auto"/>
              <w:rPr>
                <w:rFonts w:ascii="宋体" w:hAnsi="宋体"/>
                <w:sz w:val="18"/>
              </w:rPr>
            </w:pPr>
            <w:r>
              <w:rPr>
                <w:rFonts w:ascii="宋体" w:hAnsi="宋体" w:hint="eastAsia"/>
                <w:sz w:val="18"/>
              </w:rPr>
              <w:t>5、如果本公司违反上述减持声明擅自减持公司股份的，所获收益归公司所有，并在获得收益的或知晓未履行相关承诺事项的事实之日起五个交易日内将所获收益支付给公司指定账户；本公司将在股东大会及中国证监会指定的披露媒体上公开说明违反上述减持声明的具体原因并向公司股东和社会公众投资者道歉；本公司持有的公司股份自本公司违反上述减持声明之日起6个月内不得减持。</w:t>
            </w:r>
          </w:p>
          <w:p w:rsidR="00AD5BB5" w:rsidRDefault="00F87FF6">
            <w:pPr>
              <w:snapToGrid w:val="0"/>
              <w:spacing w:beforeLines="50" w:before="120" w:line="276" w:lineRule="auto"/>
              <w:rPr>
                <w:rFonts w:ascii="宋体" w:hAnsi="宋体"/>
                <w:sz w:val="18"/>
              </w:rPr>
            </w:pPr>
            <w:r>
              <w:rPr>
                <w:rFonts w:ascii="宋体" w:hAnsi="宋体" w:hint="eastAsia"/>
                <w:sz w:val="18"/>
              </w:rPr>
              <w:t>6、如本公司未按前条承诺未将违规减持厦门银行股票所得上交厦门银行的，则厦门银行有权按照本公司应上交厦门银行的违规减</w:t>
            </w:r>
            <w:proofErr w:type="gramStart"/>
            <w:r>
              <w:rPr>
                <w:rFonts w:ascii="宋体" w:hAnsi="宋体" w:hint="eastAsia"/>
                <w:sz w:val="18"/>
              </w:rPr>
              <w:t>持所得</w:t>
            </w:r>
            <w:proofErr w:type="gramEnd"/>
            <w:r>
              <w:rPr>
                <w:rFonts w:ascii="宋体" w:hAnsi="宋体" w:hint="eastAsia"/>
                <w:sz w:val="18"/>
              </w:rPr>
              <w:t>金额相应扣留应付本公司现金分红。</w:t>
            </w:r>
          </w:p>
        </w:tc>
        <w:tc>
          <w:tcPr>
            <w:tcW w:w="49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作为公司股东期间</w:t>
            </w:r>
          </w:p>
        </w:tc>
        <w:tc>
          <w:tcPr>
            <w:tcW w:w="27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是</w:t>
            </w:r>
          </w:p>
          <w:p w:rsidR="00AD5BB5" w:rsidRDefault="00AD5BB5">
            <w:pPr>
              <w:spacing w:line="276" w:lineRule="auto"/>
              <w:jc w:val="center"/>
              <w:rPr>
                <w:rFonts w:ascii="宋体" w:hAnsi="宋体"/>
                <w:sz w:val="18"/>
              </w:rPr>
            </w:pPr>
          </w:p>
        </w:tc>
        <w:tc>
          <w:tcPr>
            <w:tcW w:w="34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是</w:t>
            </w:r>
          </w:p>
          <w:p w:rsidR="00AD5BB5" w:rsidRDefault="00AD5BB5">
            <w:pPr>
              <w:spacing w:line="276" w:lineRule="auto"/>
              <w:jc w:val="center"/>
              <w:rPr>
                <w:rFonts w:ascii="宋体" w:hAnsi="宋体"/>
                <w:sz w:val="18"/>
              </w:rPr>
            </w:pPr>
          </w:p>
        </w:tc>
        <w:tc>
          <w:tcPr>
            <w:tcW w:w="42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不适用</w:t>
            </w:r>
          </w:p>
        </w:tc>
        <w:tc>
          <w:tcPr>
            <w:tcW w:w="3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不适用</w:t>
            </w:r>
          </w:p>
        </w:tc>
      </w:tr>
      <w:tr w:rsidR="00AD5BB5">
        <w:trPr>
          <w:jc w:val="center"/>
        </w:trPr>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rPr>
                <w:rFonts w:ascii="宋体" w:hAnsi="宋体"/>
                <w:sz w:val="18"/>
              </w:rPr>
            </w:pPr>
            <w:r>
              <w:rPr>
                <w:rFonts w:ascii="宋体" w:hAnsi="宋体" w:hint="eastAsia"/>
                <w:sz w:val="18"/>
              </w:rPr>
              <w:t>与首次公</w:t>
            </w:r>
            <w:r>
              <w:rPr>
                <w:rFonts w:ascii="宋体" w:hAnsi="宋体" w:hint="eastAsia"/>
                <w:sz w:val="18"/>
              </w:rPr>
              <w:lastRenderedPageBreak/>
              <w:t>开发行相关的承诺</w:t>
            </w:r>
          </w:p>
          <w:p w:rsidR="00AD5BB5" w:rsidRDefault="00AD5BB5">
            <w:pPr>
              <w:spacing w:line="276" w:lineRule="auto"/>
              <w:rPr>
                <w:rFonts w:ascii="宋体" w:hAnsi="宋体"/>
                <w:sz w:val="18"/>
              </w:rPr>
            </w:pPr>
          </w:p>
        </w:tc>
        <w:tc>
          <w:tcPr>
            <w:tcW w:w="30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lastRenderedPageBreak/>
              <w:t>其他</w:t>
            </w:r>
          </w:p>
          <w:p w:rsidR="00AD5BB5" w:rsidRDefault="00AD5BB5">
            <w:pPr>
              <w:spacing w:line="276" w:lineRule="auto"/>
              <w:jc w:val="center"/>
              <w:rPr>
                <w:rFonts w:ascii="宋体" w:hAnsi="宋体"/>
                <w:sz w:val="18"/>
              </w:rPr>
            </w:pPr>
          </w:p>
          <w:p w:rsidR="00AD5BB5" w:rsidRDefault="00AD5BB5">
            <w:pPr>
              <w:spacing w:line="276" w:lineRule="auto"/>
              <w:jc w:val="center"/>
              <w:rPr>
                <w:rFonts w:ascii="宋体" w:hAnsi="宋体"/>
                <w:sz w:val="18"/>
              </w:rPr>
            </w:pPr>
          </w:p>
        </w:tc>
        <w:tc>
          <w:tcPr>
            <w:tcW w:w="75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kern w:val="0"/>
                <w:sz w:val="18"/>
              </w:rPr>
              <w:lastRenderedPageBreak/>
              <w:t>富邦金融控股股份有限公司</w:t>
            </w:r>
            <w:r>
              <w:rPr>
                <w:rFonts w:ascii="宋体" w:hAnsi="宋体" w:hint="eastAsia"/>
                <w:sz w:val="18"/>
              </w:rPr>
              <w:t>、北</w:t>
            </w:r>
            <w:r>
              <w:rPr>
                <w:rFonts w:ascii="宋体" w:hAnsi="宋体" w:hint="eastAsia"/>
                <w:sz w:val="18"/>
              </w:rPr>
              <w:lastRenderedPageBreak/>
              <w:t>京盛达兴业房地产开发有限公司</w:t>
            </w:r>
          </w:p>
        </w:tc>
        <w:tc>
          <w:tcPr>
            <w:tcW w:w="170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snapToGrid w:val="0"/>
              <w:spacing w:beforeLines="50" w:before="120" w:line="276" w:lineRule="auto"/>
              <w:rPr>
                <w:rFonts w:ascii="宋体" w:hAnsi="宋体"/>
                <w:sz w:val="18"/>
              </w:rPr>
            </w:pPr>
            <w:r>
              <w:rPr>
                <w:rFonts w:ascii="宋体" w:hAnsi="宋体" w:hint="eastAsia"/>
                <w:sz w:val="18"/>
              </w:rPr>
              <w:lastRenderedPageBreak/>
              <w:t>1、如果在股票锁定期满后，本公司拟减持厦门银行股票的，将认真遵守中国证监</w:t>
            </w:r>
            <w:r>
              <w:rPr>
                <w:rFonts w:ascii="宋体" w:hAnsi="宋体" w:hint="eastAsia"/>
                <w:sz w:val="18"/>
              </w:rPr>
              <w:lastRenderedPageBreak/>
              <w:t>会、证券交易所等相关主管/监管部门关于股东减持的相关规定，结合公司稳定股价、开展经营、资本运作的需要，审慎制定股票减持计划，在股票锁定期满后逐步减持；</w:t>
            </w:r>
          </w:p>
          <w:p w:rsidR="00AD5BB5" w:rsidRDefault="00F87FF6">
            <w:pPr>
              <w:snapToGrid w:val="0"/>
              <w:spacing w:beforeLines="50" w:before="120" w:line="276" w:lineRule="auto"/>
              <w:rPr>
                <w:rFonts w:ascii="宋体" w:hAnsi="宋体"/>
                <w:sz w:val="18"/>
              </w:rPr>
            </w:pPr>
            <w:r>
              <w:rPr>
                <w:rFonts w:ascii="宋体" w:hAnsi="宋体" w:hint="eastAsia"/>
                <w:sz w:val="18"/>
              </w:rPr>
              <w:t>2、本公司减持厦门银行股份应符合相关法律、法规、规章的规定，具体方式包括但不限于在证券交易所以集中竞价交易方式、大宗交易方式、协议转让方式以及中国证监会、证券交易所认可的其他方式等；</w:t>
            </w:r>
          </w:p>
          <w:p w:rsidR="00AD5BB5" w:rsidRDefault="00F87FF6">
            <w:pPr>
              <w:snapToGrid w:val="0"/>
              <w:spacing w:beforeLines="50" w:before="120" w:line="276" w:lineRule="auto"/>
              <w:rPr>
                <w:rFonts w:ascii="宋体" w:hAnsi="宋体"/>
                <w:sz w:val="18"/>
              </w:rPr>
            </w:pPr>
            <w:r>
              <w:rPr>
                <w:rFonts w:ascii="宋体" w:hAnsi="宋体" w:hint="eastAsia"/>
                <w:sz w:val="18"/>
              </w:rPr>
              <w:t>3、本公司减持厦门银行股份前，应提前三个交易日通过厦门银行予以公告，并按照证券交易所的规则及时、准确地履行信息披露义务；本公司持有厦门银行的股份低于5%以下时除外；</w:t>
            </w:r>
          </w:p>
          <w:p w:rsidR="00AD5BB5" w:rsidRDefault="00F87FF6">
            <w:pPr>
              <w:snapToGrid w:val="0"/>
              <w:spacing w:beforeLines="50" w:before="120" w:line="276" w:lineRule="auto"/>
              <w:rPr>
                <w:rFonts w:ascii="宋体" w:hAnsi="宋体"/>
                <w:sz w:val="18"/>
              </w:rPr>
            </w:pPr>
            <w:r>
              <w:rPr>
                <w:rFonts w:ascii="宋体" w:hAnsi="宋体" w:hint="eastAsia"/>
                <w:sz w:val="18"/>
              </w:rPr>
              <w:t>4、如果在股票锁定期满后两年内，本公司拟减持厦门银行股票的，减</w:t>
            </w:r>
            <w:proofErr w:type="gramStart"/>
            <w:r>
              <w:rPr>
                <w:rFonts w:ascii="宋体" w:hAnsi="宋体" w:hint="eastAsia"/>
                <w:sz w:val="18"/>
              </w:rPr>
              <w:t>持价格</w:t>
            </w:r>
            <w:proofErr w:type="gramEnd"/>
            <w:r>
              <w:rPr>
                <w:rFonts w:ascii="宋体" w:hAnsi="宋体" w:hint="eastAsia"/>
                <w:sz w:val="18"/>
              </w:rPr>
              <w:t>不低于本次发行的发行价格（厦门银行如有派息、送股、资本公积金转增股本、配股等除权除息事项，发行价将相应进行调整）；</w:t>
            </w:r>
          </w:p>
          <w:p w:rsidR="00AD5BB5" w:rsidRDefault="00F87FF6">
            <w:pPr>
              <w:snapToGrid w:val="0"/>
              <w:spacing w:beforeLines="50" w:before="120" w:line="276" w:lineRule="auto"/>
              <w:rPr>
                <w:rFonts w:ascii="宋体" w:hAnsi="宋体"/>
                <w:sz w:val="18"/>
              </w:rPr>
            </w:pPr>
            <w:r>
              <w:rPr>
                <w:rFonts w:ascii="宋体" w:hAnsi="宋体" w:hint="eastAsia"/>
                <w:sz w:val="18"/>
              </w:rPr>
              <w:t>5、如果在股票锁定期满后两年内减持，本公司每年减</w:t>
            </w:r>
            <w:proofErr w:type="gramStart"/>
            <w:r>
              <w:rPr>
                <w:rFonts w:ascii="宋体" w:hAnsi="宋体" w:hint="eastAsia"/>
                <w:sz w:val="18"/>
              </w:rPr>
              <w:t>持数量</w:t>
            </w:r>
            <w:proofErr w:type="gramEnd"/>
            <w:r>
              <w:rPr>
                <w:rFonts w:ascii="宋体" w:hAnsi="宋体" w:hint="eastAsia"/>
                <w:sz w:val="18"/>
              </w:rPr>
              <w:t>不超过持有厦门银行股份数量的0%；如果在股票锁定期满两年后减持的，减</w:t>
            </w:r>
            <w:proofErr w:type="gramStart"/>
            <w:r>
              <w:rPr>
                <w:rFonts w:ascii="宋体" w:hAnsi="宋体" w:hint="eastAsia"/>
                <w:sz w:val="18"/>
              </w:rPr>
              <w:t>持数量</w:t>
            </w:r>
            <w:proofErr w:type="gramEnd"/>
            <w:r>
              <w:rPr>
                <w:rFonts w:ascii="宋体" w:hAnsi="宋体" w:hint="eastAsia"/>
                <w:sz w:val="18"/>
              </w:rPr>
              <w:t>视需要以及根据相关法律法规的规定而确定；</w:t>
            </w:r>
          </w:p>
          <w:p w:rsidR="00AD5BB5" w:rsidRDefault="00F87FF6">
            <w:pPr>
              <w:snapToGrid w:val="0"/>
              <w:spacing w:beforeLines="50" w:before="120" w:line="276" w:lineRule="auto"/>
              <w:rPr>
                <w:rFonts w:ascii="宋体" w:hAnsi="宋体"/>
                <w:sz w:val="18"/>
              </w:rPr>
            </w:pPr>
            <w:r>
              <w:rPr>
                <w:rFonts w:ascii="宋体" w:hAnsi="宋体" w:hint="eastAsia"/>
                <w:sz w:val="18"/>
              </w:rPr>
              <w:t>6、如果本公司违反上述减持声明擅自减持公司股份的，所获收益归公司所有，并在获得收益的或知晓未履行相关承诺事项的事实之日起五个交易日内将所获收益支付给公司指定账户；本公司将在股东大会及中国证监会指定的披露媒体上公开说明违反上述减持声明的具体原因并向公司股东和社会公众投资者道歉；本公司持有的公司股份自本公司违反上述减持声明之日起6个月内不得减持。</w:t>
            </w:r>
          </w:p>
          <w:p w:rsidR="00AD5BB5" w:rsidRDefault="00F87FF6">
            <w:pPr>
              <w:snapToGrid w:val="0"/>
              <w:spacing w:beforeLines="50" w:before="120" w:line="276" w:lineRule="auto"/>
              <w:rPr>
                <w:rFonts w:ascii="宋体" w:hAnsi="宋体"/>
                <w:sz w:val="18"/>
              </w:rPr>
            </w:pPr>
            <w:r>
              <w:rPr>
                <w:rFonts w:ascii="宋体" w:hAnsi="宋体" w:hint="eastAsia"/>
                <w:sz w:val="18"/>
              </w:rPr>
              <w:t>7、如本公司未按前条承诺未将违规减持厦门银行股票所得上交厦门银行的，则厦门银行有权按照本公司应上交厦门银行的违规减</w:t>
            </w:r>
            <w:proofErr w:type="gramStart"/>
            <w:r>
              <w:rPr>
                <w:rFonts w:ascii="宋体" w:hAnsi="宋体" w:hint="eastAsia"/>
                <w:sz w:val="18"/>
              </w:rPr>
              <w:t>持所得</w:t>
            </w:r>
            <w:proofErr w:type="gramEnd"/>
            <w:r>
              <w:rPr>
                <w:rFonts w:ascii="宋体" w:hAnsi="宋体" w:hint="eastAsia"/>
                <w:sz w:val="18"/>
              </w:rPr>
              <w:t>金额相应扣留应付本公司现金分红。</w:t>
            </w:r>
          </w:p>
        </w:tc>
        <w:tc>
          <w:tcPr>
            <w:tcW w:w="49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lastRenderedPageBreak/>
              <w:t>作为公司股东期间</w:t>
            </w:r>
          </w:p>
        </w:tc>
        <w:tc>
          <w:tcPr>
            <w:tcW w:w="27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是</w:t>
            </w:r>
          </w:p>
          <w:p w:rsidR="00AD5BB5" w:rsidRDefault="00AD5BB5">
            <w:pPr>
              <w:spacing w:line="276" w:lineRule="auto"/>
              <w:jc w:val="center"/>
              <w:rPr>
                <w:rFonts w:ascii="宋体" w:hAnsi="宋体"/>
                <w:sz w:val="18"/>
              </w:rPr>
            </w:pPr>
          </w:p>
        </w:tc>
        <w:tc>
          <w:tcPr>
            <w:tcW w:w="34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是</w:t>
            </w:r>
          </w:p>
          <w:p w:rsidR="00AD5BB5" w:rsidRDefault="00AD5BB5">
            <w:pPr>
              <w:spacing w:line="276" w:lineRule="auto"/>
              <w:jc w:val="center"/>
              <w:rPr>
                <w:rFonts w:ascii="宋体" w:hAnsi="宋体"/>
                <w:sz w:val="18"/>
              </w:rPr>
            </w:pPr>
          </w:p>
        </w:tc>
        <w:tc>
          <w:tcPr>
            <w:tcW w:w="42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不适用</w:t>
            </w:r>
          </w:p>
        </w:tc>
        <w:tc>
          <w:tcPr>
            <w:tcW w:w="3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不适用</w:t>
            </w:r>
          </w:p>
        </w:tc>
      </w:tr>
      <w:tr w:rsidR="00AD5BB5">
        <w:trPr>
          <w:jc w:val="center"/>
        </w:trPr>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rPr>
                <w:rFonts w:ascii="宋体" w:hAnsi="宋体"/>
                <w:sz w:val="18"/>
              </w:rPr>
            </w:pPr>
            <w:r>
              <w:rPr>
                <w:rFonts w:ascii="宋体" w:hAnsi="宋体" w:hint="eastAsia"/>
                <w:sz w:val="18"/>
              </w:rPr>
              <w:lastRenderedPageBreak/>
              <w:t>与首次公开发行相关的承诺</w:t>
            </w:r>
          </w:p>
          <w:p w:rsidR="00AD5BB5" w:rsidRDefault="00AD5BB5">
            <w:pPr>
              <w:spacing w:line="276" w:lineRule="auto"/>
              <w:rPr>
                <w:rFonts w:ascii="宋体" w:hAnsi="宋体"/>
                <w:sz w:val="18"/>
              </w:rPr>
            </w:pPr>
          </w:p>
        </w:tc>
        <w:tc>
          <w:tcPr>
            <w:tcW w:w="30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其他</w:t>
            </w:r>
          </w:p>
          <w:p w:rsidR="00AD5BB5" w:rsidRDefault="00AD5BB5">
            <w:pPr>
              <w:spacing w:line="276" w:lineRule="auto"/>
              <w:jc w:val="center"/>
              <w:rPr>
                <w:rFonts w:ascii="宋体" w:hAnsi="宋体"/>
                <w:sz w:val="18"/>
              </w:rPr>
            </w:pPr>
          </w:p>
        </w:tc>
        <w:tc>
          <w:tcPr>
            <w:tcW w:w="75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kern w:val="0"/>
                <w:sz w:val="18"/>
              </w:rPr>
              <w:t>福建七匹狼集团有限公司</w:t>
            </w:r>
          </w:p>
        </w:tc>
        <w:tc>
          <w:tcPr>
            <w:tcW w:w="170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snapToGrid w:val="0"/>
              <w:spacing w:beforeLines="50" w:before="120" w:line="276" w:lineRule="auto"/>
              <w:rPr>
                <w:rFonts w:ascii="宋体" w:hAnsi="宋体"/>
                <w:sz w:val="18"/>
              </w:rPr>
            </w:pPr>
            <w:r>
              <w:rPr>
                <w:rFonts w:ascii="宋体" w:hAnsi="宋体" w:hint="eastAsia"/>
                <w:sz w:val="18"/>
              </w:rPr>
              <w:t>1、如果在股票锁定期满后，本公司拟减持厦门银行股票的，将认真遵守中国证监会、证券交易所等相关主管/监管部门关于股东减持的相关规定，结合公司稳定股价、开展经营、资本运作的需要，审慎制定股票减持计划，在股票锁定期满后逐步减持；</w:t>
            </w:r>
          </w:p>
          <w:p w:rsidR="00AD5BB5" w:rsidRDefault="00F87FF6">
            <w:pPr>
              <w:snapToGrid w:val="0"/>
              <w:spacing w:beforeLines="50" w:before="120" w:line="276" w:lineRule="auto"/>
              <w:rPr>
                <w:rFonts w:ascii="宋体" w:hAnsi="宋体"/>
                <w:sz w:val="18"/>
              </w:rPr>
            </w:pPr>
            <w:r>
              <w:rPr>
                <w:rFonts w:ascii="宋体" w:hAnsi="宋体" w:hint="eastAsia"/>
                <w:sz w:val="18"/>
              </w:rPr>
              <w:lastRenderedPageBreak/>
              <w:t>2、本公司减持厦门银行股份应符合相关法律、法规、规章的规定，具体方式包括但不限于在证券交易所以集中竞价交易方式、大宗交易方式、协议转让方式以及中国证监会、证券交易所认可的其他方式等；</w:t>
            </w:r>
          </w:p>
          <w:p w:rsidR="00AD5BB5" w:rsidRDefault="00F87FF6">
            <w:pPr>
              <w:snapToGrid w:val="0"/>
              <w:spacing w:beforeLines="50" w:before="120" w:line="276" w:lineRule="auto"/>
              <w:rPr>
                <w:rFonts w:ascii="宋体" w:hAnsi="宋体"/>
                <w:sz w:val="18"/>
              </w:rPr>
            </w:pPr>
            <w:r>
              <w:rPr>
                <w:rFonts w:ascii="宋体" w:hAnsi="宋体" w:hint="eastAsia"/>
                <w:sz w:val="18"/>
              </w:rPr>
              <w:t>3、本公司减持厦门银行股份前，应提前三个交易日通过厦门银行予以公告，并按照证券交易所的规则及时、准确地履行信息披露义务；本公司持有厦门银行的股份低于5%以下时除外；</w:t>
            </w:r>
          </w:p>
          <w:p w:rsidR="00AD5BB5" w:rsidRDefault="00F87FF6">
            <w:pPr>
              <w:snapToGrid w:val="0"/>
              <w:spacing w:beforeLines="50" w:before="120" w:line="276" w:lineRule="auto"/>
              <w:rPr>
                <w:rFonts w:ascii="宋体" w:hAnsi="宋体"/>
                <w:sz w:val="18"/>
              </w:rPr>
            </w:pPr>
            <w:r>
              <w:rPr>
                <w:rFonts w:ascii="宋体" w:hAnsi="宋体" w:hint="eastAsia"/>
                <w:sz w:val="18"/>
              </w:rPr>
              <w:t>4、如果在股票锁定期满后两年内，本公司拟减持厦门银行股票的，减</w:t>
            </w:r>
            <w:proofErr w:type="gramStart"/>
            <w:r>
              <w:rPr>
                <w:rFonts w:ascii="宋体" w:hAnsi="宋体" w:hint="eastAsia"/>
                <w:sz w:val="18"/>
              </w:rPr>
              <w:t>持价格</w:t>
            </w:r>
            <w:proofErr w:type="gramEnd"/>
            <w:r>
              <w:rPr>
                <w:rFonts w:ascii="宋体" w:hAnsi="宋体" w:hint="eastAsia"/>
                <w:sz w:val="18"/>
              </w:rPr>
              <w:t>不低于本次发行的发行价格（厦门银行如有派息、送股、资本公积金转增股本、配股等除权除息事项，发行价将相应进行调整）；</w:t>
            </w:r>
          </w:p>
          <w:p w:rsidR="00AD5BB5" w:rsidRDefault="00F87FF6">
            <w:pPr>
              <w:snapToGrid w:val="0"/>
              <w:spacing w:beforeLines="50" w:before="120" w:line="276" w:lineRule="auto"/>
              <w:rPr>
                <w:rFonts w:ascii="宋体" w:hAnsi="宋体"/>
                <w:sz w:val="18"/>
              </w:rPr>
            </w:pPr>
            <w:r>
              <w:rPr>
                <w:rFonts w:ascii="宋体" w:hAnsi="宋体" w:hint="eastAsia"/>
                <w:sz w:val="18"/>
              </w:rPr>
              <w:t>5、如果在股票锁定期满后两年内减持，本公司每年减</w:t>
            </w:r>
            <w:proofErr w:type="gramStart"/>
            <w:r>
              <w:rPr>
                <w:rFonts w:ascii="宋体" w:hAnsi="宋体" w:hint="eastAsia"/>
                <w:sz w:val="18"/>
              </w:rPr>
              <w:t>持数量</w:t>
            </w:r>
            <w:proofErr w:type="gramEnd"/>
            <w:r>
              <w:rPr>
                <w:rFonts w:ascii="宋体" w:hAnsi="宋体" w:hint="eastAsia"/>
                <w:sz w:val="18"/>
              </w:rPr>
              <w:t>不超过持有厦门银行股份数量的三分之一；如果在股票锁定期满两年后减持的，减</w:t>
            </w:r>
            <w:proofErr w:type="gramStart"/>
            <w:r>
              <w:rPr>
                <w:rFonts w:ascii="宋体" w:hAnsi="宋体" w:hint="eastAsia"/>
                <w:sz w:val="18"/>
              </w:rPr>
              <w:t>持数量</w:t>
            </w:r>
            <w:proofErr w:type="gramEnd"/>
            <w:r>
              <w:rPr>
                <w:rFonts w:ascii="宋体" w:hAnsi="宋体" w:hint="eastAsia"/>
                <w:sz w:val="18"/>
              </w:rPr>
              <w:t>视需要以及根据相关法律法规的规定而确定；</w:t>
            </w:r>
          </w:p>
          <w:p w:rsidR="00AD5BB5" w:rsidRDefault="00F87FF6">
            <w:pPr>
              <w:snapToGrid w:val="0"/>
              <w:spacing w:beforeLines="50" w:before="120" w:line="276" w:lineRule="auto"/>
              <w:rPr>
                <w:rFonts w:ascii="宋体" w:hAnsi="宋体"/>
                <w:sz w:val="18"/>
              </w:rPr>
            </w:pPr>
            <w:r>
              <w:rPr>
                <w:rFonts w:ascii="宋体" w:hAnsi="宋体" w:hint="eastAsia"/>
                <w:sz w:val="18"/>
              </w:rPr>
              <w:t>6、如果本公司违反上述减持声明擅自减持公司股份的，所获收益归公司所有，并在获得收益的或知晓未履行相关承诺事项的事实之日起五个交易日内将所获收益支付给公司指定账户；本公司将在股东大会及中国证监会指定的披露媒体上公开说明违反上述减持声明的具体原因并向公司股东和社会公众投资者道歉；本公司持有的公司股份自本公司违反上述减持声明之日起6个月内不得减持。</w:t>
            </w:r>
          </w:p>
          <w:p w:rsidR="00AD5BB5" w:rsidRDefault="00F87FF6">
            <w:pPr>
              <w:snapToGrid w:val="0"/>
              <w:spacing w:beforeLines="50" w:before="120" w:line="276" w:lineRule="auto"/>
              <w:rPr>
                <w:rFonts w:ascii="宋体" w:hAnsi="宋体"/>
                <w:sz w:val="18"/>
              </w:rPr>
            </w:pPr>
            <w:r>
              <w:rPr>
                <w:rFonts w:ascii="宋体" w:hAnsi="宋体" w:hint="eastAsia"/>
                <w:sz w:val="18"/>
              </w:rPr>
              <w:t>7、如本公司未按前条承诺未将违规减持厦门银行股票所得上交厦门银行的，则厦门银行有权按照本公司应上交厦门银行的违规减</w:t>
            </w:r>
            <w:proofErr w:type="gramStart"/>
            <w:r>
              <w:rPr>
                <w:rFonts w:ascii="宋体" w:hAnsi="宋体" w:hint="eastAsia"/>
                <w:sz w:val="18"/>
              </w:rPr>
              <w:t>持所得</w:t>
            </w:r>
            <w:proofErr w:type="gramEnd"/>
            <w:r>
              <w:rPr>
                <w:rFonts w:ascii="宋体" w:hAnsi="宋体" w:hint="eastAsia"/>
                <w:sz w:val="18"/>
              </w:rPr>
              <w:t>金额相应扣留应付本公司现金分红。</w:t>
            </w:r>
          </w:p>
        </w:tc>
        <w:tc>
          <w:tcPr>
            <w:tcW w:w="49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lastRenderedPageBreak/>
              <w:t>作为公司股东期间</w:t>
            </w:r>
          </w:p>
        </w:tc>
        <w:tc>
          <w:tcPr>
            <w:tcW w:w="27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是</w:t>
            </w:r>
          </w:p>
          <w:p w:rsidR="00AD5BB5" w:rsidRDefault="00AD5BB5">
            <w:pPr>
              <w:spacing w:line="276" w:lineRule="auto"/>
              <w:jc w:val="center"/>
              <w:rPr>
                <w:rFonts w:ascii="宋体" w:hAnsi="宋体"/>
                <w:sz w:val="18"/>
              </w:rPr>
            </w:pPr>
          </w:p>
        </w:tc>
        <w:tc>
          <w:tcPr>
            <w:tcW w:w="34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是</w:t>
            </w:r>
          </w:p>
          <w:p w:rsidR="00AD5BB5" w:rsidRDefault="00AD5BB5">
            <w:pPr>
              <w:spacing w:line="276" w:lineRule="auto"/>
              <w:jc w:val="center"/>
              <w:rPr>
                <w:rFonts w:ascii="宋体" w:hAnsi="宋体"/>
                <w:sz w:val="18"/>
              </w:rPr>
            </w:pPr>
          </w:p>
        </w:tc>
        <w:tc>
          <w:tcPr>
            <w:tcW w:w="42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不适用</w:t>
            </w:r>
          </w:p>
        </w:tc>
        <w:tc>
          <w:tcPr>
            <w:tcW w:w="3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不适用</w:t>
            </w:r>
          </w:p>
        </w:tc>
      </w:tr>
      <w:tr w:rsidR="00AD5BB5">
        <w:trPr>
          <w:jc w:val="center"/>
        </w:trPr>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rPr>
                <w:rFonts w:ascii="宋体" w:hAnsi="宋体"/>
                <w:sz w:val="18"/>
              </w:rPr>
            </w:pPr>
            <w:r>
              <w:rPr>
                <w:rFonts w:ascii="宋体" w:hAnsi="宋体" w:hint="eastAsia"/>
                <w:sz w:val="18"/>
              </w:rPr>
              <w:lastRenderedPageBreak/>
              <w:t>与首次公开发行相关的承诺</w:t>
            </w:r>
          </w:p>
          <w:p w:rsidR="00AD5BB5" w:rsidRDefault="00AD5BB5">
            <w:pPr>
              <w:spacing w:line="276" w:lineRule="auto"/>
              <w:rPr>
                <w:rFonts w:ascii="宋体" w:hAnsi="宋体"/>
                <w:sz w:val="18"/>
              </w:rPr>
            </w:pPr>
          </w:p>
        </w:tc>
        <w:tc>
          <w:tcPr>
            <w:tcW w:w="30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其他</w:t>
            </w:r>
          </w:p>
          <w:p w:rsidR="00AD5BB5" w:rsidRDefault="00AD5BB5">
            <w:pPr>
              <w:spacing w:line="276" w:lineRule="auto"/>
              <w:jc w:val="center"/>
              <w:rPr>
                <w:rFonts w:ascii="宋体" w:hAnsi="宋体"/>
                <w:sz w:val="18"/>
              </w:rPr>
            </w:pPr>
          </w:p>
        </w:tc>
        <w:tc>
          <w:tcPr>
            <w:tcW w:w="75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公司、持股5%以上的股东、董事和高级管理人员</w:t>
            </w:r>
          </w:p>
        </w:tc>
        <w:tc>
          <w:tcPr>
            <w:tcW w:w="170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spacing w:line="276" w:lineRule="auto"/>
              <w:rPr>
                <w:rFonts w:ascii="宋体" w:hAnsi="宋体"/>
                <w:sz w:val="18"/>
              </w:rPr>
            </w:pPr>
            <w:r>
              <w:rPr>
                <w:rFonts w:ascii="宋体" w:hAnsi="宋体" w:hint="eastAsia"/>
                <w:sz w:val="18"/>
              </w:rPr>
              <w:t>公司上市后三年内，若公司股价持续低于每股净资产，将通过：</w:t>
            </w:r>
          </w:p>
          <w:p w:rsidR="00AD5BB5" w:rsidRDefault="00F87FF6">
            <w:pPr>
              <w:spacing w:line="276" w:lineRule="auto"/>
              <w:rPr>
                <w:rFonts w:ascii="宋体" w:hAnsi="宋体"/>
                <w:sz w:val="18"/>
              </w:rPr>
            </w:pPr>
            <w:r>
              <w:rPr>
                <w:rFonts w:ascii="宋体" w:hAnsi="宋体" w:hint="eastAsia"/>
                <w:sz w:val="18"/>
              </w:rPr>
              <w:t>1、公司回购股票或符合相关法律法规的其他措施；</w:t>
            </w:r>
          </w:p>
          <w:p w:rsidR="00AD5BB5" w:rsidRDefault="00F87FF6">
            <w:pPr>
              <w:spacing w:line="276" w:lineRule="auto"/>
              <w:rPr>
                <w:rFonts w:ascii="宋体" w:hAnsi="宋体"/>
                <w:sz w:val="18"/>
              </w:rPr>
            </w:pPr>
            <w:r>
              <w:rPr>
                <w:rFonts w:ascii="宋体" w:hAnsi="宋体" w:hint="eastAsia"/>
                <w:sz w:val="18"/>
              </w:rPr>
              <w:t>2、公司持股5%以上的股东增持公司股票；</w:t>
            </w:r>
          </w:p>
          <w:p w:rsidR="00AD5BB5" w:rsidRDefault="00F87FF6">
            <w:pPr>
              <w:spacing w:line="276" w:lineRule="auto"/>
              <w:rPr>
                <w:rFonts w:ascii="宋体" w:hAnsi="宋体"/>
                <w:sz w:val="18"/>
              </w:rPr>
            </w:pPr>
            <w:r>
              <w:rPr>
                <w:rFonts w:ascii="宋体" w:hAnsi="宋体" w:hint="eastAsia"/>
                <w:sz w:val="18"/>
              </w:rPr>
              <w:t>3、公司董事（不含独立董事）、高级管理人员增持公司股票等方式启动股价稳定措施</w:t>
            </w:r>
          </w:p>
        </w:tc>
        <w:tc>
          <w:tcPr>
            <w:tcW w:w="49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rPr>
                <w:rFonts w:ascii="宋体" w:hAnsi="宋体"/>
                <w:sz w:val="18"/>
              </w:rPr>
            </w:pPr>
            <w:r>
              <w:rPr>
                <w:rFonts w:ascii="宋体" w:hAnsi="宋体" w:hint="eastAsia"/>
                <w:sz w:val="18"/>
              </w:rPr>
              <w:t>2020年10月27日</w:t>
            </w:r>
          </w:p>
          <w:p w:rsidR="00AD5BB5" w:rsidRDefault="00F87FF6">
            <w:pPr>
              <w:spacing w:line="276" w:lineRule="auto"/>
              <w:rPr>
                <w:rFonts w:ascii="宋体" w:hAnsi="宋体"/>
                <w:sz w:val="18"/>
              </w:rPr>
            </w:pPr>
            <w:r>
              <w:rPr>
                <w:rFonts w:ascii="宋体" w:hAnsi="宋体" w:hint="eastAsia"/>
                <w:sz w:val="18"/>
              </w:rPr>
              <w:t>至</w:t>
            </w:r>
          </w:p>
          <w:p w:rsidR="00AD5BB5" w:rsidRDefault="00F87FF6">
            <w:pPr>
              <w:spacing w:line="276" w:lineRule="auto"/>
              <w:rPr>
                <w:rFonts w:ascii="宋体" w:hAnsi="宋体"/>
                <w:sz w:val="18"/>
              </w:rPr>
            </w:pPr>
            <w:r>
              <w:rPr>
                <w:rFonts w:ascii="宋体" w:hAnsi="宋体" w:hint="eastAsia"/>
                <w:sz w:val="18"/>
              </w:rPr>
              <w:t>2023年10月26日</w:t>
            </w:r>
          </w:p>
        </w:tc>
        <w:tc>
          <w:tcPr>
            <w:tcW w:w="27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是</w:t>
            </w:r>
          </w:p>
          <w:p w:rsidR="00AD5BB5" w:rsidRDefault="00AD5BB5">
            <w:pPr>
              <w:spacing w:line="276" w:lineRule="auto"/>
              <w:jc w:val="center"/>
              <w:rPr>
                <w:rFonts w:ascii="宋体" w:hAnsi="宋体"/>
                <w:sz w:val="18"/>
              </w:rPr>
            </w:pPr>
          </w:p>
        </w:tc>
        <w:tc>
          <w:tcPr>
            <w:tcW w:w="34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是</w:t>
            </w:r>
          </w:p>
          <w:p w:rsidR="00AD5BB5" w:rsidRDefault="00AD5BB5">
            <w:pPr>
              <w:spacing w:line="276" w:lineRule="auto"/>
              <w:jc w:val="center"/>
              <w:rPr>
                <w:rFonts w:ascii="宋体" w:hAnsi="宋体"/>
                <w:sz w:val="18"/>
              </w:rPr>
            </w:pPr>
          </w:p>
        </w:tc>
        <w:tc>
          <w:tcPr>
            <w:tcW w:w="42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不适用</w:t>
            </w:r>
          </w:p>
        </w:tc>
        <w:tc>
          <w:tcPr>
            <w:tcW w:w="3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不适用</w:t>
            </w:r>
          </w:p>
        </w:tc>
      </w:tr>
      <w:tr w:rsidR="00AD5BB5">
        <w:trPr>
          <w:jc w:val="center"/>
        </w:trPr>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rPr>
                <w:rFonts w:ascii="宋体" w:hAnsi="宋体"/>
                <w:sz w:val="18"/>
              </w:rPr>
            </w:pPr>
            <w:r>
              <w:rPr>
                <w:rFonts w:ascii="宋体" w:hAnsi="宋体" w:hint="eastAsia"/>
                <w:sz w:val="18"/>
              </w:rPr>
              <w:t>与首次公开发行相关的</w:t>
            </w:r>
            <w:r>
              <w:rPr>
                <w:rFonts w:ascii="宋体" w:hAnsi="宋体" w:hint="eastAsia"/>
                <w:sz w:val="18"/>
              </w:rPr>
              <w:lastRenderedPageBreak/>
              <w:t>承诺</w:t>
            </w:r>
          </w:p>
          <w:p w:rsidR="00AD5BB5" w:rsidRDefault="00AD5BB5">
            <w:pPr>
              <w:spacing w:line="276" w:lineRule="auto"/>
              <w:rPr>
                <w:rFonts w:ascii="宋体" w:hAnsi="宋体"/>
                <w:sz w:val="18"/>
              </w:rPr>
            </w:pPr>
          </w:p>
        </w:tc>
        <w:tc>
          <w:tcPr>
            <w:tcW w:w="30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lastRenderedPageBreak/>
              <w:t>其他</w:t>
            </w:r>
          </w:p>
          <w:p w:rsidR="00AD5BB5" w:rsidRDefault="00AD5BB5">
            <w:pPr>
              <w:spacing w:line="276" w:lineRule="auto"/>
              <w:jc w:val="center"/>
              <w:rPr>
                <w:rFonts w:ascii="宋体" w:hAnsi="宋体"/>
                <w:sz w:val="18"/>
              </w:rPr>
            </w:pPr>
          </w:p>
        </w:tc>
        <w:tc>
          <w:tcPr>
            <w:tcW w:w="75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公司</w:t>
            </w:r>
          </w:p>
        </w:tc>
        <w:tc>
          <w:tcPr>
            <w:tcW w:w="170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numPr>
                <w:ilvl w:val="0"/>
                <w:numId w:val="25"/>
              </w:numPr>
              <w:spacing w:line="276" w:lineRule="auto"/>
              <w:rPr>
                <w:rFonts w:ascii="宋体" w:hAnsi="宋体"/>
                <w:sz w:val="18"/>
              </w:rPr>
            </w:pPr>
            <w:r>
              <w:rPr>
                <w:rFonts w:ascii="宋体" w:hAnsi="宋体" w:hint="eastAsia"/>
                <w:sz w:val="18"/>
              </w:rPr>
              <w:t>规范募集资金的管理和使用，充分发挥募集资金效益；</w:t>
            </w:r>
          </w:p>
          <w:p w:rsidR="00AD5BB5" w:rsidRDefault="00F87FF6">
            <w:pPr>
              <w:numPr>
                <w:ilvl w:val="0"/>
                <w:numId w:val="25"/>
              </w:numPr>
              <w:spacing w:line="276" w:lineRule="auto"/>
              <w:rPr>
                <w:rFonts w:ascii="宋体" w:hAnsi="宋体"/>
                <w:sz w:val="18"/>
              </w:rPr>
            </w:pPr>
            <w:r>
              <w:rPr>
                <w:rFonts w:ascii="宋体" w:hAnsi="宋体" w:hint="eastAsia"/>
                <w:sz w:val="18"/>
              </w:rPr>
              <w:t>积极推进资本管理工作；</w:t>
            </w:r>
          </w:p>
          <w:p w:rsidR="00AD5BB5" w:rsidRDefault="00F87FF6">
            <w:pPr>
              <w:spacing w:line="276" w:lineRule="auto"/>
              <w:rPr>
                <w:rFonts w:ascii="宋体" w:hAnsi="宋体"/>
                <w:sz w:val="18"/>
              </w:rPr>
            </w:pPr>
            <w:r>
              <w:rPr>
                <w:rFonts w:ascii="宋体" w:hAnsi="宋体" w:hint="eastAsia"/>
                <w:sz w:val="18"/>
              </w:rPr>
              <w:t>3、持续推动业务全面发展，实现多领域转型提升；</w:t>
            </w:r>
          </w:p>
          <w:p w:rsidR="00AD5BB5" w:rsidRDefault="00F87FF6">
            <w:pPr>
              <w:spacing w:line="276" w:lineRule="auto"/>
              <w:rPr>
                <w:rFonts w:ascii="宋体" w:hAnsi="宋体"/>
                <w:sz w:val="18"/>
              </w:rPr>
            </w:pPr>
            <w:r>
              <w:rPr>
                <w:rFonts w:ascii="宋体" w:hAnsi="宋体" w:hint="eastAsia"/>
                <w:sz w:val="18"/>
              </w:rPr>
              <w:lastRenderedPageBreak/>
              <w:t>4、强化风险管控，支持战略落地；</w:t>
            </w:r>
          </w:p>
          <w:p w:rsidR="00AD5BB5" w:rsidRDefault="00F87FF6">
            <w:pPr>
              <w:spacing w:line="276" w:lineRule="auto"/>
              <w:rPr>
                <w:rFonts w:ascii="宋体" w:hAnsi="宋体"/>
                <w:sz w:val="18"/>
              </w:rPr>
            </w:pPr>
            <w:r>
              <w:rPr>
                <w:rFonts w:ascii="宋体" w:hAnsi="宋体" w:hint="eastAsia"/>
                <w:sz w:val="18"/>
              </w:rPr>
              <w:t>5、结合本行的盈利情况和业务未来发展战略的实际需要，建立对投资者持续、稳定的回报机制。</w:t>
            </w:r>
          </w:p>
        </w:tc>
        <w:tc>
          <w:tcPr>
            <w:tcW w:w="49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lastRenderedPageBreak/>
              <w:t>公司上市期间</w:t>
            </w:r>
          </w:p>
        </w:tc>
        <w:tc>
          <w:tcPr>
            <w:tcW w:w="27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是</w:t>
            </w:r>
          </w:p>
          <w:p w:rsidR="00AD5BB5" w:rsidRDefault="00AD5BB5">
            <w:pPr>
              <w:spacing w:line="276" w:lineRule="auto"/>
              <w:jc w:val="center"/>
              <w:rPr>
                <w:rFonts w:ascii="宋体" w:hAnsi="宋体"/>
                <w:sz w:val="18"/>
              </w:rPr>
            </w:pPr>
          </w:p>
        </w:tc>
        <w:tc>
          <w:tcPr>
            <w:tcW w:w="34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是</w:t>
            </w:r>
          </w:p>
          <w:p w:rsidR="00AD5BB5" w:rsidRDefault="00AD5BB5">
            <w:pPr>
              <w:spacing w:line="276" w:lineRule="auto"/>
              <w:jc w:val="center"/>
              <w:rPr>
                <w:rFonts w:ascii="宋体" w:hAnsi="宋体"/>
                <w:sz w:val="18"/>
              </w:rPr>
            </w:pPr>
          </w:p>
        </w:tc>
        <w:tc>
          <w:tcPr>
            <w:tcW w:w="42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不适用</w:t>
            </w:r>
          </w:p>
        </w:tc>
        <w:tc>
          <w:tcPr>
            <w:tcW w:w="3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不适用</w:t>
            </w:r>
          </w:p>
        </w:tc>
      </w:tr>
      <w:tr w:rsidR="00AD5BB5">
        <w:trPr>
          <w:jc w:val="center"/>
        </w:trPr>
        <w:tc>
          <w:tcPr>
            <w:tcW w:w="32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rPr>
                <w:rFonts w:ascii="宋体" w:hAnsi="宋体"/>
                <w:sz w:val="18"/>
              </w:rPr>
            </w:pPr>
            <w:r>
              <w:rPr>
                <w:rFonts w:ascii="宋体" w:hAnsi="宋体" w:hint="eastAsia"/>
                <w:sz w:val="18"/>
              </w:rPr>
              <w:lastRenderedPageBreak/>
              <w:t>与首次公开发行相关的承诺</w:t>
            </w:r>
          </w:p>
          <w:p w:rsidR="00AD5BB5" w:rsidRDefault="00AD5BB5">
            <w:pPr>
              <w:spacing w:line="276" w:lineRule="auto"/>
              <w:rPr>
                <w:rFonts w:ascii="宋体" w:hAnsi="宋体"/>
                <w:sz w:val="18"/>
              </w:rPr>
            </w:pPr>
          </w:p>
        </w:tc>
        <w:tc>
          <w:tcPr>
            <w:tcW w:w="30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其他</w:t>
            </w:r>
          </w:p>
          <w:p w:rsidR="00AD5BB5" w:rsidRDefault="00AD5BB5">
            <w:pPr>
              <w:spacing w:line="276" w:lineRule="auto"/>
              <w:jc w:val="center"/>
              <w:rPr>
                <w:rFonts w:ascii="宋体" w:hAnsi="宋体"/>
                <w:sz w:val="18"/>
              </w:rPr>
            </w:pPr>
          </w:p>
        </w:tc>
        <w:tc>
          <w:tcPr>
            <w:tcW w:w="75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董事、高级管理人员</w:t>
            </w:r>
          </w:p>
        </w:tc>
        <w:tc>
          <w:tcPr>
            <w:tcW w:w="170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numPr>
                <w:ilvl w:val="0"/>
                <w:numId w:val="26"/>
              </w:numPr>
              <w:rPr>
                <w:rFonts w:ascii="宋体" w:hAnsi="宋体"/>
                <w:sz w:val="18"/>
              </w:rPr>
            </w:pPr>
            <w:r>
              <w:rPr>
                <w:rFonts w:ascii="宋体" w:hAnsi="宋体" w:hint="eastAsia"/>
                <w:sz w:val="18"/>
              </w:rPr>
              <w:t>承诺</w:t>
            </w:r>
            <w:proofErr w:type="gramStart"/>
            <w:r>
              <w:rPr>
                <w:rFonts w:ascii="宋体" w:hAnsi="宋体" w:hint="eastAsia"/>
                <w:sz w:val="18"/>
              </w:rPr>
              <w:t>不</w:t>
            </w:r>
            <w:proofErr w:type="gramEnd"/>
            <w:r>
              <w:rPr>
                <w:rFonts w:ascii="宋体" w:hAnsi="宋体" w:hint="eastAsia"/>
                <w:sz w:val="18"/>
              </w:rPr>
              <w:t>无偿或以不公平条件向其他单位或者个人输送利益，也不采用其他方式损害本行利益；</w:t>
            </w:r>
          </w:p>
          <w:p w:rsidR="00AD5BB5" w:rsidRDefault="00F87FF6">
            <w:pPr>
              <w:rPr>
                <w:rFonts w:ascii="宋体" w:hAnsi="宋体"/>
                <w:sz w:val="18"/>
              </w:rPr>
            </w:pPr>
            <w:r>
              <w:rPr>
                <w:rFonts w:ascii="宋体" w:hAnsi="宋体" w:hint="eastAsia"/>
                <w:sz w:val="18"/>
              </w:rPr>
              <w:t>2、承诺对董事和高级管理人员的职务消费行为进行约束；</w:t>
            </w:r>
          </w:p>
          <w:p w:rsidR="00AD5BB5" w:rsidRDefault="00F87FF6">
            <w:pPr>
              <w:rPr>
                <w:rFonts w:ascii="宋体" w:hAnsi="宋体"/>
                <w:sz w:val="18"/>
              </w:rPr>
            </w:pPr>
            <w:r>
              <w:rPr>
                <w:rFonts w:ascii="宋体" w:hAnsi="宋体" w:hint="eastAsia"/>
                <w:sz w:val="18"/>
              </w:rPr>
              <w:t>3、承诺不动用本行资产从事与其履行职责无关的投资、消费活动；</w:t>
            </w:r>
          </w:p>
          <w:p w:rsidR="00AD5BB5" w:rsidRDefault="00F87FF6">
            <w:pPr>
              <w:rPr>
                <w:rFonts w:ascii="宋体" w:hAnsi="宋体"/>
                <w:sz w:val="18"/>
              </w:rPr>
            </w:pPr>
            <w:r>
              <w:rPr>
                <w:rFonts w:ascii="宋体" w:hAnsi="宋体" w:hint="eastAsia"/>
                <w:sz w:val="18"/>
              </w:rPr>
              <w:t>4、承诺由董事会或薪酬委员会制定的薪酬制度与本行填补回报措施的执行情况相挂钩；</w:t>
            </w:r>
          </w:p>
          <w:p w:rsidR="00AD5BB5" w:rsidRDefault="00F87FF6">
            <w:pPr>
              <w:rPr>
                <w:rFonts w:ascii="宋体" w:hAnsi="宋体"/>
                <w:sz w:val="18"/>
              </w:rPr>
            </w:pPr>
            <w:r>
              <w:rPr>
                <w:rFonts w:ascii="宋体" w:hAnsi="宋体" w:hint="eastAsia"/>
                <w:sz w:val="18"/>
              </w:rPr>
              <w:t>5、承诺</w:t>
            </w:r>
            <w:proofErr w:type="gramStart"/>
            <w:r>
              <w:rPr>
                <w:rFonts w:ascii="宋体" w:hAnsi="宋体" w:hint="eastAsia"/>
                <w:sz w:val="18"/>
              </w:rPr>
              <w:t>拟公布</w:t>
            </w:r>
            <w:proofErr w:type="gramEnd"/>
            <w:r>
              <w:rPr>
                <w:rFonts w:ascii="宋体" w:hAnsi="宋体" w:hint="eastAsia"/>
                <w:sz w:val="18"/>
              </w:rPr>
              <w:t>的本行股权激励的行权条件与本行填补回报措施的执行情况相挂钩。</w:t>
            </w:r>
          </w:p>
        </w:tc>
        <w:tc>
          <w:tcPr>
            <w:tcW w:w="49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在相关董事、高级管理人员任职期间</w:t>
            </w:r>
          </w:p>
        </w:tc>
        <w:tc>
          <w:tcPr>
            <w:tcW w:w="27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是</w:t>
            </w:r>
          </w:p>
          <w:p w:rsidR="00AD5BB5" w:rsidRDefault="00AD5BB5">
            <w:pPr>
              <w:spacing w:line="276" w:lineRule="auto"/>
              <w:jc w:val="center"/>
              <w:rPr>
                <w:rFonts w:ascii="宋体" w:hAnsi="宋体"/>
                <w:sz w:val="18"/>
              </w:rPr>
            </w:pPr>
          </w:p>
        </w:tc>
        <w:tc>
          <w:tcPr>
            <w:tcW w:w="341"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是</w:t>
            </w:r>
          </w:p>
          <w:p w:rsidR="00AD5BB5" w:rsidRDefault="00AD5BB5">
            <w:pPr>
              <w:spacing w:line="276" w:lineRule="auto"/>
              <w:jc w:val="center"/>
              <w:rPr>
                <w:rFonts w:ascii="宋体" w:hAnsi="宋体"/>
                <w:sz w:val="18"/>
              </w:rPr>
            </w:pPr>
          </w:p>
        </w:tc>
        <w:tc>
          <w:tcPr>
            <w:tcW w:w="42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不适用</w:t>
            </w:r>
          </w:p>
        </w:tc>
        <w:tc>
          <w:tcPr>
            <w:tcW w:w="382"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spacing w:line="276" w:lineRule="auto"/>
              <w:jc w:val="center"/>
              <w:rPr>
                <w:rFonts w:ascii="宋体" w:hAnsi="宋体"/>
                <w:sz w:val="18"/>
              </w:rPr>
            </w:pPr>
            <w:r>
              <w:rPr>
                <w:rFonts w:ascii="宋体" w:hAnsi="宋体" w:hint="eastAsia"/>
                <w:sz w:val="18"/>
              </w:rPr>
              <w:t>不适用</w:t>
            </w:r>
          </w:p>
        </w:tc>
      </w:tr>
    </w:tbl>
    <w:bookmarkEnd w:id="37"/>
    <w:p w:rsidR="00AD5BB5" w:rsidRDefault="00F87FF6">
      <w:pPr>
        <w:pStyle w:val="2"/>
        <w:numPr>
          <w:ilvl w:val="0"/>
          <w:numId w:val="27"/>
        </w:numPr>
        <w:tabs>
          <w:tab w:val="left" w:pos="360"/>
        </w:tabs>
        <w:spacing w:line="360" w:lineRule="auto"/>
        <w:rPr>
          <w:rFonts w:ascii="宋体" w:hAnsi="宋体"/>
          <w:color w:val="FF0000"/>
        </w:rPr>
      </w:pPr>
      <w:r>
        <w:rPr>
          <w:rFonts w:ascii="宋体" w:hAnsi="宋体" w:hint="eastAsia"/>
        </w:rPr>
        <w:t>报告期内控股股东及其他关联方非经营性占用资金情况</w:t>
      </w:r>
    </w:p>
    <w:p w:rsidR="00AD5BB5" w:rsidRDefault="00F87FF6">
      <w:pPr>
        <w:pStyle w:val="aff2"/>
        <w:spacing w:line="360" w:lineRule="auto"/>
        <w:ind w:left="450" w:firstLineChars="0" w:firstLine="0"/>
      </w:pPr>
      <w:r>
        <w:rPr>
          <w:rFonts w:hint="eastAsia"/>
        </w:rPr>
        <w:t>公司不存在报告期内发生或以前期间发生并延续到报告期的控股股东及其他关联方占</w:t>
      </w:r>
    </w:p>
    <w:p w:rsidR="00AD5BB5" w:rsidRDefault="00F87FF6">
      <w:pPr>
        <w:spacing w:line="360" w:lineRule="auto"/>
      </w:pPr>
      <w:r>
        <w:rPr>
          <w:rFonts w:hint="eastAsia"/>
        </w:rPr>
        <w:t>用本公司资金的情况。</w:t>
      </w:r>
    </w:p>
    <w:p w:rsidR="00AD5BB5" w:rsidRDefault="00F87FF6">
      <w:pPr>
        <w:pStyle w:val="2"/>
        <w:spacing w:line="360" w:lineRule="auto"/>
      </w:pPr>
      <w:r>
        <w:rPr>
          <w:rFonts w:hint="eastAsia"/>
        </w:rPr>
        <w:t>三、违规担保情况</w:t>
      </w:r>
    </w:p>
    <w:p w:rsidR="00AD5BB5" w:rsidRDefault="00F87FF6">
      <w:pPr>
        <w:spacing w:line="360" w:lineRule="auto"/>
        <w:ind w:firstLineChars="200" w:firstLine="420"/>
      </w:pPr>
      <w:r>
        <w:rPr>
          <w:rFonts w:hint="eastAsia"/>
        </w:rPr>
        <w:t>报告期内，本公司除</w:t>
      </w:r>
      <w:r>
        <w:t>国家金融监督管理总局</w:t>
      </w:r>
      <w:r>
        <w:rPr>
          <w:rFonts w:hint="eastAsia"/>
        </w:rPr>
        <w:t>批准的经营范围内的担保业务外，不存在其他重大担保事项，不存在违反审批程序进行担保的情况。</w:t>
      </w:r>
    </w:p>
    <w:p w:rsidR="00AD5BB5" w:rsidRDefault="00F87FF6">
      <w:pPr>
        <w:pStyle w:val="2"/>
        <w:spacing w:line="360" w:lineRule="auto"/>
        <w:rPr>
          <w:color w:val="FF0000"/>
        </w:rPr>
      </w:pPr>
      <w:r>
        <w:rPr>
          <w:rFonts w:hint="eastAsia"/>
        </w:rPr>
        <w:t>四、半年度审阅情况</w:t>
      </w:r>
    </w:p>
    <w:p w:rsidR="00AD5BB5" w:rsidRDefault="00F87FF6">
      <w:pPr>
        <w:spacing w:line="360" w:lineRule="auto"/>
        <w:ind w:firstLineChars="200" w:firstLine="420"/>
        <w:rPr>
          <w:rFonts w:ascii="Times New Roman" w:hAnsi="Times New Roman" w:cs="Times New Roman"/>
        </w:rPr>
      </w:pPr>
      <w:r>
        <w:rPr>
          <w:rFonts w:ascii="Times New Roman" w:hAnsi="Times New Roman" w:cs="Times New Roman"/>
        </w:rPr>
        <w:t>公司按中国企业会计准则编制的</w:t>
      </w:r>
      <w:r>
        <w:rPr>
          <w:rFonts w:ascii="Times New Roman" w:hAnsi="Times New Roman" w:cs="Times New Roman"/>
        </w:rPr>
        <w:t>2023</w:t>
      </w:r>
      <w:r>
        <w:rPr>
          <w:rFonts w:ascii="Times New Roman" w:hAnsi="Times New Roman" w:cs="Times New Roman"/>
        </w:rPr>
        <w:t>年中期财务报告已经安永华明会计师事务所（特殊普通合伙）根据</w:t>
      </w:r>
      <w:r>
        <w:rPr>
          <w:rFonts w:ascii="Times New Roman" w:hAnsi="Times New Roman" w:cs="Times New Roman" w:hint="eastAsia"/>
        </w:rPr>
        <w:t>《中国注册会计师审阅准则第</w:t>
      </w:r>
      <w:r>
        <w:rPr>
          <w:rFonts w:ascii="Times New Roman" w:hAnsi="Times New Roman" w:cs="Times New Roman" w:hint="eastAsia"/>
        </w:rPr>
        <w:t>2101</w:t>
      </w:r>
      <w:r>
        <w:rPr>
          <w:rFonts w:ascii="Times New Roman" w:hAnsi="Times New Roman" w:cs="Times New Roman" w:hint="eastAsia"/>
        </w:rPr>
        <w:t>号——财务报表审阅》的规定</w:t>
      </w:r>
      <w:r>
        <w:rPr>
          <w:rFonts w:ascii="Times New Roman" w:hAnsi="Times New Roman" w:cs="Times New Roman"/>
        </w:rPr>
        <w:t>审阅。</w:t>
      </w:r>
    </w:p>
    <w:p w:rsidR="00AD5BB5" w:rsidRDefault="00F87FF6">
      <w:pPr>
        <w:spacing w:line="360" w:lineRule="auto"/>
        <w:ind w:firstLineChars="200" w:firstLine="420"/>
        <w:rPr>
          <w:rFonts w:ascii="Times New Roman" w:hAnsi="Times New Roman" w:cs="Times New Roman"/>
        </w:rPr>
      </w:pPr>
      <w:r>
        <w:rPr>
          <w:rFonts w:ascii="Times New Roman" w:hAnsi="Times New Roman" w:cs="Times New Roman"/>
        </w:rPr>
        <w:t>公司中期财务报告已经公司董事会及董事会审计委员会审议通过。</w:t>
      </w:r>
    </w:p>
    <w:p w:rsidR="00AD5BB5" w:rsidRDefault="00F87FF6">
      <w:pPr>
        <w:pStyle w:val="2"/>
        <w:numPr>
          <w:ilvl w:val="0"/>
          <w:numId w:val="22"/>
        </w:numPr>
        <w:spacing w:line="360" w:lineRule="auto"/>
        <w:rPr>
          <w:rFonts w:ascii="Times New Roman" w:hAnsi="Times New Roman" w:cs="Times New Roman"/>
          <w:color w:val="FF0000"/>
        </w:rPr>
      </w:pPr>
      <w:r>
        <w:rPr>
          <w:rFonts w:ascii="Times New Roman" w:hAnsi="Times New Roman" w:cs="Times New Roman"/>
        </w:rPr>
        <w:t>重大诉讼、仲裁事项</w:t>
      </w:r>
      <w:r>
        <w:rPr>
          <w:rFonts w:ascii="Times New Roman" w:hAnsi="Times New Roman" w:cs="Times New Roman"/>
          <w:color w:val="FF0000"/>
        </w:rPr>
        <w:t xml:space="preserve"> </w:t>
      </w:r>
    </w:p>
    <w:p w:rsidR="00AD5BB5" w:rsidRDefault="00F87FF6">
      <w:pPr>
        <w:spacing w:line="360" w:lineRule="auto"/>
        <w:ind w:firstLineChars="200" w:firstLine="420"/>
        <w:rPr>
          <w:rFonts w:ascii="Times New Roman" w:hAnsi="Times New Roman" w:cs="Times New Roman"/>
        </w:rPr>
      </w:pPr>
      <w:r>
        <w:rPr>
          <w:rFonts w:ascii="Times New Roman" w:hAnsi="Times New Roman" w:cs="Times New Roman" w:hint="eastAsia"/>
        </w:rPr>
        <w:t>本公司于</w:t>
      </w:r>
      <w:r>
        <w:rPr>
          <w:rFonts w:ascii="Times New Roman" w:hAnsi="Times New Roman" w:cs="Times New Roman"/>
        </w:rPr>
        <w:t>2022</w:t>
      </w:r>
      <w:r>
        <w:rPr>
          <w:rFonts w:ascii="Times New Roman" w:hAnsi="Times New Roman" w:cs="Times New Roman" w:hint="eastAsia"/>
        </w:rPr>
        <w:t>年</w:t>
      </w:r>
      <w:r>
        <w:rPr>
          <w:rFonts w:ascii="Times New Roman" w:hAnsi="Times New Roman" w:cs="Times New Roman"/>
        </w:rPr>
        <w:t>6</w:t>
      </w:r>
      <w:r>
        <w:rPr>
          <w:rFonts w:ascii="Times New Roman" w:hAnsi="Times New Roman" w:cs="Times New Roman" w:hint="eastAsia"/>
        </w:rPr>
        <w:t>月收到厦门市中级人民法院</w:t>
      </w:r>
      <w:proofErr w:type="gramStart"/>
      <w:r>
        <w:rPr>
          <w:rFonts w:ascii="Times New Roman" w:hAnsi="Times New Roman" w:cs="Times New Roman" w:hint="eastAsia"/>
        </w:rPr>
        <w:t>作出</w:t>
      </w:r>
      <w:proofErr w:type="gramEnd"/>
      <w:r>
        <w:rPr>
          <w:rFonts w:ascii="Times New Roman" w:hAnsi="Times New Roman" w:cs="Times New Roman" w:hint="eastAsia"/>
        </w:rPr>
        <w:t>的（</w:t>
      </w:r>
      <w:r>
        <w:rPr>
          <w:rFonts w:ascii="Times New Roman" w:hAnsi="Times New Roman" w:cs="Times New Roman"/>
        </w:rPr>
        <w:t>2022</w:t>
      </w:r>
      <w:r>
        <w:rPr>
          <w:rFonts w:ascii="Times New Roman" w:hAnsi="Times New Roman" w:cs="Times New Roman" w:hint="eastAsia"/>
        </w:rPr>
        <w:t>）闽</w:t>
      </w:r>
      <w:r>
        <w:rPr>
          <w:rFonts w:ascii="Times New Roman" w:hAnsi="Times New Roman" w:cs="Times New Roman"/>
        </w:rPr>
        <w:t>02</w:t>
      </w:r>
      <w:proofErr w:type="gramStart"/>
      <w:r>
        <w:rPr>
          <w:rFonts w:ascii="Times New Roman" w:hAnsi="Times New Roman" w:cs="Times New Roman" w:hint="eastAsia"/>
        </w:rPr>
        <w:t>执异</w:t>
      </w:r>
      <w:r>
        <w:rPr>
          <w:rFonts w:ascii="Times New Roman" w:hAnsi="Times New Roman" w:cs="Times New Roman"/>
        </w:rPr>
        <w:t>135</w:t>
      </w:r>
      <w:r>
        <w:rPr>
          <w:rFonts w:ascii="Times New Roman" w:hAnsi="Times New Roman" w:cs="Times New Roman" w:hint="eastAsia"/>
        </w:rPr>
        <w:t>号</w:t>
      </w:r>
      <w:proofErr w:type="gramEnd"/>
      <w:r>
        <w:rPr>
          <w:rFonts w:ascii="Times New Roman" w:hAnsi="Times New Roman" w:cs="Times New Roman" w:hint="eastAsia"/>
        </w:rPr>
        <w:t>《执行裁定书》，</w:t>
      </w:r>
      <w:proofErr w:type="gramStart"/>
      <w:r>
        <w:rPr>
          <w:rFonts w:ascii="Times New Roman" w:hAnsi="Times New Roman" w:cs="Times New Roman" w:hint="eastAsia"/>
        </w:rPr>
        <w:t>将中融国际</w:t>
      </w:r>
      <w:proofErr w:type="gramEnd"/>
      <w:r>
        <w:rPr>
          <w:rFonts w:ascii="Times New Roman" w:hAnsi="Times New Roman" w:cs="Times New Roman" w:hint="eastAsia"/>
        </w:rPr>
        <w:t>信托有限公司与雏鹰农牧集团股份有限公司一案（案号（</w:t>
      </w:r>
      <w:r>
        <w:rPr>
          <w:rFonts w:ascii="Times New Roman" w:hAnsi="Times New Roman" w:cs="Times New Roman"/>
        </w:rPr>
        <w:t>2020</w:t>
      </w:r>
      <w:r>
        <w:rPr>
          <w:rFonts w:ascii="Times New Roman" w:hAnsi="Times New Roman" w:cs="Times New Roman" w:hint="eastAsia"/>
        </w:rPr>
        <w:t>）闽</w:t>
      </w:r>
      <w:r>
        <w:rPr>
          <w:rFonts w:ascii="Times New Roman" w:hAnsi="Times New Roman" w:cs="Times New Roman"/>
        </w:rPr>
        <w:t>02</w:t>
      </w:r>
      <w:r>
        <w:rPr>
          <w:rFonts w:ascii="Times New Roman" w:hAnsi="Times New Roman" w:cs="Times New Roman" w:hint="eastAsia"/>
        </w:rPr>
        <w:t>执</w:t>
      </w:r>
      <w:r>
        <w:rPr>
          <w:rFonts w:ascii="Times New Roman" w:hAnsi="Times New Roman" w:cs="Times New Roman"/>
        </w:rPr>
        <w:t>971</w:t>
      </w:r>
      <w:r>
        <w:rPr>
          <w:rFonts w:ascii="Times New Roman" w:hAnsi="Times New Roman" w:cs="Times New Roman" w:hint="eastAsia"/>
        </w:rPr>
        <w:t>号）的申请执行人变更为本公司。相关信息请查阅公司于</w:t>
      </w:r>
      <w:r>
        <w:rPr>
          <w:rFonts w:ascii="Times New Roman" w:hAnsi="Times New Roman" w:cs="Times New Roman"/>
        </w:rPr>
        <w:t>2022</w:t>
      </w:r>
      <w:r>
        <w:rPr>
          <w:rFonts w:ascii="Times New Roman" w:hAnsi="Times New Roman" w:cs="Times New Roman" w:hint="eastAsia"/>
        </w:rPr>
        <w:t>年</w:t>
      </w:r>
      <w:r>
        <w:rPr>
          <w:rFonts w:ascii="Times New Roman" w:hAnsi="Times New Roman" w:cs="Times New Roman"/>
        </w:rPr>
        <w:t>6</w:t>
      </w:r>
      <w:r>
        <w:rPr>
          <w:rFonts w:ascii="Times New Roman" w:hAnsi="Times New Roman" w:cs="Times New Roman" w:hint="eastAsia"/>
        </w:rPr>
        <w:t>月</w:t>
      </w:r>
      <w:r>
        <w:rPr>
          <w:rFonts w:ascii="Times New Roman" w:hAnsi="Times New Roman" w:cs="Times New Roman"/>
        </w:rPr>
        <w:t>13</w:t>
      </w:r>
      <w:r>
        <w:rPr>
          <w:rFonts w:ascii="Times New Roman" w:hAnsi="Times New Roman" w:cs="Times New Roman" w:hint="eastAsia"/>
        </w:rPr>
        <w:t>日于上海证券交易所网站（</w:t>
      </w:r>
      <w:r>
        <w:rPr>
          <w:rFonts w:ascii="Times New Roman" w:hAnsi="Times New Roman" w:cs="Times New Roman"/>
        </w:rPr>
        <w:t>www.sse.com.cn</w:t>
      </w:r>
      <w:r>
        <w:rPr>
          <w:rFonts w:ascii="Times New Roman" w:hAnsi="Times New Roman" w:cs="Times New Roman" w:hint="eastAsia"/>
        </w:rPr>
        <w:t>）发布的《厦门银行股份有限公司关于诉讼事项的公告》（公告编号：</w:t>
      </w:r>
      <w:r>
        <w:rPr>
          <w:rFonts w:ascii="Times New Roman" w:hAnsi="Times New Roman" w:cs="Times New Roman"/>
        </w:rPr>
        <w:t>2022-031</w:t>
      </w:r>
      <w:r>
        <w:rPr>
          <w:rFonts w:ascii="Times New Roman" w:hAnsi="Times New Roman" w:cs="Times New Roman" w:hint="eastAsia"/>
        </w:rPr>
        <w:t>）。</w:t>
      </w:r>
    </w:p>
    <w:p w:rsidR="00AD5BB5" w:rsidRDefault="00F87FF6">
      <w:pPr>
        <w:spacing w:line="360" w:lineRule="auto"/>
        <w:ind w:firstLineChars="200" w:firstLine="420"/>
        <w:rPr>
          <w:rFonts w:ascii="Times New Roman" w:hAnsi="Times New Roman" w:cs="Times New Roman"/>
        </w:rPr>
      </w:pPr>
      <w:r>
        <w:rPr>
          <w:rFonts w:ascii="Times New Roman" w:hAnsi="Times New Roman" w:cs="Times New Roman" w:hint="eastAsia"/>
        </w:rPr>
        <w:t>本公司因与福建三盛实业有限公司、程璇、林荣滨、福建三盛房地产开发有限公司、福州三盛置业有限公司金融借款合同纠纷，向福州市中级人民法院递交起诉状。</w:t>
      </w:r>
      <w:r>
        <w:rPr>
          <w:rFonts w:ascii="Times New Roman" w:hAnsi="Times New Roman" w:cs="Times New Roman"/>
        </w:rPr>
        <w:t>2023</w:t>
      </w:r>
      <w:r>
        <w:rPr>
          <w:rFonts w:ascii="Times New Roman" w:hAnsi="Times New Roman" w:cs="Times New Roman" w:hint="eastAsia"/>
        </w:rPr>
        <w:t>年</w:t>
      </w:r>
      <w:r>
        <w:rPr>
          <w:rFonts w:ascii="Times New Roman" w:hAnsi="Times New Roman" w:cs="Times New Roman"/>
        </w:rPr>
        <w:t>2</w:t>
      </w:r>
      <w:r>
        <w:rPr>
          <w:rFonts w:ascii="Times New Roman" w:hAnsi="Times New Roman" w:cs="Times New Roman" w:hint="eastAsia"/>
        </w:rPr>
        <w:t>月</w:t>
      </w:r>
      <w:r>
        <w:rPr>
          <w:rFonts w:ascii="Times New Roman" w:hAnsi="Times New Roman" w:cs="Times New Roman"/>
        </w:rPr>
        <w:t>20</w:t>
      </w:r>
      <w:r>
        <w:rPr>
          <w:rFonts w:ascii="Times New Roman" w:hAnsi="Times New Roman" w:cs="Times New Roman" w:hint="eastAsia"/>
        </w:rPr>
        <w:t>日，本公司收到福州市中级人民法院的民事受理案件通知书【（</w:t>
      </w:r>
      <w:r>
        <w:rPr>
          <w:rFonts w:ascii="Times New Roman" w:hAnsi="Times New Roman" w:cs="Times New Roman"/>
        </w:rPr>
        <w:t>2023</w:t>
      </w:r>
      <w:r>
        <w:rPr>
          <w:rFonts w:ascii="Times New Roman" w:hAnsi="Times New Roman" w:cs="Times New Roman" w:hint="eastAsia"/>
        </w:rPr>
        <w:t>）闽</w:t>
      </w:r>
      <w:r>
        <w:rPr>
          <w:rFonts w:ascii="Times New Roman" w:hAnsi="Times New Roman" w:cs="Times New Roman"/>
        </w:rPr>
        <w:t>01</w:t>
      </w:r>
      <w:r>
        <w:rPr>
          <w:rFonts w:ascii="Times New Roman" w:hAnsi="Times New Roman" w:cs="Times New Roman" w:hint="eastAsia"/>
        </w:rPr>
        <w:t>民初</w:t>
      </w:r>
      <w:r>
        <w:rPr>
          <w:rFonts w:ascii="Times New Roman" w:hAnsi="Times New Roman" w:cs="Times New Roman"/>
        </w:rPr>
        <w:t>373</w:t>
      </w:r>
      <w:r>
        <w:rPr>
          <w:rFonts w:ascii="Times New Roman" w:hAnsi="Times New Roman" w:cs="Times New Roman" w:hint="eastAsia"/>
        </w:rPr>
        <w:t>号】。相关信息请查阅本公司于</w:t>
      </w:r>
      <w:r>
        <w:rPr>
          <w:rFonts w:ascii="Times New Roman" w:hAnsi="Times New Roman" w:cs="Times New Roman"/>
        </w:rPr>
        <w:t>2023</w:t>
      </w:r>
      <w:r>
        <w:rPr>
          <w:rFonts w:ascii="Times New Roman" w:hAnsi="Times New Roman" w:cs="Times New Roman" w:hint="eastAsia"/>
        </w:rPr>
        <w:t>年</w:t>
      </w:r>
      <w:r>
        <w:rPr>
          <w:rFonts w:ascii="Times New Roman" w:hAnsi="Times New Roman" w:cs="Times New Roman"/>
        </w:rPr>
        <w:t>2</w:t>
      </w:r>
      <w:r>
        <w:rPr>
          <w:rFonts w:ascii="Times New Roman" w:hAnsi="Times New Roman" w:cs="Times New Roman" w:hint="eastAsia"/>
        </w:rPr>
        <w:t>月</w:t>
      </w:r>
      <w:r>
        <w:rPr>
          <w:rFonts w:ascii="Times New Roman" w:hAnsi="Times New Roman" w:cs="Times New Roman"/>
        </w:rPr>
        <w:t>21</w:t>
      </w:r>
      <w:r>
        <w:rPr>
          <w:rFonts w:ascii="Times New Roman" w:hAnsi="Times New Roman" w:cs="Times New Roman" w:hint="eastAsia"/>
        </w:rPr>
        <w:t>日于上海证券交易所网站（</w:t>
      </w:r>
      <w:r>
        <w:rPr>
          <w:rFonts w:ascii="Times New Roman" w:hAnsi="Times New Roman" w:cs="Times New Roman"/>
        </w:rPr>
        <w:t>www.sse.com.cn</w:t>
      </w:r>
      <w:r>
        <w:rPr>
          <w:rFonts w:ascii="Times New Roman" w:hAnsi="Times New Roman" w:cs="Times New Roman" w:hint="eastAsia"/>
        </w:rPr>
        <w:t>）发布的《厦门银行股份有限公司关于诉讼事项的公告》（公告编号：</w:t>
      </w:r>
      <w:r>
        <w:rPr>
          <w:rFonts w:ascii="Times New Roman" w:hAnsi="Times New Roman" w:cs="Times New Roman"/>
        </w:rPr>
        <w:t>2023-002</w:t>
      </w:r>
      <w:r>
        <w:rPr>
          <w:rFonts w:ascii="Times New Roman" w:hAnsi="Times New Roman" w:cs="Times New Roman" w:hint="eastAsia"/>
        </w:rPr>
        <w:t>）。</w:t>
      </w:r>
    </w:p>
    <w:p w:rsidR="00AD5BB5" w:rsidRDefault="00F87FF6">
      <w:pPr>
        <w:spacing w:line="360" w:lineRule="auto"/>
        <w:ind w:firstLineChars="200" w:firstLine="420"/>
        <w:rPr>
          <w:rFonts w:ascii="Times New Roman" w:hAnsi="Times New Roman" w:cs="Times New Roman"/>
        </w:rPr>
      </w:pPr>
      <w:r>
        <w:rPr>
          <w:rFonts w:ascii="Times New Roman" w:hAnsi="Times New Roman" w:cs="Times New Roman" w:hint="eastAsia"/>
        </w:rPr>
        <w:t>本公司于</w:t>
      </w:r>
      <w:r>
        <w:rPr>
          <w:rFonts w:ascii="Times New Roman" w:hAnsi="Times New Roman" w:cs="Times New Roman"/>
        </w:rPr>
        <w:t>2023</w:t>
      </w:r>
      <w:r>
        <w:rPr>
          <w:rFonts w:ascii="Times New Roman" w:hAnsi="Times New Roman" w:cs="Times New Roman" w:hint="eastAsia"/>
        </w:rPr>
        <w:t>年</w:t>
      </w:r>
      <w:r>
        <w:rPr>
          <w:rFonts w:ascii="Times New Roman" w:hAnsi="Times New Roman" w:cs="Times New Roman"/>
        </w:rPr>
        <w:t>7</w:t>
      </w:r>
      <w:r>
        <w:rPr>
          <w:rFonts w:ascii="Times New Roman" w:hAnsi="Times New Roman" w:cs="Times New Roman" w:hint="eastAsia"/>
        </w:rPr>
        <w:t>月收到中华人民共和国最高人民法院（</w:t>
      </w:r>
      <w:r>
        <w:rPr>
          <w:rFonts w:ascii="Times New Roman" w:hAnsi="Times New Roman" w:cs="Times New Roman"/>
        </w:rPr>
        <w:t>2023</w:t>
      </w:r>
      <w:r>
        <w:rPr>
          <w:rFonts w:ascii="Times New Roman" w:hAnsi="Times New Roman" w:cs="Times New Roman" w:hint="eastAsia"/>
        </w:rPr>
        <w:t>）最高法民申</w:t>
      </w:r>
      <w:r>
        <w:rPr>
          <w:rFonts w:ascii="Times New Roman" w:hAnsi="Times New Roman" w:cs="Times New Roman"/>
        </w:rPr>
        <w:t>703</w:t>
      </w:r>
      <w:r>
        <w:rPr>
          <w:rFonts w:ascii="Times New Roman" w:hAnsi="Times New Roman" w:cs="Times New Roman" w:hint="eastAsia"/>
        </w:rPr>
        <w:t>、</w:t>
      </w:r>
      <w:r>
        <w:rPr>
          <w:rFonts w:ascii="Times New Roman" w:hAnsi="Times New Roman" w:cs="Times New Roman"/>
        </w:rPr>
        <w:t>704</w:t>
      </w:r>
      <w:r>
        <w:rPr>
          <w:rFonts w:ascii="Times New Roman" w:hAnsi="Times New Roman" w:cs="Times New Roman" w:hint="eastAsia"/>
        </w:rPr>
        <w:t>号《应诉通知书》。因宁波银行股份有限公司深圳分行不服最高人民法院</w:t>
      </w:r>
      <w:proofErr w:type="gramStart"/>
      <w:r>
        <w:rPr>
          <w:rFonts w:ascii="Times New Roman" w:hAnsi="Times New Roman" w:cs="Times New Roman" w:hint="eastAsia"/>
        </w:rPr>
        <w:t>作出</w:t>
      </w:r>
      <w:proofErr w:type="gramEnd"/>
      <w:r>
        <w:rPr>
          <w:rFonts w:ascii="Times New Roman" w:hAnsi="Times New Roman" w:cs="Times New Roman" w:hint="eastAsia"/>
        </w:rPr>
        <w:t>的（</w:t>
      </w:r>
      <w:r>
        <w:rPr>
          <w:rFonts w:ascii="Times New Roman" w:hAnsi="Times New Roman" w:cs="Times New Roman"/>
        </w:rPr>
        <w:t>2019</w:t>
      </w:r>
      <w:r>
        <w:rPr>
          <w:rFonts w:ascii="Times New Roman" w:hAnsi="Times New Roman" w:cs="Times New Roman" w:hint="eastAsia"/>
        </w:rPr>
        <w:t>）最</w:t>
      </w:r>
      <w:r>
        <w:rPr>
          <w:rFonts w:ascii="Times New Roman" w:hAnsi="Times New Roman" w:cs="Times New Roman" w:hint="eastAsia"/>
        </w:rPr>
        <w:lastRenderedPageBreak/>
        <w:t>高法</w:t>
      </w:r>
      <w:proofErr w:type="gramStart"/>
      <w:r>
        <w:rPr>
          <w:rFonts w:ascii="Times New Roman" w:hAnsi="Times New Roman" w:cs="Times New Roman" w:hint="eastAsia"/>
        </w:rPr>
        <w:t>民终</w:t>
      </w:r>
      <w:r>
        <w:rPr>
          <w:rFonts w:ascii="Times New Roman" w:hAnsi="Times New Roman" w:cs="Times New Roman"/>
        </w:rPr>
        <w:t>190</w:t>
      </w:r>
      <w:r>
        <w:rPr>
          <w:rFonts w:ascii="Times New Roman" w:hAnsi="Times New Roman" w:cs="Times New Roman" w:hint="eastAsia"/>
        </w:rPr>
        <w:t>、</w:t>
      </w:r>
      <w:r>
        <w:rPr>
          <w:rFonts w:ascii="Times New Roman" w:hAnsi="Times New Roman" w:cs="Times New Roman"/>
        </w:rPr>
        <w:t>191</w:t>
      </w:r>
      <w:r>
        <w:rPr>
          <w:rFonts w:ascii="Times New Roman" w:hAnsi="Times New Roman" w:cs="Times New Roman" w:hint="eastAsia"/>
        </w:rPr>
        <w:t>号</w:t>
      </w:r>
      <w:proofErr w:type="gramEnd"/>
      <w:r>
        <w:rPr>
          <w:rFonts w:ascii="Times New Roman" w:hAnsi="Times New Roman" w:cs="Times New Roman" w:hint="eastAsia"/>
        </w:rPr>
        <w:t>民事判决，向最高人民法院申请再审。相关信息请查阅公司于</w:t>
      </w:r>
      <w:r>
        <w:rPr>
          <w:rFonts w:ascii="Times New Roman" w:hAnsi="Times New Roman" w:cs="Times New Roman"/>
        </w:rPr>
        <w:t>2023</w:t>
      </w:r>
      <w:r>
        <w:rPr>
          <w:rFonts w:ascii="Times New Roman" w:hAnsi="Times New Roman" w:cs="Times New Roman" w:hint="eastAsia"/>
        </w:rPr>
        <w:t>年</w:t>
      </w:r>
      <w:r>
        <w:rPr>
          <w:rFonts w:ascii="Times New Roman" w:hAnsi="Times New Roman" w:cs="Times New Roman"/>
        </w:rPr>
        <w:t>7</w:t>
      </w:r>
      <w:r>
        <w:rPr>
          <w:rFonts w:ascii="Times New Roman" w:hAnsi="Times New Roman" w:cs="Times New Roman" w:hint="eastAsia"/>
        </w:rPr>
        <w:t>月</w:t>
      </w:r>
      <w:r>
        <w:rPr>
          <w:rFonts w:ascii="Times New Roman" w:hAnsi="Times New Roman" w:cs="Times New Roman"/>
        </w:rPr>
        <w:t>19</w:t>
      </w:r>
      <w:r>
        <w:rPr>
          <w:rFonts w:ascii="Times New Roman" w:hAnsi="Times New Roman" w:cs="Times New Roman" w:hint="eastAsia"/>
        </w:rPr>
        <w:t>日于上海证券交易所网站（</w:t>
      </w:r>
      <w:r>
        <w:rPr>
          <w:rFonts w:ascii="Times New Roman" w:hAnsi="Times New Roman" w:cs="Times New Roman"/>
        </w:rPr>
        <w:t>www.sse.com.cn</w:t>
      </w:r>
      <w:r>
        <w:rPr>
          <w:rFonts w:ascii="Times New Roman" w:hAnsi="Times New Roman" w:cs="Times New Roman" w:hint="eastAsia"/>
        </w:rPr>
        <w:t>）发布的《厦门银行股份有限公司关于收到再审应诉通知书的公告》（公告编号：</w:t>
      </w:r>
      <w:r>
        <w:rPr>
          <w:rFonts w:ascii="Times New Roman" w:hAnsi="Times New Roman" w:cs="Times New Roman"/>
        </w:rPr>
        <w:t>2023-027</w:t>
      </w:r>
      <w:r>
        <w:rPr>
          <w:rFonts w:ascii="Times New Roman" w:hAnsi="Times New Roman" w:cs="Times New Roman" w:hint="eastAsia"/>
        </w:rPr>
        <w:t>）。</w:t>
      </w:r>
    </w:p>
    <w:p w:rsidR="00AD5BB5" w:rsidRDefault="00F87FF6">
      <w:pPr>
        <w:spacing w:line="360" w:lineRule="auto"/>
        <w:ind w:firstLineChars="200" w:firstLine="420"/>
        <w:rPr>
          <w:rFonts w:ascii="Times New Roman" w:hAnsi="Times New Roman" w:cs="Times New Roman"/>
        </w:rPr>
      </w:pPr>
      <w:r>
        <w:rPr>
          <w:rFonts w:ascii="Times New Roman" w:hAnsi="Times New Roman" w:cs="Times New Roman"/>
        </w:rPr>
        <w:t>截至</w:t>
      </w:r>
      <w:r>
        <w:rPr>
          <w:rFonts w:ascii="Times New Roman" w:hAnsi="Times New Roman" w:cs="Times New Roman"/>
        </w:rPr>
        <w:t>2023</w:t>
      </w:r>
      <w:r>
        <w:rPr>
          <w:rFonts w:ascii="Times New Roman" w:hAnsi="Times New Roman" w:cs="Times New Roman" w:hint="eastAsia"/>
        </w:rPr>
        <w:t>年</w:t>
      </w:r>
      <w:r>
        <w:rPr>
          <w:rFonts w:ascii="Times New Roman" w:hAnsi="Times New Roman" w:cs="Times New Roman"/>
        </w:rPr>
        <w:t>6</w:t>
      </w:r>
      <w:r>
        <w:rPr>
          <w:rFonts w:ascii="Times New Roman" w:hAnsi="Times New Roman" w:cs="Times New Roman" w:hint="eastAsia"/>
        </w:rPr>
        <w:t>月</w:t>
      </w:r>
      <w:r>
        <w:rPr>
          <w:rFonts w:ascii="Times New Roman" w:hAnsi="Times New Roman" w:cs="Times New Roman"/>
        </w:rPr>
        <w:t>30</w:t>
      </w:r>
      <w:r>
        <w:rPr>
          <w:rFonts w:ascii="Times New Roman" w:hAnsi="Times New Roman" w:cs="Times New Roman" w:hint="eastAsia"/>
        </w:rPr>
        <w:t>日，本公司作为原告未执结的诉讼标的本金金额超过</w:t>
      </w:r>
      <w:r>
        <w:rPr>
          <w:rFonts w:ascii="Times New Roman" w:hAnsi="Times New Roman" w:cs="Times New Roman"/>
        </w:rPr>
        <w:t>1,000</w:t>
      </w:r>
      <w:r>
        <w:rPr>
          <w:rFonts w:ascii="Times New Roman" w:hAnsi="Times New Roman" w:cs="Times New Roman" w:hint="eastAsia"/>
        </w:rPr>
        <w:t>万元的诉讼、仲裁案件共</w:t>
      </w:r>
      <w:r>
        <w:rPr>
          <w:rFonts w:ascii="Times New Roman" w:hAnsi="Times New Roman" w:cs="Times New Roman"/>
        </w:rPr>
        <w:t>87</w:t>
      </w:r>
      <w:r>
        <w:rPr>
          <w:rFonts w:ascii="Times New Roman" w:hAnsi="Times New Roman" w:cs="Times New Roman" w:hint="eastAsia"/>
        </w:rPr>
        <w:t>件，涉案金额</w:t>
      </w:r>
      <w:r>
        <w:rPr>
          <w:rFonts w:ascii="Times New Roman" w:hAnsi="Times New Roman" w:cs="Times New Roman"/>
        </w:rPr>
        <w:t>324,803.87</w:t>
      </w:r>
      <w:r>
        <w:rPr>
          <w:rFonts w:ascii="Times New Roman" w:hAnsi="Times New Roman" w:cs="Times New Roman" w:hint="eastAsia"/>
        </w:rPr>
        <w:t>万元；本公司无作为被告或第三人未执结的诉讼标的本金金额超过</w:t>
      </w:r>
      <w:r>
        <w:rPr>
          <w:rFonts w:ascii="Times New Roman" w:hAnsi="Times New Roman" w:cs="Times New Roman"/>
        </w:rPr>
        <w:t>1,000</w:t>
      </w:r>
      <w:r>
        <w:rPr>
          <w:rFonts w:ascii="Times New Roman" w:hAnsi="Times New Roman" w:cs="Times New Roman" w:hint="eastAsia"/>
        </w:rPr>
        <w:t>万元的诉讼、仲裁案件。预计上述诉讼不会对本公司财务或经营结果产生重大不利影响。</w:t>
      </w:r>
    </w:p>
    <w:p w:rsidR="00AD5BB5" w:rsidRDefault="00F87FF6">
      <w:pPr>
        <w:pStyle w:val="2"/>
        <w:spacing w:line="360" w:lineRule="auto"/>
      </w:pPr>
      <w:r>
        <w:rPr>
          <w:rFonts w:hint="eastAsia"/>
        </w:rPr>
        <w:t>六、上市公司及其董事、监事、高级管理人员、控股股东、实际控制人、收购人处罚及整改情况</w:t>
      </w:r>
    </w:p>
    <w:p w:rsidR="00AD5BB5" w:rsidRDefault="00F87FF6">
      <w:pPr>
        <w:spacing w:line="360" w:lineRule="auto"/>
        <w:ind w:firstLine="420"/>
      </w:pPr>
      <w:r>
        <w:rPr>
          <w:rFonts w:hint="eastAsia"/>
        </w:rPr>
        <w:t>公司不存在控股股东、实际控制人。</w:t>
      </w:r>
    </w:p>
    <w:p w:rsidR="00AD5BB5" w:rsidRDefault="00F87FF6">
      <w:pPr>
        <w:spacing w:line="360" w:lineRule="auto"/>
        <w:ind w:firstLine="420"/>
      </w:pPr>
      <w:r>
        <w:rPr>
          <w:rFonts w:hint="eastAsia"/>
        </w:rPr>
        <w:t>本报告期内，因部分分支机构基金销售业务负责人未取得基金从业资格、未出具离任审计或审查制度等问题，厦门证监局于</w:t>
      </w:r>
      <w:r>
        <w:rPr>
          <w:rFonts w:hint="eastAsia"/>
        </w:rPr>
        <w:t>2023</w:t>
      </w:r>
      <w:r>
        <w:rPr>
          <w:rFonts w:hint="eastAsia"/>
        </w:rPr>
        <w:t>年</w:t>
      </w:r>
      <w:r>
        <w:rPr>
          <w:rFonts w:hint="eastAsia"/>
        </w:rPr>
        <w:t>3</w:t>
      </w:r>
      <w:r>
        <w:rPr>
          <w:rFonts w:hint="eastAsia"/>
        </w:rPr>
        <w:t>月对本公司采取了责令改正的行政监管措施。针对上述事项，本公司积极主动落实各项整改工作，</w:t>
      </w:r>
      <w:proofErr w:type="gramStart"/>
      <w:r>
        <w:rPr>
          <w:rFonts w:hint="eastAsia"/>
        </w:rPr>
        <w:t>逐月督进分支</w:t>
      </w:r>
      <w:proofErr w:type="gramEnd"/>
      <w:r>
        <w:rPr>
          <w:rFonts w:hint="eastAsia"/>
        </w:rPr>
        <w:t>机构负责人持证等工作。截</w:t>
      </w:r>
      <w:r>
        <w:t>至</w:t>
      </w:r>
      <w:r>
        <w:rPr>
          <w:rFonts w:hint="eastAsia"/>
        </w:rPr>
        <w:t>2</w:t>
      </w:r>
      <w:r>
        <w:t>023</w:t>
      </w:r>
      <w:r>
        <w:t>年</w:t>
      </w:r>
      <w:r>
        <w:rPr>
          <w:rFonts w:hint="eastAsia"/>
        </w:rPr>
        <w:t>6</w:t>
      </w:r>
      <w:r>
        <w:rPr>
          <w:rFonts w:hint="eastAsia"/>
        </w:rPr>
        <w:t>月末，本公司已完成专职合</w:t>
      </w:r>
      <w:proofErr w:type="gramStart"/>
      <w:r>
        <w:rPr>
          <w:rFonts w:hint="eastAsia"/>
        </w:rPr>
        <w:t>规</w:t>
      </w:r>
      <w:proofErr w:type="gramEnd"/>
      <w:r>
        <w:rPr>
          <w:rFonts w:hint="eastAsia"/>
        </w:rPr>
        <w:t>管理人员配备及人员持证销售规范，离任审计制度待公司完成内部审批后发布。为进一步做好基金管理，公司将加强基金销售业务</w:t>
      </w:r>
      <w:r>
        <w:t>的</w:t>
      </w:r>
      <w:r>
        <w:rPr>
          <w:rFonts w:hint="eastAsia"/>
        </w:rPr>
        <w:t>监督检查。</w:t>
      </w:r>
    </w:p>
    <w:p w:rsidR="00AD5BB5" w:rsidRDefault="00F87FF6">
      <w:pPr>
        <w:spacing w:line="360" w:lineRule="auto"/>
        <w:ind w:firstLine="420"/>
      </w:pPr>
      <w:r>
        <w:rPr>
          <w:rFonts w:hint="eastAsia"/>
        </w:rPr>
        <w:t>除此之</w:t>
      </w:r>
      <w:r>
        <w:t>外</w:t>
      </w:r>
      <w:r>
        <w:rPr>
          <w:rFonts w:hint="eastAsia"/>
        </w:rPr>
        <w:t>，</w:t>
      </w:r>
      <w:r>
        <w:rPr>
          <w:rFonts w:ascii="Times New Roman" w:hAnsi="Times New Roman" w:cs="Times New Roman" w:hint="eastAsia"/>
        </w:rPr>
        <w:t>报告期内，本公司及公司董事、监事、高级管理人员不存在被有权机关调查，被司法机关或纪检部门采取强制措施，被移送司法机关或追究刑事责任，被中国证监会立案调查或行政处罚、被市场禁入、被认定为不适当人选，被其他行政管理部门给予重大行政处罚，以及被中国证监会采取行政监管措施和证券交易所采取纪律处分的情形。</w:t>
      </w:r>
    </w:p>
    <w:p w:rsidR="00AD5BB5" w:rsidRDefault="00F87FF6">
      <w:pPr>
        <w:pStyle w:val="2"/>
        <w:spacing w:line="360" w:lineRule="auto"/>
        <w:rPr>
          <w:color w:val="FF0000"/>
        </w:rPr>
      </w:pPr>
      <w:r>
        <w:rPr>
          <w:rFonts w:hint="eastAsia"/>
        </w:rPr>
        <w:t>七、报告期内公司及其控股股东、实际控制人诚信状况的说明</w:t>
      </w:r>
    </w:p>
    <w:p w:rsidR="00AD5BB5" w:rsidRDefault="00F87FF6">
      <w:pPr>
        <w:spacing w:line="360" w:lineRule="auto"/>
        <w:ind w:firstLine="420"/>
        <w:rPr>
          <w:rFonts w:ascii="Times New Roman" w:hAnsi="Times New Roman"/>
        </w:rPr>
      </w:pPr>
      <w:r>
        <w:rPr>
          <w:rFonts w:hint="eastAsia"/>
        </w:rPr>
        <w:t>公司不存在控股股东、实际控制人。</w:t>
      </w:r>
      <w:r>
        <w:rPr>
          <w:rFonts w:ascii="Times New Roman" w:hAnsi="Times New Roman" w:cs="Times New Roman" w:hint="eastAsia"/>
        </w:rPr>
        <w:t>报告期内，本公司不存在未履行的法院生效判决，不存在所负数额较大的债务到期未清偿情况。</w:t>
      </w:r>
    </w:p>
    <w:p w:rsidR="00AD5BB5" w:rsidRDefault="00F87FF6">
      <w:pPr>
        <w:pStyle w:val="2"/>
        <w:spacing w:line="360" w:lineRule="auto"/>
      </w:pPr>
      <w:r>
        <w:rPr>
          <w:rFonts w:hint="eastAsia"/>
        </w:rPr>
        <w:t>八、重大关联交易</w:t>
      </w:r>
    </w:p>
    <w:p w:rsidR="00AD5BB5" w:rsidRDefault="00F87FF6">
      <w:pPr>
        <w:numPr>
          <w:ilvl w:val="0"/>
          <w:numId w:val="28"/>
        </w:numPr>
        <w:spacing w:line="360" w:lineRule="auto"/>
        <w:rPr>
          <w:color w:val="FF0000"/>
        </w:rPr>
      </w:pPr>
      <w:r>
        <w:rPr>
          <w:rFonts w:hint="eastAsia"/>
          <w:b/>
        </w:rPr>
        <w:t>关联交易预计额度的执行情况</w:t>
      </w:r>
      <w:r>
        <w:rPr>
          <w:rFonts w:hint="eastAsia"/>
          <w:b/>
        </w:rPr>
        <w:t xml:space="preserve"> </w:t>
      </w:r>
    </w:p>
    <w:p w:rsidR="00AD5BB5" w:rsidRDefault="00F87FF6">
      <w:pPr>
        <w:spacing w:line="360" w:lineRule="auto"/>
        <w:ind w:firstLineChars="200" w:firstLine="420"/>
        <w:rPr>
          <w:rFonts w:ascii="Times New Roman" w:eastAsiaTheme="minorEastAsia" w:hAnsi="Times New Roman"/>
        </w:rPr>
      </w:pPr>
      <w:r>
        <w:rPr>
          <w:rFonts w:ascii="Times New Roman" w:eastAsiaTheme="minorEastAsia" w:hAnsi="Times New Roman" w:hint="eastAsia"/>
        </w:rPr>
        <w:t>本公司</w:t>
      </w:r>
      <w:r>
        <w:rPr>
          <w:rFonts w:ascii="Times New Roman" w:eastAsiaTheme="minorEastAsia" w:hAnsi="Times New Roman" w:hint="eastAsia"/>
        </w:rPr>
        <w:t>2022</w:t>
      </w:r>
      <w:r>
        <w:rPr>
          <w:rFonts w:ascii="Times New Roman" w:eastAsiaTheme="minorEastAsia" w:hAnsi="Times New Roman" w:hint="eastAsia"/>
        </w:rPr>
        <w:t>年度股东大会审议通过《厦门银行股份有限公司关于</w:t>
      </w:r>
      <w:r>
        <w:rPr>
          <w:rFonts w:ascii="Times New Roman" w:eastAsiaTheme="minorEastAsia" w:hAnsi="Times New Roman" w:hint="eastAsia"/>
        </w:rPr>
        <w:t>2023</w:t>
      </w:r>
      <w:r>
        <w:rPr>
          <w:rFonts w:ascii="Times New Roman" w:eastAsiaTheme="minorEastAsia" w:hAnsi="Times New Roman" w:hint="eastAsia"/>
        </w:rPr>
        <w:t>年度日常关联交易预计额度的议案》。报告期内，本公司关联交易均按相关法律规定及本公司关联交易的审批程序进行，遵循市场化定价原则，以不优于对非关联方同类交易的条件进行。截至报告期末，本公司关联交易预计额度的具体执行情况如下：</w:t>
      </w:r>
    </w:p>
    <w:p w:rsidR="00AD5BB5" w:rsidRDefault="00F87FF6">
      <w:pPr>
        <w:spacing w:line="360" w:lineRule="auto"/>
        <w:ind w:firstLineChars="200" w:firstLine="420"/>
        <w:jc w:val="right"/>
        <w:rPr>
          <w:rFonts w:ascii="Times New Roman" w:eastAsiaTheme="minorEastAsia" w:hAnsi="Times New Roman"/>
        </w:rPr>
      </w:pPr>
      <w:r>
        <w:rPr>
          <w:rFonts w:ascii="Times New Roman" w:eastAsiaTheme="minorEastAsia" w:hAnsi="Times New Roman" w:hint="eastAsia"/>
        </w:rPr>
        <w:t>币种：人民币</w:t>
      </w:r>
    </w:p>
    <w:tbl>
      <w:tblPr>
        <w:tblW w:w="4998" w:type="pct"/>
        <w:tblCellMar>
          <w:left w:w="0" w:type="dxa"/>
          <w:right w:w="0" w:type="dxa"/>
        </w:tblCellMar>
        <w:tblLook w:val="04A0" w:firstRow="1" w:lastRow="0" w:firstColumn="1" w:lastColumn="0" w:noHBand="0" w:noVBand="1"/>
      </w:tblPr>
      <w:tblGrid>
        <w:gridCol w:w="496"/>
        <w:gridCol w:w="676"/>
        <w:gridCol w:w="1077"/>
        <w:gridCol w:w="1763"/>
        <w:gridCol w:w="1572"/>
        <w:gridCol w:w="2716"/>
      </w:tblGrid>
      <w:tr w:rsidR="00AD5BB5">
        <w:trPr>
          <w:trHeight w:val="1065"/>
        </w:trPr>
        <w:tc>
          <w:tcPr>
            <w:tcW w:w="298" w:type="pc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b/>
                <w:color w:val="000000"/>
              </w:rPr>
            </w:pPr>
            <w:r>
              <w:rPr>
                <w:rFonts w:asciiTheme="minorEastAsia" w:eastAsiaTheme="minorEastAsia" w:hAnsiTheme="minorEastAsia" w:cstheme="minorEastAsia" w:hint="eastAsia"/>
                <w:b/>
                <w:color w:val="000000"/>
                <w:kern w:val="0"/>
                <w:szCs w:val="21"/>
                <w:lang w:bidi="ar"/>
              </w:rPr>
              <w:t>序号</w:t>
            </w:r>
          </w:p>
        </w:tc>
        <w:tc>
          <w:tcPr>
            <w:tcW w:w="1056" w:type="pct"/>
            <w:gridSpan w:val="2"/>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b/>
                <w:color w:val="000000"/>
              </w:rPr>
            </w:pPr>
            <w:r>
              <w:rPr>
                <w:rFonts w:asciiTheme="minorEastAsia" w:eastAsiaTheme="minorEastAsia" w:hAnsiTheme="minorEastAsia" w:cstheme="minorEastAsia" w:hint="eastAsia"/>
                <w:b/>
                <w:color w:val="000000"/>
                <w:kern w:val="0"/>
                <w:szCs w:val="21"/>
                <w:lang w:bidi="ar"/>
              </w:rPr>
              <w:t>关联方</w:t>
            </w:r>
          </w:p>
        </w:tc>
        <w:tc>
          <w:tcPr>
            <w:tcW w:w="1062" w:type="pc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b/>
                <w:color w:val="000000"/>
                <w:kern w:val="0"/>
                <w:lang w:bidi="ar"/>
              </w:rPr>
            </w:pPr>
            <w:r>
              <w:rPr>
                <w:rFonts w:asciiTheme="minorEastAsia" w:eastAsiaTheme="minorEastAsia" w:hAnsiTheme="minorEastAsia" w:cstheme="minorEastAsia" w:hint="eastAsia"/>
                <w:b/>
                <w:color w:val="000000"/>
                <w:kern w:val="0"/>
                <w:szCs w:val="21"/>
                <w:lang w:bidi="ar"/>
              </w:rPr>
              <w:t>2023年</w:t>
            </w:r>
          </w:p>
          <w:p w:rsidR="00AD5BB5" w:rsidRDefault="00F87FF6">
            <w:pPr>
              <w:widowControl/>
              <w:jc w:val="center"/>
              <w:textAlignment w:val="center"/>
              <w:rPr>
                <w:rFonts w:asciiTheme="minorEastAsia" w:eastAsiaTheme="minorEastAsia" w:hAnsiTheme="minorEastAsia" w:cstheme="minorEastAsia"/>
                <w:b/>
                <w:color w:val="000000"/>
                <w:kern w:val="0"/>
                <w:lang w:bidi="ar"/>
              </w:rPr>
            </w:pPr>
            <w:r>
              <w:rPr>
                <w:rFonts w:asciiTheme="minorEastAsia" w:eastAsiaTheme="minorEastAsia" w:hAnsiTheme="minorEastAsia" w:cstheme="minorEastAsia" w:hint="eastAsia"/>
                <w:b/>
                <w:color w:val="000000"/>
                <w:kern w:val="0"/>
                <w:szCs w:val="21"/>
                <w:lang w:bidi="ar"/>
              </w:rPr>
              <w:t>预计额度</w:t>
            </w:r>
          </w:p>
        </w:tc>
        <w:tc>
          <w:tcPr>
            <w:tcW w:w="947" w:type="pc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b/>
                <w:color w:val="000000"/>
                <w:kern w:val="0"/>
                <w:lang w:bidi="ar"/>
              </w:rPr>
            </w:pPr>
            <w:r>
              <w:rPr>
                <w:rFonts w:asciiTheme="minorEastAsia" w:eastAsiaTheme="minorEastAsia" w:hAnsiTheme="minorEastAsia" w:cstheme="minorEastAsia" w:hint="eastAsia"/>
                <w:b/>
                <w:color w:val="000000"/>
                <w:kern w:val="0"/>
                <w:szCs w:val="21"/>
                <w:lang w:bidi="ar"/>
              </w:rPr>
              <w:t>预计额度的业务品种</w:t>
            </w:r>
          </w:p>
        </w:tc>
        <w:tc>
          <w:tcPr>
            <w:tcW w:w="16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textAlignment w:val="center"/>
              <w:rPr>
                <w:rFonts w:asciiTheme="minorEastAsia" w:eastAsiaTheme="minorEastAsia" w:hAnsiTheme="minorEastAsia" w:cstheme="minorEastAsia"/>
                <w:b/>
                <w:kern w:val="0"/>
                <w:lang w:bidi="ar"/>
              </w:rPr>
            </w:pPr>
            <w:r>
              <w:rPr>
                <w:rFonts w:asciiTheme="minorEastAsia" w:eastAsiaTheme="minorEastAsia" w:hAnsiTheme="minorEastAsia" w:cstheme="minorEastAsia" w:hint="eastAsia"/>
                <w:b/>
                <w:kern w:val="0"/>
                <w:szCs w:val="21"/>
                <w:lang w:bidi="ar"/>
              </w:rPr>
              <w:t>截至2023年6月末关联交易情况</w:t>
            </w:r>
          </w:p>
        </w:tc>
      </w:tr>
      <w:tr w:rsidR="00AD5BB5">
        <w:trPr>
          <w:trHeight w:val="540"/>
        </w:trPr>
        <w:tc>
          <w:tcPr>
            <w:tcW w:w="2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rPr>
            </w:pPr>
            <w:r>
              <w:rPr>
                <w:rFonts w:asciiTheme="minorEastAsia" w:hAnsiTheme="minorEastAsia" w:cstheme="minorEastAsia" w:hint="eastAsia"/>
                <w:color w:val="000000"/>
                <w:kern w:val="0"/>
                <w:szCs w:val="21"/>
                <w:lang w:bidi="ar"/>
              </w:rPr>
              <w:lastRenderedPageBreak/>
              <w:t>1</w:t>
            </w:r>
          </w:p>
        </w:tc>
        <w:tc>
          <w:tcPr>
            <w:tcW w:w="1056" w:type="pct"/>
            <w:gridSpan w:val="2"/>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szCs w:val="21"/>
                <w:lang w:bidi="ar"/>
              </w:rPr>
              <w:t>厦门金圆投资集团有限公司及其关联方</w:t>
            </w:r>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kern w:val="0"/>
                <w:lang w:bidi="ar"/>
              </w:rPr>
            </w:pPr>
            <w:r>
              <w:rPr>
                <w:rFonts w:asciiTheme="minorEastAsia" w:eastAsiaTheme="minorEastAsia" w:hAnsiTheme="minorEastAsia" w:cstheme="minorEastAsia" w:hint="eastAsia"/>
                <w:color w:val="000000"/>
                <w:kern w:val="0"/>
                <w:szCs w:val="21"/>
                <w:lang w:bidi="ar"/>
              </w:rPr>
              <w:t>授信额度45亿元（敞口35亿元）+他用担保额度20亿元</w:t>
            </w:r>
          </w:p>
        </w:tc>
        <w:tc>
          <w:tcPr>
            <w:tcW w:w="9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szCs w:val="21"/>
                <w:lang w:bidi="ar"/>
              </w:rPr>
              <w:t>主要用于传统授信、他用担保额度、同业授信、同业交易、债券投资等业务</w:t>
            </w:r>
          </w:p>
        </w:tc>
        <w:tc>
          <w:tcPr>
            <w:tcW w:w="16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textAlignment w:val="center"/>
              <w:rPr>
                <w:rFonts w:asciiTheme="minorEastAsia" w:eastAsiaTheme="minorEastAsia" w:hAnsiTheme="minorEastAsia" w:cstheme="minorEastAsia"/>
                <w:kern w:val="0"/>
                <w:lang w:bidi="ar"/>
              </w:rPr>
            </w:pPr>
            <w:r>
              <w:rPr>
                <w:rFonts w:ascii="宋体" w:hAnsi="宋体" w:cs="宋体" w:hint="eastAsia"/>
                <w:kern w:val="0"/>
                <w:szCs w:val="16"/>
                <w:lang w:bidi="ar"/>
              </w:rPr>
              <w:t>综合授信额度合计44.5亿元（含同业额度及非融资性分离式保函额度）+他用担保额度人民币18亿元+相关服务费额度不超过0.12亿元/年。其中，传统授信余额0.2044亿元、债券投资余额3.4亿元、同业授信余额4亿元、保函余额5.3182亿、他用担保敞口余额5.8548亿。</w:t>
            </w:r>
          </w:p>
        </w:tc>
      </w:tr>
      <w:tr w:rsidR="00AD5BB5">
        <w:trPr>
          <w:trHeight w:val="540"/>
        </w:trPr>
        <w:tc>
          <w:tcPr>
            <w:tcW w:w="298" w:type="pct"/>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rPr>
            </w:pPr>
            <w:r>
              <w:rPr>
                <w:rFonts w:asciiTheme="minorEastAsia" w:hAnsiTheme="minorEastAsia" w:cstheme="minorEastAsia" w:hint="eastAsia"/>
                <w:color w:val="000000"/>
                <w:kern w:val="0"/>
                <w:szCs w:val="21"/>
                <w:lang w:bidi="ar"/>
              </w:rPr>
              <w:t>2</w:t>
            </w:r>
          </w:p>
        </w:tc>
        <w:tc>
          <w:tcPr>
            <w:tcW w:w="407" w:type="pct"/>
            <w:vMerge w:val="restart"/>
            <w:tcBorders>
              <w:top w:val="single" w:sz="4" w:space="0" w:color="000000"/>
              <w:left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szCs w:val="21"/>
                <w:lang w:bidi="ar"/>
              </w:rPr>
              <w:t>富邦金融控股股份有限公司及其关联方</w:t>
            </w:r>
            <w:r>
              <w:rPr>
                <w:rStyle w:val="aff0"/>
                <w:rFonts w:asciiTheme="minorEastAsia" w:eastAsiaTheme="minorEastAsia" w:hAnsiTheme="minorEastAsia" w:cstheme="minorEastAsia" w:hint="eastAsia"/>
                <w:color w:val="000000"/>
                <w:kern w:val="0"/>
                <w:szCs w:val="21"/>
                <w:lang w:bidi="ar"/>
              </w:rPr>
              <w:footnoteReference w:id="1"/>
            </w:r>
          </w:p>
        </w:tc>
        <w:tc>
          <w:tcPr>
            <w:tcW w:w="64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szCs w:val="21"/>
                <w:lang w:bidi="ar"/>
              </w:rPr>
              <w:t>富邦华</w:t>
            </w:r>
            <w:proofErr w:type="gramStart"/>
            <w:r>
              <w:rPr>
                <w:rFonts w:asciiTheme="minorEastAsia" w:eastAsiaTheme="minorEastAsia" w:hAnsiTheme="minorEastAsia" w:cstheme="minorEastAsia" w:hint="eastAsia"/>
                <w:color w:val="000000"/>
                <w:kern w:val="0"/>
                <w:szCs w:val="21"/>
                <w:lang w:bidi="ar"/>
              </w:rPr>
              <w:t>一</w:t>
            </w:r>
            <w:proofErr w:type="gramEnd"/>
            <w:r>
              <w:rPr>
                <w:rFonts w:asciiTheme="minorEastAsia" w:eastAsiaTheme="minorEastAsia" w:hAnsiTheme="minorEastAsia" w:cstheme="minorEastAsia" w:hint="eastAsia"/>
                <w:color w:val="000000"/>
                <w:kern w:val="0"/>
                <w:szCs w:val="21"/>
                <w:lang w:bidi="ar"/>
              </w:rPr>
              <w:t>银行有限公司</w:t>
            </w:r>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kern w:val="0"/>
                <w:lang w:bidi="ar"/>
              </w:rPr>
            </w:pPr>
            <w:r>
              <w:rPr>
                <w:rFonts w:asciiTheme="minorEastAsia" w:eastAsiaTheme="minorEastAsia" w:hAnsiTheme="minorEastAsia" w:cstheme="minorEastAsia" w:hint="eastAsia"/>
                <w:color w:val="000000"/>
                <w:kern w:val="0"/>
                <w:szCs w:val="21"/>
                <w:lang w:bidi="ar"/>
              </w:rPr>
              <w:t>同业授信额度20亿元（敞口10亿元）</w:t>
            </w:r>
          </w:p>
        </w:tc>
        <w:tc>
          <w:tcPr>
            <w:tcW w:w="9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szCs w:val="21"/>
                <w:lang w:bidi="ar"/>
              </w:rPr>
              <w:t>主要用于同业授信、同业交易等业务</w:t>
            </w:r>
          </w:p>
        </w:tc>
        <w:tc>
          <w:tcPr>
            <w:tcW w:w="16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left"/>
              <w:textAlignment w:val="center"/>
              <w:rPr>
                <w:rFonts w:asciiTheme="minorEastAsia" w:eastAsiaTheme="minorEastAsia" w:hAnsiTheme="minorEastAsia" w:cstheme="minorEastAsia"/>
                <w:kern w:val="0"/>
                <w:lang w:bidi="ar"/>
              </w:rPr>
            </w:pPr>
            <w:r>
              <w:rPr>
                <w:rFonts w:ascii="宋体" w:hAnsi="宋体" w:cs="宋体" w:hint="eastAsia"/>
                <w:kern w:val="0"/>
                <w:szCs w:val="16"/>
                <w:lang w:bidi="ar"/>
              </w:rPr>
              <w:t>富邦华</w:t>
            </w:r>
            <w:proofErr w:type="gramStart"/>
            <w:r>
              <w:rPr>
                <w:rFonts w:ascii="宋体" w:hAnsi="宋体" w:cs="宋体" w:hint="eastAsia"/>
                <w:kern w:val="0"/>
                <w:szCs w:val="16"/>
                <w:lang w:bidi="ar"/>
              </w:rPr>
              <w:t>一</w:t>
            </w:r>
            <w:proofErr w:type="gramEnd"/>
            <w:r>
              <w:rPr>
                <w:rFonts w:ascii="宋体" w:hAnsi="宋体" w:cs="宋体" w:hint="eastAsia"/>
                <w:kern w:val="0"/>
                <w:szCs w:val="16"/>
                <w:lang w:bidi="ar"/>
              </w:rPr>
              <w:t>银行有限公司同业授信额度敞口9亿元，其中授信余额为0亿</w:t>
            </w:r>
            <w:r>
              <w:rPr>
                <w:rFonts w:ascii="宋体" w:hAnsi="宋体" w:cs="宋体" w:hint="eastAsia"/>
                <w:kern w:val="0"/>
                <w:szCs w:val="16"/>
                <w:lang w:val="zh-CN" w:bidi="ar"/>
              </w:rPr>
              <w:t>元。</w:t>
            </w:r>
          </w:p>
        </w:tc>
      </w:tr>
      <w:tr w:rsidR="00AD5BB5">
        <w:trPr>
          <w:trHeight w:val="540"/>
        </w:trPr>
        <w:tc>
          <w:tcPr>
            <w:tcW w:w="2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AD5BB5">
            <w:pPr>
              <w:jc w:val="center"/>
              <w:rPr>
                <w:rFonts w:asciiTheme="minorEastAsia" w:eastAsiaTheme="minorEastAsia" w:hAnsiTheme="minorEastAsia" w:cstheme="minorEastAsia"/>
                <w:color w:val="000000"/>
              </w:rPr>
            </w:pPr>
          </w:p>
        </w:tc>
        <w:tc>
          <w:tcPr>
            <w:tcW w:w="407" w:type="pct"/>
            <w:vMerge/>
            <w:tcBorders>
              <w:left w:val="single" w:sz="4" w:space="0" w:color="000000"/>
              <w:right w:val="single" w:sz="4" w:space="0" w:color="000000"/>
            </w:tcBorders>
            <w:shd w:val="clear" w:color="auto" w:fill="auto"/>
            <w:tcMar>
              <w:top w:w="15" w:type="dxa"/>
              <w:left w:w="15" w:type="dxa"/>
              <w:right w:w="15" w:type="dxa"/>
            </w:tcMar>
            <w:vAlign w:val="center"/>
          </w:tcPr>
          <w:p w:rsidR="00AD5BB5" w:rsidRDefault="00AD5BB5">
            <w:pPr>
              <w:jc w:val="center"/>
              <w:rPr>
                <w:rFonts w:asciiTheme="minorEastAsia" w:eastAsiaTheme="minorEastAsia" w:hAnsiTheme="minorEastAsia" w:cstheme="minorEastAsia"/>
                <w:color w:val="000000"/>
              </w:rPr>
            </w:pPr>
          </w:p>
        </w:tc>
        <w:tc>
          <w:tcPr>
            <w:tcW w:w="64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szCs w:val="21"/>
                <w:lang w:bidi="ar"/>
              </w:rPr>
              <w:t>台北富邦商业银行股份有限公司</w:t>
            </w:r>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szCs w:val="21"/>
                <w:lang w:bidi="ar"/>
              </w:rPr>
              <w:t>同业授信额度20亿元（敞口10亿元）</w:t>
            </w:r>
          </w:p>
        </w:tc>
        <w:tc>
          <w:tcPr>
            <w:tcW w:w="9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szCs w:val="21"/>
                <w:lang w:bidi="ar"/>
              </w:rPr>
              <w:t>主要用于同业授信、同业交易等业务</w:t>
            </w:r>
          </w:p>
        </w:tc>
        <w:tc>
          <w:tcPr>
            <w:tcW w:w="16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left"/>
              <w:textAlignment w:val="center"/>
              <w:rPr>
                <w:rFonts w:asciiTheme="minorEastAsia" w:eastAsiaTheme="minorEastAsia" w:hAnsiTheme="minorEastAsia" w:cstheme="minorEastAsia"/>
                <w:kern w:val="0"/>
                <w:lang w:bidi="ar"/>
              </w:rPr>
            </w:pPr>
            <w:r>
              <w:rPr>
                <w:rFonts w:ascii="宋体" w:hAnsi="宋体" w:cs="宋体" w:hint="eastAsia"/>
                <w:kern w:val="0"/>
                <w:szCs w:val="16"/>
                <w:lang w:bidi="ar"/>
              </w:rPr>
              <w:t>台北富邦商业银行股份有限公司同业授信额度敞口10亿元，其中授信余额为0。</w:t>
            </w:r>
          </w:p>
        </w:tc>
      </w:tr>
      <w:tr w:rsidR="00AD5BB5">
        <w:trPr>
          <w:trHeight w:val="540"/>
        </w:trPr>
        <w:tc>
          <w:tcPr>
            <w:tcW w:w="298" w:type="pct"/>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AD5BB5">
            <w:pPr>
              <w:jc w:val="center"/>
              <w:rPr>
                <w:rFonts w:asciiTheme="minorEastAsia" w:eastAsiaTheme="minorEastAsia" w:hAnsiTheme="minorEastAsia" w:cstheme="minorEastAsia"/>
                <w:color w:val="000000"/>
              </w:rPr>
            </w:pPr>
          </w:p>
        </w:tc>
        <w:tc>
          <w:tcPr>
            <w:tcW w:w="407" w:type="pct"/>
            <w:vMerge/>
            <w:tcBorders>
              <w:left w:val="single" w:sz="4" w:space="0" w:color="000000"/>
              <w:right w:val="single" w:sz="4" w:space="0" w:color="000000"/>
            </w:tcBorders>
            <w:shd w:val="clear" w:color="auto" w:fill="auto"/>
            <w:tcMar>
              <w:top w:w="15" w:type="dxa"/>
              <w:left w:w="15" w:type="dxa"/>
              <w:right w:w="15" w:type="dxa"/>
            </w:tcMar>
            <w:vAlign w:val="center"/>
          </w:tcPr>
          <w:p w:rsidR="00AD5BB5" w:rsidRDefault="00AD5BB5">
            <w:pPr>
              <w:jc w:val="center"/>
              <w:rPr>
                <w:rFonts w:asciiTheme="minorEastAsia" w:eastAsiaTheme="minorEastAsia" w:hAnsiTheme="minorEastAsia" w:cstheme="minorEastAsia"/>
                <w:color w:val="000000"/>
              </w:rPr>
            </w:pPr>
          </w:p>
        </w:tc>
        <w:tc>
          <w:tcPr>
            <w:tcW w:w="649"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szCs w:val="21"/>
                <w:lang w:bidi="ar"/>
              </w:rPr>
              <w:t>富邦银行（香港）有限公司</w:t>
            </w:r>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szCs w:val="21"/>
                <w:lang w:bidi="ar"/>
              </w:rPr>
              <w:t>同业授信额度20亿元（敞口10亿元）</w:t>
            </w:r>
          </w:p>
        </w:tc>
        <w:tc>
          <w:tcPr>
            <w:tcW w:w="9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szCs w:val="21"/>
                <w:lang w:bidi="ar"/>
              </w:rPr>
              <w:t>主要用于同业授信、同业交易等业务</w:t>
            </w:r>
          </w:p>
        </w:tc>
        <w:tc>
          <w:tcPr>
            <w:tcW w:w="16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left"/>
              <w:textAlignment w:val="center"/>
              <w:rPr>
                <w:rFonts w:asciiTheme="minorEastAsia" w:eastAsiaTheme="minorEastAsia" w:hAnsiTheme="minorEastAsia" w:cstheme="minorEastAsia"/>
                <w:kern w:val="0"/>
                <w:lang w:bidi="ar"/>
              </w:rPr>
            </w:pPr>
            <w:r>
              <w:rPr>
                <w:rFonts w:ascii="宋体" w:hAnsi="宋体" w:cs="宋体" w:hint="eastAsia"/>
                <w:kern w:val="0"/>
                <w:szCs w:val="16"/>
                <w:lang w:bidi="ar"/>
              </w:rPr>
              <w:t>富邦银行（香港）有限公司同业授信额度敞口10亿元，其中授信余额为0。</w:t>
            </w:r>
          </w:p>
        </w:tc>
      </w:tr>
      <w:tr w:rsidR="00AD5BB5">
        <w:trPr>
          <w:trHeight w:val="510"/>
        </w:trPr>
        <w:tc>
          <w:tcPr>
            <w:tcW w:w="2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rPr>
            </w:pPr>
            <w:r>
              <w:rPr>
                <w:rFonts w:asciiTheme="minorEastAsia" w:hAnsiTheme="minorEastAsia" w:cstheme="minorEastAsia" w:hint="eastAsia"/>
                <w:color w:val="000000"/>
                <w:kern w:val="0"/>
                <w:szCs w:val="21"/>
                <w:lang w:bidi="ar"/>
              </w:rPr>
              <w:t>3</w:t>
            </w:r>
          </w:p>
        </w:tc>
        <w:tc>
          <w:tcPr>
            <w:tcW w:w="105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szCs w:val="21"/>
                <w:lang w:bidi="ar"/>
              </w:rPr>
              <w:t>福建七匹狼集团有限公司及其关联方</w:t>
            </w:r>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szCs w:val="21"/>
                <w:lang w:bidi="ar"/>
              </w:rPr>
              <w:t>授信额度12.4亿元（敞口8.5亿元）</w:t>
            </w:r>
          </w:p>
        </w:tc>
        <w:tc>
          <w:tcPr>
            <w:tcW w:w="9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szCs w:val="21"/>
                <w:lang w:bidi="ar"/>
              </w:rPr>
              <w:t>主要用于传统授信业务</w:t>
            </w:r>
          </w:p>
        </w:tc>
        <w:tc>
          <w:tcPr>
            <w:tcW w:w="16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left"/>
              <w:textAlignment w:val="center"/>
              <w:rPr>
                <w:rFonts w:ascii="宋体" w:hAnsi="宋体" w:cs="宋体"/>
                <w:kern w:val="0"/>
                <w:szCs w:val="16"/>
                <w:lang w:bidi="ar"/>
              </w:rPr>
            </w:pPr>
            <w:r>
              <w:rPr>
                <w:rFonts w:ascii="宋体" w:hAnsi="宋体" w:cs="宋体" w:hint="eastAsia"/>
                <w:kern w:val="0"/>
                <w:szCs w:val="16"/>
                <w:lang w:bidi="ar"/>
              </w:rPr>
              <w:t>综合授信额度5亿元（含债券投资额度5亿元、传统授信4.5亿元）+低风险授信额度2亿元（敞口0.09亿元）。</w:t>
            </w:r>
          </w:p>
          <w:p w:rsidR="00AD5BB5" w:rsidRDefault="00F87FF6">
            <w:pPr>
              <w:widowControl/>
              <w:jc w:val="left"/>
              <w:textAlignment w:val="center"/>
              <w:rPr>
                <w:rFonts w:asciiTheme="minorEastAsia" w:eastAsiaTheme="minorEastAsia" w:hAnsiTheme="minorEastAsia" w:cstheme="minorEastAsia"/>
                <w:kern w:val="0"/>
                <w:lang w:bidi="ar"/>
              </w:rPr>
            </w:pPr>
            <w:r>
              <w:rPr>
                <w:rFonts w:ascii="宋体" w:hAnsi="宋体" w:cs="宋体" w:hint="eastAsia"/>
                <w:kern w:val="0"/>
                <w:szCs w:val="16"/>
                <w:lang w:bidi="ar"/>
              </w:rPr>
              <w:t>其中，传统授信余额3.375亿元(敞口3.3亿元）。</w:t>
            </w:r>
          </w:p>
        </w:tc>
      </w:tr>
      <w:tr w:rsidR="00AD5BB5">
        <w:trPr>
          <w:trHeight w:val="510"/>
        </w:trPr>
        <w:tc>
          <w:tcPr>
            <w:tcW w:w="2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rPr>
            </w:pPr>
            <w:r>
              <w:rPr>
                <w:rFonts w:asciiTheme="minorEastAsia" w:hAnsiTheme="minorEastAsia" w:cstheme="minorEastAsia" w:hint="eastAsia"/>
                <w:color w:val="000000"/>
                <w:szCs w:val="21"/>
              </w:rPr>
              <w:t>4</w:t>
            </w:r>
          </w:p>
        </w:tc>
        <w:tc>
          <w:tcPr>
            <w:tcW w:w="105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szCs w:val="21"/>
                <w:lang w:bidi="ar"/>
              </w:rPr>
              <w:t>厦门国有资本运营有限责任公司及其关联方</w:t>
            </w:r>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szCs w:val="21"/>
                <w:lang w:bidi="ar"/>
              </w:rPr>
              <w:t>授信额度8亿元（敞口8亿元）</w:t>
            </w:r>
          </w:p>
        </w:tc>
        <w:tc>
          <w:tcPr>
            <w:tcW w:w="9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szCs w:val="21"/>
                <w:lang w:bidi="ar"/>
              </w:rPr>
              <w:t>主要用于传统授信</w:t>
            </w:r>
            <w:r>
              <w:rPr>
                <w:rFonts w:asciiTheme="minorEastAsia" w:hAnsiTheme="minorEastAsia" w:cstheme="minorEastAsia" w:hint="eastAsia"/>
                <w:color w:val="000000"/>
                <w:kern w:val="0"/>
                <w:szCs w:val="21"/>
                <w:lang w:bidi="ar"/>
              </w:rPr>
              <w:t>、债券投资等业务</w:t>
            </w:r>
          </w:p>
        </w:tc>
        <w:tc>
          <w:tcPr>
            <w:tcW w:w="16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left"/>
              <w:textAlignment w:val="center"/>
              <w:rPr>
                <w:rFonts w:asciiTheme="minorEastAsia" w:eastAsiaTheme="minorEastAsia" w:hAnsiTheme="minorEastAsia" w:cstheme="minorEastAsia"/>
                <w:kern w:val="0"/>
                <w:lang w:bidi="ar"/>
              </w:rPr>
            </w:pPr>
            <w:r>
              <w:rPr>
                <w:rFonts w:ascii="宋体" w:hAnsi="宋体" w:cs="宋体" w:hint="eastAsia"/>
                <w:kern w:val="0"/>
                <w:szCs w:val="16"/>
                <w:lang w:bidi="ar"/>
              </w:rPr>
              <w:t>综合授信额度0.1亿元。其中，授信余额0.1亿元（敞口0.1亿元）。</w:t>
            </w:r>
          </w:p>
        </w:tc>
      </w:tr>
      <w:tr w:rsidR="00AD5BB5">
        <w:trPr>
          <w:trHeight w:val="1080"/>
        </w:trPr>
        <w:tc>
          <w:tcPr>
            <w:tcW w:w="2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rPr>
            </w:pPr>
            <w:r>
              <w:rPr>
                <w:rFonts w:asciiTheme="minorEastAsia" w:hAnsiTheme="minorEastAsia" w:cstheme="minorEastAsia" w:hint="eastAsia"/>
                <w:color w:val="000000"/>
                <w:kern w:val="0"/>
                <w:szCs w:val="21"/>
                <w:lang w:bidi="ar"/>
              </w:rPr>
              <w:t>5</w:t>
            </w:r>
          </w:p>
        </w:tc>
        <w:tc>
          <w:tcPr>
            <w:tcW w:w="105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rPr>
            </w:pPr>
            <w:proofErr w:type="gramStart"/>
            <w:r>
              <w:rPr>
                <w:rFonts w:asciiTheme="minorEastAsia" w:eastAsiaTheme="minorEastAsia" w:hAnsiTheme="minorEastAsia" w:cstheme="minorEastAsia" w:hint="eastAsia"/>
                <w:color w:val="000000"/>
                <w:kern w:val="0"/>
                <w:szCs w:val="21"/>
                <w:lang w:bidi="ar"/>
              </w:rPr>
              <w:t>泉舜集团</w:t>
            </w:r>
            <w:proofErr w:type="gramEnd"/>
            <w:r>
              <w:rPr>
                <w:rFonts w:asciiTheme="minorEastAsia" w:eastAsiaTheme="minorEastAsia" w:hAnsiTheme="minorEastAsia" w:cstheme="minorEastAsia" w:hint="eastAsia"/>
                <w:color w:val="000000"/>
                <w:kern w:val="0"/>
                <w:szCs w:val="21"/>
                <w:lang w:bidi="ar"/>
              </w:rPr>
              <w:t>有限公司及其关联方</w:t>
            </w:r>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szCs w:val="21"/>
                <w:lang w:bidi="ar"/>
              </w:rPr>
              <w:t>授信额度12亿元（敞口8亿元）</w:t>
            </w:r>
          </w:p>
        </w:tc>
        <w:tc>
          <w:tcPr>
            <w:tcW w:w="9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szCs w:val="21"/>
                <w:lang w:bidi="ar"/>
              </w:rPr>
              <w:t>主要用于传统授信业务</w:t>
            </w:r>
          </w:p>
        </w:tc>
        <w:tc>
          <w:tcPr>
            <w:tcW w:w="16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left"/>
              <w:textAlignment w:val="center"/>
              <w:rPr>
                <w:rFonts w:ascii="宋体" w:hAnsi="宋体" w:cs="宋体"/>
                <w:kern w:val="0"/>
                <w:szCs w:val="16"/>
                <w:lang w:bidi="ar"/>
              </w:rPr>
            </w:pPr>
            <w:r>
              <w:rPr>
                <w:rFonts w:ascii="宋体" w:hAnsi="宋体" w:cs="宋体" w:hint="eastAsia"/>
                <w:kern w:val="0"/>
                <w:szCs w:val="16"/>
                <w:lang w:bidi="ar"/>
              </w:rPr>
              <w:t>综合授信额度人民币13.6亿元（总敞口人民币8亿元）+2.6亿元低风险额度(敞口0)+3亿元他用按揭额度。</w:t>
            </w:r>
          </w:p>
          <w:p w:rsidR="00AD5BB5" w:rsidRDefault="00F87FF6">
            <w:pPr>
              <w:widowControl/>
              <w:jc w:val="center"/>
              <w:textAlignment w:val="center"/>
              <w:rPr>
                <w:rFonts w:asciiTheme="minorEastAsia" w:eastAsiaTheme="minorEastAsia" w:hAnsiTheme="minorEastAsia" w:cstheme="minorEastAsia"/>
                <w:kern w:val="0"/>
                <w:lang w:bidi="ar"/>
              </w:rPr>
            </w:pPr>
            <w:r>
              <w:rPr>
                <w:rFonts w:ascii="宋体" w:hAnsi="宋体" w:cs="宋体" w:hint="eastAsia"/>
                <w:kern w:val="0"/>
                <w:szCs w:val="16"/>
                <w:lang w:bidi="ar"/>
              </w:rPr>
              <w:t>其中，授信余额合计8.06亿元（敞口余额6.2106亿元），包含一般授信余额6.2106亿元（敞口余额6.2106亿元），低风险授信余额1.85亿元（敞口0）</w:t>
            </w:r>
          </w:p>
        </w:tc>
      </w:tr>
      <w:tr w:rsidR="00AD5BB5">
        <w:trPr>
          <w:trHeight w:val="270"/>
        </w:trPr>
        <w:tc>
          <w:tcPr>
            <w:tcW w:w="2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szCs w:val="21"/>
                <w:lang w:bidi="ar"/>
              </w:rPr>
              <w:t>6</w:t>
            </w:r>
          </w:p>
        </w:tc>
        <w:tc>
          <w:tcPr>
            <w:tcW w:w="105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szCs w:val="21"/>
                <w:lang w:bidi="ar"/>
              </w:rPr>
              <w:t>东江环保股份有限公司</w:t>
            </w:r>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kern w:val="0"/>
                <w:lang w:bidi="ar"/>
              </w:rPr>
            </w:pPr>
            <w:r>
              <w:rPr>
                <w:rFonts w:asciiTheme="minorEastAsia" w:eastAsiaTheme="minorEastAsia" w:hAnsiTheme="minorEastAsia" w:cstheme="minorEastAsia" w:hint="eastAsia"/>
                <w:color w:val="000000"/>
                <w:kern w:val="0"/>
                <w:szCs w:val="21"/>
                <w:lang w:bidi="ar"/>
              </w:rPr>
              <w:t>授信额度2亿元（敞口2亿元）</w:t>
            </w:r>
          </w:p>
        </w:tc>
        <w:tc>
          <w:tcPr>
            <w:tcW w:w="9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szCs w:val="21"/>
                <w:lang w:bidi="ar"/>
              </w:rPr>
              <w:t>主要用于传统授信业务</w:t>
            </w:r>
          </w:p>
        </w:tc>
        <w:tc>
          <w:tcPr>
            <w:tcW w:w="16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kern w:val="0"/>
                <w:lang w:bidi="ar"/>
              </w:rPr>
            </w:pPr>
            <w:r>
              <w:rPr>
                <w:rFonts w:ascii="宋体" w:hAnsi="宋体" w:cs="宋体" w:hint="eastAsia"/>
                <w:kern w:val="0"/>
                <w:szCs w:val="16"/>
                <w:lang w:bidi="ar"/>
              </w:rPr>
              <w:t>综合授信额度0.98亿元，其中授信余额0.27亿元（敞口0.27亿元）。</w:t>
            </w:r>
          </w:p>
        </w:tc>
      </w:tr>
      <w:tr w:rsidR="00AD5BB5">
        <w:trPr>
          <w:trHeight w:val="270"/>
        </w:trPr>
        <w:tc>
          <w:tcPr>
            <w:tcW w:w="2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rPr>
            </w:pPr>
            <w:r>
              <w:rPr>
                <w:rFonts w:asciiTheme="minorEastAsia" w:hAnsiTheme="minorEastAsia" w:cstheme="minorEastAsia" w:hint="eastAsia"/>
                <w:color w:val="000000"/>
                <w:kern w:val="0"/>
                <w:szCs w:val="21"/>
                <w:lang w:bidi="ar"/>
              </w:rPr>
              <w:t>7</w:t>
            </w:r>
          </w:p>
        </w:tc>
        <w:tc>
          <w:tcPr>
            <w:tcW w:w="105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szCs w:val="21"/>
                <w:lang w:bidi="ar"/>
              </w:rPr>
              <w:t>大洲控股集团有限公司及其关联方</w:t>
            </w:r>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szCs w:val="21"/>
                <w:lang w:bidi="ar"/>
              </w:rPr>
              <w:t>授信额度4亿元（敞口4亿元）</w:t>
            </w:r>
          </w:p>
        </w:tc>
        <w:tc>
          <w:tcPr>
            <w:tcW w:w="9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szCs w:val="21"/>
                <w:lang w:bidi="ar"/>
              </w:rPr>
              <w:t>主要用于传统授信业务</w:t>
            </w:r>
          </w:p>
        </w:tc>
        <w:tc>
          <w:tcPr>
            <w:tcW w:w="16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left"/>
              <w:textAlignment w:val="center"/>
              <w:rPr>
                <w:rFonts w:asciiTheme="minorEastAsia" w:eastAsiaTheme="minorEastAsia" w:hAnsiTheme="minorEastAsia" w:cstheme="minorEastAsia"/>
                <w:kern w:val="0"/>
                <w:lang w:bidi="ar"/>
              </w:rPr>
            </w:pPr>
            <w:r>
              <w:rPr>
                <w:rFonts w:ascii="宋体" w:hAnsi="宋体" w:cs="宋体" w:hint="eastAsia"/>
                <w:kern w:val="0"/>
                <w:szCs w:val="16"/>
                <w:lang w:bidi="ar"/>
              </w:rPr>
              <w:t>综合授信额度4亿元。其中，授信余额2.0651亿元（敞口2.0301亿元）。</w:t>
            </w:r>
          </w:p>
        </w:tc>
      </w:tr>
      <w:tr w:rsidR="00AD5BB5">
        <w:trPr>
          <w:trHeight w:val="270"/>
        </w:trPr>
        <w:tc>
          <w:tcPr>
            <w:tcW w:w="2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rPr>
            </w:pPr>
            <w:r>
              <w:rPr>
                <w:rFonts w:asciiTheme="minorEastAsia" w:hAnsiTheme="minorEastAsia" w:cstheme="minorEastAsia" w:hint="eastAsia"/>
                <w:color w:val="000000"/>
                <w:szCs w:val="21"/>
              </w:rPr>
              <w:lastRenderedPageBreak/>
              <w:t>8</w:t>
            </w:r>
          </w:p>
        </w:tc>
        <w:tc>
          <w:tcPr>
            <w:tcW w:w="105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szCs w:val="21"/>
                <w:lang w:bidi="ar"/>
              </w:rPr>
              <w:t>福建海西金融租赁有限责任公司</w:t>
            </w:r>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kern w:val="0"/>
                <w:lang w:bidi="ar"/>
              </w:rPr>
            </w:pPr>
            <w:r>
              <w:rPr>
                <w:rFonts w:asciiTheme="minorEastAsia" w:eastAsiaTheme="minorEastAsia" w:hAnsiTheme="minorEastAsia" w:cstheme="minorEastAsia" w:hint="eastAsia"/>
                <w:color w:val="000000"/>
                <w:kern w:val="0"/>
                <w:szCs w:val="21"/>
                <w:lang w:bidi="ar"/>
              </w:rPr>
              <w:t>授信额度35亿元（敞口25亿元）</w:t>
            </w:r>
          </w:p>
        </w:tc>
        <w:tc>
          <w:tcPr>
            <w:tcW w:w="9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kern w:val="0"/>
                <w:lang w:bidi="ar"/>
              </w:rPr>
            </w:pPr>
            <w:r>
              <w:rPr>
                <w:rFonts w:asciiTheme="minorEastAsia" w:eastAsiaTheme="minorEastAsia" w:hAnsiTheme="minorEastAsia" w:cstheme="minorEastAsia" w:hint="eastAsia"/>
                <w:color w:val="000000"/>
                <w:kern w:val="0"/>
                <w:szCs w:val="21"/>
                <w:lang w:bidi="ar"/>
              </w:rPr>
              <w:t>主要用于同业授信、同业交易、传统授信业务</w:t>
            </w:r>
          </w:p>
        </w:tc>
        <w:tc>
          <w:tcPr>
            <w:tcW w:w="16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left"/>
              <w:textAlignment w:val="center"/>
              <w:rPr>
                <w:rFonts w:ascii="宋体" w:hAnsi="宋体" w:cs="宋体"/>
                <w:kern w:val="0"/>
                <w:szCs w:val="16"/>
                <w:lang w:bidi="ar"/>
              </w:rPr>
            </w:pPr>
            <w:r>
              <w:rPr>
                <w:rFonts w:ascii="宋体" w:hAnsi="宋体" w:cs="宋体" w:hint="eastAsia"/>
                <w:kern w:val="0"/>
                <w:szCs w:val="16"/>
                <w:lang w:bidi="ar"/>
              </w:rPr>
              <w:t>综合授信额度敞口20亿元（含投资额度敞口20亿元，传统授信额度3.5亿元）。</w:t>
            </w:r>
          </w:p>
          <w:p w:rsidR="00AD5BB5" w:rsidRDefault="00F87FF6">
            <w:pPr>
              <w:widowControl/>
              <w:jc w:val="center"/>
              <w:textAlignment w:val="center"/>
              <w:rPr>
                <w:rFonts w:asciiTheme="minorEastAsia" w:eastAsiaTheme="minorEastAsia" w:hAnsiTheme="minorEastAsia" w:cstheme="minorEastAsia"/>
                <w:kern w:val="0"/>
                <w:lang w:bidi="ar"/>
              </w:rPr>
            </w:pPr>
            <w:r>
              <w:rPr>
                <w:rFonts w:ascii="宋体" w:hAnsi="宋体" w:cs="宋体" w:hint="eastAsia"/>
                <w:kern w:val="0"/>
                <w:szCs w:val="16"/>
                <w:lang w:bidi="ar"/>
              </w:rPr>
              <w:t>其中，同业授信</w:t>
            </w:r>
            <w:proofErr w:type="gramStart"/>
            <w:r>
              <w:rPr>
                <w:rFonts w:ascii="宋体" w:hAnsi="宋体" w:cs="宋体" w:hint="eastAsia"/>
                <w:kern w:val="0"/>
                <w:szCs w:val="16"/>
                <w:lang w:bidi="ar"/>
              </w:rPr>
              <w:t>余额余额</w:t>
            </w:r>
            <w:proofErr w:type="gramEnd"/>
            <w:r>
              <w:rPr>
                <w:rFonts w:ascii="宋体" w:hAnsi="宋体" w:cs="宋体" w:hint="eastAsia"/>
                <w:kern w:val="0"/>
                <w:szCs w:val="16"/>
                <w:lang w:bidi="ar"/>
              </w:rPr>
              <w:t>为8.12亿，债券投资余额0.2亿元，表外授信余额0.45亿元。</w:t>
            </w:r>
          </w:p>
        </w:tc>
      </w:tr>
      <w:tr w:rsidR="00AD5BB5">
        <w:trPr>
          <w:trHeight w:val="510"/>
        </w:trPr>
        <w:tc>
          <w:tcPr>
            <w:tcW w:w="29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szCs w:val="21"/>
                <w:lang w:bidi="ar"/>
              </w:rPr>
              <w:t>9</w:t>
            </w:r>
          </w:p>
        </w:tc>
        <w:tc>
          <w:tcPr>
            <w:tcW w:w="1056" w:type="pct"/>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kern w:val="0"/>
                <w:lang w:bidi="ar"/>
              </w:rPr>
            </w:pPr>
            <w:r>
              <w:rPr>
                <w:rFonts w:asciiTheme="minorEastAsia" w:eastAsiaTheme="minorEastAsia" w:hAnsiTheme="minorEastAsia" w:cstheme="minorEastAsia" w:hint="eastAsia"/>
                <w:color w:val="000000"/>
                <w:kern w:val="0"/>
                <w:szCs w:val="21"/>
                <w:lang w:bidi="ar"/>
              </w:rPr>
              <w:t>关联自然人</w:t>
            </w:r>
          </w:p>
        </w:tc>
        <w:tc>
          <w:tcPr>
            <w:tcW w:w="1062"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szCs w:val="21"/>
                <w:lang w:bidi="ar"/>
              </w:rPr>
              <w:t>授信额度3.2亿元（敞口3.2亿元）</w:t>
            </w:r>
          </w:p>
        </w:tc>
        <w:tc>
          <w:tcPr>
            <w:tcW w:w="947"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color w:val="000000"/>
              </w:rPr>
            </w:pPr>
            <w:r>
              <w:rPr>
                <w:rFonts w:asciiTheme="minorEastAsia" w:eastAsiaTheme="minorEastAsia" w:hAnsiTheme="minorEastAsia" w:cstheme="minorEastAsia" w:hint="eastAsia"/>
                <w:color w:val="000000"/>
                <w:kern w:val="0"/>
                <w:szCs w:val="21"/>
                <w:lang w:bidi="ar"/>
              </w:rPr>
              <w:t>主要用于信用卡、贷款等业务</w:t>
            </w:r>
          </w:p>
        </w:tc>
        <w:tc>
          <w:tcPr>
            <w:tcW w:w="1635"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D5BB5" w:rsidRDefault="00F87FF6">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color w:val="000000"/>
                <w:kern w:val="0"/>
                <w:szCs w:val="21"/>
                <w:lang w:bidi="ar"/>
              </w:rPr>
              <w:t>1.0243亿元</w:t>
            </w:r>
          </w:p>
        </w:tc>
      </w:tr>
    </w:tbl>
    <w:p w:rsidR="00AD5BB5" w:rsidRDefault="00AD5BB5">
      <w:pPr>
        <w:pStyle w:val="aff2"/>
        <w:spacing w:line="360" w:lineRule="auto"/>
        <w:ind w:firstLineChars="0" w:firstLine="0"/>
        <w:rPr>
          <w:rFonts w:ascii="Times New Roman" w:eastAsiaTheme="minorEastAsia" w:hAnsi="Times New Roman"/>
        </w:rPr>
      </w:pPr>
    </w:p>
    <w:p w:rsidR="00AD5BB5" w:rsidRDefault="00F87FF6">
      <w:pPr>
        <w:numPr>
          <w:ilvl w:val="0"/>
          <w:numId w:val="28"/>
        </w:numPr>
        <w:spacing w:line="360" w:lineRule="auto"/>
        <w:rPr>
          <w:rFonts w:ascii="Times New Roman" w:eastAsiaTheme="minorEastAsia" w:hAnsi="Times New Roman"/>
          <w:b/>
        </w:rPr>
      </w:pPr>
      <w:r>
        <w:rPr>
          <w:rFonts w:ascii="Times New Roman" w:eastAsiaTheme="minorEastAsia" w:hAnsi="Times New Roman" w:hint="eastAsia"/>
          <w:b/>
        </w:rPr>
        <w:t>重大关联交易情况</w:t>
      </w:r>
    </w:p>
    <w:p w:rsidR="00AD5BB5" w:rsidRDefault="00F87FF6">
      <w:pPr>
        <w:spacing w:line="360" w:lineRule="auto"/>
        <w:ind w:firstLineChars="200" w:firstLine="420"/>
        <w:rPr>
          <w:rFonts w:ascii="Times New Roman" w:eastAsiaTheme="minorEastAsia" w:hAnsi="Times New Roman"/>
          <w:bCs/>
        </w:rPr>
      </w:pPr>
      <w:r>
        <w:rPr>
          <w:rFonts w:ascii="Times New Roman" w:eastAsiaTheme="minorEastAsia" w:hAnsi="Times New Roman" w:hint="eastAsia"/>
          <w:bCs/>
        </w:rPr>
        <w:t>根据《银行保险机构关联交易管理办法》（银保监会令</w:t>
      </w:r>
      <w:r>
        <w:rPr>
          <w:rFonts w:ascii="Times New Roman" w:eastAsiaTheme="minorEastAsia" w:hAnsi="Times New Roman" w:hint="eastAsia"/>
          <w:bCs/>
        </w:rPr>
        <w:t>2022</w:t>
      </w:r>
      <w:r>
        <w:rPr>
          <w:rFonts w:ascii="Times New Roman" w:eastAsiaTheme="minorEastAsia" w:hAnsi="Times New Roman" w:hint="eastAsia"/>
          <w:bCs/>
        </w:rPr>
        <w:t>年第</w:t>
      </w:r>
      <w:r>
        <w:rPr>
          <w:rFonts w:ascii="Times New Roman" w:eastAsiaTheme="minorEastAsia" w:hAnsi="Times New Roman" w:hint="eastAsia"/>
          <w:bCs/>
        </w:rPr>
        <w:t>1</w:t>
      </w:r>
      <w:r>
        <w:rPr>
          <w:rFonts w:ascii="Times New Roman" w:eastAsiaTheme="minorEastAsia" w:hAnsi="Times New Roman" w:hint="eastAsia"/>
          <w:bCs/>
        </w:rPr>
        <w:t>号）规定，重大关联交易指银行机构与单个关联方之间单笔交易金额达到银行机构上季末资本净额</w:t>
      </w:r>
      <w:r>
        <w:rPr>
          <w:rFonts w:ascii="Times New Roman" w:eastAsiaTheme="minorEastAsia" w:hAnsi="Times New Roman" w:hint="eastAsia"/>
          <w:bCs/>
        </w:rPr>
        <w:t>1%</w:t>
      </w:r>
      <w:r>
        <w:rPr>
          <w:rFonts w:ascii="Times New Roman" w:eastAsiaTheme="minorEastAsia" w:hAnsi="Times New Roman" w:hint="eastAsia"/>
          <w:bCs/>
        </w:rPr>
        <w:t>以上，或累计达到银行机构上季末资本净额</w:t>
      </w:r>
      <w:r>
        <w:rPr>
          <w:rFonts w:ascii="Times New Roman" w:eastAsiaTheme="minorEastAsia" w:hAnsi="Times New Roman" w:hint="eastAsia"/>
          <w:bCs/>
        </w:rPr>
        <w:t>5%</w:t>
      </w:r>
      <w:r>
        <w:rPr>
          <w:rFonts w:ascii="Times New Roman" w:eastAsiaTheme="minorEastAsia" w:hAnsi="Times New Roman" w:hint="eastAsia"/>
          <w:bCs/>
        </w:rPr>
        <w:t>以上的交易（银行机构与单个关联方的交易金额累计达到前款标准后，其后发生的关联交易，每累计达到上季末资本净额</w:t>
      </w:r>
      <w:r>
        <w:rPr>
          <w:rFonts w:ascii="Times New Roman" w:eastAsiaTheme="minorEastAsia" w:hAnsi="Times New Roman" w:hint="eastAsia"/>
          <w:bCs/>
        </w:rPr>
        <w:t>1%</w:t>
      </w:r>
      <w:r>
        <w:rPr>
          <w:rFonts w:ascii="Times New Roman" w:eastAsiaTheme="minorEastAsia" w:hAnsi="Times New Roman" w:hint="eastAsia"/>
          <w:bCs/>
        </w:rPr>
        <w:t>以上，则应当重新认定为重大关联交易）。</w:t>
      </w:r>
    </w:p>
    <w:p w:rsidR="00AD5BB5" w:rsidRDefault="00F87FF6">
      <w:pPr>
        <w:spacing w:line="360" w:lineRule="auto"/>
        <w:ind w:firstLineChars="200" w:firstLine="420"/>
        <w:rPr>
          <w:rFonts w:ascii="Times New Roman" w:eastAsiaTheme="minorEastAsia" w:hAnsi="Times New Roman"/>
          <w:b/>
        </w:rPr>
      </w:pPr>
      <w:r>
        <w:rPr>
          <w:rFonts w:ascii="Times New Roman" w:eastAsiaTheme="minorEastAsia" w:hAnsi="Times New Roman" w:hint="eastAsia"/>
          <w:bCs/>
        </w:rPr>
        <w:t>截至报告期末，与符合前述关联</w:t>
      </w:r>
      <w:proofErr w:type="gramStart"/>
      <w:r>
        <w:rPr>
          <w:rFonts w:ascii="Times New Roman" w:eastAsiaTheme="minorEastAsia" w:hAnsi="Times New Roman" w:hint="eastAsia"/>
          <w:bCs/>
        </w:rPr>
        <w:t>方条件</w:t>
      </w:r>
      <w:proofErr w:type="gramEnd"/>
      <w:r>
        <w:rPr>
          <w:rFonts w:ascii="Times New Roman" w:eastAsiaTheme="minorEastAsia" w:hAnsi="Times New Roman" w:hint="eastAsia"/>
          <w:bCs/>
        </w:rPr>
        <w:t>的关联方之间符合上述重大关联交易条件的重大授</w:t>
      </w:r>
      <w:proofErr w:type="gramStart"/>
      <w:r>
        <w:rPr>
          <w:rFonts w:ascii="Times New Roman" w:eastAsiaTheme="minorEastAsia" w:hAnsi="Times New Roman" w:hint="eastAsia"/>
          <w:bCs/>
        </w:rPr>
        <w:t>信交易</w:t>
      </w:r>
      <w:proofErr w:type="gramEnd"/>
      <w:r>
        <w:rPr>
          <w:rFonts w:ascii="Times New Roman" w:eastAsiaTheme="minorEastAsia" w:hAnsi="Times New Roman" w:hint="eastAsia"/>
          <w:bCs/>
        </w:rPr>
        <w:t>如下</w:t>
      </w:r>
      <w:r>
        <w:rPr>
          <w:rFonts w:ascii="Times New Roman" w:eastAsiaTheme="minorEastAsia" w:hAnsi="Times New Roman" w:hint="eastAsia"/>
          <w:b/>
        </w:rPr>
        <w:t>：</w:t>
      </w:r>
    </w:p>
    <w:tbl>
      <w:tblPr>
        <w:tblW w:w="5010" w:type="pct"/>
        <w:tblCellMar>
          <w:left w:w="0" w:type="dxa"/>
          <w:right w:w="0" w:type="dxa"/>
        </w:tblCellMar>
        <w:tblLook w:val="04A0" w:firstRow="1" w:lastRow="0" w:firstColumn="1" w:lastColumn="0" w:noHBand="0" w:noVBand="1"/>
      </w:tblPr>
      <w:tblGrid>
        <w:gridCol w:w="766"/>
        <w:gridCol w:w="2845"/>
        <w:gridCol w:w="4709"/>
      </w:tblGrid>
      <w:tr w:rsidR="00AD5BB5">
        <w:trPr>
          <w:trHeight w:val="411"/>
        </w:trPr>
        <w:tc>
          <w:tcPr>
            <w:tcW w:w="460" w:type="pct"/>
            <w:tcBorders>
              <w:top w:val="single" w:sz="4" w:space="0" w:color="000000"/>
              <w:left w:val="single" w:sz="4" w:space="0" w:color="000000"/>
              <w:right w:val="single" w:sz="4" w:space="0" w:color="000000"/>
            </w:tcBorders>
            <w:tcMar>
              <w:top w:w="15" w:type="dxa"/>
              <w:left w:w="15" w:type="dxa"/>
              <w:right w:w="15" w:type="dxa"/>
            </w:tcMar>
            <w:vAlign w:val="center"/>
          </w:tcPr>
          <w:p w:rsidR="00AD5BB5" w:rsidRDefault="00F87FF6">
            <w:pPr>
              <w:widowControl/>
              <w:jc w:val="center"/>
              <w:textAlignment w:val="center"/>
              <w:rPr>
                <w:rFonts w:ascii="宋体" w:hAnsi="宋体" w:cs="宋体"/>
                <w:b/>
                <w:color w:val="000000"/>
              </w:rPr>
            </w:pPr>
            <w:r>
              <w:rPr>
                <w:rFonts w:ascii="宋体" w:hAnsi="宋体" w:cs="宋体" w:hint="eastAsia"/>
                <w:b/>
                <w:color w:val="000000"/>
                <w:kern w:val="0"/>
                <w:lang w:bidi="ar"/>
              </w:rPr>
              <w:t>序号</w:t>
            </w:r>
          </w:p>
        </w:tc>
        <w:tc>
          <w:tcPr>
            <w:tcW w:w="1709" w:type="pct"/>
            <w:tcBorders>
              <w:top w:val="single" w:sz="4" w:space="0" w:color="000000"/>
              <w:left w:val="single" w:sz="4" w:space="0" w:color="000000"/>
              <w:right w:val="single" w:sz="4" w:space="0" w:color="000000"/>
            </w:tcBorders>
            <w:tcMar>
              <w:top w:w="15" w:type="dxa"/>
              <w:left w:w="15" w:type="dxa"/>
              <w:right w:w="15" w:type="dxa"/>
            </w:tcMar>
            <w:vAlign w:val="center"/>
          </w:tcPr>
          <w:p w:rsidR="00AD5BB5" w:rsidRDefault="00F87FF6">
            <w:pPr>
              <w:widowControl/>
              <w:jc w:val="center"/>
              <w:textAlignment w:val="center"/>
              <w:rPr>
                <w:rFonts w:ascii="宋体" w:hAnsi="宋体" w:cs="宋体"/>
                <w:b/>
                <w:color w:val="000000"/>
              </w:rPr>
            </w:pPr>
            <w:r>
              <w:rPr>
                <w:rFonts w:ascii="宋体" w:hAnsi="宋体" w:cs="宋体" w:hint="eastAsia"/>
                <w:b/>
                <w:color w:val="000000"/>
                <w:kern w:val="0"/>
                <w:lang w:bidi="ar"/>
              </w:rPr>
              <w:t>关联方</w:t>
            </w:r>
          </w:p>
        </w:tc>
        <w:tc>
          <w:tcPr>
            <w:tcW w:w="282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D5BB5" w:rsidRDefault="00F87FF6">
            <w:pPr>
              <w:widowControl/>
              <w:jc w:val="center"/>
              <w:textAlignment w:val="center"/>
              <w:rPr>
                <w:rFonts w:ascii="宋体" w:hAnsi="宋体" w:cs="宋体"/>
                <w:b/>
                <w:color w:val="000000"/>
                <w:kern w:val="0"/>
                <w:lang w:bidi="ar"/>
              </w:rPr>
            </w:pPr>
            <w:r>
              <w:rPr>
                <w:rFonts w:ascii="宋体" w:hAnsi="宋体" w:cs="宋体" w:hint="eastAsia"/>
                <w:b/>
                <w:color w:val="000000"/>
                <w:kern w:val="0"/>
                <w:lang w:bidi="ar"/>
              </w:rPr>
              <w:t>重大关联交易授</w:t>
            </w:r>
            <w:proofErr w:type="gramStart"/>
            <w:r>
              <w:rPr>
                <w:rFonts w:ascii="宋体" w:hAnsi="宋体" w:cs="宋体" w:hint="eastAsia"/>
                <w:b/>
                <w:color w:val="000000"/>
                <w:kern w:val="0"/>
                <w:lang w:bidi="ar"/>
              </w:rPr>
              <w:t>信获批情况</w:t>
            </w:r>
            <w:proofErr w:type="gramEnd"/>
          </w:p>
        </w:tc>
      </w:tr>
      <w:tr w:rsidR="00AD5BB5">
        <w:trPr>
          <w:trHeight w:val="393"/>
        </w:trPr>
        <w:tc>
          <w:tcPr>
            <w:tcW w:w="460"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D5BB5" w:rsidRDefault="00F87FF6">
            <w:pPr>
              <w:widowControl/>
              <w:jc w:val="center"/>
              <w:textAlignment w:val="center"/>
              <w:rPr>
                <w:rFonts w:ascii="宋体" w:hAnsi="宋体" w:cs="宋体"/>
                <w:color w:val="000000"/>
              </w:rPr>
            </w:pPr>
            <w:r>
              <w:rPr>
                <w:rFonts w:ascii="宋体" w:hAnsi="宋体" w:cs="宋体" w:hint="eastAsia"/>
                <w:color w:val="000000"/>
              </w:rPr>
              <w:t>1</w:t>
            </w:r>
          </w:p>
        </w:tc>
        <w:tc>
          <w:tcPr>
            <w:tcW w:w="170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D5BB5" w:rsidRDefault="00F87FF6">
            <w:pPr>
              <w:widowControl/>
              <w:jc w:val="center"/>
              <w:textAlignment w:val="center"/>
              <w:rPr>
                <w:rFonts w:ascii="宋体" w:hAnsi="宋体" w:cs="宋体"/>
                <w:color w:val="000000"/>
              </w:rPr>
            </w:pPr>
            <w:r>
              <w:rPr>
                <w:rFonts w:ascii="宋体" w:hAnsi="宋体" w:cs="宋体" w:hint="eastAsia"/>
                <w:color w:val="000000"/>
                <w:kern w:val="0"/>
                <w:lang w:bidi="ar"/>
              </w:rPr>
              <w:t>福建海西金融租赁有限责任公司</w:t>
            </w:r>
          </w:p>
        </w:tc>
        <w:tc>
          <w:tcPr>
            <w:tcW w:w="2829" w:type="pc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AD5BB5" w:rsidRDefault="00F87FF6">
            <w:pPr>
              <w:widowControl/>
              <w:jc w:val="center"/>
              <w:textAlignment w:val="center"/>
              <w:rPr>
                <w:rFonts w:ascii="宋体" w:hAnsi="宋体" w:cs="宋体"/>
                <w:color w:val="000000"/>
                <w:kern w:val="0"/>
                <w:lang w:bidi="ar"/>
              </w:rPr>
            </w:pPr>
            <w:r>
              <w:rPr>
                <w:rFonts w:ascii="Times New Roman" w:eastAsiaTheme="minorEastAsia" w:hAnsi="Times New Roman" w:hint="eastAsia"/>
                <w:bCs/>
              </w:rPr>
              <w:t>综合授信额度敞口</w:t>
            </w:r>
            <w:r>
              <w:rPr>
                <w:rFonts w:ascii="Times New Roman" w:eastAsiaTheme="minorEastAsia" w:hAnsi="Times New Roman"/>
                <w:bCs/>
              </w:rPr>
              <w:t>20</w:t>
            </w:r>
            <w:r>
              <w:rPr>
                <w:rFonts w:ascii="Times New Roman" w:eastAsiaTheme="minorEastAsia" w:hAnsi="Times New Roman" w:hint="eastAsia"/>
                <w:bCs/>
              </w:rPr>
              <w:t>亿元（含投资额度敞口</w:t>
            </w:r>
            <w:r>
              <w:rPr>
                <w:rFonts w:ascii="Times New Roman" w:eastAsiaTheme="minorEastAsia" w:hAnsi="Times New Roman"/>
                <w:bCs/>
              </w:rPr>
              <w:t>20</w:t>
            </w:r>
            <w:r>
              <w:rPr>
                <w:rFonts w:ascii="Times New Roman" w:eastAsiaTheme="minorEastAsia" w:hAnsi="Times New Roman" w:hint="eastAsia"/>
                <w:bCs/>
              </w:rPr>
              <w:t>亿元，传统授信额度</w:t>
            </w:r>
            <w:r>
              <w:rPr>
                <w:rFonts w:ascii="Times New Roman" w:eastAsiaTheme="minorEastAsia" w:hAnsi="Times New Roman"/>
                <w:bCs/>
              </w:rPr>
              <w:t>3.5</w:t>
            </w:r>
            <w:r>
              <w:rPr>
                <w:rFonts w:ascii="Times New Roman" w:eastAsiaTheme="minorEastAsia" w:hAnsi="Times New Roman" w:hint="eastAsia"/>
                <w:bCs/>
              </w:rPr>
              <w:t>亿元）。</w:t>
            </w:r>
          </w:p>
        </w:tc>
      </w:tr>
    </w:tbl>
    <w:p w:rsidR="00AD5BB5" w:rsidRDefault="00AD5BB5">
      <w:pPr>
        <w:spacing w:line="360" w:lineRule="auto"/>
        <w:rPr>
          <w:rFonts w:ascii="Times New Roman" w:eastAsiaTheme="minorEastAsia" w:hAnsi="Times New Roman"/>
          <w:b/>
        </w:rPr>
      </w:pPr>
    </w:p>
    <w:p w:rsidR="00AD5BB5" w:rsidRDefault="00F87FF6">
      <w:pPr>
        <w:numPr>
          <w:ilvl w:val="0"/>
          <w:numId w:val="28"/>
        </w:numPr>
        <w:spacing w:line="360" w:lineRule="auto"/>
        <w:rPr>
          <w:rFonts w:ascii="Times New Roman" w:hAnsi="Times New Roman"/>
          <w:b/>
        </w:rPr>
      </w:pPr>
      <w:r>
        <w:rPr>
          <w:rFonts w:ascii="Times New Roman" w:hAnsi="Times New Roman"/>
          <w:b/>
        </w:rPr>
        <w:t>本公司与关联自然人发生关联交易的余额的说明</w:t>
      </w:r>
    </w:p>
    <w:p w:rsidR="00AD5BB5" w:rsidRDefault="00F87FF6">
      <w:pPr>
        <w:spacing w:line="360" w:lineRule="auto"/>
        <w:ind w:firstLineChars="200" w:firstLine="420"/>
        <w:rPr>
          <w:rFonts w:ascii="宋体" w:hAnsi="宋体" w:cs="宋体"/>
        </w:rPr>
      </w:pPr>
      <w:r>
        <w:rPr>
          <w:rFonts w:ascii="宋体" w:hAnsi="宋体" w:cs="宋体" w:hint="eastAsia"/>
        </w:rPr>
        <w:t>截至报告期末，本公司关联自然人贷款余额1.0243亿元，风险敞口为1.0243亿元。</w:t>
      </w:r>
    </w:p>
    <w:p w:rsidR="00AD5BB5" w:rsidRDefault="00F87FF6">
      <w:pPr>
        <w:rPr>
          <w:rFonts w:ascii="Times New Roman" w:hAnsi="Times New Roman"/>
          <w:b/>
        </w:rPr>
      </w:pPr>
      <w:r>
        <w:rPr>
          <w:rFonts w:ascii="Times New Roman" w:hAnsi="Times New Roman"/>
          <w:b/>
        </w:rPr>
        <w:t>（四）本公司其他关联交易情况详见财务报表附注</w:t>
      </w:r>
      <w:r>
        <w:rPr>
          <w:rFonts w:ascii="Times New Roman" w:hAnsi="Times New Roman"/>
          <w:b/>
        </w:rPr>
        <w:t>“</w:t>
      </w:r>
      <w:r>
        <w:rPr>
          <w:rFonts w:ascii="Times New Roman" w:hAnsi="Times New Roman"/>
          <w:b/>
        </w:rPr>
        <w:t>关联方关系及其交易</w:t>
      </w:r>
      <w:r>
        <w:rPr>
          <w:rFonts w:ascii="Times New Roman" w:hAnsi="Times New Roman"/>
          <w:b/>
        </w:rPr>
        <w:t>”</w:t>
      </w:r>
      <w:r>
        <w:rPr>
          <w:rFonts w:ascii="Times New Roman" w:hAnsi="Times New Roman"/>
          <w:b/>
        </w:rPr>
        <w:t>。</w:t>
      </w:r>
    </w:p>
    <w:p w:rsidR="00AD5BB5" w:rsidRDefault="00AD5BB5"/>
    <w:p w:rsidR="00AD5BB5" w:rsidRDefault="00F87FF6">
      <w:pPr>
        <w:pStyle w:val="2"/>
        <w:spacing w:line="360" w:lineRule="auto"/>
        <w:rPr>
          <w:color w:val="FF0000"/>
        </w:rPr>
      </w:pPr>
      <w:r>
        <w:rPr>
          <w:rFonts w:hint="eastAsia"/>
        </w:rPr>
        <w:t>九、重大合同及其履行情况</w:t>
      </w:r>
    </w:p>
    <w:p w:rsidR="00AD5BB5" w:rsidRDefault="00F87FF6">
      <w:pPr>
        <w:pStyle w:val="3"/>
        <w:spacing w:line="360" w:lineRule="auto"/>
        <w:rPr>
          <w:color w:val="FF0000"/>
        </w:rPr>
      </w:pPr>
      <w:bookmarkStart w:id="38" w:name="_Toc409437607"/>
      <w:bookmarkStart w:id="39" w:name="_Toc68005713"/>
      <w:r>
        <w:rPr>
          <w:rFonts w:hint="eastAsia"/>
        </w:rPr>
        <w:t>（一）托管、承包、租赁事项</w:t>
      </w:r>
    </w:p>
    <w:p w:rsidR="00AD5BB5" w:rsidRDefault="00F87FF6">
      <w:pPr>
        <w:spacing w:line="360" w:lineRule="auto"/>
        <w:ind w:firstLineChars="200" w:firstLine="420"/>
        <w:rPr>
          <w:rFonts w:ascii="Times New Roman" w:hAnsi="Times New Roman"/>
        </w:rPr>
      </w:pPr>
      <w:r>
        <w:rPr>
          <w:rFonts w:ascii="Times New Roman" w:hAnsi="Times New Roman"/>
        </w:rPr>
        <w:t>报告期内，本公司未发生重大托管、承包、租赁事项。</w:t>
      </w:r>
    </w:p>
    <w:p w:rsidR="00AD5BB5" w:rsidRDefault="00F87FF6">
      <w:pPr>
        <w:pStyle w:val="3"/>
        <w:spacing w:line="360" w:lineRule="auto"/>
        <w:rPr>
          <w:color w:val="FF0000"/>
        </w:rPr>
      </w:pPr>
      <w:bookmarkStart w:id="40" w:name="_Toc342565974"/>
      <w:bookmarkStart w:id="41" w:name="_Toc342491982"/>
      <w:bookmarkStart w:id="42" w:name="OLE_LINK3"/>
      <w:bookmarkStart w:id="43" w:name="OLE_LINK2"/>
      <w:r>
        <w:rPr>
          <w:rFonts w:hint="eastAsia"/>
        </w:rPr>
        <w:t>（二）担保情况</w:t>
      </w:r>
      <w:bookmarkEnd w:id="40"/>
      <w:bookmarkEnd w:id="41"/>
    </w:p>
    <w:p w:rsidR="00AD5BB5" w:rsidRDefault="00F87FF6">
      <w:pPr>
        <w:spacing w:line="360" w:lineRule="auto"/>
      </w:pPr>
      <w:r>
        <w:rPr>
          <w:rFonts w:hint="eastAsia"/>
        </w:rPr>
        <w:t xml:space="preserve">    </w:t>
      </w:r>
      <w:r>
        <w:rPr>
          <w:rFonts w:hint="eastAsia"/>
        </w:rPr>
        <w:t>报告期内，本公司除国家金融监督管理总局批准的经营范围内的担保业务外，不存在其他重大担保事项。</w:t>
      </w:r>
    </w:p>
    <w:bookmarkEnd w:id="42"/>
    <w:bookmarkEnd w:id="43"/>
    <w:p w:rsidR="00AD5BB5" w:rsidRDefault="00F87FF6">
      <w:pPr>
        <w:pStyle w:val="3"/>
        <w:spacing w:line="360" w:lineRule="auto"/>
      </w:pPr>
      <w:r>
        <w:rPr>
          <w:rFonts w:hint="eastAsia"/>
        </w:rPr>
        <w:t>（三）其他重大合同</w:t>
      </w:r>
    </w:p>
    <w:p w:rsidR="00AD5BB5" w:rsidRDefault="00F87FF6">
      <w:pPr>
        <w:spacing w:line="360" w:lineRule="auto"/>
        <w:ind w:firstLineChars="200" w:firstLine="420"/>
        <w:rPr>
          <w:rFonts w:ascii="Times New Roman" w:hAnsi="Times New Roman"/>
          <w:color w:val="FF0000"/>
        </w:rPr>
      </w:pPr>
      <w:r>
        <w:rPr>
          <w:rFonts w:hint="eastAsia"/>
        </w:rPr>
        <w:t>报告期内，本公司不存在为公司带来的损益额达到公司</w:t>
      </w:r>
      <w:r>
        <w:rPr>
          <w:rFonts w:ascii="Times New Roman" w:hAnsi="Times New Roman" w:cs="Times New Roman" w:hint="eastAsia"/>
        </w:rPr>
        <w:t>利润总额</w:t>
      </w:r>
      <w:r>
        <w:rPr>
          <w:rFonts w:ascii="Times New Roman" w:hAnsi="Times New Roman" w:cs="Times New Roman"/>
        </w:rPr>
        <w:t>10%</w:t>
      </w:r>
      <w:r>
        <w:rPr>
          <w:rFonts w:ascii="Times New Roman" w:hAnsi="Times New Roman" w:cs="Times New Roman" w:hint="eastAsia"/>
        </w:rPr>
        <w:t>以上的合同。</w:t>
      </w:r>
    </w:p>
    <w:p w:rsidR="00AD5BB5" w:rsidRDefault="00AD5BB5"/>
    <w:p w:rsidR="00AD5BB5" w:rsidRDefault="00F87FF6">
      <w:pPr>
        <w:pStyle w:val="2"/>
        <w:spacing w:line="360" w:lineRule="auto"/>
        <w:rPr>
          <w:rFonts w:ascii="Calibri" w:hAnsi="Calibri"/>
        </w:rPr>
      </w:pPr>
      <w:r>
        <w:rPr>
          <w:rFonts w:ascii="Calibri" w:hAnsi="Calibri" w:hint="eastAsia"/>
        </w:rPr>
        <w:lastRenderedPageBreak/>
        <w:t>十、其他重大事项的说明</w:t>
      </w:r>
    </w:p>
    <w:p w:rsidR="00AD5BB5" w:rsidRDefault="00F87FF6">
      <w:pPr>
        <w:widowControl/>
        <w:spacing w:line="360" w:lineRule="auto"/>
        <w:ind w:firstLine="440"/>
        <w:rPr>
          <w:rFonts w:ascii="Times New Roman" w:hAnsi="Times New Roman" w:cs="Times New Roman"/>
        </w:rPr>
      </w:pPr>
      <w:bookmarkStart w:id="44" w:name="_Toc79665923"/>
      <w:r>
        <w:rPr>
          <w:rFonts w:ascii="Times New Roman" w:hAnsi="Times New Roman" w:cs="Times New Roman"/>
        </w:rPr>
        <w:t>1.</w:t>
      </w:r>
      <w:r>
        <w:rPr>
          <w:rFonts w:ascii="Times New Roman" w:hAnsi="Times New Roman" w:cs="Times New Roman" w:hint="eastAsia"/>
        </w:rPr>
        <w:t>经公司于</w:t>
      </w:r>
      <w:r>
        <w:rPr>
          <w:rFonts w:ascii="Times New Roman" w:hAnsi="Times New Roman" w:cs="Times New Roman"/>
        </w:rPr>
        <w:t>2022</w:t>
      </w:r>
      <w:r>
        <w:rPr>
          <w:rFonts w:ascii="Times New Roman" w:hAnsi="Times New Roman" w:cs="Times New Roman" w:hint="eastAsia"/>
        </w:rPr>
        <w:t>年</w:t>
      </w:r>
      <w:r>
        <w:rPr>
          <w:rFonts w:ascii="Times New Roman" w:hAnsi="Times New Roman" w:cs="Times New Roman"/>
        </w:rPr>
        <w:t>5</w:t>
      </w:r>
      <w:r>
        <w:rPr>
          <w:rFonts w:ascii="Times New Roman" w:hAnsi="Times New Roman" w:cs="Times New Roman" w:hint="eastAsia"/>
        </w:rPr>
        <w:t>月</w:t>
      </w:r>
      <w:r>
        <w:rPr>
          <w:rFonts w:ascii="Times New Roman" w:hAnsi="Times New Roman" w:cs="Times New Roman"/>
        </w:rPr>
        <w:t>11</w:t>
      </w:r>
      <w:r>
        <w:rPr>
          <w:rFonts w:ascii="Times New Roman" w:hAnsi="Times New Roman" w:cs="Times New Roman" w:hint="eastAsia"/>
        </w:rPr>
        <w:t>日召开的第八届董事会第十九次会议审议通过，并经公司于</w:t>
      </w:r>
      <w:r>
        <w:rPr>
          <w:rFonts w:ascii="Times New Roman" w:hAnsi="Times New Roman" w:cs="Times New Roman"/>
        </w:rPr>
        <w:t>2022</w:t>
      </w:r>
      <w:r>
        <w:rPr>
          <w:rFonts w:ascii="Times New Roman" w:hAnsi="Times New Roman" w:cs="Times New Roman" w:hint="eastAsia"/>
        </w:rPr>
        <w:t>年</w:t>
      </w:r>
      <w:r>
        <w:rPr>
          <w:rFonts w:ascii="Times New Roman" w:hAnsi="Times New Roman" w:cs="Times New Roman"/>
        </w:rPr>
        <w:t>6</w:t>
      </w:r>
      <w:r>
        <w:rPr>
          <w:rFonts w:ascii="Times New Roman" w:hAnsi="Times New Roman" w:cs="Times New Roman" w:hint="eastAsia"/>
        </w:rPr>
        <w:t>月</w:t>
      </w:r>
      <w:r>
        <w:rPr>
          <w:rFonts w:ascii="Times New Roman" w:hAnsi="Times New Roman" w:cs="Times New Roman"/>
        </w:rPr>
        <w:t>2</w:t>
      </w:r>
      <w:r>
        <w:rPr>
          <w:rFonts w:ascii="Times New Roman" w:hAnsi="Times New Roman" w:cs="Times New Roman" w:hint="eastAsia"/>
        </w:rPr>
        <w:t>日召开的</w:t>
      </w:r>
      <w:r>
        <w:rPr>
          <w:rFonts w:ascii="Times New Roman" w:hAnsi="Times New Roman" w:cs="Times New Roman"/>
        </w:rPr>
        <w:t>2021</w:t>
      </w:r>
      <w:r>
        <w:rPr>
          <w:rFonts w:ascii="Times New Roman" w:hAnsi="Times New Roman" w:cs="Times New Roman" w:hint="eastAsia"/>
        </w:rPr>
        <w:t>年度股东大会审议通过，公司拟公开发行总额不超过人民币</w:t>
      </w:r>
      <w:r>
        <w:rPr>
          <w:rFonts w:ascii="Times New Roman" w:hAnsi="Times New Roman" w:cs="Times New Roman"/>
        </w:rPr>
        <w:t>50</w:t>
      </w:r>
      <w:r>
        <w:rPr>
          <w:rFonts w:ascii="Times New Roman" w:hAnsi="Times New Roman" w:cs="Times New Roman" w:hint="eastAsia"/>
        </w:rPr>
        <w:t>亿元（含</w:t>
      </w:r>
      <w:r>
        <w:rPr>
          <w:rFonts w:ascii="Times New Roman" w:hAnsi="Times New Roman" w:cs="Times New Roman"/>
        </w:rPr>
        <w:t>50</w:t>
      </w:r>
      <w:r>
        <w:rPr>
          <w:rFonts w:ascii="Times New Roman" w:hAnsi="Times New Roman" w:cs="Times New Roman" w:hint="eastAsia"/>
        </w:rPr>
        <w:t>亿元）的</w:t>
      </w:r>
      <w:r>
        <w:rPr>
          <w:rFonts w:ascii="Times New Roman" w:hAnsi="Times New Roman" w:cs="Times New Roman"/>
        </w:rPr>
        <w:t>A</w:t>
      </w:r>
      <w:r>
        <w:rPr>
          <w:rFonts w:ascii="Times New Roman" w:hAnsi="Times New Roman" w:cs="Times New Roman" w:hint="eastAsia"/>
        </w:rPr>
        <w:t>股可转换公司债</w:t>
      </w:r>
      <w:proofErr w:type="gramStart"/>
      <w:r>
        <w:rPr>
          <w:rFonts w:ascii="Times New Roman" w:hAnsi="Times New Roman" w:cs="Times New Roman" w:hint="eastAsia"/>
        </w:rPr>
        <w:t>券</w:t>
      </w:r>
      <w:proofErr w:type="gramEnd"/>
      <w:r>
        <w:rPr>
          <w:rFonts w:ascii="Times New Roman" w:hAnsi="Times New Roman" w:cs="Times New Roman" w:hint="eastAsia"/>
        </w:rPr>
        <w:t>。</w:t>
      </w:r>
      <w:r>
        <w:rPr>
          <w:rFonts w:ascii="Times New Roman" w:hAnsi="Times New Roman" w:cs="Times New Roman"/>
        </w:rPr>
        <w:t>2022</w:t>
      </w:r>
      <w:r>
        <w:rPr>
          <w:rFonts w:ascii="Times New Roman" w:hAnsi="Times New Roman" w:cs="Times New Roman" w:hint="eastAsia"/>
        </w:rPr>
        <w:t>年</w:t>
      </w:r>
      <w:r>
        <w:rPr>
          <w:rFonts w:ascii="Times New Roman" w:hAnsi="Times New Roman" w:cs="Times New Roman"/>
        </w:rPr>
        <w:t>8</w:t>
      </w:r>
      <w:r>
        <w:rPr>
          <w:rFonts w:ascii="Times New Roman" w:hAnsi="Times New Roman" w:cs="Times New Roman" w:hint="eastAsia"/>
        </w:rPr>
        <w:t>月，公司收到《中国银保监会厦门监管局关于厦门银行股份有限公司公开发行</w:t>
      </w:r>
      <w:r>
        <w:rPr>
          <w:rFonts w:ascii="Times New Roman" w:hAnsi="Times New Roman" w:cs="Times New Roman"/>
        </w:rPr>
        <w:t>A</w:t>
      </w:r>
      <w:r>
        <w:rPr>
          <w:rFonts w:ascii="Times New Roman" w:hAnsi="Times New Roman" w:cs="Times New Roman" w:hint="eastAsia"/>
        </w:rPr>
        <w:t>股可转换公司债券的批复》（</w:t>
      </w:r>
      <w:proofErr w:type="gramStart"/>
      <w:r>
        <w:rPr>
          <w:rFonts w:ascii="Times New Roman" w:hAnsi="Times New Roman" w:cs="Times New Roman" w:hint="eastAsia"/>
        </w:rPr>
        <w:t>厦银保监复</w:t>
      </w:r>
      <w:proofErr w:type="gramEnd"/>
      <w:r>
        <w:rPr>
          <w:rFonts w:ascii="Times New Roman" w:hAnsi="Times New Roman" w:cs="Times New Roman" w:hint="eastAsia"/>
        </w:rPr>
        <w:t>〔</w:t>
      </w:r>
      <w:r>
        <w:rPr>
          <w:rFonts w:ascii="Times New Roman" w:hAnsi="Times New Roman" w:cs="Times New Roman"/>
        </w:rPr>
        <w:t>2022</w:t>
      </w:r>
      <w:r>
        <w:rPr>
          <w:rFonts w:ascii="Times New Roman" w:hAnsi="Times New Roman" w:cs="Times New Roman" w:hint="eastAsia"/>
        </w:rPr>
        <w:t>〕</w:t>
      </w:r>
      <w:r>
        <w:rPr>
          <w:rFonts w:ascii="Times New Roman" w:hAnsi="Times New Roman" w:cs="Times New Roman"/>
        </w:rPr>
        <w:t>144</w:t>
      </w:r>
      <w:r>
        <w:rPr>
          <w:rFonts w:ascii="Times New Roman" w:hAnsi="Times New Roman" w:cs="Times New Roman" w:hint="eastAsia"/>
        </w:rPr>
        <w:t>号），厦门银保监局同意公司公开发行总额不超过人民币</w:t>
      </w:r>
      <w:r>
        <w:rPr>
          <w:rFonts w:ascii="Times New Roman" w:hAnsi="Times New Roman" w:cs="Times New Roman"/>
        </w:rPr>
        <w:t>50</w:t>
      </w:r>
      <w:r>
        <w:rPr>
          <w:rFonts w:ascii="Times New Roman" w:hAnsi="Times New Roman" w:cs="Times New Roman" w:hint="eastAsia"/>
        </w:rPr>
        <w:t>亿元（含</w:t>
      </w:r>
      <w:r>
        <w:rPr>
          <w:rFonts w:ascii="Times New Roman" w:hAnsi="Times New Roman" w:cs="Times New Roman"/>
        </w:rPr>
        <w:t>50</w:t>
      </w:r>
      <w:r>
        <w:rPr>
          <w:rFonts w:ascii="Times New Roman" w:hAnsi="Times New Roman" w:cs="Times New Roman" w:hint="eastAsia"/>
        </w:rPr>
        <w:t>亿元）的</w:t>
      </w:r>
      <w:r>
        <w:rPr>
          <w:rFonts w:ascii="Times New Roman" w:hAnsi="Times New Roman" w:cs="Times New Roman"/>
        </w:rPr>
        <w:t>A</w:t>
      </w:r>
      <w:r>
        <w:rPr>
          <w:rFonts w:ascii="Times New Roman" w:hAnsi="Times New Roman" w:cs="Times New Roman" w:hint="eastAsia"/>
        </w:rPr>
        <w:t>股可转换公司债</w:t>
      </w:r>
      <w:proofErr w:type="gramStart"/>
      <w:r>
        <w:rPr>
          <w:rFonts w:ascii="Times New Roman" w:hAnsi="Times New Roman" w:cs="Times New Roman" w:hint="eastAsia"/>
        </w:rPr>
        <w:t>券</w:t>
      </w:r>
      <w:proofErr w:type="gramEnd"/>
      <w:r>
        <w:rPr>
          <w:rFonts w:ascii="Times New Roman" w:hAnsi="Times New Roman" w:cs="Times New Roman" w:hint="eastAsia"/>
        </w:rPr>
        <w:t>，在转股后按照相关监管要求计入核心一级资本。</w:t>
      </w:r>
      <w:r>
        <w:rPr>
          <w:rFonts w:ascii="Times New Roman" w:hAnsi="Times New Roman" w:cs="Times New Roman"/>
        </w:rPr>
        <w:t>2022</w:t>
      </w:r>
      <w:r>
        <w:rPr>
          <w:rFonts w:ascii="Times New Roman" w:hAnsi="Times New Roman" w:cs="Times New Roman" w:hint="eastAsia"/>
        </w:rPr>
        <w:t>年</w:t>
      </w:r>
      <w:r>
        <w:rPr>
          <w:rFonts w:ascii="Times New Roman" w:hAnsi="Times New Roman" w:cs="Times New Roman"/>
        </w:rPr>
        <w:t>9</w:t>
      </w:r>
      <w:r>
        <w:rPr>
          <w:rFonts w:ascii="Times New Roman" w:hAnsi="Times New Roman" w:cs="Times New Roman" w:hint="eastAsia"/>
        </w:rPr>
        <w:t>月，公司收到中国证监会出具的《中国证监会行政许可申请受理单》（受理序号：</w:t>
      </w:r>
      <w:r>
        <w:rPr>
          <w:rFonts w:ascii="Times New Roman" w:hAnsi="Times New Roman" w:cs="Times New Roman"/>
        </w:rPr>
        <w:t>222294</w:t>
      </w:r>
      <w:r>
        <w:rPr>
          <w:rFonts w:ascii="Times New Roman" w:hAnsi="Times New Roman" w:cs="Times New Roman" w:hint="eastAsia"/>
        </w:rPr>
        <w:t>），中国证监会依法对公司提交的公开发行</w:t>
      </w:r>
      <w:r>
        <w:rPr>
          <w:rFonts w:ascii="Times New Roman" w:hAnsi="Times New Roman" w:cs="Times New Roman"/>
        </w:rPr>
        <w:t>A</w:t>
      </w:r>
      <w:r>
        <w:rPr>
          <w:rFonts w:ascii="Times New Roman" w:hAnsi="Times New Roman" w:cs="Times New Roman" w:hint="eastAsia"/>
        </w:rPr>
        <w:t>股可转换公司债</w:t>
      </w:r>
      <w:proofErr w:type="gramStart"/>
      <w:r>
        <w:rPr>
          <w:rFonts w:ascii="Times New Roman" w:hAnsi="Times New Roman" w:cs="Times New Roman" w:hint="eastAsia"/>
        </w:rPr>
        <w:t>券</w:t>
      </w:r>
      <w:proofErr w:type="gramEnd"/>
      <w:r>
        <w:rPr>
          <w:rFonts w:ascii="Times New Roman" w:hAnsi="Times New Roman" w:cs="Times New Roman" w:hint="eastAsia"/>
        </w:rPr>
        <w:t>申请材料进行了审查，认为该申请材料齐全，决定对该行政许可申请予以受理。</w:t>
      </w:r>
      <w:r>
        <w:rPr>
          <w:rFonts w:ascii="Times New Roman" w:hAnsi="Times New Roman" w:cs="Times New Roman"/>
        </w:rPr>
        <w:t>2023</w:t>
      </w:r>
      <w:r>
        <w:rPr>
          <w:rFonts w:ascii="Times New Roman" w:hAnsi="Times New Roman" w:cs="Times New Roman" w:hint="eastAsia"/>
        </w:rPr>
        <w:t>年</w:t>
      </w:r>
      <w:r>
        <w:rPr>
          <w:rFonts w:ascii="Times New Roman" w:hAnsi="Times New Roman" w:cs="Times New Roman"/>
        </w:rPr>
        <w:t>3</w:t>
      </w:r>
      <w:r>
        <w:rPr>
          <w:rFonts w:ascii="Times New Roman" w:hAnsi="Times New Roman" w:cs="Times New Roman" w:hint="eastAsia"/>
        </w:rPr>
        <w:t>月，公司收到上海证券交易所出具的《关于受理厦门银行股份有限公司沪市主板上市公司发行证券申请的通知》（上证上审（再融资）〔</w:t>
      </w:r>
      <w:r>
        <w:rPr>
          <w:rFonts w:ascii="Times New Roman" w:hAnsi="Times New Roman" w:cs="Times New Roman"/>
        </w:rPr>
        <w:t>2023</w:t>
      </w:r>
      <w:r>
        <w:rPr>
          <w:rFonts w:ascii="Times New Roman" w:hAnsi="Times New Roman" w:cs="Times New Roman" w:hint="eastAsia"/>
        </w:rPr>
        <w:t>〕</w:t>
      </w:r>
      <w:r>
        <w:rPr>
          <w:rFonts w:ascii="Times New Roman" w:hAnsi="Times New Roman" w:cs="Times New Roman"/>
        </w:rPr>
        <w:t>42</w:t>
      </w:r>
      <w:r>
        <w:rPr>
          <w:rFonts w:ascii="Times New Roman" w:hAnsi="Times New Roman" w:cs="Times New Roman" w:hint="eastAsia"/>
        </w:rPr>
        <w:t>号），上交所依据相关规定对公司报送的沪市主板上市公司发行证券的募集说明书及相关申请文件进行了核对，认为申请文件齐备，符合法定形式，决定予以受理并依法进行审核。相关信息请查阅公司分别于</w:t>
      </w:r>
      <w:r>
        <w:rPr>
          <w:rFonts w:ascii="Times New Roman" w:hAnsi="Times New Roman" w:cs="Times New Roman"/>
        </w:rPr>
        <w:t>2022</w:t>
      </w:r>
      <w:r>
        <w:rPr>
          <w:rFonts w:ascii="Times New Roman" w:hAnsi="Times New Roman" w:cs="Times New Roman" w:hint="eastAsia"/>
        </w:rPr>
        <w:t>年</w:t>
      </w:r>
      <w:r>
        <w:rPr>
          <w:rFonts w:ascii="Times New Roman" w:hAnsi="Times New Roman" w:cs="Times New Roman"/>
        </w:rPr>
        <w:t>5</w:t>
      </w:r>
      <w:r>
        <w:rPr>
          <w:rFonts w:ascii="Times New Roman" w:hAnsi="Times New Roman" w:cs="Times New Roman" w:hint="eastAsia"/>
        </w:rPr>
        <w:t>月</w:t>
      </w:r>
      <w:r>
        <w:rPr>
          <w:rFonts w:ascii="Times New Roman" w:hAnsi="Times New Roman" w:cs="Times New Roman"/>
        </w:rPr>
        <w:t>12</w:t>
      </w:r>
      <w:r>
        <w:rPr>
          <w:rFonts w:ascii="Times New Roman" w:hAnsi="Times New Roman" w:cs="Times New Roman" w:hint="eastAsia"/>
        </w:rPr>
        <w:t>日、</w:t>
      </w:r>
      <w:r>
        <w:rPr>
          <w:rFonts w:ascii="Times New Roman" w:hAnsi="Times New Roman" w:cs="Times New Roman"/>
        </w:rPr>
        <w:t>8</w:t>
      </w:r>
      <w:r>
        <w:rPr>
          <w:rFonts w:ascii="Times New Roman" w:hAnsi="Times New Roman" w:cs="Times New Roman" w:hint="eastAsia"/>
        </w:rPr>
        <w:t>月</w:t>
      </w:r>
      <w:r>
        <w:rPr>
          <w:rFonts w:ascii="Times New Roman" w:hAnsi="Times New Roman" w:cs="Times New Roman"/>
        </w:rPr>
        <w:t>23</w:t>
      </w:r>
      <w:r>
        <w:rPr>
          <w:rFonts w:ascii="Times New Roman" w:hAnsi="Times New Roman" w:cs="Times New Roman" w:hint="eastAsia"/>
        </w:rPr>
        <w:t>日、</w:t>
      </w:r>
      <w:r>
        <w:rPr>
          <w:rFonts w:ascii="Times New Roman" w:hAnsi="Times New Roman" w:cs="Times New Roman"/>
        </w:rPr>
        <w:t>9</w:t>
      </w:r>
      <w:r>
        <w:rPr>
          <w:rFonts w:ascii="Times New Roman" w:hAnsi="Times New Roman" w:cs="Times New Roman" w:hint="eastAsia"/>
        </w:rPr>
        <w:t>月</w:t>
      </w:r>
      <w:r>
        <w:rPr>
          <w:rFonts w:ascii="Times New Roman" w:hAnsi="Times New Roman" w:cs="Times New Roman"/>
        </w:rPr>
        <w:t>28</w:t>
      </w:r>
      <w:r>
        <w:rPr>
          <w:rFonts w:ascii="Times New Roman" w:hAnsi="Times New Roman" w:cs="Times New Roman" w:hint="eastAsia"/>
        </w:rPr>
        <w:t>日、</w:t>
      </w:r>
      <w:r>
        <w:rPr>
          <w:rFonts w:ascii="Times New Roman" w:hAnsi="Times New Roman" w:cs="Times New Roman"/>
        </w:rPr>
        <w:t>2023</w:t>
      </w:r>
      <w:r>
        <w:rPr>
          <w:rFonts w:ascii="Times New Roman" w:hAnsi="Times New Roman" w:cs="Times New Roman" w:hint="eastAsia"/>
        </w:rPr>
        <w:t>年</w:t>
      </w:r>
      <w:r>
        <w:rPr>
          <w:rFonts w:ascii="Times New Roman" w:hAnsi="Times New Roman" w:cs="Times New Roman"/>
        </w:rPr>
        <w:t>3</w:t>
      </w:r>
      <w:r>
        <w:rPr>
          <w:rFonts w:ascii="Times New Roman" w:hAnsi="Times New Roman" w:cs="Times New Roman" w:hint="eastAsia"/>
        </w:rPr>
        <w:t>月</w:t>
      </w:r>
      <w:r>
        <w:rPr>
          <w:rFonts w:ascii="Times New Roman" w:hAnsi="Times New Roman" w:cs="Times New Roman"/>
        </w:rPr>
        <w:t>3</w:t>
      </w:r>
      <w:r>
        <w:rPr>
          <w:rFonts w:ascii="Times New Roman" w:hAnsi="Times New Roman" w:cs="Times New Roman" w:hint="eastAsia"/>
        </w:rPr>
        <w:t>日于上海证券交易所网站（</w:t>
      </w:r>
      <w:r>
        <w:rPr>
          <w:rFonts w:ascii="Times New Roman" w:hAnsi="Times New Roman" w:cs="Times New Roman"/>
        </w:rPr>
        <w:t>www.sse.com.cn</w:t>
      </w:r>
      <w:r>
        <w:rPr>
          <w:rFonts w:ascii="Times New Roman" w:hAnsi="Times New Roman" w:cs="Times New Roman" w:hint="eastAsia"/>
        </w:rPr>
        <w:t>）发布的《厦门银行股份有限公司关于公开发行</w:t>
      </w:r>
      <w:r>
        <w:rPr>
          <w:rFonts w:ascii="Times New Roman" w:hAnsi="Times New Roman" w:cs="Times New Roman"/>
        </w:rPr>
        <w:t>A</w:t>
      </w:r>
      <w:r>
        <w:rPr>
          <w:rFonts w:ascii="Times New Roman" w:hAnsi="Times New Roman" w:cs="Times New Roman" w:hint="eastAsia"/>
        </w:rPr>
        <w:t>股可转换公司债券预案的公告》（公告编号：</w:t>
      </w:r>
      <w:r>
        <w:rPr>
          <w:rFonts w:ascii="Times New Roman" w:hAnsi="Times New Roman" w:cs="Times New Roman"/>
        </w:rPr>
        <w:t>2022-025</w:t>
      </w:r>
      <w:r>
        <w:rPr>
          <w:rFonts w:ascii="Times New Roman" w:hAnsi="Times New Roman" w:cs="Times New Roman" w:hint="eastAsia"/>
        </w:rPr>
        <w:t>）、《厦门银行股份有限公司关于公开发行</w:t>
      </w:r>
      <w:r>
        <w:rPr>
          <w:rFonts w:ascii="Times New Roman" w:hAnsi="Times New Roman" w:cs="Times New Roman"/>
        </w:rPr>
        <w:t>A</w:t>
      </w:r>
      <w:r>
        <w:rPr>
          <w:rFonts w:ascii="Times New Roman" w:hAnsi="Times New Roman" w:cs="Times New Roman" w:hint="eastAsia"/>
        </w:rPr>
        <w:t>股可转换公司债券获中国银保监会厦门监管局核准的公告》（公告编号：</w:t>
      </w:r>
      <w:r>
        <w:rPr>
          <w:rFonts w:ascii="Times New Roman" w:hAnsi="Times New Roman" w:cs="Times New Roman"/>
        </w:rPr>
        <w:t>2022-040</w:t>
      </w:r>
      <w:r>
        <w:rPr>
          <w:rFonts w:ascii="Times New Roman" w:hAnsi="Times New Roman" w:cs="Times New Roman" w:hint="eastAsia"/>
        </w:rPr>
        <w:t>）、《厦门银行股份有限公司关于公开发行</w:t>
      </w:r>
      <w:r>
        <w:rPr>
          <w:rFonts w:ascii="Times New Roman" w:hAnsi="Times New Roman" w:cs="Times New Roman"/>
        </w:rPr>
        <w:t>A</w:t>
      </w:r>
      <w:r>
        <w:rPr>
          <w:rFonts w:ascii="Times New Roman" w:hAnsi="Times New Roman" w:cs="Times New Roman" w:hint="eastAsia"/>
        </w:rPr>
        <w:t>股可转换公司债券获中国证监会行政许可申请受理的公告》（公告编号：</w:t>
      </w:r>
      <w:r>
        <w:rPr>
          <w:rFonts w:ascii="Times New Roman" w:hAnsi="Times New Roman" w:cs="Times New Roman"/>
        </w:rPr>
        <w:t>2022-051</w:t>
      </w:r>
      <w:r>
        <w:rPr>
          <w:rFonts w:ascii="Times New Roman" w:hAnsi="Times New Roman" w:cs="Times New Roman" w:hint="eastAsia"/>
        </w:rPr>
        <w:t>）、《厦门银行股份有限公司关于向不特定对象发行可转换公司债券申请获得上海证券交易所受理的公告》（公告编号：</w:t>
      </w:r>
      <w:r>
        <w:rPr>
          <w:rFonts w:ascii="Times New Roman" w:hAnsi="Times New Roman" w:cs="Times New Roman"/>
        </w:rPr>
        <w:t>2023-007</w:t>
      </w:r>
      <w:r>
        <w:rPr>
          <w:rFonts w:ascii="Times New Roman" w:hAnsi="Times New Roman" w:cs="Times New Roman" w:hint="eastAsia"/>
        </w:rPr>
        <w:t>）。该事项尚需通过上交所审核，并获得中国证监会做出同意注册的决定后方可实施。</w:t>
      </w:r>
    </w:p>
    <w:p w:rsidR="00AD5BB5" w:rsidRDefault="00F87FF6">
      <w:pPr>
        <w:spacing w:line="360" w:lineRule="auto"/>
        <w:ind w:firstLineChars="200" w:firstLine="420"/>
        <w:rPr>
          <w:rFonts w:ascii="Times New Roman" w:hAnsi="Times New Roman" w:cs="Times New Roman"/>
        </w:rPr>
      </w:pPr>
      <w:r>
        <w:rPr>
          <w:rFonts w:ascii="Times New Roman" w:hAnsi="Times New Roman" w:cs="Times New Roman"/>
        </w:rPr>
        <w:t>2.</w:t>
      </w:r>
      <w:r>
        <w:rPr>
          <w:rFonts w:ascii="Times New Roman" w:hAnsi="Times New Roman" w:cs="Times New Roman"/>
        </w:rPr>
        <w:t>因公司股价触发实施稳定股价措施的启动条件，公司启动稳定股价方案，</w:t>
      </w:r>
      <w:r>
        <w:rPr>
          <w:rFonts w:ascii="Times New Roman" w:hAnsi="Times New Roman" w:cs="Times New Roman" w:hint="eastAsia"/>
        </w:rPr>
        <w:t>采取由持股</w:t>
      </w:r>
      <w:r>
        <w:rPr>
          <w:rFonts w:ascii="Times New Roman" w:hAnsi="Times New Roman" w:cs="Times New Roman"/>
        </w:rPr>
        <w:t>5%</w:t>
      </w:r>
      <w:r>
        <w:rPr>
          <w:rFonts w:ascii="Times New Roman" w:hAnsi="Times New Roman" w:cs="Times New Roman" w:hint="eastAsia"/>
        </w:rPr>
        <w:t>以上的股东增持股份的措施稳定股价。同时，基于对公司未来发展前景的信心和投资价值的认可，截至</w:t>
      </w:r>
      <w:r>
        <w:rPr>
          <w:rFonts w:ascii="Times New Roman" w:hAnsi="Times New Roman" w:cs="Times New Roman"/>
        </w:rPr>
        <w:t>2023</w:t>
      </w:r>
      <w:r>
        <w:rPr>
          <w:rFonts w:ascii="Times New Roman" w:hAnsi="Times New Roman" w:cs="Times New Roman" w:hint="eastAsia"/>
        </w:rPr>
        <w:t>年</w:t>
      </w:r>
      <w:r>
        <w:rPr>
          <w:rFonts w:ascii="Times New Roman" w:hAnsi="Times New Roman" w:cs="Times New Roman"/>
        </w:rPr>
        <w:t>8</w:t>
      </w:r>
      <w:r>
        <w:rPr>
          <w:rFonts w:ascii="Times New Roman" w:hAnsi="Times New Roman" w:cs="Times New Roman" w:hint="eastAsia"/>
        </w:rPr>
        <w:t>月</w:t>
      </w:r>
      <w:r>
        <w:rPr>
          <w:rFonts w:ascii="Times New Roman" w:hAnsi="Times New Roman" w:cs="Times New Roman"/>
        </w:rPr>
        <w:t>4</w:t>
      </w:r>
      <w:r>
        <w:rPr>
          <w:rFonts w:ascii="Times New Roman" w:hAnsi="Times New Roman" w:cs="Times New Roman" w:hint="eastAsia"/>
        </w:rPr>
        <w:t>日，公司在任的董事（不含独立董事）、监事（不含外部监事）、高级管理人员主动增持公司股份。相</w:t>
      </w:r>
      <w:r>
        <w:rPr>
          <w:rFonts w:ascii="Times New Roman" w:hAnsi="Times New Roman" w:cs="Times New Roman"/>
        </w:rPr>
        <w:t>关信息请查阅公司</w:t>
      </w:r>
      <w:r>
        <w:rPr>
          <w:rFonts w:ascii="Times New Roman" w:hAnsi="Times New Roman" w:cs="Times New Roman"/>
        </w:rPr>
        <w:t>2023</w:t>
      </w:r>
      <w:r>
        <w:rPr>
          <w:rFonts w:ascii="Times New Roman" w:hAnsi="Times New Roman" w:cs="Times New Roman"/>
        </w:rPr>
        <w:t>年</w:t>
      </w:r>
      <w:r>
        <w:rPr>
          <w:rFonts w:ascii="Times New Roman" w:hAnsi="Times New Roman" w:cs="Times New Roman"/>
        </w:rPr>
        <w:t>8</w:t>
      </w:r>
      <w:r>
        <w:rPr>
          <w:rFonts w:ascii="Times New Roman" w:hAnsi="Times New Roman" w:cs="Times New Roman"/>
        </w:rPr>
        <w:t>月</w:t>
      </w:r>
      <w:r>
        <w:rPr>
          <w:rFonts w:ascii="Times New Roman" w:hAnsi="Times New Roman" w:cs="Times New Roman"/>
        </w:rPr>
        <w:t>5</w:t>
      </w:r>
      <w:r>
        <w:rPr>
          <w:rFonts w:ascii="Times New Roman" w:hAnsi="Times New Roman" w:cs="Times New Roman"/>
        </w:rPr>
        <w:t>日于上海证券交易所网站（</w:t>
      </w:r>
      <w:r>
        <w:rPr>
          <w:rFonts w:ascii="Times New Roman" w:hAnsi="Times New Roman" w:cs="Times New Roman"/>
        </w:rPr>
        <w:t>www.sse.com.cn</w:t>
      </w:r>
      <w:r>
        <w:rPr>
          <w:rFonts w:ascii="Times New Roman" w:hAnsi="Times New Roman" w:cs="Times New Roman"/>
        </w:rPr>
        <w:t>）发布的《厦门银行股份有限公司关于稳定股价方案的公告》（公告编号：</w:t>
      </w:r>
      <w:r>
        <w:rPr>
          <w:rFonts w:ascii="Times New Roman" w:hAnsi="Times New Roman" w:cs="Times New Roman"/>
        </w:rPr>
        <w:t>2023-030</w:t>
      </w:r>
      <w:r>
        <w:rPr>
          <w:rFonts w:ascii="Times New Roman" w:hAnsi="Times New Roman" w:cs="Times New Roman"/>
        </w:rPr>
        <w:t>）。</w:t>
      </w:r>
    </w:p>
    <w:p w:rsidR="00AD5BB5" w:rsidRDefault="00F87FF6">
      <w:pPr>
        <w:widowControl/>
        <w:spacing w:line="360" w:lineRule="auto"/>
        <w:ind w:firstLine="440"/>
        <w:rPr>
          <w:rFonts w:ascii="Times New Roman" w:hAnsi="Times New Roman" w:cs="Times New Roman"/>
        </w:rPr>
      </w:pPr>
      <w:r>
        <w:rPr>
          <w:rFonts w:ascii="Times New Roman" w:hAnsi="Times New Roman" w:cs="Times New Roman"/>
        </w:rPr>
        <w:br w:type="page"/>
      </w:r>
    </w:p>
    <w:p w:rsidR="00AD5BB5" w:rsidRDefault="00F87FF6">
      <w:pPr>
        <w:pStyle w:val="1"/>
        <w:ind w:left="425"/>
        <w:rPr>
          <w:color w:val="FF0000"/>
        </w:rPr>
      </w:pPr>
      <w:r>
        <w:rPr>
          <w:rFonts w:hint="eastAsia"/>
        </w:rPr>
        <w:lastRenderedPageBreak/>
        <w:t>第七节</w:t>
      </w:r>
      <w:r>
        <w:rPr>
          <w:rFonts w:hint="eastAsia"/>
        </w:rPr>
        <w:t xml:space="preserve">  </w:t>
      </w:r>
      <w:r>
        <w:rPr>
          <w:rFonts w:hint="eastAsia"/>
        </w:rPr>
        <w:t>普通股股份变动及股东情况</w:t>
      </w:r>
      <w:bookmarkEnd w:id="38"/>
      <w:bookmarkEnd w:id="39"/>
      <w:bookmarkEnd w:id="44"/>
    </w:p>
    <w:p w:rsidR="00AD5BB5" w:rsidRDefault="00F87FF6">
      <w:pPr>
        <w:pStyle w:val="2"/>
        <w:numPr>
          <w:ilvl w:val="0"/>
          <w:numId w:val="29"/>
        </w:numPr>
        <w:spacing w:line="360" w:lineRule="auto"/>
        <w:rPr>
          <w:rFonts w:ascii="Times New Roman" w:hAnsi="Times New Roman"/>
          <w:szCs w:val="21"/>
        </w:rPr>
      </w:pPr>
      <w:bookmarkStart w:id="45" w:name="_Toc342565989"/>
      <w:bookmarkStart w:id="46" w:name="_Toc342059476"/>
      <w:bookmarkStart w:id="47" w:name="_Toc342566003"/>
      <w:r>
        <w:rPr>
          <w:rFonts w:ascii="Times New Roman" w:hAnsi="Times New Roman" w:hint="eastAsia"/>
          <w:szCs w:val="21"/>
        </w:rPr>
        <w:t>普通股股本变动情况</w:t>
      </w:r>
      <w:bookmarkEnd w:id="45"/>
      <w:bookmarkEnd w:id="46"/>
    </w:p>
    <w:p w:rsidR="00AD5BB5" w:rsidRDefault="00F87FF6">
      <w:pPr>
        <w:pStyle w:val="3"/>
        <w:numPr>
          <w:ilvl w:val="0"/>
          <w:numId w:val="30"/>
        </w:numPr>
        <w:spacing w:line="360" w:lineRule="auto"/>
        <w:rPr>
          <w:rFonts w:ascii="Times New Roman" w:hAnsi="Times New Roman"/>
          <w:szCs w:val="21"/>
        </w:rPr>
      </w:pPr>
      <w:bookmarkStart w:id="48" w:name="_Toc342565990"/>
      <w:bookmarkStart w:id="49" w:name="_Toc342059477"/>
      <w:r>
        <w:rPr>
          <w:rFonts w:ascii="Times New Roman" w:hAnsi="Times New Roman" w:hint="eastAsia"/>
          <w:szCs w:val="21"/>
        </w:rPr>
        <w:t>普通股股份变动情况表</w:t>
      </w:r>
      <w:bookmarkEnd w:id="48"/>
      <w:bookmarkEnd w:id="49"/>
    </w:p>
    <w:p w:rsidR="00AD5BB5" w:rsidRDefault="00F87FF6">
      <w:pPr>
        <w:spacing w:line="360" w:lineRule="auto"/>
        <w:ind w:firstLineChars="200" w:firstLine="420"/>
      </w:pPr>
      <w:r>
        <w:t>报告期内，公司股份总数及股本</w:t>
      </w:r>
      <w:r>
        <w:rPr>
          <w:rFonts w:hint="eastAsia"/>
        </w:rPr>
        <w:t>结构未发生变化。</w:t>
      </w:r>
    </w:p>
    <w:bookmarkEnd w:id="47"/>
    <w:p w:rsidR="00AD5BB5" w:rsidRDefault="00F87FF6">
      <w:pPr>
        <w:pStyle w:val="3"/>
        <w:spacing w:line="360" w:lineRule="auto"/>
      </w:pPr>
      <w:r>
        <w:rPr>
          <w:rFonts w:hint="eastAsia"/>
        </w:rPr>
        <w:t>（二）限售股份变动情况</w:t>
      </w:r>
    </w:p>
    <w:p w:rsidR="00AD5BB5" w:rsidRDefault="00F87FF6">
      <w:pPr>
        <w:spacing w:line="360" w:lineRule="auto"/>
        <w:ind w:firstLineChars="200" w:firstLine="420"/>
        <w:rPr>
          <w:rFonts w:ascii="Times New Roman" w:hAnsi="Times New Roman" w:cs="Times New Roman"/>
        </w:rPr>
      </w:pPr>
      <w:r>
        <w:rPr>
          <w:rFonts w:ascii="Times New Roman" w:hAnsi="Times New Roman" w:cs="Times New Roman"/>
        </w:rPr>
        <w:t>本公司报告期内限售流通股未到解除限售日期，无解除限售情况变化。</w:t>
      </w:r>
    </w:p>
    <w:p w:rsidR="00AD5BB5" w:rsidRDefault="00F87FF6">
      <w:pPr>
        <w:pStyle w:val="2"/>
        <w:numPr>
          <w:ilvl w:val="0"/>
          <w:numId w:val="29"/>
        </w:numPr>
        <w:spacing w:line="360" w:lineRule="auto"/>
        <w:rPr>
          <w:rFonts w:ascii="Times New Roman" w:hAnsi="Times New Roman"/>
          <w:szCs w:val="21"/>
        </w:rPr>
      </w:pPr>
      <w:r>
        <w:rPr>
          <w:rFonts w:ascii="Times New Roman" w:hAnsi="Times New Roman" w:hint="eastAsia"/>
          <w:szCs w:val="21"/>
        </w:rPr>
        <w:t>股东情况</w:t>
      </w:r>
      <w:r>
        <w:rPr>
          <w:rFonts w:ascii="Times New Roman" w:hAnsi="Times New Roman" w:hint="eastAsia"/>
          <w:szCs w:val="21"/>
        </w:rPr>
        <w:t xml:space="preserve">     </w:t>
      </w:r>
    </w:p>
    <w:p w:rsidR="00AD5BB5" w:rsidRDefault="00F87FF6">
      <w:pPr>
        <w:pStyle w:val="3"/>
        <w:spacing w:line="360" w:lineRule="auto"/>
        <w:rPr>
          <w:rFonts w:ascii="Times New Roman" w:hAnsi="Times New Roman"/>
          <w:szCs w:val="21"/>
        </w:rPr>
      </w:pPr>
      <w:r>
        <w:rPr>
          <w:rFonts w:ascii="Times New Roman" w:hAnsi="Times New Roman" w:hint="eastAsia"/>
          <w:szCs w:val="21"/>
        </w:rPr>
        <w:t>（一）股东总数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2460"/>
      </w:tblGrid>
      <w:tr w:rsidR="00AD5BB5">
        <w:tc>
          <w:tcPr>
            <w:tcW w:w="6062"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kern w:val="0"/>
                <w:szCs w:val="21"/>
              </w:rPr>
            </w:pPr>
            <w:r>
              <w:rPr>
                <w:rFonts w:ascii="Times New Roman" w:hAnsi="Times New Roman" w:hint="eastAsia"/>
                <w:kern w:val="0"/>
                <w:szCs w:val="21"/>
              </w:rPr>
              <w:t>截止报告期末普通股股东总数</w:t>
            </w:r>
            <w:r>
              <w:rPr>
                <w:rFonts w:ascii="Times New Roman" w:hAnsi="Times New Roman" w:hint="eastAsia"/>
                <w:kern w:val="0"/>
                <w:szCs w:val="21"/>
              </w:rPr>
              <w:t>(</w:t>
            </w:r>
            <w:r>
              <w:rPr>
                <w:rFonts w:ascii="Times New Roman" w:hAnsi="Times New Roman" w:hint="eastAsia"/>
                <w:kern w:val="0"/>
                <w:szCs w:val="21"/>
              </w:rPr>
              <w:t>户</w:t>
            </w:r>
            <w:r>
              <w:rPr>
                <w:rFonts w:ascii="Times New Roman" w:hAnsi="Times New Roman" w:hint="eastAsia"/>
                <w:kern w:val="0"/>
                <w:szCs w:val="21"/>
              </w:rPr>
              <w:t>)</w:t>
            </w:r>
          </w:p>
        </w:tc>
        <w:tc>
          <w:tcPr>
            <w:tcW w:w="246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AD5BB5" w:rsidRDefault="00F87FF6">
            <w:pPr>
              <w:jc w:val="right"/>
              <w:rPr>
                <w:rFonts w:ascii="Times New Roman" w:hAnsi="Times New Roman"/>
                <w:kern w:val="0"/>
                <w:szCs w:val="21"/>
              </w:rPr>
            </w:pPr>
            <w:r>
              <w:rPr>
                <w:rFonts w:ascii="Times New Roman" w:hAnsi="Times New Roman" w:hint="eastAsia"/>
                <w:kern w:val="0"/>
                <w:szCs w:val="21"/>
              </w:rPr>
              <w:t>56</w:t>
            </w:r>
            <w:r>
              <w:rPr>
                <w:rFonts w:ascii="Times New Roman" w:hAnsi="Times New Roman"/>
                <w:color w:val="000000"/>
                <w:kern w:val="0"/>
                <w:lang w:bidi="ar"/>
              </w:rPr>
              <w:t>,</w:t>
            </w:r>
            <w:r>
              <w:rPr>
                <w:rFonts w:ascii="Times New Roman" w:hAnsi="Times New Roman" w:hint="eastAsia"/>
                <w:kern w:val="0"/>
                <w:szCs w:val="21"/>
              </w:rPr>
              <w:t>612</w:t>
            </w:r>
          </w:p>
        </w:tc>
      </w:tr>
      <w:tr w:rsidR="00AD5BB5">
        <w:tc>
          <w:tcPr>
            <w:tcW w:w="6062"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kern w:val="0"/>
                <w:szCs w:val="21"/>
              </w:rPr>
            </w:pPr>
            <w:r>
              <w:rPr>
                <w:rFonts w:ascii="Times New Roman" w:hAnsi="Times New Roman" w:hint="eastAsia"/>
                <w:kern w:val="0"/>
                <w:szCs w:val="21"/>
              </w:rPr>
              <w:t>年度报告披露日前上一月末表决权恢复的优先股股东总数（户）</w:t>
            </w:r>
          </w:p>
        </w:tc>
        <w:tc>
          <w:tcPr>
            <w:tcW w:w="2460"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wordWrap w:val="0"/>
              <w:jc w:val="right"/>
              <w:rPr>
                <w:rFonts w:ascii="Times New Roman" w:hAnsi="Times New Roman"/>
                <w:kern w:val="0"/>
                <w:szCs w:val="21"/>
              </w:rPr>
            </w:pPr>
            <w:r>
              <w:rPr>
                <w:rFonts w:ascii="Times New Roman" w:hAnsi="Times New Roman"/>
                <w:kern w:val="0"/>
                <w:szCs w:val="21"/>
              </w:rPr>
              <w:t>不适用</w:t>
            </w:r>
          </w:p>
        </w:tc>
      </w:tr>
    </w:tbl>
    <w:p w:rsidR="00AD5BB5" w:rsidRDefault="00AD5BB5">
      <w:pPr>
        <w:rPr>
          <w:rFonts w:ascii="Times New Roman" w:hAnsi="Times New Roman"/>
          <w:szCs w:val="21"/>
        </w:rPr>
      </w:pPr>
    </w:p>
    <w:p w:rsidR="00AD5BB5" w:rsidRDefault="00F87FF6">
      <w:pPr>
        <w:pStyle w:val="3"/>
        <w:rPr>
          <w:rFonts w:ascii="Times New Roman" w:hAnsi="Times New Roman"/>
          <w:szCs w:val="21"/>
        </w:rPr>
      </w:pPr>
      <w:bookmarkStart w:id="50" w:name="_Toc342059485"/>
      <w:bookmarkStart w:id="51" w:name="_Toc342565998"/>
      <w:r>
        <w:rPr>
          <w:rFonts w:ascii="Times New Roman" w:hAnsi="Times New Roman" w:hint="eastAsia"/>
          <w:szCs w:val="21"/>
        </w:rPr>
        <w:t>（二）截止报告</w:t>
      </w:r>
      <w:proofErr w:type="gramStart"/>
      <w:r>
        <w:rPr>
          <w:rFonts w:ascii="Times New Roman" w:hAnsi="Times New Roman" w:hint="eastAsia"/>
          <w:szCs w:val="21"/>
        </w:rPr>
        <w:t>期末前</w:t>
      </w:r>
      <w:proofErr w:type="gramEnd"/>
      <w:r>
        <w:rPr>
          <w:rFonts w:ascii="Times New Roman" w:hAnsi="Times New Roman" w:hint="eastAsia"/>
          <w:szCs w:val="21"/>
        </w:rPr>
        <w:t>十名股东、前十名流通股东（或无限</w:t>
      </w:r>
      <w:proofErr w:type="gramStart"/>
      <w:r>
        <w:rPr>
          <w:rFonts w:ascii="Times New Roman" w:hAnsi="Times New Roman" w:hint="eastAsia"/>
          <w:szCs w:val="21"/>
        </w:rPr>
        <w:t>售条件</w:t>
      </w:r>
      <w:proofErr w:type="gramEnd"/>
      <w:r>
        <w:rPr>
          <w:rFonts w:ascii="Times New Roman" w:hAnsi="Times New Roman" w:hint="eastAsia"/>
          <w:szCs w:val="21"/>
        </w:rPr>
        <w:t>股东）持股情况表</w:t>
      </w:r>
    </w:p>
    <w:bookmarkEnd w:id="50"/>
    <w:bookmarkEnd w:id="51"/>
    <w:p w:rsidR="00AD5BB5" w:rsidRDefault="00F87FF6">
      <w:pPr>
        <w:ind w:firstLineChars="1900" w:firstLine="3990"/>
        <w:jc w:val="right"/>
        <w:rPr>
          <w:rFonts w:ascii="Times New Roman" w:hAnsi="Times New Roman"/>
          <w:szCs w:val="21"/>
        </w:rPr>
      </w:pPr>
      <w:r>
        <w:rPr>
          <w:rFonts w:ascii="Times New Roman" w:hAnsi="Times New Roman" w:hint="eastAsia"/>
          <w:szCs w:val="21"/>
        </w:rPr>
        <w:t>单位</w:t>
      </w:r>
      <w:r>
        <w:rPr>
          <w:rFonts w:ascii="Times New Roman" w:hAnsi="Times New Roman" w:hint="eastAsia"/>
          <w:szCs w:val="21"/>
        </w:rPr>
        <w:t>:</w:t>
      </w:r>
      <w:r>
        <w:rPr>
          <w:rFonts w:ascii="Times New Roman" w:hAnsi="Times New Roman"/>
          <w:b/>
          <w:szCs w:val="21"/>
        </w:rPr>
        <w:t xml:space="preserve"> </w:t>
      </w:r>
      <w:r>
        <w:rPr>
          <w:rFonts w:ascii="Times New Roman" w:hAnsi="Times New Roman" w:hint="eastAsia"/>
          <w:szCs w:val="21"/>
        </w:rPr>
        <w:t>股</w:t>
      </w: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1240"/>
        <w:gridCol w:w="1330"/>
        <w:gridCol w:w="843"/>
        <w:gridCol w:w="1300"/>
        <w:gridCol w:w="278"/>
        <w:gridCol w:w="960"/>
        <w:gridCol w:w="854"/>
        <w:gridCol w:w="383"/>
        <w:gridCol w:w="1120"/>
      </w:tblGrid>
      <w:tr w:rsidR="00AD5BB5">
        <w:trPr>
          <w:cantSplit/>
          <w:jc w:val="center"/>
        </w:trPr>
        <w:tc>
          <w:tcPr>
            <w:tcW w:w="9710" w:type="dxa"/>
            <w:gridSpan w:val="10"/>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b"/>
              <w:jc w:val="center"/>
              <w:rPr>
                <w:szCs w:val="21"/>
              </w:rPr>
            </w:pPr>
            <w:r>
              <w:rPr>
                <w:rFonts w:hint="eastAsia"/>
                <w:szCs w:val="21"/>
              </w:rPr>
              <w:t>前十名股东持股情况</w:t>
            </w:r>
          </w:p>
        </w:tc>
      </w:tr>
      <w:tr w:rsidR="00AD5BB5">
        <w:trPr>
          <w:cantSplit/>
          <w:trHeight w:val="464"/>
          <w:jc w:val="center"/>
        </w:trPr>
        <w:tc>
          <w:tcPr>
            <w:tcW w:w="1402"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szCs w:val="21"/>
              </w:rPr>
            </w:pPr>
            <w:r>
              <w:rPr>
                <w:rFonts w:ascii="Times New Roman" w:hAnsi="Times New Roman" w:hint="eastAsia"/>
                <w:szCs w:val="21"/>
              </w:rPr>
              <w:t>股东名称</w:t>
            </w:r>
          </w:p>
          <w:p w:rsidR="00AD5BB5" w:rsidRDefault="00F87FF6">
            <w:pPr>
              <w:jc w:val="center"/>
              <w:rPr>
                <w:rFonts w:ascii="Times New Roman" w:hAnsi="Times New Roman"/>
                <w:szCs w:val="21"/>
              </w:rPr>
            </w:pPr>
            <w:r>
              <w:rPr>
                <w:rFonts w:ascii="Times New Roman" w:hAnsi="Times New Roman" w:hint="eastAsia"/>
                <w:szCs w:val="21"/>
              </w:rPr>
              <w:t>（全称）</w:t>
            </w:r>
          </w:p>
        </w:tc>
        <w:tc>
          <w:tcPr>
            <w:tcW w:w="124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szCs w:val="21"/>
              </w:rPr>
            </w:pPr>
            <w:r>
              <w:rPr>
                <w:rFonts w:ascii="Times New Roman" w:hAnsi="Times New Roman" w:hint="eastAsia"/>
                <w:szCs w:val="21"/>
              </w:rPr>
              <w:t>报告期内增减</w:t>
            </w:r>
          </w:p>
        </w:tc>
        <w:tc>
          <w:tcPr>
            <w:tcW w:w="133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szCs w:val="21"/>
              </w:rPr>
            </w:pPr>
            <w:r>
              <w:rPr>
                <w:rFonts w:ascii="Times New Roman" w:hAnsi="Times New Roman" w:hint="eastAsia"/>
                <w:szCs w:val="21"/>
              </w:rPr>
              <w:t>期末持股数量</w:t>
            </w:r>
          </w:p>
        </w:tc>
        <w:tc>
          <w:tcPr>
            <w:tcW w:w="84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szCs w:val="21"/>
              </w:rPr>
            </w:pPr>
            <w:r>
              <w:rPr>
                <w:rFonts w:ascii="Times New Roman" w:hAnsi="Times New Roman" w:hint="eastAsia"/>
                <w:szCs w:val="21"/>
              </w:rPr>
              <w:t>比例</w:t>
            </w:r>
            <w:r>
              <w:rPr>
                <w:rFonts w:ascii="Times New Roman" w:hAnsi="Times New Roman" w:hint="eastAsia"/>
                <w:szCs w:val="21"/>
              </w:rPr>
              <w:t>(%)</w:t>
            </w:r>
          </w:p>
        </w:tc>
        <w:tc>
          <w:tcPr>
            <w:tcW w:w="1578"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pStyle w:val="a8"/>
              <w:rPr>
                <w:szCs w:val="21"/>
              </w:rPr>
            </w:pPr>
            <w:r>
              <w:rPr>
                <w:rFonts w:hint="eastAsia"/>
                <w:szCs w:val="21"/>
              </w:rPr>
              <w:t>持有有限</w:t>
            </w:r>
            <w:proofErr w:type="gramStart"/>
            <w:r>
              <w:rPr>
                <w:rFonts w:hint="eastAsia"/>
                <w:szCs w:val="21"/>
              </w:rPr>
              <w:t>售条件</w:t>
            </w:r>
            <w:proofErr w:type="gramEnd"/>
            <w:r>
              <w:rPr>
                <w:rFonts w:hint="eastAsia"/>
                <w:szCs w:val="21"/>
              </w:rPr>
              <w:t>股份数量</w:t>
            </w:r>
          </w:p>
        </w:tc>
        <w:tc>
          <w:tcPr>
            <w:tcW w:w="2197"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szCs w:val="21"/>
              </w:rPr>
            </w:pPr>
            <w:r>
              <w:rPr>
                <w:rFonts w:ascii="Times New Roman" w:hAnsi="Times New Roman" w:hint="eastAsia"/>
                <w:szCs w:val="21"/>
              </w:rPr>
              <w:t>质押或冻结情况</w:t>
            </w:r>
          </w:p>
        </w:tc>
        <w:tc>
          <w:tcPr>
            <w:tcW w:w="112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szCs w:val="21"/>
              </w:rPr>
            </w:pPr>
            <w:r>
              <w:rPr>
                <w:rFonts w:ascii="Times New Roman" w:hAnsi="Times New Roman" w:hint="eastAsia"/>
                <w:szCs w:val="21"/>
              </w:rPr>
              <w:t>股东</w:t>
            </w:r>
          </w:p>
          <w:p w:rsidR="00AD5BB5" w:rsidRDefault="00F87FF6">
            <w:pPr>
              <w:jc w:val="center"/>
              <w:rPr>
                <w:rFonts w:ascii="Times New Roman" w:hAnsi="Times New Roman"/>
                <w:szCs w:val="21"/>
              </w:rPr>
            </w:pPr>
            <w:r>
              <w:rPr>
                <w:rFonts w:ascii="Times New Roman" w:hAnsi="Times New Roman" w:hint="eastAsia"/>
                <w:szCs w:val="21"/>
              </w:rPr>
              <w:t>性质</w:t>
            </w:r>
          </w:p>
        </w:tc>
      </w:tr>
      <w:tr w:rsidR="00AD5BB5">
        <w:trPr>
          <w:cantSplit/>
          <w:jc w:val="center"/>
        </w:trPr>
        <w:tc>
          <w:tcPr>
            <w:tcW w:w="1402" w:type="dxa"/>
            <w:vMerge/>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rPr>
                <w:rFonts w:ascii="Times New Roman" w:hAnsi="Times New Roman"/>
                <w:szCs w:val="21"/>
              </w:rPr>
            </w:pPr>
          </w:p>
        </w:tc>
        <w:tc>
          <w:tcPr>
            <w:tcW w:w="1240" w:type="dxa"/>
            <w:vMerge/>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rPr>
                <w:rFonts w:ascii="Times New Roman" w:hAnsi="Times New Roman"/>
                <w:szCs w:val="21"/>
              </w:rPr>
            </w:pPr>
          </w:p>
        </w:tc>
        <w:tc>
          <w:tcPr>
            <w:tcW w:w="1330" w:type="dxa"/>
            <w:vMerge/>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rPr>
                <w:rFonts w:ascii="Times New Roman" w:hAnsi="Times New Roman"/>
                <w:szCs w:val="21"/>
              </w:rPr>
            </w:pPr>
          </w:p>
        </w:tc>
        <w:tc>
          <w:tcPr>
            <w:tcW w:w="843" w:type="dxa"/>
            <w:vMerge/>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rPr>
                <w:rFonts w:ascii="Times New Roman" w:hAnsi="Times New Roman"/>
                <w:szCs w:val="21"/>
              </w:rPr>
            </w:pPr>
          </w:p>
        </w:tc>
        <w:tc>
          <w:tcPr>
            <w:tcW w:w="1578"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rPr>
                <w:rFonts w:ascii="Times New Roman" w:hAnsi="Times New Roman"/>
                <w:szCs w:val="21"/>
              </w:rPr>
            </w:pPr>
          </w:p>
        </w:tc>
        <w:tc>
          <w:tcPr>
            <w:tcW w:w="96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szCs w:val="21"/>
              </w:rPr>
            </w:pPr>
            <w:r>
              <w:rPr>
                <w:rFonts w:ascii="Times New Roman" w:hAnsi="Times New Roman" w:hint="eastAsia"/>
                <w:szCs w:val="21"/>
              </w:rPr>
              <w:t>股份</w:t>
            </w:r>
          </w:p>
          <w:p w:rsidR="00AD5BB5" w:rsidRDefault="00F87FF6">
            <w:pPr>
              <w:jc w:val="center"/>
              <w:rPr>
                <w:rFonts w:ascii="Times New Roman" w:hAnsi="Times New Roman"/>
                <w:szCs w:val="21"/>
              </w:rPr>
            </w:pPr>
            <w:r>
              <w:rPr>
                <w:rFonts w:ascii="Times New Roman" w:hAnsi="Times New Roman" w:hint="eastAsia"/>
                <w:szCs w:val="21"/>
              </w:rPr>
              <w:t>状态</w:t>
            </w:r>
          </w:p>
        </w:tc>
        <w:tc>
          <w:tcPr>
            <w:tcW w:w="123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szCs w:val="21"/>
              </w:rPr>
            </w:pPr>
            <w:r>
              <w:rPr>
                <w:rFonts w:ascii="Times New Roman" w:hAnsi="Times New Roman" w:hint="eastAsia"/>
                <w:szCs w:val="21"/>
              </w:rPr>
              <w:t>数量</w:t>
            </w:r>
          </w:p>
        </w:tc>
        <w:tc>
          <w:tcPr>
            <w:tcW w:w="1120" w:type="dxa"/>
            <w:vMerge/>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rPr>
                <w:rFonts w:ascii="Times New Roman" w:hAnsi="Times New Roman"/>
                <w:szCs w:val="21"/>
              </w:rPr>
            </w:pPr>
          </w:p>
        </w:tc>
      </w:tr>
      <w:tr w:rsidR="00AD5BB5">
        <w:trPr>
          <w:cantSplit/>
          <w:trHeight w:val="186"/>
          <w:jc w:val="center"/>
        </w:trPr>
        <w:tc>
          <w:tcPr>
            <w:tcW w:w="140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left"/>
              <w:textAlignment w:val="center"/>
              <w:rPr>
                <w:rFonts w:ascii="Times New Roman" w:hAnsi="Times New Roman"/>
                <w:szCs w:val="21"/>
              </w:rPr>
            </w:pPr>
            <w:r>
              <w:rPr>
                <w:rFonts w:ascii="宋体" w:hAnsi="宋体" w:cs="宋体" w:hint="eastAsia"/>
                <w:color w:val="000000"/>
                <w:kern w:val="0"/>
                <w:lang w:bidi="ar"/>
              </w:rPr>
              <w:t>厦门金圆投资集团有限公司</w:t>
            </w:r>
          </w:p>
        </w:tc>
        <w:tc>
          <w:tcPr>
            <w:tcW w:w="124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szCs w:val="21"/>
              </w:rPr>
            </w:pPr>
            <w:r>
              <w:rPr>
                <w:rFonts w:ascii="Times New Roman" w:hAnsi="Times New Roman" w:hint="eastAsia"/>
                <w:color w:val="000000"/>
                <w:kern w:val="0"/>
                <w:lang w:bidi="ar"/>
              </w:rPr>
              <w:t>0</w:t>
            </w:r>
          </w:p>
        </w:tc>
        <w:tc>
          <w:tcPr>
            <w:tcW w:w="133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olor w:val="000000"/>
                <w:kern w:val="0"/>
                <w:lang w:bidi="ar"/>
              </w:rPr>
              <w:t xml:space="preserve">482,202,748 </w:t>
            </w:r>
          </w:p>
        </w:tc>
        <w:tc>
          <w:tcPr>
            <w:tcW w:w="84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color w:val="000000"/>
                <w:szCs w:val="21"/>
              </w:rPr>
            </w:pPr>
            <w:r>
              <w:rPr>
                <w:rFonts w:ascii="Times New Roman" w:hAnsi="Times New Roman"/>
                <w:color w:val="000000"/>
                <w:kern w:val="0"/>
                <w:lang w:bidi="ar"/>
              </w:rPr>
              <w:t>18.27</w:t>
            </w:r>
          </w:p>
        </w:tc>
        <w:tc>
          <w:tcPr>
            <w:tcW w:w="157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szCs w:val="21"/>
              </w:rPr>
            </w:pPr>
            <w:r>
              <w:rPr>
                <w:rFonts w:ascii="Times New Roman" w:hAnsi="Times New Roman"/>
                <w:color w:val="000000"/>
                <w:kern w:val="0"/>
                <w:lang w:bidi="ar"/>
              </w:rPr>
              <w:t xml:space="preserve">480,045,448 </w:t>
            </w:r>
          </w:p>
        </w:tc>
        <w:tc>
          <w:tcPr>
            <w:tcW w:w="96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szCs w:val="21"/>
              </w:rPr>
            </w:pPr>
            <w:r>
              <w:rPr>
                <w:rFonts w:ascii="Times New Roman" w:hAnsi="Times New Roman" w:hint="eastAsia"/>
              </w:rPr>
              <w:t>无</w:t>
            </w:r>
          </w:p>
        </w:tc>
        <w:tc>
          <w:tcPr>
            <w:tcW w:w="123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szCs w:val="21"/>
              </w:rPr>
            </w:pPr>
            <w:r>
              <w:rPr>
                <w:rFonts w:ascii="Times New Roman" w:hAnsi="Times New Roman" w:hint="eastAsia"/>
              </w:rPr>
              <w:t>0</w:t>
            </w: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szCs w:val="21"/>
              </w:rPr>
            </w:pPr>
            <w:r>
              <w:rPr>
                <w:rFonts w:ascii="Times New Roman" w:hAnsi="Times New Roman" w:hint="eastAsia"/>
              </w:rPr>
              <w:t>国有法人</w:t>
            </w:r>
          </w:p>
        </w:tc>
      </w:tr>
      <w:tr w:rsidR="00AD5BB5">
        <w:trPr>
          <w:cantSplit/>
          <w:trHeight w:val="90"/>
          <w:jc w:val="center"/>
        </w:trPr>
        <w:tc>
          <w:tcPr>
            <w:tcW w:w="140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left"/>
              <w:textAlignment w:val="center"/>
              <w:rPr>
                <w:rFonts w:ascii="Times New Roman" w:hAnsi="Times New Roman"/>
                <w:szCs w:val="21"/>
              </w:rPr>
            </w:pPr>
            <w:r>
              <w:rPr>
                <w:rFonts w:ascii="宋体" w:hAnsi="宋体" w:cs="宋体" w:hint="eastAsia"/>
                <w:color w:val="000000"/>
                <w:kern w:val="0"/>
                <w:lang w:bidi="ar"/>
              </w:rPr>
              <w:t>富邦金融控股股份有限公司</w:t>
            </w:r>
          </w:p>
        </w:tc>
        <w:tc>
          <w:tcPr>
            <w:tcW w:w="124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szCs w:val="21"/>
              </w:rPr>
            </w:pPr>
            <w:r>
              <w:rPr>
                <w:rFonts w:ascii="Times New Roman" w:hAnsi="Times New Roman" w:hint="eastAsia"/>
                <w:color w:val="000000"/>
                <w:kern w:val="0"/>
                <w:lang w:bidi="ar"/>
              </w:rPr>
              <w:t>0</w:t>
            </w:r>
            <w:r>
              <w:rPr>
                <w:rFonts w:ascii="Times New Roman" w:hAnsi="Times New Roman"/>
                <w:color w:val="000000"/>
                <w:kern w:val="0"/>
                <w:lang w:bidi="ar"/>
              </w:rPr>
              <w:t xml:space="preserve"> </w:t>
            </w:r>
          </w:p>
        </w:tc>
        <w:tc>
          <w:tcPr>
            <w:tcW w:w="133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color w:val="000000"/>
                <w:szCs w:val="21"/>
              </w:rPr>
            </w:pPr>
            <w:r>
              <w:rPr>
                <w:rFonts w:ascii="Times New Roman" w:hAnsi="Times New Roman"/>
                <w:color w:val="000000"/>
                <w:kern w:val="0"/>
                <w:lang w:bidi="ar"/>
              </w:rPr>
              <w:t xml:space="preserve">475,848,185 </w:t>
            </w:r>
          </w:p>
        </w:tc>
        <w:tc>
          <w:tcPr>
            <w:tcW w:w="84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olor w:val="000000"/>
                <w:kern w:val="0"/>
                <w:lang w:bidi="ar"/>
              </w:rPr>
              <w:t>18.03</w:t>
            </w:r>
          </w:p>
        </w:tc>
        <w:tc>
          <w:tcPr>
            <w:tcW w:w="157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szCs w:val="21"/>
              </w:rPr>
            </w:pPr>
            <w:r>
              <w:rPr>
                <w:rFonts w:ascii="Times New Roman" w:hAnsi="Times New Roman"/>
                <w:color w:val="000000"/>
                <w:kern w:val="0"/>
                <w:lang w:bidi="ar"/>
              </w:rPr>
              <w:t xml:space="preserve">473,754,585 </w:t>
            </w:r>
          </w:p>
        </w:tc>
        <w:tc>
          <w:tcPr>
            <w:tcW w:w="96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szCs w:val="21"/>
              </w:rPr>
            </w:pPr>
            <w:r>
              <w:rPr>
                <w:rFonts w:ascii="Times New Roman" w:hAnsi="Times New Roman" w:hint="eastAsia"/>
              </w:rPr>
              <w:t>无</w:t>
            </w:r>
          </w:p>
        </w:tc>
        <w:tc>
          <w:tcPr>
            <w:tcW w:w="123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szCs w:val="21"/>
              </w:rPr>
            </w:pPr>
            <w:r>
              <w:rPr>
                <w:rFonts w:ascii="Times New Roman" w:hAnsi="Times New Roman" w:hint="eastAsia"/>
              </w:rPr>
              <w:t>0</w:t>
            </w:r>
          </w:p>
        </w:tc>
        <w:tc>
          <w:tcPr>
            <w:tcW w:w="1120"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szCs w:val="21"/>
              </w:rPr>
            </w:pPr>
            <w:r>
              <w:rPr>
                <w:rFonts w:ascii="Times New Roman" w:hAnsi="Times New Roman" w:hint="eastAsia"/>
              </w:rPr>
              <w:t>境外法人</w:t>
            </w:r>
          </w:p>
        </w:tc>
      </w:tr>
      <w:tr w:rsidR="00AD5BB5">
        <w:trPr>
          <w:cantSplit/>
          <w:jc w:val="center"/>
        </w:trPr>
        <w:tc>
          <w:tcPr>
            <w:tcW w:w="140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left"/>
              <w:textAlignment w:val="center"/>
              <w:rPr>
                <w:rFonts w:ascii="Times New Roman" w:hAnsi="Times New Roman"/>
                <w:szCs w:val="21"/>
              </w:rPr>
            </w:pPr>
            <w:r>
              <w:rPr>
                <w:rFonts w:ascii="宋体" w:hAnsi="宋体" w:cs="宋体" w:hint="eastAsia"/>
                <w:color w:val="000000"/>
                <w:kern w:val="0"/>
                <w:lang w:bidi="ar"/>
              </w:rPr>
              <w:t>北京盛达兴业房地产开发有限公司</w:t>
            </w:r>
          </w:p>
        </w:tc>
        <w:tc>
          <w:tcPr>
            <w:tcW w:w="124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宋体" w:hAnsi="宋体" w:cs="宋体"/>
                <w:color w:val="000000"/>
                <w:sz w:val="22"/>
                <w:szCs w:val="22"/>
              </w:rPr>
            </w:pPr>
            <w:r>
              <w:rPr>
                <w:rFonts w:ascii="Times New Roman" w:hAnsi="Times New Roman" w:hint="eastAsia"/>
                <w:color w:val="000000"/>
                <w:kern w:val="0"/>
                <w:lang w:bidi="ar"/>
              </w:rPr>
              <w:t xml:space="preserve">0                       </w:t>
            </w:r>
            <w:r>
              <w:rPr>
                <w:rFonts w:ascii="Times New Roman" w:hAnsi="Times New Roman"/>
                <w:color w:val="000000"/>
                <w:kern w:val="0"/>
                <w:lang w:bidi="ar"/>
              </w:rPr>
              <w:t xml:space="preserve"> </w:t>
            </w:r>
          </w:p>
        </w:tc>
        <w:tc>
          <w:tcPr>
            <w:tcW w:w="133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olor w:val="000000"/>
                <w:kern w:val="0"/>
                <w:lang w:bidi="ar"/>
              </w:rPr>
              <w:t xml:space="preserve">254,088,917 </w:t>
            </w:r>
          </w:p>
        </w:tc>
        <w:tc>
          <w:tcPr>
            <w:tcW w:w="84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olor w:val="000000"/>
                <w:kern w:val="0"/>
                <w:lang w:bidi="ar"/>
              </w:rPr>
              <w:t>9.63</w:t>
            </w:r>
          </w:p>
        </w:tc>
        <w:tc>
          <w:tcPr>
            <w:tcW w:w="157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szCs w:val="21"/>
              </w:rPr>
            </w:pPr>
            <w:r>
              <w:rPr>
                <w:rFonts w:ascii="Times New Roman" w:hAnsi="Times New Roman"/>
                <w:color w:val="000000"/>
                <w:kern w:val="0"/>
                <w:lang w:bidi="ar"/>
              </w:rPr>
              <w:t xml:space="preserve">252,966,517 </w:t>
            </w:r>
          </w:p>
        </w:tc>
        <w:tc>
          <w:tcPr>
            <w:tcW w:w="96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szCs w:val="21"/>
              </w:rPr>
            </w:pPr>
            <w:r>
              <w:rPr>
                <w:rFonts w:ascii="Times New Roman" w:hAnsi="Times New Roman" w:hint="eastAsia"/>
              </w:rPr>
              <w:t>无</w:t>
            </w:r>
          </w:p>
        </w:tc>
        <w:tc>
          <w:tcPr>
            <w:tcW w:w="123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szCs w:val="21"/>
              </w:rPr>
            </w:pPr>
            <w:r>
              <w:rPr>
                <w:rFonts w:ascii="Times New Roman" w:hAnsi="Times New Roman" w:hint="eastAsia"/>
              </w:rPr>
              <w:t>0</w:t>
            </w:r>
          </w:p>
        </w:tc>
        <w:tc>
          <w:tcPr>
            <w:tcW w:w="1120"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szCs w:val="21"/>
              </w:rPr>
            </w:pPr>
            <w:r>
              <w:rPr>
                <w:rFonts w:ascii="Times New Roman" w:hAnsi="Times New Roman" w:hint="eastAsia"/>
              </w:rPr>
              <w:t>境内非国有法人</w:t>
            </w:r>
          </w:p>
        </w:tc>
      </w:tr>
      <w:tr w:rsidR="00AD5BB5">
        <w:trPr>
          <w:cantSplit/>
          <w:jc w:val="center"/>
        </w:trPr>
        <w:tc>
          <w:tcPr>
            <w:tcW w:w="140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left"/>
              <w:textAlignment w:val="center"/>
              <w:rPr>
                <w:rFonts w:ascii="Times New Roman" w:hAnsi="Times New Roman"/>
                <w:szCs w:val="21"/>
              </w:rPr>
            </w:pPr>
            <w:r>
              <w:rPr>
                <w:rFonts w:ascii="宋体" w:hAnsi="宋体" w:cs="宋体" w:hint="eastAsia"/>
                <w:color w:val="000000"/>
                <w:kern w:val="0"/>
                <w:lang w:bidi="ar"/>
              </w:rPr>
              <w:t>福建七匹狼集团有限公司</w:t>
            </w:r>
          </w:p>
        </w:tc>
        <w:tc>
          <w:tcPr>
            <w:tcW w:w="124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szCs w:val="21"/>
              </w:rPr>
            </w:pPr>
            <w:r>
              <w:rPr>
                <w:rFonts w:ascii="Times New Roman" w:hAnsi="Times New Roman" w:hint="eastAsia"/>
                <w:color w:val="000000"/>
                <w:kern w:val="0"/>
                <w:lang w:bidi="ar"/>
              </w:rPr>
              <w:t>0</w:t>
            </w:r>
            <w:r>
              <w:rPr>
                <w:rFonts w:ascii="Times New Roman" w:hAnsi="Times New Roman"/>
                <w:color w:val="000000"/>
                <w:kern w:val="0"/>
                <w:lang w:bidi="ar"/>
              </w:rPr>
              <w:t xml:space="preserve"> </w:t>
            </w:r>
          </w:p>
        </w:tc>
        <w:tc>
          <w:tcPr>
            <w:tcW w:w="133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olor w:val="000000"/>
                <w:kern w:val="0"/>
                <w:lang w:bidi="ar"/>
              </w:rPr>
              <w:t xml:space="preserve">212,445,000 </w:t>
            </w:r>
          </w:p>
        </w:tc>
        <w:tc>
          <w:tcPr>
            <w:tcW w:w="84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olor w:val="000000"/>
                <w:kern w:val="0"/>
                <w:lang w:bidi="ar"/>
              </w:rPr>
              <w:t>8.05</w:t>
            </w:r>
          </w:p>
        </w:tc>
        <w:tc>
          <w:tcPr>
            <w:tcW w:w="157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szCs w:val="21"/>
              </w:rPr>
            </w:pPr>
            <w:r>
              <w:rPr>
                <w:rFonts w:ascii="Times New Roman" w:hAnsi="Times New Roman"/>
                <w:color w:val="000000"/>
                <w:kern w:val="0"/>
                <w:lang w:bidi="ar"/>
              </w:rPr>
              <w:t xml:space="preserve">211,500,000 </w:t>
            </w:r>
          </w:p>
        </w:tc>
        <w:tc>
          <w:tcPr>
            <w:tcW w:w="96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szCs w:val="21"/>
              </w:rPr>
            </w:pPr>
            <w:r>
              <w:rPr>
                <w:rFonts w:ascii="Times New Roman" w:hAnsi="Times New Roman" w:hint="eastAsia"/>
              </w:rPr>
              <w:t>质押</w:t>
            </w:r>
          </w:p>
        </w:tc>
        <w:tc>
          <w:tcPr>
            <w:tcW w:w="123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szCs w:val="21"/>
              </w:rPr>
            </w:pPr>
            <w:r>
              <w:rPr>
                <w:rFonts w:ascii="Times New Roman" w:hAnsi="Times New Roman" w:hint="eastAsia"/>
              </w:rPr>
              <w:t>78,000,000</w:t>
            </w:r>
          </w:p>
        </w:tc>
        <w:tc>
          <w:tcPr>
            <w:tcW w:w="1120"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szCs w:val="21"/>
              </w:rPr>
            </w:pPr>
            <w:r>
              <w:rPr>
                <w:rFonts w:ascii="Times New Roman" w:hAnsi="Times New Roman" w:hint="eastAsia"/>
              </w:rPr>
              <w:t>境内非国有法人</w:t>
            </w:r>
          </w:p>
        </w:tc>
      </w:tr>
      <w:tr w:rsidR="00AD5BB5">
        <w:trPr>
          <w:cantSplit/>
          <w:jc w:val="center"/>
        </w:trPr>
        <w:tc>
          <w:tcPr>
            <w:tcW w:w="140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left"/>
              <w:textAlignment w:val="center"/>
              <w:rPr>
                <w:rFonts w:ascii="Times New Roman" w:hAnsi="Times New Roman"/>
                <w:szCs w:val="21"/>
              </w:rPr>
            </w:pPr>
            <w:r>
              <w:rPr>
                <w:rFonts w:ascii="宋体" w:hAnsi="宋体" w:cs="宋体" w:hint="eastAsia"/>
                <w:color w:val="000000"/>
                <w:kern w:val="0"/>
                <w:lang w:bidi="ar"/>
              </w:rPr>
              <w:t>厦门国有资本资产管理有限公司</w:t>
            </w:r>
          </w:p>
        </w:tc>
        <w:tc>
          <w:tcPr>
            <w:tcW w:w="124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szCs w:val="21"/>
              </w:rPr>
            </w:pPr>
            <w:r>
              <w:rPr>
                <w:rFonts w:ascii="Times New Roman" w:hAnsi="Times New Roman" w:hint="eastAsia"/>
              </w:rPr>
              <w:t>0</w:t>
            </w:r>
          </w:p>
        </w:tc>
        <w:tc>
          <w:tcPr>
            <w:tcW w:w="133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olor w:val="000000"/>
                <w:kern w:val="0"/>
                <w:lang w:bidi="ar"/>
              </w:rPr>
              <w:t xml:space="preserve">118,500,000 </w:t>
            </w:r>
          </w:p>
        </w:tc>
        <w:tc>
          <w:tcPr>
            <w:tcW w:w="84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olor w:val="000000"/>
                <w:kern w:val="0"/>
                <w:lang w:bidi="ar"/>
              </w:rPr>
              <w:t>4.49</w:t>
            </w:r>
          </w:p>
        </w:tc>
        <w:tc>
          <w:tcPr>
            <w:tcW w:w="157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szCs w:val="21"/>
              </w:rPr>
            </w:pPr>
            <w:r>
              <w:rPr>
                <w:rFonts w:ascii="Times New Roman" w:hAnsi="Times New Roman"/>
              </w:rPr>
              <w:t>0</w:t>
            </w:r>
          </w:p>
        </w:tc>
        <w:tc>
          <w:tcPr>
            <w:tcW w:w="96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szCs w:val="21"/>
              </w:rPr>
            </w:pPr>
            <w:r>
              <w:rPr>
                <w:rFonts w:ascii="Times New Roman" w:hAnsi="Times New Roman" w:hint="eastAsia"/>
              </w:rPr>
              <w:t>无</w:t>
            </w:r>
          </w:p>
        </w:tc>
        <w:tc>
          <w:tcPr>
            <w:tcW w:w="123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szCs w:val="21"/>
              </w:rPr>
            </w:pPr>
            <w:r>
              <w:rPr>
                <w:rFonts w:ascii="Times New Roman" w:hAnsi="Times New Roman" w:hint="eastAsia"/>
              </w:rPr>
              <w:t>0</w:t>
            </w:r>
          </w:p>
        </w:tc>
        <w:tc>
          <w:tcPr>
            <w:tcW w:w="1120"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szCs w:val="21"/>
              </w:rPr>
            </w:pPr>
            <w:r>
              <w:rPr>
                <w:rFonts w:ascii="Times New Roman" w:hAnsi="Times New Roman" w:hint="eastAsia"/>
              </w:rPr>
              <w:t>国有法人</w:t>
            </w:r>
          </w:p>
        </w:tc>
      </w:tr>
      <w:tr w:rsidR="00AD5BB5">
        <w:trPr>
          <w:cantSplit/>
          <w:jc w:val="center"/>
        </w:trPr>
        <w:tc>
          <w:tcPr>
            <w:tcW w:w="140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left"/>
              <w:textAlignment w:val="center"/>
              <w:rPr>
                <w:rFonts w:ascii="Times New Roman" w:hAnsi="Times New Roman"/>
                <w:szCs w:val="21"/>
              </w:rPr>
            </w:pPr>
            <w:proofErr w:type="gramStart"/>
            <w:r>
              <w:rPr>
                <w:rFonts w:ascii="宋体" w:hAnsi="宋体" w:cs="宋体" w:hint="eastAsia"/>
                <w:color w:val="000000"/>
                <w:kern w:val="0"/>
                <w:lang w:bidi="ar"/>
              </w:rPr>
              <w:t>泉舜集团</w:t>
            </w:r>
            <w:proofErr w:type="gramEnd"/>
            <w:r>
              <w:rPr>
                <w:rFonts w:ascii="宋体" w:hAnsi="宋体" w:cs="宋体" w:hint="eastAsia"/>
                <w:color w:val="000000"/>
                <w:kern w:val="0"/>
                <w:lang w:bidi="ar"/>
              </w:rPr>
              <w:t>（厦门）房地产股份有限公司</w:t>
            </w:r>
          </w:p>
        </w:tc>
        <w:tc>
          <w:tcPr>
            <w:tcW w:w="124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szCs w:val="21"/>
              </w:rPr>
            </w:pPr>
            <w:r>
              <w:rPr>
                <w:rFonts w:ascii="Times New Roman" w:hAnsi="Times New Roman" w:hint="eastAsia"/>
              </w:rPr>
              <w:t>0</w:t>
            </w:r>
          </w:p>
        </w:tc>
        <w:tc>
          <w:tcPr>
            <w:tcW w:w="133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olor w:val="000000"/>
                <w:kern w:val="0"/>
                <w:lang w:bidi="ar"/>
              </w:rPr>
              <w:t xml:space="preserve">92,537,608 </w:t>
            </w:r>
          </w:p>
        </w:tc>
        <w:tc>
          <w:tcPr>
            <w:tcW w:w="84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olor w:val="000000"/>
                <w:kern w:val="0"/>
                <w:lang w:bidi="ar"/>
              </w:rPr>
              <w:t>3.51</w:t>
            </w:r>
          </w:p>
        </w:tc>
        <w:tc>
          <w:tcPr>
            <w:tcW w:w="157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szCs w:val="21"/>
              </w:rPr>
            </w:pPr>
            <w:r>
              <w:rPr>
                <w:rFonts w:ascii="Times New Roman" w:hAnsi="Times New Roman"/>
              </w:rPr>
              <w:t>0</w:t>
            </w:r>
          </w:p>
        </w:tc>
        <w:tc>
          <w:tcPr>
            <w:tcW w:w="96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szCs w:val="21"/>
              </w:rPr>
            </w:pPr>
            <w:r>
              <w:rPr>
                <w:rFonts w:ascii="Times New Roman" w:hAnsi="Times New Roman" w:hint="eastAsia"/>
              </w:rPr>
              <w:t>质押</w:t>
            </w:r>
          </w:p>
        </w:tc>
        <w:tc>
          <w:tcPr>
            <w:tcW w:w="123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szCs w:val="21"/>
              </w:rPr>
            </w:pPr>
            <w:r>
              <w:rPr>
                <w:rFonts w:ascii="Times New Roman" w:hAnsi="Times New Roman"/>
              </w:rPr>
              <w:t>85</w:t>
            </w:r>
            <w:r>
              <w:rPr>
                <w:rFonts w:ascii="Times New Roman" w:hAnsi="Times New Roman" w:hint="eastAsia"/>
              </w:rPr>
              <w:t>,</w:t>
            </w:r>
            <w:r>
              <w:rPr>
                <w:rFonts w:ascii="Times New Roman" w:hAnsi="Times New Roman"/>
              </w:rPr>
              <w:t>700</w:t>
            </w:r>
            <w:r>
              <w:rPr>
                <w:rFonts w:ascii="Times New Roman" w:hAnsi="Times New Roman" w:hint="eastAsia"/>
              </w:rPr>
              <w:t>,</w:t>
            </w:r>
            <w:r>
              <w:rPr>
                <w:rFonts w:ascii="Times New Roman" w:hAnsi="Times New Roman"/>
              </w:rPr>
              <w:t>000</w:t>
            </w:r>
          </w:p>
        </w:tc>
        <w:tc>
          <w:tcPr>
            <w:tcW w:w="1120" w:type="dxa"/>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szCs w:val="21"/>
              </w:rPr>
            </w:pPr>
            <w:r>
              <w:rPr>
                <w:rFonts w:ascii="Times New Roman" w:hAnsi="Times New Roman" w:hint="eastAsia"/>
              </w:rPr>
              <w:t>境内非国有法人</w:t>
            </w:r>
          </w:p>
        </w:tc>
      </w:tr>
      <w:tr w:rsidR="00AD5BB5">
        <w:trPr>
          <w:cantSplit/>
          <w:trHeight w:val="330"/>
          <w:jc w:val="center"/>
        </w:trPr>
        <w:tc>
          <w:tcPr>
            <w:tcW w:w="140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left"/>
              <w:textAlignment w:val="center"/>
              <w:rPr>
                <w:rFonts w:ascii="Times New Roman" w:hAnsi="Times New Roman"/>
                <w:szCs w:val="21"/>
              </w:rPr>
            </w:pPr>
            <w:r>
              <w:rPr>
                <w:rFonts w:ascii="宋体" w:hAnsi="宋体" w:cs="宋体" w:hint="eastAsia"/>
                <w:color w:val="000000"/>
                <w:kern w:val="0"/>
                <w:lang w:bidi="ar"/>
              </w:rPr>
              <w:t>佛山电器照明股份有限公司</w:t>
            </w:r>
          </w:p>
        </w:tc>
        <w:tc>
          <w:tcPr>
            <w:tcW w:w="124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szCs w:val="21"/>
              </w:rPr>
            </w:pPr>
            <w:r>
              <w:rPr>
                <w:rFonts w:ascii="Times New Roman" w:hAnsi="Times New Roman" w:hint="eastAsia"/>
                <w:color w:val="000000"/>
                <w:kern w:val="0"/>
                <w:lang w:bidi="ar"/>
              </w:rPr>
              <w:t>0</w:t>
            </w:r>
            <w:r>
              <w:rPr>
                <w:rFonts w:ascii="Times New Roman" w:hAnsi="Times New Roman"/>
                <w:color w:val="000000"/>
                <w:kern w:val="0"/>
                <w:lang w:bidi="ar"/>
              </w:rPr>
              <w:t xml:space="preserve"> </w:t>
            </w:r>
          </w:p>
        </w:tc>
        <w:tc>
          <w:tcPr>
            <w:tcW w:w="133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olor w:val="000000"/>
                <w:kern w:val="0"/>
                <w:lang w:bidi="ar"/>
              </w:rPr>
              <w:t xml:space="preserve">57,358,515 </w:t>
            </w:r>
          </w:p>
        </w:tc>
        <w:tc>
          <w:tcPr>
            <w:tcW w:w="84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szCs w:val="21"/>
              </w:rPr>
            </w:pPr>
            <w:r>
              <w:rPr>
                <w:rFonts w:ascii="Times New Roman" w:hAnsi="Times New Roman"/>
                <w:color w:val="000000"/>
                <w:kern w:val="0"/>
                <w:lang w:bidi="ar"/>
              </w:rPr>
              <w:t>2.17</w:t>
            </w:r>
          </w:p>
        </w:tc>
        <w:tc>
          <w:tcPr>
            <w:tcW w:w="157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szCs w:val="21"/>
              </w:rPr>
            </w:pPr>
            <w:r>
              <w:rPr>
                <w:rFonts w:ascii="Times New Roman" w:hAnsi="Times New Roman"/>
              </w:rPr>
              <w:t>0</w:t>
            </w:r>
          </w:p>
        </w:tc>
        <w:tc>
          <w:tcPr>
            <w:tcW w:w="96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szCs w:val="21"/>
              </w:rPr>
            </w:pPr>
            <w:r>
              <w:rPr>
                <w:rFonts w:ascii="Times New Roman" w:hAnsi="Times New Roman" w:hint="eastAsia"/>
              </w:rPr>
              <w:t>无</w:t>
            </w:r>
          </w:p>
        </w:tc>
        <w:tc>
          <w:tcPr>
            <w:tcW w:w="123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color w:val="000000"/>
                <w:szCs w:val="21"/>
              </w:rPr>
            </w:pPr>
            <w:r>
              <w:rPr>
                <w:rFonts w:ascii="Times New Roman" w:hAnsi="Times New Roman" w:hint="eastAsia"/>
              </w:rPr>
              <w:t>0</w:t>
            </w: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szCs w:val="21"/>
              </w:rPr>
            </w:pPr>
            <w:r>
              <w:rPr>
                <w:rFonts w:ascii="Times New Roman" w:hAnsi="Times New Roman" w:hint="eastAsia"/>
              </w:rPr>
              <w:t>国有法人</w:t>
            </w:r>
          </w:p>
        </w:tc>
      </w:tr>
      <w:tr w:rsidR="00AD5BB5">
        <w:trPr>
          <w:cantSplit/>
          <w:jc w:val="center"/>
        </w:trPr>
        <w:tc>
          <w:tcPr>
            <w:tcW w:w="140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left"/>
              <w:textAlignment w:val="center"/>
              <w:rPr>
                <w:rFonts w:ascii="Times New Roman" w:hAnsi="Times New Roman" w:cs="Times New Roman"/>
                <w:color w:val="000000" w:themeColor="text1"/>
                <w:szCs w:val="21"/>
              </w:rPr>
            </w:pPr>
            <w:r>
              <w:rPr>
                <w:rFonts w:ascii="宋体" w:hAnsi="宋体" w:cs="宋体" w:hint="eastAsia"/>
                <w:color w:val="000000"/>
                <w:kern w:val="0"/>
                <w:lang w:bidi="ar"/>
              </w:rPr>
              <w:t>江苏舜天股份有限公司</w:t>
            </w:r>
          </w:p>
        </w:tc>
        <w:tc>
          <w:tcPr>
            <w:tcW w:w="124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color w:val="000000" w:themeColor="text1"/>
                <w:szCs w:val="21"/>
              </w:rPr>
            </w:pPr>
            <w:r>
              <w:rPr>
                <w:rFonts w:ascii="Times New Roman" w:hAnsi="Times New Roman" w:hint="eastAsia"/>
              </w:rPr>
              <w:t>0</w:t>
            </w:r>
          </w:p>
        </w:tc>
        <w:tc>
          <w:tcPr>
            <w:tcW w:w="133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color w:val="000000" w:themeColor="text1"/>
                <w:szCs w:val="21"/>
              </w:rPr>
            </w:pPr>
            <w:r>
              <w:rPr>
                <w:rFonts w:ascii="Times New Roman" w:hAnsi="Times New Roman"/>
                <w:color w:val="000000"/>
                <w:kern w:val="0"/>
                <w:lang w:bidi="ar"/>
              </w:rPr>
              <w:t xml:space="preserve">49,856,000 </w:t>
            </w:r>
          </w:p>
        </w:tc>
        <w:tc>
          <w:tcPr>
            <w:tcW w:w="84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color w:val="000000" w:themeColor="text1"/>
                <w:szCs w:val="21"/>
              </w:rPr>
            </w:pPr>
            <w:r>
              <w:rPr>
                <w:rFonts w:ascii="Times New Roman" w:hAnsi="Times New Roman"/>
                <w:color w:val="000000"/>
                <w:kern w:val="0"/>
                <w:lang w:bidi="ar"/>
              </w:rPr>
              <w:t>1.89</w:t>
            </w:r>
          </w:p>
        </w:tc>
        <w:tc>
          <w:tcPr>
            <w:tcW w:w="157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color w:val="000000" w:themeColor="text1"/>
                <w:szCs w:val="21"/>
              </w:rPr>
            </w:pPr>
            <w:r>
              <w:rPr>
                <w:rFonts w:ascii="Times New Roman" w:hAnsi="Times New Roman"/>
              </w:rPr>
              <w:t>0</w:t>
            </w:r>
          </w:p>
        </w:tc>
        <w:tc>
          <w:tcPr>
            <w:tcW w:w="96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color w:val="000000" w:themeColor="text1"/>
                <w:szCs w:val="21"/>
              </w:rPr>
            </w:pPr>
            <w:r>
              <w:rPr>
                <w:rFonts w:ascii="Times New Roman" w:hAnsi="Times New Roman" w:hint="eastAsia"/>
              </w:rPr>
              <w:t>无</w:t>
            </w:r>
          </w:p>
        </w:tc>
        <w:tc>
          <w:tcPr>
            <w:tcW w:w="123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color w:val="000000" w:themeColor="text1"/>
                <w:szCs w:val="21"/>
              </w:rPr>
            </w:pPr>
            <w:r>
              <w:rPr>
                <w:rFonts w:ascii="Times New Roman" w:hAnsi="Times New Roman" w:hint="eastAsia"/>
              </w:rPr>
              <w:t>0</w:t>
            </w: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color w:val="000000" w:themeColor="text1"/>
                <w:szCs w:val="21"/>
              </w:rPr>
            </w:pPr>
            <w:r>
              <w:rPr>
                <w:rFonts w:ascii="Times New Roman" w:hAnsi="Times New Roman" w:hint="eastAsia"/>
              </w:rPr>
              <w:t>国有法人</w:t>
            </w:r>
          </w:p>
        </w:tc>
      </w:tr>
      <w:tr w:rsidR="00AD5BB5">
        <w:trPr>
          <w:cantSplit/>
          <w:trHeight w:val="301"/>
          <w:jc w:val="center"/>
        </w:trPr>
        <w:tc>
          <w:tcPr>
            <w:tcW w:w="1402" w:type="dxa"/>
            <w:tcBorders>
              <w:left w:val="single" w:sz="4" w:space="0" w:color="auto"/>
              <w:bottom w:val="single" w:sz="4" w:space="0" w:color="auto"/>
              <w:right w:val="single" w:sz="4" w:space="0" w:color="auto"/>
              <w:tl2br w:val="nil"/>
              <w:tr2bl w:val="nil"/>
            </w:tcBorders>
            <w:vAlign w:val="center"/>
          </w:tcPr>
          <w:p w:rsidR="00AD5BB5" w:rsidRDefault="00F87FF6">
            <w:pPr>
              <w:widowControl/>
              <w:jc w:val="left"/>
              <w:textAlignment w:val="center"/>
              <w:rPr>
                <w:rFonts w:ascii="Times New Roman" w:hAnsi="Times New Roman" w:cs="Times New Roman"/>
                <w:color w:val="000000" w:themeColor="text1"/>
                <w:szCs w:val="21"/>
              </w:rPr>
            </w:pPr>
            <w:r>
              <w:rPr>
                <w:rFonts w:ascii="宋体" w:hAnsi="宋体" w:cs="宋体" w:hint="eastAsia"/>
                <w:color w:val="000000"/>
                <w:kern w:val="0"/>
                <w:lang w:bidi="ar"/>
              </w:rPr>
              <w:lastRenderedPageBreak/>
              <w:t>厦门华信元喜投资有限公司</w:t>
            </w:r>
          </w:p>
        </w:tc>
        <w:tc>
          <w:tcPr>
            <w:tcW w:w="1240" w:type="dxa"/>
            <w:tcBorders>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color w:val="000000" w:themeColor="text1"/>
                <w:szCs w:val="21"/>
              </w:rPr>
            </w:pPr>
            <w:r>
              <w:rPr>
                <w:rFonts w:ascii="Times New Roman" w:hAnsi="Times New Roman" w:hint="eastAsia"/>
              </w:rPr>
              <w:t>0</w:t>
            </w:r>
          </w:p>
        </w:tc>
        <w:tc>
          <w:tcPr>
            <w:tcW w:w="1330" w:type="dxa"/>
            <w:tcBorders>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color w:val="000000" w:themeColor="text1"/>
                <w:szCs w:val="21"/>
              </w:rPr>
            </w:pPr>
            <w:r>
              <w:rPr>
                <w:rFonts w:ascii="Times New Roman" w:hAnsi="Times New Roman"/>
                <w:color w:val="000000"/>
                <w:kern w:val="0"/>
                <w:lang w:bidi="ar"/>
              </w:rPr>
              <w:t xml:space="preserve">45,312,000 </w:t>
            </w:r>
          </w:p>
        </w:tc>
        <w:tc>
          <w:tcPr>
            <w:tcW w:w="843" w:type="dxa"/>
            <w:tcBorders>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color w:val="000000" w:themeColor="text1"/>
                <w:szCs w:val="21"/>
              </w:rPr>
            </w:pPr>
            <w:r>
              <w:rPr>
                <w:rFonts w:ascii="Times New Roman" w:hAnsi="Times New Roman"/>
                <w:color w:val="000000"/>
                <w:kern w:val="0"/>
                <w:lang w:bidi="ar"/>
              </w:rPr>
              <w:t>1.72</w:t>
            </w:r>
          </w:p>
        </w:tc>
        <w:tc>
          <w:tcPr>
            <w:tcW w:w="1578" w:type="dxa"/>
            <w:gridSpan w:val="2"/>
            <w:tcBorders>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color w:val="000000" w:themeColor="text1"/>
                <w:szCs w:val="21"/>
              </w:rPr>
            </w:pPr>
            <w:r>
              <w:rPr>
                <w:rFonts w:ascii="Times New Roman" w:hAnsi="Times New Roman"/>
              </w:rPr>
              <w:t>0</w:t>
            </w:r>
          </w:p>
        </w:tc>
        <w:tc>
          <w:tcPr>
            <w:tcW w:w="96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color w:val="000000" w:themeColor="text1"/>
                <w:szCs w:val="21"/>
              </w:rPr>
            </w:pPr>
            <w:r>
              <w:rPr>
                <w:rFonts w:ascii="Times New Roman" w:hAnsi="Times New Roman" w:hint="eastAsia"/>
              </w:rPr>
              <w:t>冻结</w:t>
            </w:r>
          </w:p>
        </w:tc>
        <w:tc>
          <w:tcPr>
            <w:tcW w:w="1237" w:type="dxa"/>
            <w:gridSpan w:val="2"/>
            <w:tcBorders>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color w:val="000000" w:themeColor="text1"/>
                <w:szCs w:val="21"/>
              </w:rPr>
            </w:pPr>
            <w:r>
              <w:rPr>
                <w:rFonts w:ascii="Times New Roman" w:hAnsi="Times New Roman"/>
                <w:color w:val="000000"/>
                <w:kern w:val="0"/>
                <w:lang w:bidi="ar"/>
              </w:rPr>
              <w:t>45,312,000</w:t>
            </w:r>
          </w:p>
        </w:tc>
        <w:tc>
          <w:tcPr>
            <w:tcW w:w="1120" w:type="dxa"/>
            <w:tcBorders>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color w:val="000000" w:themeColor="text1"/>
                <w:szCs w:val="21"/>
              </w:rPr>
            </w:pPr>
            <w:r>
              <w:rPr>
                <w:rFonts w:ascii="Times New Roman" w:hAnsi="Times New Roman" w:hint="eastAsia"/>
              </w:rPr>
              <w:t>境内非国有法人</w:t>
            </w:r>
          </w:p>
        </w:tc>
      </w:tr>
      <w:tr w:rsidR="00AD5BB5">
        <w:trPr>
          <w:cantSplit/>
          <w:jc w:val="center"/>
        </w:trPr>
        <w:tc>
          <w:tcPr>
            <w:tcW w:w="1402"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color w:val="000000" w:themeColor="text1"/>
                <w:szCs w:val="21"/>
              </w:rPr>
            </w:pPr>
            <w:r>
              <w:rPr>
                <w:rFonts w:ascii="宋体" w:hAnsi="宋体" w:cs="宋体" w:hint="eastAsia"/>
                <w:color w:val="000000"/>
                <w:kern w:val="0"/>
                <w:lang w:bidi="ar"/>
              </w:rPr>
              <w:t>香港中央结算有限公司</w:t>
            </w:r>
          </w:p>
        </w:tc>
        <w:tc>
          <w:tcPr>
            <w:tcW w:w="124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color w:val="000000" w:themeColor="text1"/>
                <w:szCs w:val="21"/>
              </w:rPr>
            </w:pPr>
            <w:r>
              <w:rPr>
                <w:rFonts w:ascii="Times New Roman" w:hAnsi="Times New Roman" w:hint="eastAsia"/>
                <w:color w:val="000000"/>
                <w:kern w:val="0"/>
                <w:lang w:bidi="ar"/>
              </w:rPr>
              <w:t>+806,211</w:t>
            </w:r>
            <w:r>
              <w:rPr>
                <w:rFonts w:ascii="Times New Roman" w:hAnsi="Times New Roman"/>
                <w:color w:val="000000"/>
                <w:kern w:val="0"/>
                <w:lang w:bidi="ar"/>
              </w:rPr>
              <w:t xml:space="preserve"> </w:t>
            </w:r>
          </w:p>
        </w:tc>
        <w:tc>
          <w:tcPr>
            <w:tcW w:w="133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color w:val="000000" w:themeColor="text1"/>
                <w:szCs w:val="21"/>
              </w:rPr>
            </w:pPr>
            <w:r>
              <w:rPr>
                <w:rFonts w:ascii="Times New Roman" w:hAnsi="Times New Roman" w:hint="eastAsia"/>
                <w:color w:val="000000"/>
                <w:kern w:val="0"/>
                <w:lang w:bidi="ar"/>
              </w:rPr>
              <w:t>40,408,415</w:t>
            </w:r>
            <w:r>
              <w:rPr>
                <w:rFonts w:ascii="Times New Roman" w:hAnsi="Times New Roman"/>
                <w:color w:val="000000"/>
                <w:kern w:val="0"/>
                <w:lang w:bidi="ar"/>
              </w:rPr>
              <w:t xml:space="preserve"> </w:t>
            </w:r>
          </w:p>
        </w:tc>
        <w:tc>
          <w:tcPr>
            <w:tcW w:w="843"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color w:val="000000" w:themeColor="text1"/>
                <w:szCs w:val="21"/>
              </w:rPr>
            </w:pPr>
            <w:r>
              <w:rPr>
                <w:rFonts w:ascii="Times New Roman" w:hAnsi="Times New Roman" w:hint="eastAsia"/>
                <w:color w:val="000000"/>
                <w:kern w:val="0"/>
                <w:lang w:bidi="ar"/>
              </w:rPr>
              <w:t>1.53</w:t>
            </w:r>
          </w:p>
        </w:tc>
        <w:tc>
          <w:tcPr>
            <w:tcW w:w="1578"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color w:val="000000" w:themeColor="text1"/>
                <w:szCs w:val="21"/>
              </w:rPr>
            </w:pPr>
            <w:r>
              <w:rPr>
                <w:rFonts w:ascii="Times New Roman" w:hAnsi="Times New Roman"/>
              </w:rPr>
              <w:t>0</w:t>
            </w:r>
          </w:p>
        </w:tc>
        <w:tc>
          <w:tcPr>
            <w:tcW w:w="96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color w:val="000000" w:themeColor="text1"/>
                <w:szCs w:val="21"/>
              </w:rPr>
            </w:pPr>
            <w:r>
              <w:rPr>
                <w:rFonts w:ascii="Times New Roman" w:hAnsi="Times New Roman" w:hint="eastAsia"/>
              </w:rPr>
              <w:t>无</w:t>
            </w:r>
          </w:p>
        </w:tc>
        <w:tc>
          <w:tcPr>
            <w:tcW w:w="123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cs="Times New Roman"/>
                <w:color w:val="000000" w:themeColor="text1"/>
                <w:szCs w:val="21"/>
              </w:rPr>
            </w:pPr>
            <w:r>
              <w:rPr>
                <w:rFonts w:ascii="Times New Roman" w:hAnsi="Times New Roman" w:hint="eastAsia"/>
              </w:rPr>
              <w:t>0</w:t>
            </w:r>
          </w:p>
        </w:tc>
        <w:tc>
          <w:tcPr>
            <w:tcW w:w="1120" w:type="dxa"/>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cs="Times New Roman"/>
                <w:color w:val="000000" w:themeColor="text1"/>
                <w:szCs w:val="21"/>
              </w:rPr>
            </w:pPr>
            <w:r>
              <w:rPr>
                <w:rFonts w:ascii="Times New Roman" w:hAnsi="Times New Roman"/>
              </w:rPr>
              <w:t>境外法人</w:t>
            </w:r>
          </w:p>
        </w:tc>
      </w:tr>
      <w:tr w:rsidR="00AD5BB5">
        <w:trPr>
          <w:cantSplit/>
          <w:jc w:val="center"/>
        </w:trPr>
        <w:tc>
          <w:tcPr>
            <w:tcW w:w="9710" w:type="dxa"/>
            <w:gridSpan w:val="10"/>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szCs w:val="21"/>
              </w:rPr>
            </w:pPr>
            <w:r>
              <w:rPr>
                <w:rFonts w:ascii="Times New Roman" w:hAnsi="Times New Roman" w:hint="eastAsia"/>
                <w:szCs w:val="21"/>
              </w:rPr>
              <w:t>前十名无限</w:t>
            </w:r>
            <w:proofErr w:type="gramStart"/>
            <w:r>
              <w:rPr>
                <w:rFonts w:ascii="Times New Roman" w:hAnsi="Times New Roman" w:hint="eastAsia"/>
                <w:szCs w:val="21"/>
              </w:rPr>
              <w:t>售条件</w:t>
            </w:r>
            <w:proofErr w:type="gramEnd"/>
            <w:r>
              <w:rPr>
                <w:rFonts w:ascii="Times New Roman" w:hAnsi="Times New Roman" w:hint="eastAsia"/>
                <w:szCs w:val="21"/>
              </w:rPr>
              <w:t>股东持股情况</w:t>
            </w:r>
          </w:p>
        </w:tc>
      </w:tr>
      <w:tr w:rsidR="00AD5BB5">
        <w:trPr>
          <w:cantSplit/>
          <w:jc w:val="center"/>
        </w:trPr>
        <w:tc>
          <w:tcPr>
            <w:tcW w:w="3972" w:type="dxa"/>
            <w:gridSpan w:val="3"/>
            <w:vMerge w:val="restar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szCs w:val="21"/>
              </w:rPr>
            </w:pPr>
            <w:r>
              <w:rPr>
                <w:rFonts w:ascii="Times New Roman" w:hAnsi="Times New Roman" w:hint="eastAsia"/>
                <w:szCs w:val="21"/>
              </w:rPr>
              <w:t>股东名称</w:t>
            </w:r>
          </w:p>
        </w:tc>
        <w:tc>
          <w:tcPr>
            <w:tcW w:w="2143" w:type="dxa"/>
            <w:gridSpan w:val="2"/>
            <w:vMerge w:val="restar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szCs w:val="21"/>
              </w:rPr>
            </w:pPr>
            <w:r>
              <w:rPr>
                <w:rFonts w:ascii="Times New Roman" w:hAnsi="Times New Roman" w:hint="eastAsia"/>
                <w:szCs w:val="21"/>
              </w:rPr>
              <w:t>持有无限</w:t>
            </w:r>
            <w:proofErr w:type="gramStart"/>
            <w:r>
              <w:rPr>
                <w:rFonts w:ascii="Times New Roman" w:hAnsi="Times New Roman" w:hint="eastAsia"/>
                <w:szCs w:val="21"/>
              </w:rPr>
              <w:t>售条件</w:t>
            </w:r>
            <w:proofErr w:type="gramEnd"/>
            <w:r>
              <w:rPr>
                <w:rFonts w:ascii="Times New Roman" w:hAnsi="Times New Roman" w:hint="eastAsia"/>
                <w:szCs w:val="21"/>
              </w:rPr>
              <w:t>流通股的数量</w:t>
            </w:r>
          </w:p>
        </w:tc>
        <w:tc>
          <w:tcPr>
            <w:tcW w:w="3595" w:type="dxa"/>
            <w:gridSpan w:val="5"/>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szCs w:val="21"/>
              </w:rPr>
            </w:pPr>
            <w:r>
              <w:rPr>
                <w:rFonts w:ascii="Times New Roman" w:hAnsi="Times New Roman" w:hint="eastAsia"/>
                <w:szCs w:val="21"/>
              </w:rPr>
              <w:t>股份种类及数量</w:t>
            </w:r>
          </w:p>
        </w:tc>
      </w:tr>
      <w:tr w:rsidR="00AD5BB5">
        <w:trPr>
          <w:cantSplit/>
          <w:jc w:val="center"/>
        </w:trPr>
        <w:tc>
          <w:tcPr>
            <w:tcW w:w="3972" w:type="dxa"/>
            <w:gridSpan w:val="3"/>
            <w:vMerge/>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rPr>
                <w:rFonts w:ascii="Times New Roman" w:hAnsi="Times New Roman"/>
                <w:szCs w:val="21"/>
              </w:rPr>
            </w:pPr>
          </w:p>
        </w:tc>
        <w:tc>
          <w:tcPr>
            <w:tcW w:w="2143" w:type="dxa"/>
            <w:gridSpan w:val="2"/>
            <w:vMerge/>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rPr>
                <w:rFonts w:ascii="Times New Roman" w:hAnsi="Times New Roman"/>
                <w:szCs w:val="21"/>
              </w:rPr>
            </w:pPr>
          </w:p>
        </w:tc>
        <w:tc>
          <w:tcPr>
            <w:tcW w:w="209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szCs w:val="21"/>
              </w:rPr>
            </w:pPr>
            <w:r>
              <w:rPr>
                <w:rFonts w:ascii="Times New Roman" w:hAnsi="Times New Roman" w:hint="eastAsia"/>
                <w:szCs w:val="21"/>
              </w:rPr>
              <w:t>种类</w:t>
            </w:r>
          </w:p>
        </w:tc>
        <w:tc>
          <w:tcPr>
            <w:tcW w:w="150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szCs w:val="21"/>
              </w:rPr>
            </w:pPr>
            <w:r>
              <w:rPr>
                <w:rFonts w:ascii="Times New Roman" w:hAnsi="Times New Roman" w:hint="eastAsia"/>
                <w:szCs w:val="21"/>
              </w:rPr>
              <w:t>数量</w:t>
            </w:r>
          </w:p>
        </w:tc>
      </w:tr>
      <w:tr w:rsidR="00AD5BB5">
        <w:trPr>
          <w:cantSplit/>
          <w:jc w:val="center"/>
        </w:trPr>
        <w:tc>
          <w:tcPr>
            <w:tcW w:w="397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left"/>
              <w:textAlignment w:val="center"/>
              <w:rPr>
                <w:rFonts w:ascii="宋体" w:hAnsi="宋体" w:cs="宋体"/>
                <w:color w:val="000000"/>
                <w:kern w:val="0"/>
                <w:szCs w:val="21"/>
                <w:lang w:bidi="ar"/>
              </w:rPr>
            </w:pPr>
            <w:r>
              <w:rPr>
                <w:rFonts w:ascii="宋体" w:hAnsi="宋体" w:cs="宋体" w:hint="eastAsia"/>
                <w:color w:val="000000"/>
                <w:kern w:val="0"/>
                <w:lang w:bidi="ar"/>
              </w:rPr>
              <w:t>厦门国有资本资产管理有限公司</w:t>
            </w:r>
          </w:p>
        </w:tc>
        <w:tc>
          <w:tcPr>
            <w:tcW w:w="214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eastAsia="仿宋" w:hAnsi="Times New Roman" w:cs="Times New Roman"/>
                <w:color w:val="000000"/>
                <w:kern w:val="0"/>
                <w:szCs w:val="21"/>
                <w:lang w:bidi="ar"/>
              </w:rPr>
            </w:pPr>
            <w:r>
              <w:rPr>
                <w:rFonts w:ascii="Times New Roman" w:hAnsi="Times New Roman"/>
                <w:color w:val="000000"/>
                <w:kern w:val="0"/>
                <w:lang w:bidi="ar"/>
              </w:rPr>
              <w:t xml:space="preserve">118,500,000 </w:t>
            </w:r>
          </w:p>
        </w:tc>
        <w:tc>
          <w:tcPr>
            <w:tcW w:w="209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szCs w:val="21"/>
              </w:rPr>
            </w:pPr>
            <w:r>
              <w:rPr>
                <w:rFonts w:ascii="Times New Roman" w:hAnsi="Times New Roman"/>
              </w:rPr>
              <w:t>人民币普通股</w:t>
            </w:r>
          </w:p>
        </w:tc>
        <w:tc>
          <w:tcPr>
            <w:tcW w:w="150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eastAsia="仿宋" w:hAnsi="Times New Roman" w:cs="Times New Roman"/>
                <w:color w:val="000000"/>
                <w:kern w:val="0"/>
                <w:szCs w:val="21"/>
                <w:lang w:bidi="ar"/>
              </w:rPr>
            </w:pPr>
            <w:r>
              <w:rPr>
                <w:rFonts w:ascii="Times New Roman" w:hAnsi="Times New Roman"/>
                <w:color w:val="000000"/>
                <w:kern w:val="0"/>
                <w:lang w:bidi="ar"/>
              </w:rPr>
              <w:t xml:space="preserve">118,500,000 </w:t>
            </w:r>
          </w:p>
        </w:tc>
      </w:tr>
      <w:tr w:rsidR="00AD5BB5">
        <w:trPr>
          <w:cantSplit/>
          <w:jc w:val="center"/>
        </w:trPr>
        <w:tc>
          <w:tcPr>
            <w:tcW w:w="397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left"/>
              <w:textAlignment w:val="center"/>
              <w:rPr>
                <w:rFonts w:ascii="宋体" w:hAnsi="宋体" w:cs="宋体"/>
                <w:color w:val="000000"/>
                <w:kern w:val="0"/>
                <w:szCs w:val="21"/>
                <w:lang w:bidi="ar"/>
              </w:rPr>
            </w:pPr>
            <w:proofErr w:type="gramStart"/>
            <w:r>
              <w:rPr>
                <w:rFonts w:ascii="宋体" w:hAnsi="宋体" w:cs="宋体" w:hint="eastAsia"/>
                <w:color w:val="000000"/>
                <w:kern w:val="0"/>
                <w:lang w:bidi="ar"/>
              </w:rPr>
              <w:t>泉舜集团</w:t>
            </w:r>
            <w:proofErr w:type="gramEnd"/>
            <w:r>
              <w:rPr>
                <w:rFonts w:ascii="宋体" w:hAnsi="宋体" w:cs="宋体" w:hint="eastAsia"/>
                <w:color w:val="000000"/>
                <w:kern w:val="0"/>
                <w:lang w:bidi="ar"/>
              </w:rPr>
              <w:t>（厦门）房地产股份有限公司</w:t>
            </w:r>
          </w:p>
        </w:tc>
        <w:tc>
          <w:tcPr>
            <w:tcW w:w="214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eastAsia="仿宋" w:hAnsi="Times New Roman" w:cs="Times New Roman"/>
                <w:color w:val="000000"/>
                <w:kern w:val="0"/>
                <w:szCs w:val="21"/>
                <w:lang w:bidi="ar"/>
              </w:rPr>
            </w:pPr>
            <w:r>
              <w:rPr>
                <w:rFonts w:ascii="Times New Roman" w:hAnsi="Times New Roman"/>
                <w:color w:val="000000"/>
                <w:kern w:val="0"/>
                <w:lang w:bidi="ar"/>
              </w:rPr>
              <w:t xml:space="preserve">92,537,608 </w:t>
            </w:r>
          </w:p>
        </w:tc>
        <w:tc>
          <w:tcPr>
            <w:tcW w:w="209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szCs w:val="21"/>
              </w:rPr>
            </w:pPr>
            <w:r>
              <w:rPr>
                <w:rFonts w:ascii="Times New Roman" w:hAnsi="Times New Roman"/>
              </w:rPr>
              <w:t>人民币普通股</w:t>
            </w:r>
          </w:p>
        </w:tc>
        <w:tc>
          <w:tcPr>
            <w:tcW w:w="150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eastAsia="仿宋" w:hAnsi="Times New Roman" w:cs="Times New Roman"/>
                <w:color w:val="000000"/>
                <w:kern w:val="0"/>
                <w:szCs w:val="21"/>
                <w:lang w:bidi="ar"/>
              </w:rPr>
            </w:pPr>
            <w:r>
              <w:rPr>
                <w:rFonts w:ascii="Times New Roman" w:hAnsi="Times New Roman"/>
                <w:color w:val="000000"/>
                <w:kern w:val="0"/>
                <w:lang w:bidi="ar"/>
              </w:rPr>
              <w:t xml:space="preserve">92,537,608 </w:t>
            </w:r>
          </w:p>
        </w:tc>
      </w:tr>
      <w:tr w:rsidR="00AD5BB5">
        <w:trPr>
          <w:cantSplit/>
          <w:jc w:val="center"/>
        </w:trPr>
        <w:tc>
          <w:tcPr>
            <w:tcW w:w="397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left"/>
              <w:textAlignment w:val="center"/>
              <w:rPr>
                <w:rFonts w:ascii="宋体" w:hAnsi="宋体" w:cs="宋体"/>
                <w:color w:val="000000"/>
                <w:kern w:val="0"/>
                <w:szCs w:val="21"/>
                <w:lang w:bidi="ar"/>
              </w:rPr>
            </w:pPr>
            <w:r>
              <w:rPr>
                <w:rFonts w:ascii="宋体" w:hAnsi="宋体" w:cs="宋体" w:hint="eastAsia"/>
                <w:color w:val="000000"/>
                <w:kern w:val="0"/>
                <w:lang w:bidi="ar"/>
              </w:rPr>
              <w:t>佛山电器照明股份有限公司</w:t>
            </w:r>
          </w:p>
        </w:tc>
        <w:tc>
          <w:tcPr>
            <w:tcW w:w="214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color w:val="000000"/>
                <w:szCs w:val="21"/>
              </w:rPr>
            </w:pPr>
            <w:r>
              <w:rPr>
                <w:rFonts w:ascii="Times New Roman" w:hAnsi="Times New Roman"/>
                <w:color w:val="000000"/>
                <w:kern w:val="0"/>
                <w:lang w:bidi="ar"/>
              </w:rPr>
              <w:t xml:space="preserve">57,358,515 </w:t>
            </w:r>
          </w:p>
        </w:tc>
        <w:tc>
          <w:tcPr>
            <w:tcW w:w="209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szCs w:val="21"/>
              </w:rPr>
            </w:pPr>
            <w:r>
              <w:rPr>
                <w:rFonts w:ascii="Times New Roman" w:hAnsi="Times New Roman"/>
              </w:rPr>
              <w:t>人民币普通股</w:t>
            </w:r>
          </w:p>
        </w:tc>
        <w:tc>
          <w:tcPr>
            <w:tcW w:w="150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color w:val="000000"/>
                <w:szCs w:val="21"/>
              </w:rPr>
            </w:pPr>
            <w:r>
              <w:rPr>
                <w:rFonts w:ascii="Times New Roman" w:hAnsi="Times New Roman"/>
                <w:color w:val="000000"/>
                <w:kern w:val="0"/>
                <w:lang w:bidi="ar"/>
              </w:rPr>
              <w:t xml:space="preserve">57,358,515 </w:t>
            </w:r>
          </w:p>
        </w:tc>
      </w:tr>
      <w:tr w:rsidR="00AD5BB5">
        <w:trPr>
          <w:cantSplit/>
          <w:jc w:val="center"/>
        </w:trPr>
        <w:tc>
          <w:tcPr>
            <w:tcW w:w="397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left"/>
              <w:textAlignment w:val="center"/>
              <w:rPr>
                <w:rFonts w:ascii="宋体" w:hAnsi="宋体" w:cs="宋体"/>
                <w:color w:val="000000"/>
                <w:kern w:val="0"/>
                <w:szCs w:val="21"/>
                <w:lang w:bidi="ar"/>
              </w:rPr>
            </w:pPr>
            <w:r>
              <w:rPr>
                <w:rFonts w:ascii="宋体" w:hAnsi="宋体" w:cs="宋体" w:hint="eastAsia"/>
                <w:color w:val="000000"/>
                <w:kern w:val="0"/>
                <w:lang w:bidi="ar"/>
              </w:rPr>
              <w:t>江苏舜天股份有限公司</w:t>
            </w:r>
          </w:p>
        </w:tc>
        <w:tc>
          <w:tcPr>
            <w:tcW w:w="214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color w:val="000000"/>
                <w:kern w:val="0"/>
                <w:szCs w:val="21"/>
                <w:lang w:bidi="ar"/>
              </w:rPr>
            </w:pPr>
            <w:r>
              <w:rPr>
                <w:rFonts w:ascii="Times New Roman" w:hAnsi="Times New Roman"/>
                <w:color w:val="000000"/>
                <w:kern w:val="0"/>
                <w:lang w:bidi="ar"/>
              </w:rPr>
              <w:t xml:space="preserve">49,856,000 </w:t>
            </w:r>
          </w:p>
        </w:tc>
        <w:tc>
          <w:tcPr>
            <w:tcW w:w="209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szCs w:val="21"/>
              </w:rPr>
            </w:pPr>
            <w:r>
              <w:rPr>
                <w:rFonts w:ascii="Times New Roman" w:hAnsi="Times New Roman"/>
              </w:rPr>
              <w:t>人民币普通股</w:t>
            </w:r>
          </w:p>
        </w:tc>
        <w:tc>
          <w:tcPr>
            <w:tcW w:w="150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color w:val="000000"/>
                <w:kern w:val="0"/>
                <w:szCs w:val="21"/>
                <w:lang w:bidi="ar"/>
              </w:rPr>
            </w:pPr>
            <w:r>
              <w:rPr>
                <w:rFonts w:ascii="Times New Roman" w:hAnsi="Times New Roman"/>
                <w:color w:val="000000"/>
                <w:kern w:val="0"/>
                <w:lang w:bidi="ar"/>
              </w:rPr>
              <w:t xml:space="preserve">49,856,000 </w:t>
            </w:r>
          </w:p>
        </w:tc>
      </w:tr>
      <w:tr w:rsidR="00AD5BB5">
        <w:trPr>
          <w:cantSplit/>
          <w:jc w:val="center"/>
        </w:trPr>
        <w:tc>
          <w:tcPr>
            <w:tcW w:w="397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left"/>
              <w:textAlignment w:val="center"/>
              <w:rPr>
                <w:rFonts w:ascii="宋体" w:hAnsi="宋体" w:cs="宋体"/>
                <w:color w:val="000000"/>
                <w:kern w:val="0"/>
                <w:szCs w:val="21"/>
                <w:lang w:bidi="ar"/>
              </w:rPr>
            </w:pPr>
            <w:r>
              <w:rPr>
                <w:rFonts w:ascii="宋体" w:hAnsi="宋体" w:cs="宋体" w:hint="eastAsia"/>
                <w:color w:val="000000"/>
                <w:kern w:val="0"/>
                <w:lang w:bidi="ar"/>
              </w:rPr>
              <w:t>厦门华信元喜投资有限公司</w:t>
            </w:r>
          </w:p>
        </w:tc>
        <w:tc>
          <w:tcPr>
            <w:tcW w:w="214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color w:val="000000"/>
                <w:kern w:val="0"/>
                <w:szCs w:val="21"/>
                <w:lang w:bidi="ar"/>
              </w:rPr>
            </w:pPr>
            <w:r>
              <w:rPr>
                <w:rFonts w:ascii="Times New Roman" w:hAnsi="Times New Roman"/>
                <w:color w:val="000000"/>
                <w:kern w:val="0"/>
                <w:lang w:bidi="ar"/>
              </w:rPr>
              <w:t xml:space="preserve">45,312,000 </w:t>
            </w:r>
          </w:p>
        </w:tc>
        <w:tc>
          <w:tcPr>
            <w:tcW w:w="209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szCs w:val="21"/>
              </w:rPr>
            </w:pPr>
            <w:r>
              <w:rPr>
                <w:rFonts w:ascii="Times New Roman" w:hAnsi="Times New Roman"/>
              </w:rPr>
              <w:t>人民币普通股</w:t>
            </w:r>
          </w:p>
        </w:tc>
        <w:tc>
          <w:tcPr>
            <w:tcW w:w="150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color w:val="000000"/>
                <w:kern w:val="0"/>
                <w:szCs w:val="21"/>
                <w:lang w:bidi="ar"/>
              </w:rPr>
            </w:pPr>
            <w:r>
              <w:rPr>
                <w:rFonts w:ascii="Times New Roman" w:hAnsi="Times New Roman"/>
                <w:color w:val="000000"/>
                <w:kern w:val="0"/>
                <w:lang w:bidi="ar"/>
              </w:rPr>
              <w:t xml:space="preserve">45,312,000 </w:t>
            </w:r>
          </w:p>
        </w:tc>
      </w:tr>
      <w:tr w:rsidR="00AD5BB5">
        <w:trPr>
          <w:cantSplit/>
          <w:jc w:val="center"/>
        </w:trPr>
        <w:tc>
          <w:tcPr>
            <w:tcW w:w="397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left"/>
              <w:textAlignment w:val="center"/>
              <w:rPr>
                <w:rFonts w:ascii="宋体" w:hAnsi="宋体" w:cs="宋体"/>
                <w:color w:val="000000"/>
                <w:kern w:val="0"/>
                <w:szCs w:val="21"/>
                <w:lang w:bidi="ar"/>
              </w:rPr>
            </w:pPr>
            <w:r>
              <w:rPr>
                <w:rFonts w:ascii="宋体" w:hAnsi="宋体" w:cs="宋体" w:hint="eastAsia"/>
                <w:color w:val="000000"/>
                <w:kern w:val="0"/>
                <w:lang w:bidi="ar"/>
              </w:rPr>
              <w:t>香港中央结算有限公司</w:t>
            </w:r>
          </w:p>
        </w:tc>
        <w:tc>
          <w:tcPr>
            <w:tcW w:w="214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color w:val="000000"/>
                <w:kern w:val="0"/>
                <w:szCs w:val="21"/>
                <w:lang w:bidi="ar"/>
              </w:rPr>
            </w:pPr>
            <w:r>
              <w:rPr>
                <w:rFonts w:ascii="Times New Roman" w:hAnsi="Times New Roman" w:hint="eastAsia"/>
                <w:color w:val="000000"/>
                <w:kern w:val="0"/>
                <w:lang w:bidi="ar"/>
              </w:rPr>
              <w:t>40,408,415</w:t>
            </w:r>
            <w:r>
              <w:rPr>
                <w:rFonts w:ascii="Times New Roman" w:hAnsi="Times New Roman"/>
                <w:color w:val="000000"/>
                <w:kern w:val="0"/>
                <w:lang w:bidi="ar"/>
              </w:rPr>
              <w:t xml:space="preserve"> </w:t>
            </w:r>
          </w:p>
        </w:tc>
        <w:tc>
          <w:tcPr>
            <w:tcW w:w="209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szCs w:val="21"/>
              </w:rPr>
            </w:pPr>
            <w:r>
              <w:rPr>
                <w:rFonts w:ascii="Times New Roman" w:hAnsi="Times New Roman"/>
              </w:rPr>
              <w:t>人民币普通股</w:t>
            </w:r>
          </w:p>
        </w:tc>
        <w:tc>
          <w:tcPr>
            <w:tcW w:w="150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s="Times New Roman"/>
                <w:color w:val="000000"/>
                <w:kern w:val="0"/>
                <w:szCs w:val="21"/>
                <w:lang w:bidi="ar"/>
              </w:rPr>
            </w:pPr>
            <w:r>
              <w:rPr>
                <w:rFonts w:ascii="Times New Roman" w:hAnsi="Times New Roman" w:hint="eastAsia"/>
                <w:color w:val="000000"/>
                <w:kern w:val="0"/>
                <w:lang w:bidi="ar"/>
              </w:rPr>
              <w:t>40,408,415</w:t>
            </w:r>
          </w:p>
        </w:tc>
      </w:tr>
      <w:tr w:rsidR="00AD5BB5">
        <w:trPr>
          <w:cantSplit/>
          <w:jc w:val="center"/>
        </w:trPr>
        <w:tc>
          <w:tcPr>
            <w:tcW w:w="397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left"/>
              <w:textAlignment w:val="center"/>
              <w:rPr>
                <w:rFonts w:ascii="宋体" w:hAnsi="宋体" w:cs="宋体"/>
                <w:color w:val="000000"/>
                <w:kern w:val="0"/>
                <w:szCs w:val="21"/>
                <w:lang w:bidi="ar"/>
              </w:rPr>
            </w:pPr>
            <w:r>
              <w:rPr>
                <w:rFonts w:ascii="宋体" w:hAnsi="宋体" w:cs="宋体" w:hint="eastAsia"/>
                <w:color w:val="000000"/>
                <w:kern w:val="0"/>
                <w:lang w:bidi="ar"/>
              </w:rPr>
              <w:t>大洲控股集团有限公司</w:t>
            </w:r>
          </w:p>
        </w:tc>
        <w:tc>
          <w:tcPr>
            <w:tcW w:w="214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eastAsia="仿宋" w:hAnsi="Times New Roman" w:cs="Times New Roman"/>
                <w:color w:val="000000"/>
                <w:kern w:val="0"/>
                <w:szCs w:val="21"/>
                <w:lang w:bidi="ar"/>
              </w:rPr>
            </w:pPr>
            <w:r>
              <w:rPr>
                <w:rFonts w:ascii="Times New Roman" w:hAnsi="Times New Roman" w:hint="eastAsia"/>
                <w:color w:val="000000"/>
                <w:kern w:val="0"/>
                <w:lang w:bidi="ar"/>
              </w:rPr>
              <w:t>35,861,438</w:t>
            </w:r>
            <w:r>
              <w:rPr>
                <w:rFonts w:ascii="Times New Roman" w:hAnsi="Times New Roman"/>
                <w:color w:val="000000"/>
                <w:kern w:val="0"/>
                <w:lang w:bidi="ar"/>
              </w:rPr>
              <w:t xml:space="preserve"> </w:t>
            </w:r>
          </w:p>
        </w:tc>
        <w:tc>
          <w:tcPr>
            <w:tcW w:w="209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szCs w:val="21"/>
              </w:rPr>
            </w:pPr>
            <w:r>
              <w:rPr>
                <w:rFonts w:ascii="Times New Roman" w:hAnsi="Times New Roman"/>
              </w:rPr>
              <w:t>人民币普通股</w:t>
            </w:r>
          </w:p>
        </w:tc>
        <w:tc>
          <w:tcPr>
            <w:tcW w:w="150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eastAsia="仿宋" w:hAnsi="Times New Roman" w:cs="Times New Roman"/>
                <w:color w:val="000000"/>
                <w:kern w:val="0"/>
                <w:szCs w:val="21"/>
                <w:lang w:bidi="ar"/>
              </w:rPr>
            </w:pPr>
            <w:r>
              <w:rPr>
                <w:rFonts w:ascii="Times New Roman" w:hAnsi="Times New Roman" w:hint="eastAsia"/>
                <w:color w:val="000000"/>
                <w:kern w:val="0"/>
                <w:lang w:bidi="ar"/>
              </w:rPr>
              <w:t>35,861,438</w:t>
            </w:r>
            <w:r>
              <w:rPr>
                <w:rFonts w:ascii="Times New Roman" w:hAnsi="Times New Roman"/>
                <w:color w:val="000000"/>
                <w:kern w:val="0"/>
                <w:lang w:bidi="ar"/>
              </w:rPr>
              <w:t xml:space="preserve"> </w:t>
            </w:r>
          </w:p>
        </w:tc>
      </w:tr>
      <w:tr w:rsidR="00AD5BB5">
        <w:trPr>
          <w:cantSplit/>
          <w:jc w:val="center"/>
        </w:trPr>
        <w:tc>
          <w:tcPr>
            <w:tcW w:w="397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left"/>
              <w:textAlignment w:val="center"/>
              <w:rPr>
                <w:rFonts w:ascii="宋体" w:hAnsi="宋体" w:cs="宋体"/>
                <w:color w:val="000000"/>
                <w:kern w:val="0"/>
                <w:szCs w:val="21"/>
                <w:lang w:bidi="ar"/>
              </w:rPr>
            </w:pPr>
            <w:r>
              <w:rPr>
                <w:rFonts w:ascii="宋体" w:hAnsi="宋体" w:cs="宋体" w:hint="eastAsia"/>
                <w:color w:val="000000"/>
                <w:kern w:val="0"/>
                <w:lang w:bidi="ar"/>
              </w:rPr>
              <w:t>厦门市建</w:t>
            </w:r>
            <w:proofErr w:type="gramStart"/>
            <w:r>
              <w:rPr>
                <w:rFonts w:ascii="宋体" w:hAnsi="宋体" w:cs="宋体" w:hint="eastAsia"/>
                <w:color w:val="000000"/>
                <w:kern w:val="0"/>
                <w:lang w:bidi="ar"/>
              </w:rPr>
              <w:t>潘</w:t>
            </w:r>
            <w:proofErr w:type="gramEnd"/>
            <w:r>
              <w:rPr>
                <w:rFonts w:ascii="宋体" w:hAnsi="宋体" w:cs="宋体" w:hint="eastAsia"/>
                <w:color w:val="000000"/>
                <w:kern w:val="0"/>
                <w:lang w:bidi="ar"/>
              </w:rPr>
              <w:t>集团有限公司</w:t>
            </w:r>
          </w:p>
        </w:tc>
        <w:tc>
          <w:tcPr>
            <w:tcW w:w="214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eastAsia="仿宋" w:hAnsi="Times New Roman" w:cs="Times New Roman"/>
                <w:color w:val="000000"/>
                <w:kern w:val="0"/>
                <w:szCs w:val="21"/>
                <w:lang w:bidi="ar"/>
              </w:rPr>
            </w:pPr>
            <w:r>
              <w:rPr>
                <w:rFonts w:ascii="Times New Roman" w:hAnsi="Times New Roman"/>
                <w:color w:val="000000"/>
                <w:kern w:val="0"/>
                <w:lang w:bidi="ar"/>
              </w:rPr>
              <w:t xml:space="preserve">30,000,000 </w:t>
            </w:r>
          </w:p>
        </w:tc>
        <w:tc>
          <w:tcPr>
            <w:tcW w:w="209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szCs w:val="21"/>
              </w:rPr>
            </w:pPr>
            <w:r>
              <w:rPr>
                <w:rFonts w:ascii="Times New Roman" w:hAnsi="Times New Roman"/>
              </w:rPr>
              <w:t>人民币普通股</w:t>
            </w:r>
          </w:p>
        </w:tc>
        <w:tc>
          <w:tcPr>
            <w:tcW w:w="150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eastAsia="仿宋" w:hAnsi="Times New Roman" w:cs="Times New Roman"/>
                <w:color w:val="000000"/>
                <w:kern w:val="0"/>
                <w:szCs w:val="21"/>
                <w:lang w:bidi="ar"/>
              </w:rPr>
            </w:pPr>
            <w:r>
              <w:rPr>
                <w:rFonts w:ascii="Times New Roman" w:hAnsi="Times New Roman"/>
                <w:color w:val="000000"/>
                <w:kern w:val="0"/>
                <w:lang w:bidi="ar"/>
              </w:rPr>
              <w:t xml:space="preserve">30,000,000 </w:t>
            </w:r>
          </w:p>
        </w:tc>
      </w:tr>
      <w:tr w:rsidR="00AD5BB5">
        <w:trPr>
          <w:cantSplit/>
          <w:jc w:val="center"/>
        </w:trPr>
        <w:tc>
          <w:tcPr>
            <w:tcW w:w="397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left"/>
              <w:textAlignment w:val="center"/>
              <w:rPr>
                <w:rFonts w:ascii="宋体" w:hAnsi="宋体" w:cs="宋体"/>
                <w:color w:val="000000"/>
                <w:kern w:val="0"/>
                <w:szCs w:val="21"/>
                <w:lang w:bidi="ar"/>
              </w:rPr>
            </w:pPr>
            <w:r>
              <w:rPr>
                <w:rFonts w:ascii="宋体" w:hAnsi="宋体" w:cs="宋体" w:hint="eastAsia"/>
                <w:color w:val="000000"/>
                <w:kern w:val="0"/>
                <w:lang w:bidi="ar"/>
              </w:rPr>
              <w:t>厦门市</w:t>
            </w:r>
            <w:proofErr w:type="gramStart"/>
            <w:r>
              <w:rPr>
                <w:rFonts w:ascii="宋体" w:hAnsi="宋体" w:cs="宋体" w:hint="eastAsia"/>
                <w:color w:val="000000"/>
                <w:kern w:val="0"/>
                <w:lang w:bidi="ar"/>
              </w:rPr>
              <w:t>和祥税理</w:t>
            </w:r>
            <w:proofErr w:type="gramEnd"/>
            <w:r>
              <w:rPr>
                <w:rFonts w:ascii="宋体" w:hAnsi="宋体" w:cs="宋体" w:hint="eastAsia"/>
                <w:color w:val="000000"/>
                <w:kern w:val="0"/>
                <w:lang w:bidi="ar"/>
              </w:rPr>
              <w:t>咨询服务有限公司</w:t>
            </w:r>
          </w:p>
        </w:tc>
        <w:tc>
          <w:tcPr>
            <w:tcW w:w="214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eastAsia="仿宋" w:hAnsi="Times New Roman" w:cs="Times New Roman"/>
                <w:color w:val="000000"/>
                <w:kern w:val="0"/>
                <w:szCs w:val="21"/>
                <w:lang w:bidi="ar"/>
              </w:rPr>
            </w:pPr>
            <w:r>
              <w:rPr>
                <w:rFonts w:ascii="Times New Roman" w:hAnsi="Times New Roman"/>
                <w:color w:val="000000"/>
                <w:kern w:val="0"/>
                <w:lang w:bidi="ar"/>
              </w:rPr>
              <w:t xml:space="preserve">27,241,843 </w:t>
            </w:r>
          </w:p>
        </w:tc>
        <w:tc>
          <w:tcPr>
            <w:tcW w:w="209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szCs w:val="21"/>
              </w:rPr>
            </w:pPr>
            <w:r>
              <w:rPr>
                <w:rFonts w:ascii="Times New Roman" w:hAnsi="Times New Roman"/>
              </w:rPr>
              <w:t>人民币普通股</w:t>
            </w:r>
          </w:p>
        </w:tc>
        <w:tc>
          <w:tcPr>
            <w:tcW w:w="150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eastAsia="仿宋" w:hAnsi="Times New Roman" w:cs="Times New Roman"/>
                <w:color w:val="000000"/>
                <w:kern w:val="0"/>
                <w:szCs w:val="21"/>
                <w:lang w:bidi="ar"/>
              </w:rPr>
            </w:pPr>
            <w:r>
              <w:rPr>
                <w:rFonts w:ascii="Times New Roman" w:hAnsi="Times New Roman"/>
                <w:color w:val="000000"/>
                <w:kern w:val="0"/>
                <w:lang w:bidi="ar"/>
              </w:rPr>
              <w:t xml:space="preserve">27,241,843 </w:t>
            </w:r>
          </w:p>
        </w:tc>
      </w:tr>
      <w:tr w:rsidR="00AD5BB5">
        <w:trPr>
          <w:cantSplit/>
          <w:jc w:val="center"/>
        </w:trPr>
        <w:tc>
          <w:tcPr>
            <w:tcW w:w="397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left"/>
              <w:textAlignment w:val="center"/>
              <w:rPr>
                <w:rFonts w:ascii="宋体" w:hAnsi="宋体" w:cs="宋体"/>
                <w:color w:val="000000"/>
                <w:kern w:val="0"/>
                <w:szCs w:val="21"/>
                <w:lang w:bidi="ar"/>
              </w:rPr>
            </w:pPr>
            <w:r>
              <w:rPr>
                <w:rFonts w:ascii="宋体" w:hAnsi="宋体" w:cs="宋体" w:hint="eastAsia"/>
                <w:color w:val="000000"/>
                <w:kern w:val="0"/>
                <w:lang w:bidi="ar"/>
              </w:rPr>
              <w:t>厦门欧华进出口贸易有限公司</w:t>
            </w:r>
          </w:p>
        </w:tc>
        <w:tc>
          <w:tcPr>
            <w:tcW w:w="214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eastAsia="仿宋" w:hAnsi="Times New Roman" w:cs="Times New Roman"/>
                <w:color w:val="000000"/>
                <w:kern w:val="0"/>
                <w:szCs w:val="21"/>
                <w:lang w:bidi="ar"/>
              </w:rPr>
            </w:pPr>
            <w:r>
              <w:rPr>
                <w:rFonts w:ascii="Times New Roman" w:hAnsi="Times New Roman"/>
                <w:color w:val="000000"/>
                <w:kern w:val="0"/>
                <w:lang w:bidi="ar"/>
              </w:rPr>
              <w:t xml:space="preserve">25,000,000 </w:t>
            </w:r>
          </w:p>
        </w:tc>
        <w:tc>
          <w:tcPr>
            <w:tcW w:w="2092"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cs="Times New Roman"/>
                <w:szCs w:val="21"/>
              </w:rPr>
            </w:pPr>
            <w:r>
              <w:rPr>
                <w:rFonts w:ascii="Times New Roman" w:hAnsi="Times New Roman"/>
              </w:rPr>
              <w:t>人民币普通股</w:t>
            </w:r>
          </w:p>
        </w:tc>
        <w:tc>
          <w:tcPr>
            <w:tcW w:w="150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eastAsia="仿宋" w:hAnsi="Times New Roman" w:cs="Times New Roman"/>
                <w:color w:val="000000"/>
                <w:kern w:val="0"/>
                <w:szCs w:val="21"/>
                <w:lang w:bidi="ar"/>
              </w:rPr>
            </w:pPr>
            <w:r>
              <w:rPr>
                <w:rFonts w:ascii="Times New Roman" w:hAnsi="Times New Roman"/>
                <w:color w:val="000000"/>
                <w:kern w:val="0"/>
                <w:lang w:bidi="ar"/>
              </w:rPr>
              <w:t xml:space="preserve">25,000,000 </w:t>
            </w:r>
          </w:p>
        </w:tc>
      </w:tr>
      <w:tr w:rsidR="00AD5BB5">
        <w:trPr>
          <w:cantSplit/>
          <w:jc w:val="center"/>
        </w:trPr>
        <w:tc>
          <w:tcPr>
            <w:tcW w:w="3972" w:type="dxa"/>
            <w:gridSpan w:val="3"/>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szCs w:val="21"/>
              </w:rPr>
            </w:pPr>
            <w:r>
              <w:rPr>
                <w:rFonts w:ascii="Times New Roman" w:hAnsi="Times New Roman" w:hint="eastAsia"/>
                <w:szCs w:val="21"/>
              </w:rPr>
              <w:t>前十名股东中回购专户情况说明</w:t>
            </w:r>
          </w:p>
        </w:tc>
        <w:tc>
          <w:tcPr>
            <w:tcW w:w="5738" w:type="dxa"/>
            <w:gridSpan w:val="7"/>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szCs w:val="21"/>
              </w:rPr>
            </w:pPr>
            <w:r>
              <w:rPr>
                <w:rFonts w:ascii="Times New Roman" w:hAnsi="Times New Roman"/>
                <w:szCs w:val="21"/>
              </w:rPr>
              <w:t>无</w:t>
            </w:r>
          </w:p>
        </w:tc>
      </w:tr>
      <w:tr w:rsidR="00AD5BB5">
        <w:trPr>
          <w:cantSplit/>
          <w:jc w:val="center"/>
        </w:trPr>
        <w:tc>
          <w:tcPr>
            <w:tcW w:w="3972" w:type="dxa"/>
            <w:gridSpan w:val="3"/>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szCs w:val="21"/>
              </w:rPr>
            </w:pPr>
            <w:r>
              <w:rPr>
                <w:rFonts w:ascii="Times New Roman" w:hAnsi="Times New Roman" w:hint="eastAsia"/>
                <w:szCs w:val="21"/>
              </w:rPr>
              <w:t>上述股东委托表决权、受托表决权、放弃表决权的说明</w:t>
            </w:r>
          </w:p>
        </w:tc>
        <w:tc>
          <w:tcPr>
            <w:tcW w:w="5738" w:type="dxa"/>
            <w:gridSpan w:val="7"/>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szCs w:val="21"/>
              </w:rPr>
            </w:pPr>
            <w:r>
              <w:rPr>
                <w:rFonts w:ascii="Times New Roman" w:hAnsi="Times New Roman" w:hint="eastAsia"/>
                <w:szCs w:val="21"/>
              </w:rPr>
              <w:t>无</w:t>
            </w:r>
          </w:p>
        </w:tc>
      </w:tr>
      <w:tr w:rsidR="00AD5BB5">
        <w:trPr>
          <w:cantSplit/>
          <w:jc w:val="center"/>
        </w:trPr>
        <w:tc>
          <w:tcPr>
            <w:tcW w:w="3972" w:type="dxa"/>
            <w:gridSpan w:val="3"/>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szCs w:val="21"/>
              </w:rPr>
            </w:pPr>
            <w:r>
              <w:rPr>
                <w:rFonts w:ascii="Times New Roman" w:hAnsi="Times New Roman" w:hint="eastAsia"/>
                <w:szCs w:val="21"/>
              </w:rPr>
              <w:t>上述股东关联关系或一致行动的说明</w:t>
            </w:r>
          </w:p>
        </w:tc>
        <w:tc>
          <w:tcPr>
            <w:tcW w:w="5738" w:type="dxa"/>
            <w:gridSpan w:val="7"/>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szCs w:val="21"/>
              </w:rPr>
            </w:pPr>
            <w:r>
              <w:rPr>
                <w:rFonts w:ascii="Times New Roman" w:hAnsi="Times New Roman" w:hint="eastAsia"/>
                <w:szCs w:val="21"/>
              </w:rPr>
              <w:t>无</w:t>
            </w:r>
          </w:p>
        </w:tc>
      </w:tr>
      <w:tr w:rsidR="00AD5BB5">
        <w:trPr>
          <w:cantSplit/>
          <w:jc w:val="center"/>
        </w:trPr>
        <w:tc>
          <w:tcPr>
            <w:tcW w:w="3972" w:type="dxa"/>
            <w:gridSpan w:val="3"/>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szCs w:val="21"/>
              </w:rPr>
            </w:pPr>
            <w:r>
              <w:rPr>
                <w:rFonts w:ascii="Times New Roman" w:hAnsi="Times New Roman" w:hint="eastAsia"/>
                <w:szCs w:val="21"/>
              </w:rPr>
              <w:t>表决权恢复的优先股股东及持股数量的说明</w:t>
            </w:r>
          </w:p>
        </w:tc>
        <w:tc>
          <w:tcPr>
            <w:tcW w:w="5738" w:type="dxa"/>
            <w:gridSpan w:val="7"/>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szCs w:val="21"/>
              </w:rPr>
            </w:pPr>
            <w:r>
              <w:rPr>
                <w:rFonts w:ascii="Times New Roman" w:hAnsi="Times New Roman" w:hint="eastAsia"/>
                <w:szCs w:val="21"/>
              </w:rPr>
              <w:t>无</w:t>
            </w:r>
          </w:p>
        </w:tc>
      </w:tr>
    </w:tbl>
    <w:p w:rsidR="00AD5BB5" w:rsidRDefault="00F87FF6">
      <w:pPr>
        <w:spacing w:line="360" w:lineRule="auto"/>
        <w:rPr>
          <w:rStyle w:val="markedcontent"/>
          <w:rFonts w:ascii="Arial" w:eastAsia="微软雅黑" w:hAnsi="Arial" w:cs="Arial"/>
          <w:sz w:val="25"/>
          <w:szCs w:val="25"/>
          <w:shd w:val="clear" w:color="auto" w:fill="FFFFFF"/>
        </w:rPr>
      </w:pPr>
      <w:r>
        <w:rPr>
          <w:rFonts w:ascii="Times New Roman" w:hAnsi="Times New Roman"/>
        </w:rPr>
        <w:t>注：上述前十名股东持股情况</w:t>
      </w:r>
      <w:r>
        <w:rPr>
          <w:rFonts w:ascii="Times New Roman" w:hAnsi="Times New Roman" w:hint="eastAsia"/>
        </w:rPr>
        <w:t>中，台湾</w:t>
      </w:r>
      <w:proofErr w:type="gramStart"/>
      <w:r>
        <w:rPr>
          <w:rFonts w:ascii="Times New Roman" w:hAnsi="Times New Roman" w:hint="eastAsia"/>
        </w:rPr>
        <w:t>富邦金控</w:t>
      </w:r>
      <w:r>
        <w:rPr>
          <w:rFonts w:ascii="Times New Roman" w:hAnsi="Times New Roman"/>
        </w:rPr>
        <w:t>持有</w:t>
      </w:r>
      <w:proofErr w:type="gramEnd"/>
      <w:r>
        <w:rPr>
          <w:rFonts w:ascii="Times New Roman" w:hAnsi="Times New Roman"/>
        </w:rPr>
        <w:t>的公司股份中</w:t>
      </w:r>
      <w:r>
        <w:rPr>
          <w:rFonts w:ascii="Times New Roman" w:hAnsi="Times New Roman"/>
        </w:rPr>
        <w:t>2,093,600</w:t>
      </w:r>
      <w:r>
        <w:rPr>
          <w:rFonts w:ascii="Times New Roman" w:hAnsi="Times New Roman"/>
        </w:rPr>
        <w:t>股</w:t>
      </w:r>
      <w:r>
        <w:rPr>
          <w:rFonts w:ascii="Times New Roman" w:hAnsi="Times New Roman" w:hint="eastAsia"/>
        </w:rPr>
        <w:t>通过沪港</w:t>
      </w:r>
      <w:proofErr w:type="gramStart"/>
      <w:r>
        <w:rPr>
          <w:rFonts w:ascii="Times New Roman" w:hAnsi="Times New Roman" w:hint="eastAsia"/>
        </w:rPr>
        <w:t>通</w:t>
      </w:r>
      <w:r>
        <w:rPr>
          <w:rFonts w:ascii="Times New Roman" w:hAnsi="Times New Roman"/>
        </w:rPr>
        <w:t>方式</w:t>
      </w:r>
      <w:proofErr w:type="gramEnd"/>
      <w:r>
        <w:rPr>
          <w:rFonts w:ascii="Times New Roman" w:hAnsi="Times New Roman"/>
        </w:rPr>
        <w:t>持有</w:t>
      </w:r>
      <w:r>
        <w:rPr>
          <w:rFonts w:ascii="Times New Roman" w:hAnsi="Times New Roman" w:hint="eastAsia"/>
        </w:rPr>
        <w:t>，</w:t>
      </w:r>
      <w:r>
        <w:rPr>
          <w:rFonts w:ascii="Times New Roman" w:hAnsi="Times New Roman"/>
        </w:rPr>
        <w:t>已在香港中央结算有限公司的持股数量中减少计算该部分股份，并将其归在台湾</w:t>
      </w:r>
      <w:proofErr w:type="gramStart"/>
      <w:r>
        <w:rPr>
          <w:rFonts w:ascii="Times New Roman" w:hAnsi="Times New Roman"/>
        </w:rPr>
        <w:t>富邦金控名下</w:t>
      </w:r>
      <w:proofErr w:type="gramEnd"/>
      <w:r>
        <w:rPr>
          <w:rFonts w:ascii="Times New Roman" w:hAnsi="Times New Roman" w:hint="eastAsia"/>
        </w:rPr>
        <w:t>。</w:t>
      </w:r>
    </w:p>
    <w:p w:rsidR="00AD5BB5" w:rsidRDefault="00AD5BB5">
      <w:pPr>
        <w:rPr>
          <w:rFonts w:ascii="Times New Roman" w:hAnsi="Times New Roman"/>
          <w:szCs w:val="21"/>
        </w:rPr>
      </w:pPr>
    </w:p>
    <w:p w:rsidR="00AD5BB5" w:rsidRDefault="00F87FF6">
      <w:pPr>
        <w:jc w:val="center"/>
        <w:rPr>
          <w:rFonts w:ascii="Times New Roman" w:hAnsi="Times New Roman"/>
          <w:szCs w:val="21"/>
        </w:rPr>
      </w:pPr>
      <w:r>
        <w:rPr>
          <w:rFonts w:ascii="Times New Roman" w:hAnsi="Times New Roman" w:hint="eastAsia"/>
          <w:szCs w:val="21"/>
        </w:rPr>
        <w:t>前十名有限</w:t>
      </w:r>
      <w:proofErr w:type="gramStart"/>
      <w:r>
        <w:rPr>
          <w:rFonts w:ascii="Times New Roman" w:hAnsi="Times New Roman" w:hint="eastAsia"/>
          <w:szCs w:val="21"/>
        </w:rPr>
        <w:t>售条件</w:t>
      </w:r>
      <w:proofErr w:type="gramEnd"/>
      <w:r>
        <w:rPr>
          <w:rFonts w:ascii="Times New Roman" w:hAnsi="Times New Roman" w:hint="eastAsia"/>
          <w:szCs w:val="21"/>
        </w:rPr>
        <w:t>股东持股数量及限售条件</w:t>
      </w:r>
    </w:p>
    <w:tbl>
      <w:tblPr>
        <w:tblW w:w="53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340"/>
        <w:gridCol w:w="1266"/>
        <w:gridCol w:w="1847"/>
        <w:gridCol w:w="815"/>
        <w:gridCol w:w="2112"/>
      </w:tblGrid>
      <w:tr w:rsidR="00AD5BB5">
        <w:trPr>
          <w:cantSplit/>
          <w:jc w:val="center"/>
        </w:trPr>
        <w:tc>
          <w:tcPr>
            <w:tcW w:w="235"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rPr>
            </w:pPr>
            <w:r>
              <w:rPr>
                <w:rFonts w:ascii="Times New Roman" w:hAnsi="Times New Roman" w:hint="eastAsia"/>
              </w:rPr>
              <w:t>序号</w:t>
            </w:r>
          </w:p>
        </w:tc>
        <w:tc>
          <w:tcPr>
            <w:tcW w:w="1333"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rPr>
            </w:pPr>
            <w:r>
              <w:rPr>
                <w:rFonts w:ascii="Times New Roman" w:hAnsi="Times New Roman" w:hint="eastAsia"/>
              </w:rPr>
              <w:t>有限</w:t>
            </w:r>
            <w:proofErr w:type="gramStart"/>
            <w:r>
              <w:rPr>
                <w:rFonts w:ascii="Times New Roman" w:hAnsi="Times New Roman" w:hint="eastAsia"/>
              </w:rPr>
              <w:t>售条件</w:t>
            </w:r>
            <w:proofErr w:type="gramEnd"/>
            <w:r>
              <w:rPr>
                <w:rFonts w:ascii="Times New Roman" w:hAnsi="Times New Roman" w:hint="eastAsia"/>
              </w:rPr>
              <w:t>股东名称</w:t>
            </w:r>
          </w:p>
        </w:tc>
        <w:tc>
          <w:tcPr>
            <w:tcW w:w="704"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rPr>
            </w:pPr>
            <w:r>
              <w:rPr>
                <w:rFonts w:ascii="Times New Roman" w:hAnsi="Times New Roman" w:hint="eastAsia"/>
              </w:rPr>
              <w:t>持有的有限</w:t>
            </w:r>
            <w:proofErr w:type="gramStart"/>
            <w:r>
              <w:rPr>
                <w:rFonts w:ascii="Times New Roman" w:hAnsi="Times New Roman" w:hint="eastAsia"/>
              </w:rPr>
              <w:t>售条件</w:t>
            </w:r>
            <w:proofErr w:type="gramEnd"/>
            <w:r>
              <w:rPr>
                <w:rFonts w:ascii="Times New Roman" w:hAnsi="Times New Roman" w:hint="eastAsia"/>
              </w:rPr>
              <w:t>股份数量</w:t>
            </w:r>
          </w:p>
        </w:tc>
        <w:tc>
          <w:tcPr>
            <w:tcW w:w="1522" w:type="pct"/>
            <w:gridSpan w:val="2"/>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rPr>
            </w:pPr>
            <w:r>
              <w:rPr>
                <w:rFonts w:ascii="Times New Roman" w:hAnsi="Times New Roman" w:hint="eastAsia"/>
              </w:rPr>
              <w:t>有限</w:t>
            </w:r>
            <w:proofErr w:type="gramStart"/>
            <w:r>
              <w:rPr>
                <w:rFonts w:ascii="Times New Roman" w:hAnsi="Times New Roman" w:hint="eastAsia"/>
              </w:rPr>
              <w:t>售条件</w:t>
            </w:r>
            <w:proofErr w:type="gramEnd"/>
            <w:r>
              <w:rPr>
                <w:rFonts w:ascii="Times New Roman" w:hAnsi="Times New Roman" w:hint="eastAsia"/>
              </w:rPr>
              <w:t>股份可上市交易情况</w:t>
            </w:r>
          </w:p>
        </w:tc>
        <w:tc>
          <w:tcPr>
            <w:tcW w:w="1204"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rPr>
            </w:pPr>
            <w:r>
              <w:rPr>
                <w:rFonts w:ascii="Times New Roman" w:hAnsi="Times New Roman" w:hint="eastAsia"/>
              </w:rPr>
              <w:t>限售条件</w:t>
            </w:r>
          </w:p>
        </w:tc>
      </w:tr>
      <w:tr w:rsidR="00AD5BB5">
        <w:trPr>
          <w:cantSplit/>
          <w:jc w:val="center"/>
        </w:trPr>
        <w:tc>
          <w:tcPr>
            <w:tcW w:w="235" w:type="pct"/>
            <w:vMerge/>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rPr>
                <w:rFonts w:ascii="Times New Roman" w:hAnsi="Times New Roman"/>
              </w:rPr>
            </w:pPr>
          </w:p>
        </w:tc>
        <w:tc>
          <w:tcPr>
            <w:tcW w:w="1333" w:type="pct"/>
            <w:vMerge/>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rPr>
                <w:rFonts w:ascii="Times New Roman" w:hAnsi="Times New Roman"/>
              </w:rPr>
            </w:pPr>
          </w:p>
        </w:tc>
        <w:tc>
          <w:tcPr>
            <w:tcW w:w="704" w:type="pct"/>
            <w:vMerge/>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rPr>
                <w:rFonts w:ascii="Times New Roman" w:hAnsi="Times New Roman"/>
              </w:rPr>
            </w:pPr>
          </w:p>
        </w:tc>
        <w:tc>
          <w:tcPr>
            <w:tcW w:w="105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rPr>
            </w:pPr>
            <w:r>
              <w:rPr>
                <w:rFonts w:ascii="Times New Roman" w:hAnsi="Times New Roman" w:hint="eastAsia"/>
              </w:rPr>
              <w:t>可上市交易时间</w:t>
            </w: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center"/>
              <w:rPr>
                <w:rFonts w:ascii="Times New Roman" w:hAnsi="Times New Roman"/>
              </w:rPr>
            </w:pPr>
            <w:r>
              <w:rPr>
                <w:rFonts w:ascii="Times New Roman" w:hAnsi="Times New Roman" w:hint="eastAsia"/>
              </w:rPr>
              <w:t>新增可上市交易股份数量</w:t>
            </w:r>
          </w:p>
        </w:tc>
        <w:tc>
          <w:tcPr>
            <w:tcW w:w="1204" w:type="pct"/>
            <w:vMerge/>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rPr>
                <w:rFonts w:ascii="Times New Roman" w:hAnsi="Times New Roman"/>
              </w:rPr>
            </w:pPr>
          </w:p>
        </w:tc>
      </w:tr>
      <w:tr w:rsidR="00AD5BB5">
        <w:trPr>
          <w:cantSplit/>
          <w:trHeight w:val="345"/>
          <w:jc w:val="center"/>
        </w:trPr>
        <w:tc>
          <w:tcPr>
            <w:tcW w:w="23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rPr>
              <w:t>1</w:t>
            </w:r>
          </w:p>
        </w:tc>
        <w:tc>
          <w:tcPr>
            <w:tcW w:w="133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宋体" w:hAnsi="宋体" w:cs="宋体" w:hint="eastAsia"/>
                <w:color w:val="000000"/>
                <w:kern w:val="0"/>
                <w:lang w:bidi="ar"/>
              </w:rPr>
              <w:t>厦门金圆投资集团有限公司</w:t>
            </w:r>
          </w:p>
        </w:tc>
        <w:tc>
          <w:tcPr>
            <w:tcW w:w="70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rPr>
            </w:pPr>
            <w:r>
              <w:rPr>
                <w:rFonts w:ascii="Times New Roman" w:hAnsi="Times New Roman"/>
              </w:rPr>
              <w:t>480</w:t>
            </w:r>
            <w:r>
              <w:rPr>
                <w:rFonts w:ascii="Times New Roman" w:hAnsi="Times New Roman" w:hint="eastAsia"/>
              </w:rPr>
              <w:t>,</w:t>
            </w:r>
            <w:r>
              <w:rPr>
                <w:rFonts w:ascii="Times New Roman" w:hAnsi="Times New Roman"/>
              </w:rPr>
              <w:t>045</w:t>
            </w:r>
            <w:r>
              <w:rPr>
                <w:rFonts w:ascii="Times New Roman" w:hAnsi="Times New Roman" w:hint="eastAsia"/>
              </w:rPr>
              <w:t>,</w:t>
            </w:r>
            <w:r>
              <w:rPr>
                <w:rFonts w:ascii="Times New Roman" w:hAnsi="Times New Roman"/>
              </w:rPr>
              <w:t>448</w:t>
            </w:r>
          </w:p>
        </w:tc>
        <w:tc>
          <w:tcPr>
            <w:tcW w:w="105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rPr>
              <w:t>2025</w:t>
            </w:r>
            <w:r>
              <w:rPr>
                <w:rFonts w:ascii="Times New Roman" w:hAnsi="Times New Roman" w:hint="eastAsia"/>
              </w:rPr>
              <w:t>年</w:t>
            </w:r>
            <w:r>
              <w:rPr>
                <w:rFonts w:ascii="Times New Roman" w:hAnsi="Times New Roman" w:hint="eastAsia"/>
              </w:rPr>
              <w:t>10</w:t>
            </w:r>
            <w:r>
              <w:rPr>
                <w:rFonts w:ascii="Times New Roman" w:hAnsi="Times New Roman" w:hint="eastAsia"/>
              </w:rPr>
              <w:t>月</w:t>
            </w:r>
            <w:r>
              <w:rPr>
                <w:rFonts w:ascii="Times New Roman" w:hAnsi="Times New Roman" w:hint="eastAsia"/>
              </w:rPr>
              <w:t>27</w:t>
            </w:r>
            <w:r>
              <w:rPr>
                <w:rFonts w:ascii="Times New Roman" w:hAnsi="Times New Roman" w:hint="eastAsia"/>
              </w:rPr>
              <w:t>日</w:t>
            </w: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rPr>
            </w:pPr>
            <w:r>
              <w:rPr>
                <w:rFonts w:ascii="Times New Roman" w:hAnsi="Times New Roman"/>
              </w:rPr>
              <w:t>0</w:t>
            </w:r>
          </w:p>
        </w:tc>
        <w:tc>
          <w:tcPr>
            <w:tcW w:w="120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hint="eastAsia"/>
              </w:rPr>
              <w:t>自上市之日起</w:t>
            </w:r>
            <w:r>
              <w:rPr>
                <w:rFonts w:ascii="Times New Roman" w:hAnsi="Times New Roman" w:hint="eastAsia"/>
              </w:rPr>
              <w:t>60</w:t>
            </w:r>
            <w:r>
              <w:rPr>
                <w:rFonts w:ascii="Times New Roman" w:hAnsi="Times New Roman" w:hint="eastAsia"/>
              </w:rPr>
              <w:t>个月</w:t>
            </w:r>
          </w:p>
        </w:tc>
      </w:tr>
      <w:tr w:rsidR="00AD5BB5">
        <w:trPr>
          <w:cantSplit/>
          <w:trHeight w:val="345"/>
          <w:jc w:val="center"/>
        </w:trPr>
        <w:tc>
          <w:tcPr>
            <w:tcW w:w="23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rPr>
              <w:t>2</w:t>
            </w:r>
          </w:p>
        </w:tc>
        <w:tc>
          <w:tcPr>
            <w:tcW w:w="133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hint="eastAsia"/>
              </w:rPr>
              <w:t>富邦金融控股股份有限公司</w:t>
            </w:r>
          </w:p>
        </w:tc>
        <w:tc>
          <w:tcPr>
            <w:tcW w:w="70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color w:val="000000"/>
              </w:rPr>
            </w:pPr>
            <w:r>
              <w:rPr>
                <w:rFonts w:ascii="Times New Roman" w:hAnsi="Times New Roman"/>
                <w:color w:val="000000"/>
                <w:kern w:val="0"/>
              </w:rPr>
              <w:t>473</w:t>
            </w:r>
            <w:r>
              <w:rPr>
                <w:rFonts w:ascii="Times New Roman" w:hAnsi="Times New Roman" w:hint="eastAsia"/>
                <w:color w:val="000000"/>
                <w:kern w:val="0"/>
              </w:rPr>
              <w:t>,</w:t>
            </w:r>
            <w:r>
              <w:rPr>
                <w:rFonts w:ascii="Times New Roman" w:hAnsi="Times New Roman"/>
                <w:color w:val="000000"/>
                <w:kern w:val="0"/>
              </w:rPr>
              <w:t>754</w:t>
            </w:r>
            <w:r>
              <w:rPr>
                <w:rFonts w:ascii="Times New Roman" w:hAnsi="Times New Roman" w:hint="eastAsia"/>
                <w:color w:val="000000"/>
                <w:kern w:val="0"/>
              </w:rPr>
              <w:t>,</w:t>
            </w:r>
            <w:r>
              <w:rPr>
                <w:rFonts w:ascii="Times New Roman" w:hAnsi="Times New Roman"/>
                <w:color w:val="000000"/>
                <w:kern w:val="0"/>
              </w:rPr>
              <w:t xml:space="preserve">585 </w:t>
            </w:r>
          </w:p>
        </w:tc>
        <w:tc>
          <w:tcPr>
            <w:tcW w:w="105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rPr>
              <w:t>2025</w:t>
            </w:r>
            <w:r>
              <w:rPr>
                <w:rFonts w:ascii="Times New Roman" w:hAnsi="Times New Roman" w:hint="eastAsia"/>
              </w:rPr>
              <w:t>年</w:t>
            </w:r>
            <w:r>
              <w:rPr>
                <w:rFonts w:ascii="Times New Roman" w:hAnsi="Times New Roman" w:hint="eastAsia"/>
              </w:rPr>
              <w:t>10</w:t>
            </w:r>
            <w:r>
              <w:rPr>
                <w:rFonts w:ascii="Times New Roman" w:hAnsi="Times New Roman" w:hint="eastAsia"/>
              </w:rPr>
              <w:t>月</w:t>
            </w:r>
            <w:r>
              <w:rPr>
                <w:rFonts w:ascii="Times New Roman" w:hAnsi="Times New Roman" w:hint="eastAsia"/>
              </w:rPr>
              <w:t>27</w:t>
            </w:r>
            <w:r>
              <w:rPr>
                <w:rFonts w:ascii="Times New Roman" w:hAnsi="Times New Roman" w:hint="eastAsia"/>
              </w:rPr>
              <w:t>日</w:t>
            </w: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rPr>
            </w:pPr>
            <w:r>
              <w:rPr>
                <w:rFonts w:ascii="Times New Roman" w:hAnsi="Times New Roman"/>
              </w:rPr>
              <w:t>0</w:t>
            </w:r>
          </w:p>
        </w:tc>
        <w:tc>
          <w:tcPr>
            <w:tcW w:w="120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hint="eastAsia"/>
              </w:rPr>
              <w:t>自上市之日起</w:t>
            </w:r>
            <w:r>
              <w:rPr>
                <w:rFonts w:ascii="Times New Roman" w:hAnsi="Times New Roman" w:hint="eastAsia"/>
              </w:rPr>
              <w:t>60</w:t>
            </w:r>
            <w:r>
              <w:rPr>
                <w:rFonts w:ascii="Times New Roman" w:hAnsi="Times New Roman" w:hint="eastAsia"/>
              </w:rPr>
              <w:t>个月</w:t>
            </w:r>
          </w:p>
        </w:tc>
      </w:tr>
      <w:tr w:rsidR="00AD5BB5">
        <w:trPr>
          <w:cantSplit/>
          <w:trHeight w:val="345"/>
          <w:jc w:val="center"/>
        </w:trPr>
        <w:tc>
          <w:tcPr>
            <w:tcW w:w="23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rPr>
              <w:t>3</w:t>
            </w:r>
          </w:p>
        </w:tc>
        <w:tc>
          <w:tcPr>
            <w:tcW w:w="133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hint="eastAsia"/>
              </w:rPr>
              <w:t>北京盛达兴业房地产开发有限公司</w:t>
            </w:r>
          </w:p>
        </w:tc>
        <w:tc>
          <w:tcPr>
            <w:tcW w:w="70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rPr>
            </w:pPr>
            <w:r>
              <w:rPr>
                <w:rFonts w:ascii="Times New Roman" w:hAnsi="Times New Roman"/>
              </w:rPr>
              <w:t>252</w:t>
            </w:r>
            <w:r>
              <w:rPr>
                <w:rFonts w:ascii="Times New Roman" w:hAnsi="Times New Roman" w:hint="eastAsia"/>
              </w:rPr>
              <w:t>,</w:t>
            </w:r>
            <w:r>
              <w:rPr>
                <w:rFonts w:ascii="Times New Roman" w:hAnsi="Times New Roman"/>
              </w:rPr>
              <w:t>966</w:t>
            </w:r>
            <w:r>
              <w:rPr>
                <w:rFonts w:ascii="Times New Roman" w:hAnsi="Times New Roman" w:hint="eastAsia"/>
              </w:rPr>
              <w:t>,</w:t>
            </w:r>
            <w:r>
              <w:rPr>
                <w:rFonts w:ascii="Times New Roman" w:hAnsi="Times New Roman"/>
              </w:rPr>
              <w:t>517</w:t>
            </w:r>
          </w:p>
        </w:tc>
        <w:tc>
          <w:tcPr>
            <w:tcW w:w="105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rPr>
              <w:t>2025</w:t>
            </w:r>
            <w:r>
              <w:rPr>
                <w:rFonts w:ascii="Times New Roman" w:hAnsi="Times New Roman" w:hint="eastAsia"/>
              </w:rPr>
              <w:t>年</w:t>
            </w:r>
            <w:r>
              <w:rPr>
                <w:rFonts w:ascii="Times New Roman" w:hAnsi="Times New Roman" w:hint="eastAsia"/>
              </w:rPr>
              <w:t>10</w:t>
            </w:r>
            <w:r>
              <w:rPr>
                <w:rFonts w:ascii="Times New Roman" w:hAnsi="Times New Roman" w:hint="eastAsia"/>
              </w:rPr>
              <w:t>月</w:t>
            </w:r>
            <w:r>
              <w:rPr>
                <w:rFonts w:ascii="Times New Roman" w:hAnsi="Times New Roman" w:hint="eastAsia"/>
              </w:rPr>
              <w:t>27</w:t>
            </w:r>
            <w:r>
              <w:rPr>
                <w:rFonts w:ascii="Times New Roman" w:hAnsi="Times New Roman" w:hint="eastAsia"/>
              </w:rPr>
              <w:t>日</w:t>
            </w: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rPr>
            </w:pPr>
            <w:r>
              <w:rPr>
                <w:rFonts w:ascii="Times New Roman" w:hAnsi="Times New Roman"/>
              </w:rPr>
              <w:t>0</w:t>
            </w:r>
          </w:p>
        </w:tc>
        <w:tc>
          <w:tcPr>
            <w:tcW w:w="120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hint="eastAsia"/>
              </w:rPr>
              <w:t>自上市之日起</w:t>
            </w:r>
            <w:r>
              <w:rPr>
                <w:rFonts w:ascii="Times New Roman" w:hAnsi="Times New Roman" w:hint="eastAsia"/>
              </w:rPr>
              <w:t>60</w:t>
            </w:r>
            <w:r>
              <w:rPr>
                <w:rFonts w:ascii="Times New Roman" w:hAnsi="Times New Roman" w:hint="eastAsia"/>
              </w:rPr>
              <w:t>个月</w:t>
            </w:r>
          </w:p>
        </w:tc>
      </w:tr>
      <w:tr w:rsidR="00AD5BB5">
        <w:trPr>
          <w:cantSplit/>
          <w:trHeight w:val="330"/>
          <w:jc w:val="center"/>
        </w:trPr>
        <w:tc>
          <w:tcPr>
            <w:tcW w:w="235"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rPr>
              <w:t>4</w:t>
            </w:r>
          </w:p>
        </w:tc>
        <w:tc>
          <w:tcPr>
            <w:tcW w:w="1333"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hint="eastAsia"/>
              </w:rPr>
              <w:t>福建七匹狼集团有限公司</w:t>
            </w:r>
          </w:p>
        </w:tc>
        <w:tc>
          <w:tcPr>
            <w:tcW w:w="70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rPr>
            </w:pPr>
            <w:r>
              <w:rPr>
                <w:rFonts w:ascii="Times New Roman" w:hAnsi="Times New Roman"/>
              </w:rPr>
              <w:t>70</w:t>
            </w:r>
            <w:r>
              <w:rPr>
                <w:rFonts w:ascii="Times New Roman" w:hAnsi="Times New Roman" w:hint="eastAsia"/>
              </w:rPr>
              <w:t>,</w:t>
            </w:r>
            <w:r>
              <w:rPr>
                <w:rFonts w:ascii="Times New Roman" w:hAnsi="Times New Roman"/>
              </w:rPr>
              <w:t>500</w:t>
            </w:r>
            <w:r>
              <w:rPr>
                <w:rFonts w:ascii="Times New Roman" w:hAnsi="Times New Roman" w:hint="eastAsia"/>
              </w:rPr>
              <w:t>,</w:t>
            </w:r>
            <w:r>
              <w:rPr>
                <w:rFonts w:ascii="Times New Roman" w:hAnsi="Times New Roman"/>
              </w:rPr>
              <w:t>000</w:t>
            </w:r>
          </w:p>
        </w:tc>
        <w:tc>
          <w:tcPr>
            <w:tcW w:w="105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rPr>
              <w:t>2023</w:t>
            </w:r>
            <w:r>
              <w:rPr>
                <w:rFonts w:ascii="Times New Roman" w:hAnsi="Times New Roman" w:hint="eastAsia"/>
              </w:rPr>
              <w:t>年</w:t>
            </w:r>
            <w:r>
              <w:rPr>
                <w:rFonts w:ascii="Times New Roman" w:hAnsi="Times New Roman" w:hint="eastAsia"/>
              </w:rPr>
              <w:t>10</w:t>
            </w:r>
            <w:r>
              <w:rPr>
                <w:rFonts w:ascii="Times New Roman" w:hAnsi="Times New Roman" w:hint="eastAsia"/>
              </w:rPr>
              <w:t>月</w:t>
            </w:r>
            <w:r>
              <w:rPr>
                <w:rFonts w:ascii="Times New Roman" w:hAnsi="Times New Roman" w:hint="eastAsia"/>
              </w:rPr>
              <w:t>27</w:t>
            </w:r>
            <w:r>
              <w:rPr>
                <w:rFonts w:ascii="Times New Roman" w:hAnsi="Times New Roman" w:hint="eastAsia"/>
              </w:rPr>
              <w:t>日</w:t>
            </w: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rPr>
            </w:pPr>
            <w:r>
              <w:rPr>
                <w:rFonts w:ascii="Times New Roman" w:hAnsi="Times New Roman"/>
              </w:rPr>
              <w:t>0</w:t>
            </w:r>
          </w:p>
        </w:tc>
        <w:tc>
          <w:tcPr>
            <w:tcW w:w="120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hint="eastAsia"/>
              </w:rPr>
              <w:t>自上市之日起</w:t>
            </w:r>
            <w:r>
              <w:rPr>
                <w:rFonts w:ascii="Times New Roman" w:hAnsi="Times New Roman" w:hint="eastAsia"/>
              </w:rPr>
              <w:t>36</w:t>
            </w:r>
            <w:r>
              <w:rPr>
                <w:rFonts w:ascii="Times New Roman" w:hAnsi="Times New Roman" w:hint="eastAsia"/>
              </w:rPr>
              <w:t>个月</w:t>
            </w:r>
          </w:p>
        </w:tc>
      </w:tr>
      <w:tr w:rsidR="00AD5BB5">
        <w:trPr>
          <w:cantSplit/>
          <w:trHeight w:val="345"/>
          <w:jc w:val="center"/>
        </w:trPr>
        <w:tc>
          <w:tcPr>
            <w:tcW w:w="235" w:type="pct"/>
            <w:vMerge/>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rPr>
                <w:rFonts w:ascii="Times New Roman" w:hAnsi="Times New Roman"/>
                <w:kern w:val="0"/>
              </w:rPr>
            </w:pPr>
          </w:p>
        </w:tc>
        <w:tc>
          <w:tcPr>
            <w:tcW w:w="1333" w:type="pct"/>
            <w:vMerge/>
            <w:tcBorders>
              <w:top w:val="single" w:sz="4" w:space="0" w:color="auto"/>
              <w:left w:val="single" w:sz="4" w:space="0" w:color="auto"/>
              <w:bottom w:val="single" w:sz="4" w:space="0" w:color="auto"/>
              <w:right w:val="single" w:sz="4" w:space="0" w:color="auto"/>
              <w:tl2br w:val="nil"/>
              <w:tr2bl w:val="nil"/>
            </w:tcBorders>
            <w:vAlign w:val="center"/>
          </w:tcPr>
          <w:p w:rsidR="00AD5BB5" w:rsidRDefault="00AD5BB5">
            <w:pPr>
              <w:rPr>
                <w:rFonts w:ascii="Times New Roman" w:hAnsi="Times New Roman"/>
              </w:rPr>
            </w:pPr>
          </w:p>
        </w:tc>
        <w:tc>
          <w:tcPr>
            <w:tcW w:w="70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rPr>
            </w:pPr>
            <w:r>
              <w:rPr>
                <w:rFonts w:ascii="Times New Roman" w:hAnsi="Times New Roman"/>
              </w:rPr>
              <w:t>141</w:t>
            </w:r>
            <w:r>
              <w:rPr>
                <w:rFonts w:ascii="Times New Roman" w:hAnsi="Times New Roman" w:hint="eastAsia"/>
              </w:rPr>
              <w:t>,</w:t>
            </w:r>
            <w:r>
              <w:rPr>
                <w:rFonts w:ascii="Times New Roman" w:hAnsi="Times New Roman"/>
              </w:rPr>
              <w:t>000</w:t>
            </w:r>
            <w:r>
              <w:rPr>
                <w:rFonts w:ascii="Times New Roman" w:hAnsi="Times New Roman" w:hint="eastAsia"/>
              </w:rPr>
              <w:t>,</w:t>
            </w:r>
            <w:r>
              <w:rPr>
                <w:rFonts w:ascii="Times New Roman" w:hAnsi="Times New Roman"/>
              </w:rPr>
              <w:t>000</w:t>
            </w:r>
          </w:p>
        </w:tc>
        <w:tc>
          <w:tcPr>
            <w:tcW w:w="105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rPr>
              <w:t>2025</w:t>
            </w:r>
            <w:r>
              <w:rPr>
                <w:rFonts w:ascii="Times New Roman" w:hAnsi="Times New Roman" w:hint="eastAsia"/>
              </w:rPr>
              <w:t>年</w:t>
            </w:r>
            <w:r>
              <w:rPr>
                <w:rFonts w:ascii="Times New Roman" w:hAnsi="Times New Roman" w:hint="eastAsia"/>
              </w:rPr>
              <w:t>10</w:t>
            </w:r>
            <w:r>
              <w:rPr>
                <w:rFonts w:ascii="Times New Roman" w:hAnsi="Times New Roman" w:hint="eastAsia"/>
              </w:rPr>
              <w:t>月</w:t>
            </w:r>
            <w:r>
              <w:rPr>
                <w:rFonts w:ascii="Times New Roman" w:hAnsi="Times New Roman" w:hint="eastAsia"/>
              </w:rPr>
              <w:t>27</w:t>
            </w:r>
            <w:r>
              <w:rPr>
                <w:rFonts w:ascii="Times New Roman" w:hAnsi="Times New Roman" w:hint="eastAsia"/>
              </w:rPr>
              <w:t>日</w:t>
            </w: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rPr>
            </w:pPr>
            <w:r>
              <w:rPr>
                <w:rFonts w:ascii="Times New Roman" w:hAnsi="Times New Roman"/>
              </w:rPr>
              <w:t>0</w:t>
            </w:r>
          </w:p>
        </w:tc>
        <w:tc>
          <w:tcPr>
            <w:tcW w:w="120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hint="eastAsia"/>
              </w:rPr>
              <w:t>自上市之日起</w:t>
            </w:r>
            <w:r>
              <w:rPr>
                <w:rFonts w:ascii="Times New Roman" w:hAnsi="Times New Roman" w:hint="eastAsia"/>
              </w:rPr>
              <w:t>60</w:t>
            </w:r>
            <w:r>
              <w:rPr>
                <w:rFonts w:ascii="Times New Roman" w:hAnsi="Times New Roman" w:hint="eastAsia"/>
              </w:rPr>
              <w:t>个月</w:t>
            </w:r>
          </w:p>
        </w:tc>
      </w:tr>
      <w:tr w:rsidR="00AD5BB5">
        <w:trPr>
          <w:cantSplit/>
          <w:trHeight w:val="345"/>
          <w:jc w:val="center"/>
        </w:trPr>
        <w:tc>
          <w:tcPr>
            <w:tcW w:w="23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hint="eastAsia"/>
              </w:rPr>
              <w:lastRenderedPageBreak/>
              <w:t>5</w:t>
            </w:r>
          </w:p>
        </w:tc>
        <w:tc>
          <w:tcPr>
            <w:tcW w:w="133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hint="eastAsia"/>
              </w:rPr>
              <w:t>厦门华铃集团有限公司</w:t>
            </w:r>
          </w:p>
        </w:tc>
        <w:tc>
          <w:tcPr>
            <w:tcW w:w="70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rPr>
            </w:pPr>
            <w:r>
              <w:rPr>
                <w:rFonts w:ascii="Times New Roman" w:hAnsi="Times New Roman" w:hint="eastAsia"/>
              </w:rPr>
              <w:t>10,000,000</w:t>
            </w:r>
          </w:p>
        </w:tc>
        <w:tc>
          <w:tcPr>
            <w:tcW w:w="105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rPr>
              <w:t>2023</w:t>
            </w:r>
            <w:r>
              <w:rPr>
                <w:rFonts w:ascii="Times New Roman" w:hAnsi="Times New Roman" w:hint="eastAsia"/>
              </w:rPr>
              <w:t>年</w:t>
            </w:r>
            <w:r>
              <w:rPr>
                <w:rFonts w:ascii="Times New Roman" w:hAnsi="Times New Roman" w:hint="eastAsia"/>
              </w:rPr>
              <w:t>10</w:t>
            </w:r>
            <w:r>
              <w:rPr>
                <w:rFonts w:ascii="Times New Roman" w:hAnsi="Times New Roman" w:hint="eastAsia"/>
              </w:rPr>
              <w:t>月</w:t>
            </w:r>
            <w:r>
              <w:rPr>
                <w:rFonts w:ascii="Times New Roman" w:hAnsi="Times New Roman" w:hint="eastAsia"/>
              </w:rPr>
              <w:t>27</w:t>
            </w:r>
            <w:r>
              <w:rPr>
                <w:rFonts w:ascii="Times New Roman" w:hAnsi="Times New Roman" w:hint="eastAsia"/>
              </w:rPr>
              <w:t>日</w:t>
            </w: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rPr>
            </w:pPr>
            <w:r>
              <w:rPr>
                <w:rFonts w:ascii="Times New Roman" w:hAnsi="Times New Roman" w:hint="eastAsia"/>
              </w:rPr>
              <w:t>0</w:t>
            </w:r>
          </w:p>
        </w:tc>
        <w:tc>
          <w:tcPr>
            <w:tcW w:w="120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hint="eastAsia"/>
              </w:rPr>
              <w:t>自上市之日起</w:t>
            </w:r>
            <w:r>
              <w:rPr>
                <w:rFonts w:ascii="Times New Roman" w:hAnsi="Times New Roman" w:hint="eastAsia"/>
              </w:rPr>
              <w:t>36</w:t>
            </w:r>
            <w:r>
              <w:rPr>
                <w:rFonts w:ascii="Times New Roman" w:hAnsi="Times New Roman" w:hint="eastAsia"/>
              </w:rPr>
              <w:t>个月</w:t>
            </w:r>
          </w:p>
        </w:tc>
      </w:tr>
      <w:tr w:rsidR="00AD5BB5">
        <w:trPr>
          <w:cantSplit/>
          <w:trHeight w:val="345"/>
          <w:jc w:val="center"/>
        </w:trPr>
        <w:tc>
          <w:tcPr>
            <w:tcW w:w="23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hint="eastAsia"/>
              </w:rPr>
              <w:t>6</w:t>
            </w:r>
          </w:p>
        </w:tc>
        <w:tc>
          <w:tcPr>
            <w:tcW w:w="133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hint="eastAsia"/>
              </w:rPr>
              <w:t>厦门科华伟业股份有限公司</w:t>
            </w:r>
          </w:p>
        </w:tc>
        <w:tc>
          <w:tcPr>
            <w:tcW w:w="70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rPr>
            </w:pPr>
            <w:r>
              <w:rPr>
                <w:rFonts w:ascii="Times New Roman" w:hAnsi="Times New Roman" w:hint="eastAsia"/>
              </w:rPr>
              <w:t>6,791,228</w:t>
            </w:r>
          </w:p>
        </w:tc>
        <w:tc>
          <w:tcPr>
            <w:tcW w:w="105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rPr>
              <w:t>2023</w:t>
            </w:r>
            <w:r>
              <w:rPr>
                <w:rFonts w:ascii="Times New Roman" w:hAnsi="Times New Roman" w:hint="eastAsia"/>
              </w:rPr>
              <w:t>年</w:t>
            </w:r>
            <w:r>
              <w:rPr>
                <w:rFonts w:ascii="Times New Roman" w:hAnsi="Times New Roman" w:hint="eastAsia"/>
              </w:rPr>
              <w:t>10</w:t>
            </w:r>
            <w:r>
              <w:rPr>
                <w:rFonts w:ascii="Times New Roman" w:hAnsi="Times New Roman" w:hint="eastAsia"/>
              </w:rPr>
              <w:t>月</w:t>
            </w:r>
            <w:r>
              <w:rPr>
                <w:rFonts w:ascii="Times New Roman" w:hAnsi="Times New Roman" w:hint="eastAsia"/>
              </w:rPr>
              <w:t>27</w:t>
            </w:r>
            <w:r>
              <w:rPr>
                <w:rFonts w:ascii="Times New Roman" w:hAnsi="Times New Roman" w:hint="eastAsia"/>
              </w:rPr>
              <w:t>日</w:t>
            </w: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rPr>
            </w:pPr>
            <w:r>
              <w:rPr>
                <w:rFonts w:ascii="Times New Roman" w:hAnsi="Times New Roman" w:hint="eastAsia"/>
              </w:rPr>
              <w:t>0</w:t>
            </w:r>
          </w:p>
        </w:tc>
        <w:tc>
          <w:tcPr>
            <w:tcW w:w="120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hint="eastAsia"/>
              </w:rPr>
              <w:t>自上市之日起</w:t>
            </w:r>
            <w:r>
              <w:rPr>
                <w:rFonts w:ascii="Times New Roman" w:hAnsi="Times New Roman" w:hint="eastAsia"/>
              </w:rPr>
              <w:t>36</w:t>
            </w:r>
            <w:r>
              <w:rPr>
                <w:rFonts w:ascii="Times New Roman" w:hAnsi="Times New Roman" w:hint="eastAsia"/>
              </w:rPr>
              <w:t>个月</w:t>
            </w:r>
          </w:p>
        </w:tc>
      </w:tr>
      <w:tr w:rsidR="00AD5BB5">
        <w:trPr>
          <w:cantSplit/>
          <w:trHeight w:val="345"/>
          <w:jc w:val="center"/>
        </w:trPr>
        <w:tc>
          <w:tcPr>
            <w:tcW w:w="23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hint="eastAsia"/>
              </w:rPr>
              <w:t>7</w:t>
            </w:r>
          </w:p>
        </w:tc>
        <w:tc>
          <w:tcPr>
            <w:tcW w:w="133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hint="eastAsia"/>
              </w:rPr>
              <w:t>厦门奥勤贸易有限公司</w:t>
            </w:r>
          </w:p>
        </w:tc>
        <w:tc>
          <w:tcPr>
            <w:tcW w:w="70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rPr>
            </w:pPr>
            <w:r>
              <w:rPr>
                <w:rFonts w:ascii="Times New Roman" w:hAnsi="Times New Roman" w:hint="eastAsia"/>
              </w:rPr>
              <w:t>1,410,485</w:t>
            </w:r>
          </w:p>
        </w:tc>
        <w:tc>
          <w:tcPr>
            <w:tcW w:w="105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rPr>
              <w:t>2023</w:t>
            </w:r>
            <w:r>
              <w:rPr>
                <w:rFonts w:ascii="Times New Roman" w:hAnsi="Times New Roman" w:hint="eastAsia"/>
              </w:rPr>
              <w:t>年</w:t>
            </w:r>
            <w:r>
              <w:rPr>
                <w:rFonts w:ascii="Times New Roman" w:hAnsi="Times New Roman" w:hint="eastAsia"/>
              </w:rPr>
              <w:t>10</w:t>
            </w:r>
            <w:r>
              <w:rPr>
                <w:rFonts w:ascii="Times New Roman" w:hAnsi="Times New Roman" w:hint="eastAsia"/>
              </w:rPr>
              <w:t>月</w:t>
            </w:r>
            <w:r>
              <w:rPr>
                <w:rFonts w:ascii="Times New Roman" w:hAnsi="Times New Roman" w:hint="eastAsia"/>
              </w:rPr>
              <w:t>27</w:t>
            </w:r>
            <w:r>
              <w:rPr>
                <w:rFonts w:ascii="Times New Roman" w:hAnsi="Times New Roman" w:hint="eastAsia"/>
              </w:rPr>
              <w:t>日</w:t>
            </w: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rPr>
            </w:pPr>
            <w:r>
              <w:rPr>
                <w:rFonts w:ascii="Times New Roman" w:hAnsi="Times New Roman" w:hint="eastAsia"/>
              </w:rPr>
              <w:t>0</w:t>
            </w:r>
          </w:p>
        </w:tc>
        <w:tc>
          <w:tcPr>
            <w:tcW w:w="120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hint="eastAsia"/>
              </w:rPr>
              <w:t>自上市之日起</w:t>
            </w:r>
            <w:r>
              <w:rPr>
                <w:rFonts w:ascii="Times New Roman" w:hAnsi="Times New Roman" w:hint="eastAsia"/>
              </w:rPr>
              <w:t>36</w:t>
            </w:r>
            <w:r>
              <w:rPr>
                <w:rFonts w:ascii="Times New Roman" w:hAnsi="Times New Roman" w:hint="eastAsia"/>
              </w:rPr>
              <w:t>个月</w:t>
            </w:r>
          </w:p>
        </w:tc>
      </w:tr>
      <w:tr w:rsidR="00AD5BB5">
        <w:trPr>
          <w:cantSplit/>
          <w:trHeight w:val="345"/>
          <w:jc w:val="center"/>
        </w:trPr>
        <w:tc>
          <w:tcPr>
            <w:tcW w:w="235"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hint="eastAsia"/>
              </w:rPr>
              <w:t>8</w:t>
            </w:r>
          </w:p>
        </w:tc>
        <w:tc>
          <w:tcPr>
            <w:tcW w:w="1333"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hint="eastAsia"/>
              </w:rPr>
              <w:t>厦门发德进出口贸易有限公司</w:t>
            </w:r>
          </w:p>
        </w:tc>
        <w:tc>
          <w:tcPr>
            <w:tcW w:w="70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rPr>
            </w:pPr>
            <w:r>
              <w:rPr>
                <w:rFonts w:ascii="Times New Roman" w:hAnsi="Times New Roman" w:hint="eastAsia"/>
              </w:rPr>
              <w:t>804,299</w:t>
            </w:r>
          </w:p>
        </w:tc>
        <w:tc>
          <w:tcPr>
            <w:tcW w:w="105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rPr>
              <w:t>2023</w:t>
            </w:r>
            <w:r>
              <w:rPr>
                <w:rFonts w:ascii="Times New Roman" w:hAnsi="Times New Roman" w:hint="eastAsia"/>
              </w:rPr>
              <w:t>年</w:t>
            </w:r>
            <w:r>
              <w:rPr>
                <w:rFonts w:ascii="Times New Roman" w:hAnsi="Times New Roman" w:hint="eastAsia"/>
              </w:rPr>
              <w:t>10</w:t>
            </w:r>
            <w:r>
              <w:rPr>
                <w:rFonts w:ascii="Times New Roman" w:hAnsi="Times New Roman" w:hint="eastAsia"/>
              </w:rPr>
              <w:t>月</w:t>
            </w:r>
            <w:r>
              <w:rPr>
                <w:rFonts w:ascii="Times New Roman" w:hAnsi="Times New Roman" w:hint="eastAsia"/>
              </w:rPr>
              <w:t>27</w:t>
            </w:r>
            <w:r>
              <w:rPr>
                <w:rFonts w:ascii="Times New Roman" w:hAnsi="Times New Roman" w:hint="eastAsia"/>
              </w:rPr>
              <w:t>日</w:t>
            </w: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rPr>
            </w:pPr>
            <w:r>
              <w:rPr>
                <w:rFonts w:ascii="Times New Roman" w:hAnsi="Times New Roman" w:hint="eastAsia"/>
              </w:rPr>
              <w:t>0</w:t>
            </w:r>
          </w:p>
        </w:tc>
        <w:tc>
          <w:tcPr>
            <w:tcW w:w="120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hint="eastAsia"/>
              </w:rPr>
              <w:t>自上市之日起</w:t>
            </w:r>
            <w:r>
              <w:rPr>
                <w:rFonts w:ascii="Times New Roman" w:hAnsi="Times New Roman" w:hint="eastAsia"/>
              </w:rPr>
              <w:t>36</w:t>
            </w:r>
            <w:r>
              <w:rPr>
                <w:rFonts w:ascii="Times New Roman" w:hAnsi="Times New Roman" w:hint="eastAsia"/>
              </w:rPr>
              <w:t>个月</w:t>
            </w:r>
          </w:p>
        </w:tc>
      </w:tr>
      <w:tr w:rsidR="00AD5BB5">
        <w:trPr>
          <w:cantSplit/>
          <w:trHeight w:val="345"/>
          <w:jc w:val="center"/>
        </w:trPr>
        <w:tc>
          <w:tcPr>
            <w:tcW w:w="235" w:type="pct"/>
            <w:vMerge w:val="restart"/>
            <w:tcBorders>
              <w:top w:val="single" w:sz="4" w:space="0" w:color="auto"/>
              <w:left w:val="single" w:sz="4" w:space="0" w:color="auto"/>
              <w:right w:val="single" w:sz="4" w:space="0" w:color="auto"/>
              <w:tl2br w:val="nil"/>
              <w:tr2bl w:val="nil"/>
            </w:tcBorders>
            <w:vAlign w:val="center"/>
          </w:tcPr>
          <w:p w:rsidR="00AD5BB5" w:rsidRDefault="00F87FF6">
            <w:pPr>
              <w:jc w:val="left"/>
              <w:rPr>
                <w:rFonts w:ascii="Times New Roman" w:hAnsi="Times New Roman"/>
              </w:rPr>
            </w:pPr>
            <w:r>
              <w:rPr>
                <w:rFonts w:ascii="Times New Roman" w:hAnsi="Times New Roman" w:hint="eastAsia"/>
              </w:rPr>
              <w:t>9</w:t>
            </w:r>
          </w:p>
        </w:tc>
        <w:tc>
          <w:tcPr>
            <w:tcW w:w="1333" w:type="pct"/>
            <w:vMerge w:val="restart"/>
            <w:tcBorders>
              <w:top w:val="single" w:sz="4" w:space="0" w:color="auto"/>
              <w:left w:val="single" w:sz="4" w:space="0" w:color="auto"/>
              <w:right w:val="single" w:sz="4" w:space="0" w:color="auto"/>
              <w:tl2br w:val="nil"/>
              <w:tr2bl w:val="nil"/>
            </w:tcBorders>
            <w:vAlign w:val="center"/>
          </w:tcPr>
          <w:p w:rsidR="00AD5BB5" w:rsidRDefault="00F87FF6">
            <w:pPr>
              <w:jc w:val="left"/>
              <w:rPr>
                <w:rFonts w:ascii="Times New Roman" w:hAnsi="Times New Roman"/>
              </w:rPr>
            </w:pPr>
            <w:r>
              <w:rPr>
                <w:rFonts w:ascii="Times New Roman" w:hAnsi="Times New Roman" w:hint="eastAsia"/>
              </w:rPr>
              <w:t>施玲玲</w:t>
            </w:r>
          </w:p>
        </w:tc>
        <w:tc>
          <w:tcPr>
            <w:tcW w:w="70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rPr>
            </w:pPr>
            <w:r>
              <w:rPr>
                <w:rFonts w:ascii="Times New Roman" w:hAnsi="Times New Roman"/>
                <w:color w:val="000000"/>
                <w:kern w:val="0"/>
                <w:lang w:bidi="ar"/>
              </w:rPr>
              <w:t xml:space="preserve">52,922 </w:t>
            </w:r>
          </w:p>
        </w:tc>
        <w:tc>
          <w:tcPr>
            <w:tcW w:w="105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rPr>
              <w:t>2023</w:t>
            </w:r>
            <w:r>
              <w:rPr>
                <w:rFonts w:ascii="Times New Roman" w:hAnsi="Times New Roman" w:hint="eastAsia"/>
              </w:rPr>
              <w:t>年</w:t>
            </w:r>
            <w:r>
              <w:rPr>
                <w:rFonts w:ascii="Times New Roman" w:hAnsi="Times New Roman" w:hint="eastAsia"/>
              </w:rPr>
              <w:t>10</w:t>
            </w:r>
            <w:r>
              <w:rPr>
                <w:rFonts w:ascii="Times New Roman" w:hAnsi="Times New Roman" w:hint="eastAsia"/>
              </w:rPr>
              <w:t>月</w:t>
            </w:r>
            <w:r>
              <w:rPr>
                <w:rFonts w:ascii="Times New Roman" w:hAnsi="Times New Roman" w:hint="eastAsia"/>
              </w:rPr>
              <w:t>27</w:t>
            </w:r>
            <w:r>
              <w:rPr>
                <w:rFonts w:ascii="Times New Roman" w:hAnsi="Times New Roman" w:hint="eastAsia"/>
              </w:rPr>
              <w:t>日</w:t>
            </w: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rPr>
            </w:pPr>
            <w:r>
              <w:rPr>
                <w:rFonts w:ascii="Times New Roman" w:hAnsi="Times New Roman" w:hint="eastAsia"/>
              </w:rPr>
              <w:t>0</w:t>
            </w:r>
          </w:p>
        </w:tc>
        <w:tc>
          <w:tcPr>
            <w:tcW w:w="120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hint="eastAsia"/>
              </w:rPr>
              <w:t>自上市之日起</w:t>
            </w:r>
            <w:r>
              <w:rPr>
                <w:rFonts w:ascii="Times New Roman" w:hAnsi="Times New Roman" w:hint="eastAsia"/>
              </w:rPr>
              <w:t>36</w:t>
            </w:r>
            <w:r>
              <w:rPr>
                <w:rFonts w:ascii="Times New Roman" w:hAnsi="Times New Roman" w:hint="eastAsia"/>
              </w:rPr>
              <w:t>个月</w:t>
            </w:r>
          </w:p>
        </w:tc>
      </w:tr>
      <w:tr w:rsidR="00AD5BB5">
        <w:trPr>
          <w:cantSplit/>
          <w:trHeight w:val="345"/>
          <w:jc w:val="center"/>
        </w:trPr>
        <w:tc>
          <w:tcPr>
            <w:tcW w:w="235" w:type="pct"/>
            <w:vMerge/>
            <w:tcBorders>
              <w:left w:val="single" w:sz="4" w:space="0" w:color="auto"/>
              <w:right w:val="single" w:sz="4" w:space="0" w:color="auto"/>
              <w:tl2br w:val="nil"/>
              <w:tr2bl w:val="nil"/>
            </w:tcBorders>
            <w:vAlign w:val="center"/>
          </w:tcPr>
          <w:p w:rsidR="00AD5BB5" w:rsidRDefault="00AD5BB5">
            <w:pPr>
              <w:rPr>
                <w:rFonts w:ascii="Times New Roman" w:hAnsi="Times New Roman"/>
              </w:rPr>
            </w:pPr>
          </w:p>
        </w:tc>
        <w:tc>
          <w:tcPr>
            <w:tcW w:w="1333" w:type="pct"/>
            <w:vMerge/>
            <w:tcBorders>
              <w:left w:val="single" w:sz="4" w:space="0" w:color="auto"/>
              <w:right w:val="single" w:sz="4" w:space="0" w:color="auto"/>
              <w:tl2br w:val="nil"/>
              <w:tr2bl w:val="nil"/>
            </w:tcBorders>
            <w:vAlign w:val="center"/>
          </w:tcPr>
          <w:p w:rsidR="00AD5BB5" w:rsidRDefault="00AD5BB5">
            <w:pPr>
              <w:rPr>
                <w:rFonts w:ascii="Times New Roman" w:hAnsi="Times New Roman"/>
              </w:rPr>
            </w:pPr>
          </w:p>
        </w:tc>
        <w:tc>
          <w:tcPr>
            <w:tcW w:w="70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rPr>
            </w:pPr>
            <w:r>
              <w:rPr>
                <w:rFonts w:ascii="Times New Roman" w:hAnsi="Times New Roman"/>
                <w:color w:val="000000"/>
                <w:kern w:val="0"/>
                <w:lang w:bidi="ar"/>
              </w:rPr>
              <w:t xml:space="preserve">52,922 </w:t>
            </w:r>
          </w:p>
        </w:tc>
        <w:tc>
          <w:tcPr>
            <w:tcW w:w="105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rPr>
              <w:t>202</w:t>
            </w:r>
            <w:r>
              <w:rPr>
                <w:rFonts w:ascii="Times New Roman" w:hAnsi="Times New Roman" w:hint="eastAsia"/>
              </w:rPr>
              <w:t>4</w:t>
            </w:r>
            <w:r>
              <w:rPr>
                <w:rFonts w:ascii="Times New Roman" w:hAnsi="Times New Roman" w:hint="eastAsia"/>
              </w:rPr>
              <w:t>年</w:t>
            </w:r>
            <w:r>
              <w:rPr>
                <w:rFonts w:ascii="Times New Roman" w:hAnsi="Times New Roman" w:hint="eastAsia"/>
              </w:rPr>
              <w:t>10</w:t>
            </w:r>
            <w:r>
              <w:rPr>
                <w:rFonts w:ascii="Times New Roman" w:hAnsi="Times New Roman" w:hint="eastAsia"/>
              </w:rPr>
              <w:t>月</w:t>
            </w:r>
            <w:r>
              <w:rPr>
                <w:rFonts w:ascii="Times New Roman" w:hAnsi="Times New Roman" w:hint="eastAsia"/>
              </w:rPr>
              <w:t>27</w:t>
            </w:r>
            <w:r>
              <w:rPr>
                <w:rFonts w:ascii="Times New Roman" w:hAnsi="Times New Roman" w:hint="eastAsia"/>
              </w:rPr>
              <w:t>日</w:t>
            </w: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rPr>
            </w:pPr>
            <w:r>
              <w:rPr>
                <w:rFonts w:ascii="Times New Roman" w:hAnsi="Times New Roman" w:hint="eastAsia"/>
              </w:rPr>
              <w:t>0</w:t>
            </w:r>
          </w:p>
        </w:tc>
        <w:tc>
          <w:tcPr>
            <w:tcW w:w="120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hint="eastAsia"/>
              </w:rPr>
              <w:t>自上市之日起</w:t>
            </w:r>
            <w:r>
              <w:rPr>
                <w:rFonts w:ascii="Times New Roman" w:hAnsi="Times New Roman" w:hint="eastAsia"/>
              </w:rPr>
              <w:t>48</w:t>
            </w:r>
            <w:r>
              <w:rPr>
                <w:rFonts w:ascii="Times New Roman" w:hAnsi="Times New Roman" w:hint="eastAsia"/>
              </w:rPr>
              <w:t>个月</w:t>
            </w:r>
          </w:p>
        </w:tc>
      </w:tr>
      <w:tr w:rsidR="00AD5BB5">
        <w:trPr>
          <w:cantSplit/>
          <w:trHeight w:val="345"/>
          <w:jc w:val="center"/>
        </w:trPr>
        <w:tc>
          <w:tcPr>
            <w:tcW w:w="235" w:type="pct"/>
            <w:vMerge/>
            <w:tcBorders>
              <w:left w:val="single" w:sz="4" w:space="0" w:color="auto"/>
              <w:right w:val="single" w:sz="4" w:space="0" w:color="auto"/>
              <w:tl2br w:val="nil"/>
              <w:tr2bl w:val="nil"/>
            </w:tcBorders>
            <w:vAlign w:val="center"/>
          </w:tcPr>
          <w:p w:rsidR="00AD5BB5" w:rsidRDefault="00AD5BB5">
            <w:pPr>
              <w:rPr>
                <w:rFonts w:ascii="Times New Roman" w:hAnsi="Times New Roman"/>
              </w:rPr>
            </w:pPr>
          </w:p>
        </w:tc>
        <w:tc>
          <w:tcPr>
            <w:tcW w:w="1333" w:type="pct"/>
            <w:vMerge/>
            <w:tcBorders>
              <w:left w:val="single" w:sz="4" w:space="0" w:color="auto"/>
              <w:right w:val="single" w:sz="4" w:space="0" w:color="auto"/>
              <w:tl2br w:val="nil"/>
              <w:tr2bl w:val="nil"/>
            </w:tcBorders>
            <w:vAlign w:val="center"/>
          </w:tcPr>
          <w:p w:rsidR="00AD5BB5" w:rsidRDefault="00AD5BB5">
            <w:pPr>
              <w:rPr>
                <w:rFonts w:ascii="Times New Roman" w:hAnsi="Times New Roman"/>
              </w:rPr>
            </w:pPr>
          </w:p>
        </w:tc>
        <w:tc>
          <w:tcPr>
            <w:tcW w:w="70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rPr>
            </w:pPr>
            <w:r>
              <w:rPr>
                <w:rFonts w:ascii="Times New Roman" w:hAnsi="Times New Roman"/>
                <w:color w:val="000000"/>
                <w:kern w:val="0"/>
                <w:lang w:bidi="ar"/>
              </w:rPr>
              <w:t xml:space="preserve">52,922 </w:t>
            </w:r>
          </w:p>
        </w:tc>
        <w:tc>
          <w:tcPr>
            <w:tcW w:w="105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rPr>
              <w:t>202</w:t>
            </w:r>
            <w:r>
              <w:rPr>
                <w:rFonts w:ascii="Times New Roman" w:hAnsi="Times New Roman" w:hint="eastAsia"/>
              </w:rPr>
              <w:t>5</w:t>
            </w:r>
            <w:r>
              <w:rPr>
                <w:rFonts w:ascii="Times New Roman" w:hAnsi="Times New Roman" w:hint="eastAsia"/>
              </w:rPr>
              <w:t>年</w:t>
            </w:r>
            <w:r>
              <w:rPr>
                <w:rFonts w:ascii="Times New Roman" w:hAnsi="Times New Roman" w:hint="eastAsia"/>
              </w:rPr>
              <w:t>10</w:t>
            </w:r>
            <w:r>
              <w:rPr>
                <w:rFonts w:ascii="Times New Roman" w:hAnsi="Times New Roman" w:hint="eastAsia"/>
              </w:rPr>
              <w:t>月</w:t>
            </w:r>
            <w:r>
              <w:rPr>
                <w:rFonts w:ascii="Times New Roman" w:hAnsi="Times New Roman" w:hint="eastAsia"/>
              </w:rPr>
              <w:t>27</w:t>
            </w:r>
            <w:r>
              <w:rPr>
                <w:rFonts w:ascii="Times New Roman" w:hAnsi="Times New Roman" w:hint="eastAsia"/>
              </w:rPr>
              <w:t>日</w:t>
            </w: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rPr>
            </w:pPr>
            <w:r>
              <w:rPr>
                <w:rFonts w:ascii="Times New Roman" w:hAnsi="Times New Roman" w:hint="eastAsia"/>
              </w:rPr>
              <w:t>0</w:t>
            </w:r>
          </w:p>
        </w:tc>
        <w:tc>
          <w:tcPr>
            <w:tcW w:w="120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hint="eastAsia"/>
              </w:rPr>
              <w:t>自上市之日起</w:t>
            </w:r>
            <w:r>
              <w:rPr>
                <w:rFonts w:ascii="Times New Roman" w:hAnsi="Times New Roman" w:hint="eastAsia"/>
              </w:rPr>
              <w:t>60</w:t>
            </w:r>
            <w:r>
              <w:rPr>
                <w:rFonts w:ascii="Times New Roman" w:hAnsi="Times New Roman" w:hint="eastAsia"/>
              </w:rPr>
              <w:t>个月</w:t>
            </w:r>
          </w:p>
        </w:tc>
      </w:tr>
      <w:tr w:rsidR="00AD5BB5">
        <w:trPr>
          <w:cantSplit/>
          <w:trHeight w:val="345"/>
          <w:jc w:val="center"/>
        </w:trPr>
        <w:tc>
          <w:tcPr>
            <w:tcW w:w="235" w:type="pct"/>
            <w:vMerge/>
            <w:tcBorders>
              <w:left w:val="single" w:sz="4" w:space="0" w:color="auto"/>
              <w:right w:val="single" w:sz="4" w:space="0" w:color="auto"/>
              <w:tl2br w:val="nil"/>
              <w:tr2bl w:val="nil"/>
            </w:tcBorders>
            <w:vAlign w:val="center"/>
          </w:tcPr>
          <w:p w:rsidR="00AD5BB5" w:rsidRDefault="00AD5BB5">
            <w:pPr>
              <w:rPr>
                <w:rFonts w:ascii="Times New Roman" w:hAnsi="Times New Roman"/>
              </w:rPr>
            </w:pPr>
          </w:p>
        </w:tc>
        <w:tc>
          <w:tcPr>
            <w:tcW w:w="1333" w:type="pct"/>
            <w:vMerge/>
            <w:tcBorders>
              <w:left w:val="single" w:sz="4" w:space="0" w:color="auto"/>
              <w:right w:val="single" w:sz="4" w:space="0" w:color="auto"/>
              <w:tl2br w:val="nil"/>
              <w:tr2bl w:val="nil"/>
            </w:tcBorders>
            <w:vAlign w:val="center"/>
          </w:tcPr>
          <w:p w:rsidR="00AD5BB5" w:rsidRDefault="00AD5BB5">
            <w:pPr>
              <w:rPr>
                <w:rFonts w:ascii="Times New Roman" w:hAnsi="Times New Roman"/>
              </w:rPr>
            </w:pPr>
          </w:p>
        </w:tc>
        <w:tc>
          <w:tcPr>
            <w:tcW w:w="70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rPr>
            </w:pPr>
            <w:r>
              <w:rPr>
                <w:rFonts w:ascii="Times New Roman" w:hAnsi="Times New Roman"/>
                <w:color w:val="000000"/>
                <w:kern w:val="0"/>
                <w:lang w:bidi="ar"/>
              </w:rPr>
              <w:t xml:space="preserve">17,641 </w:t>
            </w:r>
          </w:p>
        </w:tc>
        <w:tc>
          <w:tcPr>
            <w:tcW w:w="105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rPr>
              <w:t>202</w:t>
            </w:r>
            <w:r>
              <w:rPr>
                <w:rFonts w:ascii="Times New Roman" w:hAnsi="Times New Roman" w:hint="eastAsia"/>
              </w:rPr>
              <w:t>6</w:t>
            </w:r>
            <w:r>
              <w:rPr>
                <w:rFonts w:ascii="Times New Roman" w:hAnsi="Times New Roman" w:hint="eastAsia"/>
              </w:rPr>
              <w:t>年</w:t>
            </w:r>
            <w:r>
              <w:rPr>
                <w:rFonts w:ascii="Times New Roman" w:hAnsi="Times New Roman" w:hint="eastAsia"/>
              </w:rPr>
              <w:t>10</w:t>
            </w:r>
            <w:r>
              <w:rPr>
                <w:rFonts w:ascii="Times New Roman" w:hAnsi="Times New Roman" w:hint="eastAsia"/>
              </w:rPr>
              <w:t>月</w:t>
            </w:r>
            <w:r>
              <w:rPr>
                <w:rFonts w:ascii="Times New Roman" w:hAnsi="Times New Roman" w:hint="eastAsia"/>
              </w:rPr>
              <w:t>27</w:t>
            </w:r>
            <w:r>
              <w:rPr>
                <w:rFonts w:ascii="Times New Roman" w:hAnsi="Times New Roman" w:hint="eastAsia"/>
              </w:rPr>
              <w:t>日</w:t>
            </w: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rPr>
            </w:pPr>
            <w:r>
              <w:rPr>
                <w:rFonts w:ascii="Times New Roman" w:hAnsi="Times New Roman" w:hint="eastAsia"/>
              </w:rPr>
              <w:t>0</w:t>
            </w:r>
          </w:p>
        </w:tc>
        <w:tc>
          <w:tcPr>
            <w:tcW w:w="120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hint="eastAsia"/>
              </w:rPr>
              <w:t>自上市之日起</w:t>
            </w:r>
            <w:r>
              <w:rPr>
                <w:rFonts w:ascii="Times New Roman" w:hAnsi="Times New Roman" w:hint="eastAsia"/>
              </w:rPr>
              <w:t>72</w:t>
            </w:r>
            <w:r>
              <w:rPr>
                <w:rFonts w:ascii="Times New Roman" w:hAnsi="Times New Roman" w:hint="eastAsia"/>
              </w:rPr>
              <w:t>个月</w:t>
            </w:r>
          </w:p>
        </w:tc>
      </w:tr>
      <w:tr w:rsidR="00AD5BB5">
        <w:trPr>
          <w:cantSplit/>
          <w:trHeight w:val="345"/>
          <w:jc w:val="center"/>
        </w:trPr>
        <w:tc>
          <w:tcPr>
            <w:tcW w:w="235" w:type="pct"/>
            <w:vMerge/>
            <w:tcBorders>
              <w:left w:val="single" w:sz="4" w:space="0" w:color="auto"/>
              <w:bottom w:val="single" w:sz="4" w:space="0" w:color="auto"/>
              <w:right w:val="single" w:sz="4" w:space="0" w:color="auto"/>
              <w:tl2br w:val="nil"/>
              <w:tr2bl w:val="nil"/>
            </w:tcBorders>
            <w:vAlign w:val="center"/>
          </w:tcPr>
          <w:p w:rsidR="00AD5BB5" w:rsidRDefault="00AD5BB5">
            <w:pPr>
              <w:rPr>
                <w:rFonts w:ascii="Times New Roman" w:hAnsi="Times New Roman"/>
              </w:rPr>
            </w:pPr>
          </w:p>
        </w:tc>
        <w:tc>
          <w:tcPr>
            <w:tcW w:w="1333" w:type="pct"/>
            <w:vMerge/>
            <w:tcBorders>
              <w:left w:val="single" w:sz="4" w:space="0" w:color="auto"/>
              <w:bottom w:val="single" w:sz="4" w:space="0" w:color="auto"/>
              <w:right w:val="single" w:sz="4" w:space="0" w:color="auto"/>
              <w:tl2br w:val="nil"/>
              <w:tr2bl w:val="nil"/>
            </w:tcBorders>
            <w:vAlign w:val="center"/>
          </w:tcPr>
          <w:p w:rsidR="00AD5BB5" w:rsidRDefault="00AD5BB5">
            <w:pPr>
              <w:rPr>
                <w:rFonts w:ascii="Times New Roman" w:hAnsi="Times New Roman"/>
              </w:rPr>
            </w:pPr>
          </w:p>
        </w:tc>
        <w:tc>
          <w:tcPr>
            <w:tcW w:w="70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rPr>
            </w:pPr>
            <w:r>
              <w:rPr>
                <w:rFonts w:ascii="Times New Roman" w:hAnsi="Times New Roman"/>
                <w:color w:val="000000"/>
                <w:kern w:val="0"/>
                <w:lang w:bidi="ar"/>
              </w:rPr>
              <w:t xml:space="preserve">176,408 </w:t>
            </w:r>
          </w:p>
        </w:tc>
        <w:tc>
          <w:tcPr>
            <w:tcW w:w="105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rPr>
              <w:t>202</w:t>
            </w:r>
            <w:r>
              <w:rPr>
                <w:rFonts w:ascii="Times New Roman" w:hAnsi="Times New Roman" w:hint="eastAsia"/>
              </w:rPr>
              <w:t>8</w:t>
            </w:r>
            <w:r>
              <w:rPr>
                <w:rFonts w:ascii="Times New Roman" w:hAnsi="Times New Roman" w:hint="eastAsia"/>
              </w:rPr>
              <w:t>年</w:t>
            </w:r>
            <w:r>
              <w:rPr>
                <w:rFonts w:ascii="Times New Roman" w:hAnsi="Times New Roman" w:hint="eastAsia"/>
              </w:rPr>
              <w:t>10</w:t>
            </w:r>
            <w:r>
              <w:rPr>
                <w:rFonts w:ascii="Times New Roman" w:hAnsi="Times New Roman" w:hint="eastAsia"/>
              </w:rPr>
              <w:t>月</w:t>
            </w:r>
            <w:r>
              <w:rPr>
                <w:rFonts w:ascii="Times New Roman" w:hAnsi="Times New Roman" w:hint="eastAsia"/>
              </w:rPr>
              <w:t>27</w:t>
            </w:r>
            <w:r>
              <w:rPr>
                <w:rFonts w:ascii="Times New Roman" w:hAnsi="Times New Roman" w:hint="eastAsia"/>
              </w:rPr>
              <w:t>日</w:t>
            </w: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rPr>
            </w:pPr>
            <w:r>
              <w:rPr>
                <w:rFonts w:ascii="Times New Roman" w:hAnsi="Times New Roman" w:hint="eastAsia"/>
              </w:rPr>
              <w:t>0</w:t>
            </w:r>
          </w:p>
        </w:tc>
        <w:tc>
          <w:tcPr>
            <w:tcW w:w="120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hint="eastAsia"/>
              </w:rPr>
              <w:t>自上市之日起</w:t>
            </w:r>
            <w:r>
              <w:rPr>
                <w:rFonts w:ascii="Times New Roman" w:hAnsi="Times New Roman" w:hint="eastAsia"/>
              </w:rPr>
              <w:t>96</w:t>
            </w:r>
            <w:r>
              <w:rPr>
                <w:rFonts w:ascii="Times New Roman" w:hAnsi="Times New Roman" w:hint="eastAsia"/>
              </w:rPr>
              <w:t>个月</w:t>
            </w:r>
          </w:p>
        </w:tc>
      </w:tr>
      <w:tr w:rsidR="00AD5BB5">
        <w:trPr>
          <w:cantSplit/>
          <w:trHeight w:val="345"/>
          <w:jc w:val="center"/>
        </w:trPr>
        <w:tc>
          <w:tcPr>
            <w:tcW w:w="235" w:type="pct"/>
            <w:vMerge w:val="restart"/>
            <w:tcBorders>
              <w:top w:val="single" w:sz="4" w:space="0" w:color="auto"/>
              <w:left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hint="eastAsia"/>
              </w:rPr>
              <w:t>10</w:t>
            </w:r>
          </w:p>
        </w:tc>
        <w:tc>
          <w:tcPr>
            <w:tcW w:w="1333" w:type="pct"/>
            <w:vMerge w:val="restart"/>
            <w:tcBorders>
              <w:top w:val="single" w:sz="4" w:space="0" w:color="auto"/>
              <w:left w:val="single" w:sz="4" w:space="0" w:color="auto"/>
              <w:right w:val="single" w:sz="4" w:space="0" w:color="auto"/>
              <w:tl2br w:val="nil"/>
              <w:tr2bl w:val="nil"/>
            </w:tcBorders>
            <w:vAlign w:val="center"/>
          </w:tcPr>
          <w:p w:rsidR="00AD5BB5" w:rsidRDefault="00F87FF6">
            <w:pPr>
              <w:jc w:val="left"/>
              <w:rPr>
                <w:rFonts w:ascii="Times New Roman" w:hAnsi="Times New Roman"/>
              </w:rPr>
            </w:pPr>
            <w:r>
              <w:rPr>
                <w:rFonts w:ascii="Times New Roman" w:hAnsi="Times New Roman" w:hint="eastAsia"/>
              </w:rPr>
              <w:t>黄安娜</w:t>
            </w:r>
          </w:p>
        </w:tc>
        <w:tc>
          <w:tcPr>
            <w:tcW w:w="70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rPr>
            </w:pPr>
            <w:r>
              <w:rPr>
                <w:rFonts w:ascii="Times New Roman" w:hAnsi="Times New Roman"/>
                <w:color w:val="000000"/>
                <w:kern w:val="0"/>
                <w:lang w:bidi="ar"/>
              </w:rPr>
              <w:t xml:space="preserve">50,903 </w:t>
            </w:r>
          </w:p>
        </w:tc>
        <w:tc>
          <w:tcPr>
            <w:tcW w:w="105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rPr>
              <w:t>2023</w:t>
            </w:r>
            <w:r>
              <w:rPr>
                <w:rFonts w:ascii="Times New Roman" w:hAnsi="Times New Roman" w:hint="eastAsia"/>
              </w:rPr>
              <w:t>年</w:t>
            </w:r>
            <w:r>
              <w:rPr>
                <w:rFonts w:ascii="Times New Roman" w:hAnsi="Times New Roman" w:hint="eastAsia"/>
              </w:rPr>
              <w:t>10</w:t>
            </w:r>
            <w:r>
              <w:rPr>
                <w:rFonts w:ascii="Times New Roman" w:hAnsi="Times New Roman" w:hint="eastAsia"/>
              </w:rPr>
              <w:t>月</w:t>
            </w:r>
            <w:r>
              <w:rPr>
                <w:rFonts w:ascii="Times New Roman" w:hAnsi="Times New Roman" w:hint="eastAsia"/>
              </w:rPr>
              <w:t>27</w:t>
            </w:r>
            <w:r>
              <w:rPr>
                <w:rFonts w:ascii="Times New Roman" w:hAnsi="Times New Roman" w:hint="eastAsia"/>
              </w:rPr>
              <w:t>日</w:t>
            </w: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rPr>
            </w:pPr>
            <w:r>
              <w:rPr>
                <w:rFonts w:ascii="Times New Roman" w:hAnsi="Times New Roman" w:hint="eastAsia"/>
              </w:rPr>
              <w:t>0</w:t>
            </w:r>
          </w:p>
        </w:tc>
        <w:tc>
          <w:tcPr>
            <w:tcW w:w="120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hint="eastAsia"/>
              </w:rPr>
              <w:t>自上市之日起</w:t>
            </w:r>
            <w:r>
              <w:rPr>
                <w:rFonts w:ascii="Times New Roman" w:hAnsi="Times New Roman" w:hint="eastAsia"/>
              </w:rPr>
              <w:t>36</w:t>
            </w:r>
            <w:r>
              <w:rPr>
                <w:rFonts w:ascii="Times New Roman" w:hAnsi="Times New Roman" w:hint="eastAsia"/>
              </w:rPr>
              <w:t>个月</w:t>
            </w:r>
          </w:p>
        </w:tc>
      </w:tr>
      <w:tr w:rsidR="00AD5BB5">
        <w:trPr>
          <w:cantSplit/>
          <w:trHeight w:val="345"/>
          <w:jc w:val="center"/>
        </w:trPr>
        <w:tc>
          <w:tcPr>
            <w:tcW w:w="235" w:type="pct"/>
            <w:vMerge/>
            <w:tcBorders>
              <w:left w:val="single" w:sz="4" w:space="0" w:color="auto"/>
              <w:right w:val="single" w:sz="4" w:space="0" w:color="auto"/>
              <w:tl2br w:val="nil"/>
              <w:tr2bl w:val="nil"/>
            </w:tcBorders>
            <w:vAlign w:val="center"/>
          </w:tcPr>
          <w:p w:rsidR="00AD5BB5" w:rsidRDefault="00AD5BB5">
            <w:pPr>
              <w:rPr>
                <w:rFonts w:ascii="Times New Roman" w:hAnsi="Times New Roman"/>
              </w:rPr>
            </w:pPr>
          </w:p>
        </w:tc>
        <w:tc>
          <w:tcPr>
            <w:tcW w:w="1333" w:type="pct"/>
            <w:vMerge/>
            <w:tcBorders>
              <w:left w:val="single" w:sz="4" w:space="0" w:color="auto"/>
              <w:right w:val="single" w:sz="4" w:space="0" w:color="auto"/>
              <w:tl2br w:val="nil"/>
              <w:tr2bl w:val="nil"/>
            </w:tcBorders>
            <w:vAlign w:val="center"/>
          </w:tcPr>
          <w:p w:rsidR="00AD5BB5" w:rsidRDefault="00AD5BB5">
            <w:pPr>
              <w:rPr>
                <w:rFonts w:ascii="Times New Roman" w:hAnsi="Times New Roman"/>
              </w:rPr>
            </w:pPr>
          </w:p>
        </w:tc>
        <w:tc>
          <w:tcPr>
            <w:tcW w:w="70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rPr>
            </w:pPr>
            <w:r>
              <w:rPr>
                <w:rFonts w:ascii="Times New Roman" w:hAnsi="Times New Roman"/>
                <w:color w:val="000000"/>
                <w:kern w:val="0"/>
                <w:lang w:bidi="ar"/>
              </w:rPr>
              <w:t xml:space="preserve">50,903 </w:t>
            </w:r>
          </w:p>
        </w:tc>
        <w:tc>
          <w:tcPr>
            <w:tcW w:w="105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rPr>
              <w:t>202</w:t>
            </w:r>
            <w:r>
              <w:rPr>
                <w:rFonts w:ascii="Times New Roman" w:hAnsi="Times New Roman" w:hint="eastAsia"/>
              </w:rPr>
              <w:t>4</w:t>
            </w:r>
            <w:r>
              <w:rPr>
                <w:rFonts w:ascii="Times New Roman" w:hAnsi="Times New Roman" w:hint="eastAsia"/>
              </w:rPr>
              <w:t>年</w:t>
            </w:r>
            <w:r>
              <w:rPr>
                <w:rFonts w:ascii="Times New Roman" w:hAnsi="Times New Roman" w:hint="eastAsia"/>
              </w:rPr>
              <w:t>10</w:t>
            </w:r>
            <w:r>
              <w:rPr>
                <w:rFonts w:ascii="Times New Roman" w:hAnsi="Times New Roman" w:hint="eastAsia"/>
              </w:rPr>
              <w:t>月</w:t>
            </w:r>
            <w:r>
              <w:rPr>
                <w:rFonts w:ascii="Times New Roman" w:hAnsi="Times New Roman" w:hint="eastAsia"/>
              </w:rPr>
              <w:t>27</w:t>
            </w:r>
            <w:r>
              <w:rPr>
                <w:rFonts w:ascii="Times New Roman" w:hAnsi="Times New Roman" w:hint="eastAsia"/>
              </w:rPr>
              <w:t>日</w:t>
            </w: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rPr>
            </w:pPr>
            <w:r>
              <w:rPr>
                <w:rFonts w:ascii="Times New Roman" w:hAnsi="Times New Roman" w:hint="eastAsia"/>
              </w:rPr>
              <w:t>0</w:t>
            </w:r>
          </w:p>
        </w:tc>
        <w:tc>
          <w:tcPr>
            <w:tcW w:w="120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hint="eastAsia"/>
              </w:rPr>
              <w:t>自上市之日起</w:t>
            </w:r>
            <w:r>
              <w:rPr>
                <w:rFonts w:ascii="Times New Roman" w:hAnsi="Times New Roman" w:hint="eastAsia"/>
              </w:rPr>
              <w:t>48</w:t>
            </w:r>
            <w:r>
              <w:rPr>
                <w:rFonts w:ascii="Times New Roman" w:hAnsi="Times New Roman" w:hint="eastAsia"/>
              </w:rPr>
              <w:t>个月</w:t>
            </w:r>
          </w:p>
        </w:tc>
      </w:tr>
      <w:tr w:rsidR="00AD5BB5">
        <w:trPr>
          <w:cantSplit/>
          <w:trHeight w:val="345"/>
          <w:jc w:val="center"/>
        </w:trPr>
        <w:tc>
          <w:tcPr>
            <w:tcW w:w="235" w:type="pct"/>
            <w:vMerge/>
            <w:tcBorders>
              <w:left w:val="single" w:sz="4" w:space="0" w:color="auto"/>
              <w:right w:val="single" w:sz="4" w:space="0" w:color="auto"/>
              <w:tl2br w:val="nil"/>
              <w:tr2bl w:val="nil"/>
            </w:tcBorders>
            <w:vAlign w:val="center"/>
          </w:tcPr>
          <w:p w:rsidR="00AD5BB5" w:rsidRDefault="00AD5BB5">
            <w:pPr>
              <w:rPr>
                <w:rFonts w:ascii="Times New Roman" w:hAnsi="Times New Roman"/>
              </w:rPr>
            </w:pPr>
          </w:p>
        </w:tc>
        <w:tc>
          <w:tcPr>
            <w:tcW w:w="1333" w:type="pct"/>
            <w:vMerge/>
            <w:tcBorders>
              <w:left w:val="single" w:sz="4" w:space="0" w:color="auto"/>
              <w:right w:val="single" w:sz="4" w:space="0" w:color="auto"/>
              <w:tl2br w:val="nil"/>
              <w:tr2bl w:val="nil"/>
            </w:tcBorders>
            <w:vAlign w:val="center"/>
          </w:tcPr>
          <w:p w:rsidR="00AD5BB5" w:rsidRDefault="00AD5BB5">
            <w:pPr>
              <w:rPr>
                <w:rFonts w:ascii="Times New Roman" w:hAnsi="Times New Roman"/>
              </w:rPr>
            </w:pPr>
          </w:p>
        </w:tc>
        <w:tc>
          <w:tcPr>
            <w:tcW w:w="70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rPr>
            </w:pPr>
            <w:r>
              <w:rPr>
                <w:rFonts w:ascii="Times New Roman" w:hAnsi="Times New Roman"/>
                <w:color w:val="000000"/>
                <w:kern w:val="0"/>
                <w:lang w:bidi="ar"/>
              </w:rPr>
              <w:t xml:space="preserve">50,903 </w:t>
            </w:r>
          </w:p>
        </w:tc>
        <w:tc>
          <w:tcPr>
            <w:tcW w:w="105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rPr>
              <w:t>202</w:t>
            </w:r>
            <w:r>
              <w:rPr>
                <w:rFonts w:ascii="Times New Roman" w:hAnsi="Times New Roman" w:hint="eastAsia"/>
              </w:rPr>
              <w:t>5</w:t>
            </w:r>
            <w:r>
              <w:rPr>
                <w:rFonts w:ascii="Times New Roman" w:hAnsi="Times New Roman" w:hint="eastAsia"/>
              </w:rPr>
              <w:t>年</w:t>
            </w:r>
            <w:r>
              <w:rPr>
                <w:rFonts w:ascii="Times New Roman" w:hAnsi="Times New Roman" w:hint="eastAsia"/>
              </w:rPr>
              <w:t>10</w:t>
            </w:r>
            <w:r>
              <w:rPr>
                <w:rFonts w:ascii="Times New Roman" w:hAnsi="Times New Roman" w:hint="eastAsia"/>
              </w:rPr>
              <w:t>月</w:t>
            </w:r>
            <w:r>
              <w:rPr>
                <w:rFonts w:ascii="Times New Roman" w:hAnsi="Times New Roman" w:hint="eastAsia"/>
              </w:rPr>
              <w:t>27</w:t>
            </w:r>
            <w:r>
              <w:rPr>
                <w:rFonts w:ascii="Times New Roman" w:hAnsi="Times New Roman" w:hint="eastAsia"/>
              </w:rPr>
              <w:t>日</w:t>
            </w: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rPr>
            </w:pPr>
            <w:r>
              <w:rPr>
                <w:rFonts w:ascii="Times New Roman" w:hAnsi="Times New Roman" w:hint="eastAsia"/>
              </w:rPr>
              <w:t>0</w:t>
            </w:r>
          </w:p>
        </w:tc>
        <w:tc>
          <w:tcPr>
            <w:tcW w:w="120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hint="eastAsia"/>
              </w:rPr>
              <w:t>自上市之日起</w:t>
            </w:r>
            <w:r>
              <w:rPr>
                <w:rFonts w:ascii="Times New Roman" w:hAnsi="Times New Roman" w:hint="eastAsia"/>
              </w:rPr>
              <w:t>60</w:t>
            </w:r>
            <w:r>
              <w:rPr>
                <w:rFonts w:ascii="Times New Roman" w:hAnsi="Times New Roman" w:hint="eastAsia"/>
              </w:rPr>
              <w:t>个月</w:t>
            </w:r>
          </w:p>
        </w:tc>
      </w:tr>
      <w:tr w:rsidR="00AD5BB5">
        <w:trPr>
          <w:cantSplit/>
          <w:trHeight w:val="345"/>
          <w:jc w:val="center"/>
        </w:trPr>
        <w:tc>
          <w:tcPr>
            <w:tcW w:w="235" w:type="pct"/>
            <w:vMerge/>
            <w:tcBorders>
              <w:left w:val="single" w:sz="4" w:space="0" w:color="auto"/>
              <w:right w:val="single" w:sz="4" w:space="0" w:color="auto"/>
              <w:tl2br w:val="nil"/>
              <w:tr2bl w:val="nil"/>
            </w:tcBorders>
            <w:vAlign w:val="center"/>
          </w:tcPr>
          <w:p w:rsidR="00AD5BB5" w:rsidRDefault="00AD5BB5">
            <w:pPr>
              <w:rPr>
                <w:rFonts w:ascii="Times New Roman" w:hAnsi="Times New Roman"/>
              </w:rPr>
            </w:pPr>
          </w:p>
        </w:tc>
        <w:tc>
          <w:tcPr>
            <w:tcW w:w="1333" w:type="pct"/>
            <w:vMerge/>
            <w:tcBorders>
              <w:left w:val="single" w:sz="4" w:space="0" w:color="auto"/>
              <w:right w:val="single" w:sz="4" w:space="0" w:color="auto"/>
              <w:tl2br w:val="nil"/>
              <w:tr2bl w:val="nil"/>
            </w:tcBorders>
            <w:vAlign w:val="center"/>
          </w:tcPr>
          <w:p w:rsidR="00AD5BB5" w:rsidRDefault="00AD5BB5">
            <w:pPr>
              <w:rPr>
                <w:rFonts w:ascii="Times New Roman" w:hAnsi="Times New Roman"/>
              </w:rPr>
            </w:pPr>
          </w:p>
        </w:tc>
        <w:tc>
          <w:tcPr>
            <w:tcW w:w="70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rPr>
            </w:pPr>
            <w:r>
              <w:rPr>
                <w:rFonts w:ascii="Times New Roman" w:hAnsi="Times New Roman"/>
                <w:color w:val="000000"/>
                <w:kern w:val="0"/>
                <w:lang w:bidi="ar"/>
              </w:rPr>
              <w:t xml:space="preserve">16,969 </w:t>
            </w:r>
          </w:p>
        </w:tc>
        <w:tc>
          <w:tcPr>
            <w:tcW w:w="105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rPr>
              <w:t>202</w:t>
            </w:r>
            <w:r>
              <w:rPr>
                <w:rFonts w:ascii="Times New Roman" w:hAnsi="Times New Roman" w:hint="eastAsia"/>
              </w:rPr>
              <w:t>6</w:t>
            </w:r>
            <w:r>
              <w:rPr>
                <w:rFonts w:ascii="Times New Roman" w:hAnsi="Times New Roman" w:hint="eastAsia"/>
              </w:rPr>
              <w:t>年</w:t>
            </w:r>
            <w:r>
              <w:rPr>
                <w:rFonts w:ascii="Times New Roman" w:hAnsi="Times New Roman" w:hint="eastAsia"/>
              </w:rPr>
              <w:t>10</w:t>
            </w:r>
            <w:r>
              <w:rPr>
                <w:rFonts w:ascii="Times New Roman" w:hAnsi="Times New Roman" w:hint="eastAsia"/>
              </w:rPr>
              <w:t>月</w:t>
            </w:r>
            <w:r>
              <w:rPr>
                <w:rFonts w:ascii="Times New Roman" w:hAnsi="Times New Roman" w:hint="eastAsia"/>
              </w:rPr>
              <w:t>27</w:t>
            </w:r>
            <w:r>
              <w:rPr>
                <w:rFonts w:ascii="Times New Roman" w:hAnsi="Times New Roman" w:hint="eastAsia"/>
              </w:rPr>
              <w:t>日</w:t>
            </w: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rPr>
            </w:pPr>
            <w:r>
              <w:rPr>
                <w:rFonts w:ascii="Times New Roman" w:hAnsi="Times New Roman" w:hint="eastAsia"/>
              </w:rPr>
              <w:t>0</w:t>
            </w:r>
          </w:p>
        </w:tc>
        <w:tc>
          <w:tcPr>
            <w:tcW w:w="120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hint="eastAsia"/>
              </w:rPr>
              <w:t>自上市之日起</w:t>
            </w:r>
            <w:r>
              <w:rPr>
                <w:rFonts w:ascii="Times New Roman" w:hAnsi="Times New Roman" w:hint="eastAsia"/>
              </w:rPr>
              <w:t>72</w:t>
            </w:r>
            <w:r>
              <w:rPr>
                <w:rFonts w:ascii="Times New Roman" w:hAnsi="Times New Roman" w:hint="eastAsia"/>
              </w:rPr>
              <w:t>个月</w:t>
            </w:r>
          </w:p>
        </w:tc>
      </w:tr>
      <w:tr w:rsidR="00AD5BB5">
        <w:trPr>
          <w:cantSplit/>
          <w:trHeight w:val="345"/>
          <w:jc w:val="center"/>
        </w:trPr>
        <w:tc>
          <w:tcPr>
            <w:tcW w:w="235" w:type="pct"/>
            <w:vMerge/>
            <w:tcBorders>
              <w:left w:val="single" w:sz="4" w:space="0" w:color="auto"/>
              <w:bottom w:val="single" w:sz="4" w:space="0" w:color="auto"/>
              <w:right w:val="single" w:sz="4" w:space="0" w:color="auto"/>
              <w:tl2br w:val="nil"/>
              <w:tr2bl w:val="nil"/>
            </w:tcBorders>
            <w:vAlign w:val="center"/>
          </w:tcPr>
          <w:p w:rsidR="00AD5BB5" w:rsidRDefault="00AD5BB5">
            <w:pPr>
              <w:rPr>
                <w:rFonts w:ascii="Times New Roman" w:hAnsi="Times New Roman"/>
              </w:rPr>
            </w:pPr>
          </w:p>
        </w:tc>
        <w:tc>
          <w:tcPr>
            <w:tcW w:w="1333" w:type="pct"/>
            <w:vMerge/>
            <w:tcBorders>
              <w:left w:val="single" w:sz="4" w:space="0" w:color="auto"/>
              <w:bottom w:val="single" w:sz="4" w:space="0" w:color="auto"/>
              <w:right w:val="single" w:sz="4" w:space="0" w:color="auto"/>
              <w:tl2br w:val="nil"/>
              <w:tr2bl w:val="nil"/>
            </w:tcBorders>
            <w:vAlign w:val="center"/>
          </w:tcPr>
          <w:p w:rsidR="00AD5BB5" w:rsidRDefault="00AD5BB5">
            <w:pPr>
              <w:rPr>
                <w:rFonts w:ascii="Times New Roman" w:hAnsi="Times New Roman"/>
              </w:rPr>
            </w:pPr>
          </w:p>
        </w:tc>
        <w:tc>
          <w:tcPr>
            <w:tcW w:w="70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widowControl/>
              <w:jc w:val="right"/>
              <w:textAlignment w:val="center"/>
              <w:rPr>
                <w:rFonts w:ascii="Times New Roman" w:hAnsi="Times New Roman"/>
              </w:rPr>
            </w:pPr>
            <w:r>
              <w:rPr>
                <w:rFonts w:ascii="Times New Roman" w:hAnsi="Times New Roman"/>
                <w:color w:val="000000"/>
                <w:kern w:val="0"/>
                <w:lang w:bidi="ar"/>
              </w:rPr>
              <w:t xml:space="preserve">169,679 </w:t>
            </w:r>
          </w:p>
        </w:tc>
        <w:tc>
          <w:tcPr>
            <w:tcW w:w="105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rPr>
              <w:t>202</w:t>
            </w:r>
            <w:r>
              <w:rPr>
                <w:rFonts w:ascii="Times New Roman" w:hAnsi="Times New Roman" w:hint="eastAsia"/>
              </w:rPr>
              <w:t>8</w:t>
            </w:r>
            <w:r>
              <w:rPr>
                <w:rFonts w:ascii="Times New Roman" w:hAnsi="Times New Roman" w:hint="eastAsia"/>
              </w:rPr>
              <w:t>年</w:t>
            </w:r>
            <w:r>
              <w:rPr>
                <w:rFonts w:ascii="Times New Roman" w:hAnsi="Times New Roman" w:hint="eastAsia"/>
              </w:rPr>
              <w:t>10</w:t>
            </w:r>
            <w:r>
              <w:rPr>
                <w:rFonts w:ascii="Times New Roman" w:hAnsi="Times New Roman" w:hint="eastAsia"/>
              </w:rPr>
              <w:t>月</w:t>
            </w:r>
            <w:r>
              <w:rPr>
                <w:rFonts w:ascii="Times New Roman" w:hAnsi="Times New Roman" w:hint="eastAsia"/>
              </w:rPr>
              <w:t>27</w:t>
            </w:r>
            <w:r>
              <w:rPr>
                <w:rFonts w:ascii="Times New Roman" w:hAnsi="Times New Roman" w:hint="eastAsia"/>
              </w:rPr>
              <w:t>日</w:t>
            </w:r>
          </w:p>
        </w:tc>
        <w:tc>
          <w:tcPr>
            <w:tcW w:w="468"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jc w:val="right"/>
              <w:rPr>
                <w:rFonts w:ascii="Times New Roman" w:hAnsi="Times New Roman"/>
              </w:rPr>
            </w:pPr>
            <w:r>
              <w:rPr>
                <w:rFonts w:ascii="Times New Roman" w:hAnsi="Times New Roman" w:hint="eastAsia"/>
              </w:rPr>
              <w:t>0</w:t>
            </w:r>
          </w:p>
        </w:tc>
        <w:tc>
          <w:tcPr>
            <w:tcW w:w="1204" w:type="pct"/>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rPr>
                <w:rFonts w:ascii="Times New Roman" w:hAnsi="Times New Roman"/>
              </w:rPr>
            </w:pPr>
            <w:r>
              <w:rPr>
                <w:rFonts w:ascii="Times New Roman" w:hAnsi="Times New Roman" w:hint="eastAsia"/>
              </w:rPr>
              <w:t>自上市之日起</w:t>
            </w:r>
            <w:r>
              <w:rPr>
                <w:rFonts w:ascii="Times New Roman" w:hAnsi="Times New Roman" w:hint="eastAsia"/>
              </w:rPr>
              <w:t>96</w:t>
            </w:r>
            <w:r>
              <w:rPr>
                <w:rFonts w:ascii="Times New Roman" w:hAnsi="Times New Roman" w:hint="eastAsia"/>
              </w:rPr>
              <w:t>个月</w:t>
            </w:r>
          </w:p>
        </w:tc>
      </w:tr>
      <w:tr w:rsidR="00AD5BB5">
        <w:trPr>
          <w:cantSplit/>
          <w:jc w:val="center"/>
        </w:trPr>
        <w:sdt>
          <w:sdtPr>
            <w:tag w:val="_PLD_0d9e41f2b1a1456887b316f5ac602083"/>
            <w:id w:val="302359259"/>
          </w:sdtPr>
          <w:sdtContent>
            <w:tc>
              <w:tcPr>
                <w:tcW w:w="1569" w:type="pct"/>
                <w:gridSpan w:val="2"/>
                <w:tcBorders>
                  <w:top w:val="single" w:sz="4" w:space="0" w:color="auto"/>
                  <w:left w:val="single" w:sz="4" w:space="0" w:color="auto"/>
                  <w:bottom w:val="single" w:sz="4" w:space="0" w:color="auto"/>
                  <w:right w:val="single" w:sz="4" w:space="0" w:color="auto"/>
                  <w:tl2br w:val="nil"/>
                  <w:tr2bl w:val="nil"/>
                </w:tcBorders>
              </w:tcPr>
              <w:p w:rsidR="00AD5BB5" w:rsidRDefault="00F87FF6">
                <w:pPr>
                  <w:ind w:rightChars="46" w:right="97"/>
                  <w:rPr>
                    <w:rFonts w:ascii="Times New Roman" w:hAnsi="Times New Roman"/>
                  </w:rPr>
                </w:pPr>
                <w:r>
                  <w:rPr>
                    <w:rFonts w:hint="eastAsia"/>
                  </w:rPr>
                  <w:t>上述股东关联关系或一致行动的说明</w:t>
                </w:r>
              </w:p>
            </w:tc>
          </w:sdtContent>
        </w:sdt>
        <w:tc>
          <w:tcPr>
            <w:tcW w:w="3430" w:type="pct"/>
            <w:gridSpan w:val="4"/>
            <w:tcBorders>
              <w:top w:val="single" w:sz="4" w:space="0" w:color="auto"/>
              <w:left w:val="single" w:sz="4" w:space="0" w:color="auto"/>
              <w:bottom w:val="single" w:sz="4" w:space="0" w:color="auto"/>
              <w:right w:val="single" w:sz="4" w:space="0" w:color="auto"/>
              <w:tl2br w:val="nil"/>
              <w:tr2bl w:val="nil"/>
            </w:tcBorders>
            <w:vAlign w:val="center"/>
          </w:tcPr>
          <w:p w:rsidR="00AD5BB5" w:rsidRDefault="00F87FF6">
            <w:pPr>
              <w:ind w:rightChars="46" w:right="97"/>
              <w:rPr>
                <w:rFonts w:ascii="Times New Roman" w:hAnsi="Times New Roman"/>
              </w:rPr>
            </w:pPr>
            <w:r>
              <w:rPr>
                <w:rFonts w:ascii="Times New Roman" w:hAnsi="Times New Roman" w:hint="eastAsia"/>
              </w:rPr>
              <w:t>无</w:t>
            </w:r>
          </w:p>
        </w:tc>
      </w:tr>
    </w:tbl>
    <w:p w:rsidR="00AD5BB5" w:rsidRDefault="00AD5BB5">
      <w:pPr>
        <w:rPr>
          <w:rFonts w:ascii="Times New Roman" w:hAnsi="Times New Roman"/>
          <w:szCs w:val="21"/>
        </w:rPr>
      </w:pPr>
    </w:p>
    <w:p w:rsidR="00AD5BB5" w:rsidRDefault="00AD5BB5">
      <w:pPr>
        <w:rPr>
          <w:rFonts w:ascii="Times New Roman" w:hAnsi="Times New Roman"/>
          <w:szCs w:val="21"/>
        </w:rPr>
      </w:pPr>
    </w:p>
    <w:p w:rsidR="00AD5BB5" w:rsidRDefault="00F87FF6">
      <w:pPr>
        <w:pStyle w:val="2"/>
        <w:numPr>
          <w:ilvl w:val="0"/>
          <w:numId w:val="29"/>
        </w:numPr>
        <w:spacing w:line="360" w:lineRule="auto"/>
        <w:rPr>
          <w:rFonts w:ascii="Times New Roman" w:hAnsi="Times New Roman"/>
          <w:color w:val="FF0000"/>
          <w:szCs w:val="21"/>
        </w:rPr>
      </w:pPr>
      <w:r>
        <w:rPr>
          <w:rFonts w:ascii="Times New Roman" w:hAnsi="Times New Roman" w:hint="eastAsia"/>
          <w:szCs w:val="21"/>
        </w:rPr>
        <w:t>董事、监事和高级管理人员情况</w:t>
      </w:r>
    </w:p>
    <w:p w:rsidR="00AD5BB5" w:rsidRDefault="00F87FF6">
      <w:pPr>
        <w:pStyle w:val="3"/>
        <w:rPr>
          <w:rFonts w:ascii="宋体" w:hAnsi="宋体"/>
        </w:rPr>
      </w:pPr>
      <w:r>
        <w:rPr>
          <w:rFonts w:ascii="宋体" w:hAnsi="宋体" w:hint="eastAsia"/>
        </w:rPr>
        <w:t>（一）现任及报告期内离任董事、监事和高级管理人员持股变动情况</w:t>
      </w:r>
    </w:p>
    <w:p w:rsidR="00AD5BB5" w:rsidRDefault="00F87FF6">
      <w:pPr>
        <w:ind w:firstLineChars="200" w:firstLine="420"/>
        <w:rPr>
          <w:szCs w:val="21"/>
        </w:rPr>
      </w:pPr>
      <w:r>
        <w:rPr>
          <w:rFonts w:hint="eastAsia"/>
          <w:szCs w:val="21"/>
        </w:rPr>
        <w:t>报告期内，董事、监事和高级管理人员持股未发生变动。</w:t>
      </w:r>
    </w:p>
    <w:p w:rsidR="00AD5BB5" w:rsidRDefault="00F87FF6">
      <w:pPr>
        <w:pStyle w:val="3"/>
        <w:spacing w:before="240" w:line="360" w:lineRule="auto"/>
        <w:rPr>
          <w:rFonts w:ascii="宋体" w:hAnsi="宋体"/>
        </w:rPr>
      </w:pPr>
      <w:r>
        <w:rPr>
          <w:rFonts w:hint="eastAsia"/>
        </w:rPr>
        <w:t>（二）董事、高级管理人员报告期内被授予的股权激励情况</w:t>
      </w:r>
    </w:p>
    <w:p w:rsidR="00AD5BB5" w:rsidRDefault="00F87FF6">
      <w:pPr>
        <w:kinsoku w:val="0"/>
        <w:overflowPunct w:val="0"/>
        <w:autoSpaceDE w:val="0"/>
        <w:autoSpaceDN w:val="0"/>
        <w:adjustRightInd w:val="0"/>
        <w:snapToGrid w:val="0"/>
        <w:spacing w:line="360" w:lineRule="auto"/>
        <w:ind w:firstLineChars="200" w:firstLine="420"/>
      </w:pPr>
      <w:r>
        <w:rPr>
          <w:rFonts w:hint="eastAsia"/>
        </w:rPr>
        <w:t>不适用</w:t>
      </w:r>
    </w:p>
    <w:p w:rsidR="00AD5BB5" w:rsidRDefault="00F87FF6">
      <w:pPr>
        <w:pStyle w:val="2"/>
        <w:spacing w:line="360" w:lineRule="auto"/>
        <w:rPr>
          <w:rFonts w:ascii="Times New Roman" w:hAnsi="Times New Roman"/>
          <w:szCs w:val="21"/>
        </w:rPr>
      </w:pPr>
      <w:r>
        <w:rPr>
          <w:rFonts w:ascii="Times New Roman" w:hAnsi="Times New Roman" w:hint="eastAsia"/>
          <w:szCs w:val="21"/>
        </w:rPr>
        <w:t>四、控股股东及实际控制人情况</w:t>
      </w:r>
    </w:p>
    <w:p w:rsidR="00AD5BB5" w:rsidRDefault="00F87FF6">
      <w:pPr>
        <w:pStyle w:val="3"/>
        <w:spacing w:line="360" w:lineRule="auto"/>
        <w:rPr>
          <w:rFonts w:ascii="Times New Roman" w:hAnsi="Times New Roman"/>
          <w:szCs w:val="21"/>
        </w:rPr>
      </w:pPr>
      <w:r>
        <w:rPr>
          <w:rFonts w:ascii="Times New Roman" w:hAnsi="Times New Roman" w:hint="eastAsia"/>
          <w:szCs w:val="21"/>
        </w:rPr>
        <w:t>（一）控股股东情况</w:t>
      </w:r>
    </w:p>
    <w:p w:rsidR="00AD5BB5" w:rsidRDefault="00F87FF6">
      <w:pPr>
        <w:spacing w:line="360" w:lineRule="auto"/>
        <w:ind w:firstLineChars="200" w:firstLine="420"/>
        <w:rPr>
          <w:rFonts w:ascii="Times New Roman" w:hAnsi="Times New Roman"/>
          <w:szCs w:val="21"/>
        </w:rPr>
      </w:pPr>
      <w:r>
        <w:rPr>
          <w:rFonts w:ascii="Times New Roman" w:hAnsi="Times New Roman" w:hint="eastAsia"/>
          <w:szCs w:val="21"/>
        </w:rPr>
        <w:t>报告期内，公司不存在控股股东。公司股权结构较为分散，任</w:t>
      </w:r>
      <w:proofErr w:type="gramStart"/>
      <w:r>
        <w:rPr>
          <w:rFonts w:ascii="Times New Roman" w:hAnsi="Times New Roman" w:hint="eastAsia"/>
          <w:szCs w:val="21"/>
        </w:rPr>
        <w:t>一</w:t>
      </w:r>
      <w:proofErr w:type="gramEnd"/>
      <w:r>
        <w:rPr>
          <w:rFonts w:ascii="Times New Roman" w:hAnsi="Times New Roman" w:hint="eastAsia"/>
          <w:szCs w:val="21"/>
        </w:rPr>
        <w:t>股东持股比例均未达到法律规定的控股股东要求，且任</w:t>
      </w:r>
      <w:proofErr w:type="gramStart"/>
      <w:r>
        <w:rPr>
          <w:rFonts w:ascii="Times New Roman" w:hAnsi="Times New Roman" w:hint="eastAsia"/>
          <w:szCs w:val="21"/>
        </w:rPr>
        <w:t>一</w:t>
      </w:r>
      <w:proofErr w:type="gramEnd"/>
      <w:r>
        <w:rPr>
          <w:rFonts w:ascii="Times New Roman" w:hAnsi="Times New Roman" w:hint="eastAsia"/>
          <w:szCs w:val="21"/>
        </w:rPr>
        <w:t>股东依其持有或者通过一致行动关系合计持有的股份所享有的表决权均不足以对公司股东大会的决议产生重大影响；本行董事会成员结构均衡，任</w:t>
      </w:r>
      <w:proofErr w:type="gramStart"/>
      <w:r>
        <w:rPr>
          <w:rFonts w:ascii="Times New Roman" w:hAnsi="Times New Roman" w:hint="eastAsia"/>
          <w:szCs w:val="21"/>
        </w:rPr>
        <w:t>一</w:t>
      </w:r>
      <w:proofErr w:type="gramEnd"/>
      <w:r>
        <w:rPr>
          <w:rFonts w:ascii="Times New Roman" w:hAnsi="Times New Roman" w:hint="eastAsia"/>
          <w:szCs w:val="21"/>
        </w:rPr>
        <w:t>股东均不能通过行使表决权决定公司董事会半数以上成员。因此，报告期内本行不存在控股</w:t>
      </w:r>
      <w:r>
        <w:rPr>
          <w:rFonts w:ascii="Times New Roman" w:hAnsi="Times New Roman" w:hint="eastAsia"/>
          <w:szCs w:val="21"/>
        </w:rPr>
        <w:lastRenderedPageBreak/>
        <w:t>股东。</w:t>
      </w:r>
    </w:p>
    <w:p w:rsidR="00AD5BB5" w:rsidRDefault="00F87FF6">
      <w:pPr>
        <w:pStyle w:val="3"/>
        <w:spacing w:line="360" w:lineRule="auto"/>
        <w:rPr>
          <w:rFonts w:ascii="Times New Roman" w:hAnsi="Times New Roman"/>
          <w:szCs w:val="21"/>
        </w:rPr>
      </w:pPr>
      <w:r>
        <w:rPr>
          <w:rFonts w:ascii="Times New Roman" w:hAnsi="Times New Roman" w:hint="eastAsia"/>
          <w:szCs w:val="21"/>
        </w:rPr>
        <w:t>（二）实际控制人情况</w:t>
      </w:r>
    </w:p>
    <w:p w:rsidR="00AD5BB5" w:rsidRDefault="00F87FF6">
      <w:pPr>
        <w:spacing w:line="360" w:lineRule="auto"/>
        <w:ind w:firstLineChars="200" w:firstLine="420"/>
        <w:rPr>
          <w:rFonts w:ascii="Times New Roman" w:hAnsi="Times New Roman"/>
          <w:szCs w:val="21"/>
        </w:rPr>
      </w:pPr>
      <w:r>
        <w:rPr>
          <w:rFonts w:ascii="Times New Roman" w:hAnsi="Times New Roman" w:hint="eastAsia"/>
          <w:szCs w:val="21"/>
        </w:rPr>
        <w:t>报告期内，公司不存在虽不是本公司的股东，但通过投资关系、协议或者其他安排，能够实际支配公司行为的人。对照《公司法》关于“实际控制人”的规定，报告期内本公司不存在实际控制人。</w:t>
      </w:r>
    </w:p>
    <w:p w:rsidR="00AD5BB5" w:rsidRDefault="00F87FF6">
      <w:pPr>
        <w:spacing w:line="360" w:lineRule="auto"/>
        <w:rPr>
          <w:rFonts w:ascii="Times New Roman" w:hAnsi="Times New Roman"/>
          <w:b/>
          <w:color w:val="FF0000"/>
          <w:szCs w:val="21"/>
        </w:rPr>
      </w:pPr>
      <w:r>
        <w:rPr>
          <w:rFonts w:ascii="Times New Roman" w:hAnsi="Times New Roman"/>
          <w:b/>
          <w:szCs w:val="21"/>
        </w:rPr>
        <w:t>五、</w:t>
      </w:r>
      <w:r>
        <w:rPr>
          <w:rFonts w:ascii="Times New Roman" w:hAnsi="Times New Roman" w:hint="eastAsia"/>
          <w:b/>
          <w:szCs w:val="21"/>
        </w:rPr>
        <w:t>报告期末主要股东相关情况</w:t>
      </w:r>
    </w:p>
    <w:p w:rsidR="00AD5BB5" w:rsidRDefault="00F87FF6">
      <w:pPr>
        <w:spacing w:line="360" w:lineRule="auto"/>
        <w:ind w:firstLineChars="200" w:firstLine="420"/>
        <w:rPr>
          <w:rFonts w:ascii="宋体" w:hAnsi="宋体"/>
          <w:szCs w:val="21"/>
        </w:rPr>
      </w:pPr>
      <w:r>
        <w:rPr>
          <w:rFonts w:ascii="宋体" w:hAnsi="宋体" w:hint="eastAsia"/>
          <w:szCs w:val="21"/>
        </w:rPr>
        <w:t>根据《商业银行股权管理暂行办法》相关规定，本公司主要股东是指持有或控制本公司</w:t>
      </w:r>
      <w:r>
        <w:rPr>
          <w:rFonts w:ascii="宋体" w:hAnsi="宋体"/>
          <w:szCs w:val="21"/>
        </w:rPr>
        <w:t>5%</w:t>
      </w:r>
      <w:r>
        <w:rPr>
          <w:rFonts w:ascii="宋体" w:hAnsi="宋体" w:hint="eastAsia"/>
          <w:szCs w:val="21"/>
        </w:rPr>
        <w:t>以上股份或表决权，或持有资本总额或股份总额不足</w:t>
      </w:r>
      <w:r>
        <w:rPr>
          <w:rFonts w:ascii="宋体" w:hAnsi="宋体"/>
          <w:szCs w:val="21"/>
        </w:rPr>
        <w:t>5%</w:t>
      </w:r>
      <w:r>
        <w:rPr>
          <w:rFonts w:ascii="宋体" w:hAnsi="宋体" w:hint="eastAsia"/>
          <w:szCs w:val="21"/>
        </w:rPr>
        <w:t>但对本公司经营管理有重大影响的股东，包括但不限于向本公司派驻董事、监事或高级管理人员，通过协议或其他方式影响本公司的财务和经营管理决策以及银保监会或其派出机构认定的其他情形。</w:t>
      </w:r>
    </w:p>
    <w:p w:rsidR="00AD5BB5" w:rsidRDefault="00F87FF6">
      <w:pPr>
        <w:spacing w:line="360" w:lineRule="auto"/>
        <w:ind w:firstLineChars="200" w:firstLine="420"/>
        <w:rPr>
          <w:rFonts w:ascii="宋体" w:hAnsi="宋体"/>
          <w:szCs w:val="21"/>
        </w:rPr>
      </w:pPr>
      <w:r>
        <w:rPr>
          <w:rFonts w:ascii="宋体" w:hAnsi="宋体" w:hint="eastAsia"/>
          <w:szCs w:val="21"/>
        </w:rPr>
        <w:t xml:space="preserve">本公司主要股东情况如下：   </w:t>
      </w:r>
      <w:r>
        <w:rPr>
          <w:rFonts w:ascii="Times New Roman" w:hAnsi="Times New Roman"/>
          <w:szCs w:val="21"/>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gridCol w:w="1683"/>
        <w:gridCol w:w="1266"/>
        <w:gridCol w:w="4069"/>
      </w:tblGrid>
      <w:tr w:rsidR="00AD5BB5">
        <w:trPr>
          <w:trHeight w:val="285"/>
        </w:trPr>
        <w:tc>
          <w:tcPr>
            <w:tcW w:w="5000" w:type="pct"/>
            <w:gridSpan w:val="4"/>
            <w:tcBorders>
              <w:top w:val="single" w:sz="4" w:space="0" w:color="auto"/>
              <w:left w:val="single" w:sz="4" w:space="0" w:color="auto"/>
              <w:bottom w:val="single" w:sz="4" w:space="0" w:color="auto"/>
              <w:right w:val="single" w:sz="4" w:space="0" w:color="auto"/>
              <w:tl2br w:val="nil"/>
              <w:tr2bl w:val="nil"/>
            </w:tcBorders>
            <w:noWrap/>
          </w:tcPr>
          <w:p w:rsidR="00AD5BB5" w:rsidRDefault="00F87FF6">
            <w:pPr>
              <w:jc w:val="left"/>
              <w:rPr>
                <w:rFonts w:ascii="Times New Roman" w:hAnsi="Times New Roman"/>
                <w:kern w:val="0"/>
              </w:rPr>
            </w:pPr>
            <w:r>
              <w:rPr>
                <w:rFonts w:ascii="Times New Roman" w:hAnsi="Times New Roman" w:hint="eastAsia"/>
                <w:kern w:val="0"/>
              </w:rPr>
              <w:t>1</w:t>
            </w:r>
            <w:r>
              <w:rPr>
                <w:rFonts w:ascii="Times New Roman" w:hAnsi="Times New Roman" w:hint="eastAsia"/>
                <w:kern w:val="0"/>
              </w:rPr>
              <w:t>．厦门金圆投资集团有限公司</w:t>
            </w:r>
          </w:p>
        </w:tc>
      </w:tr>
      <w:tr w:rsidR="00AD5BB5">
        <w:trPr>
          <w:trHeight w:val="349"/>
        </w:trPr>
        <w:tc>
          <w:tcPr>
            <w:tcW w:w="798" w:type="pct"/>
            <w:tcBorders>
              <w:top w:val="single" w:sz="4" w:space="0" w:color="auto"/>
              <w:left w:val="single" w:sz="4" w:space="0" w:color="auto"/>
              <w:bottom w:val="single" w:sz="4" w:space="0" w:color="auto"/>
              <w:right w:val="single" w:sz="4" w:space="0" w:color="auto"/>
              <w:tl2br w:val="nil"/>
              <w:tr2bl w:val="nil"/>
            </w:tcBorders>
            <w:noWrap/>
          </w:tcPr>
          <w:p w:rsidR="00AD5BB5" w:rsidRDefault="00F87FF6">
            <w:pPr>
              <w:jc w:val="center"/>
              <w:rPr>
                <w:rFonts w:ascii="Times New Roman" w:hAnsi="Times New Roman"/>
                <w:kern w:val="0"/>
              </w:rPr>
            </w:pPr>
            <w:r>
              <w:rPr>
                <w:rFonts w:ascii="Times New Roman" w:hAnsi="Times New Roman" w:hint="eastAsia"/>
                <w:kern w:val="0"/>
              </w:rPr>
              <w:t>公司类型</w:t>
            </w:r>
          </w:p>
        </w:tc>
        <w:tc>
          <w:tcPr>
            <w:tcW w:w="103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kern w:val="0"/>
              </w:rPr>
            </w:pPr>
            <w:r>
              <w:rPr>
                <w:rFonts w:ascii="Times New Roman" w:hAnsi="Times New Roman" w:hint="eastAsia"/>
                <w:kern w:val="0"/>
              </w:rPr>
              <w:t>有限责任公司（非自然人投资或控股的法人独资）</w:t>
            </w:r>
          </w:p>
        </w:tc>
        <w:tc>
          <w:tcPr>
            <w:tcW w:w="69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kern w:val="0"/>
              </w:rPr>
            </w:pPr>
            <w:r>
              <w:rPr>
                <w:rFonts w:ascii="Times New Roman" w:hAnsi="Times New Roman" w:hint="eastAsia"/>
                <w:kern w:val="0"/>
              </w:rPr>
              <w:t>注册地址</w:t>
            </w:r>
          </w:p>
        </w:tc>
        <w:tc>
          <w:tcPr>
            <w:tcW w:w="247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kern w:val="0"/>
              </w:rPr>
            </w:pPr>
            <w:r>
              <w:rPr>
                <w:rFonts w:ascii="Times New Roman" w:hAnsi="Times New Roman" w:hint="eastAsia"/>
                <w:kern w:val="0"/>
              </w:rPr>
              <w:t>厦门市思明区</w:t>
            </w:r>
            <w:proofErr w:type="gramStart"/>
            <w:r>
              <w:rPr>
                <w:rFonts w:ascii="Times New Roman" w:hAnsi="Times New Roman" w:hint="eastAsia"/>
                <w:kern w:val="0"/>
              </w:rPr>
              <w:t>展鸿路</w:t>
            </w:r>
            <w:r>
              <w:rPr>
                <w:rFonts w:ascii="Times New Roman" w:hAnsi="Times New Roman" w:hint="eastAsia"/>
                <w:kern w:val="0"/>
              </w:rPr>
              <w:t>82</w:t>
            </w:r>
            <w:r>
              <w:rPr>
                <w:rFonts w:ascii="Times New Roman" w:hAnsi="Times New Roman" w:hint="eastAsia"/>
                <w:kern w:val="0"/>
              </w:rPr>
              <w:t>号</w:t>
            </w:r>
            <w:proofErr w:type="gramEnd"/>
            <w:r>
              <w:rPr>
                <w:rFonts w:ascii="Times New Roman" w:hAnsi="Times New Roman" w:hint="eastAsia"/>
                <w:kern w:val="0"/>
              </w:rPr>
              <w:t>厦门国际金融中心</w:t>
            </w:r>
            <w:r>
              <w:rPr>
                <w:rFonts w:ascii="Times New Roman" w:hAnsi="Times New Roman" w:hint="eastAsia"/>
                <w:kern w:val="0"/>
              </w:rPr>
              <w:t>46</w:t>
            </w:r>
            <w:r>
              <w:rPr>
                <w:rFonts w:ascii="Times New Roman" w:hAnsi="Times New Roman" w:hint="eastAsia"/>
                <w:kern w:val="0"/>
              </w:rPr>
              <w:t>层</w:t>
            </w:r>
            <w:r>
              <w:rPr>
                <w:rFonts w:ascii="Times New Roman" w:hAnsi="Times New Roman" w:hint="eastAsia"/>
                <w:kern w:val="0"/>
              </w:rPr>
              <w:t>4610-4620</w:t>
            </w:r>
            <w:r>
              <w:rPr>
                <w:rFonts w:ascii="Times New Roman" w:hAnsi="Times New Roman" w:hint="eastAsia"/>
                <w:kern w:val="0"/>
              </w:rPr>
              <w:t>单元</w:t>
            </w:r>
          </w:p>
        </w:tc>
      </w:tr>
      <w:tr w:rsidR="00AD5BB5">
        <w:trPr>
          <w:trHeight w:val="458"/>
        </w:trPr>
        <w:tc>
          <w:tcPr>
            <w:tcW w:w="798"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kern w:val="0"/>
              </w:rPr>
            </w:pPr>
            <w:r>
              <w:rPr>
                <w:rFonts w:ascii="Times New Roman" w:hAnsi="Times New Roman" w:hint="eastAsia"/>
                <w:kern w:val="0"/>
              </w:rPr>
              <w:t>负责人</w:t>
            </w:r>
          </w:p>
        </w:tc>
        <w:tc>
          <w:tcPr>
            <w:tcW w:w="103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kern w:val="0"/>
              </w:rPr>
            </w:pPr>
            <w:r>
              <w:rPr>
                <w:rFonts w:ascii="Times New Roman" w:hAnsi="Times New Roman" w:hint="eastAsia"/>
                <w:kern w:val="0"/>
              </w:rPr>
              <w:t>檀庄龙</w:t>
            </w:r>
            <w:r>
              <w:rPr>
                <w:rFonts w:ascii="Times New Roman" w:hAnsi="Times New Roman" w:hint="eastAsia"/>
                <w:kern w:val="0"/>
              </w:rPr>
              <w:t xml:space="preserve"> </w:t>
            </w:r>
          </w:p>
        </w:tc>
        <w:tc>
          <w:tcPr>
            <w:tcW w:w="691" w:type="pct"/>
            <w:tcBorders>
              <w:top w:val="single" w:sz="4" w:space="0" w:color="auto"/>
              <w:left w:val="single" w:sz="4" w:space="0" w:color="auto"/>
              <w:bottom w:val="single" w:sz="4" w:space="0" w:color="auto"/>
              <w:right w:val="single" w:sz="4" w:space="0" w:color="auto"/>
              <w:tl2br w:val="nil"/>
              <w:tr2bl w:val="nil"/>
            </w:tcBorders>
            <w:noWrap/>
          </w:tcPr>
          <w:p w:rsidR="00AD5BB5" w:rsidRDefault="00F87FF6">
            <w:pPr>
              <w:jc w:val="center"/>
              <w:rPr>
                <w:rFonts w:ascii="Times New Roman" w:hAnsi="Times New Roman"/>
                <w:kern w:val="0"/>
              </w:rPr>
            </w:pPr>
            <w:r>
              <w:rPr>
                <w:rFonts w:ascii="Times New Roman" w:hAnsi="Times New Roman" w:hint="eastAsia"/>
                <w:kern w:val="0"/>
              </w:rPr>
              <w:t>注册资本</w:t>
            </w:r>
          </w:p>
        </w:tc>
        <w:tc>
          <w:tcPr>
            <w:tcW w:w="247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kern w:val="0"/>
              </w:rPr>
            </w:pPr>
            <w:r>
              <w:rPr>
                <w:rFonts w:ascii="Times New Roman" w:hAnsi="Times New Roman" w:hint="eastAsia"/>
                <w:kern w:val="0"/>
              </w:rPr>
              <w:t>2,289,463.6708</w:t>
            </w:r>
            <w:r>
              <w:rPr>
                <w:rFonts w:ascii="Times New Roman" w:hAnsi="Times New Roman" w:hint="eastAsia"/>
                <w:kern w:val="0"/>
              </w:rPr>
              <w:t>万元人民币</w:t>
            </w:r>
          </w:p>
        </w:tc>
      </w:tr>
      <w:tr w:rsidR="00AD5BB5">
        <w:trPr>
          <w:trHeight w:val="570"/>
        </w:trPr>
        <w:tc>
          <w:tcPr>
            <w:tcW w:w="798"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kern w:val="0"/>
              </w:rPr>
            </w:pPr>
            <w:r>
              <w:rPr>
                <w:rFonts w:ascii="Times New Roman" w:hAnsi="Times New Roman" w:hint="eastAsia"/>
                <w:kern w:val="0"/>
              </w:rPr>
              <w:t>成立时间</w:t>
            </w:r>
          </w:p>
        </w:tc>
        <w:tc>
          <w:tcPr>
            <w:tcW w:w="103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kern w:val="0"/>
              </w:rPr>
            </w:pPr>
            <w:r>
              <w:rPr>
                <w:rFonts w:ascii="Times New Roman" w:hAnsi="Times New Roman"/>
                <w:kern w:val="0"/>
              </w:rPr>
              <w:t>20</w:t>
            </w:r>
            <w:r>
              <w:rPr>
                <w:rFonts w:ascii="Times New Roman" w:hAnsi="Times New Roman" w:hint="eastAsia"/>
                <w:kern w:val="0"/>
              </w:rPr>
              <w:t>11</w:t>
            </w:r>
            <w:r>
              <w:rPr>
                <w:rFonts w:ascii="Times New Roman" w:hAnsi="Times New Roman" w:hint="eastAsia"/>
                <w:kern w:val="0"/>
              </w:rPr>
              <w:t>年</w:t>
            </w:r>
            <w:r>
              <w:rPr>
                <w:rFonts w:ascii="Times New Roman" w:hAnsi="Times New Roman" w:hint="eastAsia"/>
                <w:kern w:val="0"/>
              </w:rPr>
              <w:t>7</w:t>
            </w:r>
            <w:r>
              <w:rPr>
                <w:rFonts w:ascii="Times New Roman" w:hAnsi="Times New Roman" w:hint="eastAsia"/>
                <w:kern w:val="0"/>
              </w:rPr>
              <w:t>月</w:t>
            </w:r>
            <w:r>
              <w:rPr>
                <w:rFonts w:ascii="Times New Roman" w:hAnsi="Times New Roman" w:hint="eastAsia"/>
                <w:kern w:val="0"/>
              </w:rPr>
              <w:t>13</w:t>
            </w:r>
            <w:r>
              <w:rPr>
                <w:rFonts w:ascii="Times New Roman" w:hAnsi="Times New Roman" w:hint="eastAsia"/>
                <w:kern w:val="0"/>
              </w:rPr>
              <w:t>日</w:t>
            </w:r>
          </w:p>
        </w:tc>
        <w:tc>
          <w:tcPr>
            <w:tcW w:w="69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rPr>
            </w:pPr>
            <w:r>
              <w:rPr>
                <w:rFonts w:ascii="Times New Roman" w:hAnsi="Times New Roman" w:hint="eastAsia"/>
                <w:kern w:val="0"/>
              </w:rPr>
              <w:t>公司统一编号</w:t>
            </w:r>
          </w:p>
        </w:tc>
        <w:tc>
          <w:tcPr>
            <w:tcW w:w="247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kern w:val="0"/>
              </w:rPr>
            </w:pPr>
            <w:r>
              <w:rPr>
                <w:rFonts w:ascii="Times New Roman" w:hAnsi="Times New Roman" w:hint="eastAsia"/>
                <w:kern w:val="0"/>
              </w:rPr>
              <w:t>9135020057503085XG</w:t>
            </w:r>
          </w:p>
        </w:tc>
      </w:tr>
      <w:tr w:rsidR="00AD5BB5">
        <w:trPr>
          <w:trHeight w:val="570"/>
        </w:trPr>
        <w:tc>
          <w:tcPr>
            <w:tcW w:w="798"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kern w:val="0"/>
              </w:rPr>
            </w:pPr>
            <w:r>
              <w:rPr>
                <w:rFonts w:ascii="Times New Roman" w:hAnsi="Times New Roman" w:hint="eastAsia"/>
                <w:kern w:val="0"/>
              </w:rPr>
              <w:t>经营范围</w:t>
            </w:r>
          </w:p>
        </w:tc>
        <w:tc>
          <w:tcPr>
            <w:tcW w:w="4202" w:type="pct"/>
            <w:gridSpan w:val="3"/>
            <w:tcBorders>
              <w:top w:val="single" w:sz="4" w:space="0" w:color="auto"/>
              <w:left w:val="single" w:sz="4" w:space="0" w:color="auto"/>
              <w:bottom w:val="single" w:sz="4" w:space="0" w:color="auto"/>
              <w:right w:val="single" w:sz="4" w:space="0" w:color="auto"/>
              <w:tl2br w:val="nil"/>
              <w:tr2bl w:val="nil"/>
            </w:tcBorders>
          </w:tcPr>
          <w:p w:rsidR="00AD5BB5" w:rsidRDefault="00F87FF6">
            <w:pPr>
              <w:jc w:val="left"/>
              <w:rPr>
                <w:rFonts w:ascii="Times New Roman" w:hAnsi="Times New Roman"/>
                <w:kern w:val="0"/>
              </w:rPr>
            </w:pPr>
            <w:r>
              <w:rPr>
                <w:rFonts w:ascii="Times New Roman" w:hAnsi="Times New Roman" w:hint="eastAsia"/>
                <w:kern w:val="0"/>
              </w:rPr>
              <w:t>1</w:t>
            </w:r>
            <w:r>
              <w:rPr>
                <w:rFonts w:ascii="Times New Roman" w:hAnsi="Times New Roman" w:hint="eastAsia"/>
                <w:kern w:val="0"/>
              </w:rPr>
              <w:t>、对金融、工业、文化、服务、信息等行业的投资与运营；</w:t>
            </w:r>
            <w:r>
              <w:rPr>
                <w:rFonts w:ascii="Times New Roman" w:hAnsi="Times New Roman" w:hint="eastAsia"/>
                <w:kern w:val="0"/>
              </w:rPr>
              <w:t>2</w:t>
            </w:r>
            <w:r>
              <w:rPr>
                <w:rFonts w:ascii="Times New Roman" w:hAnsi="Times New Roman" w:hint="eastAsia"/>
                <w:kern w:val="0"/>
              </w:rPr>
              <w:t>、产业投资、股权投资的管理与运营；</w:t>
            </w:r>
            <w:r>
              <w:rPr>
                <w:rFonts w:ascii="Times New Roman" w:hAnsi="Times New Roman" w:hint="eastAsia"/>
                <w:kern w:val="0"/>
              </w:rPr>
              <w:t>3</w:t>
            </w:r>
            <w:r>
              <w:rPr>
                <w:rFonts w:ascii="Times New Roman" w:hAnsi="Times New Roman" w:hint="eastAsia"/>
                <w:kern w:val="0"/>
              </w:rPr>
              <w:t>、土地综合开发与运营、房地产开发经营；</w:t>
            </w:r>
            <w:r>
              <w:rPr>
                <w:rFonts w:ascii="Times New Roman" w:hAnsi="Times New Roman" w:hint="eastAsia"/>
                <w:kern w:val="0"/>
              </w:rPr>
              <w:t>4</w:t>
            </w:r>
            <w:r>
              <w:rPr>
                <w:rFonts w:ascii="Times New Roman" w:hAnsi="Times New Roman" w:hint="eastAsia"/>
                <w:kern w:val="0"/>
              </w:rPr>
              <w:t>、其他法律、法规规定未禁止或规定需经审批的项目，自主选择经营项目，开展经营活动。（法律法规规定必须办理审批许可才能从事的经营项目，必须在取得审批许可证明后方能营业。）</w:t>
            </w:r>
          </w:p>
        </w:tc>
      </w:tr>
      <w:tr w:rsidR="00AD5BB5">
        <w:trPr>
          <w:trHeight w:val="300"/>
        </w:trPr>
        <w:tc>
          <w:tcPr>
            <w:tcW w:w="798"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kern w:val="0"/>
              </w:rPr>
            </w:pPr>
            <w:r>
              <w:rPr>
                <w:rFonts w:ascii="Times New Roman" w:hAnsi="Times New Roman" w:hint="eastAsia"/>
                <w:kern w:val="0"/>
              </w:rPr>
              <w:t>控股股东</w:t>
            </w:r>
          </w:p>
        </w:tc>
        <w:tc>
          <w:tcPr>
            <w:tcW w:w="103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kern w:val="0"/>
              </w:rPr>
            </w:pPr>
            <w:r>
              <w:rPr>
                <w:rFonts w:ascii="Times New Roman" w:hAnsi="Times New Roman" w:hint="eastAsia"/>
                <w:kern w:val="0"/>
              </w:rPr>
              <w:t>厦门市财政局</w:t>
            </w:r>
          </w:p>
        </w:tc>
        <w:tc>
          <w:tcPr>
            <w:tcW w:w="691" w:type="pct"/>
            <w:tcBorders>
              <w:top w:val="single" w:sz="4" w:space="0" w:color="auto"/>
              <w:left w:val="single" w:sz="4" w:space="0" w:color="auto"/>
              <w:bottom w:val="single" w:sz="4" w:space="0" w:color="auto"/>
              <w:right w:val="single" w:sz="4" w:space="0" w:color="auto"/>
              <w:tl2br w:val="nil"/>
              <w:tr2bl w:val="nil"/>
            </w:tcBorders>
            <w:noWrap/>
          </w:tcPr>
          <w:p w:rsidR="00AD5BB5" w:rsidRDefault="00F87FF6">
            <w:pPr>
              <w:jc w:val="center"/>
              <w:rPr>
                <w:rFonts w:ascii="Times New Roman" w:hAnsi="Times New Roman"/>
                <w:kern w:val="0"/>
              </w:rPr>
            </w:pPr>
            <w:r>
              <w:rPr>
                <w:rFonts w:ascii="Times New Roman" w:hAnsi="Times New Roman" w:hint="eastAsia"/>
                <w:kern w:val="0"/>
              </w:rPr>
              <w:t>实际控制人</w:t>
            </w:r>
          </w:p>
        </w:tc>
        <w:tc>
          <w:tcPr>
            <w:tcW w:w="247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kern w:val="0"/>
              </w:rPr>
            </w:pPr>
            <w:r>
              <w:rPr>
                <w:rFonts w:ascii="Times New Roman" w:hAnsi="Times New Roman" w:hint="eastAsia"/>
                <w:kern w:val="0"/>
              </w:rPr>
              <w:t>厦门市财政局</w:t>
            </w:r>
          </w:p>
        </w:tc>
      </w:tr>
      <w:tr w:rsidR="00AD5BB5">
        <w:trPr>
          <w:trHeight w:val="1757"/>
        </w:trPr>
        <w:tc>
          <w:tcPr>
            <w:tcW w:w="798"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kern w:val="0"/>
              </w:rPr>
            </w:pPr>
            <w:r>
              <w:rPr>
                <w:rFonts w:ascii="Times New Roman" w:hAnsi="Times New Roman" w:hint="eastAsia"/>
                <w:kern w:val="0"/>
              </w:rPr>
              <w:t>主要关联方</w:t>
            </w:r>
          </w:p>
        </w:tc>
        <w:tc>
          <w:tcPr>
            <w:tcW w:w="4202" w:type="pct"/>
            <w:gridSpan w:val="3"/>
            <w:tcBorders>
              <w:top w:val="single" w:sz="4" w:space="0" w:color="auto"/>
              <w:left w:val="single" w:sz="4" w:space="0" w:color="auto"/>
              <w:bottom w:val="single" w:sz="4" w:space="0" w:color="auto"/>
              <w:right w:val="single" w:sz="4" w:space="0" w:color="auto"/>
              <w:tl2br w:val="nil"/>
              <w:tr2bl w:val="nil"/>
            </w:tcBorders>
          </w:tcPr>
          <w:p w:rsidR="00AD5BB5" w:rsidRDefault="00F87FF6">
            <w:pPr>
              <w:jc w:val="left"/>
              <w:rPr>
                <w:rFonts w:ascii="Times New Roman" w:hAnsi="Times New Roman"/>
                <w:kern w:val="0"/>
              </w:rPr>
            </w:pPr>
            <w:r>
              <w:rPr>
                <w:rFonts w:ascii="Times New Roman" w:hAnsi="Times New Roman" w:hint="eastAsia"/>
                <w:kern w:val="0"/>
              </w:rPr>
              <w:t>檀庄龙、厦门市融资担保有限公司、厦门市农业融资担保有限公司、厦门市湖里区融资担保有限公司、厦门市股权托管中心有限公司、厦门市中小企业融资担保有限公司、厦门博融典当有限责任公司、厦门市住房置业融资担保有限公司、金圆统一证券有限公司、厦门两岸金融中心建设开发有限公司、厦门五通金融商务区开发有限公司、厦门金泰同投资有限公司等</w:t>
            </w:r>
            <w:r>
              <w:rPr>
                <w:rFonts w:ascii="Times New Roman" w:hAnsi="Times New Roman" w:hint="eastAsia"/>
                <w:kern w:val="0"/>
              </w:rPr>
              <w:t>165</w:t>
            </w:r>
            <w:r>
              <w:rPr>
                <w:rFonts w:ascii="Times New Roman" w:hAnsi="Times New Roman" w:hint="eastAsia"/>
                <w:kern w:val="0"/>
              </w:rPr>
              <w:t>名关联方。</w:t>
            </w:r>
          </w:p>
        </w:tc>
      </w:tr>
    </w:tbl>
    <w:p w:rsidR="00AD5BB5" w:rsidRDefault="00AD5BB5">
      <w:pPr>
        <w:rPr>
          <w:rFonts w:ascii="Times New Roman" w:hAnsi="Times New Roman"/>
          <w:kern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683"/>
        <w:gridCol w:w="1266"/>
        <w:gridCol w:w="4071"/>
      </w:tblGrid>
      <w:tr w:rsidR="00AD5BB5">
        <w:trPr>
          <w:trHeight w:val="285"/>
        </w:trPr>
        <w:tc>
          <w:tcPr>
            <w:tcW w:w="5000" w:type="pct"/>
            <w:gridSpan w:val="4"/>
            <w:tcBorders>
              <w:top w:val="single" w:sz="4" w:space="0" w:color="auto"/>
              <w:left w:val="single" w:sz="4" w:space="0" w:color="auto"/>
              <w:bottom w:val="single" w:sz="4" w:space="0" w:color="auto"/>
              <w:right w:val="single" w:sz="4" w:space="0" w:color="auto"/>
              <w:tl2br w:val="nil"/>
              <w:tr2bl w:val="nil"/>
            </w:tcBorders>
            <w:noWrap/>
          </w:tcPr>
          <w:p w:rsidR="00AD5BB5" w:rsidRDefault="00F87FF6">
            <w:pPr>
              <w:jc w:val="left"/>
              <w:rPr>
                <w:rFonts w:ascii="Times New Roman" w:hAnsi="Times New Roman"/>
                <w:kern w:val="0"/>
              </w:rPr>
            </w:pPr>
            <w:r>
              <w:rPr>
                <w:rFonts w:ascii="Times New Roman" w:hAnsi="Times New Roman"/>
                <w:kern w:val="0"/>
              </w:rPr>
              <w:t>2</w:t>
            </w:r>
            <w:r>
              <w:rPr>
                <w:rFonts w:ascii="Times New Roman" w:hAnsi="Times New Roman" w:hint="eastAsia"/>
                <w:kern w:val="0"/>
              </w:rPr>
              <w:t>．富邦金融控股股份有限公司</w:t>
            </w:r>
          </w:p>
        </w:tc>
      </w:tr>
      <w:tr w:rsidR="00AD5BB5">
        <w:trPr>
          <w:trHeight w:val="349"/>
        </w:trPr>
        <w:tc>
          <w:tcPr>
            <w:tcW w:w="780" w:type="pct"/>
            <w:tcBorders>
              <w:top w:val="single" w:sz="4" w:space="0" w:color="auto"/>
              <w:left w:val="single" w:sz="4" w:space="0" w:color="auto"/>
              <w:bottom w:val="single" w:sz="4" w:space="0" w:color="auto"/>
              <w:right w:val="single" w:sz="4" w:space="0" w:color="auto"/>
              <w:tl2br w:val="nil"/>
              <w:tr2bl w:val="nil"/>
            </w:tcBorders>
            <w:noWrap/>
          </w:tcPr>
          <w:p w:rsidR="00AD5BB5" w:rsidRDefault="00F87FF6">
            <w:pPr>
              <w:jc w:val="center"/>
              <w:rPr>
                <w:rFonts w:ascii="Times New Roman" w:hAnsi="Times New Roman"/>
                <w:kern w:val="0"/>
              </w:rPr>
            </w:pPr>
            <w:r>
              <w:rPr>
                <w:rFonts w:ascii="Times New Roman" w:hAnsi="Times New Roman" w:hint="eastAsia"/>
                <w:kern w:val="0"/>
              </w:rPr>
              <w:t>公司类型</w:t>
            </w:r>
          </w:p>
        </w:tc>
        <w:tc>
          <w:tcPr>
            <w:tcW w:w="1020"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kern w:val="0"/>
              </w:rPr>
            </w:pPr>
            <w:r>
              <w:rPr>
                <w:rFonts w:ascii="Times New Roman" w:hAnsi="Times New Roman" w:hint="eastAsia"/>
                <w:kern w:val="0"/>
              </w:rPr>
              <w:t>股份有限公司</w:t>
            </w:r>
          </w:p>
        </w:tc>
        <w:tc>
          <w:tcPr>
            <w:tcW w:w="74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kern w:val="0"/>
              </w:rPr>
            </w:pPr>
            <w:r>
              <w:rPr>
                <w:rFonts w:ascii="Times New Roman" w:hAnsi="Times New Roman" w:hint="eastAsia"/>
                <w:kern w:val="0"/>
              </w:rPr>
              <w:t>注册地址</w:t>
            </w:r>
          </w:p>
        </w:tc>
        <w:tc>
          <w:tcPr>
            <w:tcW w:w="2456"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kern w:val="0"/>
              </w:rPr>
            </w:pPr>
            <w:r>
              <w:rPr>
                <w:rFonts w:ascii="Times New Roman" w:hAnsi="Times New Roman" w:hint="eastAsia"/>
                <w:kern w:val="0"/>
              </w:rPr>
              <w:t>台北市中山区辽宁街</w:t>
            </w:r>
            <w:r>
              <w:rPr>
                <w:rFonts w:ascii="Times New Roman" w:hAnsi="Times New Roman" w:hint="eastAsia"/>
                <w:kern w:val="0"/>
              </w:rPr>
              <w:t>179</w:t>
            </w:r>
            <w:r>
              <w:rPr>
                <w:rFonts w:ascii="Times New Roman" w:hAnsi="Times New Roman" w:hint="eastAsia"/>
                <w:kern w:val="0"/>
              </w:rPr>
              <w:t>号</w:t>
            </w:r>
            <w:r>
              <w:rPr>
                <w:rFonts w:ascii="Times New Roman" w:hAnsi="Times New Roman" w:hint="eastAsia"/>
                <w:kern w:val="0"/>
              </w:rPr>
              <w:t>15</w:t>
            </w:r>
            <w:r>
              <w:rPr>
                <w:rFonts w:ascii="Times New Roman" w:hAnsi="Times New Roman" w:hint="eastAsia"/>
                <w:kern w:val="0"/>
              </w:rPr>
              <w:t>楼、</w:t>
            </w:r>
            <w:r>
              <w:rPr>
                <w:rFonts w:ascii="Times New Roman" w:hAnsi="Times New Roman" w:hint="eastAsia"/>
                <w:kern w:val="0"/>
              </w:rPr>
              <w:t>16</w:t>
            </w:r>
            <w:r>
              <w:rPr>
                <w:rFonts w:ascii="Times New Roman" w:hAnsi="Times New Roman" w:hint="eastAsia"/>
                <w:kern w:val="0"/>
              </w:rPr>
              <w:t>楼</w:t>
            </w:r>
          </w:p>
        </w:tc>
      </w:tr>
      <w:tr w:rsidR="00AD5BB5">
        <w:trPr>
          <w:trHeight w:val="458"/>
        </w:trPr>
        <w:tc>
          <w:tcPr>
            <w:tcW w:w="780"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kern w:val="0"/>
              </w:rPr>
            </w:pPr>
            <w:r>
              <w:rPr>
                <w:rFonts w:ascii="Times New Roman" w:hAnsi="Times New Roman" w:hint="eastAsia"/>
                <w:kern w:val="0"/>
              </w:rPr>
              <w:t>负责人</w:t>
            </w:r>
          </w:p>
        </w:tc>
        <w:tc>
          <w:tcPr>
            <w:tcW w:w="1020"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kern w:val="0"/>
              </w:rPr>
            </w:pPr>
            <w:r>
              <w:rPr>
                <w:rFonts w:ascii="Times New Roman" w:hAnsi="Times New Roman" w:hint="eastAsia"/>
                <w:kern w:val="0"/>
              </w:rPr>
              <w:t>蔡明兴</w:t>
            </w:r>
          </w:p>
        </w:tc>
        <w:tc>
          <w:tcPr>
            <w:tcW w:w="742" w:type="pct"/>
            <w:tcBorders>
              <w:top w:val="single" w:sz="4" w:space="0" w:color="auto"/>
              <w:left w:val="single" w:sz="4" w:space="0" w:color="auto"/>
              <w:bottom w:val="single" w:sz="4" w:space="0" w:color="auto"/>
              <w:right w:val="single" w:sz="4" w:space="0" w:color="auto"/>
              <w:tl2br w:val="nil"/>
              <w:tr2bl w:val="nil"/>
            </w:tcBorders>
            <w:noWrap/>
          </w:tcPr>
          <w:p w:rsidR="00AD5BB5" w:rsidRDefault="00F87FF6">
            <w:pPr>
              <w:jc w:val="center"/>
              <w:rPr>
                <w:rFonts w:ascii="Times New Roman" w:hAnsi="Times New Roman"/>
                <w:kern w:val="0"/>
              </w:rPr>
            </w:pPr>
            <w:r>
              <w:rPr>
                <w:rFonts w:ascii="Times New Roman" w:hAnsi="Times New Roman" w:hint="eastAsia"/>
                <w:kern w:val="0"/>
              </w:rPr>
              <w:t>注册资本</w:t>
            </w:r>
          </w:p>
        </w:tc>
        <w:tc>
          <w:tcPr>
            <w:tcW w:w="2456"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kern w:val="0"/>
              </w:rPr>
            </w:pPr>
            <w:r>
              <w:rPr>
                <w:rFonts w:ascii="Times New Roman" w:hAnsi="Times New Roman" w:hint="eastAsia"/>
                <w:kern w:val="0"/>
              </w:rPr>
              <w:t>13,995,202.6</w:t>
            </w:r>
            <w:r>
              <w:rPr>
                <w:rFonts w:ascii="Times New Roman" w:hAnsi="Times New Roman" w:hint="eastAsia"/>
                <w:kern w:val="0"/>
              </w:rPr>
              <w:t>万新台币</w:t>
            </w:r>
          </w:p>
        </w:tc>
      </w:tr>
      <w:tr w:rsidR="00AD5BB5">
        <w:trPr>
          <w:trHeight w:val="570"/>
        </w:trPr>
        <w:tc>
          <w:tcPr>
            <w:tcW w:w="780"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kern w:val="0"/>
              </w:rPr>
            </w:pPr>
            <w:r>
              <w:rPr>
                <w:rFonts w:ascii="Times New Roman" w:hAnsi="Times New Roman" w:hint="eastAsia"/>
                <w:kern w:val="0"/>
              </w:rPr>
              <w:t>成立时间</w:t>
            </w:r>
          </w:p>
        </w:tc>
        <w:tc>
          <w:tcPr>
            <w:tcW w:w="1020"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kern w:val="0"/>
              </w:rPr>
            </w:pPr>
            <w:r>
              <w:rPr>
                <w:rFonts w:ascii="Times New Roman" w:hAnsi="Times New Roman"/>
                <w:kern w:val="0"/>
              </w:rPr>
              <w:t>2001</w:t>
            </w:r>
            <w:r>
              <w:rPr>
                <w:rFonts w:ascii="Times New Roman" w:hAnsi="Times New Roman" w:hint="eastAsia"/>
                <w:kern w:val="0"/>
              </w:rPr>
              <w:t>年</w:t>
            </w:r>
            <w:r>
              <w:rPr>
                <w:rFonts w:ascii="Times New Roman" w:hAnsi="Times New Roman" w:hint="eastAsia"/>
                <w:kern w:val="0"/>
              </w:rPr>
              <w:t>12</w:t>
            </w:r>
            <w:r>
              <w:rPr>
                <w:rFonts w:ascii="Times New Roman" w:hAnsi="Times New Roman" w:hint="eastAsia"/>
                <w:kern w:val="0"/>
              </w:rPr>
              <w:t>月</w:t>
            </w:r>
            <w:r>
              <w:rPr>
                <w:rFonts w:ascii="Times New Roman" w:hAnsi="Times New Roman" w:hint="eastAsia"/>
                <w:kern w:val="0"/>
              </w:rPr>
              <w:t>19</w:t>
            </w:r>
            <w:r>
              <w:rPr>
                <w:rFonts w:ascii="Times New Roman" w:hAnsi="Times New Roman" w:hint="eastAsia"/>
                <w:kern w:val="0"/>
              </w:rPr>
              <w:t>日</w:t>
            </w:r>
          </w:p>
        </w:tc>
        <w:tc>
          <w:tcPr>
            <w:tcW w:w="74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rPr>
            </w:pPr>
            <w:r>
              <w:rPr>
                <w:rFonts w:ascii="Times New Roman" w:hAnsi="Times New Roman" w:hint="eastAsia"/>
                <w:kern w:val="0"/>
              </w:rPr>
              <w:t>公司统一编号</w:t>
            </w:r>
          </w:p>
        </w:tc>
        <w:tc>
          <w:tcPr>
            <w:tcW w:w="2456"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kern w:val="0"/>
              </w:rPr>
            </w:pPr>
            <w:r>
              <w:rPr>
                <w:rFonts w:ascii="Times New Roman" w:hAnsi="Times New Roman"/>
                <w:kern w:val="0"/>
              </w:rPr>
              <w:t>03374805</w:t>
            </w:r>
          </w:p>
        </w:tc>
      </w:tr>
      <w:tr w:rsidR="00AD5BB5">
        <w:trPr>
          <w:trHeight w:val="570"/>
        </w:trPr>
        <w:tc>
          <w:tcPr>
            <w:tcW w:w="780"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kern w:val="0"/>
              </w:rPr>
            </w:pPr>
            <w:r>
              <w:rPr>
                <w:rFonts w:ascii="Times New Roman" w:hAnsi="Times New Roman" w:hint="eastAsia"/>
                <w:kern w:val="0"/>
              </w:rPr>
              <w:t>经营范围</w:t>
            </w:r>
          </w:p>
        </w:tc>
        <w:tc>
          <w:tcPr>
            <w:tcW w:w="4219" w:type="pct"/>
            <w:gridSpan w:val="3"/>
            <w:tcBorders>
              <w:top w:val="single" w:sz="4" w:space="0" w:color="auto"/>
              <w:left w:val="single" w:sz="4" w:space="0" w:color="auto"/>
              <w:bottom w:val="single" w:sz="4" w:space="0" w:color="auto"/>
              <w:right w:val="single" w:sz="4" w:space="0" w:color="auto"/>
              <w:tl2br w:val="nil"/>
              <w:tr2bl w:val="nil"/>
            </w:tcBorders>
          </w:tcPr>
          <w:p w:rsidR="00AD5BB5" w:rsidRDefault="00F87FF6">
            <w:pPr>
              <w:numPr>
                <w:ilvl w:val="0"/>
                <w:numId w:val="31"/>
              </w:numPr>
              <w:jc w:val="left"/>
              <w:rPr>
                <w:rFonts w:ascii="Times New Roman" w:hAnsi="Times New Roman"/>
                <w:kern w:val="0"/>
              </w:rPr>
            </w:pPr>
            <w:r>
              <w:rPr>
                <w:rFonts w:ascii="Times New Roman" w:hAnsi="Times New Roman" w:hint="eastAsia"/>
                <w:kern w:val="0"/>
              </w:rPr>
              <w:t>投资经主管机关核准之事业。</w:t>
            </w:r>
          </w:p>
          <w:p w:rsidR="00AD5BB5" w:rsidRDefault="00F87FF6">
            <w:pPr>
              <w:jc w:val="left"/>
              <w:rPr>
                <w:rFonts w:ascii="Times New Roman" w:hAnsi="Times New Roman"/>
                <w:kern w:val="0"/>
              </w:rPr>
            </w:pPr>
            <w:r>
              <w:rPr>
                <w:rFonts w:ascii="Times New Roman" w:hAnsi="Times New Roman" w:hint="eastAsia"/>
                <w:kern w:val="0"/>
              </w:rPr>
              <w:t>（二）对被投资事业之管理。</w:t>
            </w:r>
          </w:p>
        </w:tc>
      </w:tr>
      <w:tr w:rsidR="00AD5BB5">
        <w:trPr>
          <w:trHeight w:val="300"/>
        </w:trPr>
        <w:tc>
          <w:tcPr>
            <w:tcW w:w="780"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控股股东</w:t>
            </w:r>
          </w:p>
        </w:tc>
        <w:tc>
          <w:tcPr>
            <w:tcW w:w="1020"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无</w:t>
            </w:r>
          </w:p>
        </w:tc>
        <w:tc>
          <w:tcPr>
            <w:tcW w:w="742" w:type="pct"/>
            <w:tcBorders>
              <w:top w:val="single" w:sz="4" w:space="0" w:color="auto"/>
              <w:left w:val="single" w:sz="4" w:space="0" w:color="auto"/>
              <w:bottom w:val="single" w:sz="4" w:space="0" w:color="auto"/>
              <w:right w:val="single" w:sz="4" w:space="0" w:color="auto"/>
              <w:tl2br w:val="nil"/>
              <w:tr2bl w:val="nil"/>
            </w:tcBorders>
            <w:noWrap/>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实际控制人</w:t>
            </w:r>
          </w:p>
        </w:tc>
        <w:tc>
          <w:tcPr>
            <w:tcW w:w="2456"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无</w:t>
            </w:r>
          </w:p>
        </w:tc>
      </w:tr>
      <w:tr w:rsidR="00AD5BB5">
        <w:trPr>
          <w:trHeight w:val="1757"/>
        </w:trPr>
        <w:tc>
          <w:tcPr>
            <w:tcW w:w="780"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lastRenderedPageBreak/>
              <w:t>主要关联方</w:t>
            </w:r>
          </w:p>
        </w:tc>
        <w:tc>
          <w:tcPr>
            <w:tcW w:w="4219" w:type="pct"/>
            <w:gridSpan w:val="3"/>
            <w:tcBorders>
              <w:top w:val="single" w:sz="4" w:space="0" w:color="auto"/>
              <w:left w:val="single" w:sz="4" w:space="0" w:color="auto"/>
              <w:bottom w:val="single" w:sz="4" w:space="0" w:color="auto"/>
              <w:right w:val="single" w:sz="4" w:space="0" w:color="auto"/>
              <w:tl2br w:val="nil"/>
              <w:tr2bl w:val="nil"/>
            </w:tcBorders>
          </w:tcPr>
          <w:p w:rsidR="00AD5BB5" w:rsidRDefault="00F87FF6">
            <w:pPr>
              <w:jc w:val="left"/>
              <w:rPr>
                <w:rFonts w:ascii="Times New Roman" w:hAnsi="Times New Roman"/>
                <w:color w:val="000000" w:themeColor="text1"/>
                <w:kern w:val="0"/>
              </w:rPr>
            </w:pPr>
            <w:r>
              <w:rPr>
                <w:rFonts w:ascii="宋体" w:hAnsi="宋体" w:hint="eastAsia"/>
                <w:color w:val="000000" w:themeColor="text1"/>
                <w:kern w:val="0"/>
              </w:rPr>
              <w:t>吴昕颢、</w:t>
            </w:r>
            <w:proofErr w:type="gramStart"/>
            <w:r>
              <w:rPr>
                <w:rFonts w:ascii="宋体" w:hAnsi="宋体" w:hint="eastAsia"/>
                <w:color w:val="000000" w:themeColor="text1"/>
                <w:kern w:val="0"/>
              </w:rPr>
              <w:t>洪主民</w:t>
            </w:r>
            <w:proofErr w:type="gramEnd"/>
            <w:r>
              <w:rPr>
                <w:rFonts w:ascii="宋体" w:hAnsi="宋体" w:hint="eastAsia"/>
                <w:color w:val="000000" w:themeColor="text1"/>
                <w:kern w:val="0"/>
              </w:rPr>
              <w:t>、蔡明兴、蔡明忠、韩蔚廷、林福星、陈圣德、郑瑞成、汤明哲、陈新民、李书行、王铭阳、台北富邦商业银行股份有限公司、富邦综合证券股份有限公司、富邦产物保险股份有限公司、富邦人寿保险股份有限公司、富邦</w:t>
            </w:r>
            <w:proofErr w:type="gramStart"/>
            <w:r>
              <w:rPr>
                <w:rFonts w:ascii="宋体" w:hAnsi="宋体" w:hint="eastAsia"/>
                <w:color w:val="000000" w:themeColor="text1"/>
                <w:kern w:val="0"/>
              </w:rPr>
              <w:t>金控创业</w:t>
            </w:r>
            <w:proofErr w:type="gramEnd"/>
            <w:r>
              <w:rPr>
                <w:rFonts w:ascii="宋体" w:hAnsi="宋体" w:hint="eastAsia"/>
                <w:color w:val="000000" w:themeColor="text1"/>
                <w:kern w:val="0"/>
              </w:rPr>
              <w:t>投资股份有限公司、富邦银行（香港）有限公司、富邦资产管理股份有限公司、富邦证券投资信托股份有限公司等94名关联方。</w:t>
            </w:r>
          </w:p>
        </w:tc>
      </w:tr>
    </w:tbl>
    <w:p w:rsidR="00AD5BB5" w:rsidRDefault="00AD5BB5">
      <w:pPr>
        <w:jc w:val="center"/>
        <w:rPr>
          <w:rFonts w:ascii="Times New Roman" w:hAnsi="Times New Roman"/>
          <w:color w:val="000000" w:themeColor="text1"/>
          <w:kern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13"/>
        <w:gridCol w:w="1266"/>
        <w:gridCol w:w="4059"/>
      </w:tblGrid>
      <w:tr w:rsidR="00AD5BB5">
        <w:trPr>
          <w:trHeight w:val="285"/>
        </w:trPr>
        <w:tc>
          <w:tcPr>
            <w:tcW w:w="5000" w:type="pct"/>
            <w:gridSpan w:val="4"/>
            <w:tcBorders>
              <w:top w:val="single" w:sz="4" w:space="0" w:color="auto"/>
              <w:left w:val="single" w:sz="4" w:space="0" w:color="auto"/>
              <w:bottom w:val="single" w:sz="4" w:space="0" w:color="auto"/>
              <w:right w:val="single" w:sz="4" w:space="0" w:color="auto"/>
              <w:tl2br w:val="nil"/>
              <w:tr2bl w:val="nil"/>
            </w:tcBorders>
            <w:noWrap/>
          </w:tcPr>
          <w:p w:rsidR="00AD5BB5" w:rsidRDefault="00F87FF6">
            <w:pPr>
              <w:jc w:val="left"/>
              <w:rPr>
                <w:rFonts w:ascii="Times New Roman" w:hAnsi="Times New Roman"/>
                <w:color w:val="000000" w:themeColor="text1"/>
                <w:kern w:val="0"/>
              </w:rPr>
            </w:pPr>
            <w:r>
              <w:rPr>
                <w:rFonts w:ascii="Times New Roman" w:hAnsi="Times New Roman"/>
                <w:color w:val="000000" w:themeColor="text1"/>
                <w:kern w:val="0"/>
              </w:rPr>
              <w:t>3</w:t>
            </w:r>
            <w:r>
              <w:rPr>
                <w:rFonts w:ascii="Times New Roman" w:hAnsi="Times New Roman" w:hint="eastAsia"/>
                <w:color w:val="000000" w:themeColor="text1"/>
                <w:kern w:val="0"/>
              </w:rPr>
              <w:t>．北京盛达兴业房地产开发有限公司</w:t>
            </w:r>
          </w:p>
        </w:tc>
      </w:tr>
      <w:tr w:rsidR="00AD5BB5">
        <w:trPr>
          <w:trHeight w:val="570"/>
        </w:trPr>
        <w:tc>
          <w:tcPr>
            <w:tcW w:w="731" w:type="pct"/>
            <w:tcBorders>
              <w:top w:val="single" w:sz="4" w:space="0" w:color="auto"/>
              <w:left w:val="single" w:sz="4" w:space="0" w:color="auto"/>
              <w:bottom w:val="single" w:sz="4" w:space="0" w:color="auto"/>
              <w:right w:val="single" w:sz="4" w:space="0" w:color="auto"/>
              <w:tl2br w:val="nil"/>
              <w:tr2bl w:val="nil"/>
            </w:tcBorders>
            <w:noWrap/>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公司类型</w:t>
            </w:r>
          </w:p>
        </w:tc>
        <w:tc>
          <w:tcPr>
            <w:tcW w:w="112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left"/>
              <w:rPr>
                <w:rFonts w:ascii="Times New Roman" w:hAnsi="Times New Roman"/>
                <w:color w:val="000000" w:themeColor="text1"/>
                <w:kern w:val="0"/>
              </w:rPr>
            </w:pPr>
            <w:r>
              <w:rPr>
                <w:rFonts w:ascii="Times New Roman" w:hAnsi="Times New Roman" w:hint="eastAsia"/>
                <w:color w:val="000000" w:themeColor="text1"/>
                <w:kern w:val="0"/>
              </w:rPr>
              <w:t>有限责任公司</w:t>
            </w:r>
            <w:r>
              <w:rPr>
                <w:rFonts w:ascii="Times New Roman" w:hAnsi="Times New Roman" w:hint="eastAsia"/>
                <w:color w:val="000000" w:themeColor="text1"/>
                <w:kern w:val="0"/>
              </w:rPr>
              <w:t>(</w:t>
            </w:r>
            <w:r>
              <w:rPr>
                <w:rFonts w:ascii="Times New Roman" w:hAnsi="Times New Roman" w:hint="eastAsia"/>
                <w:color w:val="000000" w:themeColor="text1"/>
                <w:kern w:val="0"/>
              </w:rPr>
              <w:t>自然人投资或控股</w:t>
            </w:r>
            <w:r>
              <w:rPr>
                <w:rFonts w:ascii="Times New Roman" w:hAnsi="Times New Roman" w:hint="eastAsia"/>
                <w:color w:val="000000" w:themeColor="text1"/>
                <w:kern w:val="0"/>
              </w:rPr>
              <w:t>)</w:t>
            </w:r>
          </w:p>
        </w:tc>
        <w:tc>
          <w:tcPr>
            <w:tcW w:w="67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注册地址</w:t>
            </w:r>
          </w:p>
        </w:tc>
        <w:tc>
          <w:tcPr>
            <w:tcW w:w="247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left"/>
              <w:rPr>
                <w:rFonts w:ascii="Times New Roman" w:hAnsi="Times New Roman"/>
                <w:color w:val="000000" w:themeColor="text1"/>
                <w:kern w:val="0"/>
              </w:rPr>
            </w:pPr>
            <w:r>
              <w:rPr>
                <w:rFonts w:ascii="Times New Roman" w:hAnsi="Times New Roman" w:hint="eastAsia"/>
                <w:color w:val="000000" w:themeColor="text1"/>
                <w:kern w:val="0"/>
              </w:rPr>
              <w:t>北京市通州区玉桥西里</w:t>
            </w:r>
            <w:r>
              <w:rPr>
                <w:rFonts w:ascii="Times New Roman" w:hAnsi="Times New Roman" w:hint="eastAsia"/>
                <w:color w:val="000000" w:themeColor="text1"/>
                <w:kern w:val="0"/>
              </w:rPr>
              <w:t>72</w:t>
            </w:r>
            <w:r>
              <w:rPr>
                <w:rFonts w:ascii="Times New Roman" w:hAnsi="Times New Roman" w:hint="eastAsia"/>
                <w:color w:val="000000" w:themeColor="text1"/>
                <w:kern w:val="0"/>
              </w:rPr>
              <w:t>号</w:t>
            </w:r>
            <w:r>
              <w:rPr>
                <w:rFonts w:ascii="Times New Roman" w:hAnsi="Times New Roman" w:hint="eastAsia"/>
                <w:color w:val="000000" w:themeColor="text1"/>
                <w:kern w:val="0"/>
              </w:rPr>
              <w:t>16</w:t>
            </w:r>
            <w:r>
              <w:rPr>
                <w:rFonts w:ascii="Times New Roman" w:hAnsi="Times New Roman" w:hint="eastAsia"/>
                <w:color w:val="000000" w:themeColor="text1"/>
                <w:kern w:val="0"/>
              </w:rPr>
              <w:t>幢</w:t>
            </w:r>
            <w:r>
              <w:rPr>
                <w:rFonts w:ascii="Times New Roman" w:hAnsi="Times New Roman" w:hint="eastAsia"/>
                <w:color w:val="000000" w:themeColor="text1"/>
                <w:kern w:val="0"/>
              </w:rPr>
              <w:t>1419</w:t>
            </w:r>
          </w:p>
        </w:tc>
      </w:tr>
      <w:tr w:rsidR="00AD5BB5">
        <w:trPr>
          <w:trHeight w:val="279"/>
        </w:trPr>
        <w:tc>
          <w:tcPr>
            <w:tcW w:w="73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法定代表人</w:t>
            </w:r>
          </w:p>
        </w:tc>
        <w:tc>
          <w:tcPr>
            <w:tcW w:w="112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丁海东</w:t>
            </w:r>
          </w:p>
        </w:tc>
        <w:tc>
          <w:tcPr>
            <w:tcW w:w="674" w:type="pct"/>
            <w:tcBorders>
              <w:top w:val="single" w:sz="4" w:space="0" w:color="auto"/>
              <w:left w:val="single" w:sz="4" w:space="0" w:color="auto"/>
              <w:bottom w:val="single" w:sz="4" w:space="0" w:color="auto"/>
              <w:right w:val="single" w:sz="4" w:space="0" w:color="auto"/>
              <w:tl2br w:val="nil"/>
              <w:tr2bl w:val="nil"/>
            </w:tcBorders>
            <w:noWrap/>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注册资本</w:t>
            </w:r>
          </w:p>
        </w:tc>
        <w:tc>
          <w:tcPr>
            <w:tcW w:w="247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color w:val="000000" w:themeColor="text1"/>
                <w:kern w:val="0"/>
              </w:rPr>
              <w:t>22880</w:t>
            </w:r>
            <w:r>
              <w:rPr>
                <w:rFonts w:ascii="Times New Roman" w:hAnsi="Times New Roman" w:hint="eastAsia"/>
                <w:color w:val="000000" w:themeColor="text1"/>
                <w:kern w:val="0"/>
              </w:rPr>
              <w:t>万元人民币</w:t>
            </w:r>
          </w:p>
        </w:tc>
      </w:tr>
      <w:tr w:rsidR="00AD5BB5">
        <w:trPr>
          <w:trHeight w:val="511"/>
        </w:trPr>
        <w:tc>
          <w:tcPr>
            <w:tcW w:w="73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成立时间</w:t>
            </w:r>
          </w:p>
        </w:tc>
        <w:tc>
          <w:tcPr>
            <w:tcW w:w="112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color w:val="000000" w:themeColor="text1"/>
                <w:kern w:val="0"/>
              </w:rPr>
              <w:t>2002</w:t>
            </w:r>
            <w:r>
              <w:rPr>
                <w:rFonts w:ascii="Times New Roman" w:hAnsi="Times New Roman" w:hint="eastAsia"/>
                <w:color w:val="000000" w:themeColor="text1"/>
                <w:kern w:val="0"/>
              </w:rPr>
              <w:t>年</w:t>
            </w:r>
            <w:r>
              <w:rPr>
                <w:rFonts w:ascii="Times New Roman" w:hAnsi="Times New Roman" w:hint="eastAsia"/>
                <w:color w:val="000000" w:themeColor="text1"/>
                <w:kern w:val="0"/>
              </w:rPr>
              <w:t>6</w:t>
            </w:r>
            <w:r>
              <w:rPr>
                <w:rFonts w:ascii="Times New Roman" w:hAnsi="Times New Roman" w:hint="eastAsia"/>
                <w:color w:val="000000" w:themeColor="text1"/>
                <w:kern w:val="0"/>
              </w:rPr>
              <w:t>月</w:t>
            </w:r>
            <w:r>
              <w:rPr>
                <w:rFonts w:ascii="Times New Roman" w:hAnsi="Times New Roman" w:hint="eastAsia"/>
                <w:color w:val="000000" w:themeColor="text1"/>
                <w:kern w:val="0"/>
              </w:rPr>
              <w:t>10</w:t>
            </w:r>
            <w:r>
              <w:rPr>
                <w:rFonts w:ascii="Times New Roman" w:hAnsi="Times New Roman" w:hint="eastAsia"/>
                <w:color w:val="000000" w:themeColor="text1"/>
                <w:kern w:val="0"/>
              </w:rPr>
              <w:t>日</w:t>
            </w:r>
          </w:p>
        </w:tc>
        <w:tc>
          <w:tcPr>
            <w:tcW w:w="674" w:type="pct"/>
            <w:tcBorders>
              <w:top w:val="single" w:sz="4" w:space="0" w:color="auto"/>
              <w:left w:val="single" w:sz="4" w:space="0" w:color="auto"/>
              <w:bottom w:val="single" w:sz="4" w:space="0" w:color="auto"/>
              <w:right w:val="single" w:sz="4" w:space="0" w:color="auto"/>
              <w:tl2br w:val="nil"/>
              <w:tr2bl w:val="nil"/>
            </w:tcBorders>
            <w:noWrap/>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rPr>
              <w:t>统一社会</w:t>
            </w:r>
          </w:p>
          <w:p w:rsidR="00AD5BB5" w:rsidRDefault="00F87FF6">
            <w:pPr>
              <w:jc w:val="center"/>
              <w:rPr>
                <w:rFonts w:ascii="Times New Roman" w:hAnsi="Times New Roman"/>
                <w:color w:val="000000" w:themeColor="text1"/>
              </w:rPr>
            </w:pPr>
            <w:r>
              <w:rPr>
                <w:rFonts w:ascii="Times New Roman" w:hAnsi="Times New Roman" w:hint="eastAsia"/>
                <w:color w:val="000000" w:themeColor="text1"/>
                <w:kern w:val="0"/>
              </w:rPr>
              <w:t>信用代码</w:t>
            </w:r>
          </w:p>
        </w:tc>
        <w:tc>
          <w:tcPr>
            <w:tcW w:w="247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color w:val="000000" w:themeColor="text1"/>
                <w:kern w:val="0"/>
              </w:rPr>
              <w:t>91110112740065889U</w:t>
            </w:r>
          </w:p>
        </w:tc>
      </w:tr>
      <w:tr w:rsidR="00AD5BB5">
        <w:trPr>
          <w:trHeight w:val="874"/>
        </w:trPr>
        <w:tc>
          <w:tcPr>
            <w:tcW w:w="73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经营范围</w:t>
            </w:r>
          </w:p>
        </w:tc>
        <w:tc>
          <w:tcPr>
            <w:tcW w:w="4269" w:type="pct"/>
            <w:gridSpan w:val="3"/>
            <w:tcBorders>
              <w:top w:val="single" w:sz="4" w:space="0" w:color="auto"/>
              <w:left w:val="single" w:sz="4" w:space="0" w:color="auto"/>
              <w:bottom w:val="single" w:sz="4" w:space="0" w:color="auto"/>
              <w:right w:val="single" w:sz="4" w:space="0" w:color="auto"/>
              <w:tl2br w:val="nil"/>
              <w:tr2bl w:val="nil"/>
            </w:tcBorders>
          </w:tcPr>
          <w:p w:rsidR="00AD5BB5" w:rsidRDefault="00F87FF6">
            <w:pPr>
              <w:jc w:val="left"/>
              <w:rPr>
                <w:rFonts w:ascii="Times New Roman" w:hAnsi="Times New Roman"/>
                <w:color w:val="000000" w:themeColor="text1"/>
                <w:kern w:val="0"/>
              </w:rPr>
            </w:pPr>
            <w:r>
              <w:rPr>
                <w:rFonts w:ascii="Times New Roman" w:hAnsi="Times New Roman" w:hint="eastAsia"/>
                <w:color w:val="000000" w:themeColor="text1"/>
                <w:kern w:val="0"/>
              </w:rPr>
              <w:t>房地产开发</w:t>
            </w:r>
            <w:r>
              <w:rPr>
                <w:rFonts w:ascii="Times New Roman" w:hAnsi="Times New Roman" w:hint="eastAsia"/>
                <w:color w:val="000000" w:themeColor="text1"/>
                <w:kern w:val="0"/>
              </w:rPr>
              <w:t>;</w:t>
            </w:r>
            <w:r>
              <w:rPr>
                <w:rFonts w:ascii="Times New Roman" w:hAnsi="Times New Roman" w:hint="eastAsia"/>
                <w:color w:val="000000" w:themeColor="text1"/>
                <w:kern w:val="0"/>
              </w:rPr>
              <w:t>销售商品房</w:t>
            </w:r>
            <w:r>
              <w:rPr>
                <w:rFonts w:ascii="Times New Roman" w:hAnsi="Times New Roman" w:hint="eastAsia"/>
                <w:color w:val="000000" w:themeColor="text1"/>
                <w:kern w:val="0"/>
              </w:rPr>
              <w:t>;</w:t>
            </w:r>
            <w:r>
              <w:rPr>
                <w:rFonts w:ascii="Times New Roman" w:hAnsi="Times New Roman" w:hint="eastAsia"/>
                <w:color w:val="000000" w:themeColor="text1"/>
                <w:kern w:val="0"/>
              </w:rPr>
              <w:t>出租商业用房。</w:t>
            </w:r>
            <w:r>
              <w:rPr>
                <w:rFonts w:ascii="Times New Roman" w:hAnsi="Times New Roman" w:hint="eastAsia"/>
                <w:color w:val="000000" w:themeColor="text1"/>
                <w:kern w:val="0"/>
              </w:rPr>
              <w:t>(</w:t>
            </w:r>
            <w:r>
              <w:rPr>
                <w:rFonts w:ascii="Times New Roman" w:hAnsi="Times New Roman" w:hint="eastAsia"/>
                <w:color w:val="000000" w:themeColor="text1"/>
                <w:kern w:val="0"/>
              </w:rPr>
              <w:t>企业依法自主选择经营项目</w:t>
            </w:r>
            <w:r>
              <w:rPr>
                <w:rFonts w:ascii="Times New Roman" w:hAnsi="Times New Roman" w:hint="eastAsia"/>
                <w:color w:val="000000" w:themeColor="text1"/>
                <w:kern w:val="0"/>
              </w:rPr>
              <w:t>,</w:t>
            </w:r>
            <w:r>
              <w:rPr>
                <w:rFonts w:ascii="Times New Roman" w:hAnsi="Times New Roman" w:hint="eastAsia"/>
                <w:color w:val="000000" w:themeColor="text1"/>
                <w:kern w:val="0"/>
              </w:rPr>
              <w:t>开展经营活动</w:t>
            </w:r>
            <w:r>
              <w:rPr>
                <w:rFonts w:ascii="Times New Roman" w:hAnsi="Times New Roman" w:hint="eastAsia"/>
                <w:color w:val="000000" w:themeColor="text1"/>
                <w:kern w:val="0"/>
              </w:rPr>
              <w:t>;</w:t>
            </w:r>
            <w:r>
              <w:rPr>
                <w:rFonts w:ascii="Times New Roman" w:hAnsi="Times New Roman" w:hint="eastAsia"/>
                <w:color w:val="000000" w:themeColor="text1"/>
                <w:kern w:val="0"/>
              </w:rPr>
              <w:t>依法须经批准的项目</w:t>
            </w:r>
            <w:r>
              <w:rPr>
                <w:rFonts w:ascii="Times New Roman" w:hAnsi="Times New Roman" w:hint="eastAsia"/>
                <w:color w:val="000000" w:themeColor="text1"/>
                <w:kern w:val="0"/>
              </w:rPr>
              <w:t>,</w:t>
            </w:r>
            <w:r>
              <w:rPr>
                <w:rFonts w:ascii="Times New Roman" w:hAnsi="Times New Roman" w:hint="eastAsia"/>
                <w:color w:val="000000" w:themeColor="text1"/>
                <w:kern w:val="0"/>
              </w:rPr>
              <w:t>经相关部门批准后依批准的内容开展经营活动</w:t>
            </w:r>
            <w:r>
              <w:rPr>
                <w:rFonts w:ascii="Times New Roman" w:hAnsi="Times New Roman" w:hint="eastAsia"/>
                <w:color w:val="000000" w:themeColor="text1"/>
                <w:kern w:val="0"/>
              </w:rPr>
              <w:t>;</w:t>
            </w:r>
            <w:r>
              <w:rPr>
                <w:rFonts w:ascii="Times New Roman" w:hAnsi="Times New Roman" w:hint="eastAsia"/>
                <w:color w:val="000000" w:themeColor="text1"/>
                <w:kern w:val="0"/>
              </w:rPr>
              <w:t>不得从事本区产业政策禁止和限制类项目的经营活动。</w:t>
            </w:r>
            <w:r>
              <w:rPr>
                <w:rFonts w:ascii="Times New Roman" w:hAnsi="Times New Roman" w:hint="eastAsia"/>
                <w:color w:val="000000" w:themeColor="text1"/>
                <w:kern w:val="0"/>
              </w:rPr>
              <w:t xml:space="preserve">) </w:t>
            </w:r>
          </w:p>
        </w:tc>
      </w:tr>
      <w:tr w:rsidR="00AD5BB5">
        <w:trPr>
          <w:trHeight w:val="207"/>
        </w:trPr>
        <w:tc>
          <w:tcPr>
            <w:tcW w:w="73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控股股东</w:t>
            </w:r>
          </w:p>
        </w:tc>
        <w:tc>
          <w:tcPr>
            <w:tcW w:w="112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毛玉洁</w:t>
            </w:r>
          </w:p>
        </w:tc>
        <w:tc>
          <w:tcPr>
            <w:tcW w:w="674" w:type="pct"/>
            <w:tcBorders>
              <w:top w:val="single" w:sz="4" w:space="0" w:color="auto"/>
              <w:left w:val="single" w:sz="4" w:space="0" w:color="auto"/>
              <w:bottom w:val="single" w:sz="4" w:space="0" w:color="auto"/>
              <w:right w:val="single" w:sz="4" w:space="0" w:color="auto"/>
              <w:tl2br w:val="nil"/>
              <w:tr2bl w:val="nil"/>
            </w:tcBorders>
            <w:noWrap/>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实际控制人</w:t>
            </w:r>
          </w:p>
        </w:tc>
        <w:tc>
          <w:tcPr>
            <w:tcW w:w="247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毛玉洁</w:t>
            </w:r>
          </w:p>
        </w:tc>
      </w:tr>
      <w:tr w:rsidR="00AD5BB5">
        <w:trPr>
          <w:trHeight w:val="467"/>
        </w:trPr>
        <w:tc>
          <w:tcPr>
            <w:tcW w:w="73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主要关联方</w:t>
            </w:r>
          </w:p>
        </w:tc>
        <w:tc>
          <w:tcPr>
            <w:tcW w:w="4269" w:type="pct"/>
            <w:gridSpan w:val="3"/>
            <w:tcBorders>
              <w:top w:val="single" w:sz="4" w:space="0" w:color="auto"/>
              <w:left w:val="single" w:sz="4" w:space="0" w:color="auto"/>
              <w:bottom w:val="single" w:sz="4" w:space="0" w:color="auto"/>
              <w:right w:val="single" w:sz="4" w:space="0" w:color="auto"/>
              <w:tl2br w:val="nil"/>
              <w:tr2bl w:val="nil"/>
            </w:tcBorders>
          </w:tcPr>
          <w:p w:rsidR="00AD5BB5" w:rsidRDefault="00F87FF6">
            <w:pPr>
              <w:jc w:val="left"/>
              <w:rPr>
                <w:rFonts w:ascii="Times New Roman" w:hAnsi="Times New Roman"/>
                <w:color w:val="000000" w:themeColor="text1"/>
                <w:kern w:val="0"/>
              </w:rPr>
            </w:pPr>
            <w:proofErr w:type="gramStart"/>
            <w:r>
              <w:rPr>
                <w:rFonts w:ascii="宋体" w:hAnsi="宋体" w:hint="eastAsia"/>
                <w:color w:val="000000" w:themeColor="text1"/>
                <w:kern w:val="0"/>
              </w:rPr>
              <w:t>毛建忠</w:t>
            </w:r>
            <w:proofErr w:type="gramEnd"/>
            <w:r>
              <w:rPr>
                <w:rFonts w:ascii="宋体" w:hAnsi="宋体" w:hint="eastAsia"/>
                <w:color w:val="000000" w:themeColor="text1"/>
                <w:kern w:val="0"/>
              </w:rPr>
              <w:t>、宋万义、李宝</w:t>
            </w:r>
            <w:proofErr w:type="gramStart"/>
            <w:r>
              <w:rPr>
                <w:rFonts w:ascii="宋体" w:hAnsi="宋体" w:hint="eastAsia"/>
                <w:color w:val="000000" w:themeColor="text1"/>
                <w:kern w:val="0"/>
              </w:rPr>
              <w:t>堃</w:t>
            </w:r>
            <w:proofErr w:type="gramEnd"/>
            <w:r>
              <w:rPr>
                <w:rFonts w:ascii="宋体" w:hAnsi="宋体" w:hint="eastAsia"/>
                <w:color w:val="000000" w:themeColor="text1"/>
                <w:kern w:val="0"/>
              </w:rPr>
              <w:t>、香河县盛达房地产开发有限公司、丁海东、廊坊</w:t>
            </w:r>
            <w:proofErr w:type="gramStart"/>
            <w:r>
              <w:rPr>
                <w:rFonts w:ascii="宋体" w:hAnsi="宋体" w:hint="eastAsia"/>
                <w:color w:val="000000" w:themeColor="text1"/>
                <w:kern w:val="0"/>
              </w:rPr>
              <w:t>御丹科技</w:t>
            </w:r>
            <w:proofErr w:type="gramEnd"/>
            <w:r>
              <w:rPr>
                <w:rFonts w:ascii="宋体" w:hAnsi="宋体" w:hint="eastAsia"/>
                <w:color w:val="000000" w:themeColor="text1"/>
                <w:kern w:val="0"/>
              </w:rPr>
              <w:t>发展有限公司等37名关联方。</w:t>
            </w:r>
          </w:p>
        </w:tc>
      </w:tr>
    </w:tbl>
    <w:p w:rsidR="00AD5BB5" w:rsidRDefault="00AD5BB5">
      <w:pPr>
        <w:jc w:val="center"/>
        <w:rPr>
          <w:rFonts w:ascii="Times New Roman" w:hAnsi="Times New Roman"/>
          <w:color w:val="000000" w:themeColor="text1"/>
          <w:kern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816"/>
        <w:gridCol w:w="1266"/>
        <w:gridCol w:w="4057"/>
      </w:tblGrid>
      <w:tr w:rsidR="00AD5BB5">
        <w:trPr>
          <w:trHeight w:val="285"/>
        </w:trPr>
        <w:tc>
          <w:tcPr>
            <w:tcW w:w="5000" w:type="pct"/>
            <w:gridSpan w:val="4"/>
            <w:tcBorders>
              <w:top w:val="single" w:sz="4" w:space="0" w:color="auto"/>
              <w:left w:val="single" w:sz="4" w:space="0" w:color="auto"/>
              <w:bottom w:val="single" w:sz="4" w:space="0" w:color="auto"/>
              <w:right w:val="single" w:sz="4" w:space="0" w:color="auto"/>
              <w:tl2br w:val="nil"/>
              <w:tr2bl w:val="nil"/>
            </w:tcBorders>
            <w:noWrap/>
          </w:tcPr>
          <w:p w:rsidR="00AD5BB5" w:rsidRDefault="00F87FF6">
            <w:pPr>
              <w:jc w:val="left"/>
              <w:rPr>
                <w:rFonts w:ascii="Times New Roman" w:hAnsi="Times New Roman"/>
                <w:color w:val="000000" w:themeColor="text1"/>
                <w:kern w:val="0"/>
              </w:rPr>
            </w:pPr>
            <w:r>
              <w:rPr>
                <w:rFonts w:ascii="Times New Roman" w:hAnsi="Times New Roman"/>
                <w:color w:val="000000" w:themeColor="text1"/>
                <w:kern w:val="0"/>
              </w:rPr>
              <w:t>4</w:t>
            </w:r>
            <w:r>
              <w:rPr>
                <w:rFonts w:ascii="Times New Roman" w:hAnsi="Times New Roman" w:hint="eastAsia"/>
                <w:color w:val="000000" w:themeColor="text1"/>
                <w:kern w:val="0"/>
              </w:rPr>
              <w:t>．福建七匹狼集团有限公司</w:t>
            </w:r>
          </w:p>
        </w:tc>
      </w:tr>
      <w:tr w:rsidR="00AD5BB5">
        <w:trPr>
          <w:trHeight w:val="570"/>
        </w:trPr>
        <w:tc>
          <w:tcPr>
            <w:tcW w:w="708" w:type="pct"/>
            <w:tcBorders>
              <w:top w:val="single" w:sz="4" w:space="0" w:color="auto"/>
              <w:left w:val="single" w:sz="4" w:space="0" w:color="auto"/>
              <w:bottom w:val="single" w:sz="4" w:space="0" w:color="auto"/>
              <w:right w:val="single" w:sz="4" w:space="0" w:color="auto"/>
              <w:tl2br w:val="nil"/>
              <w:tr2bl w:val="nil"/>
            </w:tcBorders>
            <w:noWrap/>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公司类型</w:t>
            </w:r>
          </w:p>
        </w:tc>
        <w:tc>
          <w:tcPr>
            <w:tcW w:w="1100"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left"/>
              <w:rPr>
                <w:rFonts w:ascii="Times New Roman" w:hAnsi="Times New Roman"/>
                <w:color w:val="000000" w:themeColor="text1"/>
                <w:kern w:val="0"/>
              </w:rPr>
            </w:pPr>
            <w:r>
              <w:rPr>
                <w:rFonts w:ascii="Times New Roman" w:hAnsi="Times New Roman" w:hint="eastAsia"/>
                <w:color w:val="000000" w:themeColor="text1"/>
                <w:kern w:val="0"/>
              </w:rPr>
              <w:t>有限责任公司</w:t>
            </w:r>
            <w:r>
              <w:rPr>
                <w:rFonts w:ascii="Times New Roman" w:hAnsi="Times New Roman" w:hint="eastAsia"/>
                <w:color w:val="000000" w:themeColor="text1"/>
                <w:kern w:val="0"/>
              </w:rPr>
              <w:t>(</w:t>
            </w:r>
            <w:r>
              <w:rPr>
                <w:rFonts w:ascii="Times New Roman" w:hAnsi="Times New Roman" w:hint="eastAsia"/>
                <w:color w:val="000000" w:themeColor="text1"/>
                <w:kern w:val="0"/>
              </w:rPr>
              <w:t>自然人投资或控股</w:t>
            </w:r>
            <w:r>
              <w:rPr>
                <w:rFonts w:ascii="Times New Roman" w:hAnsi="Times New Roman" w:hint="eastAsia"/>
                <w:color w:val="000000" w:themeColor="text1"/>
                <w:kern w:val="0"/>
              </w:rPr>
              <w:t xml:space="preserve">) </w:t>
            </w:r>
          </w:p>
        </w:tc>
        <w:tc>
          <w:tcPr>
            <w:tcW w:w="74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注册地址</w:t>
            </w:r>
          </w:p>
        </w:tc>
        <w:tc>
          <w:tcPr>
            <w:tcW w:w="244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color w:val="000000" w:themeColor="text1"/>
                <w:kern w:val="0"/>
              </w:rPr>
              <w:t xml:space="preserve"> </w:t>
            </w:r>
            <w:r>
              <w:rPr>
                <w:rFonts w:ascii="Times New Roman" w:hAnsi="Times New Roman" w:hint="eastAsia"/>
                <w:color w:val="000000" w:themeColor="text1"/>
                <w:kern w:val="0"/>
              </w:rPr>
              <w:t>福建省晋江市金井中兴南路</w:t>
            </w:r>
            <w:r>
              <w:rPr>
                <w:rFonts w:ascii="Times New Roman" w:hAnsi="Times New Roman" w:hint="eastAsia"/>
                <w:color w:val="000000" w:themeColor="text1"/>
                <w:kern w:val="0"/>
              </w:rPr>
              <w:t>655</w:t>
            </w:r>
            <w:r>
              <w:rPr>
                <w:rFonts w:ascii="Times New Roman" w:hAnsi="Times New Roman" w:hint="eastAsia"/>
                <w:color w:val="000000" w:themeColor="text1"/>
                <w:kern w:val="0"/>
              </w:rPr>
              <w:t>号</w:t>
            </w:r>
            <w:r>
              <w:rPr>
                <w:rFonts w:ascii="Times New Roman" w:hAnsi="Times New Roman" w:hint="eastAsia"/>
                <w:color w:val="000000" w:themeColor="text1"/>
                <w:kern w:val="0"/>
              </w:rPr>
              <w:t xml:space="preserve"> </w:t>
            </w:r>
          </w:p>
        </w:tc>
      </w:tr>
      <w:tr w:rsidR="00AD5BB5">
        <w:trPr>
          <w:trHeight w:val="253"/>
        </w:trPr>
        <w:tc>
          <w:tcPr>
            <w:tcW w:w="708"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法定代表人</w:t>
            </w:r>
          </w:p>
        </w:tc>
        <w:tc>
          <w:tcPr>
            <w:tcW w:w="1100"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周永伟</w:t>
            </w:r>
          </w:p>
        </w:tc>
        <w:tc>
          <w:tcPr>
            <w:tcW w:w="742" w:type="pct"/>
            <w:tcBorders>
              <w:top w:val="single" w:sz="4" w:space="0" w:color="auto"/>
              <w:left w:val="single" w:sz="4" w:space="0" w:color="auto"/>
              <w:bottom w:val="single" w:sz="4" w:space="0" w:color="auto"/>
              <w:right w:val="single" w:sz="4" w:space="0" w:color="auto"/>
              <w:tl2br w:val="nil"/>
              <w:tr2bl w:val="nil"/>
            </w:tcBorders>
            <w:noWrap/>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注册资本</w:t>
            </w:r>
          </w:p>
        </w:tc>
        <w:tc>
          <w:tcPr>
            <w:tcW w:w="244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color w:val="000000" w:themeColor="text1"/>
                <w:kern w:val="0"/>
              </w:rPr>
              <w:t>150000</w:t>
            </w:r>
            <w:r>
              <w:rPr>
                <w:rFonts w:ascii="Times New Roman" w:hAnsi="Times New Roman" w:hint="eastAsia"/>
                <w:color w:val="000000" w:themeColor="text1"/>
                <w:kern w:val="0"/>
              </w:rPr>
              <w:t>万元人民币</w:t>
            </w:r>
          </w:p>
        </w:tc>
      </w:tr>
      <w:tr w:rsidR="00AD5BB5">
        <w:trPr>
          <w:trHeight w:val="570"/>
        </w:trPr>
        <w:tc>
          <w:tcPr>
            <w:tcW w:w="708"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成立时间</w:t>
            </w:r>
          </w:p>
        </w:tc>
        <w:tc>
          <w:tcPr>
            <w:tcW w:w="1100"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color w:val="000000" w:themeColor="text1"/>
                <w:kern w:val="0"/>
              </w:rPr>
              <w:t>2002</w:t>
            </w:r>
            <w:r>
              <w:rPr>
                <w:rFonts w:ascii="Times New Roman" w:hAnsi="Times New Roman" w:hint="eastAsia"/>
                <w:color w:val="000000" w:themeColor="text1"/>
                <w:kern w:val="0"/>
              </w:rPr>
              <w:t>年</w:t>
            </w:r>
            <w:r>
              <w:rPr>
                <w:rFonts w:ascii="Times New Roman" w:hAnsi="Times New Roman" w:hint="eastAsia"/>
                <w:color w:val="000000" w:themeColor="text1"/>
                <w:kern w:val="0"/>
              </w:rPr>
              <w:t>1</w:t>
            </w:r>
            <w:r>
              <w:rPr>
                <w:rFonts w:ascii="Times New Roman" w:hAnsi="Times New Roman" w:hint="eastAsia"/>
                <w:color w:val="000000" w:themeColor="text1"/>
                <w:kern w:val="0"/>
              </w:rPr>
              <w:t>月</w:t>
            </w:r>
            <w:r>
              <w:rPr>
                <w:rFonts w:ascii="Times New Roman" w:hAnsi="Times New Roman" w:hint="eastAsia"/>
                <w:color w:val="000000" w:themeColor="text1"/>
                <w:kern w:val="0"/>
              </w:rPr>
              <w:t>18</w:t>
            </w:r>
            <w:r>
              <w:rPr>
                <w:rFonts w:ascii="Times New Roman" w:hAnsi="Times New Roman" w:hint="eastAsia"/>
                <w:color w:val="000000" w:themeColor="text1"/>
                <w:kern w:val="0"/>
              </w:rPr>
              <w:t>日</w:t>
            </w:r>
          </w:p>
        </w:tc>
        <w:tc>
          <w:tcPr>
            <w:tcW w:w="742" w:type="pct"/>
            <w:tcBorders>
              <w:top w:val="single" w:sz="4" w:space="0" w:color="auto"/>
              <w:left w:val="single" w:sz="4" w:space="0" w:color="auto"/>
              <w:bottom w:val="single" w:sz="4" w:space="0" w:color="auto"/>
              <w:right w:val="single" w:sz="4" w:space="0" w:color="auto"/>
              <w:tl2br w:val="nil"/>
              <w:tr2bl w:val="nil"/>
            </w:tcBorders>
            <w:noWrap/>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rPr>
              <w:t>统一社会</w:t>
            </w:r>
          </w:p>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信用代码</w:t>
            </w:r>
          </w:p>
        </w:tc>
        <w:tc>
          <w:tcPr>
            <w:tcW w:w="244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color w:val="000000" w:themeColor="text1"/>
                <w:kern w:val="0"/>
              </w:rPr>
              <w:t>91350582156463765M</w:t>
            </w:r>
          </w:p>
        </w:tc>
      </w:tr>
      <w:tr w:rsidR="00AD5BB5">
        <w:trPr>
          <w:trHeight w:val="1935"/>
        </w:trPr>
        <w:tc>
          <w:tcPr>
            <w:tcW w:w="708"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经营范围</w:t>
            </w:r>
          </w:p>
        </w:tc>
        <w:tc>
          <w:tcPr>
            <w:tcW w:w="4291" w:type="pct"/>
            <w:gridSpan w:val="3"/>
            <w:tcBorders>
              <w:top w:val="single" w:sz="4" w:space="0" w:color="auto"/>
              <w:left w:val="single" w:sz="4" w:space="0" w:color="auto"/>
              <w:bottom w:val="single" w:sz="4" w:space="0" w:color="auto"/>
              <w:right w:val="single" w:sz="4" w:space="0" w:color="auto"/>
              <w:tl2br w:val="nil"/>
              <w:tr2bl w:val="nil"/>
            </w:tcBorders>
          </w:tcPr>
          <w:p w:rsidR="00AD5BB5" w:rsidRDefault="00F87FF6">
            <w:pPr>
              <w:jc w:val="left"/>
              <w:rPr>
                <w:rFonts w:ascii="Times New Roman" w:hAnsi="Times New Roman"/>
                <w:color w:val="000000" w:themeColor="text1"/>
                <w:kern w:val="0"/>
              </w:rPr>
            </w:pPr>
            <w:r>
              <w:rPr>
                <w:rFonts w:ascii="Times New Roman" w:hAnsi="Times New Roman" w:hint="eastAsia"/>
                <w:color w:val="000000" w:themeColor="text1"/>
                <w:kern w:val="0"/>
              </w:rPr>
              <w:t>对外投资</w:t>
            </w:r>
            <w:r>
              <w:rPr>
                <w:rFonts w:ascii="Times New Roman" w:hAnsi="Times New Roman" w:hint="eastAsia"/>
                <w:color w:val="000000" w:themeColor="text1"/>
                <w:kern w:val="0"/>
              </w:rPr>
              <w:t>(</w:t>
            </w:r>
            <w:r>
              <w:rPr>
                <w:rFonts w:ascii="Times New Roman" w:hAnsi="Times New Roman" w:hint="eastAsia"/>
                <w:color w:val="000000" w:themeColor="text1"/>
                <w:kern w:val="0"/>
              </w:rPr>
              <w:t>国家法律、法规允许的行业及项目的投资</w:t>
            </w:r>
            <w:r>
              <w:rPr>
                <w:rFonts w:ascii="Times New Roman" w:hAnsi="Times New Roman" w:hint="eastAsia"/>
                <w:color w:val="000000" w:themeColor="text1"/>
                <w:kern w:val="0"/>
              </w:rPr>
              <w:t>);</w:t>
            </w:r>
            <w:r>
              <w:rPr>
                <w:rFonts w:ascii="Times New Roman" w:hAnsi="Times New Roman" w:hint="eastAsia"/>
                <w:color w:val="000000" w:themeColor="text1"/>
                <w:kern w:val="0"/>
              </w:rPr>
              <w:t>资产管理</w:t>
            </w:r>
            <w:r>
              <w:rPr>
                <w:rFonts w:ascii="Times New Roman" w:hAnsi="Times New Roman" w:hint="eastAsia"/>
                <w:color w:val="000000" w:themeColor="text1"/>
                <w:kern w:val="0"/>
              </w:rPr>
              <w:t>;</w:t>
            </w:r>
            <w:r>
              <w:rPr>
                <w:rFonts w:ascii="Times New Roman" w:hAnsi="Times New Roman" w:hint="eastAsia"/>
                <w:color w:val="000000" w:themeColor="text1"/>
                <w:kern w:val="0"/>
              </w:rPr>
              <w:t>物业管理</w:t>
            </w:r>
            <w:r>
              <w:rPr>
                <w:rFonts w:ascii="Times New Roman" w:hAnsi="Times New Roman" w:hint="eastAsia"/>
                <w:color w:val="000000" w:themeColor="text1"/>
                <w:kern w:val="0"/>
              </w:rPr>
              <w:t>;</w:t>
            </w:r>
            <w:r>
              <w:rPr>
                <w:rFonts w:ascii="Times New Roman" w:hAnsi="Times New Roman" w:hint="eastAsia"/>
                <w:color w:val="000000" w:themeColor="text1"/>
                <w:kern w:val="0"/>
              </w:rPr>
              <w:t>供应链管理服务</w:t>
            </w:r>
            <w:r>
              <w:rPr>
                <w:rFonts w:ascii="Times New Roman" w:hAnsi="Times New Roman" w:hint="eastAsia"/>
                <w:color w:val="000000" w:themeColor="text1"/>
                <w:kern w:val="0"/>
              </w:rPr>
              <w:t>;</w:t>
            </w:r>
            <w:r>
              <w:rPr>
                <w:rFonts w:ascii="Times New Roman" w:hAnsi="Times New Roman" w:hint="eastAsia"/>
                <w:color w:val="000000" w:themeColor="text1"/>
                <w:kern w:val="0"/>
              </w:rPr>
              <w:t>国内贸易代理服务</w:t>
            </w:r>
            <w:r>
              <w:rPr>
                <w:rFonts w:ascii="Times New Roman" w:hAnsi="Times New Roman" w:hint="eastAsia"/>
                <w:color w:val="000000" w:themeColor="text1"/>
                <w:kern w:val="0"/>
              </w:rPr>
              <w:t>;</w:t>
            </w:r>
            <w:r>
              <w:rPr>
                <w:rFonts w:ascii="Times New Roman" w:hAnsi="Times New Roman" w:hint="eastAsia"/>
                <w:color w:val="000000" w:themeColor="text1"/>
                <w:kern w:val="0"/>
              </w:rPr>
              <w:t>实物贵金属销售</w:t>
            </w:r>
            <w:r>
              <w:rPr>
                <w:rFonts w:ascii="Times New Roman" w:hAnsi="Times New Roman" w:hint="eastAsia"/>
                <w:color w:val="000000" w:themeColor="text1"/>
                <w:kern w:val="0"/>
              </w:rPr>
              <w:t>(</w:t>
            </w:r>
            <w:r>
              <w:rPr>
                <w:rFonts w:ascii="Times New Roman" w:hAnsi="Times New Roman" w:hint="eastAsia"/>
                <w:color w:val="000000" w:themeColor="text1"/>
                <w:kern w:val="0"/>
              </w:rPr>
              <w:t>不含期货等需经前置许可的项目</w:t>
            </w:r>
            <w:r>
              <w:rPr>
                <w:rFonts w:ascii="Times New Roman" w:hAnsi="Times New Roman" w:hint="eastAsia"/>
                <w:color w:val="000000" w:themeColor="text1"/>
                <w:kern w:val="0"/>
              </w:rPr>
              <w:t>);</w:t>
            </w:r>
            <w:r>
              <w:rPr>
                <w:rFonts w:ascii="Times New Roman" w:hAnsi="Times New Roman" w:hint="eastAsia"/>
                <w:color w:val="000000" w:themeColor="text1"/>
                <w:kern w:val="0"/>
              </w:rPr>
              <w:t>国际货物运输代理</w:t>
            </w:r>
            <w:r>
              <w:rPr>
                <w:rFonts w:ascii="Times New Roman" w:hAnsi="Times New Roman" w:hint="eastAsia"/>
                <w:color w:val="000000" w:themeColor="text1"/>
                <w:kern w:val="0"/>
              </w:rPr>
              <w:t>;</w:t>
            </w:r>
            <w:r>
              <w:rPr>
                <w:rFonts w:ascii="Times New Roman" w:hAnsi="Times New Roman" w:hint="eastAsia"/>
                <w:color w:val="000000" w:themeColor="text1"/>
                <w:kern w:val="0"/>
              </w:rPr>
              <w:t>国内货物运输代理</w:t>
            </w:r>
            <w:r>
              <w:rPr>
                <w:rFonts w:ascii="Times New Roman" w:hAnsi="Times New Roman" w:hint="eastAsia"/>
                <w:color w:val="000000" w:themeColor="text1"/>
                <w:kern w:val="0"/>
              </w:rPr>
              <w:t>;</w:t>
            </w:r>
            <w:r>
              <w:rPr>
                <w:rFonts w:ascii="Times New Roman" w:hAnsi="Times New Roman" w:hint="eastAsia"/>
                <w:color w:val="000000" w:themeColor="text1"/>
                <w:kern w:val="0"/>
              </w:rPr>
              <w:t>农业机械租赁</w:t>
            </w:r>
            <w:r>
              <w:rPr>
                <w:rFonts w:ascii="Times New Roman" w:hAnsi="Times New Roman" w:hint="eastAsia"/>
                <w:color w:val="000000" w:themeColor="text1"/>
                <w:kern w:val="0"/>
              </w:rPr>
              <w:t>;</w:t>
            </w:r>
            <w:r>
              <w:rPr>
                <w:rFonts w:ascii="Times New Roman" w:hAnsi="Times New Roman" w:hint="eastAsia"/>
                <w:color w:val="000000" w:themeColor="text1"/>
                <w:kern w:val="0"/>
              </w:rPr>
              <w:t>建筑工程机械与设备租赁</w:t>
            </w:r>
            <w:r>
              <w:rPr>
                <w:rFonts w:ascii="Times New Roman" w:hAnsi="Times New Roman" w:hint="eastAsia"/>
                <w:color w:val="000000" w:themeColor="text1"/>
                <w:kern w:val="0"/>
              </w:rPr>
              <w:t>;</w:t>
            </w:r>
            <w:r>
              <w:rPr>
                <w:rFonts w:ascii="Times New Roman" w:hAnsi="Times New Roman" w:hint="eastAsia"/>
                <w:color w:val="000000" w:themeColor="text1"/>
                <w:kern w:val="0"/>
              </w:rPr>
              <w:t>信息技术咨询服务</w:t>
            </w:r>
            <w:r>
              <w:rPr>
                <w:rFonts w:ascii="Times New Roman" w:hAnsi="Times New Roman" w:hint="eastAsia"/>
                <w:color w:val="000000" w:themeColor="text1"/>
                <w:kern w:val="0"/>
              </w:rPr>
              <w:t>;</w:t>
            </w:r>
            <w:r>
              <w:rPr>
                <w:rFonts w:ascii="Times New Roman" w:hAnsi="Times New Roman" w:hint="eastAsia"/>
                <w:color w:val="000000" w:themeColor="text1"/>
                <w:kern w:val="0"/>
              </w:rPr>
              <w:t>批发</w:t>
            </w:r>
            <w:r>
              <w:rPr>
                <w:rFonts w:ascii="Times New Roman" w:hAnsi="Times New Roman" w:hint="eastAsia"/>
                <w:color w:val="000000" w:themeColor="text1"/>
                <w:kern w:val="0"/>
              </w:rPr>
              <w:t>:</w:t>
            </w:r>
            <w:r>
              <w:rPr>
                <w:rFonts w:ascii="Times New Roman" w:hAnsi="Times New Roman" w:hint="eastAsia"/>
                <w:color w:val="000000" w:themeColor="text1"/>
                <w:kern w:val="0"/>
              </w:rPr>
              <w:t>纺织品、针织品及原料、服装、鞋帽、五金产品、日用杂品、建材</w:t>
            </w:r>
            <w:r>
              <w:rPr>
                <w:rFonts w:ascii="Times New Roman" w:hAnsi="Times New Roman" w:hint="eastAsia"/>
                <w:color w:val="000000" w:themeColor="text1"/>
                <w:kern w:val="0"/>
              </w:rPr>
              <w:t>(</w:t>
            </w:r>
            <w:r>
              <w:rPr>
                <w:rFonts w:ascii="Times New Roman" w:hAnsi="Times New Roman" w:hint="eastAsia"/>
                <w:color w:val="000000" w:themeColor="text1"/>
                <w:kern w:val="0"/>
              </w:rPr>
              <w:t>不含石材及危险化学品</w:t>
            </w:r>
            <w:r>
              <w:rPr>
                <w:rFonts w:ascii="Times New Roman" w:hAnsi="Times New Roman" w:hint="eastAsia"/>
                <w:color w:val="000000" w:themeColor="text1"/>
                <w:kern w:val="0"/>
              </w:rPr>
              <w:t>)</w:t>
            </w:r>
            <w:r>
              <w:rPr>
                <w:rFonts w:ascii="Times New Roman" w:hAnsi="Times New Roman" w:hint="eastAsia"/>
                <w:color w:val="000000" w:themeColor="text1"/>
                <w:kern w:val="0"/>
              </w:rPr>
              <w:t>、金属及金属矿</w:t>
            </w:r>
            <w:r>
              <w:rPr>
                <w:rFonts w:ascii="Times New Roman" w:hAnsi="Times New Roman" w:hint="eastAsia"/>
                <w:color w:val="000000" w:themeColor="text1"/>
                <w:kern w:val="0"/>
              </w:rPr>
              <w:t>(</w:t>
            </w:r>
            <w:r>
              <w:rPr>
                <w:rFonts w:ascii="Times New Roman" w:hAnsi="Times New Roman" w:hint="eastAsia"/>
                <w:color w:val="000000" w:themeColor="text1"/>
                <w:kern w:val="0"/>
              </w:rPr>
              <w:t>不含危险化学品和监控化学品</w:t>
            </w:r>
            <w:r>
              <w:rPr>
                <w:rFonts w:ascii="Times New Roman" w:hAnsi="Times New Roman" w:hint="eastAsia"/>
                <w:color w:val="000000" w:themeColor="text1"/>
                <w:kern w:val="0"/>
              </w:rPr>
              <w:t>)</w:t>
            </w:r>
            <w:r>
              <w:rPr>
                <w:rFonts w:ascii="Times New Roman" w:hAnsi="Times New Roman" w:hint="eastAsia"/>
                <w:color w:val="000000" w:themeColor="text1"/>
                <w:kern w:val="0"/>
              </w:rPr>
              <w:t>、非金属矿及制品</w:t>
            </w:r>
            <w:r>
              <w:rPr>
                <w:rFonts w:ascii="Times New Roman" w:hAnsi="Times New Roman" w:hint="eastAsia"/>
                <w:color w:val="000000" w:themeColor="text1"/>
                <w:kern w:val="0"/>
              </w:rPr>
              <w:t>(</w:t>
            </w:r>
            <w:r>
              <w:rPr>
                <w:rFonts w:ascii="Times New Roman" w:hAnsi="Times New Roman" w:hint="eastAsia"/>
                <w:color w:val="000000" w:themeColor="text1"/>
                <w:kern w:val="0"/>
              </w:rPr>
              <w:t>不含危险化学品和监控化学品、不含石材</w:t>
            </w:r>
            <w:r>
              <w:rPr>
                <w:rFonts w:ascii="Times New Roman" w:hAnsi="Times New Roman" w:hint="eastAsia"/>
                <w:color w:val="000000" w:themeColor="text1"/>
                <w:kern w:val="0"/>
              </w:rPr>
              <w:t>)</w:t>
            </w:r>
            <w:r>
              <w:rPr>
                <w:rFonts w:ascii="Times New Roman" w:hAnsi="Times New Roman" w:hint="eastAsia"/>
                <w:color w:val="000000" w:themeColor="text1"/>
                <w:kern w:val="0"/>
              </w:rPr>
              <w:t>、化工产品</w:t>
            </w:r>
            <w:r>
              <w:rPr>
                <w:rFonts w:ascii="Times New Roman" w:hAnsi="Times New Roman" w:hint="eastAsia"/>
                <w:color w:val="000000" w:themeColor="text1"/>
                <w:kern w:val="0"/>
              </w:rPr>
              <w:t>(</w:t>
            </w:r>
            <w:r>
              <w:rPr>
                <w:rFonts w:ascii="Times New Roman" w:hAnsi="Times New Roman" w:hint="eastAsia"/>
                <w:color w:val="000000" w:themeColor="text1"/>
                <w:kern w:val="0"/>
              </w:rPr>
              <w:t>不含危险化学品和监控化学品</w:t>
            </w:r>
            <w:r>
              <w:rPr>
                <w:rFonts w:ascii="Times New Roman" w:hAnsi="Times New Roman" w:hint="eastAsia"/>
                <w:color w:val="000000" w:themeColor="text1"/>
                <w:kern w:val="0"/>
              </w:rPr>
              <w:t>)</w:t>
            </w:r>
            <w:r>
              <w:rPr>
                <w:rFonts w:ascii="Times New Roman" w:hAnsi="Times New Roman" w:hint="eastAsia"/>
                <w:color w:val="000000" w:themeColor="text1"/>
                <w:kern w:val="0"/>
              </w:rPr>
              <w:t>、棉花、麻类、农牧产品</w:t>
            </w:r>
            <w:r>
              <w:rPr>
                <w:rFonts w:ascii="Times New Roman" w:hAnsi="Times New Roman" w:hint="eastAsia"/>
                <w:color w:val="000000" w:themeColor="text1"/>
                <w:kern w:val="0"/>
              </w:rPr>
              <w:t>(</w:t>
            </w:r>
            <w:r>
              <w:rPr>
                <w:rFonts w:ascii="Times New Roman" w:hAnsi="Times New Roman" w:hint="eastAsia"/>
                <w:color w:val="000000" w:themeColor="text1"/>
                <w:kern w:val="0"/>
              </w:rPr>
              <w:t>不含禽类</w:t>
            </w:r>
            <w:r>
              <w:rPr>
                <w:rFonts w:ascii="Times New Roman" w:hAnsi="Times New Roman" w:hint="eastAsia"/>
                <w:color w:val="000000" w:themeColor="text1"/>
                <w:kern w:val="0"/>
              </w:rPr>
              <w:t>)</w:t>
            </w:r>
            <w:r>
              <w:rPr>
                <w:rFonts w:ascii="Times New Roman" w:hAnsi="Times New Roman" w:hint="eastAsia"/>
                <w:color w:val="000000" w:themeColor="text1"/>
                <w:kern w:val="0"/>
              </w:rPr>
              <w:t>。</w:t>
            </w:r>
            <w:r>
              <w:rPr>
                <w:rFonts w:ascii="Times New Roman" w:hAnsi="Times New Roman" w:hint="eastAsia"/>
                <w:color w:val="000000" w:themeColor="text1"/>
                <w:kern w:val="0"/>
              </w:rPr>
              <w:t>(</w:t>
            </w:r>
            <w:r>
              <w:rPr>
                <w:rFonts w:ascii="Times New Roman" w:hAnsi="Times New Roman" w:hint="eastAsia"/>
                <w:color w:val="000000" w:themeColor="text1"/>
                <w:kern w:val="0"/>
              </w:rPr>
              <w:t>依法须经批准的项目</w:t>
            </w:r>
            <w:r>
              <w:rPr>
                <w:rFonts w:ascii="Times New Roman" w:hAnsi="Times New Roman" w:hint="eastAsia"/>
                <w:color w:val="000000" w:themeColor="text1"/>
                <w:kern w:val="0"/>
              </w:rPr>
              <w:t>,</w:t>
            </w:r>
            <w:r>
              <w:rPr>
                <w:rFonts w:ascii="Times New Roman" w:hAnsi="Times New Roman" w:hint="eastAsia"/>
                <w:color w:val="000000" w:themeColor="text1"/>
                <w:kern w:val="0"/>
              </w:rPr>
              <w:t>经相关部门批准后方可开展经营活动</w:t>
            </w:r>
            <w:r>
              <w:rPr>
                <w:rFonts w:ascii="Times New Roman" w:hAnsi="Times New Roman" w:hint="eastAsia"/>
                <w:color w:val="000000" w:themeColor="text1"/>
                <w:kern w:val="0"/>
              </w:rPr>
              <w:t xml:space="preserve">) </w:t>
            </w:r>
          </w:p>
        </w:tc>
      </w:tr>
      <w:tr w:rsidR="00AD5BB5">
        <w:trPr>
          <w:trHeight w:val="285"/>
        </w:trPr>
        <w:tc>
          <w:tcPr>
            <w:tcW w:w="708"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控股股东</w:t>
            </w:r>
          </w:p>
        </w:tc>
        <w:tc>
          <w:tcPr>
            <w:tcW w:w="1100"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周永伟</w:t>
            </w:r>
            <w:r w:rsidR="00334470">
              <w:rPr>
                <w:rFonts w:ascii="Times New Roman" w:hAnsi="Times New Roman" w:hint="eastAsia"/>
                <w:color w:val="000000" w:themeColor="text1"/>
                <w:kern w:val="0"/>
              </w:rPr>
              <w:t>、周少雄、周少明</w:t>
            </w:r>
          </w:p>
        </w:tc>
        <w:tc>
          <w:tcPr>
            <w:tcW w:w="742" w:type="pct"/>
            <w:tcBorders>
              <w:top w:val="single" w:sz="4" w:space="0" w:color="auto"/>
              <w:left w:val="single" w:sz="4" w:space="0" w:color="auto"/>
              <w:bottom w:val="single" w:sz="4" w:space="0" w:color="auto"/>
              <w:right w:val="single" w:sz="4" w:space="0" w:color="auto"/>
              <w:tl2br w:val="nil"/>
              <w:tr2bl w:val="nil"/>
            </w:tcBorders>
            <w:noWrap/>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实际控制人</w:t>
            </w:r>
          </w:p>
        </w:tc>
        <w:tc>
          <w:tcPr>
            <w:tcW w:w="244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周永伟、周少雄、周少明</w:t>
            </w:r>
          </w:p>
        </w:tc>
      </w:tr>
      <w:tr w:rsidR="00AD5BB5">
        <w:trPr>
          <w:trHeight w:val="487"/>
        </w:trPr>
        <w:tc>
          <w:tcPr>
            <w:tcW w:w="708"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主要关联方</w:t>
            </w:r>
          </w:p>
        </w:tc>
        <w:tc>
          <w:tcPr>
            <w:tcW w:w="4291" w:type="pct"/>
            <w:gridSpan w:val="3"/>
            <w:tcBorders>
              <w:top w:val="single" w:sz="4" w:space="0" w:color="auto"/>
              <w:left w:val="single" w:sz="4" w:space="0" w:color="auto"/>
              <w:bottom w:val="single" w:sz="4" w:space="0" w:color="auto"/>
              <w:right w:val="single" w:sz="4" w:space="0" w:color="auto"/>
              <w:tl2br w:val="nil"/>
              <w:tr2bl w:val="nil"/>
            </w:tcBorders>
          </w:tcPr>
          <w:p w:rsidR="00AD5BB5" w:rsidRDefault="00F87FF6">
            <w:pPr>
              <w:jc w:val="left"/>
              <w:rPr>
                <w:rFonts w:ascii="宋体" w:hAnsi="宋体"/>
                <w:color w:val="000000" w:themeColor="text1"/>
                <w:kern w:val="0"/>
              </w:rPr>
            </w:pPr>
            <w:r>
              <w:rPr>
                <w:rFonts w:ascii="宋体" w:hAnsi="宋体" w:hint="eastAsia"/>
                <w:color w:val="000000" w:themeColor="text1"/>
                <w:kern w:val="0"/>
              </w:rPr>
              <w:t>周永伟、陈欣慰、七匹狼控股集团股份有限公司、</w:t>
            </w:r>
            <w:proofErr w:type="gramStart"/>
            <w:r>
              <w:rPr>
                <w:rFonts w:ascii="宋体" w:hAnsi="宋体" w:hint="eastAsia"/>
                <w:color w:val="000000" w:themeColor="text1"/>
                <w:kern w:val="0"/>
              </w:rPr>
              <w:t>恒禾置地</w:t>
            </w:r>
            <w:proofErr w:type="gramEnd"/>
            <w:r>
              <w:rPr>
                <w:rFonts w:ascii="宋体" w:hAnsi="宋体" w:hint="eastAsia"/>
                <w:color w:val="000000" w:themeColor="text1"/>
                <w:kern w:val="0"/>
              </w:rPr>
              <w:t>（厦门）股份有限公司、福建承古文化旅游发展有限公司、</w:t>
            </w:r>
            <w:proofErr w:type="gramStart"/>
            <w:r>
              <w:rPr>
                <w:rFonts w:ascii="宋体" w:hAnsi="宋体" w:hint="eastAsia"/>
                <w:color w:val="000000" w:themeColor="text1"/>
                <w:kern w:val="0"/>
              </w:rPr>
              <w:t>成都恒禾置地</w:t>
            </w:r>
            <w:proofErr w:type="gramEnd"/>
            <w:r>
              <w:rPr>
                <w:rFonts w:ascii="宋体" w:hAnsi="宋体" w:hint="eastAsia"/>
                <w:color w:val="000000" w:themeColor="text1"/>
                <w:kern w:val="0"/>
              </w:rPr>
              <w:t>发展有限公司</w:t>
            </w:r>
          </w:p>
          <w:p w:rsidR="00AD5BB5" w:rsidRDefault="00F87FF6">
            <w:pPr>
              <w:jc w:val="left"/>
              <w:rPr>
                <w:rFonts w:ascii="Times New Roman" w:hAnsi="Times New Roman"/>
                <w:color w:val="000000" w:themeColor="text1"/>
                <w:kern w:val="0"/>
              </w:rPr>
            </w:pPr>
            <w:r>
              <w:rPr>
                <w:rFonts w:ascii="宋体" w:hAnsi="宋体" w:hint="eastAsia"/>
                <w:color w:val="000000" w:themeColor="text1"/>
                <w:kern w:val="0"/>
              </w:rPr>
              <w:t>晋江</w:t>
            </w:r>
            <w:proofErr w:type="gramStart"/>
            <w:r>
              <w:rPr>
                <w:rFonts w:ascii="宋体" w:hAnsi="宋体" w:hint="eastAsia"/>
                <w:color w:val="000000" w:themeColor="text1"/>
                <w:kern w:val="0"/>
              </w:rPr>
              <w:t>市恒禾海景</w:t>
            </w:r>
            <w:proofErr w:type="gramEnd"/>
            <w:r>
              <w:rPr>
                <w:rFonts w:ascii="宋体" w:hAnsi="宋体" w:hint="eastAsia"/>
                <w:color w:val="000000" w:themeColor="text1"/>
                <w:kern w:val="0"/>
              </w:rPr>
              <w:t>酒店有限公司、厦门七匹狼资产管理有限公司、厦门市</w:t>
            </w:r>
            <w:proofErr w:type="gramStart"/>
            <w:r>
              <w:rPr>
                <w:rFonts w:ascii="宋体" w:hAnsi="宋体" w:hint="eastAsia"/>
                <w:color w:val="000000" w:themeColor="text1"/>
                <w:kern w:val="0"/>
              </w:rPr>
              <w:t>锴</w:t>
            </w:r>
            <w:proofErr w:type="gramEnd"/>
            <w:r>
              <w:rPr>
                <w:rFonts w:ascii="宋体" w:hAnsi="宋体" w:hint="eastAsia"/>
                <w:color w:val="000000" w:themeColor="text1"/>
                <w:kern w:val="0"/>
              </w:rPr>
              <w:t>翔游艇管理有限公司、厦门花开富贵物业管理有限公司、厦门</w:t>
            </w:r>
            <w:proofErr w:type="gramStart"/>
            <w:r>
              <w:rPr>
                <w:rFonts w:ascii="宋体" w:hAnsi="宋体" w:hint="eastAsia"/>
                <w:color w:val="000000" w:themeColor="text1"/>
                <w:kern w:val="0"/>
              </w:rPr>
              <w:t>七尚汇文化</w:t>
            </w:r>
            <w:proofErr w:type="gramEnd"/>
            <w:r>
              <w:rPr>
                <w:rFonts w:ascii="宋体" w:hAnsi="宋体" w:hint="eastAsia"/>
                <w:color w:val="000000" w:themeColor="text1"/>
                <w:kern w:val="0"/>
              </w:rPr>
              <w:t>传播有限公司、泉州吉祥富贵物业管理有限公司、上海七匹狼实业有限公司、晋江七匹</w:t>
            </w:r>
            <w:proofErr w:type="gramStart"/>
            <w:r>
              <w:rPr>
                <w:rFonts w:ascii="宋体" w:hAnsi="宋体" w:hint="eastAsia"/>
                <w:color w:val="000000" w:themeColor="text1"/>
                <w:kern w:val="0"/>
              </w:rPr>
              <w:t>狼服装</w:t>
            </w:r>
            <w:proofErr w:type="gramEnd"/>
            <w:r>
              <w:rPr>
                <w:rFonts w:ascii="宋体" w:hAnsi="宋体" w:hint="eastAsia"/>
                <w:color w:val="000000" w:themeColor="text1"/>
                <w:kern w:val="0"/>
              </w:rPr>
              <w:t>制造有限公司、福州七匹</w:t>
            </w:r>
            <w:proofErr w:type="gramStart"/>
            <w:r>
              <w:rPr>
                <w:rFonts w:ascii="宋体" w:hAnsi="宋体" w:hint="eastAsia"/>
                <w:color w:val="000000" w:themeColor="text1"/>
                <w:kern w:val="0"/>
              </w:rPr>
              <w:t>狼服装</w:t>
            </w:r>
            <w:proofErr w:type="gramEnd"/>
            <w:r>
              <w:rPr>
                <w:rFonts w:ascii="宋体" w:hAnsi="宋体" w:hint="eastAsia"/>
                <w:color w:val="000000" w:themeColor="text1"/>
                <w:kern w:val="0"/>
              </w:rPr>
              <w:t>营销有限公司等</w:t>
            </w:r>
            <w:r>
              <w:rPr>
                <w:rFonts w:ascii="宋体" w:hAnsi="宋体"/>
                <w:color w:val="000000" w:themeColor="text1"/>
                <w:kern w:val="0"/>
              </w:rPr>
              <w:t>2</w:t>
            </w:r>
            <w:r>
              <w:rPr>
                <w:rFonts w:ascii="宋体" w:hAnsi="宋体" w:hint="eastAsia"/>
                <w:color w:val="000000" w:themeColor="text1"/>
                <w:kern w:val="0"/>
              </w:rPr>
              <w:t>23名关联方。</w:t>
            </w:r>
          </w:p>
        </w:tc>
      </w:tr>
    </w:tbl>
    <w:p w:rsidR="00AD5BB5" w:rsidRDefault="00AD5BB5">
      <w:pPr>
        <w:jc w:val="center"/>
        <w:rPr>
          <w:rFonts w:ascii="Times New Roman" w:hAnsi="Times New Roman"/>
          <w:color w:val="000000" w:themeColor="text1"/>
          <w:kern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816"/>
        <w:gridCol w:w="1266"/>
        <w:gridCol w:w="4056"/>
      </w:tblGrid>
      <w:tr w:rsidR="00AD5BB5">
        <w:trPr>
          <w:trHeight w:val="285"/>
        </w:trPr>
        <w:tc>
          <w:tcPr>
            <w:tcW w:w="5000" w:type="pct"/>
            <w:gridSpan w:val="4"/>
            <w:tcBorders>
              <w:top w:val="single" w:sz="4" w:space="0" w:color="auto"/>
              <w:left w:val="single" w:sz="4" w:space="0" w:color="auto"/>
              <w:bottom w:val="single" w:sz="4" w:space="0" w:color="auto"/>
              <w:right w:val="single" w:sz="4" w:space="0" w:color="auto"/>
              <w:tl2br w:val="nil"/>
              <w:tr2bl w:val="nil"/>
            </w:tcBorders>
            <w:noWrap/>
          </w:tcPr>
          <w:p w:rsidR="00AD5BB5" w:rsidRDefault="00F87FF6">
            <w:pPr>
              <w:jc w:val="left"/>
              <w:rPr>
                <w:rFonts w:ascii="Times New Roman" w:hAnsi="Times New Roman"/>
                <w:color w:val="000000" w:themeColor="text1"/>
                <w:kern w:val="0"/>
              </w:rPr>
            </w:pPr>
            <w:r>
              <w:rPr>
                <w:rFonts w:ascii="Times New Roman" w:hAnsi="Times New Roman"/>
                <w:color w:val="000000" w:themeColor="text1"/>
                <w:kern w:val="0"/>
              </w:rPr>
              <w:t xml:space="preserve">5. </w:t>
            </w:r>
            <w:r>
              <w:rPr>
                <w:rFonts w:ascii="Times New Roman" w:hAnsi="Times New Roman" w:hint="eastAsia"/>
                <w:color w:val="000000" w:themeColor="text1"/>
                <w:kern w:val="0"/>
              </w:rPr>
              <w:t>厦门国有资本资产管理有限公司</w:t>
            </w:r>
          </w:p>
        </w:tc>
      </w:tr>
      <w:tr w:rsidR="00AD5BB5">
        <w:trPr>
          <w:trHeight w:val="570"/>
        </w:trPr>
        <w:tc>
          <w:tcPr>
            <w:tcW w:w="731" w:type="pct"/>
            <w:tcBorders>
              <w:top w:val="single" w:sz="4" w:space="0" w:color="auto"/>
              <w:left w:val="single" w:sz="4" w:space="0" w:color="auto"/>
              <w:bottom w:val="single" w:sz="4" w:space="0" w:color="auto"/>
              <w:right w:val="single" w:sz="4" w:space="0" w:color="auto"/>
              <w:tl2br w:val="nil"/>
              <w:tr2bl w:val="nil"/>
            </w:tcBorders>
            <w:noWrap/>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lastRenderedPageBreak/>
              <w:t>公司类型</w:t>
            </w:r>
          </w:p>
        </w:tc>
        <w:tc>
          <w:tcPr>
            <w:tcW w:w="1123"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有限责任公司（非自然人投资或控股的法人独资）</w:t>
            </w:r>
            <w:r>
              <w:rPr>
                <w:rFonts w:ascii="Times New Roman" w:hAnsi="Times New Roman" w:hint="eastAsia"/>
                <w:color w:val="000000" w:themeColor="text1"/>
                <w:kern w:val="0"/>
              </w:rPr>
              <w:t xml:space="preserve"> </w:t>
            </w:r>
          </w:p>
        </w:tc>
        <w:tc>
          <w:tcPr>
            <w:tcW w:w="67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注册地址</w:t>
            </w:r>
          </w:p>
        </w:tc>
        <w:tc>
          <w:tcPr>
            <w:tcW w:w="247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中国（福建）自由贸易试验区厦门片</w:t>
            </w:r>
            <w:proofErr w:type="gramStart"/>
            <w:r>
              <w:rPr>
                <w:rFonts w:ascii="Times New Roman" w:hAnsi="Times New Roman" w:hint="eastAsia"/>
                <w:color w:val="000000" w:themeColor="text1"/>
                <w:kern w:val="0"/>
              </w:rPr>
              <w:t>区象屿路</w:t>
            </w:r>
            <w:r>
              <w:rPr>
                <w:rFonts w:ascii="Times New Roman" w:hAnsi="Times New Roman" w:hint="eastAsia"/>
                <w:color w:val="000000" w:themeColor="text1"/>
                <w:kern w:val="0"/>
              </w:rPr>
              <w:t>93</w:t>
            </w:r>
            <w:r>
              <w:rPr>
                <w:rFonts w:ascii="Times New Roman" w:hAnsi="Times New Roman" w:hint="eastAsia"/>
                <w:color w:val="000000" w:themeColor="text1"/>
                <w:kern w:val="0"/>
              </w:rPr>
              <w:t>号</w:t>
            </w:r>
            <w:proofErr w:type="gramEnd"/>
            <w:r>
              <w:rPr>
                <w:rFonts w:ascii="Times New Roman" w:hAnsi="Times New Roman" w:hint="eastAsia"/>
                <w:color w:val="000000" w:themeColor="text1"/>
                <w:kern w:val="0"/>
              </w:rPr>
              <w:t>厦门国际航运中心</w:t>
            </w:r>
            <w:r>
              <w:rPr>
                <w:rFonts w:ascii="Times New Roman" w:hAnsi="Times New Roman" w:hint="eastAsia"/>
                <w:color w:val="000000" w:themeColor="text1"/>
                <w:kern w:val="0"/>
              </w:rPr>
              <w:t>C</w:t>
            </w:r>
            <w:r>
              <w:rPr>
                <w:rFonts w:ascii="Times New Roman" w:hAnsi="Times New Roman" w:hint="eastAsia"/>
                <w:color w:val="000000" w:themeColor="text1"/>
                <w:kern w:val="0"/>
              </w:rPr>
              <w:t>栋</w:t>
            </w:r>
            <w:r>
              <w:rPr>
                <w:rFonts w:ascii="Times New Roman" w:hAnsi="Times New Roman" w:hint="eastAsia"/>
                <w:color w:val="000000" w:themeColor="text1"/>
                <w:kern w:val="0"/>
              </w:rPr>
              <w:t>4</w:t>
            </w:r>
            <w:r>
              <w:rPr>
                <w:rFonts w:ascii="Times New Roman" w:hAnsi="Times New Roman" w:hint="eastAsia"/>
                <w:color w:val="000000" w:themeColor="text1"/>
                <w:kern w:val="0"/>
              </w:rPr>
              <w:t>层</w:t>
            </w:r>
            <w:r>
              <w:rPr>
                <w:rFonts w:ascii="Times New Roman" w:hAnsi="Times New Roman" w:hint="eastAsia"/>
                <w:color w:val="000000" w:themeColor="text1"/>
                <w:kern w:val="0"/>
              </w:rPr>
              <w:t>431</w:t>
            </w:r>
            <w:r>
              <w:rPr>
                <w:rFonts w:ascii="Times New Roman" w:hAnsi="Times New Roman" w:hint="eastAsia"/>
                <w:color w:val="000000" w:themeColor="text1"/>
                <w:kern w:val="0"/>
              </w:rPr>
              <w:t>单元</w:t>
            </w:r>
            <w:r>
              <w:rPr>
                <w:rFonts w:ascii="Times New Roman" w:hAnsi="Times New Roman" w:hint="eastAsia"/>
                <w:color w:val="000000" w:themeColor="text1"/>
                <w:kern w:val="0"/>
              </w:rPr>
              <w:t>H</w:t>
            </w:r>
          </w:p>
        </w:tc>
      </w:tr>
      <w:tr w:rsidR="00AD5BB5">
        <w:trPr>
          <w:trHeight w:val="570"/>
        </w:trPr>
        <w:tc>
          <w:tcPr>
            <w:tcW w:w="73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法定代表人</w:t>
            </w:r>
          </w:p>
        </w:tc>
        <w:tc>
          <w:tcPr>
            <w:tcW w:w="1123"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proofErr w:type="gramStart"/>
            <w:r>
              <w:rPr>
                <w:rFonts w:ascii="Times New Roman" w:hAnsi="Times New Roman" w:hint="eastAsia"/>
                <w:color w:val="000000" w:themeColor="text1"/>
                <w:kern w:val="0"/>
              </w:rPr>
              <w:t>余明凤</w:t>
            </w:r>
            <w:proofErr w:type="gramEnd"/>
          </w:p>
        </w:tc>
        <w:tc>
          <w:tcPr>
            <w:tcW w:w="674" w:type="pct"/>
            <w:tcBorders>
              <w:top w:val="single" w:sz="4" w:space="0" w:color="auto"/>
              <w:left w:val="single" w:sz="4" w:space="0" w:color="auto"/>
              <w:bottom w:val="single" w:sz="4" w:space="0" w:color="auto"/>
              <w:right w:val="single" w:sz="4" w:space="0" w:color="auto"/>
              <w:tl2br w:val="nil"/>
              <w:tr2bl w:val="nil"/>
            </w:tcBorders>
            <w:noWrap/>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注册资本</w:t>
            </w:r>
          </w:p>
        </w:tc>
        <w:tc>
          <w:tcPr>
            <w:tcW w:w="247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color w:val="000000" w:themeColor="text1"/>
                <w:kern w:val="0"/>
              </w:rPr>
              <w:t xml:space="preserve"> </w:t>
            </w:r>
            <w:r>
              <w:rPr>
                <w:rFonts w:ascii="Times New Roman" w:hAnsi="Times New Roman" w:hint="eastAsia"/>
                <w:color w:val="000000" w:themeColor="text1"/>
                <w:kern w:val="0"/>
              </w:rPr>
              <w:t>2</w:t>
            </w:r>
            <w:r>
              <w:rPr>
                <w:rFonts w:ascii="Times New Roman" w:hAnsi="Times New Roman"/>
                <w:color w:val="000000" w:themeColor="text1"/>
                <w:kern w:val="0"/>
              </w:rPr>
              <w:t>0000</w:t>
            </w:r>
            <w:r>
              <w:rPr>
                <w:rFonts w:ascii="Times New Roman" w:hAnsi="Times New Roman" w:hint="eastAsia"/>
                <w:color w:val="000000" w:themeColor="text1"/>
                <w:kern w:val="0"/>
              </w:rPr>
              <w:t>万元人民币</w:t>
            </w:r>
            <w:r>
              <w:rPr>
                <w:rFonts w:ascii="Times New Roman" w:hAnsi="Times New Roman" w:hint="eastAsia"/>
                <w:color w:val="000000" w:themeColor="text1"/>
                <w:kern w:val="0"/>
              </w:rPr>
              <w:t xml:space="preserve"> </w:t>
            </w:r>
          </w:p>
        </w:tc>
      </w:tr>
      <w:tr w:rsidR="00AD5BB5">
        <w:trPr>
          <w:trHeight w:val="570"/>
        </w:trPr>
        <w:tc>
          <w:tcPr>
            <w:tcW w:w="73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成立时间</w:t>
            </w:r>
          </w:p>
        </w:tc>
        <w:tc>
          <w:tcPr>
            <w:tcW w:w="1123"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color w:val="000000" w:themeColor="text1"/>
                <w:kern w:val="0"/>
              </w:rPr>
              <w:t>2014</w:t>
            </w:r>
            <w:r>
              <w:rPr>
                <w:rFonts w:ascii="Times New Roman" w:hAnsi="Times New Roman" w:hint="eastAsia"/>
                <w:color w:val="000000" w:themeColor="text1"/>
                <w:kern w:val="0"/>
              </w:rPr>
              <w:t>年</w:t>
            </w:r>
            <w:r>
              <w:rPr>
                <w:rFonts w:ascii="Times New Roman" w:hAnsi="Times New Roman" w:hint="eastAsia"/>
                <w:color w:val="000000" w:themeColor="text1"/>
                <w:kern w:val="0"/>
              </w:rPr>
              <w:t>10</w:t>
            </w:r>
            <w:r>
              <w:rPr>
                <w:rFonts w:ascii="Times New Roman" w:hAnsi="Times New Roman" w:hint="eastAsia"/>
                <w:color w:val="000000" w:themeColor="text1"/>
                <w:kern w:val="0"/>
              </w:rPr>
              <w:t>月</w:t>
            </w:r>
            <w:r>
              <w:rPr>
                <w:rFonts w:ascii="Times New Roman" w:hAnsi="Times New Roman" w:hint="eastAsia"/>
                <w:color w:val="000000" w:themeColor="text1"/>
                <w:kern w:val="0"/>
              </w:rPr>
              <w:t>21</w:t>
            </w:r>
            <w:r>
              <w:rPr>
                <w:rFonts w:ascii="Times New Roman" w:hAnsi="Times New Roman" w:hint="eastAsia"/>
                <w:color w:val="000000" w:themeColor="text1"/>
                <w:kern w:val="0"/>
              </w:rPr>
              <w:t>日</w:t>
            </w:r>
          </w:p>
        </w:tc>
        <w:tc>
          <w:tcPr>
            <w:tcW w:w="674" w:type="pct"/>
            <w:tcBorders>
              <w:top w:val="single" w:sz="4" w:space="0" w:color="auto"/>
              <w:left w:val="single" w:sz="4" w:space="0" w:color="auto"/>
              <w:bottom w:val="single" w:sz="4" w:space="0" w:color="auto"/>
              <w:right w:val="single" w:sz="4" w:space="0" w:color="auto"/>
              <w:tl2br w:val="nil"/>
              <w:tr2bl w:val="nil"/>
            </w:tcBorders>
            <w:noWrap/>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rPr>
              <w:t>统一社会</w:t>
            </w:r>
          </w:p>
          <w:p w:rsidR="00AD5BB5" w:rsidRDefault="00F87FF6">
            <w:pPr>
              <w:jc w:val="center"/>
              <w:rPr>
                <w:rFonts w:ascii="Times New Roman" w:hAnsi="Times New Roman"/>
                <w:color w:val="000000" w:themeColor="text1"/>
              </w:rPr>
            </w:pPr>
            <w:r>
              <w:rPr>
                <w:rFonts w:ascii="Times New Roman" w:hAnsi="Times New Roman" w:hint="eastAsia"/>
                <w:color w:val="000000" w:themeColor="text1"/>
                <w:kern w:val="0"/>
              </w:rPr>
              <w:t>信用代码</w:t>
            </w:r>
          </w:p>
        </w:tc>
        <w:tc>
          <w:tcPr>
            <w:tcW w:w="247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color w:val="000000" w:themeColor="text1"/>
                <w:kern w:val="0"/>
              </w:rPr>
              <w:t>913502003028567369</w:t>
            </w:r>
          </w:p>
        </w:tc>
      </w:tr>
      <w:tr w:rsidR="00AD5BB5">
        <w:trPr>
          <w:trHeight w:val="1272"/>
        </w:trPr>
        <w:tc>
          <w:tcPr>
            <w:tcW w:w="73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经营范围</w:t>
            </w:r>
          </w:p>
        </w:tc>
        <w:tc>
          <w:tcPr>
            <w:tcW w:w="4269" w:type="pct"/>
            <w:gridSpan w:val="3"/>
            <w:tcBorders>
              <w:top w:val="single" w:sz="4" w:space="0" w:color="auto"/>
              <w:left w:val="single" w:sz="4" w:space="0" w:color="auto"/>
              <w:bottom w:val="single" w:sz="4" w:space="0" w:color="auto"/>
              <w:right w:val="single" w:sz="4" w:space="0" w:color="auto"/>
              <w:tl2br w:val="nil"/>
              <w:tr2bl w:val="nil"/>
            </w:tcBorders>
          </w:tcPr>
          <w:p w:rsidR="00AD5BB5" w:rsidRDefault="00F87FF6">
            <w:pPr>
              <w:jc w:val="left"/>
              <w:rPr>
                <w:rFonts w:ascii="Times New Roman" w:hAnsi="Times New Roman"/>
                <w:color w:val="000000" w:themeColor="text1"/>
                <w:kern w:val="0"/>
              </w:rPr>
            </w:pPr>
            <w:r>
              <w:rPr>
                <w:rFonts w:ascii="Times New Roman" w:hAnsi="Times New Roman" w:hint="eastAsia"/>
                <w:color w:val="000000" w:themeColor="text1"/>
                <w:kern w:val="0"/>
              </w:rPr>
              <w:t>投资管理</w:t>
            </w:r>
            <w:r>
              <w:rPr>
                <w:rFonts w:ascii="Times New Roman" w:hAnsi="Times New Roman" w:hint="eastAsia"/>
                <w:color w:val="000000" w:themeColor="text1"/>
                <w:kern w:val="0"/>
              </w:rPr>
              <w:t>(</w:t>
            </w:r>
            <w:r>
              <w:rPr>
                <w:rFonts w:ascii="Times New Roman" w:hAnsi="Times New Roman" w:hint="eastAsia"/>
                <w:color w:val="000000" w:themeColor="text1"/>
                <w:kern w:val="0"/>
              </w:rPr>
              <w:t>法律、法规另有规定除外</w:t>
            </w:r>
            <w:r>
              <w:rPr>
                <w:rFonts w:ascii="Times New Roman" w:hAnsi="Times New Roman" w:hint="eastAsia"/>
                <w:color w:val="000000" w:themeColor="text1"/>
                <w:kern w:val="0"/>
              </w:rPr>
              <w:t>);</w:t>
            </w:r>
            <w:r>
              <w:rPr>
                <w:rFonts w:ascii="Times New Roman" w:hAnsi="Times New Roman" w:hint="eastAsia"/>
                <w:color w:val="000000" w:themeColor="text1"/>
                <w:kern w:val="0"/>
              </w:rPr>
              <w:t>资产管理</w:t>
            </w:r>
            <w:r>
              <w:rPr>
                <w:rFonts w:ascii="Times New Roman" w:hAnsi="Times New Roman" w:hint="eastAsia"/>
                <w:color w:val="000000" w:themeColor="text1"/>
                <w:kern w:val="0"/>
              </w:rPr>
              <w:t>(</w:t>
            </w:r>
            <w:r>
              <w:rPr>
                <w:rFonts w:ascii="Times New Roman" w:hAnsi="Times New Roman" w:hint="eastAsia"/>
                <w:color w:val="000000" w:themeColor="text1"/>
                <w:kern w:val="0"/>
              </w:rPr>
              <w:t>法律、法规另有规定除外</w:t>
            </w:r>
            <w:r>
              <w:rPr>
                <w:rFonts w:ascii="Times New Roman" w:hAnsi="Times New Roman" w:hint="eastAsia"/>
                <w:color w:val="000000" w:themeColor="text1"/>
                <w:kern w:val="0"/>
              </w:rPr>
              <w:t>);</w:t>
            </w:r>
            <w:r>
              <w:rPr>
                <w:rFonts w:ascii="Times New Roman" w:hAnsi="Times New Roman" w:hint="eastAsia"/>
                <w:color w:val="000000" w:themeColor="text1"/>
                <w:kern w:val="0"/>
              </w:rPr>
              <w:t>社会经济咨询</w:t>
            </w:r>
            <w:r>
              <w:rPr>
                <w:rFonts w:ascii="Times New Roman" w:hAnsi="Times New Roman" w:hint="eastAsia"/>
                <w:color w:val="000000" w:themeColor="text1"/>
                <w:kern w:val="0"/>
              </w:rPr>
              <w:t>(</w:t>
            </w:r>
            <w:r>
              <w:rPr>
                <w:rFonts w:ascii="Times New Roman" w:hAnsi="Times New Roman" w:hint="eastAsia"/>
                <w:color w:val="000000" w:themeColor="text1"/>
                <w:kern w:val="0"/>
              </w:rPr>
              <w:t>不含金融业务咨询</w:t>
            </w:r>
            <w:r>
              <w:rPr>
                <w:rFonts w:ascii="Times New Roman" w:hAnsi="Times New Roman" w:hint="eastAsia"/>
                <w:color w:val="000000" w:themeColor="text1"/>
                <w:kern w:val="0"/>
              </w:rPr>
              <w:t>);</w:t>
            </w:r>
            <w:r>
              <w:rPr>
                <w:rFonts w:ascii="Times New Roman" w:hAnsi="Times New Roman" w:hint="eastAsia"/>
                <w:color w:val="000000" w:themeColor="text1"/>
                <w:kern w:val="0"/>
              </w:rPr>
              <w:t>企业管理咨询</w:t>
            </w:r>
            <w:r>
              <w:rPr>
                <w:rFonts w:ascii="Times New Roman" w:hAnsi="Times New Roman" w:hint="eastAsia"/>
                <w:color w:val="000000" w:themeColor="text1"/>
                <w:kern w:val="0"/>
              </w:rPr>
              <w:t>;</w:t>
            </w:r>
            <w:r>
              <w:rPr>
                <w:rFonts w:ascii="Times New Roman" w:hAnsi="Times New Roman" w:hint="eastAsia"/>
                <w:color w:val="000000" w:themeColor="text1"/>
                <w:kern w:val="0"/>
              </w:rPr>
              <w:t>投资咨询</w:t>
            </w:r>
            <w:r>
              <w:rPr>
                <w:rFonts w:ascii="Times New Roman" w:hAnsi="Times New Roman" w:hint="eastAsia"/>
                <w:color w:val="000000" w:themeColor="text1"/>
                <w:kern w:val="0"/>
              </w:rPr>
              <w:t>(</w:t>
            </w:r>
            <w:r>
              <w:rPr>
                <w:rFonts w:ascii="Times New Roman" w:hAnsi="Times New Roman" w:hint="eastAsia"/>
                <w:color w:val="000000" w:themeColor="text1"/>
                <w:kern w:val="0"/>
              </w:rPr>
              <w:t>法律、法规另有规定除外</w:t>
            </w:r>
            <w:r>
              <w:rPr>
                <w:rFonts w:ascii="Times New Roman" w:hAnsi="Times New Roman" w:hint="eastAsia"/>
                <w:color w:val="000000" w:themeColor="text1"/>
                <w:kern w:val="0"/>
              </w:rPr>
              <w:t>);</w:t>
            </w:r>
            <w:r>
              <w:rPr>
                <w:rFonts w:ascii="Times New Roman" w:hAnsi="Times New Roman" w:hint="eastAsia"/>
                <w:color w:val="000000" w:themeColor="text1"/>
                <w:kern w:val="0"/>
              </w:rPr>
              <w:t>经营各类商品和技术的进出口</w:t>
            </w:r>
            <w:r>
              <w:rPr>
                <w:rFonts w:ascii="Times New Roman" w:hAnsi="Times New Roman" w:hint="eastAsia"/>
                <w:color w:val="000000" w:themeColor="text1"/>
                <w:kern w:val="0"/>
              </w:rPr>
              <w:t>(</w:t>
            </w:r>
            <w:r>
              <w:rPr>
                <w:rFonts w:ascii="Times New Roman" w:hAnsi="Times New Roman" w:hint="eastAsia"/>
                <w:color w:val="000000" w:themeColor="text1"/>
                <w:kern w:val="0"/>
              </w:rPr>
              <w:t>不另附进出口商品目录</w:t>
            </w:r>
            <w:r>
              <w:rPr>
                <w:rFonts w:ascii="Times New Roman" w:hAnsi="Times New Roman" w:hint="eastAsia"/>
                <w:color w:val="000000" w:themeColor="text1"/>
                <w:kern w:val="0"/>
              </w:rPr>
              <w:t>),</w:t>
            </w:r>
            <w:r>
              <w:rPr>
                <w:rFonts w:ascii="Times New Roman" w:hAnsi="Times New Roman" w:hint="eastAsia"/>
                <w:color w:val="000000" w:themeColor="text1"/>
                <w:kern w:val="0"/>
              </w:rPr>
              <w:t>但国家限定公司经营或禁止进出口的商品及技术除外</w:t>
            </w:r>
            <w:r>
              <w:rPr>
                <w:rFonts w:ascii="Times New Roman" w:hAnsi="Times New Roman" w:hint="eastAsia"/>
                <w:color w:val="000000" w:themeColor="text1"/>
                <w:kern w:val="0"/>
              </w:rPr>
              <w:t>;</w:t>
            </w:r>
            <w:r>
              <w:rPr>
                <w:rFonts w:ascii="Times New Roman" w:hAnsi="Times New Roman" w:hint="eastAsia"/>
                <w:color w:val="000000" w:themeColor="text1"/>
                <w:kern w:val="0"/>
              </w:rPr>
              <w:t>黄金现货销售。</w:t>
            </w:r>
          </w:p>
        </w:tc>
      </w:tr>
      <w:tr w:rsidR="00AD5BB5">
        <w:trPr>
          <w:trHeight w:val="570"/>
        </w:trPr>
        <w:tc>
          <w:tcPr>
            <w:tcW w:w="73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控股股东</w:t>
            </w:r>
          </w:p>
        </w:tc>
        <w:tc>
          <w:tcPr>
            <w:tcW w:w="1123"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厦门国有资本运营有限责任公司</w:t>
            </w:r>
          </w:p>
        </w:tc>
        <w:tc>
          <w:tcPr>
            <w:tcW w:w="674" w:type="pct"/>
            <w:tcBorders>
              <w:top w:val="single" w:sz="4" w:space="0" w:color="auto"/>
              <w:left w:val="single" w:sz="4" w:space="0" w:color="auto"/>
              <w:bottom w:val="single" w:sz="4" w:space="0" w:color="auto"/>
              <w:right w:val="single" w:sz="4" w:space="0" w:color="auto"/>
              <w:tl2br w:val="nil"/>
              <w:tr2bl w:val="nil"/>
            </w:tcBorders>
            <w:noWrap/>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实际控制人</w:t>
            </w:r>
          </w:p>
        </w:tc>
        <w:tc>
          <w:tcPr>
            <w:tcW w:w="2472"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厦门国有资本运营有限责任公司</w:t>
            </w:r>
          </w:p>
        </w:tc>
      </w:tr>
      <w:tr w:rsidR="00AD5BB5">
        <w:trPr>
          <w:trHeight w:val="633"/>
        </w:trPr>
        <w:tc>
          <w:tcPr>
            <w:tcW w:w="73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主要关联方</w:t>
            </w:r>
          </w:p>
        </w:tc>
        <w:tc>
          <w:tcPr>
            <w:tcW w:w="4269" w:type="pct"/>
            <w:gridSpan w:val="3"/>
            <w:tcBorders>
              <w:top w:val="single" w:sz="4" w:space="0" w:color="auto"/>
              <w:left w:val="single" w:sz="4" w:space="0" w:color="auto"/>
              <w:bottom w:val="single" w:sz="4" w:space="0" w:color="auto"/>
              <w:right w:val="single" w:sz="4" w:space="0" w:color="auto"/>
              <w:tl2br w:val="nil"/>
              <w:tr2bl w:val="nil"/>
            </w:tcBorders>
          </w:tcPr>
          <w:p w:rsidR="00AD5BB5" w:rsidRDefault="00F87FF6">
            <w:pPr>
              <w:jc w:val="left"/>
              <w:rPr>
                <w:rFonts w:ascii="Times New Roman" w:hAnsi="Times New Roman"/>
                <w:color w:val="000000" w:themeColor="text1"/>
                <w:kern w:val="0"/>
              </w:rPr>
            </w:pPr>
            <w:r>
              <w:rPr>
                <w:rFonts w:ascii="宋体" w:hAnsi="宋体" w:hint="eastAsia"/>
                <w:color w:val="000000" w:themeColor="text1"/>
                <w:kern w:val="0"/>
              </w:rPr>
              <w:t>余明凤、王斌、谢漪、黄金典、厦门国有资本运营有限责任公司、厦门佲家鹭江酒店有限公司、厦门旅集网信息科技有限公司、</w:t>
            </w:r>
            <w:proofErr w:type="gramStart"/>
            <w:r>
              <w:rPr>
                <w:rFonts w:ascii="宋体" w:hAnsi="宋体" w:hint="eastAsia"/>
                <w:color w:val="000000" w:themeColor="text1"/>
                <w:kern w:val="0"/>
              </w:rPr>
              <w:t>厦门旅集民宿</w:t>
            </w:r>
            <w:proofErr w:type="gramEnd"/>
            <w:r>
              <w:rPr>
                <w:rFonts w:ascii="宋体" w:hAnsi="宋体" w:hint="eastAsia"/>
                <w:color w:val="000000" w:themeColor="text1"/>
                <w:kern w:val="0"/>
              </w:rPr>
              <w:t>平台运营管理有限公司、厦门市直属机关印刷厂、厦门市殡仪服务中心、厦门市德政物业服务有限公司等94名关联方。</w:t>
            </w:r>
          </w:p>
        </w:tc>
      </w:tr>
    </w:tbl>
    <w:p w:rsidR="00AD5BB5" w:rsidRDefault="00AD5BB5">
      <w:pPr>
        <w:rPr>
          <w:rFonts w:ascii="Times New Roman" w:hAnsi="Times New Roman"/>
          <w:color w:val="000000" w:themeColor="text1"/>
          <w:kern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766"/>
        <w:gridCol w:w="1266"/>
        <w:gridCol w:w="4056"/>
      </w:tblGrid>
      <w:tr w:rsidR="00AD5BB5">
        <w:trPr>
          <w:trHeight w:val="285"/>
        </w:trPr>
        <w:tc>
          <w:tcPr>
            <w:tcW w:w="5000" w:type="pct"/>
            <w:gridSpan w:val="4"/>
            <w:tcBorders>
              <w:top w:val="single" w:sz="4" w:space="0" w:color="auto"/>
              <w:left w:val="single" w:sz="4" w:space="0" w:color="auto"/>
              <w:bottom w:val="single" w:sz="4" w:space="0" w:color="auto"/>
              <w:right w:val="single" w:sz="4" w:space="0" w:color="auto"/>
              <w:tl2br w:val="nil"/>
              <w:tr2bl w:val="nil"/>
            </w:tcBorders>
            <w:noWrap/>
          </w:tcPr>
          <w:p w:rsidR="00AD5BB5" w:rsidRDefault="00F87FF6">
            <w:pPr>
              <w:jc w:val="left"/>
              <w:rPr>
                <w:rFonts w:ascii="Times New Roman" w:hAnsi="Times New Roman"/>
                <w:color w:val="000000" w:themeColor="text1"/>
                <w:kern w:val="0"/>
              </w:rPr>
            </w:pPr>
            <w:r>
              <w:rPr>
                <w:rFonts w:ascii="Times New Roman" w:hAnsi="Times New Roman" w:hint="eastAsia"/>
                <w:color w:val="000000" w:themeColor="text1"/>
                <w:kern w:val="0"/>
              </w:rPr>
              <w:t>6</w:t>
            </w:r>
            <w:r>
              <w:rPr>
                <w:rFonts w:ascii="Times New Roman" w:hAnsi="Times New Roman"/>
                <w:color w:val="000000" w:themeColor="text1"/>
                <w:kern w:val="0"/>
              </w:rPr>
              <w:t>.</w:t>
            </w:r>
            <w:proofErr w:type="gramStart"/>
            <w:r>
              <w:rPr>
                <w:rFonts w:ascii="Times New Roman" w:hAnsi="Times New Roman" w:hint="eastAsia"/>
                <w:color w:val="000000" w:themeColor="text1"/>
                <w:kern w:val="0"/>
              </w:rPr>
              <w:t>泉舜集团</w:t>
            </w:r>
            <w:proofErr w:type="gramEnd"/>
            <w:r>
              <w:rPr>
                <w:rFonts w:ascii="Times New Roman" w:hAnsi="Times New Roman" w:hint="eastAsia"/>
                <w:color w:val="000000" w:themeColor="text1"/>
                <w:kern w:val="0"/>
              </w:rPr>
              <w:t>（厦门）房地产股份有限公司</w:t>
            </w:r>
          </w:p>
        </w:tc>
      </w:tr>
      <w:tr w:rsidR="00AD5BB5">
        <w:trPr>
          <w:trHeight w:val="570"/>
        </w:trPr>
        <w:tc>
          <w:tcPr>
            <w:tcW w:w="756" w:type="pct"/>
            <w:tcBorders>
              <w:top w:val="single" w:sz="4" w:space="0" w:color="auto"/>
              <w:left w:val="single" w:sz="4" w:space="0" w:color="auto"/>
              <w:bottom w:val="single" w:sz="4" w:space="0" w:color="auto"/>
              <w:right w:val="single" w:sz="4" w:space="0" w:color="auto"/>
              <w:tl2br w:val="nil"/>
              <w:tr2bl w:val="nil"/>
            </w:tcBorders>
            <w:noWrap/>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公司类型</w:t>
            </w:r>
          </w:p>
        </w:tc>
        <w:tc>
          <w:tcPr>
            <w:tcW w:w="108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股份有限公司</w:t>
            </w:r>
            <w:r>
              <w:rPr>
                <w:rFonts w:ascii="Times New Roman" w:hAnsi="Times New Roman" w:hint="eastAsia"/>
                <w:color w:val="000000" w:themeColor="text1"/>
                <w:kern w:val="0"/>
              </w:rPr>
              <w:t>(</w:t>
            </w:r>
            <w:r>
              <w:rPr>
                <w:rFonts w:ascii="Times New Roman" w:hAnsi="Times New Roman" w:hint="eastAsia"/>
                <w:color w:val="000000" w:themeColor="text1"/>
                <w:kern w:val="0"/>
              </w:rPr>
              <w:t>非上市、外商投资企业投资</w:t>
            </w:r>
            <w:r>
              <w:rPr>
                <w:rFonts w:ascii="Times New Roman" w:hAnsi="Times New Roman" w:hint="eastAsia"/>
                <w:color w:val="000000" w:themeColor="text1"/>
                <w:kern w:val="0"/>
              </w:rPr>
              <w:t>)</w:t>
            </w:r>
          </w:p>
        </w:tc>
        <w:tc>
          <w:tcPr>
            <w:tcW w:w="69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注册地址</w:t>
            </w:r>
          </w:p>
        </w:tc>
        <w:tc>
          <w:tcPr>
            <w:tcW w:w="2466"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厦门海沧新阳工业区</w:t>
            </w:r>
            <w:r>
              <w:rPr>
                <w:rFonts w:ascii="Times New Roman" w:hAnsi="Times New Roman" w:hint="eastAsia"/>
                <w:color w:val="000000" w:themeColor="text1"/>
                <w:kern w:val="0"/>
              </w:rPr>
              <w:t>05-</w:t>
            </w:r>
            <w:proofErr w:type="gramStart"/>
            <w:r>
              <w:rPr>
                <w:rFonts w:ascii="Times New Roman" w:hAnsi="Times New Roman" w:hint="eastAsia"/>
                <w:color w:val="000000" w:themeColor="text1"/>
                <w:kern w:val="0"/>
              </w:rPr>
              <w:t>1</w:t>
            </w:r>
            <w:r>
              <w:rPr>
                <w:rFonts w:ascii="Times New Roman" w:hAnsi="Times New Roman" w:hint="eastAsia"/>
                <w:color w:val="000000" w:themeColor="text1"/>
                <w:kern w:val="0"/>
              </w:rPr>
              <w:t>号海晨公司</w:t>
            </w:r>
            <w:proofErr w:type="gramEnd"/>
            <w:r>
              <w:rPr>
                <w:rFonts w:ascii="Times New Roman" w:hAnsi="Times New Roman" w:hint="eastAsia"/>
                <w:color w:val="000000" w:themeColor="text1"/>
                <w:kern w:val="0"/>
              </w:rPr>
              <w:t>综合楼</w:t>
            </w:r>
            <w:r>
              <w:rPr>
                <w:rFonts w:ascii="Times New Roman" w:hAnsi="Times New Roman" w:hint="eastAsia"/>
                <w:color w:val="000000" w:themeColor="text1"/>
                <w:kern w:val="0"/>
              </w:rPr>
              <w:t>301</w:t>
            </w:r>
            <w:r>
              <w:rPr>
                <w:rFonts w:ascii="Times New Roman" w:hAnsi="Times New Roman" w:hint="eastAsia"/>
                <w:color w:val="000000" w:themeColor="text1"/>
                <w:kern w:val="0"/>
              </w:rPr>
              <w:t>室</w:t>
            </w:r>
          </w:p>
        </w:tc>
      </w:tr>
      <w:tr w:rsidR="00AD5BB5">
        <w:trPr>
          <w:trHeight w:val="295"/>
        </w:trPr>
        <w:tc>
          <w:tcPr>
            <w:tcW w:w="756"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法定代表人</w:t>
            </w:r>
          </w:p>
        </w:tc>
        <w:tc>
          <w:tcPr>
            <w:tcW w:w="108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吴泉水</w:t>
            </w:r>
          </w:p>
        </w:tc>
        <w:tc>
          <w:tcPr>
            <w:tcW w:w="691" w:type="pct"/>
            <w:tcBorders>
              <w:top w:val="single" w:sz="4" w:space="0" w:color="auto"/>
              <w:left w:val="single" w:sz="4" w:space="0" w:color="auto"/>
              <w:bottom w:val="single" w:sz="4" w:space="0" w:color="auto"/>
              <w:right w:val="single" w:sz="4" w:space="0" w:color="auto"/>
              <w:tl2br w:val="nil"/>
              <w:tr2bl w:val="nil"/>
            </w:tcBorders>
            <w:noWrap/>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注册资本</w:t>
            </w:r>
          </w:p>
        </w:tc>
        <w:tc>
          <w:tcPr>
            <w:tcW w:w="2466"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color w:val="000000" w:themeColor="text1"/>
                <w:kern w:val="0"/>
              </w:rPr>
              <w:t>100000</w:t>
            </w:r>
            <w:r>
              <w:rPr>
                <w:rFonts w:ascii="Times New Roman" w:hAnsi="Times New Roman" w:hint="eastAsia"/>
                <w:color w:val="000000" w:themeColor="text1"/>
                <w:kern w:val="0"/>
              </w:rPr>
              <w:t>万元人民币</w:t>
            </w:r>
          </w:p>
        </w:tc>
      </w:tr>
      <w:tr w:rsidR="00AD5BB5">
        <w:trPr>
          <w:trHeight w:val="570"/>
        </w:trPr>
        <w:tc>
          <w:tcPr>
            <w:tcW w:w="756"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成立时间</w:t>
            </w:r>
          </w:p>
        </w:tc>
        <w:tc>
          <w:tcPr>
            <w:tcW w:w="108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color w:val="000000" w:themeColor="text1"/>
                <w:kern w:val="0"/>
              </w:rPr>
              <w:t>1996</w:t>
            </w:r>
            <w:r>
              <w:rPr>
                <w:rFonts w:ascii="Times New Roman" w:hAnsi="Times New Roman" w:hint="eastAsia"/>
                <w:color w:val="000000" w:themeColor="text1"/>
                <w:kern w:val="0"/>
              </w:rPr>
              <w:t>年</w:t>
            </w:r>
            <w:r>
              <w:rPr>
                <w:rFonts w:ascii="Times New Roman" w:hAnsi="Times New Roman" w:hint="eastAsia"/>
                <w:color w:val="000000" w:themeColor="text1"/>
                <w:kern w:val="0"/>
              </w:rPr>
              <w:t>3</w:t>
            </w:r>
            <w:r>
              <w:rPr>
                <w:rFonts w:ascii="Times New Roman" w:hAnsi="Times New Roman" w:hint="eastAsia"/>
                <w:color w:val="000000" w:themeColor="text1"/>
                <w:kern w:val="0"/>
              </w:rPr>
              <w:t>月</w:t>
            </w:r>
            <w:r>
              <w:rPr>
                <w:rFonts w:ascii="Times New Roman" w:hAnsi="Times New Roman" w:hint="eastAsia"/>
                <w:color w:val="000000" w:themeColor="text1"/>
                <w:kern w:val="0"/>
              </w:rPr>
              <w:t>25</w:t>
            </w:r>
            <w:r>
              <w:rPr>
                <w:rFonts w:ascii="Times New Roman" w:hAnsi="Times New Roman" w:hint="eastAsia"/>
                <w:color w:val="000000" w:themeColor="text1"/>
                <w:kern w:val="0"/>
              </w:rPr>
              <w:t>日</w:t>
            </w:r>
          </w:p>
        </w:tc>
        <w:tc>
          <w:tcPr>
            <w:tcW w:w="691" w:type="pct"/>
            <w:tcBorders>
              <w:top w:val="single" w:sz="4" w:space="0" w:color="auto"/>
              <w:left w:val="single" w:sz="4" w:space="0" w:color="auto"/>
              <w:bottom w:val="single" w:sz="4" w:space="0" w:color="auto"/>
              <w:right w:val="single" w:sz="4" w:space="0" w:color="auto"/>
              <w:tl2br w:val="nil"/>
              <w:tr2bl w:val="nil"/>
            </w:tcBorders>
            <w:noWrap/>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rPr>
              <w:t>统一社会</w:t>
            </w:r>
          </w:p>
          <w:p w:rsidR="00AD5BB5" w:rsidRDefault="00F87FF6">
            <w:pPr>
              <w:jc w:val="center"/>
              <w:rPr>
                <w:rFonts w:ascii="Times New Roman" w:hAnsi="Times New Roman"/>
                <w:color w:val="000000" w:themeColor="text1"/>
              </w:rPr>
            </w:pPr>
            <w:r>
              <w:rPr>
                <w:rFonts w:ascii="Times New Roman" w:hAnsi="Times New Roman" w:hint="eastAsia"/>
                <w:color w:val="000000" w:themeColor="text1"/>
                <w:kern w:val="0"/>
              </w:rPr>
              <w:t>信用代码</w:t>
            </w:r>
          </w:p>
        </w:tc>
        <w:tc>
          <w:tcPr>
            <w:tcW w:w="2466"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color w:val="000000" w:themeColor="text1"/>
                <w:kern w:val="0"/>
              </w:rPr>
              <w:t>913502001550565437</w:t>
            </w:r>
          </w:p>
        </w:tc>
      </w:tr>
      <w:tr w:rsidR="00AD5BB5">
        <w:trPr>
          <w:trHeight w:val="324"/>
        </w:trPr>
        <w:tc>
          <w:tcPr>
            <w:tcW w:w="756"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经营范围</w:t>
            </w:r>
          </w:p>
        </w:tc>
        <w:tc>
          <w:tcPr>
            <w:tcW w:w="4244" w:type="pct"/>
            <w:gridSpan w:val="3"/>
            <w:tcBorders>
              <w:top w:val="single" w:sz="4" w:space="0" w:color="auto"/>
              <w:left w:val="single" w:sz="4" w:space="0" w:color="auto"/>
              <w:bottom w:val="single" w:sz="4" w:space="0" w:color="auto"/>
              <w:right w:val="single" w:sz="4" w:space="0" w:color="auto"/>
              <w:tl2br w:val="nil"/>
              <w:tr2bl w:val="nil"/>
            </w:tcBorders>
          </w:tcPr>
          <w:p w:rsidR="00AD5BB5" w:rsidRDefault="00F87FF6">
            <w:pPr>
              <w:jc w:val="left"/>
              <w:rPr>
                <w:rFonts w:ascii="Times New Roman" w:hAnsi="Times New Roman"/>
                <w:color w:val="000000" w:themeColor="text1"/>
                <w:kern w:val="0"/>
              </w:rPr>
            </w:pPr>
            <w:r>
              <w:rPr>
                <w:rFonts w:ascii="Times New Roman" w:hAnsi="Times New Roman"/>
                <w:color w:val="000000" w:themeColor="text1"/>
                <w:kern w:val="0"/>
              </w:rPr>
              <w:t>1</w:t>
            </w:r>
            <w:r>
              <w:rPr>
                <w:rFonts w:ascii="Times New Roman" w:hAnsi="Times New Roman" w:hint="eastAsia"/>
                <w:color w:val="000000" w:themeColor="text1"/>
                <w:kern w:val="0"/>
              </w:rPr>
              <w:t>、房地产开发、经营；</w:t>
            </w:r>
            <w:r>
              <w:rPr>
                <w:rFonts w:ascii="Times New Roman" w:hAnsi="Times New Roman" w:hint="eastAsia"/>
                <w:color w:val="000000" w:themeColor="text1"/>
                <w:kern w:val="0"/>
              </w:rPr>
              <w:t>2</w:t>
            </w:r>
            <w:r>
              <w:rPr>
                <w:rFonts w:ascii="Times New Roman" w:hAnsi="Times New Roman" w:hint="eastAsia"/>
                <w:color w:val="000000" w:themeColor="text1"/>
                <w:kern w:val="0"/>
              </w:rPr>
              <w:t>、物业管理。</w:t>
            </w:r>
            <w:r>
              <w:rPr>
                <w:rFonts w:ascii="Times New Roman" w:hAnsi="Times New Roman" w:hint="eastAsia"/>
                <w:color w:val="000000" w:themeColor="text1"/>
                <w:kern w:val="0"/>
              </w:rPr>
              <w:t xml:space="preserve"> </w:t>
            </w:r>
          </w:p>
        </w:tc>
      </w:tr>
      <w:tr w:rsidR="00AD5BB5">
        <w:trPr>
          <w:trHeight w:val="285"/>
        </w:trPr>
        <w:tc>
          <w:tcPr>
            <w:tcW w:w="756"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控股股东</w:t>
            </w:r>
          </w:p>
        </w:tc>
        <w:tc>
          <w:tcPr>
            <w:tcW w:w="108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proofErr w:type="gramStart"/>
            <w:r>
              <w:rPr>
                <w:rFonts w:ascii="Times New Roman" w:hAnsi="Times New Roman" w:hint="eastAsia"/>
                <w:color w:val="000000" w:themeColor="text1"/>
                <w:kern w:val="0"/>
              </w:rPr>
              <w:t>泉舜集团</w:t>
            </w:r>
            <w:proofErr w:type="gramEnd"/>
            <w:r>
              <w:rPr>
                <w:rFonts w:ascii="Times New Roman" w:hAnsi="Times New Roman" w:hint="eastAsia"/>
                <w:color w:val="000000" w:themeColor="text1"/>
                <w:kern w:val="0"/>
              </w:rPr>
              <w:t>有限公司</w:t>
            </w:r>
          </w:p>
        </w:tc>
        <w:tc>
          <w:tcPr>
            <w:tcW w:w="691" w:type="pct"/>
            <w:tcBorders>
              <w:top w:val="single" w:sz="4" w:space="0" w:color="auto"/>
              <w:left w:val="single" w:sz="4" w:space="0" w:color="auto"/>
              <w:bottom w:val="single" w:sz="4" w:space="0" w:color="auto"/>
              <w:right w:val="single" w:sz="4" w:space="0" w:color="auto"/>
              <w:tl2br w:val="nil"/>
              <w:tr2bl w:val="nil"/>
            </w:tcBorders>
            <w:noWrap/>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实际控制人</w:t>
            </w:r>
          </w:p>
        </w:tc>
        <w:tc>
          <w:tcPr>
            <w:tcW w:w="2466"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吴泉水</w:t>
            </w:r>
          </w:p>
        </w:tc>
      </w:tr>
      <w:tr w:rsidR="00AD5BB5">
        <w:trPr>
          <w:trHeight w:val="1408"/>
        </w:trPr>
        <w:tc>
          <w:tcPr>
            <w:tcW w:w="756"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主要关联方</w:t>
            </w:r>
          </w:p>
        </w:tc>
        <w:tc>
          <w:tcPr>
            <w:tcW w:w="4244" w:type="pct"/>
            <w:gridSpan w:val="3"/>
            <w:tcBorders>
              <w:top w:val="single" w:sz="4" w:space="0" w:color="auto"/>
              <w:left w:val="single" w:sz="4" w:space="0" w:color="auto"/>
              <w:bottom w:val="single" w:sz="4" w:space="0" w:color="auto"/>
              <w:right w:val="single" w:sz="4" w:space="0" w:color="auto"/>
              <w:tl2br w:val="nil"/>
              <w:tr2bl w:val="nil"/>
            </w:tcBorders>
          </w:tcPr>
          <w:p w:rsidR="00AD5BB5" w:rsidRDefault="00F87FF6">
            <w:pPr>
              <w:jc w:val="left"/>
              <w:rPr>
                <w:rFonts w:ascii="Times New Roman" w:hAnsi="Times New Roman"/>
                <w:color w:val="000000" w:themeColor="text1"/>
                <w:kern w:val="0"/>
              </w:rPr>
            </w:pPr>
            <w:r>
              <w:rPr>
                <w:rFonts w:ascii="宋体" w:hAnsi="宋体" w:hint="eastAsia"/>
                <w:color w:val="000000" w:themeColor="text1"/>
                <w:kern w:val="0"/>
              </w:rPr>
              <w:t>吴泉水、林海洋、林金龙、徐涵、王炳煊、</w:t>
            </w:r>
            <w:proofErr w:type="gramStart"/>
            <w:r>
              <w:rPr>
                <w:rFonts w:ascii="宋体" w:hAnsi="宋体" w:hint="eastAsia"/>
                <w:color w:val="000000" w:themeColor="text1"/>
                <w:kern w:val="0"/>
              </w:rPr>
              <w:t>泉舜集团</w:t>
            </w:r>
            <w:proofErr w:type="gramEnd"/>
            <w:r>
              <w:rPr>
                <w:rFonts w:ascii="宋体" w:hAnsi="宋体" w:hint="eastAsia"/>
                <w:color w:val="000000" w:themeColor="text1"/>
                <w:kern w:val="0"/>
              </w:rPr>
              <w:t>有限公司、</w:t>
            </w:r>
            <w:proofErr w:type="gramStart"/>
            <w:r>
              <w:rPr>
                <w:rFonts w:ascii="宋体" w:hAnsi="宋体" w:hint="eastAsia"/>
                <w:color w:val="000000" w:themeColor="text1"/>
                <w:kern w:val="0"/>
              </w:rPr>
              <w:t>泉舜集团</w:t>
            </w:r>
            <w:proofErr w:type="gramEnd"/>
            <w:r>
              <w:rPr>
                <w:rFonts w:ascii="宋体" w:hAnsi="宋体" w:hint="eastAsia"/>
                <w:color w:val="000000" w:themeColor="text1"/>
                <w:kern w:val="0"/>
              </w:rPr>
              <w:t>(香港)控股有限公司、厦门大智贸易有限公司、洛阳</w:t>
            </w:r>
            <w:proofErr w:type="gramStart"/>
            <w:r>
              <w:rPr>
                <w:rFonts w:ascii="宋体" w:hAnsi="宋体" w:hint="eastAsia"/>
                <w:color w:val="000000" w:themeColor="text1"/>
                <w:kern w:val="0"/>
              </w:rPr>
              <w:t>泉舜商业</w:t>
            </w:r>
            <w:proofErr w:type="gramEnd"/>
            <w:r>
              <w:rPr>
                <w:rFonts w:ascii="宋体" w:hAnsi="宋体" w:hint="eastAsia"/>
                <w:color w:val="000000" w:themeColor="text1"/>
                <w:kern w:val="0"/>
              </w:rPr>
              <w:t>有限公司、厦门泉舜文化艺术有限公司、</w:t>
            </w:r>
            <w:proofErr w:type="gramStart"/>
            <w:r>
              <w:rPr>
                <w:rFonts w:ascii="宋体" w:hAnsi="宋体" w:hint="eastAsia"/>
                <w:color w:val="000000" w:themeColor="text1"/>
                <w:kern w:val="0"/>
              </w:rPr>
              <w:t>漳浦泉舜房地产</w:t>
            </w:r>
            <w:proofErr w:type="gramEnd"/>
            <w:r>
              <w:rPr>
                <w:rFonts w:ascii="宋体" w:hAnsi="宋体" w:hint="eastAsia"/>
                <w:color w:val="000000" w:themeColor="text1"/>
                <w:kern w:val="0"/>
              </w:rPr>
              <w:t>开发有限公司、厦门泉舜集团洛阳置业有限公司等50名关联方。</w:t>
            </w:r>
          </w:p>
        </w:tc>
      </w:tr>
    </w:tbl>
    <w:p w:rsidR="00AD5BB5" w:rsidRDefault="00AD5BB5">
      <w:pPr>
        <w:widowControl/>
        <w:jc w:val="left"/>
        <w:rPr>
          <w:rFonts w:ascii="宋体" w:hAnsi="宋体" w:cs="宋体"/>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1776"/>
        <w:gridCol w:w="1266"/>
        <w:gridCol w:w="4077"/>
      </w:tblGrid>
      <w:tr w:rsidR="00AD5BB5">
        <w:trPr>
          <w:trHeight w:val="285"/>
        </w:trPr>
        <w:tc>
          <w:tcPr>
            <w:tcW w:w="5000" w:type="pct"/>
            <w:gridSpan w:val="4"/>
            <w:tcBorders>
              <w:top w:val="single" w:sz="4" w:space="0" w:color="auto"/>
              <w:left w:val="single" w:sz="4" w:space="0" w:color="auto"/>
              <w:bottom w:val="single" w:sz="4" w:space="0" w:color="auto"/>
              <w:right w:val="single" w:sz="4" w:space="0" w:color="auto"/>
              <w:tl2br w:val="nil"/>
              <w:tr2bl w:val="nil"/>
            </w:tcBorders>
            <w:noWrap/>
          </w:tcPr>
          <w:p w:rsidR="00AD5BB5" w:rsidRDefault="00F87FF6">
            <w:pPr>
              <w:jc w:val="left"/>
              <w:rPr>
                <w:rFonts w:ascii="Times New Roman" w:hAnsi="Times New Roman"/>
                <w:color w:val="000000" w:themeColor="text1"/>
                <w:kern w:val="0"/>
              </w:rPr>
            </w:pPr>
            <w:r>
              <w:rPr>
                <w:rFonts w:ascii="Times New Roman" w:hAnsi="Times New Roman" w:hint="eastAsia"/>
                <w:color w:val="000000" w:themeColor="text1"/>
                <w:kern w:val="0"/>
              </w:rPr>
              <w:t>7</w:t>
            </w:r>
            <w:r>
              <w:rPr>
                <w:rFonts w:ascii="Times New Roman" w:hAnsi="Times New Roman"/>
                <w:color w:val="000000" w:themeColor="text1"/>
                <w:kern w:val="0"/>
              </w:rPr>
              <w:t xml:space="preserve">. </w:t>
            </w:r>
            <w:r>
              <w:rPr>
                <w:rFonts w:ascii="Times New Roman" w:hAnsi="Times New Roman" w:hint="eastAsia"/>
                <w:color w:val="000000" w:themeColor="text1"/>
                <w:kern w:val="0"/>
              </w:rPr>
              <w:t>佛山电器照明股份有限公司</w:t>
            </w:r>
          </w:p>
        </w:tc>
      </w:tr>
      <w:tr w:rsidR="00AD5BB5">
        <w:trPr>
          <w:trHeight w:val="570"/>
        </w:trPr>
        <w:tc>
          <w:tcPr>
            <w:tcW w:w="729" w:type="pct"/>
            <w:tcBorders>
              <w:top w:val="single" w:sz="4" w:space="0" w:color="auto"/>
              <w:left w:val="single" w:sz="4" w:space="0" w:color="auto"/>
              <w:bottom w:val="single" w:sz="4" w:space="0" w:color="auto"/>
              <w:right w:val="single" w:sz="4" w:space="0" w:color="auto"/>
              <w:tl2br w:val="nil"/>
              <w:tr2bl w:val="nil"/>
            </w:tcBorders>
            <w:noWrap/>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公司类型</w:t>
            </w:r>
          </w:p>
        </w:tc>
        <w:tc>
          <w:tcPr>
            <w:tcW w:w="1086"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股份有限公司</w:t>
            </w:r>
            <w:r>
              <w:rPr>
                <w:rFonts w:ascii="Times New Roman" w:hAnsi="Times New Roman" w:hint="eastAsia"/>
                <w:color w:val="000000" w:themeColor="text1"/>
                <w:kern w:val="0"/>
              </w:rPr>
              <w:t>(</w:t>
            </w:r>
            <w:r>
              <w:rPr>
                <w:rFonts w:ascii="Times New Roman" w:hAnsi="Times New Roman" w:hint="eastAsia"/>
                <w:color w:val="000000" w:themeColor="text1"/>
                <w:kern w:val="0"/>
              </w:rPr>
              <w:t>中外合资、上市</w:t>
            </w:r>
            <w:r>
              <w:rPr>
                <w:rFonts w:ascii="Times New Roman" w:hAnsi="Times New Roman" w:hint="eastAsia"/>
                <w:color w:val="000000" w:themeColor="text1"/>
                <w:kern w:val="0"/>
              </w:rPr>
              <w:t>)</w:t>
            </w:r>
          </w:p>
        </w:tc>
        <w:tc>
          <w:tcPr>
            <w:tcW w:w="714"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注册地址</w:t>
            </w:r>
          </w:p>
        </w:tc>
        <w:tc>
          <w:tcPr>
            <w:tcW w:w="247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佛山</w:t>
            </w:r>
            <w:proofErr w:type="gramStart"/>
            <w:r>
              <w:rPr>
                <w:rFonts w:ascii="Times New Roman" w:hAnsi="Times New Roman" w:hint="eastAsia"/>
                <w:color w:val="000000" w:themeColor="text1"/>
                <w:kern w:val="0"/>
              </w:rPr>
              <w:t>市禅城区汾</w:t>
            </w:r>
            <w:proofErr w:type="gramEnd"/>
            <w:r>
              <w:rPr>
                <w:rFonts w:ascii="Times New Roman" w:hAnsi="Times New Roman" w:hint="eastAsia"/>
                <w:color w:val="000000" w:themeColor="text1"/>
                <w:kern w:val="0"/>
              </w:rPr>
              <w:t>江北路</w:t>
            </w:r>
            <w:r>
              <w:rPr>
                <w:rFonts w:ascii="Times New Roman" w:hAnsi="Times New Roman" w:hint="eastAsia"/>
                <w:color w:val="000000" w:themeColor="text1"/>
                <w:kern w:val="0"/>
              </w:rPr>
              <w:t>64</w:t>
            </w:r>
            <w:r>
              <w:rPr>
                <w:rFonts w:ascii="Times New Roman" w:hAnsi="Times New Roman" w:hint="eastAsia"/>
                <w:color w:val="000000" w:themeColor="text1"/>
                <w:kern w:val="0"/>
              </w:rPr>
              <w:t>号</w:t>
            </w:r>
          </w:p>
        </w:tc>
      </w:tr>
      <w:tr w:rsidR="00AD5BB5">
        <w:trPr>
          <w:trHeight w:val="570"/>
        </w:trPr>
        <w:tc>
          <w:tcPr>
            <w:tcW w:w="72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法定代表人</w:t>
            </w:r>
          </w:p>
        </w:tc>
        <w:tc>
          <w:tcPr>
            <w:tcW w:w="1086"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proofErr w:type="gramStart"/>
            <w:r>
              <w:rPr>
                <w:rFonts w:ascii="Times New Roman" w:hAnsi="Times New Roman" w:hint="eastAsia"/>
                <w:color w:val="000000" w:themeColor="text1"/>
                <w:kern w:val="0"/>
              </w:rPr>
              <w:t>吴圣辉</w:t>
            </w:r>
            <w:proofErr w:type="gramEnd"/>
          </w:p>
        </w:tc>
        <w:tc>
          <w:tcPr>
            <w:tcW w:w="714" w:type="pct"/>
            <w:tcBorders>
              <w:top w:val="single" w:sz="4" w:space="0" w:color="auto"/>
              <w:left w:val="single" w:sz="4" w:space="0" w:color="auto"/>
              <w:bottom w:val="single" w:sz="4" w:space="0" w:color="auto"/>
              <w:right w:val="single" w:sz="4" w:space="0" w:color="auto"/>
              <w:tl2br w:val="nil"/>
              <w:tr2bl w:val="nil"/>
            </w:tcBorders>
            <w:noWrap/>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注册资本</w:t>
            </w:r>
          </w:p>
        </w:tc>
        <w:tc>
          <w:tcPr>
            <w:tcW w:w="247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 xml:space="preserve">136199.4647 </w:t>
            </w:r>
            <w:r>
              <w:rPr>
                <w:rFonts w:ascii="Times New Roman" w:hAnsi="Times New Roman" w:hint="eastAsia"/>
                <w:color w:val="000000" w:themeColor="text1"/>
                <w:kern w:val="0"/>
              </w:rPr>
              <w:t>万元</w:t>
            </w:r>
          </w:p>
        </w:tc>
      </w:tr>
      <w:tr w:rsidR="00AD5BB5">
        <w:trPr>
          <w:trHeight w:val="570"/>
        </w:trPr>
        <w:tc>
          <w:tcPr>
            <w:tcW w:w="72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成立时间</w:t>
            </w:r>
          </w:p>
        </w:tc>
        <w:tc>
          <w:tcPr>
            <w:tcW w:w="1086"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color w:val="000000" w:themeColor="text1"/>
                <w:kern w:val="0"/>
              </w:rPr>
              <w:t>1992</w:t>
            </w:r>
            <w:r>
              <w:rPr>
                <w:rFonts w:ascii="Times New Roman" w:hAnsi="Times New Roman" w:hint="eastAsia"/>
                <w:color w:val="000000" w:themeColor="text1"/>
                <w:kern w:val="0"/>
              </w:rPr>
              <w:t>年</w:t>
            </w:r>
            <w:r>
              <w:rPr>
                <w:rFonts w:ascii="Times New Roman" w:hAnsi="Times New Roman" w:hint="eastAsia"/>
                <w:color w:val="000000" w:themeColor="text1"/>
                <w:kern w:val="0"/>
              </w:rPr>
              <w:t>10</w:t>
            </w:r>
            <w:r>
              <w:rPr>
                <w:rFonts w:ascii="Times New Roman" w:hAnsi="Times New Roman" w:hint="eastAsia"/>
                <w:color w:val="000000" w:themeColor="text1"/>
                <w:kern w:val="0"/>
              </w:rPr>
              <w:t>月</w:t>
            </w:r>
            <w:r>
              <w:rPr>
                <w:rFonts w:ascii="Times New Roman" w:hAnsi="Times New Roman" w:hint="eastAsia"/>
                <w:color w:val="000000" w:themeColor="text1"/>
                <w:kern w:val="0"/>
              </w:rPr>
              <w:t>20</w:t>
            </w:r>
            <w:r>
              <w:rPr>
                <w:rFonts w:ascii="Times New Roman" w:hAnsi="Times New Roman" w:hint="eastAsia"/>
                <w:color w:val="000000" w:themeColor="text1"/>
                <w:kern w:val="0"/>
              </w:rPr>
              <w:t>日</w:t>
            </w:r>
          </w:p>
        </w:tc>
        <w:tc>
          <w:tcPr>
            <w:tcW w:w="714" w:type="pct"/>
            <w:tcBorders>
              <w:top w:val="single" w:sz="4" w:space="0" w:color="auto"/>
              <w:left w:val="single" w:sz="4" w:space="0" w:color="auto"/>
              <w:bottom w:val="single" w:sz="4" w:space="0" w:color="auto"/>
              <w:right w:val="single" w:sz="4" w:space="0" w:color="auto"/>
              <w:tl2br w:val="nil"/>
              <w:tr2bl w:val="nil"/>
            </w:tcBorders>
            <w:noWrap/>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rPr>
              <w:t>统一社会</w:t>
            </w:r>
          </w:p>
          <w:p w:rsidR="00AD5BB5" w:rsidRDefault="00F87FF6">
            <w:pPr>
              <w:jc w:val="center"/>
              <w:rPr>
                <w:rFonts w:ascii="Times New Roman" w:hAnsi="Times New Roman"/>
                <w:color w:val="000000" w:themeColor="text1"/>
              </w:rPr>
            </w:pPr>
            <w:r>
              <w:rPr>
                <w:rFonts w:ascii="Times New Roman" w:hAnsi="Times New Roman" w:hint="eastAsia"/>
                <w:color w:val="000000" w:themeColor="text1"/>
                <w:kern w:val="0"/>
              </w:rPr>
              <w:t>信用代码</w:t>
            </w:r>
          </w:p>
        </w:tc>
        <w:tc>
          <w:tcPr>
            <w:tcW w:w="247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color w:val="000000" w:themeColor="text1"/>
                <w:kern w:val="0"/>
              </w:rPr>
              <w:t>91440000190352575W</w:t>
            </w:r>
          </w:p>
        </w:tc>
      </w:tr>
      <w:tr w:rsidR="00AD5BB5">
        <w:trPr>
          <w:trHeight w:val="2490"/>
        </w:trPr>
        <w:tc>
          <w:tcPr>
            <w:tcW w:w="72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lastRenderedPageBreak/>
              <w:t>经营范围</w:t>
            </w:r>
          </w:p>
        </w:tc>
        <w:tc>
          <w:tcPr>
            <w:tcW w:w="4271" w:type="pct"/>
            <w:gridSpan w:val="3"/>
            <w:tcBorders>
              <w:top w:val="single" w:sz="4" w:space="0" w:color="auto"/>
              <w:left w:val="single" w:sz="4" w:space="0" w:color="auto"/>
              <w:bottom w:val="single" w:sz="4" w:space="0" w:color="auto"/>
              <w:right w:val="single" w:sz="4" w:space="0" w:color="auto"/>
              <w:tl2br w:val="nil"/>
              <w:tr2bl w:val="nil"/>
            </w:tcBorders>
          </w:tcPr>
          <w:p w:rsidR="00AD5BB5" w:rsidRDefault="00F87FF6">
            <w:pPr>
              <w:rPr>
                <w:rFonts w:ascii="Times New Roman" w:hAnsi="Times New Roman"/>
                <w:color w:val="000000" w:themeColor="text1"/>
                <w:kern w:val="0"/>
              </w:rPr>
            </w:pPr>
            <w:r>
              <w:rPr>
                <w:rFonts w:ascii="Times New Roman" w:hAnsi="Times New Roman" w:hint="eastAsia"/>
                <w:color w:val="000000" w:themeColor="text1"/>
                <w:kern w:val="0"/>
              </w:rPr>
              <w:t>研究、开发、生产电光源产品、电光源设备、电光源配套器件、电光源原材料、灯具及配件、电工材料、机动车配件、通讯器材、家用电器、智能家居产品、电器开关、插座、电线、电缆、弱电材料、线槽、线管、</w:t>
            </w:r>
            <w:r>
              <w:rPr>
                <w:rFonts w:ascii="Times New Roman" w:hAnsi="Times New Roman" w:hint="eastAsia"/>
                <w:color w:val="000000" w:themeColor="text1"/>
                <w:kern w:val="0"/>
              </w:rPr>
              <w:t>LED</w:t>
            </w:r>
            <w:r>
              <w:rPr>
                <w:rFonts w:ascii="Times New Roman" w:hAnsi="Times New Roman" w:hint="eastAsia"/>
                <w:color w:val="000000" w:themeColor="text1"/>
                <w:kern w:val="0"/>
              </w:rPr>
              <w:t>产品、锂离子电池及其材料、消防产品、通风及换气设备、给水及排水建筑装饰材料、水暖管道零件、卫浴洁具及配件、家用厨房电器具、家具、五金工具、五金器材、饮用水过滤器、空气净化器、装饰品、工艺礼品、日用百货</w:t>
            </w:r>
            <w:r>
              <w:rPr>
                <w:rFonts w:ascii="Times New Roman" w:hAnsi="Times New Roman" w:hint="eastAsia"/>
                <w:color w:val="000000" w:themeColor="text1"/>
                <w:kern w:val="0"/>
              </w:rPr>
              <w:t>,</w:t>
            </w:r>
            <w:r>
              <w:rPr>
                <w:rFonts w:ascii="Times New Roman" w:hAnsi="Times New Roman" w:hint="eastAsia"/>
                <w:color w:val="000000" w:themeColor="text1"/>
                <w:kern w:val="0"/>
              </w:rPr>
              <w:t>在国内外市场上销售上述产品</w:t>
            </w:r>
            <w:r>
              <w:rPr>
                <w:rFonts w:ascii="Times New Roman" w:hAnsi="Times New Roman" w:hint="eastAsia"/>
                <w:color w:val="000000" w:themeColor="text1"/>
                <w:kern w:val="0"/>
              </w:rPr>
              <w:t>;</w:t>
            </w:r>
            <w:r>
              <w:rPr>
                <w:rFonts w:ascii="Times New Roman" w:hAnsi="Times New Roman" w:hint="eastAsia"/>
                <w:color w:val="000000" w:themeColor="text1"/>
                <w:kern w:val="0"/>
              </w:rPr>
              <w:t>承接、设计、施工</w:t>
            </w:r>
            <w:r>
              <w:rPr>
                <w:rFonts w:ascii="Times New Roman" w:hAnsi="Times New Roman" w:hint="eastAsia"/>
                <w:color w:val="000000" w:themeColor="text1"/>
                <w:kern w:val="0"/>
              </w:rPr>
              <w:t>:</w:t>
            </w:r>
            <w:r>
              <w:rPr>
                <w:rFonts w:ascii="Times New Roman" w:hAnsi="Times New Roman" w:hint="eastAsia"/>
                <w:color w:val="000000" w:themeColor="text1"/>
                <w:kern w:val="0"/>
              </w:rPr>
              <w:t>城市及道路照明工程、亮化景观照明工程</w:t>
            </w:r>
            <w:r>
              <w:rPr>
                <w:rFonts w:ascii="Times New Roman" w:hAnsi="Times New Roman" w:hint="eastAsia"/>
                <w:color w:val="000000" w:themeColor="text1"/>
                <w:kern w:val="0"/>
              </w:rPr>
              <w:t>;</w:t>
            </w:r>
            <w:r>
              <w:rPr>
                <w:rFonts w:ascii="Times New Roman" w:hAnsi="Times New Roman" w:hint="eastAsia"/>
                <w:color w:val="000000" w:themeColor="text1"/>
                <w:kern w:val="0"/>
              </w:rPr>
              <w:t>照明电器安装服务</w:t>
            </w:r>
            <w:r>
              <w:rPr>
                <w:rFonts w:ascii="Times New Roman" w:hAnsi="Times New Roman" w:hint="eastAsia"/>
                <w:color w:val="000000" w:themeColor="text1"/>
                <w:kern w:val="0"/>
              </w:rPr>
              <w:t>;</w:t>
            </w:r>
            <w:r>
              <w:rPr>
                <w:rFonts w:ascii="Times New Roman" w:hAnsi="Times New Roman" w:hint="eastAsia"/>
                <w:color w:val="000000" w:themeColor="text1"/>
                <w:kern w:val="0"/>
              </w:rPr>
              <w:t>计算机软、硬件的开发、销售及维护</w:t>
            </w:r>
            <w:r>
              <w:rPr>
                <w:rFonts w:ascii="Times New Roman" w:hAnsi="Times New Roman" w:hint="eastAsia"/>
                <w:color w:val="000000" w:themeColor="text1"/>
                <w:kern w:val="0"/>
              </w:rPr>
              <w:t>;</w:t>
            </w:r>
            <w:r>
              <w:rPr>
                <w:rFonts w:ascii="Times New Roman" w:hAnsi="Times New Roman" w:hint="eastAsia"/>
                <w:color w:val="000000" w:themeColor="text1"/>
                <w:kern w:val="0"/>
              </w:rPr>
              <w:t>合同能源管理</w:t>
            </w:r>
            <w:r>
              <w:rPr>
                <w:rFonts w:ascii="Times New Roman" w:hAnsi="Times New Roman" w:hint="eastAsia"/>
                <w:color w:val="000000" w:themeColor="text1"/>
                <w:kern w:val="0"/>
              </w:rPr>
              <w:t>;</w:t>
            </w:r>
            <w:r>
              <w:rPr>
                <w:rFonts w:ascii="Times New Roman" w:hAnsi="Times New Roman" w:hint="eastAsia"/>
                <w:color w:val="000000" w:themeColor="text1"/>
                <w:kern w:val="0"/>
              </w:rPr>
              <w:t>有关的工程咨询服务。</w:t>
            </w:r>
            <w:r>
              <w:rPr>
                <w:rFonts w:ascii="Times New Roman" w:hAnsi="Times New Roman" w:hint="eastAsia"/>
                <w:color w:val="000000" w:themeColor="text1"/>
                <w:kern w:val="0"/>
              </w:rPr>
              <w:t>(</w:t>
            </w:r>
            <w:r>
              <w:rPr>
                <w:rFonts w:ascii="Times New Roman" w:hAnsi="Times New Roman" w:hint="eastAsia"/>
                <w:color w:val="000000" w:themeColor="text1"/>
                <w:kern w:val="0"/>
              </w:rPr>
              <w:t>涉及行业许可管理的按国家有关规定办理</w:t>
            </w:r>
            <w:r>
              <w:rPr>
                <w:rFonts w:ascii="Times New Roman" w:hAnsi="Times New Roman" w:hint="eastAsia"/>
                <w:color w:val="000000" w:themeColor="text1"/>
                <w:kern w:val="0"/>
              </w:rPr>
              <w:t xml:space="preserve">) </w:t>
            </w:r>
          </w:p>
        </w:tc>
      </w:tr>
      <w:tr w:rsidR="00AD5BB5">
        <w:trPr>
          <w:trHeight w:val="570"/>
        </w:trPr>
        <w:tc>
          <w:tcPr>
            <w:tcW w:w="72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控股股东</w:t>
            </w:r>
          </w:p>
        </w:tc>
        <w:tc>
          <w:tcPr>
            <w:tcW w:w="1086"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广东省广</w:t>
            </w:r>
            <w:proofErr w:type="gramStart"/>
            <w:r>
              <w:rPr>
                <w:rFonts w:ascii="Times New Roman" w:hAnsi="Times New Roman" w:hint="eastAsia"/>
                <w:color w:val="000000" w:themeColor="text1"/>
                <w:kern w:val="0"/>
              </w:rPr>
              <w:t>晟</w:t>
            </w:r>
            <w:proofErr w:type="gramEnd"/>
            <w:r>
              <w:rPr>
                <w:rFonts w:ascii="Times New Roman" w:hAnsi="Times New Roman" w:hint="eastAsia"/>
                <w:color w:val="000000" w:themeColor="text1"/>
                <w:kern w:val="0"/>
              </w:rPr>
              <w:t>控股集团有限公司</w:t>
            </w:r>
          </w:p>
        </w:tc>
        <w:tc>
          <w:tcPr>
            <w:tcW w:w="714" w:type="pct"/>
            <w:tcBorders>
              <w:top w:val="single" w:sz="4" w:space="0" w:color="auto"/>
              <w:left w:val="single" w:sz="4" w:space="0" w:color="auto"/>
              <w:bottom w:val="single" w:sz="4" w:space="0" w:color="auto"/>
              <w:right w:val="single" w:sz="4" w:space="0" w:color="auto"/>
              <w:tl2br w:val="nil"/>
              <w:tr2bl w:val="nil"/>
            </w:tcBorders>
            <w:noWrap/>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实际控制人</w:t>
            </w:r>
          </w:p>
        </w:tc>
        <w:tc>
          <w:tcPr>
            <w:tcW w:w="247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广东省广</w:t>
            </w:r>
            <w:proofErr w:type="gramStart"/>
            <w:r>
              <w:rPr>
                <w:rFonts w:ascii="Times New Roman" w:hAnsi="Times New Roman" w:hint="eastAsia"/>
                <w:color w:val="000000" w:themeColor="text1"/>
                <w:kern w:val="0"/>
              </w:rPr>
              <w:t>晟</w:t>
            </w:r>
            <w:proofErr w:type="gramEnd"/>
            <w:r>
              <w:rPr>
                <w:rFonts w:ascii="Times New Roman" w:hAnsi="Times New Roman" w:hint="eastAsia"/>
                <w:color w:val="000000" w:themeColor="text1"/>
                <w:kern w:val="0"/>
              </w:rPr>
              <w:t>控股集团有限公司</w:t>
            </w:r>
          </w:p>
        </w:tc>
      </w:tr>
      <w:tr w:rsidR="00AD5BB5">
        <w:trPr>
          <w:trHeight w:val="1620"/>
        </w:trPr>
        <w:tc>
          <w:tcPr>
            <w:tcW w:w="729"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主要关联方</w:t>
            </w:r>
          </w:p>
        </w:tc>
        <w:tc>
          <w:tcPr>
            <w:tcW w:w="4271" w:type="pct"/>
            <w:gridSpan w:val="3"/>
            <w:tcBorders>
              <w:top w:val="single" w:sz="4" w:space="0" w:color="auto"/>
              <w:left w:val="single" w:sz="4" w:space="0" w:color="auto"/>
              <w:bottom w:val="single" w:sz="4" w:space="0" w:color="auto"/>
              <w:right w:val="single" w:sz="4" w:space="0" w:color="auto"/>
              <w:tl2br w:val="nil"/>
              <w:tr2bl w:val="nil"/>
            </w:tcBorders>
          </w:tcPr>
          <w:p w:rsidR="00AD5BB5" w:rsidRDefault="00F87FF6">
            <w:pPr>
              <w:jc w:val="left"/>
              <w:rPr>
                <w:rFonts w:ascii="Times New Roman" w:hAnsi="Times New Roman"/>
                <w:color w:val="000000" w:themeColor="text1"/>
                <w:kern w:val="0"/>
              </w:rPr>
            </w:pPr>
            <w:r>
              <w:rPr>
                <w:rFonts w:ascii="宋体" w:hAnsi="宋体" w:hint="eastAsia"/>
                <w:color w:val="000000" w:themeColor="text1"/>
                <w:kern w:val="0"/>
              </w:rPr>
              <w:t>汤琼兰、吴圣辉、庄坚毅、张险峰、黄志勇、雷自合、窦林平、</w:t>
            </w:r>
            <w:proofErr w:type="gramStart"/>
            <w:r>
              <w:rPr>
                <w:rFonts w:ascii="宋体" w:hAnsi="宋体" w:hint="eastAsia"/>
                <w:color w:val="000000" w:themeColor="text1"/>
                <w:kern w:val="0"/>
              </w:rPr>
              <w:t>庄竣杰</w:t>
            </w:r>
            <w:proofErr w:type="gramEnd"/>
            <w:r>
              <w:rPr>
                <w:rFonts w:ascii="宋体" w:hAnsi="宋体" w:hint="eastAsia"/>
                <w:color w:val="000000" w:themeColor="text1"/>
                <w:kern w:val="0"/>
              </w:rPr>
              <w:t>、香港华晟控股有限公司、广东省电子信息产业集团有限公司、东江环保股份有限公司、华晟电子有限公司、深圳市中金岭南有色金属股份有限公司、广东省广</w:t>
            </w:r>
            <w:proofErr w:type="gramStart"/>
            <w:r>
              <w:rPr>
                <w:rFonts w:ascii="宋体" w:hAnsi="宋体" w:hint="eastAsia"/>
                <w:color w:val="000000" w:themeColor="text1"/>
                <w:kern w:val="0"/>
              </w:rPr>
              <w:t>晟</w:t>
            </w:r>
            <w:proofErr w:type="gramEnd"/>
            <w:r>
              <w:rPr>
                <w:rFonts w:ascii="宋体" w:hAnsi="宋体" w:hint="eastAsia"/>
                <w:color w:val="000000" w:themeColor="text1"/>
                <w:kern w:val="0"/>
              </w:rPr>
              <w:t>置业集团有限公司、广东省稀土产业集团有限公司、广东省广</w:t>
            </w:r>
            <w:proofErr w:type="gramStart"/>
            <w:r>
              <w:rPr>
                <w:rFonts w:ascii="宋体" w:hAnsi="宋体" w:hint="eastAsia"/>
                <w:color w:val="000000" w:themeColor="text1"/>
                <w:kern w:val="0"/>
              </w:rPr>
              <w:t>晟</w:t>
            </w:r>
            <w:proofErr w:type="gramEnd"/>
            <w:r>
              <w:rPr>
                <w:rFonts w:ascii="宋体" w:hAnsi="宋体" w:hint="eastAsia"/>
                <w:color w:val="000000" w:themeColor="text1"/>
                <w:kern w:val="0"/>
              </w:rPr>
              <w:t>资本投资有限公司、广东广</w:t>
            </w:r>
            <w:proofErr w:type="gramStart"/>
            <w:r>
              <w:rPr>
                <w:rFonts w:ascii="宋体" w:hAnsi="宋体" w:hint="eastAsia"/>
                <w:color w:val="000000" w:themeColor="text1"/>
                <w:kern w:val="0"/>
              </w:rPr>
              <w:t>晟商业保理有限公司</w:t>
            </w:r>
            <w:proofErr w:type="gramEnd"/>
            <w:r>
              <w:rPr>
                <w:rFonts w:ascii="宋体" w:hAnsi="宋体" w:hint="eastAsia"/>
                <w:color w:val="000000" w:themeColor="text1"/>
                <w:kern w:val="0"/>
              </w:rPr>
              <w:t>、广</w:t>
            </w:r>
            <w:proofErr w:type="gramStart"/>
            <w:r>
              <w:rPr>
                <w:rFonts w:ascii="宋体" w:hAnsi="宋体" w:hint="eastAsia"/>
                <w:color w:val="000000" w:themeColor="text1"/>
                <w:kern w:val="0"/>
              </w:rPr>
              <w:t>晟</w:t>
            </w:r>
            <w:proofErr w:type="gramEnd"/>
            <w:r>
              <w:rPr>
                <w:rFonts w:ascii="宋体" w:hAnsi="宋体" w:hint="eastAsia"/>
                <w:color w:val="000000" w:themeColor="text1"/>
                <w:kern w:val="0"/>
              </w:rPr>
              <w:t>投资发展有限公司、广州晟宏商业发展有限公司、广</w:t>
            </w:r>
            <w:proofErr w:type="gramStart"/>
            <w:r>
              <w:rPr>
                <w:rFonts w:ascii="宋体" w:hAnsi="宋体" w:hint="eastAsia"/>
                <w:color w:val="000000" w:themeColor="text1"/>
                <w:kern w:val="0"/>
              </w:rPr>
              <w:t>晟</w:t>
            </w:r>
            <w:proofErr w:type="gramEnd"/>
            <w:r>
              <w:rPr>
                <w:rFonts w:ascii="宋体" w:hAnsi="宋体" w:hint="eastAsia"/>
                <w:color w:val="000000" w:themeColor="text1"/>
                <w:kern w:val="0"/>
              </w:rPr>
              <w:t>有色金属股份有限公司等</w:t>
            </w:r>
            <w:r>
              <w:rPr>
                <w:rFonts w:ascii="宋体" w:hAnsi="宋体"/>
                <w:color w:val="000000" w:themeColor="text1"/>
                <w:kern w:val="0"/>
              </w:rPr>
              <w:t>4</w:t>
            </w:r>
            <w:r>
              <w:rPr>
                <w:rFonts w:ascii="宋体" w:hAnsi="宋体" w:hint="eastAsia"/>
                <w:color w:val="000000" w:themeColor="text1"/>
                <w:kern w:val="0"/>
              </w:rPr>
              <w:t>02</w:t>
            </w:r>
            <w:r>
              <w:rPr>
                <w:rFonts w:ascii="宋体" w:hAnsi="宋体"/>
                <w:color w:val="000000" w:themeColor="text1"/>
                <w:kern w:val="0"/>
              </w:rPr>
              <w:t>名关联方。</w:t>
            </w:r>
          </w:p>
        </w:tc>
      </w:tr>
    </w:tbl>
    <w:p w:rsidR="00AD5BB5" w:rsidRDefault="00AD5BB5">
      <w:pPr>
        <w:spacing w:line="360" w:lineRule="auto"/>
        <w:rPr>
          <w:rFonts w:ascii="宋体" w:hAnsi="宋体"/>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5"/>
        <w:gridCol w:w="1766"/>
        <w:gridCol w:w="1266"/>
        <w:gridCol w:w="4056"/>
      </w:tblGrid>
      <w:tr w:rsidR="00AD5BB5">
        <w:trPr>
          <w:trHeight w:val="285"/>
        </w:trPr>
        <w:tc>
          <w:tcPr>
            <w:tcW w:w="5000" w:type="pct"/>
            <w:gridSpan w:val="4"/>
            <w:tcBorders>
              <w:top w:val="single" w:sz="4" w:space="0" w:color="auto"/>
              <w:left w:val="single" w:sz="4" w:space="0" w:color="auto"/>
              <w:bottom w:val="single" w:sz="4" w:space="0" w:color="auto"/>
              <w:right w:val="single" w:sz="4" w:space="0" w:color="auto"/>
              <w:tl2br w:val="nil"/>
              <w:tr2bl w:val="nil"/>
            </w:tcBorders>
            <w:noWrap/>
          </w:tcPr>
          <w:p w:rsidR="00AD5BB5" w:rsidRDefault="00F87FF6">
            <w:pPr>
              <w:jc w:val="left"/>
              <w:rPr>
                <w:rFonts w:ascii="Times New Roman" w:hAnsi="Times New Roman"/>
                <w:color w:val="000000" w:themeColor="text1"/>
                <w:kern w:val="0"/>
              </w:rPr>
            </w:pPr>
            <w:r>
              <w:rPr>
                <w:rFonts w:ascii="Times New Roman" w:hAnsi="Times New Roman" w:hint="eastAsia"/>
                <w:color w:val="000000" w:themeColor="text1"/>
                <w:kern w:val="0"/>
              </w:rPr>
              <w:t>8</w:t>
            </w:r>
            <w:r>
              <w:rPr>
                <w:rFonts w:ascii="Times New Roman" w:hAnsi="Times New Roman" w:hint="eastAsia"/>
                <w:color w:val="000000" w:themeColor="text1"/>
                <w:kern w:val="0"/>
              </w:rPr>
              <w:t>．大洲控股集团有限公司</w:t>
            </w:r>
          </w:p>
        </w:tc>
      </w:tr>
      <w:tr w:rsidR="00AD5BB5">
        <w:trPr>
          <w:trHeight w:val="570"/>
        </w:trPr>
        <w:tc>
          <w:tcPr>
            <w:tcW w:w="756" w:type="pct"/>
            <w:tcBorders>
              <w:top w:val="single" w:sz="4" w:space="0" w:color="auto"/>
              <w:left w:val="single" w:sz="4" w:space="0" w:color="auto"/>
              <w:bottom w:val="single" w:sz="4" w:space="0" w:color="auto"/>
              <w:right w:val="single" w:sz="4" w:space="0" w:color="auto"/>
              <w:tl2br w:val="nil"/>
              <w:tr2bl w:val="nil"/>
            </w:tcBorders>
            <w:noWrap/>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公司类型</w:t>
            </w:r>
          </w:p>
        </w:tc>
        <w:tc>
          <w:tcPr>
            <w:tcW w:w="108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有限责任公司</w:t>
            </w:r>
            <w:r>
              <w:rPr>
                <w:rFonts w:ascii="Times New Roman" w:hAnsi="Times New Roman" w:hint="eastAsia"/>
                <w:color w:val="000000" w:themeColor="text1"/>
                <w:kern w:val="0"/>
              </w:rPr>
              <w:t>(</w:t>
            </w:r>
            <w:r>
              <w:rPr>
                <w:rFonts w:ascii="Times New Roman" w:hAnsi="Times New Roman" w:hint="eastAsia"/>
                <w:color w:val="000000" w:themeColor="text1"/>
                <w:kern w:val="0"/>
              </w:rPr>
              <w:t>自然人投资或控股</w:t>
            </w:r>
            <w:r>
              <w:rPr>
                <w:rFonts w:ascii="Times New Roman" w:hAnsi="Times New Roman" w:hint="eastAsia"/>
                <w:color w:val="000000" w:themeColor="text1"/>
                <w:kern w:val="0"/>
              </w:rPr>
              <w:t>)</w:t>
            </w:r>
          </w:p>
        </w:tc>
        <w:tc>
          <w:tcPr>
            <w:tcW w:w="691"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注册地址</w:t>
            </w:r>
          </w:p>
        </w:tc>
        <w:tc>
          <w:tcPr>
            <w:tcW w:w="2466"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厦门市思明区鹭江道</w:t>
            </w:r>
            <w:r>
              <w:rPr>
                <w:rFonts w:ascii="Times New Roman" w:hAnsi="Times New Roman" w:hint="eastAsia"/>
                <w:color w:val="000000" w:themeColor="text1"/>
                <w:kern w:val="0"/>
              </w:rPr>
              <w:t>2</w:t>
            </w:r>
            <w:r>
              <w:rPr>
                <w:rFonts w:ascii="Times New Roman" w:hAnsi="Times New Roman" w:hint="eastAsia"/>
                <w:color w:val="000000" w:themeColor="text1"/>
                <w:kern w:val="0"/>
              </w:rPr>
              <w:t>号厦门第一广场</w:t>
            </w:r>
            <w:r>
              <w:rPr>
                <w:rFonts w:ascii="Times New Roman" w:hAnsi="Times New Roman" w:hint="eastAsia"/>
                <w:color w:val="000000" w:themeColor="text1"/>
                <w:kern w:val="0"/>
              </w:rPr>
              <w:t>28</w:t>
            </w:r>
            <w:r>
              <w:rPr>
                <w:rFonts w:ascii="Times New Roman" w:hAnsi="Times New Roman" w:hint="eastAsia"/>
                <w:color w:val="000000" w:themeColor="text1"/>
                <w:kern w:val="0"/>
              </w:rPr>
              <w:t>层</w:t>
            </w:r>
            <w:r>
              <w:rPr>
                <w:rFonts w:ascii="Times New Roman" w:hAnsi="Times New Roman" w:hint="eastAsia"/>
                <w:color w:val="000000" w:themeColor="text1"/>
                <w:kern w:val="0"/>
              </w:rPr>
              <w:t>01</w:t>
            </w:r>
          </w:p>
        </w:tc>
      </w:tr>
      <w:tr w:rsidR="00AD5BB5">
        <w:trPr>
          <w:trHeight w:val="570"/>
        </w:trPr>
        <w:tc>
          <w:tcPr>
            <w:tcW w:w="756"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法定代表人</w:t>
            </w:r>
          </w:p>
        </w:tc>
        <w:tc>
          <w:tcPr>
            <w:tcW w:w="108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proofErr w:type="gramStart"/>
            <w:r>
              <w:rPr>
                <w:rFonts w:ascii="Times New Roman" w:hAnsi="Times New Roman" w:hint="eastAsia"/>
                <w:color w:val="000000" w:themeColor="text1"/>
                <w:kern w:val="0"/>
              </w:rPr>
              <w:t>陈铁铭</w:t>
            </w:r>
            <w:proofErr w:type="gramEnd"/>
          </w:p>
        </w:tc>
        <w:tc>
          <w:tcPr>
            <w:tcW w:w="691" w:type="pct"/>
            <w:tcBorders>
              <w:top w:val="single" w:sz="4" w:space="0" w:color="auto"/>
              <w:left w:val="single" w:sz="4" w:space="0" w:color="auto"/>
              <w:bottom w:val="single" w:sz="4" w:space="0" w:color="auto"/>
              <w:right w:val="single" w:sz="4" w:space="0" w:color="auto"/>
              <w:tl2br w:val="nil"/>
              <w:tr2bl w:val="nil"/>
            </w:tcBorders>
            <w:noWrap/>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注册资本</w:t>
            </w:r>
          </w:p>
        </w:tc>
        <w:tc>
          <w:tcPr>
            <w:tcW w:w="2466"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color w:val="000000" w:themeColor="text1"/>
                <w:kern w:val="0"/>
              </w:rPr>
              <w:t>118000</w:t>
            </w:r>
            <w:r>
              <w:rPr>
                <w:rFonts w:ascii="Times New Roman" w:hAnsi="Times New Roman" w:hint="eastAsia"/>
                <w:color w:val="000000" w:themeColor="text1"/>
                <w:kern w:val="0"/>
              </w:rPr>
              <w:t>万人民币</w:t>
            </w:r>
            <w:r>
              <w:rPr>
                <w:rFonts w:ascii="Times New Roman" w:hAnsi="Times New Roman" w:hint="eastAsia"/>
                <w:color w:val="000000" w:themeColor="text1"/>
                <w:kern w:val="0"/>
              </w:rPr>
              <w:t xml:space="preserve"> </w:t>
            </w:r>
          </w:p>
        </w:tc>
      </w:tr>
      <w:tr w:rsidR="00AD5BB5">
        <w:trPr>
          <w:trHeight w:val="570"/>
        </w:trPr>
        <w:tc>
          <w:tcPr>
            <w:tcW w:w="756"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成立时间</w:t>
            </w:r>
          </w:p>
        </w:tc>
        <w:tc>
          <w:tcPr>
            <w:tcW w:w="108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color w:val="000000" w:themeColor="text1"/>
                <w:kern w:val="0"/>
              </w:rPr>
              <w:t>1997</w:t>
            </w:r>
            <w:r>
              <w:rPr>
                <w:rFonts w:ascii="Times New Roman" w:hAnsi="Times New Roman" w:hint="eastAsia"/>
                <w:color w:val="000000" w:themeColor="text1"/>
                <w:kern w:val="0"/>
              </w:rPr>
              <w:t>年</w:t>
            </w:r>
            <w:r>
              <w:rPr>
                <w:rFonts w:ascii="Times New Roman" w:hAnsi="Times New Roman" w:hint="eastAsia"/>
                <w:color w:val="000000" w:themeColor="text1"/>
                <w:kern w:val="0"/>
              </w:rPr>
              <w:t>3</w:t>
            </w:r>
            <w:r>
              <w:rPr>
                <w:rFonts w:ascii="Times New Roman" w:hAnsi="Times New Roman" w:hint="eastAsia"/>
                <w:color w:val="000000" w:themeColor="text1"/>
                <w:kern w:val="0"/>
              </w:rPr>
              <w:t>月</w:t>
            </w:r>
            <w:r>
              <w:rPr>
                <w:rFonts w:ascii="Times New Roman" w:hAnsi="Times New Roman" w:hint="eastAsia"/>
                <w:color w:val="000000" w:themeColor="text1"/>
                <w:kern w:val="0"/>
              </w:rPr>
              <w:t>10</w:t>
            </w:r>
            <w:r>
              <w:rPr>
                <w:rFonts w:ascii="Times New Roman" w:hAnsi="Times New Roman" w:hint="eastAsia"/>
                <w:color w:val="000000" w:themeColor="text1"/>
                <w:kern w:val="0"/>
              </w:rPr>
              <w:t>日</w:t>
            </w:r>
          </w:p>
        </w:tc>
        <w:tc>
          <w:tcPr>
            <w:tcW w:w="691" w:type="pct"/>
            <w:tcBorders>
              <w:top w:val="single" w:sz="4" w:space="0" w:color="auto"/>
              <w:left w:val="single" w:sz="4" w:space="0" w:color="auto"/>
              <w:bottom w:val="single" w:sz="4" w:space="0" w:color="auto"/>
              <w:right w:val="single" w:sz="4" w:space="0" w:color="auto"/>
              <w:tl2br w:val="nil"/>
              <w:tr2bl w:val="nil"/>
            </w:tcBorders>
            <w:noWrap/>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rPr>
              <w:t>统一社会</w:t>
            </w:r>
          </w:p>
          <w:p w:rsidR="00AD5BB5" w:rsidRDefault="00F87FF6">
            <w:pPr>
              <w:jc w:val="center"/>
              <w:rPr>
                <w:rFonts w:ascii="Times New Roman" w:hAnsi="Times New Roman"/>
                <w:color w:val="000000" w:themeColor="text1"/>
              </w:rPr>
            </w:pPr>
            <w:r>
              <w:rPr>
                <w:rFonts w:ascii="Times New Roman" w:hAnsi="Times New Roman" w:hint="eastAsia"/>
                <w:color w:val="000000" w:themeColor="text1"/>
                <w:kern w:val="0"/>
              </w:rPr>
              <w:t>信用代码</w:t>
            </w:r>
          </w:p>
        </w:tc>
        <w:tc>
          <w:tcPr>
            <w:tcW w:w="2466"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color w:val="000000" w:themeColor="text1"/>
                <w:kern w:val="0"/>
              </w:rPr>
              <w:t>913502006122842357</w:t>
            </w:r>
          </w:p>
        </w:tc>
      </w:tr>
      <w:tr w:rsidR="00AD5BB5">
        <w:trPr>
          <w:trHeight w:val="1091"/>
        </w:trPr>
        <w:tc>
          <w:tcPr>
            <w:tcW w:w="756"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经营范围</w:t>
            </w:r>
          </w:p>
        </w:tc>
        <w:tc>
          <w:tcPr>
            <w:tcW w:w="4244" w:type="pct"/>
            <w:gridSpan w:val="3"/>
            <w:tcBorders>
              <w:top w:val="single" w:sz="4" w:space="0" w:color="auto"/>
              <w:left w:val="single" w:sz="4" w:space="0" w:color="auto"/>
              <w:bottom w:val="single" w:sz="4" w:space="0" w:color="auto"/>
              <w:right w:val="single" w:sz="4" w:space="0" w:color="auto"/>
              <w:tl2br w:val="nil"/>
              <w:tr2bl w:val="nil"/>
            </w:tcBorders>
          </w:tcPr>
          <w:p w:rsidR="00AD5BB5" w:rsidRDefault="00F87FF6">
            <w:pPr>
              <w:jc w:val="left"/>
              <w:rPr>
                <w:rFonts w:ascii="Times New Roman" w:hAnsi="Times New Roman"/>
                <w:color w:val="000000" w:themeColor="text1"/>
                <w:kern w:val="0"/>
              </w:rPr>
            </w:pPr>
            <w:r>
              <w:rPr>
                <w:rFonts w:ascii="Times New Roman" w:hAnsi="Times New Roman" w:hint="eastAsia"/>
                <w:color w:val="000000" w:themeColor="text1"/>
                <w:kern w:val="0"/>
              </w:rPr>
              <w:t>以自有资金从事投资活动；自有资金投资的资产管理服务；信息咨询服务（不含许可类信息咨询服务）；物业管理；农村民间工艺及制品、休闲农业和乡村旅游资源的开放经营；金属材料销售；金属制品销售；金属矿石销售；矿山机械销售。（除依法须经批准的项目外，凭营业执照依法自主开展经营活动）。</w:t>
            </w:r>
          </w:p>
        </w:tc>
      </w:tr>
      <w:tr w:rsidR="00AD5BB5">
        <w:trPr>
          <w:trHeight w:val="570"/>
        </w:trPr>
        <w:tc>
          <w:tcPr>
            <w:tcW w:w="756"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控股股东</w:t>
            </w:r>
          </w:p>
        </w:tc>
        <w:tc>
          <w:tcPr>
            <w:tcW w:w="1087"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厦门港润投资管理有限公司</w:t>
            </w:r>
          </w:p>
        </w:tc>
        <w:tc>
          <w:tcPr>
            <w:tcW w:w="691" w:type="pct"/>
            <w:tcBorders>
              <w:top w:val="single" w:sz="4" w:space="0" w:color="auto"/>
              <w:left w:val="single" w:sz="4" w:space="0" w:color="auto"/>
              <w:bottom w:val="single" w:sz="4" w:space="0" w:color="auto"/>
              <w:right w:val="single" w:sz="4" w:space="0" w:color="auto"/>
              <w:tl2br w:val="nil"/>
              <w:tr2bl w:val="nil"/>
            </w:tcBorders>
            <w:noWrap/>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实际控制人</w:t>
            </w:r>
          </w:p>
        </w:tc>
        <w:tc>
          <w:tcPr>
            <w:tcW w:w="2466"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proofErr w:type="gramStart"/>
            <w:r>
              <w:rPr>
                <w:rFonts w:ascii="Times New Roman" w:hAnsi="Times New Roman" w:hint="eastAsia"/>
                <w:color w:val="000000" w:themeColor="text1"/>
                <w:kern w:val="0"/>
              </w:rPr>
              <w:t>陈铁铭</w:t>
            </w:r>
            <w:proofErr w:type="gramEnd"/>
          </w:p>
        </w:tc>
      </w:tr>
      <w:tr w:rsidR="00AD5BB5">
        <w:trPr>
          <w:trHeight w:val="1225"/>
        </w:trPr>
        <w:tc>
          <w:tcPr>
            <w:tcW w:w="756" w:type="pct"/>
            <w:tcBorders>
              <w:top w:val="single" w:sz="4" w:space="0" w:color="auto"/>
              <w:left w:val="single" w:sz="4" w:space="0" w:color="auto"/>
              <w:bottom w:val="single" w:sz="4" w:space="0" w:color="auto"/>
              <w:right w:val="single" w:sz="4" w:space="0" w:color="auto"/>
              <w:tl2br w:val="nil"/>
              <w:tr2bl w:val="nil"/>
            </w:tcBorders>
          </w:tcPr>
          <w:p w:rsidR="00AD5BB5" w:rsidRDefault="00F87FF6">
            <w:pPr>
              <w:jc w:val="center"/>
              <w:rPr>
                <w:rFonts w:ascii="Times New Roman" w:hAnsi="Times New Roman"/>
                <w:color w:val="000000" w:themeColor="text1"/>
                <w:kern w:val="0"/>
              </w:rPr>
            </w:pPr>
            <w:r>
              <w:rPr>
                <w:rFonts w:ascii="Times New Roman" w:hAnsi="Times New Roman" w:hint="eastAsia"/>
                <w:color w:val="000000" w:themeColor="text1"/>
                <w:kern w:val="0"/>
              </w:rPr>
              <w:t>主要关联方</w:t>
            </w:r>
          </w:p>
        </w:tc>
        <w:tc>
          <w:tcPr>
            <w:tcW w:w="4244" w:type="pct"/>
            <w:gridSpan w:val="3"/>
            <w:tcBorders>
              <w:top w:val="single" w:sz="4" w:space="0" w:color="auto"/>
              <w:left w:val="single" w:sz="4" w:space="0" w:color="auto"/>
              <w:bottom w:val="single" w:sz="4" w:space="0" w:color="auto"/>
              <w:right w:val="single" w:sz="4" w:space="0" w:color="auto"/>
              <w:tl2br w:val="nil"/>
              <w:tr2bl w:val="nil"/>
            </w:tcBorders>
          </w:tcPr>
          <w:p w:rsidR="00AD5BB5" w:rsidRDefault="00F87FF6">
            <w:pPr>
              <w:jc w:val="left"/>
              <w:rPr>
                <w:rFonts w:ascii="Times New Roman" w:hAnsi="Times New Roman"/>
                <w:color w:val="000000" w:themeColor="text1"/>
                <w:kern w:val="0"/>
              </w:rPr>
            </w:pPr>
            <w:r>
              <w:rPr>
                <w:rFonts w:ascii="宋体" w:hAnsi="宋体" w:hint="eastAsia"/>
                <w:color w:val="000000" w:themeColor="text1"/>
                <w:kern w:val="0"/>
              </w:rPr>
              <w:t>陈铁铭、刘林珍、陈小莲、大洲控股集团有限公司、庄榕、厦门滨江资产管理有限公司、厦门双润投资管理有限公司、厦门润江建筑工程有限公司、厦门市润</w:t>
            </w:r>
            <w:proofErr w:type="gramStart"/>
            <w:r>
              <w:rPr>
                <w:rFonts w:ascii="宋体" w:hAnsi="宋体" w:hint="eastAsia"/>
                <w:color w:val="000000" w:themeColor="text1"/>
                <w:kern w:val="0"/>
              </w:rPr>
              <w:t>鑫</w:t>
            </w:r>
            <w:proofErr w:type="gramEnd"/>
            <w:r>
              <w:rPr>
                <w:rFonts w:ascii="宋体" w:hAnsi="宋体" w:hint="eastAsia"/>
                <w:color w:val="000000" w:themeColor="text1"/>
                <w:kern w:val="0"/>
              </w:rPr>
              <w:t>信担保有限公司、福建省大洲文化旅游投资有限公司、等</w:t>
            </w:r>
            <w:r>
              <w:rPr>
                <w:rFonts w:ascii="宋体" w:hAnsi="宋体"/>
                <w:color w:val="000000" w:themeColor="text1"/>
                <w:kern w:val="0"/>
              </w:rPr>
              <w:t>4</w:t>
            </w:r>
            <w:r>
              <w:rPr>
                <w:rFonts w:ascii="宋体" w:hAnsi="宋体" w:hint="eastAsia"/>
                <w:color w:val="000000" w:themeColor="text1"/>
                <w:kern w:val="0"/>
              </w:rPr>
              <w:t>2名关联方。</w:t>
            </w:r>
          </w:p>
        </w:tc>
      </w:tr>
    </w:tbl>
    <w:p w:rsidR="00AD5BB5" w:rsidRDefault="00AD5BB5">
      <w:pPr>
        <w:spacing w:line="360" w:lineRule="auto"/>
        <w:rPr>
          <w:rFonts w:ascii="宋体" w:hAnsi="宋体"/>
          <w:color w:val="000000" w:themeColor="text1"/>
        </w:rPr>
      </w:pPr>
    </w:p>
    <w:p w:rsidR="00AD5BB5" w:rsidRDefault="00AD5BB5">
      <w:pPr>
        <w:spacing w:line="360" w:lineRule="exact"/>
        <w:ind w:right="5"/>
        <w:rPr>
          <w:rFonts w:hAnsi="宋体"/>
          <w:kern w:val="0"/>
        </w:rPr>
      </w:pPr>
    </w:p>
    <w:p w:rsidR="00AD5BB5" w:rsidRDefault="00AD5BB5">
      <w:pPr>
        <w:spacing w:line="360" w:lineRule="exact"/>
        <w:ind w:right="5"/>
        <w:rPr>
          <w:rFonts w:hAnsi="宋体"/>
          <w:kern w:val="0"/>
        </w:rPr>
      </w:pPr>
    </w:p>
    <w:p w:rsidR="00AD5BB5" w:rsidRDefault="00AD5BB5">
      <w:pPr>
        <w:spacing w:line="360" w:lineRule="exact"/>
        <w:ind w:right="5"/>
        <w:rPr>
          <w:rFonts w:hAnsi="宋体"/>
          <w:kern w:val="0"/>
        </w:rPr>
      </w:pPr>
    </w:p>
    <w:p w:rsidR="00AD5BB5" w:rsidRDefault="00AD5BB5">
      <w:pPr>
        <w:spacing w:line="360" w:lineRule="exact"/>
        <w:ind w:right="5"/>
        <w:rPr>
          <w:rFonts w:hAnsi="宋体"/>
          <w:kern w:val="0"/>
        </w:rPr>
      </w:pPr>
    </w:p>
    <w:p w:rsidR="00AD5BB5" w:rsidRDefault="00AD5BB5">
      <w:pPr>
        <w:spacing w:line="360" w:lineRule="exact"/>
        <w:ind w:right="5"/>
        <w:rPr>
          <w:rFonts w:hAnsi="宋体"/>
          <w:kern w:val="0"/>
        </w:rPr>
      </w:pPr>
    </w:p>
    <w:p w:rsidR="00AD5BB5" w:rsidRDefault="00AD5BB5">
      <w:pPr>
        <w:spacing w:line="360" w:lineRule="exact"/>
        <w:ind w:right="5"/>
        <w:rPr>
          <w:rFonts w:hAnsi="宋体"/>
          <w:kern w:val="0"/>
        </w:rPr>
      </w:pPr>
    </w:p>
    <w:p w:rsidR="00AD5BB5" w:rsidRDefault="00F87FF6">
      <w:pPr>
        <w:pStyle w:val="1"/>
        <w:ind w:left="425"/>
        <w:rPr>
          <w:rFonts w:ascii="宋体" w:eastAsia="宋体" w:hAnsi="宋体"/>
          <w:color w:val="FF0000"/>
        </w:rPr>
      </w:pPr>
      <w:bookmarkStart w:id="52" w:name="_Toc68005716"/>
      <w:bookmarkStart w:id="53" w:name="_Toc79665924"/>
      <w:r>
        <w:rPr>
          <w:rFonts w:ascii="宋体" w:eastAsia="宋体" w:hAnsi="宋体" w:hint="eastAsia"/>
        </w:rPr>
        <w:lastRenderedPageBreak/>
        <w:t>第八节  财务报告</w:t>
      </w:r>
      <w:bookmarkEnd w:id="52"/>
      <w:bookmarkEnd w:id="53"/>
    </w:p>
    <w:p w:rsidR="00AD5BB5" w:rsidRDefault="00F87FF6">
      <w:pPr>
        <w:spacing w:line="360" w:lineRule="auto"/>
        <w:rPr>
          <w:rFonts w:ascii="宋体" w:hAnsi="宋体"/>
          <w:kern w:val="44"/>
          <w:szCs w:val="21"/>
        </w:rPr>
      </w:pPr>
      <w:r>
        <w:rPr>
          <w:rFonts w:ascii="宋体" w:hAnsi="宋体" w:hint="eastAsia"/>
          <w:b/>
          <w:kern w:val="44"/>
          <w:sz w:val="28"/>
        </w:rPr>
        <w:t xml:space="preserve">   </w:t>
      </w:r>
      <w:r>
        <w:rPr>
          <w:rFonts w:ascii="宋体" w:hAnsi="宋体" w:hint="eastAsia"/>
          <w:kern w:val="44"/>
          <w:szCs w:val="21"/>
        </w:rPr>
        <w:t>本公司202</w:t>
      </w:r>
      <w:r>
        <w:rPr>
          <w:rFonts w:ascii="宋体" w:hAnsi="宋体"/>
          <w:kern w:val="44"/>
          <w:szCs w:val="21"/>
        </w:rPr>
        <w:t>3</w:t>
      </w:r>
      <w:r>
        <w:rPr>
          <w:rFonts w:ascii="宋体" w:hAnsi="宋体" w:hint="eastAsia"/>
          <w:kern w:val="44"/>
          <w:szCs w:val="21"/>
        </w:rPr>
        <w:t>年半年度财务报告未经审计，但已经安永华明会计师事务所（特殊普通合伙）审阅并出具了审阅报告。财务报表及附件见附件。</w:t>
      </w:r>
    </w:p>
    <w:p w:rsidR="00AD5BB5" w:rsidRDefault="00AD5BB5">
      <w:pPr>
        <w:spacing w:line="360" w:lineRule="auto"/>
        <w:rPr>
          <w:rFonts w:ascii="宋体" w:hAnsi="宋体"/>
          <w:kern w:val="44"/>
          <w:szCs w:val="21"/>
        </w:rPr>
      </w:pPr>
    </w:p>
    <w:p w:rsidR="00AD5BB5" w:rsidRDefault="00AD5BB5">
      <w:pPr>
        <w:wordWrap w:val="0"/>
        <w:spacing w:line="360" w:lineRule="exact"/>
        <w:jc w:val="right"/>
      </w:pPr>
    </w:p>
    <w:p w:rsidR="00AD5BB5" w:rsidRDefault="00AD5BB5">
      <w:pPr>
        <w:spacing w:line="360" w:lineRule="exact"/>
        <w:jc w:val="right"/>
      </w:pPr>
    </w:p>
    <w:p w:rsidR="00AD5BB5" w:rsidRDefault="00F87FF6">
      <w:pPr>
        <w:spacing w:line="360" w:lineRule="exact"/>
        <w:jc w:val="right"/>
        <w:rPr>
          <w:u w:val="single"/>
        </w:rPr>
      </w:pPr>
      <w:r>
        <w:rPr>
          <w:rFonts w:hint="eastAsia"/>
        </w:rPr>
        <w:t>董事长：姚志萍</w:t>
      </w:r>
    </w:p>
    <w:p w:rsidR="00AD5BB5" w:rsidRDefault="00F87FF6">
      <w:pPr>
        <w:spacing w:line="360" w:lineRule="exact"/>
        <w:jc w:val="right"/>
      </w:pPr>
      <w:r>
        <w:rPr>
          <w:rFonts w:hint="eastAsia"/>
        </w:rPr>
        <w:t>厦门银行股份有限公司董事会</w:t>
      </w:r>
    </w:p>
    <w:p w:rsidR="00AD5BB5" w:rsidRDefault="00F87FF6">
      <w:pPr>
        <w:spacing w:line="360" w:lineRule="exact"/>
        <w:jc w:val="right"/>
        <w:rPr>
          <w:rFonts w:ascii="Times New Roman" w:hAnsi="Times New Roman" w:cs="Times New Roman"/>
          <w:color w:val="008000"/>
          <w:u w:val="single"/>
        </w:rPr>
      </w:pPr>
      <w:r>
        <w:rPr>
          <w:rFonts w:ascii="Times New Roman" w:hAnsi="Times New Roman" w:cs="Times New Roman"/>
        </w:rPr>
        <w:t>2023</w:t>
      </w:r>
      <w:r>
        <w:rPr>
          <w:rFonts w:ascii="Times New Roman" w:hAnsi="Times New Roman" w:cs="Times New Roman"/>
        </w:rPr>
        <w:t>年</w:t>
      </w:r>
      <w:r>
        <w:rPr>
          <w:rFonts w:ascii="Times New Roman" w:hAnsi="Times New Roman" w:cs="Times New Roman"/>
        </w:rPr>
        <w:t>8</w:t>
      </w:r>
      <w:r>
        <w:rPr>
          <w:rFonts w:ascii="Times New Roman" w:hAnsi="Times New Roman" w:cs="Times New Roman"/>
        </w:rPr>
        <w:t>月</w:t>
      </w:r>
      <w:r>
        <w:rPr>
          <w:rFonts w:ascii="Times New Roman" w:hAnsi="Times New Roman" w:cs="Times New Roman"/>
        </w:rPr>
        <w:t>28</w:t>
      </w:r>
      <w:r>
        <w:rPr>
          <w:rFonts w:ascii="Times New Roman" w:hAnsi="Times New Roman" w:cs="Times New Roman"/>
        </w:rPr>
        <w:t>日</w:t>
      </w:r>
    </w:p>
    <w:p w:rsidR="00AD5BB5" w:rsidRDefault="00AD5BB5"/>
    <w:p w:rsidR="00AD5BB5" w:rsidRDefault="00F87FF6">
      <w:pPr>
        <w:widowControl/>
        <w:jc w:val="left"/>
      </w:pPr>
      <w:r>
        <w:br w:type="page"/>
      </w:r>
    </w:p>
    <w:p w:rsidR="00AD5BB5" w:rsidRDefault="00F87FF6">
      <w:pPr>
        <w:autoSpaceDE w:val="0"/>
        <w:autoSpaceDN w:val="0"/>
        <w:adjustRightInd w:val="0"/>
        <w:spacing w:line="360" w:lineRule="auto"/>
        <w:jc w:val="center"/>
        <w:rPr>
          <w:rFonts w:ascii="黑体" w:eastAsia="黑体" w:hAnsi="黑体"/>
          <w:b/>
          <w:kern w:val="44"/>
          <w:sz w:val="28"/>
        </w:rPr>
      </w:pPr>
      <w:r>
        <w:rPr>
          <w:rFonts w:ascii="黑体" w:eastAsia="黑体" w:hAnsi="黑体" w:hint="eastAsia"/>
          <w:b/>
          <w:kern w:val="44"/>
          <w:sz w:val="28"/>
        </w:rPr>
        <w:lastRenderedPageBreak/>
        <w:t>厦门银行股份有限公司董事、监事、高级管理人员关于</w:t>
      </w:r>
    </w:p>
    <w:p w:rsidR="00AD5BB5" w:rsidRDefault="00F87FF6">
      <w:pPr>
        <w:autoSpaceDE w:val="0"/>
        <w:autoSpaceDN w:val="0"/>
        <w:adjustRightInd w:val="0"/>
        <w:spacing w:line="360" w:lineRule="auto"/>
        <w:jc w:val="center"/>
        <w:rPr>
          <w:rFonts w:ascii="黑体" w:eastAsia="黑体" w:hAnsi="黑体"/>
          <w:b/>
          <w:kern w:val="44"/>
          <w:sz w:val="28"/>
        </w:rPr>
      </w:pPr>
      <w:r>
        <w:rPr>
          <w:rFonts w:ascii="黑体" w:eastAsia="黑体" w:hAnsi="黑体" w:hint="eastAsia"/>
          <w:b/>
          <w:kern w:val="44"/>
          <w:sz w:val="28"/>
        </w:rPr>
        <w:t>公司</w:t>
      </w:r>
      <w:r>
        <w:rPr>
          <w:rFonts w:ascii="黑体" w:eastAsia="黑体" w:hAnsi="黑体"/>
          <w:b/>
          <w:kern w:val="44"/>
          <w:sz w:val="28"/>
        </w:rPr>
        <w:t>20</w:t>
      </w:r>
      <w:r>
        <w:rPr>
          <w:rFonts w:ascii="黑体" w:eastAsia="黑体" w:hAnsi="黑体" w:hint="eastAsia"/>
          <w:b/>
          <w:kern w:val="44"/>
          <w:sz w:val="28"/>
        </w:rPr>
        <w:t>2</w:t>
      </w:r>
      <w:r>
        <w:rPr>
          <w:rFonts w:ascii="黑体" w:eastAsia="黑体" w:hAnsi="黑体"/>
          <w:b/>
          <w:kern w:val="44"/>
          <w:sz w:val="28"/>
        </w:rPr>
        <w:t>3</w:t>
      </w:r>
      <w:r>
        <w:rPr>
          <w:rFonts w:ascii="黑体" w:eastAsia="黑体" w:hAnsi="黑体" w:hint="eastAsia"/>
          <w:b/>
          <w:kern w:val="44"/>
          <w:sz w:val="28"/>
        </w:rPr>
        <w:t>年半年度报告的书面确认意见</w:t>
      </w:r>
    </w:p>
    <w:p w:rsidR="00AD5BB5" w:rsidRDefault="00F87FF6">
      <w:pPr>
        <w:autoSpaceDE w:val="0"/>
        <w:autoSpaceDN w:val="0"/>
        <w:adjustRightInd w:val="0"/>
        <w:spacing w:line="360" w:lineRule="auto"/>
        <w:ind w:firstLineChars="200" w:firstLine="420"/>
        <w:jc w:val="left"/>
        <w:rPr>
          <w:rFonts w:asciiTheme="minorEastAsia" w:eastAsiaTheme="minorEastAsia" w:hAnsiTheme="minorEastAsia" w:cs="CIDFont+F5"/>
          <w:kern w:val="0"/>
          <w:szCs w:val="21"/>
        </w:rPr>
      </w:pPr>
      <w:r>
        <w:rPr>
          <w:rFonts w:asciiTheme="minorEastAsia" w:eastAsiaTheme="minorEastAsia" w:hAnsiTheme="minorEastAsia" w:cs="CIDFont+F5" w:hint="eastAsia"/>
          <w:kern w:val="0"/>
          <w:szCs w:val="21"/>
        </w:rPr>
        <w:t>根据《中</w:t>
      </w:r>
      <w:r>
        <w:rPr>
          <w:rFonts w:asciiTheme="minorEastAsia" w:eastAsiaTheme="minorEastAsia" w:hAnsiTheme="minorEastAsia" w:cs="宋体" w:hint="eastAsia"/>
          <w:kern w:val="0"/>
          <w:szCs w:val="21"/>
        </w:rPr>
        <w:t>华</w:t>
      </w:r>
      <w:r>
        <w:rPr>
          <w:rFonts w:asciiTheme="minorEastAsia" w:eastAsiaTheme="minorEastAsia" w:hAnsiTheme="minorEastAsia" w:cs="MS Mincho" w:hint="eastAsia"/>
          <w:kern w:val="0"/>
          <w:szCs w:val="21"/>
        </w:rPr>
        <w:t>人民共和国</w:t>
      </w:r>
      <w:r>
        <w:rPr>
          <w:rFonts w:asciiTheme="minorEastAsia" w:eastAsiaTheme="minorEastAsia" w:hAnsiTheme="minorEastAsia" w:cs="宋体" w:hint="eastAsia"/>
          <w:kern w:val="0"/>
          <w:szCs w:val="21"/>
        </w:rPr>
        <w:t>证</w:t>
      </w:r>
      <w:r>
        <w:rPr>
          <w:rFonts w:asciiTheme="minorEastAsia" w:eastAsiaTheme="minorEastAsia" w:hAnsiTheme="minorEastAsia" w:cs="MS Mincho" w:hint="eastAsia"/>
          <w:kern w:val="0"/>
          <w:szCs w:val="21"/>
        </w:rPr>
        <w:t>券法》《公开</w:t>
      </w:r>
      <w:r>
        <w:rPr>
          <w:rFonts w:asciiTheme="minorEastAsia" w:eastAsiaTheme="minorEastAsia" w:hAnsiTheme="minorEastAsia" w:cs="宋体" w:hint="eastAsia"/>
          <w:kern w:val="0"/>
          <w:szCs w:val="21"/>
        </w:rPr>
        <w:t>发</w:t>
      </w:r>
      <w:r>
        <w:rPr>
          <w:rFonts w:asciiTheme="minorEastAsia" w:eastAsiaTheme="minorEastAsia" w:hAnsiTheme="minorEastAsia" w:cs="MS Mincho" w:hint="eastAsia"/>
          <w:kern w:val="0"/>
          <w:szCs w:val="21"/>
        </w:rPr>
        <w:t>行</w:t>
      </w:r>
      <w:r>
        <w:rPr>
          <w:rFonts w:asciiTheme="minorEastAsia" w:eastAsiaTheme="minorEastAsia" w:hAnsiTheme="minorEastAsia" w:cs="宋体" w:hint="eastAsia"/>
          <w:kern w:val="0"/>
          <w:szCs w:val="21"/>
        </w:rPr>
        <w:t>证</w:t>
      </w:r>
      <w:r>
        <w:rPr>
          <w:rFonts w:asciiTheme="minorEastAsia" w:eastAsiaTheme="minorEastAsia" w:hAnsiTheme="minorEastAsia" w:cs="MS Mincho" w:hint="eastAsia"/>
          <w:kern w:val="0"/>
          <w:szCs w:val="21"/>
        </w:rPr>
        <w:t>券的公司信息披露</w:t>
      </w:r>
      <w:r>
        <w:rPr>
          <w:rFonts w:asciiTheme="minorEastAsia" w:eastAsiaTheme="minorEastAsia" w:hAnsiTheme="minorEastAsia" w:cs="CIDFont+F5" w:hint="eastAsia"/>
          <w:kern w:val="0"/>
          <w:szCs w:val="21"/>
        </w:rPr>
        <w:t>内容与格式准</w:t>
      </w:r>
      <w:r>
        <w:rPr>
          <w:rFonts w:asciiTheme="minorEastAsia" w:eastAsiaTheme="minorEastAsia" w:hAnsiTheme="minorEastAsia" w:cs="宋体" w:hint="eastAsia"/>
          <w:kern w:val="0"/>
          <w:szCs w:val="21"/>
        </w:rPr>
        <w:t>则</w:t>
      </w:r>
      <w:r>
        <w:rPr>
          <w:rFonts w:asciiTheme="minorEastAsia" w:eastAsiaTheme="minorEastAsia" w:hAnsiTheme="minorEastAsia" w:cs="MS Mincho" w:hint="eastAsia"/>
          <w:kern w:val="0"/>
          <w:szCs w:val="21"/>
        </w:rPr>
        <w:t>第</w:t>
      </w:r>
      <w:r>
        <w:rPr>
          <w:rFonts w:asciiTheme="minorEastAsia" w:eastAsiaTheme="minorEastAsia" w:hAnsiTheme="minorEastAsia" w:cs="CIDFont+F5" w:hint="eastAsia"/>
          <w:kern w:val="0"/>
          <w:szCs w:val="21"/>
        </w:rPr>
        <w:t>3号—半年度</w:t>
      </w:r>
      <w:r>
        <w:rPr>
          <w:rFonts w:asciiTheme="minorEastAsia" w:eastAsiaTheme="minorEastAsia" w:hAnsiTheme="minorEastAsia" w:cs="宋体" w:hint="eastAsia"/>
          <w:kern w:val="0"/>
          <w:szCs w:val="21"/>
        </w:rPr>
        <w:t>报</w:t>
      </w:r>
      <w:r>
        <w:rPr>
          <w:rFonts w:asciiTheme="minorEastAsia" w:eastAsiaTheme="minorEastAsia" w:hAnsiTheme="minorEastAsia" w:cs="MS Mincho" w:hint="eastAsia"/>
          <w:kern w:val="0"/>
          <w:szCs w:val="21"/>
        </w:rPr>
        <w:t>告的内容与格式（</w:t>
      </w:r>
      <w:r>
        <w:rPr>
          <w:rFonts w:asciiTheme="minorEastAsia" w:eastAsiaTheme="minorEastAsia" w:hAnsiTheme="minorEastAsia" w:cs="CIDFont+F5"/>
          <w:kern w:val="0"/>
          <w:szCs w:val="21"/>
        </w:rPr>
        <w:t>20</w:t>
      </w:r>
      <w:r>
        <w:rPr>
          <w:rFonts w:asciiTheme="minorEastAsia" w:eastAsiaTheme="minorEastAsia" w:hAnsiTheme="minorEastAsia" w:cs="CIDFont+F5" w:hint="eastAsia"/>
          <w:kern w:val="0"/>
          <w:szCs w:val="21"/>
        </w:rPr>
        <w:t>21年修</w:t>
      </w:r>
      <w:r>
        <w:rPr>
          <w:rFonts w:asciiTheme="minorEastAsia" w:eastAsiaTheme="minorEastAsia" w:hAnsiTheme="minorEastAsia" w:cs="宋体" w:hint="eastAsia"/>
          <w:kern w:val="0"/>
          <w:szCs w:val="21"/>
        </w:rPr>
        <w:t>订</w:t>
      </w:r>
      <w:r>
        <w:rPr>
          <w:rFonts w:asciiTheme="minorEastAsia" w:eastAsiaTheme="minorEastAsia" w:hAnsiTheme="minorEastAsia" w:cs="MS Mincho" w:hint="eastAsia"/>
          <w:kern w:val="0"/>
          <w:szCs w:val="21"/>
        </w:rPr>
        <w:t>）</w:t>
      </w:r>
      <w:r>
        <w:rPr>
          <w:rFonts w:asciiTheme="minorEastAsia" w:eastAsiaTheme="minorEastAsia" w:hAnsiTheme="minorEastAsia" w:cs="CIDFont+F5" w:hint="eastAsia"/>
          <w:kern w:val="0"/>
          <w:szCs w:val="21"/>
        </w:rPr>
        <w:t>》《公开</w:t>
      </w:r>
      <w:r>
        <w:rPr>
          <w:rFonts w:asciiTheme="minorEastAsia" w:eastAsiaTheme="minorEastAsia" w:hAnsiTheme="minorEastAsia" w:cs="宋体" w:hint="eastAsia"/>
          <w:kern w:val="0"/>
          <w:szCs w:val="21"/>
        </w:rPr>
        <w:t>发</w:t>
      </w:r>
      <w:r>
        <w:rPr>
          <w:rFonts w:asciiTheme="minorEastAsia" w:eastAsiaTheme="minorEastAsia" w:hAnsiTheme="minorEastAsia" w:cs="MS Mincho" w:hint="eastAsia"/>
          <w:kern w:val="0"/>
          <w:szCs w:val="21"/>
        </w:rPr>
        <w:t>行</w:t>
      </w:r>
      <w:r>
        <w:rPr>
          <w:rFonts w:asciiTheme="minorEastAsia" w:eastAsiaTheme="minorEastAsia" w:hAnsiTheme="minorEastAsia" w:cs="宋体" w:hint="eastAsia"/>
          <w:kern w:val="0"/>
          <w:szCs w:val="21"/>
        </w:rPr>
        <w:t>证</w:t>
      </w:r>
      <w:r>
        <w:rPr>
          <w:rFonts w:asciiTheme="minorEastAsia" w:eastAsiaTheme="minorEastAsia" w:hAnsiTheme="minorEastAsia" w:cs="MS Mincho" w:hint="eastAsia"/>
          <w:kern w:val="0"/>
          <w:szCs w:val="21"/>
        </w:rPr>
        <w:t>券的公司信息披露</w:t>
      </w:r>
      <w:r>
        <w:rPr>
          <w:rFonts w:asciiTheme="minorEastAsia" w:eastAsiaTheme="minorEastAsia" w:hAnsiTheme="minorEastAsia" w:cs="宋体" w:hint="eastAsia"/>
          <w:kern w:val="0"/>
          <w:szCs w:val="21"/>
        </w:rPr>
        <w:t>编报规则</w:t>
      </w:r>
      <w:r>
        <w:rPr>
          <w:rFonts w:asciiTheme="minorEastAsia" w:eastAsiaTheme="minorEastAsia" w:hAnsiTheme="minorEastAsia" w:cs="MS Mincho" w:hint="eastAsia"/>
          <w:kern w:val="0"/>
          <w:szCs w:val="21"/>
        </w:rPr>
        <w:t>第</w:t>
      </w:r>
      <w:r>
        <w:rPr>
          <w:rFonts w:asciiTheme="minorEastAsia" w:eastAsiaTheme="minorEastAsia" w:hAnsiTheme="minorEastAsia" w:cs="CIDFont+F5"/>
          <w:kern w:val="0"/>
          <w:szCs w:val="21"/>
        </w:rPr>
        <w:t>26</w:t>
      </w:r>
      <w:r>
        <w:rPr>
          <w:rFonts w:asciiTheme="minorEastAsia" w:eastAsiaTheme="minorEastAsia" w:hAnsiTheme="minorEastAsia" w:cs="CIDFont+F5" w:hint="eastAsia"/>
          <w:kern w:val="0"/>
          <w:szCs w:val="21"/>
        </w:rPr>
        <w:t>号—商</w:t>
      </w:r>
      <w:r>
        <w:rPr>
          <w:rFonts w:asciiTheme="minorEastAsia" w:eastAsiaTheme="minorEastAsia" w:hAnsiTheme="minorEastAsia" w:cs="宋体" w:hint="eastAsia"/>
          <w:kern w:val="0"/>
          <w:szCs w:val="21"/>
        </w:rPr>
        <w:t>业银</w:t>
      </w:r>
      <w:r>
        <w:rPr>
          <w:rFonts w:asciiTheme="minorEastAsia" w:eastAsiaTheme="minorEastAsia" w:hAnsiTheme="minorEastAsia" w:cs="MS Mincho" w:hint="eastAsia"/>
          <w:kern w:val="0"/>
          <w:szCs w:val="21"/>
        </w:rPr>
        <w:t>行信息披露特</w:t>
      </w:r>
      <w:r>
        <w:rPr>
          <w:rFonts w:asciiTheme="minorEastAsia" w:eastAsiaTheme="minorEastAsia" w:hAnsiTheme="minorEastAsia" w:cs="宋体" w:hint="eastAsia"/>
          <w:kern w:val="0"/>
          <w:szCs w:val="21"/>
        </w:rPr>
        <w:t>别规</w:t>
      </w:r>
      <w:r>
        <w:rPr>
          <w:rFonts w:asciiTheme="minorEastAsia" w:eastAsiaTheme="minorEastAsia" w:hAnsiTheme="minorEastAsia" w:cs="MS Mincho" w:hint="eastAsia"/>
          <w:kern w:val="0"/>
          <w:szCs w:val="21"/>
        </w:rPr>
        <w:t>定（</w:t>
      </w:r>
      <w:r>
        <w:rPr>
          <w:rFonts w:asciiTheme="minorEastAsia" w:eastAsiaTheme="minorEastAsia" w:hAnsiTheme="minorEastAsia" w:cs="CIDFont+F5"/>
          <w:kern w:val="0"/>
          <w:szCs w:val="21"/>
        </w:rPr>
        <w:t>2022</w:t>
      </w:r>
      <w:r>
        <w:rPr>
          <w:rFonts w:asciiTheme="minorEastAsia" w:eastAsiaTheme="minorEastAsia" w:hAnsiTheme="minorEastAsia" w:cs="CIDFont+F5" w:hint="eastAsia"/>
          <w:kern w:val="0"/>
          <w:szCs w:val="21"/>
        </w:rPr>
        <w:t>年修</w:t>
      </w:r>
      <w:r>
        <w:rPr>
          <w:rFonts w:asciiTheme="minorEastAsia" w:eastAsiaTheme="minorEastAsia" w:hAnsiTheme="minorEastAsia" w:cs="宋体" w:hint="eastAsia"/>
          <w:kern w:val="0"/>
          <w:szCs w:val="21"/>
        </w:rPr>
        <w:t>订</w:t>
      </w:r>
      <w:r>
        <w:rPr>
          <w:rFonts w:asciiTheme="minorEastAsia" w:eastAsiaTheme="minorEastAsia" w:hAnsiTheme="minorEastAsia" w:cs="MS Mincho" w:hint="eastAsia"/>
          <w:kern w:val="0"/>
          <w:szCs w:val="21"/>
        </w:rPr>
        <w:t>）》等相关</w:t>
      </w:r>
      <w:r>
        <w:rPr>
          <w:rFonts w:asciiTheme="minorEastAsia" w:eastAsiaTheme="minorEastAsia" w:hAnsiTheme="minorEastAsia" w:cs="宋体" w:hint="eastAsia"/>
          <w:kern w:val="0"/>
          <w:szCs w:val="21"/>
        </w:rPr>
        <w:t>规</w:t>
      </w:r>
      <w:r>
        <w:rPr>
          <w:rFonts w:asciiTheme="minorEastAsia" w:eastAsiaTheme="minorEastAsia" w:hAnsiTheme="minorEastAsia" w:cs="MS Mincho" w:hint="eastAsia"/>
          <w:kern w:val="0"/>
          <w:szCs w:val="21"/>
        </w:rPr>
        <w:t>定和要求，作</w:t>
      </w:r>
      <w:r>
        <w:rPr>
          <w:rFonts w:asciiTheme="minorEastAsia" w:eastAsiaTheme="minorEastAsia" w:hAnsiTheme="minorEastAsia" w:cs="宋体" w:hint="eastAsia"/>
          <w:kern w:val="0"/>
          <w:szCs w:val="21"/>
        </w:rPr>
        <w:t>为厦门银</w:t>
      </w:r>
      <w:r>
        <w:rPr>
          <w:rFonts w:asciiTheme="minorEastAsia" w:eastAsiaTheme="minorEastAsia" w:hAnsiTheme="minorEastAsia" w:cs="MS Mincho" w:hint="eastAsia"/>
          <w:kern w:val="0"/>
          <w:szCs w:val="21"/>
        </w:rPr>
        <w:t>行股份有限</w:t>
      </w:r>
      <w:r>
        <w:rPr>
          <w:rFonts w:asciiTheme="minorEastAsia" w:eastAsiaTheme="minorEastAsia" w:hAnsiTheme="minorEastAsia" w:cs="CIDFont+F5" w:hint="eastAsia"/>
          <w:kern w:val="0"/>
          <w:szCs w:val="21"/>
        </w:rPr>
        <w:t>公司（以下</w:t>
      </w:r>
      <w:r>
        <w:rPr>
          <w:rFonts w:asciiTheme="minorEastAsia" w:eastAsiaTheme="minorEastAsia" w:hAnsiTheme="minorEastAsia" w:cs="宋体" w:hint="eastAsia"/>
          <w:kern w:val="0"/>
          <w:szCs w:val="21"/>
        </w:rPr>
        <w:t>简</w:t>
      </w:r>
      <w:r>
        <w:rPr>
          <w:rFonts w:asciiTheme="minorEastAsia" w:eastAsiaTheme="minorEastAsia" w:hAnsiTheme="minorEastAsia" w:cs="MS Mincho" w:hint="eastAsia"/>
          <w:kern w:val="0"/>
          <w:szCs w:val="21"/>
        </w:rPr>
        <w:t>称“公司”）的董事、</w:t>
      </w:r>
      <w:r>
        <w:rPr>
          <w:rFonts w:asciiTheme="minorEastAsia" w:eastAsiaTheme="minorEastAsia" w:hAnsiTheme="minorEastAsia" w:cs="宋体" w:hint="eastAsia"/>
          <w:kern w:val="0"/>
          <w:szCs w:val="21"/>
        </w:rPr>
        <w:t>监</w:t>
      </w:r>
      <w:r>
        <w:rPr>
          <w:rFonts w:asciiTheme="minorEastAsia" w:eastAsiaTheme="minorEastAsia" w:hAnsiTheme="minorEastAsia" w:cs="MS Mincho" w:hint="eastAsia"/>
          <w:kern w:val="0"/>
          <w:szCs w:val="21"/>
        </w:rPr>
        <w:t>事、高</w:t>
      </w:r>
      <w:r>
        <w:rPr>
          <w:rFonts w:asciiTheme="minorEastAsia" w:eastAsiaTheme="minorEastAsia" w:hAnsiTheme="minorEastAsia" w:cs="宋体" w:hint="eastAsia"/>
          <w:kern w:val="0"/>
          <w:szCs w:val="21"/>
        </w:rPr>
        <w:t>级</w:t>
      </w:r>
      <w:r>
        <w:rPr>
          <w:rFonts w:asciiTheme="minorEastAsia" w:eastAsiaTheme="minorEastAsia" w:hAnsiTheme="minorEastAsia" w:cs="MS Mincho" w:hint="eastAsia"/>
          <w:kern w:val="0"/>
          <w:szCs w:val="21"/>
        </w:rPr>
        <w:t>管理人</w:t>
      </w:r>
      <w:r>
        <w:rPr>
          <w:rFonts w:asciiTheme="minorEastAsia" w:eastAsiaTheme="minorEastAsia" w:hAnsiTheme="minorEastAsia" w:cs="宋体" w:hint="eastAsia"/>
          <w:kern w:val="0"/>
          <w:szCs w:val="21"/>
        </w:rPr>
        <w:t>员</w:t>
      </w:r>
      <w:r>
        <w:rPr>
          <w:rFonts w:asciiTheme="minorEastAsia" w:eastAsiaTheme="minorEastAsia" w:hAnsiTheme="minorEastAsia" w:cs="MS Mincho" w:hint="eastAsia"/>
          <w:kern w:val="0"/>
          <w:szCs w:val="21"/>
        </w:rPr>
        <w:t>，我</w:t>
      </w:r>
      <w:r>
        <w:rPr>
          <w:rFonts w:asciiTheme="minorEastAsia" w:eastAsiaTheme="minorEastAsia" w:hAnsiTheme="minorEastAsia" w:cs="宋体" w:hint="eastAsia"/>
          <w:kern w:val="0"/>
          <w:szCs w:val="21"/>
        </w:rPr>
        <w:t>们</w:t>
      </w:r>
      <w:r>
        <w:rPr>
          <w:rFonts w:asciiTheme="minorEastAsia" w:eastAsiaTheme="minorEastAsia" w:hAnsiTheme="minorEastAsia" w:cs="MS Mincho" w:hint="eastAsia"/>
          <w:kern w:val="0"/>
          <w:szCs w:val="21"/>
        </w:rPr>
        <w:t>在全</w:t>
      </w:r>
      <w:r>
        <w:rPr>
          <w:rFonts w:asciiTheme="minorEastAsia" w:eastAsiaTheme="minorEastAsia" w:hAnsiTheme="minorEastAsia" w:cs="CIDFont+F5" w:hint="eastAsia"/>
          <w:kern w:val="0"/>
          <w:szCs w:val="21"/>
        </w:rPr>
        <w:t>面了解和</w:t>
      </w:r>
      <w:r>
        <w:rPr>
          <w:rFonts w:asciiTheme="minorEastAsia" w:eastAsiaTheme="minorEastAsia" w:hAnsiTheme="minorEastAsia" w:cs="宋体" w:hint="eastAsia"/>
          <w:kern w:val="0"/>
          <w:szCs w:val="21"/>
        </w:rPr>
        <w:t>审</w:t>
      </w:r>
      <w:r>
        <w:rPr>
          <w:rFonts w:asciiTheme="minorEastAsia" w:eastAsiaTheme="minorEastAsia" w:hAnsiTheme="minorEastAsia" w:cs="MS Mincho" w:hint="eastAsia"/>
          <w:kern w:val="0"/>
          <w:szCs w:val="21"/>
        </w:rPr>
        <w:t>核公司</w:t>
      </w:r>
      <w:r>
        <w:rPr>
          <w:rFonts w:asciiTheme="minorEastAsia" w:eastAsiaTheme="minorEastAsia" w:hAnsiTheme="minorEastAsia" w:cs="CIDFont+F5"/>
          <w:kern w:val="0"/>
          <w:szCs w:val="21"/>
        </w:rPr>
        <w:t>20</w:t>
      </w:r>
      <w:r>
        <w:rPr>
          <w:rFonts w:asciiTheme="minorEastAsia" w:eastAsiaTheme="minorEastAsia" w:hAnsiTheme="minorEastAsia" w:cs="CIDFont+F5" w:hint="eastAsia"/>
          <w:kern w:val="0"/>
          <w:szCs w:val="21"/>
        </w:rPr>
        <w:t>2</w:t>
      </w:r>
      <w:r>
        <w:rPr>
          <w:rFonts w:asciiTheme="minorEastAsia" w:eastAsiaTheme="minorEastAsia" w:hAnsiTheme="minorEastAsia" w:cs="CIDFont+F5"/>
          <w:kern w:val="0"/>
          <w:szCs w:val="21"/>
        </w:rPr>
        <w:t>3</w:t>
      </w:r>
      <w:r>
        <w:rPr>
          <w:rFonts w:asciiTheme="minorEastAsia" w:eastAsiaTheme="minorEastAsia" w:hAnsiTheme="minorEastAsia" w:cs="CIDFont+F5" w:hint="eastAsia"/>
          <w:kern w:val="0"/>
          <w:szCs w:val="21"/>
        </w:rPr>
        <w:t>年半年度</w:t>
      </w:r>
      <w:r>
        <w:rPr>
          <w:rFonts w:asciiTheme="minorEastAsia" w:eastAsiaTheme="minorEastAsia" w:hAnsiTheme="minorEastAsia" w:cs="宋体" w:hint="eastAsia"/>
          <w:kern w:val="0"/>
          <w:szCs w:val="21"/>
        </w:rPr>
        <w:t>报</w:t>
      </w:r>
      <w:r>
        <w:rPr>
          <w:rFonts w:asciiTheme="minorEastAsia" w:eastAsiaTheme="minorEastAsia" w:hAnsiTheme="minorEastAsia" w:cs="MS Mincho" w:hint="eastAsia"/>
          <w:kern w:val="0"/>
          <w:szCs w:val="21"/>
        </w:rPr>
        <w:t>告及其摘要后，出具意</w:t>
      </w:r>
      <w:r>
        <w:rPr>
          <w:rFonts w:asciiTheme="minorEastAsia" w:eastAsiaTheme="minorEastAsia" w:hAnsiTheme="minorEastAsia" w:cs="宋体" w:hint="eastAsia"/>
          <w:kern w:val="0"/>
          <w:szCs w:val="21"/>
        </w:rPr>
        <w:t>见</w:t>
      </w:r>
      <w:r>
        <w:rPr>
          <w:rFonts w:asciiTheme="minorEastAsia" w:eastAsiaTheme="minorEastAsia" w:hAnsiTheme="minorEastAsia" w:cs="MS Mincho" w:hint="eastAsia"/>
          <w:kern w:val="0"/>
          <w:szCs w:val="21"/>
        </w:rPr>
        <w:t>如下：</w:t>
      </w:r>
    </w:p>
    <w:p w:rsidR="00AD5BB5" w:rsidRDefault="00F87FF6">
      <w:pPr>
        <w:autoSpaceDE w:val="0"/>
        <w:autoSpaceDN w:val="0"/>
        <w:adjustRightInd w:val="0"/>
        <w:spacing w:line="360" w:lineRule="auto"/>
        <w:ind w:firstLineChars="200" w:firstLine="420"/>
        <w:jc w:val="left"/>
        <w:rPr>
          <w:rFonts w:asciiTheme="minorEastAsia" w:eastAsiaTheme="minorEastAsia" w:hAnsiTheme="minorEastAsia" w:cs="CIDFont+F5"/>
          <w:kern w:val="0"/>
          <w:szCs w:val="21"/>
        </w:rPr>
      </w:pPr>
      <w:r>
        <w:rPr>
          <w:rFonts w:asciiTheme="minorEastAsia" w:eastAsiaTheme="minorEastAsia" w:hAnsiTheme="minorEastAsia" w:cs="MS Mincho"/>
          <w:kern w:val="0"/>
          <w:szCs w:val="21"/>
        </w:rPr>
        <w:t>一、</w:t>
      </w:r>
      <w:r>
        <w:rPr>
          <w:rFonts w:asciiTheme="minorEastAsia" w:eastAsiaTheme="minorEastAsia" w:hAnsiTheme="minorEastAsia" w:cs="MS Mincho" w:hint="eastAsia"/>
          <w:kern w:val="0"/>
          <w:szCs w:val="21"/>
        </w:rPr>
        <w:t>公司202</w:t>
      </w:r>
      <w:r>
        <w:rPr>
          <w:rFonts w:asciiTheme="minorEastAsia" w:eastAsiaTheme="minorEastAsia" w:hAnsiTheme="minorEastAsia" w:cs="MS Mincho"/>
          <w:kern w:val="0"/>
          <w:szCs w:val="21"/>
        </w:rPr>
        <w:t>3</w:t>
      </w:r>
      <w:r>
        <w:rPr>
          <w:rFonts w:asciiTheme="minorEastAsia" w:eastAsiaTheme="minorEastAsia" w:hAnsiTheme="minorEastAsia" w:cs="MS Mincho" w:hint="eastAsia"/>
          <w:kern w:val="0"/>
          <w:szCs w:val="21"/>
        </w:rPr>
        <w:t>年半年度报告及其摘要的编制和审议程序符合《</w:t>
      </w:r>
      <w:r>
        <w:rPr>
          <w:rFonts w:asciiTheme="minorEastAsia" w:eastAsiaTheme="minorEastAsia" w:hAnsiTheme="minorEastAsia" w:cs="CIDFont+F5" w:hint="eastAsia"/>
          <w:kern w:val="0"/>
          <w:szCs w:val="21"/>
        </w:rPr>
        <w:t>中</w:t>
      </w:r>
      <w:r>
        <w:rPr>
          <w:rFonts w:asciiTheme="minorEastAsia" w:eastAsiaTheme="minorEastAsia" w:hAnsiTheme="minorEastAsia" w:cs="宋体" w:hint="eastAsia"/>
          <w:kern w:val="0"/>
          <w:szCs w:val="21"/>
        </w:rPr>
        <w:t>华</w:t>
      </w:r>
      <w:r>
        <w:rPr>
          <w:rFonts w:asciiTheme="minorEastAsia" w:eastAsiaTheme="minorEastAsia" w:hAnsiTheme="minorEastAsia" w:cs="MS Mincho" w:hint="eastAsia"/>
          <w:kern w:val="0"/>
          <w:szCs w:val="21"/>
        </w:rPr>
        <w:t>人民共和国公司法》和《公司章程》</w:t>
      </w:r>
      <w:r>
        <w:rPr>
          <w:rFonts w:asciiTheme="minorEastAsia" w:eastAsiaTheme="minorEastAsia" w:hAnsiTheme="minorEastAsia" w:cs="MS Mincho"/>
          <w:kern w:val="0"/>
          <w:szCs w:val="21"/>
        </w:rPr>
        <w:t>等</w:t>
      </w:r>
      <w:r>
        <w:rPr>
          <w:rFonts w:asciiTheme="minorEastAsia" w:eastAsiaTheme="minorEastAsia" w:hAnsiTheme="minorEastAsia" w:cs="MS Mincho" w:hint="eastAsia"/>
          <w:kern w:val="0"/>
          <w:szCs w:val="21"/>
        </w:rPr>
        <w:t>相关法律法规</w:t>
      </w:r>
      <w:r>
        <w:rPr>
          <w:rFonts w:asciiTheme="minorEastAsia" w:eastAsiaTheme="minorEastAsia" w:hAnsiTheme="minorEastAsia" w:cs="MS Mincho"/>
          <w:kern w:val="0"/>
          <w:szCs w:val="21"/>
        </w:rPr>
        <w:t>及</w:t>
      </w:r>
      <w:r>
        <w:rPr>
          <w:rFonts w:asciiTheme="minorEastAsia" w:eastAsiaTheme="minorEastAsia" w:hAnsiTheme="minorEastAsia" w:cs="MS Mincho" w:hint="eastAsia"/>
          <w:kern w:val="0"/>
          <w:szCs w:val="21"/>
        </w:rPr>
        <w:t>公司各项内部管理制度的规定，不存在违反相关程序性规定的行为。</w:t>
      </w:r>
    </w:p>
    <w:p w:rsidR="00AD5BB5" w:rsidRDefault="00F87FF6">
      <w:pPr>
        <w:autoSpaceDE w:val="0"/>
        <w:autoSpaceDN w:val="0"/>
        <w:adjustRightInd w:val="0"/>
        <w:spacing w:line="360" w:lineRule="auto"/>
        <w:ind w:firstLineChars="200" w:firstLine="420"/>
        <w:jc w:val="left"/>
        <w:rPr>
          <w:rFonts w:asciiTheme="minorEastAsia" w:eastAsiaTheme="minorEastAsia" w:hAnsiTheme="minorEastAsia" w:cs="CIDFont+F5"/>
          <w:kern w:val="0"/>
          <w:szCs w:val="21"/>
        </w:rPr>
      </w:pPr>
      <w:r>
        <w:rPr>
          <w:rFonts w:asciiTheme="minorEastAsia" w:eastAsiaTheme="minorEastAsia" w:hAnsiTheme="minorEastAsia" w:cs="CIDFont+F5"/>
          <w:kern w:val="0"/>
          <w:szCs w:val="21"/>
        </w:rPr>
        <w:t>二</w:t>
      </w:r>
      <w:r>
        <w:rPr>
          <w:rFonts w:asciiTheme="minorEastAsia" w:eastAsiaTheme="minorEastAsia" w:hAnsiTheme="minorEastAsia" w:cs="CIDFont+F5" w:hint="eastAsia"/>
          <w:kern w:val="0"/>
          <w:szCs w:val="21"/>
        </w:rPr>
        <w:t>、公司</w:t>
      </w:r>
      <w:r>
        <w:rPr>
          <w:rFonts w:asciiTheme="minorEastAsia" w:eastAsiaTheme="minorEastAsia" w:hAnsiTheme="minorEastAsia" w:cs="宋体" w:hint="eastAsia"/>
          <w:kern w:val="0"/>
          <w:szCs w:val="21"/>
        </w:rPr>
        <w:t>严</w:t>
      </w:r>
      <w:r>
        <w:rPr>
          <w:rFonts w:asciiTheme="minorEastAsia" w:eastAsiaTheme="minorEastAsia" w:hAnsiTheme="minorEastAsia" w:cs="MS Mincho" w:hint="eastAsia"/>
          <w:kern w:val="0"/>
          <w:szCs w:val="21"/>
        </w:rPr>
        <w:t>格</w:t>
      </w:r>
      <w:r>
        <w:rPr>
          <w:rFonts w:asciiTheme="minorEastAsia" w:eastAsiaTheme="minorEastAsia" w:hAnsiTheme="minorEastAsia" w:cs="宋体" w:hint="eastAsia"/>
          <w:kern w:val="0"/>
          <w:szCs w:val="21"/>
        </w:rPr>
        <w:t>执</w:t>
      </w:r>
      <w:r>
        <w:rPr>
          <w:rFonts w:asciiTheme="minorEastAsia" w:eastAsiaTheme="minorEastAsia" w:hAnsiTheme="minorEastAsia" w:cs="MS Mincho" w:hint="eastAsia"/>
          <w:kern w:val="0"/>
          <w:szCs w:val="21"/>
        </w:rPr>
        <w:t>行企</w:t>
      </w:r>
      <w:r>
        <w:rPr>
          <w:rFonts w:asciiTheme="minorEastAsia" w:eastAsiaTheme="minorEastAsia" w:hAnsiTheme="minorEastAsia" w:cs="宋体" w:hint="eastAsia"/>
          <w:kern w:val="0"/>
          <w:szCs w:val="21"/>
        </w:rPr>
        <w:t>业</w:t>
      </w:r>
      <w:r>
        <w:rPr>
          <w:rFonts w:asciiTheme="minorEastAsia" w:eastAsiaTheme="minorEastAsia" w:hAnsiTheme="minorEastAsia" w:cs="MS Mincho" w:hint="eastAsia"/>
          <w:kern w:val="0"/>
          <w:szCs w:val="21"/>
        </w:rPr>
        <w:t>会</w:t>
      </w:r>
      <w:r>
        <w:rPr>
          <w:rFonts w:asciiTheme="minorEastAsia" w:eastAsiaTheme="minorEastAsia" w:hAnsiTheme="minorEastAsia" w:cs="宋体" w:hint="eastAsia"/>
          <w:kern w:val="0"/>
          <w:szCs w:val="21"/>
        </w:rPr>
        <w:t>计</w:t>
      </w:r>
      <w:r>
        <w:rPr>
          <w:rFonts w:asciiTheme="minorEastAsia" w:eastAsiaTheme="minorEastAsia" w:hAnsiTheme="minorEastAsia" w:cs="MS Mincho" w:hint="eastAsia"/>
          <w:kern w:val="0"/>
          <w:szCs w:val="21"/>
        </w:rPr>
        <w:t>准</w:t>
      </w:r>
      <w:r>
        <w:rPr>
          <w:rFonts w:asciiTheme="minorEastAsia" w:eastAsiaTheme="minorEastAsia" w:hAnsiTheme="minorEastAsia" w:cs="宋体" w:hint="eastAsia"/>
          <w:kern w:val="0"/>
          <w:szCs w:val="21"/>
        </w:rPr>
        <w:t>则</w:t>
      </w:r>
      <w:r>
        <w:rPr>
          <w:rFonts w:asciiTheme="minorEastAsia" w:eastAsiaTheme="minorEastAsia" w:hAnsiTheme="minorEastAsia" w:cs="MS Mincho" w:hint="eastAsia"/>
          <w:kern w:val="0"/>
          <w:szCs w:val="21"/>
        </w:rPr>
        <w:t>，公司</w:t>
      </w:r>
      <w:r>
        <w:rPr>
          <w:rFonts w:asciiTheme="minorEastAsia" w:eastAsiaTheme="minorEastAsia" w:hAnsiTheme="minorEastAsia" w:cs="CIDFont+F5"/>
          <w:kern w:val="0"/>
          <w:szCs w:val="21"/>
        </w:rPr>
        <w:t>20</w:t>
      </w:r>
      <w:r>
        <w:rPr>
          <w:rFonts w:asciiTheme="minorEastAsia" w:eastAsiaTheme="minorEastAsia" w:hAnsiTheme="minorEastAsia" w:cs="CIDFont+F5" w:hint="eastAsia"/>
          <w:kern w:val="0"/>
          <w:szCs w:val="21"/>
        </w:rPr>
        <w:t>2</w:t>
      </w:r>
      <w:r>
        <w:rPr>
          <w:rFonts w:asciiTheme="minorEastAsia" w:eastAsiaTheme="minorEastAsia" w:hAnsiTheme="minorEastAsia" w:cs="CIDFont+F5"/>
          <w:kern w:val="0"/>
          <w:szCs w:val="21"/>
        </w:rPr>
        <w:t>3</w:t>
      </w:r>
      <w:r>
        <w:rPr>
          <w:rFonts w:asciiTheme="minorEastAsia" w:eastAsiaTheme="minorEastAsia" w:hAnsiTheme="minorEastAsia" w:cs="CIDFont+F5" w:hint="eastAsia"/>
          <w:kern w:val="0"/>
          <w:szCs w:val="21"/>
        </w:rPr>
        <w:t>年半年度</w:t>
      </w:r>
      <w:r>
        <w:rPr>
          <w:rFonts w:asciiTheme="minorEastAsia" w:eastAsiaTheme="minorEastAsia" w:hAnsiTheme="minorEastAsia" w:cs="宋体" w:hint="eastAsia"/>
          <w:kern w:val="0"/>
          <w:szCs w:val="21"/>
        </w:rPr>
        <w:t>报</w:t>
      </w:r>
      <w:r>
        <w:rPr>
          <w:rFonts w:asciiTheme="minorEastAsia" w:eastAsiaTheme="minorEastAsia" w:hAnsiTheme="minorEastAsia" w:cs="MS Mincho" w:hint="eastAsia"/>
          <w:kern w:val="0"/>
          <w:szCs w:val="21"/>
        </w:rPr>
        <w:t>告及其摘</w:t>
      </w:r>
      <w:r>
        <w:rPr>
          <w:rFonts w:asciiTheme="minorEastAsia" w:eastAsiaTheme="minorEastAsia" w:hAnsiTheme="minorEastAsia" w:cs="CIDFont+F5" w:hint="eastAsia"/>
          <w:kern w:val="0"/>
          <w:szCs w:val="21"/>
        </w:rPr>
        <w:t>要公允地反</w:t>
      </w:r>
      <w:r>
        <w:rPr>
          <w:rFonts w:asciiTheme="minorEastAsia" w:eastAsiaTheme="minorEastAsia" w:hAnsiTheme="minorEastAsia" w:cs="宋体" w:hint="eastAsia"/>
          <w:kern w:val="0"/>
          <w:szCs w:val="21"/>
        </w:rPr>
        <w:t>映</w:t>
      </w:r>
      <w:r>
        <w:rPr>
          <w:rFonts w:asciiTheme="minorEastAsia" w:eastAsiaTheme="minorEastAsia" w:hAnsiTheme="minorEastAsia" w:cs="MS Mincho" w:hint="eastAsia"/>
          <w:kern w:val="0"/>
          <w:szCs w:val="21"/>
        </w:rPr>
        <w:t>了公司本报告期的</w:t>
      </w:r>
      <w:r>
        <w:rPr>
          <w:rFonts w:asciiTheme="minorEastAsia" w:eastAsiaTheme="minorEastAsia" w:hAnsiTheme="minorEastAsia" w:cs="宋体" w:hint="eastAsia"/>
          <w:kern w:val="0"/>
          <w:szCs w:val="21"/>
        </w:rPr>
        <w:t>财务</w:t>
      </w:r>
      <w:r>
        <w:rPr>
          <w:rFonts w:asciiTheme="minorEastAsia" w:eastAsiaTheme="minorEastAsia" w:hAnsiTheme="minorEastAsia" w:cs="MS Mincho" w:hint="eastAsia"/>
          <w:kern w:val="0"/>
          <w:szCs w:val="21"/>
        </w:rPr>
        <w:t>状况和</w:t>
      </w:r>
      <w:r>
        <w:rPr>
          <w:rFonts w:asciiTheme="minorEastAsia" w:eastAsiaTheme="minorEastAsia" w:hAnsiTheme="minorEastAsia" w:cs="宋体" w:hint="eastAsia"/>
          <w:kern w:val="0"/>
          <w:szCs w:val="21"/>
        </w:rPr>
        <w:t>经营</w:t>
      </w:r>
      <w:r>
        <w:rPr>
          <w:rFonts w:asciiTheme="minorEastAsia" w:eastAsiaTheme="minorEastAsia" w:hAnsiTheme="minorEastAsia" w:cs="MS Mincho" w:hint="eastAsia"/>
          <w:kern w:val="0"/>
          <w:szCs w:val="21"/>
        </w:rPr>
        <w:t>成果，所包含的内容能从各个方面真实、准确、完整地反映出公司报告期内的经营管理和财务状况等事项。</w:t>
      </w:r>
    </w:p>
    <w:p w:rsidR="00AD5BB5" w:rsidRDefault="00F87FF6">
      <w:pPr>
        <w:autoSpaceDE w:val="0"/>
        <w:autoSpaceDN w:val="0"/>
        <w:adjustRightInd w:val="0"/>
        <w:spacing w:line="360" w:lineRule="auto"/>
        <w:ind w:firstLineChars="200" w:firstLine="420"/>
        <w:jc w:val="left"/>
        <w:rPr>
          <w:rFonts w:asciiTheme="minorEastAsia" w:eastAsiaTheme="minorEastAsia" w:hAnsiTheme="minorEastAsia" w:cs="MS Mincho"/>
          <w:kern w:val="0"/>
          <w:szCs w:val="21"/>
        </w:rPr>
      </w:pPr>
      <w:r>
        <w:rPr>
          <w:rFonts w:asciiTheme="minorEastAsia" w:eastAsiaTheme="minorEastAsia" w:hAnsiTheme="minorEastAsia" w:cs="CIDFont+F5"/>
          <w:kern w:val="0"/>
          <w:szCs w:val="21"/>
        </w:rPr>
        <w:t>三</w:t>
      </w:r>
      <w:r>
        <w:rPr>
          <w:rFonts w:asciiTheme="minorEastAsia" w:eastAsiaTheme="minorEastAsia" w:hAnsiTheme="minorEastAsia" w:cs="CIDFont+F5" w:hint="eastAsia"/>
          <w:kern w:val="0"/>
          <w:szCs w:val="21"/>
        </w:rPr>
        <w:t>、公司</w:t>
      </w:r>
      <w:r>
        <w:rPr>
          <w:rFonts w:asciiTheme="minorEastAsia" w:eastAsiaTheme="minorEastAsia" w:hAnsiTheme="minorEastAsia" w:cs="CIDFont+F5"/>
          <w:kern w:val="0"/>
          <w:szCs w:val="21"/>
        </w:rPr>
        <w:t>20</w:t>
      </w:r>
      <w:r>
        <w:rPr>
          <w:rFonts w:asciiTheme="minorEastAsia" w:eastAsiaTheme="minorEastAsia" w:hAnsiTheme="minorEastAsia" w:cs="CIDFont+F5" w:hint="eastAsia"/>
          <w:kern w:val="0"/>
          <w:szCs w:val="21"/>
        </w:rPr>
        <w:t>2</w:t>
      </w:r>
      <w:r>
        <w:rPr>
          <w:rFonts w:asciiTheme="minorEastAsia" w:eastAsiaTheme="minorEastAsia" w:hAnsiTheme="minorEastAsia" w:cs="CIDFont+F5"/>
          <w:kern w:val="0"/>
          <w:szCs w:val="21"/>
        </w:rPr>
        <w:t>3</w:t>
      </w:r>
      <w:r>
        <w:rPr>
          <w:rFonts w:asciiTheme="minorEastAsia" w:eastAsiaTheme="minorEastAsia" w:hAnsiTheme="minorEastAsia" w:cs="CIDFont+F5" w:hint="eastAsia"/>
          <w:kern w:val="0"/>
          <w:szCs w:val="21"/>
        </w:rPr>
        <w:t>年半年度财务报告未经审计，但已经安永华明会计师事务所（特殊普通合伙）审阅并出具了审阅报告</w:t>
      </w:r>
      <w:r>
        <w:rPr>
          <w:rFonts w:asciiTheme="minorEastAsia" w:eastAsiaTheme="minorEastAsia" w:hAnsiTheme="minorEastAsia" w:cs="MS Mincho" w:hint="eastAsia"/>
          <w:kern w:val="0"/>
          <w:szCs w:val="21"/>
        </w:rPr>
        <w:t>。</w:t>
      </w:r>
    </w:p>
    <w:p w:rsidR="00AD5BB5" w:rsidRDefault="00F87FF6">
      <w:pPr>
        <w:autoSpaceDE w:val="0"/>
        <w:autoSpaceDN w:val="0"/>
        <w:adjustRightInd w:val="0"/>
        <w:spacing w:line="360" w:lineRule="auto"/>
        <w:ind w:firstLineChars="200" w:firstLine="420"/>
        <w:jc w:val="left"/>
        <w:rPr>
          <w:rFonts w:asciiTheme="minorEastAsia" w:eastAsiaTheme="minorEastAsia" w:hAnsiTheme="minorEastAsia" w:cs="MS Mincho"/>
          <w:kern w:val="0"/>
          <w:szCs w:val="21"/>
        </w:rPr>
      </w:pPr>
      <w:r>
        <w:rPr>
          <w:rFonts w:asciiTheme="minorEastAsia" w:eastAsiaTheme="minorEastAsia" w:hAnsiTheme="minorEastAsia" w:cs="CIDFont+F5"/>
          <w:kern w:val="0"/>
          <w:szCs w:val="21"/>
        </w:rPr>
        <w:t>四</w:t>
      </w:r>
      <w:r>
        <w:rPr>
          <w:rFonts w:asciiTheme="minorEastAsia" w:eastAsiaTheme="minorEastAsia" w:hAnsiTheme="minorEastAsia" w:cs="CIDFont+F5" w:hint="eastAsia"/>
          <w:kern w:val="0"/>
          <w:szCs w:val="21"/>
        </w:rPr>
        <w:t>、我</w:t>
      </w:r>
      <w:r>
        <w:rPr>
          <w:rFonts w:asciiTheme="minorEastAsia" w:eastAsiaTheme="minorEastAsia" w:hAnsiTheme="minorEastAsia" w:cs="宋体" w:hint="eastAsia"/>
          <w:kern w:val="0"/>
          <w:szCs w:val="21"/>
        </w:rPr>
        <w:t>们认为</w:t>
      </w:r>
      <w:r>
        <w:rPr>
          <w:rFonts w:asciiTheme="minorEastAsia" w:eastAsiaTheme="minorEastAsia" w:hAnsiTheme="minorEastAsia" w:cs="MS Mincho" w:hint="eastAsia"/>
          <w:kern w:val="0"/>
          <w:szCs w:val="21"/>
        </w:rPr>
        <w:t>，公司</w:t>
      </w:r>
      <w:r>
        <w:rPr>
          <w:rFonts w:asciiTheme="minorEastAsia" w:eastAsiaTheme="minorEastAsia" w:hAnsiTheme="minorEastAsia" w:cs="CIDFont+F5"/>
          <w:kern w:val="0"/>
          <w:szCs w:val="21"/>
        </w:rPr>
        <w:t>20</w:t>
      </w:r>
      <w:r>
        <w:rPr>
          <w:rFonts w:asciiTheme="minorEastAsia" w:eastAsiaTheme="minorEastAsia" w:hAnsiTheme="minorEastAsia" w:cs="CIDFont+F5" w:hint="eastAsia"/>
          <w:kern w:val="0"/>
          <w:szCs w:val="21"/>
        </w:rPr>
        <w:t>2</w:t>
      </w:r>
      <w:r>
        <w:rPr>
          <w:rFonts w:asciiTheme="minorEastAsia" w:eastAsiaTheme="minorEastAsia" w:hAnsiTheme="minorEastAsia" w:cs="CIDFont+F5"/>
          <w:kern w:val="0"/>
          <w:szCs w:val="21"/>
        </w:rPr>
        <w:t>3</w:t>
      </w:r>
      <w:r>
        <w:rPr>
          <w:rFonts w:asciiTheme="minorEastAsia" w:eastAsiaTheme="minorEastAsia" w:hAnsiTheme="minorEastAsia" w:cs="CIDFont+F5" w:hint="eastAsia"/>
          <w:kern w:val="0"/>
          <w:szCs w:val="21"/>
        </w:rPr>
        <w:t>年半年度</w:t>
      </w:r>
      <w:r>
        <w:rPr>
          <w:rFonts w:asciiTheme="minorEastAsia" w:eastAsiaTheme="minorEastAsia" w:hAnsiTheme="minorEastAsia" w:cs="宋体" w:hint="eastAsia"/>
          <w:kern w:val="0"/>
          <w:szCs w:val="21"/>
        </w:rPr>
        <w:t>报</w:t>
      </w:r>
      <w:r>
        <w:rPr>
          <w:rFonts w:asciiTheme="minorEastAsia" w:eastAsiaTheme="minorEastAsia" w:hAnsiTheme="minorEastAsia" w:cs="MS Mincho" w:hint="eastAsia"/>
          <w:kern w:val="0"/>
          <w:szCs w:val="21"/>
        </w:rPr>
        <w:t>告及其摘要所</w:t>
      </w:r>
      <w:r>
        <w:rPr>
          <w:rFonts w:asciiTheme="minorEastAsia" w:eastAsiaTheme="minorEastAsia" w:hAnsiTheme="minorEastAsia" w:cs="宋体" w:hint="eastAsia"/>
          <w:kern w:val="0"/>
          <w:szCs w:val="21"/>
        </w:rPr>
        <w:t>载资</w:t>
      </w:r>
      <w:r>
        <w:rPr>
          <w:rFonts w:asciiTheme="minorEastAsia" w:eastAsiaTheme="minorEastAsia" w:hAnsiTheme="minorEastAsia" w:cs="MS Mincho" w:hint="eastAsia"/>
          <w:kern w:val="0"/>
          <w:szCs w:val="21"/>
        </w:rPr>
        <w:t>料不</w:t>
      </w:r>
      <w:r>
        <w:rPr>
          <w:rFonts w:asciiTheme="minorEastAsia" w:eastAsiaTheme="minorEastAsia" w:hAnsiTheme="minorEastAsia" w:cs="CIDFont+F5" w:hint="eastAsia"/>
          <w:kern w:val="0"/>
          <w:szCs w:val="21"/>
        </w:rPr>
        <w:t>存在任何虚假</w:t>
      </w:r>
      <w:r>
        <w:rPr>
          <w:rFonts w:asciiTheme="minorEastAsia" w:eastAsiaTheme="minorEastAsia" w:hAnsiTheme="minorEastAsia" w:cs="宋体" w:hint="eastAsia"/>
          <w:kern w:val="0"/>
          <w:szCs w:val="21"/>
        </w:rPr>
        <w:t>记载</w:t>
      </w:r>
      <w:r>
        <w:rPr>
          <w:rFonts w:asciiTheme="minorEastAsia" w:eastAsiaTheme="minorEastAsia" w:hAnsiTheme="minorEastAsia" w:cs="MS Mincho" w:hint="eastAsia"/>
          <w:kern w:val="0"/>
          <w:szCs w:val="21"/>
        </w:rPr>
        <w:t>、</w:t>
      </w:r>
      <w:r>
        <w:rPr>
          <w:rFonts w:asciiTheme="minorEastAsia" w:eastAsiaTheme="minorEastAsia" w:hAnsiTheme="minorEastAsia" w:cs="宋体" w:hint="eastAsia"/>
          <w:kern w:val="0"/>
          <w:szCs w:val="21"/>
        </w:rPr>
        <w:t>误导</w:t>
      </w:r>
      <w:r>
        <w:rPr>
          <w:rFonts w:asciiTheme="minorEastAsia" w:eastAsiaTheme="minorEastAsia" w:hAnsiTheme="minorEastAsia" w:cs="MS Mincho" w:hint="eastAsia"/>
          <w:kern w:val="0"/>
          <w:szCs w:val="21"/>
        </w:rPr>
        <w:t>性</w:t>
      </w:r>
      <w:r>
        <w:rPr>
          <w:rFonts w:asciiTheme="minorEastAsia" w:eastAsiaTheme="minorEastAsia" w:hAnsiTheme="minorEastAsia" w:cs="宋体" w:hint="eastAsia"/>
          <w:kern w:val="0"/>
          <w:szCs w:val="21"/>
        </w:rPr>
        <w:t>陈</w:t>
      </w:r>
      <w:r>
        <w:rPr>
          <w:rFonts w:asciiTheme="minorEastAsia" w:eastAsiaTheme="minorEastAsia" w:hAnsiTheme="minorEastAsia" w:cs="MS Mincho" w:hint="eastAsia"/>
          <w:kern w:val="0"/>
          <w:szCs w:val="21"/>
        </w:rPr>
        <w:t>述或重大</w:t>
      </w:r>
      <w:r>
        <w:rPr>
          <w:rFonts w:asciiTheme="minorEastAsia" w:eastAsiaTheme="minorEastAsia" w:hAnsiTheme="minorEastAsia" w:cs="宋体" w:hint="eastAsia"/>
          <w:kern w:val="0"/>
          <w:szCs w:val="21"/>
        </w:rPr>
        <w:t>遗</w:t>
      </w:r>
      <w:r>
        <w:rPr>
          <w:rFonts w:asciiTheme="minorEastAsia" w:eastAsiaTheme="minorEastAsia" w:hAnsiTheme="minorEastAsia" w:cs="MS Mincho" w:hint="eastAsia"/>
          <w:kern w:val="0"/>
          <w:szCs w:val="21"/>
        </w:rPr>
        <w:t>漏，我们同意2</w:t>
      </w:r>
      <w:r>
        <w:rPr>
          <w:rFonts w:asciiTheme="minorEastAsia" w:eastAsiaTheme="minorEastAsia" w:hAnsiTheme="minorEastAsia" w:cs="MS Mincho"/>
          <w:kern w:val="0"/>
          <w:szCs w:val="21"/>
        </w:rPr>
        <w:t>023年半年度报告所载内容，</w:t>
      </w:r>
      <w:r>
        <w:rPr>
          <w:rFonts w:asciiTheme="minorEastAsia" w:eastAsiaTheme="minorEastAsia" w:hAnsiTheme="minorEastAsia" w:cs="MS Mincho" w:hint="eastAsia"/>
          <w:kern w:val="0"/>
          <w:szCs w:val="21"/>
        </w:rPr>
        <w:t>并</w:t>
      </w:r>
      <w:r>
        <w:rPr>
          <w:rFonts w:asciiTheme="minorEastAsia" w:eastAsiaTheme="minorEastAsia" w:hAnsiTheme="minorEastAsia" w:cs="宋体" w:hint="eastAsia"/>
          <w:kern w:val="0"/>
          <w:szCs w:val="21"/>
        </w:rPr>
        <w:t>对</w:t>
      </w:r>
      <w:r>
        <w:rPr>
          <w:rFonts w:asciiTheme="minorEastAsia" w:eastAsiaTheme="minorEastAsia" w:hAnsiTheme="minorEastAsia" w:cs="MS Mincho" w:hint="eastAsia"/>
          <w:kern w:val="0"/>
          <w:szCs w:val="21"/>
        </w:rPr>
        <w:t>其内容的真</w:t>
      </w:r>
      <w:r>
        <w:rPr>
          <w:rFonts w:asciiTheme="minorEastAsia" w:eastAsiaTheme="minorEastAsia" w:hAnsiTheme="minorEastAsia" w:cs="宋体" w:hint="eastAsia"/>
          <w:kern w:val="0"/>
          <w:szCs w:val="21"/>
        </w:rPr>
        <w:t>实</w:t>
      </w:r>
      <w:r>
        <w:rPr>
          <w:rFonts w:asciiTheme="minorEastAsia" w:eastAsiaTheme="minorEastAsia" w:hAnsiTheme="minorEastAsia" w:cs="CIDFont+F5" w:hint="eastAsia"/>
          <w:kern w:val="0"/>
          <w:szCs w:val="21"/>
        </w:rPr>
        <w:t>性、准确性和完整性承担个</w:t>
      </w:r>
      <w:r>
        <w:rPr>
          <w:rFonts w:asciiTheme="minorEastAsia" w:eastAsiaTheme="minorEastAsia" w:hAnsiTheme="minorEastAsia" w:cs="宋体" w:hint="eastAsia"/>
          <w:kern w:val="0"/>
          <w:szCs w:val="21"/>
        </w:rPr>
        <w:t>别</w:t>
      </w:r>
      <w:r>
        <w:rPr>
          <w:rFonts w:asciiTheme="minorEastAsia" w:eastAsiaTheme="minorEastAsia" w:hAnsiTheme="minorEastAsia" w:cs="MS Mincho" w:hint="eastAsia"/>
          <w:kern w:val="0"/>
          <w:szCs w:val="21"/>
        </w:rPr>
        <w:t>及</w:t>
      </w:r>
      <w:r>
        <w:rPr>
          <w:rFonts w:asciiTheme="minorEastAsia" w:eastAsiaTheme="minorEastAsia" w:hAnsiTheme="minorEastAsia" w:cs="宋体" w:hint="eastAsia"/>
          <w:kern w:val="0"/>
          <w:szCs w:val="21"/>
        </w:rPr>
        <w:t>连带的法律责</w:t>
      </w:r>
      <w:r>
        <w:rPr>
          <w:rFonts w:asciiTheme="minorEastAsia" w:eastAsiaTheme="minorEastAsia" w:hAnsiTheme="minorEastAsia" w:cs="MS Mincho" w:hint="eastAsia"/>
          <w:kern w:val="0"/>
          <w:szCs w:val="21"/>
        </w:rPr>
        <w:t>任。</w:t>
      </w:r>
    </w:p>
    <w:p w:rsidR="00AD5BB5" w:rsidRDefault="00AD5BB5">
      <w:pPr>
        <w:autoSpaceDE w:val="0"/>
        <w:autoSpaceDN w:val="0"/>
        <w:adjustRightInd w:val="0"/>
        <w:spacing w:line="360" w:lineRule="auto"/>
        <w:ind w:firstLineChars="200" w:firstLine="420"/>
        <w:jc w:val="left"/>
        <w:rPr>
          <w:rFonts w:asciiTheme="minorEastAsia" w:eastAsiaTheme="minorEastAsia" w:hAnsiTheme="minorEastAsia" w:cs="MS Mincho"/>
          <w:kern w:val="0"/>
          <w:szCs w:val="21"/>
        </w:rPr>
      </w:pPr>
    </w:p>
    <w:p w:rsidR="00AD5BB5" w:rsidRDefault="00AD5BB5">
      <w:pPr>
        <w:autoSpaceDE w:val="0"/>
        <w:autoSpaceDN w:val="0"/>
        <w:adjustRightInd w:val="0"/>
        <w:spacing w:line="360" w:lineRule="auto"/>
        <w:ind w:firstLineChars="200" w:firstLine="420"/>
        <w:jc w:val="left"/>
        <w:rPr>
          <w:rFonts w:asciiTheme="minorEastAsia" w:eastAsiaTheme="minorEastAsia" w:hAnsiTheme="minorEastAsia" w:cs="MS Mincho"/>
          <w:kern w:val="0"/>
          <w:szCs w:val="21"/>
        </w:rPr>
      </w:pPr>
    </w:p>
    <w:p w:rsidR="00AD5BB5" w:rsidRDefault="00AD5BB5">
      <w:pPr>
        <w:autoSpaceDE w:val="0"/>
        <w:autoSpaceDN w:val="0"/>
        <w:adjustRightInd w:val="0"/>
        <w:spacing w:line="360" w:lineRule="auto"/>
        <w:ind w:firstLineChars="200" w:firstLine="420"/>
        <w:jc w:val="left"/>
        <w:rPr>
          <w:rFonts w:asciiTheme="minorEastAsia" w:eastAsiaTheme="minorEastAsia" w:hAnsiTheme="minorEastAsia" w:cs="CIDFont+F5"/>
          <w:kern w:val="0"/>
          <w:szCs w:val="21"/>
        </w:rPr>
      </w:pPr>
    </w:p>
    <w:p w:rsidR="00AD5BB5" w:rsidRDefault="00F87FF6">
      <w:pPr>
        <w:autoSpaceDE w:val="0"/>
        <w:autoSpaceDN w:val="0"/>
        <w:adjustRightInd w:val="0"/>
        <w:spacing w:line="360" w:lineRule="auto"/>
        <w:jc w:val="left"/>
        <w:rPr>
          <w:rFonts w:asciiTheme="minorEastAsia" w:eastAsiaTheme="minorEastAsia" w:hAnsiTheme="minorEastAsia" w:cs="宋体"/>
          <w:kern w:val="0"/>
          <w:szCs w:val="21"/>
        </w:rPr>
      </w:pPr>
      <w:r>
        <w:rPr>
          <w:rFonts w:asciiTheme="minorEastAsia" w:eastAsiaTheme="minorEastAsia" w:hAnsiTheme="minorEastAsia" w:cs="CIDFont+F5" w:hint="eastAsia"/>
          <w:kern w:val="0"/>
          <w:szCs w:val="21"/>
        </w:rPr>
        <w:t>董事：</w:t>
      </w:r>
      <w:r>
        <w:rPr>
          <w:rFonts w:asciiTheme="minorEastAsia" w:eastAsiaTheme="minorEastAsia" w:hAnsiTheme="minorEastAsia" w:cs="宋体" w:hint="eastAsia"/>
          <w:kern w:val="0"/>
          <w:szCs w:val="21"/>
        </w:rPr>
        <w:t>姚志萍、檀庄龙、</w:t>
      </w:r>
      <w:proofErr w:type="gramStart"/>
      <w:r>
        <w:rPr>
          <w:rFonts w:asciiTheme="minorEastAsia" w:eastAsiaTheme="minorEastAsia" w:hAnsiTheme="minorEastAsia" w:cs="宋体" w:hint="eastAsia"/>
          <w:kern w:val="0"/>
          <w:szCs w:val="21"/>
        </w:rPr>
        <w:t>洪主民</w:t>
      </w:r>
      <w:proofErr w:type="gramEnd"/>
      <w:r>
        <w:rPr>
          <w:rFonts w:asciiTheme="minorEastAsia" w:eastAsiaTheme="minorEastAsia" w:hAnsiTheme="minorEastAsia" w:cs="宋体" w:hint="eastAsia"/>
          <w:kern w:val="0"/>
          <w:szCs w:val="21"/>
        </w:rPr>
        <w:t>、吴昕颢、毛建忠、周永伟、黄金典、汤琼兰、宁向东、戴亦一、谢德仁、聂秀峰、陈欣</w:t>
      </w:r>
    </w:p>
    <w:p w:rsidR="00AD5BB5" w:rsidRDefault="00F87FF6">
      <w:pPr>
        <w:autoSpaceDE w:val="0"/>
        <w:autoSpaceDN w:val="0"/>
        <w:adjustRightInd w:val="0"/>
        <w:spacing w:line="360" w:lineRule="auto"/>
        <w:jc w:val="left"/>
        <w:rPr>
          <w:rFonts w:asciiTheme="minorEastAsia" w:eastAsiaTheme="minorEastAsia" w:hAnsiTheme="minorEastAsia" w:cs="CIDFont+F5"/>
          <w:kern w:val="0"/>
          <w:szCs w:val="21"/>
        </w:rPr>
      </w:pPr>
      <w:r>
        <w:rPr>
          <w:rFonts w:asciiTheme="minorEastAsia" w:eastAsiaTheme="minorEastAsia" w:hAnsiTheme="minorEastAsia" w:cs="宋体" w:hint="eastAsia"/>
          <w:kern w:val="0"/>
          <w:szCs w:val="21"/>
        </w:rPr>
        <w:t>监</w:t>
      </w:r>
      <w:r>
        <w:rPr>
          <w:rFonts w:asciiTheme="minorEastAsia" w:eastAsiaTheme="minorEastAsia" w:hAnsiTheme="minorEastAsia" w:cs="MS Mincho" w:hint="eastAsia"/>
          <w:kern w:val="0"/>
          <w:szCs w:val="21"/>
        </w:rPr>
        <w:t>事：</w:t>
      </w:r>
      <w:r>
        <w:rPr>
          <w:rFonts w:asciiTheme="minorEastAsia" w:eastAsiaTheme="minorEastAsia" w:hAnsiTheme="minorEastAsia" w:cs="宋体" w:hint="eastAsia"/>
          <w:kern w:val="0"/>
          <w:szCs w:val="21"/>
        </w:rPr>
        <w:t>张永欢、陈铁铭、吴泉水、袁东、方燕玲、朱聿聿</w:t>
      </w:r>
    </w:p>
    <w:p w:rsidR="00AD5BB5" w:rsidRDefault="00F87FF6">
      <w:pPr>
        <w:overflowPunct w:val="0"/>
        <w:autoSpaceDE w:val="0"/>
        <w:autoSpaceDN w:val="0"/>
        <w:adjustRightInd w:val="0"/>
        <w:snapToGrid w:val="0"/>
        <w:textAlignment w:val="bottom"/>
        <w:rPr>
          <w:rFonts w:asciiTheme="minorEastAsia" w:eastAsiaTheme="minorEastAsia" w:hAnsiTheme="minorEastAsia" w:cs="MS Mincho"/>
          <w:kern w:val="0"/>
          <w:szCs w:val="21"/>
        </w:rPr>
      </w:pPr>
      <w:r>
        <w:rPr>
          <w:rFonts w:asciiTheme="minorEastAsia" w:eastAsiaTheme="minorEastAsia" w:hAnsiTheme="minorEastAsia" w:cs="CIDFont+F5" w:hint="eastAsia"/>
          <w:kern w:val="0"/>
          <w:szCs w:val="21"/>
        </w:rPr>
        <w:t>高</w:t>
      </w:r>
      <w:r>
        <w:rPr>
          <w:rFonts w:asciiTheme="minorEastAsia" w:eastAsiaTheme="minorEastAsia" w:hAnsiTheme="minorEastAsia" w:cs="宋体" w:hint="eastAsia"/>
          <w:kern w:val="0"/>
          <w:szCs w:val="21"/>
        </w:rPr>
        <w:t>级</w:t>
      </w:r>
      <w:r>
        <w:rPr>
          <w:rFonts w:asciiTheme="minorEastAsia" w:eastAsiaTheme="minorEastAsia" w:hAnsiTheme="minorEastAsia" w:cs="MS Mincho" w:hint="eastAsia"/>
          <w:kern w:val="0"/>
          <w:szCs w:val="21"/>
        </w:rPr>
        <w:t>管理人</w:t>
      </w:r>
      <w:r>
        <w:rPr>
          <w:rFonts w:asciiTheme="minorEastAsia" w:eastAsiaTheme="minorEastAsia" w:hAnsiTheme="minorEastAsia" w:cs="宋体" w:hint="eastAsia"/>
          <w:kern w:val="0"/>
          <w:szCs w:val="21"/>
        </w:rPr>
        <w:t>员</w:t>
      </w:r>
      <w:r>
        <w:rPr>
          <w:rFonts w:asciiTheme="minorEastAsia" w:eastAsiaTheme="minorEastAsia" w:hAnsiTheme="minorEastAsia" w:cs="MS Mincho" w:hint="eastAsia"/>
          <w:kern w:val="0"/>
          <w:szCs w:val="21"/>
        </w:rPr>
        <w:t>：吴昕颢、李朝晖、刘永斌、陈蓉蓉、庄海波、郑承满、谢彤华、黄俊猛、周迪祥</w:t>
      </w:r>
    </w:p>
    <w:p w:rsidR="00AD5BB5" w:rsidRDefault="00AD5BB5">
      <w:pPr>
        <w:overflowPunct w:val="0"/>
        <w:autoSpaceDE w:val="0"/>
        <w:autoSpaceDN w:val="0"/>
        <w:adjustRightInd w:val="0"/>
        <w:snapToGrid w:val="0"/>
        <w:textAlignment w:val="bottom"/>
        <w:rPr>
          <w:rFonts w:asciiTheme="minorEastAsia" w:eastAsiaTheme="minorEastAsia" w:hAnsiTheme="minorEastAsia" w:cs="MS Mincho"/>
          <w:kern w:val="0"/>
          <w:szCs w:val="21"/>
        </w:rPr>
      </w:pPr>
    </w:p>
    <w:p w:rsidR="00AD5BB5" w:rsidRDefault="00AD5BB5">
      <w:pPr>
        <w:overflowPunct w:val="0"/>
        <w:autoSpaceDE w:val="0"/>
        <w:autoSpaceDN w:val="0"/>
        <w:adjustRightInd w:val="0"/>
        <w:snapToGrid w:val="0"/>
        <w:textAlignment w:val="bottom"/>
        <w:rPr>
          <w:rFonts w:asciiTheme="minorEastAsia" w:eastAsiaTheme="minorEastAsia" w:hAnsiTheme="minorEastAsia" w:cs="MS Mincho"/>
          <w:kern w:val="0"/>
          <w:szCs w:val="21"/>
        </w:rPr>
      </w:pPr>
    </w:p>
    <w:p w:rsidR="00AD5BB5" w:rsidRDefault="00AD5BB5">
      <w:pPr>
        <w:overflowPunct w:val="0"/>
        <w:autoSpaceDE w:val="0"/>
        <w:autoSpaceDN w:val="0"/>
        <w:adjustRightInd w:val="0"/>
        <w:snapToGrid w:val="0"/>
        <w:textAlignment w:val="bottom"/>
        <w:rPr>
          <w:rFonts w:asciiTheme="minorEastAsia" w:eastAsiaTheme="minorEastAsia" w:hAnsiTheme="minorEastAsia" w:cs="MS Mincho"/>
          <w:kern w:val="0"/>
          <w:szCs w:val="21"/>
        </w:rPr>
      </w:pPr>
    </w:p>
    <w:p w:rsidR="00AD5BB5" w:rsidRDefault="00AD5BB5">
      <w:pPr>
        <w:overflowPunct w:val="0"/>
        <w:autoSpaceDE w:val="0"/>
        <w:autoSpaceDN w:val="0"/>
        <w:adjustRightInd w:val="0"/>
        <w:snapToGrid w:val="0"/>
        <w:textAlignment w:val="bottom"/>
        <w:rPr>
          <w:rFonts w:asciiTheme="minorEastAsia" w:eastAsiaTheme="minorEastAsia" w:hAnsiTheme="minorEastAsia" w:cs="MS Mincho"/>
          <w:kern w:val="0"/>
          <w:szCs w:val="21"/>
        </w:rPr>
      </w:pPr>
    </w:p>
    <w:p w:rsidR="00AD5BB5" w:rsidRDefault="00AD5BB5">
      <w:pPr>
        <w:overflowPunct w:val="0"/>
        <w:autoSpaceDE w:val="0"/>
        <w:autoSpaceDN w:val="0"/>
        <w:adjustRightInd w:val="0"/>
        <w:snapToGrid w:val="0"/>
        <w:textAlignment w:val="bottom"/>
        <w:rPr>
          <w:rFonts w:asciiTheme="minorEastAsia" w:eastAsiaTheme="minorEastAsia" w:hAnsiTheme="minorEastAsia" w:cs="MS Mincho"/>
          <w:kern w:val="0"/>
          <w:szCs w:val="21"/>
        </w:rPr>
      </w:pPr>
    </w:p>
    <w:p w:rsidR="00AD5BB5" w:rsidRDefault="00AD5BB5">
      <w:pPr>
        <w:overflowPunct w:val="0"/>
        <w:autoSpaceDE w:val="0"/>
        <w:autoSpaceDN w:val="0"/>
        <w:adjustRightInd w:val="0"/>
        <w:snapToGrid w:val="0"/>
        <w:textAlignment w:val="bottom"/>
        <w:rPr>
          <w:rFonts w:asciiTheme="minorEastAsia" w:eastAsiaTheme="minorEastAsia" w:hAnsiTheme="minorEastAsia" w:cs="MS Mincho"/>
          <w:kern w:val="0"/>
          <w:szCs w:val="21"/>
        </w:rPr>
      </w:pPr>
    </w:p>
    <w:p w:rsidR="00AD5BB5" w:rsidRDefault="00AD5BB5">
      <w:pPr>
        <w:overflowPunct w:val="0"/>
        <w:autoSpaceDE w:val="0"/>
        <w:autoSpaceDN w:val="0"/>
        <w:adjustRightInd w:val="0"/>
        <w:snapToGrid w:val="0"/>
        <w:textAlignment w:val="bottom"/>
        <w:rPr>
          <w:rFonts w:asciiTheme="minorEastAsia" w:eastAsiaTheme="minorEastAsia" w:hAnsiTheme="minorEastAsia" w:cs="MS Mincho"/>
          <w:kern w:val="0"/>
          <w:szCs w:val="21"/>
        </w:rPr>
      </w:pPr>
    </w:p>
    <w:p w:rsidR="00AD5BB5" w:rsidRDefault="00AD5BB5">
      <w:pPr>
        <w:overflowPunct w:val="0"/>
        <w:autoSpaceDE w:val="0"/>
        <w:autoSpaceDN w:val="0"/>
        <w:adjustRightInd w:val="0"/>
        <w:snapToGrid w:val="0"/>
        <w:textAlignment w:val="bottom"/>
        <w:rPr>
          <w:rFonts w:asciiTheme="minorEastAsia" w:eastAsiaTheme="minorEastAsia" w:hAnsiTheme="minorEastAsia" w:cs="MS Mincho"/>
          <w:kern w:val="0"/>
          <w:szCs w:val="21"/>
        </w:rPr>
      </w:pPr>
    </w:p>
    <w:p w:rsidR="00AD5BB5" w:rsidRDefault="00AD5BB5">
      <w:pPr>
        <w:overflowPunct w:val="0"/>
        <w:autoSpaceDE w:val="0"/>
        <w:autoSpaceDN w:val="0"/>
        <w:adjustRightInd w:val="0"/>
        <w:snapToGrid w:val="0"/>
        <w:textAlignment w:val="bottom"/>
        <w:rPr>
          <w:rFonts w:asciiTheme="minorEastAsia" w:eastAsiaTheme="minorEastAsia" w:hAnsiTheme="minorEastAsia" w:cs="MS Mincho"/>
          <w:kern w:val="0"/>
          <w:szCs w:val="21"/>
        </w:rPr>
      </w:pPr>
    </w:p>
    <w:p w:rsidR="00AD5BB5" w:rsidRDefault="00AD5BB5">
      <w:pPr>
        <w:overflowPunct w:val="0"/>
        <w:autoSpaceDE w:val="0"/>
        <w:autoSpaceDN w:val="0"/>
        <w:adjustRightInd w:val="0"/>
        <w:snapToGrid w:val="0"/>
        <w:textAlignment w:val="bottom"/>
        <w:rPr>
          <w:rFonts w:asciiTheme="minorEastAsia" w:eastAsiaTheme="minorEastAsia" w:hAnsiTheme="minorEastAsia" w:cs="MS Mincho"/>
          <w:kern w:val="0"/>
          <w:szCs w:val="21"/>
        </w:rPr>
      </w:pPr>
    </w:p>
    <w:p w:rsidR="00AD5BB5" w:rsidRDefault="00AD5BB5">
      <w:pPr>
        <w:overflowPunct w:val="0"/>
        <w:autoSpaceDE w:val="0"/>
        <w:autoSpaceDN w:val="0"/>
        <w:adjustRightInd w:val="0"/>
        <w:snapToGrid w:val="0"/>
        <w:textAlignment w:val="bottom"/>
        <w:rPr>
          <w:rFonts w:asciiTheme="minorEastAsia" w:eastAsiaTheme="minorEastAsia" w:hAnsiTheme="minorEastAsia" w:cs="MS Mincho"/>
          <w:kern w:val="0"/>
          <w:szCs w:val="21"/>
        </w:rPr>
      </w:pPr>
    </w:p>
    <w:p w:rsidR="00AD5BB5" w:rsidRDefault="00AD5BB5">
      <w:pPr>
        <w:overflowPunct w:val="0"/>
        <w:autoSpaceDE w:val="0"/>
        <w:autoSpaceDN w:val="0"/>
        <w:adjustRightInd w:val="0"/>
        <w:snapToGrid w:val="0"/>
        <w:textAlignment w:val="bottom"/>
        <w:rPr>
          <w:rFonts w:asciiTheme="minorEastAsia" w:eastAsiaTheme="minorEastAsia" w:hAnsiTheme="minorEastAsia" w:cs="MS Mincho"/>
          <w:kern w:val="0"/>
          <w:szCs w:val="21"/>
        </w:rPr>
      </w:pPr>
    </w:p>
    <w:p w:rsidR="00AD5BB5" w:rsidRDefault="00AD5BB5">
      <w:pPr>
        <w:overflowPunct w:val="0"/>
        <w:autoSpaceDE w:val="0"/>
        <w:autoSpaceDN w:val="0"/>
        <w:adjustRightInd w:val="0"/>
        <w:snapToGrid w:val="0"/>
        <w:textAlignment w:val="bottom"/>
        <w:rPr>
          <w:rFonts w:ascii="Arial" w:eastAsia="黑体" w:hAnsi="Arial" w:cs="Arial"/>
          <w:b/>
          <w:bCs/>
          <w:snapToGrid w:val="0"/>
          <w:sz w:val="20"/>
        </w:rPr>
      </w:pPr>
    </w:p>
    <w:p w:rsidR="00AD5BB5" w:rsidRDefault="00AD5BB5">
      <w:pPr>
        <w:overflowPunct w:val="0"/>
        <w:autoSpaceDE w:val="0"/>
        <w:autoSpaceDN w:val="0"/>
        <w:adjustRightInd w:val="0"/>
        <w:snapToGrid w:val="0"/>
        <w:ind w:left="2268"/>
        <w:textAlignment w:val="bottom"/>
        <w:rPr>
          <w:rFonts w:ascii="Arial" w:eastAsia="黑体" w:hAnsi="Arial" w:cs="Arial"/>
          <w:b/>
          <w:bCs/>
          <w:snapToGrid w:val="0"/>
          <w:sz w:val="20"/>
        </w:rPr>
      </w:pPr>
    </w:p>
    <w:p w:rsidR="00AD5BB5" w:rsidRDefault="00F87FF6">
      <w:pPr>
        <w:overflowPunct w:val="0"/>
        <w:autoSpaceDE w:val="0"/>
        <w:autoSpaceDN w:val="0"/>
        <w:adjustRightInd w:val="0"/>
        <w:snapToGrid w:val="0"/>
        <w:ind w:left="2268"/>
        <w:textAlignment w:val="bottom"/>
        <w:rPr>
          <w:rFonts w:ascii="Arial" w:eastAsia="黑体" w:hAnsi="Arial" w:cs="Arial"/>
          <w:b/>
          <w:bCs/>
          <w:snapToGrid w:val="0"/>
          <w:sz w:val="26"/>
          <w:szCs w:val="26"/>
        </w:rPr>
      </w:pPr>
      <w:r>
        <w:rPr>
          <w:rFonts w:ascii="Arial" w:eastAsia="黑体" w:hAnsi="Arial" w:cs="Arial"/>
          <w:b/>
          <w:bCs/>
          <w:snapToGrid w:val="0"/>
          <w:sz w:val="26"/>
          <w:szCs w:val="26"/>
        </w:rPr>
        <w:fldChar w:fldCharType="begin"/>
      </w:r>
      <w:r>
        <w:rPr>
          <w:rFonts w:ascii="Arial" w:eastAsia="黑体" w:hAnsi="Arial" w:cs="Arial"/>
          <w:b/>
          <w:bCs/>
          <w:snapToGrid w:val="0"/>
          <w:sz w:val="26"/>
          <w:szCs w:val="26"/>
        </w:rPr>
        <w:instrText xml:space="preserve"> DOCPROPERTY </w:instrText>
      </w:r>
      <w:r>
        <w:rPr>
          <w:rFonts w:ascii="Arial" w:eastAsia="黑体" w:hAnsi="Arial" w:cs="Arial"/>
          <w:b/>
          <w:bCs/>
          <w:snapToGrid w:val="0"/>
          <w:sz w:val="26"/>
          <w:szCs w:val="26"/>
        </w:rPr>
        <w:instrText>公司名称</w:instrText>
      </w:r>
      <w:r>
        <w:rPr>
          <w:rFonts w:ascii="Arial" w:eastAsia="黑体" w:hAnsi="Arial" w:cs="Arial"/>
          <w:b/>
          <w:bCs/>
          <w:snapToGrid w:val="0"/>
          <w:sz w:val="26"/>
          <w:szCs w:val="26"/>
        </w:rPr>
        <w:instrText xml:space="preserve"> </w:instrText>
      </w:r>
      <w:r>
        <w:rPr>
          <w:rFonts w:ascii="Arial" w:eastAsia="黑体" w:hAnsi="Arial" w:cs="Arial"/>
          <w:b/>
          <w:bCs/>
          <w:snapToGrid w:val="0"/>
          <w:sz w:val="26"/>
          <w:szCs w:val="26"/>
        </w:rPr>
        <w:fldChar w:fldCharType="separate"/>
      </w:r>
      <w:r>
        <w:rPr>
          <w:rFonts w:ascii="Arial" w:eastAsia="黑体" w:hAnsi="Arial" w:cs="Arial"/>
          <w:b/>
          <w:bCs/>
          <w:snapToGrid w:val="0"/>
          <w:sz w:val="26"/>
          <w:szCs w:val="26"/>
        </w:rPr>
        <w:t>厦门银行股份有限公司</w:t>
      </w:r>
      <w:r>
        <w:rPr>
          <w:rFonts w:ascii="Arial" w:eastAsia="黑体" w:hAnsi="Arial" w:cs="Arial"/>
          <w:b/>
          <w:bCs/>
          <w:snapToGrid w:val="0"/>
          <w:sz w:val="26"/>
          <w:szCs w:val="26"/>
        </w:rPr>
        <w:fldChar w:fldCharType="end"/>
      </w:r>
    </w:p>
    <w:p w:rsidR="00AD5BB5" w:rsidRDefault="00AD5BB5">
      <w:pPr>
        <w:overflowPunct w:val="0"/>
        <w:autoSpaceDE w:val="0"/>
        <w:autoSpaceDN w:val="0"/>
        <w:adjustRightInd w:val="0"/>
        <w:snapToGrid w:val="0"/>
        <w:ind w:left="2268"/>
        <w:textAlignment w:val="bottom"/>
        <w:rPr>
          <w:rFonts w:ascii="Arial" w:eastAsia="黑体" w:hAnsi="Arial" w:cs="Arial"/>
          <w:b/>
          <w:bCs/>
          <w:snapToGrid w:val="0"/>
          <w:sz w:val="20"/>
        </w:rPr>
      </w:pPr>
    </w:p>
    <w:p w:rsidR="00AD5BB5" w:rsidRDefault="00AD5BB5">
      <w:pPr>
        <w:overflowPunct w:val="0"/>
        <w:autoSpaceDE w:val="0"/>
        <w:autoSpaceDN w:val="0"/>
        <w:adjustRightInd w:val="0"/>
        <w:snapToGrid w:val="0"/>
        <w:ind w:left="2268"/>
        <w:textAlignment w:val="bottom"/>
        <w:rPr>
          <w:rFonts w:ascii="Arial" w:eastAsia="黑体" w:hAnsi="Arial" w:cs="Arial"/>
          <w:b/>
          <w:bCs/>
          <w:snapToGrid w:val="0"/>
          <w:sz w:val="20"/>
        </w:rPr>
      </w:pPr>
    </w:p>
    <w:p w:rsidR="00AD5BB5" w:rsidRDefault="00F87FF6">
      <w:pPr>
        <w:tabs>
          <w:tab w:val="center" w:pos="4154"/>
          <w:tab w:val="left" w:pos="5610"/>
        </w:tabs>
        <w:overflowPunct w:val="0"/>
        <w:autoSpaceDE w:val="0"/>
        <w:autoSpaceDN w:val="0"/>
        <w:adjustRightInd w:val="0"/>
        <w:snapToGrid w:val="0"/>
        <w:ind w:left="2268"/>
        <w:textAlignment w:val="bottom"/>
        <w:rPr>
          <w:rFonts w:ascii="Arial" w:eastAsia="黑体" w:hAnsi="Arial" w:cs="Arial"/>
          <w:b/>
          <w:bCs/>
          <w:snapToGrid w:val="0"/>
          <w:sz w:val="26"/>
          <w:szCs w:val="26"/>
        </w:rPr>
      </w:pPr>
      <w:r>
        <w:rPr>
          <w:rFonts w:ascii="Arial" w:eastAsia="黑体" w:hAnsi="Arial" w:cs="Arial"/>
          <w:b/>
          <w:bCs/>
          <w:snapToGrid w:val="0"/>
          <w:sz w:val="26"/>
          <w:szCs w:val="26"/>
        </w:rPr>
        <w:t>已审阅财务报表</w:t>
      </w:r>
    </w:p>
    <w:p w:rsidR="00AD5BB5" w:rsidRDefault="00AD5BB5">
      <w:pPr>
        <w:overflowPunct w:val="0"/>
        <w:autoSpaceDE w:val="0"/>
        <w:autoSpaceDN w:val="0"/>
        <w:adjustRightInd w:val="0"/>
        <w:snapToGrid w:val="0"/>
        <w:ind w:left="2268"/>
        <w:textAlignment w:val="bottom"/>
        <w:rPr>
          <w:rFonts w:ascii="Arial" w:eastAsia="黑体" w:hAnsi="Arial" w:cs="Arial"/>
          <w:b/>
          <w:bCs/>
          <w:snapToGrid w:val="0"/>
          <w:sz w:val="20"/>
        </w:rPr>
      </w:pPr>
    </w:p>
    <w:p w:rsidR="00AD5BB5" w:rsidRDefault="00AD5BB5">
      <w:pPr>
        <w:overflowPunct w:val="0"/>
        <w:autoSpaceDE w:val="0"/>
        <w:autoSpaceDN w:val="0"/>
        <w:adjustRightInd w:val="0"/>
        <w:snapToGrid w:val="0"/>
        <w:ind w:left="2268"/>
        <w:textAlignment w:val="bottom"/>
        <w:rPr>
          <w:rFonts w:ascii="Arial" w:eastAsia="黑体" w:hAnsi="Arial" w:cs="Arial"/>
          <w:b/>
          <w:bCs/>
          <w:snapToGrid w:val="0"/>
          <w:sz w:val="20"/>
        </w:rPr>
      </w:pPr>
    </w:p>
    <w:p w:rsidR="00AD5BB5" w:rsidRDefault="00F87FF6">
      <w:pPr>
        <w:overflowPunct w:val="0"/>
        <w:autoSpaceDE w:val="0"/>
        <w:autoSpaceDN w:val="0"/>
        <w:adjustRightInd w:val="0"/>
        <w:snapToGrid w:val="0"/>
        <w:ind w:left="2268"/>
        <w:textAlignment w:val="bottom"/>
        <w:rPr>
          <w:rFonts w:ascii="Arial" w:eastAsia="黑体" w:hAnsi="Arial" w:cs="Arial"/>
          <w:b/>
          <w:bCs/>
          <w:snapToGrid w:val="0"/>
          <w:sz w:val="26"/>
          <w:szCs w:val="26"/>
        </w:rPr>
      </w:pPr>
      <w:r>
        <w:rPr>
          <w:rFonts w:ascii="Arial" w:eastAsia="黑体" w:hAnsi="Arial" w:cs="Arial"/>
          <w:b/>
          <w:bCs/>
          <w:snapToGrid w:val="0"/>
          <w:sz w:val="26"/>
          <w:szCs w:val="26"/>
        </w:rPr>
        <w:t>截至</w:t>
      </w:r>
      <w:r>
        <w:rPr>
          <w:rFonts w:ascii="Arial" w:eastAsia="黑体" w:hAnsi="Arial" w:cs="Arial"/>
          <w:b/>
          <w:bCs/>
          <w:snapToGrid w:val="0"/>
          <w:sz w:val="26"/>
          <w:szCs w:val="26"/>
        </w:rPr>
        <w:t>2023</w:t>
      </w:r>
      <w:r>
        <w:rPr>
          <w:rFonts w:ascii="Arial" w:eastAsia="黑体" w:hAnsi="Arial" w:cs="Arial"/>
          <w:b/>
          <w:bCs/>
          <w:snapToGrid w:val="0"/>
          <w:sz w:val="26"/>
          <w:szCs w:val="26"/>
        </w:rPr>
        <w:t>年</w:t>
      </w:r>
      <w:r>
        <w:rPr>
          <w:rFonts w:ascii="Arial" w:eastAsia="黑体" w:hAnsi="Arial" w:cs="Arial"/>
          <w:b/>
          <w:bCs/>
          <w:snapToGrid w:val="0"/>
          <w:sz w:val="26"/>
          <w:szCs w:val="26"/>
        </w:rPr>
        <w:t>6</w:t>
      </w:r>
      <w:r>
        <w:rPr>
          <w:rFonts w:ascii="Arial" w:eastAsia="黑体" w:hAnsi="Arial" w:cs="Arial"/>
          <w:b/>
          <w:bCs/>
          <w:snapToGrid w:val="0"/>
          <w:sz w:val="26"/>
          <w:szCs w:val="26"/>
        </w:rPr>
        <w:t>月</w:t>
      </w:r>
      <w:r>
        <w:rPr>
          <w:rFonts w:ascii="Arial" w:eastAsia="黑体" w:hAnsi="Arial" w:cs="Arial"/>
          <w:b/>
          <w:bCs/>
          <w:snapToGrid w:val="0"/>
          <w:sz w:val="26"/>
          <w:szCs w:val="26"/>
        </w:rPr>
        <w:t>30</w:t>
      </w:r>
      <w:r>
        <w:rPr>
          <w:rFonts w:ascii="Arial" w:eastAsia="黑体" w:hAnsi="Arial" w:cs="Arial"/>
          <w:b/>
          <w:bCs/>
          <w:snapToGrid w:val="0"/>
          <w:sz w:val="26"/>
          <w:szCs w:val="26"/>
        </w:rPr>
        <w:t>日</w:t>
      </w:r>
      <w:proofErr w:type="gramStart"/>
      <w:r>
        <w:rPr>
          <w:rFonts w:ascii="Arial" w:eastAsia="黑体" w:hAnsi="Arial" w:cs="Arial"/>
          <w:b/>
          <w:bCs/>
          <w:snapToGrid w:val="0"/>
          <w:sz w:val="26"/>
          <w:szCs w:val="26"/>
        </w:rPr>
        <w:t>止</w:t>
      </w:r>
      <w:proofErr w:type="gramEnd"/>
      <w:r>
        <w:rPr>
          <w:rFonts w:ascii="Arial" w:eastAsia="黑体" w:hAnsi="Arial" w:cs="Arial"/>
          <w:b/>
          <w:bCs/>
          <w:snapToGrid w:val="0"/>
          <w:sz w:val="26"/>
          <w:szCs w:val="26"/>
        </w:rPr>
        <w:t>6</w:t>
      </w:r>
      <w:r>
        <w:rPr>
          <w:rFonts w:ascii="Arial" w:eastAsia="黑体" w:hAnsi="Arial" w:cs="Arial"/>
          <w:b/>
          <w:bCs/>
          <w:snapToGrid w:val="0"/>
          <w:sz w:val="26"/>
          <w:szCs w:val="26"/>
        </w:rPr>
        <w:t>个月期间</w:t>
      </w:r>
    </w:p>
    <w:p w:rsidR="00AD5BB5" w:rsidRDefault="00AD5BB5">
      <w:pPr>
        <w:overflowPunct w:val="0"/>
        <w:autoSpaceDE w:val="0"/>
        <w:autoSpaceDN w:val="0"/>
        <w:adjustRightInd w:val="0"/>
        <w:snapToGrid w:val="0"/>
        <w:ind w:left="2268"/>
        <w:textAlignment w:val="bottom"/>
        <w:rPr>
          <w:rFonts w:ascii="Arial" w:eastAsia="黑体" w:hAnsi="Arial" w:cs="Arial"/>
          <w:b/>
          <w:bCs/>
          <w:snapToGrid w:val="0"/>
          <w:sz w:val="20"/>
        </w:rPr>
      </w:pPr>
    </w:p>
    <w:p w:rsidR="00AD5BB5" w:rsidRDefault="00AD5BB5">
      <w:pPr>
        <w:overflowPunct w:val="0"/>
        <w:autoSpaceDE w:val="0"/>
        <w:autoSpaceDN w:val="0"/>
        <w:adjustRightInd w:val="0"/>
        <w:snapToGrid w:val="0"/>
        <w:ind w:left="2268"/>
        <w:textAlignment w:val="bottom"/>
        <w:rPr>
          <w:rFonts w:ascii="Arial" w:eastAsia="黑体" w:hAnsi="Arial" w:cs="Arial"/>
          <w:b/>
          <w:bCs/>
          <w:snapToGrid w:val="0"/>
          <w:sz w:val="20"/>
        </w:rPr>
      </w:pPr>
    </w:p>
    <w:p w:rsidR="00AD5BB5" w:rsidRDefault="00AD5BB5">
      <w:pPr>
        <w:overflowPunct w:val="0"/>
        <w:autoSpaceDE w:val="0"/>
        <w:autoSpaceDN w:val="0"/>
        <w:adjustRightInd w:val="0"/>
        <w:snapToGrid w:val="0"/>
        <w:ind w:left="2268"/>
        <w:textAlignment w:val="bottom"/>
        <w:rPr>
          <w:rFonts w:ascii="Arial" w:eastAsia="黑体" w:hAnsi="Arial" w:cs="Arial"/>
          <w:b/>
          <w:bCs/>
          <w:snapToGrid w:val="0"/>
          <w:sz w:val="20"/>
        </w:rPr>
      </w:pPr>
    </w:p>
    <w:p w:rsidR="00AD5BB5" w:rsidRDefault="00AD5BB5">
      <w:pPr>
        <w:overflowPunct w:val="0"/>
        <w:autoSpaceDE w:val="0"/>
        <w:autoSpaceDN w:val="0"/>
        <w:adjustRightInd w:val="0"/>
        <w:snapToGrid w:val="0"/>
        <w:ind w:left="2268"/>
        <w:textAlignment w:val="bottom"/>
        <w:rPr>
          <w:rFonts w:ascii="Arial" w:eastAsia="黑体" w:hAnsi="Arial" w:cs="Arial"/>
          <w:b/>
          <w:bCs/>
          <w:snapToGrid w:val="0"/>
          <w:sz w:val="20"/>
        </w:rPr>
        <w:sectPr w:rsidR="00AD5BB5" w:rsidSect="0061038E">
          <w:headerReference w:type="default" r:id="rId9"/>
          <w:footerReference w:type="default" r:id="rId10"/>
          <w:pgSz w:w="11907" w:h="16840"/>
          <w:pgMar w:top="1440" w:right="1797" w:bottom="1440" w:left="1797" w:header="720" w:footer="720" w:gutter="0"/>
          <w:pgNumType w:start="1"/>
          <w:cols w:space="720"/>
          <w:titlePg/>
          <w:docGrid w:linePitch="360"/>
        </w:sectPr>
      </w:pPr>
    </w:p>
    <w:p w:rsidR="00AD5BB5" w:rsidRDefault="00F87FF6">
      <w:pPr>
        <w:overflowPunct w:val="0"/>
        <w:autoSpaceDE w:val="0"/>
        <w:autoSpaceDN w:val="0"/>
        <w:adjustRightInd w:val="0"/>
        <w:snapToGrid w:val="0"/>
        <w:textAlignment w:val="bottom"/>
        <w:rPr>
          <w:rFonts w:ascii="Arial" w:eastAsia="黑体" w:hAnsi="Arial" w:cs="Arial"/>
          <w:snapToGrid w:val="0"/>
          <w:sz w:val="22"/>
          <w:szCs w:val="22"/>
        </w:rPr>
      </w:pPr>
      <w:r>
        <w:rPr>
          <w:rFonts w:ascii="Arial" w:eastAsia="黑体" w:hAnsi="Arial" w:cs="Arial"/>
          <w:b/>
          <w:sz w:val="22"/>
          <w:szCs w:val="22"/>
        </w:rPr>
        <w:lastRenderedPageBreak/>
        <w:fldChar w:fldCharType="begin"/>
      </w:r>
      <w:r>
        <w:rPr>
          <w:rFonts w:ascii="Arial" w:eastAsia="黑体" w:hAnsi="Arial" w:cs="Arial"/>
          <w:b/>
          <w:sz w:val="22"/>
          <w:szCs w:val="22"/>
        </w:rPr>
        <w:instrText xml:space="preserve"> DOCPROPERTY </w:instrText>
      </w:r>
      <w:r>
        <w:rPr>
          <w:rFonts w:ascii="Arial" w:eastAsia="黑体" w:hAnsi="Arial" w:cs="Arial"/>
          <w:b/>
          <w:sz w:val="22"/>
          <w:szCs w:val="22"/>
        </w:rPr>
        <w:instrText>公司名称</w:instrText>
      </w:r>
      <w:r>
        <w:rPr>
          <w:rFonts w:ascii="Arial" w:eastAsia="黑体" w:hAnsi="Arial" w:cs="Arial"/>
          <w:b/>
          <w:sz w:val="22"/>
          <w:szCs w:val="22"/>
        </w:rPr>
        <w:instrText xml:space="preserve"> </w:instrText>
      </w:r>
      <w:r>
        <w:rPr>
          <w:rFonts w:ascii="Arial" w:eastAsia="黑体" w:hAnsi="Arial" w:cs="Arial"/>
          <w:b/>
          <w:sz w:val="22"/>
          <w:szCs w:val="22"/>
        </w:rPr>
        <w:fldChar w:fldCharType="separate"/>
      </w:r>
      <w:r>
        <w:rPr>
          <w:rFonts w:ascii="Arial" w:eastAsia="黑体" w:hAnsi="Arial" w:cs="Arial"/>
          <w:b/>
          <w:sz w:val="22"/>
          <w:szCs w:val="22"/>
        </w:rPr>
        <w:t>厦门银行股份有限公司</w:t>
      </w:r>
      <w:r>
        <w:rPr>
          <w:rFonts w:ascii="Arial" w:eastAsia="黑体" w:hAnsi="Arial" w:cs="Arial"/>
          <w:b/>
          <w:sz w:val="22"/>
          <w:szCs w:val="22"/>
        </w:rPr>
        <w:fldChar w:fldCharType="end"/>
      </w:r>
    </w:p>
    <w:p w:rsidR="00AD5BB5" w:rsidRDefault="00F87FF6">
      <w:pPr>
        <w:tabs>
          <w:tab w:val="right" w:pos="8295"/>
        </w:tabs>
        <w:overflowPunct w:val="0"/>
        <w:autoSpaceDE w:val="0"/>
        <w:autoSpaceDN w:val="0"/>
        <w:adjustRightInd w:val="0"/>
        <w:rPr>
          <w:rFonts w:ascii="Arial" w:eastAsia="黑体" w:hAnsi="Arial" w:cs="Arial"/>
          <w:b/>
          <w:u w:val="single"/>
        </w:rPr>
      </w:pPr>
      <w:r>
        <w:rPr>
          <w:rFonts w:ascii="Arial" w:eastAsia="黑体" w:hAnsi="Arial" w:cs="Arial"/>
          <w:b/>
          <w:u w:val="single"/>
        </w:rPr>
        <w:tab/>
      </w:r>
    </w:p>
    <w:p w:rsidR="00AD5BB5" w:rsidRDefault="00AD5BB5">
      <w:pPr>
        <w:overflowPunct w:val="0"/>
        <w:autoSpaceDE w:val="0"/>
        <w:autoSpaceDN w:val="0"/>
        <w:adjustRightInd w:val="0"/>
        <w:snapToGrid w:val="0"/>
        <w:textAlignment w:val="bottom"/>
        <w:rPr>
          <w:rFonts w:ascii="Arial" w:eastAsia="黑体" w:hAnsi="Arial" w:cs="Arial"/>
          <w:b/>
          <w:bCs/>
          <w:snapToGrid w:val="0"/>
        </w:rPr>
      </w:pPr>
    </w:p>
    <w:p w:rsidR="00AD5BB5" w:rsidRDefault="00AD5BB5">
      <w:pPr>
        <w:overflowPunct w:val="0"/>
        <w:autoSpaceDE w:val="0"/>
        <w:autoSpaceDN w:val="0"/>
        <w:adjustRightInd w:val="0"/>
        <w:snapToGrid w:val="0"/>
        <w:textAlignment w:val="bottom"/>
        <w:rPr>
          <w:rFonts w:ascii="Arial" w:eastAsia="黑体" w:hAnsi="Arial" w:cs="Arial"/>
          <w:b/>
          <w:bCs/>
          <w:snapToGrid w:val="0"/>
        </w:rPr>
      </w:pPr>
    </w:p>
    <w:p w:rsidR="00AD5BB5" w:rsidRDefault="00F87FF6">
      <w:pPr>
        <w:pStyle w:val="1100"/>
        <w:overflowPunct w:val="0"/>
        <w:rPr>
          <w:sz w:val="22"/>
          <w:szCs w:val="22"/>
        </w:rPr>
      </w:pPr>
      <w:r>
        <w:rPr>
          <w:sz w:val="22"/>
          <w:szCs w:val="22"/>
        </w:rPr>
        <w:t>目录</w:t>
      </w:r>
    </w:p>
    <w:p w:rsidR="00AD5BB5" w:rsidRDefault="00AD5BB5">
      <w:pPr>
        <w:overflowPunct w:val="0"/>
        <w:autoSpaceDE w:val="0"/>
        <w:autoSpaceDN w:val="0"/>
        <w:adjustRightInd w:val="0"/>
        <w:snapToGrid w:val="0"/>
        <w:textAlignment w:val="bottom"/>
        <w:rPr>
          <w:rFonts w:ascii="Arial" w:eastAsia="黑体" w:hAnsi="Arial" w:cs="Arial"/>
          <w:b/>
          <w:bCs/>
          <w:snapToGrid w:val="0"/>
        </w:rPr>
      </w:pPr>
    </w:p>
    <w:p w:rsidR="00AD5BB5" w:rsidRDefault="00AD5BB5">
      <w:pPr>
        <w:overflowPunct w:val="0"/>
        <w:autoSpaceDE w:val="0"/>
        <w:autoSpaceDN w:val="0"/>
        <w:adjustRightInd w:val="0"/>
        <w:snapToGrid w:val="0"/>
        <w:textAlignment w:val="bottom"/>
        <w:rPr>
          <w:rFonts w:ascii="Arial" w:eastAsia="黑体" w:hAnsi="Arial" w:cs="Arial"/>
          <w:b/>
          <w:bCs/>
          <w:snapToGrid w:val="0"/>
        </w:rPr>
      </w:pPr>
    </w:p>
    <w:tbl>
      <w:tblPr>
        <w:tblStyle w:val="af7"/>
        <w:tblW w:w="864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06eb395f-f828-42df-b8d5-937df9d03757"/>
        <w:tblDescription w:val="{&quot;UUID&quot;:&quot;afsaddin_tabledata_2_56437_06eb395f-f828-42df-b8d5-937df9d03757&quot;,&quot;TitleRowCount&quot;:-1,&quot;SplitedTable&quot;:null,&quot;FirstTableId&quot;:null}"/>
      </w:tblPr>
      <w:tblGrid>
        <w:gridCol w:w="6934"/>
        <w:gridCol w:w="567"/>
        <w:gridCol w:w="490"/>
        <w:gridCol w:w="651"/>
      </w:tblGrid>
      <w:tr w:rsidR="00AD5BB5">
        <w:trPr>
          <w:trHeight w:val="205"/>
        </w:trPr>
        <w:tc>
          <w:tcPr>
            <w:tcW w:w="6934" w:type="dxa"/>
            <w:vAlign w:val="bottom"/>
          </w:tcPr>
          <w:p w:rsidR="00AD5BB5" w:rsidRDefault="00AD5BB5">
            <w:pPr>
              <w:tabs>
                <w:tab w:val="center" w:pos="7800"/>
              </w:tabs>
              <w:overflowPunct w:val="0"/>
              <w:autoSpaceDE w:val="0"/>
              <w:autoSpaceDN w:val="0"/>
              <w:contextualSpacing/>
              <w:rPr>
                <w:rFonts w:ascii="Arial" w:eastAsia="黑体" w:hAnsi="Arial" w:cs="Arial"/>
                <w:snapToGrid w:val="0"/>
                <w:sz w:val="22"/>
                <w:szCs w:val="22"/>
              </w:rPr>
            </w:pPr>
            <w:bookmarkStart w:id="54" w:name="_Hlk141020813"/>
          </w:p>
        </w:tc>
        <w:tc>
          <w:tcPr>
            <w:tcW w:w="567" w:type="dxa"/>
          </w:tcPr>
          <w:p w:rsidR="00AD5BB5" w:rsidRDefault="00F87FF6">
            <w:pPr>
              <w:tabs>
                <w:tab w:val="center" w:pos="7800"/>
              </w:tabs>
              <w:overflowPunct w:val="0"/>
              <w:autoSpaceDE w:val="0"/>
              <w:autoSpaceDN w:val="0"/>
              <w:contextualSpacing/>
              <w:jc w:val="right"/>
              <w:rPr>
                <w:rFonts w:ascii="Arial" w:eastAsia="黑体" w:hAnsi="Arial" w:cs="Arial"/>
                <w:b/>
                <w:bCs/>
                <w:snapToGrid w:val="0"/>
                <w:sz w:val="22"/>
                <w:szCs w:val="22"/>
              </w:rPr>
            </w:pPr>
            <w:r>
              <w:rPr>
                <w:rFonts w:ascii="Arial" w:eastAsia="黑体" w:hAnsi="Arial" w:cs="Arial"/>
                <w:b/>
                <w:bCs/>
                <w:snapToGrid w:val="0"/>
                <w:sz w:val="22"/>
                <w:szCs w:val="22"/>
              </w:rPr>
              <w:t>页</w:t>
            </w:r>
          </w:p>
        </w:tc>
        <w:tc>
          <w:tcPr>
            <w:tcW w:w="490" w:type="dxa"/>
          </w:tcPr>
          <w:p w:rsidR="00AD5BB5" w:rsidRDefault="00AD5BB5">
            <w:pPr>
              <w:tabs>
                <w:tab w:val="center" w:pos="7800"/>
              </w:tabs>
              <w:overflowPunct w:val="0"/>
              <w:autoSpaceDE w:val="0"/>
              <w:autoSpaceDN w:val="0"/>
              <w:contextualSpacing/>
              <w:jc w:val="center"/>
              <w:rPr>
                <w:rFonts w:ascii="Arial" w:eastAsia="黑体" w:hAnsi="Arial" w:cs="Arial"/>
                <w:b/>
                <w:bCs/>
                <w:snapToGrid w:val="0"/>
                <w:sz w:val="22"/>
                <w:szCs w:val="22"/>
              </w:rPr>
            </w:pPr>
          </w:p>
        </w:tc>
        <w:tc>
          <w:tcPr>
            <w:tcW w:w="651" w:type="dxa"/>
          </w:tcPr>
          <w:p w:rsidR="00AD5BB5" w:rsidRDefault="00F87FF6">
            <w:pPr>
              <w:tabs>
                <w:tab w:val="center" w:pos="7800"/>
              </w:tabs>
              <w:overflowPunct w:val="0"/>
              <w:autoSpaceDE w:val="0"/>
              <w:autoSpaceDN w:val="0"/>
              <w:contextualSpacing/>
              <w:rPr>
                <w:rFonts w:ascii="Arial" w:eastAsia="黑体" w:hAnsi="Arial" w:cs="Arial"/>
                <w:b/>
                <w:bCs/>
                <w:snapToGrid w:val="0"/>
                <w:sz w:val="22"/>
                <w:szCs w:val="22"/>
              </w:rPr>
            </w:pPr>
            <w:r>
              <w:rPr>
                <w:rFonts w:ascii="Arial" w:eastAsia="黑体" w:hAnsi="Arial" w:cs="Arial"/>
                <w:b/>
                <w:bCs/>
                <w:snapToGrid w:val="0"/>
                <w:sz w:val="22"/>
                <w:szCs w:val="22"/>
              </w:rPr>
              <w:t>次</w:t>
            </w:r>
          </w:p>
        </w:tc>
      </w:tr>
      <w:tr w:rsidR="00AD5BB5">
        <w:trPr>
          <w:trHeight w:val="80"/>
        </w:trPr>
        <w:tc>
          <w:tcPr>
            <w:tcW w:w="6934" w:type="dxa"/>
            <w:vAlign w:val="bottom"/>
          </w:tcPr>
          <w:p w:rsidR="00AD5BB5" w:rsidRDefault="00AD5BB5">
            <w:pPr>
              <w:tabs>
                <w:tab w:val="center" w:pos="7800"/>
              </w:tabs>
              <w:overflowPunct w:val="0"/>
              <w:autoSpaceDE w:val="0"/>
              <w:autoSpaceDN w:val="0"/>
              <w:contextualSpacing/>
              <w:rPr>
                <w:rFonts w:ascii="Arial" w:eastAsia="黑体" w:hAnsi="Arial" w:cs="Arial"/>
                <w:snapToGrid w:val="0"/>
                <w:sz w:val="22"/>
                <w:szCs w:val="22"/>
              </w:rPr>
            </w:pPr>
          </w:p>
        </w:tc>
        <w:tc>
          <w:tcPr>
            <w:tcW w:w="567" w:type="dxa"/>
          </w:tcPr>
          <w:p w:rsidR="00AD5BB5" w:rsidRDefault="00AD5BB5">
            <w:pPr>
              <w:tabs>
                <w:tab w:val="center" w:pos="7800"/>
              </w:tabs>
              <w:overflowPunct w:val="0"/>
              <w:autoSpaceDE w:val="0"/>
              <w:autoSpaceDN w:val="0"/>
              <w:contextualSpacing/>
              <w:jc w:val="right"/>
              <w:rPr>
                <w:rFonts w:ascii="Arial" w:eastAsia="黑体" w:hAnsi="Arial" w:cs="Arial"/>
                <w:snapToGrid w:val="0"/>
                <w:sz w:val="22"/>
                <w:szCs w:val="22"/>
              </w:rPr>
            </w:pPr>
          </w:p>
        </w:tc>
        <w:tc>
          <w:tcPr>
            <w:tcW w:w="490" w:type="dxa"/>
          </w:tcPr>
          <w:p w:rsidR="00AD5BB5" w:rsidRDefault="00AD5BB5">
            <w:pPr>
              <w:tabs>
                <w:tab w:val="center" w:pos="7800"/>
              </w:tabs>
              <w:overflowPunct w:val="0"/>
              <w:autoSpaceDE w:val="0"/>
              <w:autoSpaceDN w:val="0"/>
              <w:contextualSpacing/>
              <w:jc w:val="center"/>
              <w:rPr>
                <w:rFonts w:ascii="Arial" w:eastAsia="黑体" w:hAnsi="Arial" w:cs="Arial"/>
                <w:snapToGrid w:val="0"/>
                <w:sz w:val="22"/>
                <w:szCs w:val="22"/>
              </w:rPr>
            </w:pPr>
          </w:p>
        </w:tc>
        <w:tc>
          <w:tcPr>
            <w:tcW w:w="651" w:type="dxa"/>
          </w:tcPr>
          <w:p w:rsidR="00AD5BB5" w:rsidRDefault="00AD5BB5">
            <w:pPr>
              <w:tabs>
                <w:tab w:val="center" w:pos="7800"/>
              </w:tabs>
              <w:overflowPunct w:val="0"/>
              <w:autoSpaceDE w:val="0"/>
              <w:autoSpaceDN w:val="0"/>
              <w:contextualSpacing/>
              <w:rPr>
                <w:rFonts w:ascii="Arial" w:eastAsia="黑体" w:hAnsi="Arial" w:cs="Arial"/>
                <w:snapToGrid w:val="0"/>
                <w:sz w:val="22"/>
                <w:szCs w:val="22"/>
              </w:rPr>
            </w:pPr>
          </w:p>
        </w:tc>
      </w:tr>
      <w:tr w:rsidR="00AD5BB5">
        <w:trPr>
          <w:trHeight w:val="80"/>
        </w:trPr>
        <w:tc>
          <w:tcPr>
            <w:tcW w:w="6934" w:type="dxa"/>
            <w:vAlign w:val="bottom"/>
          </w:tcPr>
          <w:p w:rsidR="00AD5BB5" w:rsidRDefault="00F87FF6">
            <w:pPr>
              <w:tabs>
                <w:tab w:val="center" w:pos="7800"/>
              </w:tabs>
              <w:overflowPunct w:val="0"/>
              <w:autoSpaceDE w:val="0"/>
              <w:autoSpaceDN w:val="0"/>
              <w:contextualSpacing/>
              <w:rPr>
                <w:rFonts w:ascii="Arial" w:eastAsia="黑体" w:hAnsi="Arial" w:cs="Arial"/>
                <w:snapToGrid w:val="0"/>
                <w:sz w:val="22"/>
                <w:szCs w:val="22"/>
              </w:rPr>
            </w:pPr>
            <w:r>
              <w:rPr>
                <w:rFonts w:ascii="Arial" w:eastAsia="黑体" w:hAnsi="Arial" w:cs="Arial"/>
                <w:snapToGrid w:val="0"/>
                <w:sz w:val="22"/>
                <w:szCs w:val="22"/>
              </w:rPr>
              <w:t>审阅报告</w:t>
            </w:r>
          </w:p>
        </w:tc>
        <w:tc>
          <w:tcPr>
            <w:tcW w:w="567" w:type="dxa"/>
            <w:vAlign w:val="bottom"/>
          </w:tcPr>
          <w:p w:rsidR="00AD5BB5" w:rsidRDefault="00F87FF6">
            <w:pPr>
              <w:tabs>
                <w:tab w:val="center" w:pos="7800"/>
              </w:tabs>
              <w:overflowPunct w:val="0"/>
              <w:autoSpaceDE w:val="0"/>
              <w:autoSpaceDN w:val="0"/>
              <w:contextualSpacing/>
              <w:jc w:val="right"/>
              <w:rPr>
                <w:rFonts w:ascii="Arial" w:eastAsia="黑体" w:hAnsi="Arial" w:cs="Arial"/>
                <w:snapToGrid w:val="0"/>
                <w:sz w:val="22"/>
                <w:szCs w:val="22"/>
              </w:rPr>
            </w:pPr>
            <w:r>
              <w:rPr>
                <w:rFonts w:ascii="Arial" w:eastAsia="黑体" w:hAnsi="Arial" w:cs="Arial"/>
                <w:snapToGrid w:val="0"/>
                <w:sz w:val="22"/>
                <w:szCs w:val="22"/>
              </w:rPr>
              <w:t>1</w:t>
            </w:r>
          </w:p>
        </w:tc>
        <w:tc>
          <w:tcPr>
            <w:tcW w:w="490" w:type="dxa"/>
            <w:vAlign w:val="bottom"/>
          </w:tcPr>
          <w:p w:rsidR="00AD5BB5" w:rsidRDefault="00F87FF6">
            <w:pPr>
              <w:tabs>
                <w:tab w:val="center" w:pos="7800"/>
              </w:tabs>
              <w:overflowPunct w:val="0"/>
              <w:autoSpaceDE w:val="0"/>
              <w:autoSpaceDN w:val="0"/>
              <w:contextualSpacing/>
              <w:jc w:val="center"/>
              <w:rPr>
                <w:rFonts w:ascii="Arial" w:eastAsia="黑体" w:hAnsi="Arial" w:cs="Arial"/>
                <w:snapToGrid w:val="0"/>
                <w:sz w:val="22"/>
                <w:szCs w:val="22"/>
              </w:rPr>
            </w:pPr>
            <w:r>
              <w:rPr>
                <w:rFonts w:ascii="Arial" w:eastAsia="黑体" w:hAnsi="Arial" w:cs="Arial"/>
                <w:snapToGrid w:val="0"/>
                <w:sz w:val="22"/>
                <w:szCs w:val="22"/>
              </w:rPr>
              <w:t>-</w:t>
            </w:r>
          </w:p>
        </w:tc>
        <w:tc>
          <w:tcPr>
            <w:tcW w:w="651" w:type="dxa"/>
            <w:vAlign w:val="bottom"/>
          </w:tcPr>
          <w:p w:rsidR="00AD5BB5" w:rsidRDefault="00F87FF6">
            <w:pPr>
              <w:tabs>
                <w:tab w:val="center" w:pos="7800"/>
              </w:tabs>
              <w:overflowPunct w:val="0"/>
              <w:autoSpaceDE w:val="0"/>
              <w:autoSpaceDN w:val="0"/>
              <w:ind w:right="-29"/>
              <w:contextualSpacing/>
              <w:rPr>
                <w:rFonts w:ascii="Arial" w:eastAsia="黑体" w:hAnsi="Arial" w:cs="Arial"/>
                <w:snapToGrid w:val="0"/>
                <w:sz w:val="22"/>
                <w:szCs w:val="22"/>
              </w:rPr>
            </w:pPr>
            <w:r>
              <w:rPr>
                <w:rFonts w:ascii="Arial" w:eastAsia="黑体" w:hAnsi="Arial" w:cs="Arial"/>
                <w:snapToGrid w:val="0"/>
                <w:sz w:val="22"/>
                <w:szCs w:val="22"/>
              </w:rPr>
              <w:t>2</w:t>
            </w:r>
          </w:p>
        </w:tc>
      </w:tr>
      <w:tr w:rsidR="00AD5BB5">
        <w:trPr>
          <w:trHeight w:val="80"/>
        </w:trPr>
        <w:tc>
          <w:tcPr>
            <w:tcW w:w="6934" w:type="dxa"/>
            <w:vAlign w:val="bottom"/>
          </w:tcPr>
          <w:p w:rsidR="00AD5BB5" w:rsidRDefault="00AD5BB5">
            <w:pPr>
              <w:tabs>
                <w:tab w:val="center" w:pos="7800"/>
              </w:tabs>
              <w:overflowPunct w:val="0"/>
              <w:autoSpaceDE w:val="0"/>
              <w:autoSpaceDN w:val="0"/>
              <w:contextualSpacing/>
              <w:rPr>
                <w:rFonts w:ascii="Arial" w:eastAsia="黑体" w:hAnsi="Arial" w:cs="Arial"/>
                <w:snapToGrid w:val="0"/>
                <w:sz w:val="22"/>
                <w:szCs w:val="22"/>
              </w:rPr>
            </w:pPr>
          </w:p>
        </w:tc>
        <w:tc>
          <w:tcPr>
            <w:tcW w:w="567" w:type="dxa"/>
            <w:vAlign w:val="bottom"/>
          </w:tcPr>
          <w:p w:rsidR="00AD5BB5" w:rsidRDefault="00AD5BB5">
            <w:pPr>
              <w:tabs>
                <w:tab w:val="center" w:pos="7800"/>
              </w:tabs>
              <w:overflowPunct w:val="0"/>
              <w:autoSpaceDE w:val="0"/>
              <w:autoSpaceDN w:val="0"/>
              <w:contextualSpacing/>
              <w:jc w:val="right"/>
              <w:rPr>
                <w:rFonts w:ascii="Arial" w:eastAsia="黑体" w:hAnsi="Arial" w:cs="Arial"/>
                <w:snapToGrid w:val="0"/>
                <w:sz w:val="22"/>
                <w:szCs w:val="22"/>
              </w:rPr>
            </w:pPr>
          </w:p>
        </w:tc>
        <w:tc>
          <w:tcPr>
            <w:tcW w:w="490" w:type="dxa"/>
            <w:vAlign w:val="bottom"/>
          </w:tcPr>
          <w:p w:rsidR="00AD5BB5" w:rsidRDefault="00AD5BB5">
            <w:pPr>
              <w:tabs>
                <w:tab w:val="center" w:pos="7800"/>
              </w:tabs>
              <w:overflowPunct w:val="0"/>
              <w:autoSpaceDE w:val="0"/>
              <w:autoSpaceDN w:val="0"/>
              <w:contextualSpacing/>
              <w:jc w:val="center"/>
              <w:rPr>
                <w:rFonts w:ascii="Arial" w:eastAsia="黑体" w:hAnsi="Arial" w:cs="Arial"/>
                <w:snapToGrid w:val="0"/>
                <w:sz w:val="22"/>
                <w:szCs w:val="22"/>
              </w:rPr>
            </w:pPr>
          </w:p>
        </w:tc>
        <w:tc>
          <w:tcPr>
            <w:tcW w:w="651" w:type="dxa"/>
            <w:vAlign w:val="bottom"/>
          </w:tcPr>
          <w:p w:rsidR="00AD5BB5" w:rsidRDefault="00AD5BB5">
            <w:pPr>
              <w:tabs>
                <w:tab w:val="center" w:pos="7800"/>
              </w:tabs>
              <w:overflowPunct w:val="0"/>
              <w:autoSpaceDE w:val="0"/>
              <w:autoSpaceDN w:val="0"/>
              <w:contextualSpacing/>
              <w:rPr>
                <w:rFonts w:ascii="Arial" w:eastAsia="黑体" w:hAnsi="Arial" w:cs="Arial"/>
                <w:snapToGrid w:val="0"/>
                <w:sz w:val="22"/>
                <w:szCs w:val="22"/>
              </w:rPr>
            </w:pPr>
          </w:p>
        </w:tc>
      </w:tr>
      <w:tr w:rsidR="00AD5BB5">
        <w:trPr>
          <w:trHeight w:val="80"/>
        </w:trPr>
        <w:tc>
          <w:tcPr>
            <w:tcW w:w="6934" w:type="dxa"/>
            <w:vAlign w:val="bottom"/>
          </w:tcPr>
          <w:p w:rsidR="00AD5BB5" w:rsidRDefault="00AD5BB5">
            <w:pPr>
              <w:tabs>
                <w:tab w:val="center" w:pos="7800"/>
              </w:tabs>
              <w:overflowPunct w:val="0"/>
              <w:autoSpaceDE w:val="0"/>
              <w:autoSpaceDN w:val="0"/>
              <w:contextualSpacing/>
              <w:rPr>
                <w:rFonts w:ascii="Arial" w:eastAsia="黑体" w:hAnsi="Arial" w:cs="Arial"/>
                <w:snapToGrid w:val="0"/>
                <w:sz w:val="22"/>
                <w:szCs w:val="22"/>
              </w:rPr>
            </w:pPr>
          </w:p>
        </w:tc>
        <w:tc>
          <w:tcPr>
            <w:tcW w:w="567" w:type="dxa"/>
            <w:vAlign w:val="bottom"/>
          </w:tcPr>
          <w:p w:rsidR="00AD5BB5" w:rsidRDefault="00AD5BB5">
            <w:pPr>
              <w:tabs>
                <w:tab w:val="center" w:pos="7800"/>
              </w:tabs>
              <w:overflowPunct w:val="0"/>
              <w:autoSpaceDE w:val="0"/>
              <w:autoSpaceDN w:val="0"/>
              <w:contextualSpacing/>
              <w:jc w:val="right"/>
              <w:rPr>
                <w:rFonts w:ascii="Arial" w:eastAsia="黑体" w:hAnsi="Arial" w:cs="Arial"/>
                <w:snapToGrid w:val="0"/>
                <w:sz w:val="22"/>
                <w:szCs w:val="22"/>
              </w:rPr>
            </w:pPr>
          </w:p>
        </w:tc>
        <w:tc>
          <w:tcPr>
            <w:tcW w:w="490" w:type="dxa"/>
            <w:vAlign w:val="bottom"/>
          </w:tcPr>
          <w:p w:rsidR="00AD5BB5" w:rsidRDefault="00AD5BB5">
            <w:pPr>
              <w:tabs>
                <w:tab w:val="center" w:pos="7800"/>
              </w:tabs>
              <w:overflowPunct w:val="0"/>
              <w:autoSpaceDE w:val="0"/>
              <w:autoSpaceDN w:val="0"/>
              <w:contextualSpacing/>
              <w:jc w:val="center"/>
              <w:rPr>
                <w:rFonts w:ascii="Arial" w:eastAsia="黑体" w:hAnsi="Arial" w:cs="Arial"/>
                <w:snapToGrid w:val="0"/>
                <w:sz w:val="22"/>
                <w:szCs w:val="22"/>
              </w:rPr>
            </w:pPr>
          </w:p>
        </w:tc>
        <w:tc>
          <w:tcPr>
            <w:tcW w:w="651" w:type="dxa"/>
            <w:vAlign w:val="bottom"/>
          </w:tcPr>
          <w:p w:rsidR="00AD5BB5" w:rsidRDefault="00AD5BB5">
            <w:pPr>
              <w:tabs>
                <w:tab w:val="center" w:pos="7800"/>
              </w:tabs>
              <w:overflowPunct w:val="0"/>
              <w:autoSpaceDE w:val="0"/>
              <w:autoSpaceDN w:val="0"/>
              <w:contextualSpacing/>
              <w:rPr>
                <w:rFonts w:ascii="Arial" w:eastAsia="黑体" w:hAnsi="Arial" w:cs="Arial"/>
                <w:snapToGrid w:val="0"/>
                <w:sz w:val="22"/>
                <w:szCs w:val="22"/>
              </w:rPr>
            </w:pPr>
          </w:p>
        </w:tc>
      </w:tr>
      <w:tr w:rsidR="00AD5BB5">
        <w:trPr>
          <w:trHeight w:val="80"/>
        </w:trPr>
        <w:tc>
          <w:tcPr>
            <w:tcW w:w="6934" w:type="dxa"/>
            <w:vAlign w:val="bottom"/>
          </w:tcPr>
          <w:p w:rsidR="00AD5BB5" w:rsidRDefault="00F87FF6">
            <w:pPr>
              <w:tabs>
                <w:tab w:val="center" w:pos="7800"/>
              </w:tabs>
              <w:overflowPunct w:val="0"/>
              <w:autoSpaceDE w:val="0"/>
              <w:autoSpaceDN w:val="0"/>
              <w:contextualSpacing/>
              <w:rPr>
                <w:rFonts w:ascii="Arial" w:eastAsia="黑体" w:hAnsi="Arial" w:cs="Arial"/>
                <w:snapToGrid w:val="0"/>
                <w:sz w:val="22"/>
                <w:szCs w:val="22"/>
              </w:rPr>
            </w:pPr>
            <w:r>
              <w:rPr>
                <w:rFonts w:ascii="Arial" w:eastAsia="黑体" w:hAnsi="Arial" w:cs="Arial"/>
                <w:snapToGrid w:val="0"/>
                <w:sz w:val="22"/>
                <w:szCs w:val="22"/>
              </w:rPr>
              <w:t>合并资产负债表</w:t>
            </w:r>
          </w:p>
        </w:tc>
        <w:tc>
          <w:tcPr>
            <w:tcW w:w="567" w:type="dxa"/>
            <w:vAlign w:val="bottom"/>
          </w:tcPr>
          <w:p w:rsidR="00AD5BB5" w:rsidRDefault="00F87FF6">
            <w:pPr>
              <w:tabs>
                <w:tab w:val="center" w:pos="7800"/>
              </w:tabs>
              <w:overflowPunct w:val="0"/>
              <w:autoSpaceDE w:val="0"/>
              <w:autoSpaceDN w:val="0"/>
              <w:contextualSpacing/>
              <w:jc w:val="right"/>
              <w:rPr>
                <w:rFonts w:ascii="Arial" w:eastAsia="黑体" w:hAnsi="Arial" w:cs="Arial"/>
                <w:snapToGrid w:val="0"/>
                <w:sz w:val="22"/>
                <w:szCs w:val="22"/>
              </w:rPr>
            </w:pPr>
            <w:r>
              <w:rPr>
                <w:rFonts w:ascii="Arial" w:eastAsia="黑体" w:hAnsi="Arial" w:cs="Arial"/>
                <w:snapToGrid w:val="0"/>
                <w:sz w:val="22"/>
                <w:szCs w:val="22"/>
              </w:rPr>
              <w:t>3</w:t>
            </w:r>
          </w:p>
        </w:tc>
        <w:tc>
          <w:tcPr>
            <w:tcW w:w="490" w:type="dxa"/>
            <w:vAlign w:val="bottom"/>
          </w:tcPr>
          <w:p w:rsidR="00AD5BB5" w:rsidRDefault="00F87FF6">
            <w:pPr>
              <w:tabs>
                <w:tab w:val="center" w:pos="7800"/>
              </w:tabs>
              <w:overflowPunct w:val="0"/>
              <w:autoSpaceDE w:val="0"/>
              <w:autoSpaceDN w:val="0"/>
              <w:contextualSpacing/>
              <w:jc w:val="center"/>
              <w:rPr>
                <w:rFonts w:ascii="Arial" w:eastAsia="黑体" w:hAnsi="Arial" w:cs="Arial"/>
                <w:snapToGrid w:val="0"/>
                <w:sz w:val="22"/>
                <w:szCs w:val="22"/>
              </w:rPr>
            </w:pPr>
            <w:r>
              <w:rPr>
                <w:rFonts w:ascii="Arial" w:eastAsia="黑体" w:hAnsi="Arial" w:cs="Arial"/>
                <w:snapToGrid w:val="0"/>
                <w:sz w:val="22"/>
                <w:szCs w:val="22"/>
              </w:rPr>
              <w:t>-</w:t>
            </w:r>
          </w:p>
        </w:tc>
        <w:tc>
          <w:tcPr>
            <w:tcW w:w="651" w:type="dxa"/>
            <w:vAlign w:val="bottom"/>
          </w:tcPr>
          <w:p w:rsidR="00AD5BB5" w:rsidRDefault="00F87FF6">
            <w:pPr>
              <w:tabs>
                <w:tab w:val="center" w:pos="7800"/>
              </w:tabs>
              <w:overflowPunct w:val="0"/>
              <w:autoSpaceDE w:val="0"/>
              <w:autoSpaceDN w:val="0"/>
              <w:contextualSpacing/>
              <w:rPr>
                <w:rFonts w:ascii="Arial" w:eastAsia="黑体" w:hAnsi="Arial" w:cs="Arial"/>
                <w:snapToGrid w:val="0"/>
                <w:sz w:val="22"/>
                <w:szCs w:val="22"/>
              </w:rPr>
            </w:pPr>
            <w:r>
              <w:rPr>
                <w:rFonts w:ascii="Arial" w:eastAsia="黑体" w:hAnsi="Arial" w:cs="Arial"/>
                <w:snapToGrid w:val="0"/>
                <w:sz w:val="22"/>
                <w:szCs w:val="22"/>
              </w:rPr>
              <w:t>4</w:t>
            </w:r>
          </w:p>
        </w:tc>
      </w:tr>
      <w:tr w:rsidR="00AD5BB5">
        <w:trPr>
          <w:trHeight w:val="80"/>
        </w:trPr>
        <w:tc>
          <w:tcPr>
            <w:tcW w:w="6934" w:type="dxa"/>
            <w:vAlign w:val="bottom"/>
          </w:tcPr>
          <w:p w:rsidR="00AD5BB5" w:rsidRDefault="00F87FF6">
            <w:pPr>
              <w:tabs>
                <w:tab w:val="center" w:pos="7800"/>
              </w:tabs>
              <w:overflowPunct w:val="0"/>
              <w:autoSpaceDE w:val="0"/>
              <w:autoSpaceDN w:val="0"/>
              <w:contextualSpacing/>
              <w:rPr>
                <w:rFonts w:ascii="Arial" w:eastAsia="黑体" w:hAnsi="Arial" w:cs="Arial"/>
                <w:snapToGrid w:val="0"/>
                <w:sz w:val="22"/>
                <w:szCs w:val="22"/>
              </w:rPr>
            </w:pPr>
            <w:r>
              <w:rPr>
                <w:rFonts w:ascii="Arial" w:eastAsia="黑体" w:hAnsi="Arial" w:cs="Arial"/>
                <w:snapToGrid w:val="0"/>
                <w:sz w:val="22"/>
                <w:szCs w:val="22"/>
              </w:rPr>
              <w:t>合并利润表</w:t>
            </w:r>
          </w:p>
        </w:tc>
        <w:tc>
          <w:tcPr>
            <w:tcW w:w="567" w:type="dxa"/>
            <w:vAlign w:val="bottom"/>
          </w:tcPr>
          <w:p w:rsidR="00AD5BB5" w:rsidRDefault="00F87FF6">
            <w:pPr>
              <w:tabs>
                <w:tab w:val="center" w:pos="7800"/>
              </w:tabs>
              <w:overflowPunct w:val="0"/>
              <w:autoSpaceDE w:val="0"/>
              <w:autoSpaceDN w:val="0"/>
              <w:contextualSpacing/>
              <w:jc w:val="right"/>
              <w:rPr>
                <w:rFonts w:ascii="Arial" w:eastAsia="黑体" w:hAnsi="Arial" w:cs="Arial"/>
                <w:snapToGrid w:val="0"/>
                <w:sz w:val="22"/>
                <w:szCs w:val="22"/>
              </w:rPr>
            </w:pPr>
            <w:r>
              <w:rPr>
                <w:rFonts w:ascii="Arial" w:eastAsia="黑体" w:hAnsi="Arial" w:cs="Arial"/>
                <w:snapToGrid w:val="0"/>
                <w:sz w:val="22"/>
                <w:szCs w:val="22"/>
              </w:rPr>
              <w:t>5</w:t>
            </w:r>
          </w:p>
        </w:tc>
        <w:tc>
          <w:tcPr>
            <w:tcW w:w="490" w:type="dxa"/>
            <w:vAlign w:val="bottom"/>
          </w:tcPr>
          <w:p w:rsidR="00AD5BB5" w:rsidRDefault="00F87FF6">
            <w:pPr>
              <w:tabs>
                <w:tab w:val="center" w:pos="7800"/>
              </w:tabs>
              <w:overflowPunct w:val="0"/>
              <w:autoSpaceDE w:val="0"/>
              <w:autoSpaceDN w:val="0"/>
              <w:contextualSpacing/>
              <w:jc w:val="center"/>
              <w:rPr>
                <w:rFonts w:ascii="Arial" w:eastAsia="黑体" w:hAnsi="Arial" w:cs="Arial"/>
                <w:snapToGrid w:val="0"/>
                <w:sz w:val="22"/>
                <w:szCs w:val="22"/>
              </w:rPr>
            </w:pPr>
            <w:r>
              <w:rPr>
                <w:rFonts w:ascii="Arial" w:eastAsia="黑体" w:hAnsi="Arial" w:cs="Arial"/>
                <w:snapToGrid w:val="0"/>
                <w:sz w:val="22"/>
                <w:szCs w:val="22"/>
              </w:rPr>
              <w:t>-</w:t>
            </w:r>
          </w:p>
        </w:tc>
        <w:tc>
          <w:tcPr>
            <w:tcW w:w="651" w:type="dxa"/>
            <w:vAlign w:val="bottom"/>
          </w:tcPr>
          <w:p w:rsidR="00AD5BB5" w:rsidRDefault="00F87FF6">
            <w:pPr>
              <w:tabs>
                <w:tab w:val="center" w:pos="7800"/>
              </w:tabs>
              <w:overflowPunct w:val="0"/>
              <w:autoSpaceDE w:val="0"/>
              <w:autoSpaceDN w:val="0"/>
              <w:contextualSpacing/>
              <w:rPr>
                <w:rFonts w:ascii="Arial" w:eastAsia="黑体" w:hAnsi="Arial" w:cs="Arial"/>
                <w:snapToGrid w:val="0"/>
                <w:sz w:val="22"/>
                <w:szCs w:val="22"/>
              </w:rPr>
            </w:pPr>
            <w:r>
              <w:rPr>
                <w:rFonts w:ascii="Arial" w:eastAsia="黑体" w:hAnsi="Arial" w:cs="Arial"/>
                <w:snapToGrid w:val="0"/>
                <w:sz w:val="22"/>
                <w:szCs w:val="22"/>
              </w:rPr>
              <w:t>6</w:t>
            </w:r>
          </w:p>
        </w:tc>
      </w:tr>
      <w:tr w:rsidR="00AD5BB5">
        <w:trPr>
          <w:trHeight w:val="80"/>
        </w:trPr>
        <w:tc>
          <w:tcPr>
            <w:tcW w:w="6934" w:type="dxa"/>
            <w:vAlign w:val="bottom"/>
          </w:tcPr>
          <w:p w:rsidR="00AD5BB5" w:rsidRDefault="00F87FF6">
            <w:pPr>
              <w:tabs>
                <w:tab w:val="center" w:pos="7800"/>
              </w:tabs>
              <w:overflowPunct w:val="0"/>
              <w:autoSpaceDE w:val="0"/>
              <w:autoSpaceDN w:val="0"/>
              <w:contextualSpacing/>
              <w:rPr>
                <w:rFonts w:ascii="Arial" w:eastAsia="黑体" w:hAnsi="Arial" w:cs="Arial"/>
                <w:snapToGrid w:val="0"/>
                <w:sz w:val="22"/>
                <w:szCs w:val="22"/>
              </w:rPr>
            </w:pPr>
            <w:r>
              <w:rPr>
                <w:rFonts w:ascii="Arial" w:eastAsia="黑体" w:hAnsi="Arial" w:cs="Arial"/>
                <w:snapToGrid w:val="0"/>
                <w:sz w:val="22"/>
                <w:szCs w:val="22"/>
              </w:rPr>
              <w:t>合并股东权益变动表</w:t>
            </w:r>
          </w:p>
        </w:tc>
        <w:tc>
          <w:tcPr>
            <w:tcW w:w="567" w:type="dxa"/>
            <w:vAlign w:val="bottom"/>
          </w:tcPr>
          <w:p w:rsidR="00AD5BB5" w:rsidRDefault="00F87FF6">
            <w:pPr>
              <w:tabs>
                <w:tab w:val="center" w:pos="7800"/>
              </w:tabs>
              <w:overflowPunct w:val="0"/>
              <w:autoSpaceDE w:val="0"/>
              <w:autoSpaceDN w:val="0"/>
              <w:contextualSpacing/>
              <w:jc w:val="right"/>
              <w:rPr>
                <w:rFonts w:ascii="Arial" w:eastAsia="黑体" w:hAnsi="Arial" w:cs="Arial"/>
                <w:snapToGrid w:val="0"/>
                <w:sz w:val="22"/>
                <w:szCs w:val="22"/>
              </w:rPr>
            </w:pPr>
            <w:r>
              <w:rPr>
                <w:rFonts w:ascii="Arial" w:eastAsia="黑体" w:hAnsi="Arial" w:cs="Arial"/>
                <w:snapToGrid w:val="0"/>
                <w:sz w:val="22"/>
                <w:szCs w:val="22"/>
              </w:rPr>
              <w:t>7</w:t>
            </w:r>
          </w:p>
        </w:tc>
        <w:tc>
          <w:tcPr>
            <w:tcW w:w="490" w:type="dxa"/>
            <w:vAlign w:val="bottom"/>
          </w:tcPr>
          <w:p w:rsidR="00AD5BB5" w:rsidRDefault="00F87FF6">
            <w:pPr>
              <w:tabs>
                <w:tab w:val="center" w:pos="7800"/>
              </w:tabs>
              <w:overflowPunct w:val="0"/>
              <w:autoSpaceDE w:val="0"/>
              <w:autoSpaceDN w:val="0"/>
              <w:contextualSpacing/>
              <w:jc w:val="center"/>
              <w:rPr>
                <w:rFonts w:ascii="Arial" w:eastAsia="黑体" w:hAnsi="Arial" w:cs="Arial"/>
                <w:snapToGrid w:val="0"/>
                <w:sz w:val="22"/>
                <w:szCs w:val="22"/>
              </w:rPr>
            </w:pPr>
            <w:r>
              <w:rPr>
                <w:rFonts w:ascii="Arial" w:eastAsia="黑体" w:hAnsi="Arial" w:cs="Arial"/>
                <w:snapToGrid w:val="0"/>
                <w:sz w:val="22"/>
                <w:szCs w:val="22"/>
              </w:rPr>
              <w:t>-</w:t>
            </w:r>
          </w:p>
        </w:tc>
        <w:tc>
          <w:tcPr>
            <w:tcW w:w="651" w:type="dxa"/>
            <w:vAlign w:val="bottom"/>
          </w:tcPr>
          <w:p w:rsidR="00AD5BB5" w:rsidRDefault="00F87FF6">
            <w:pPr>
              <w:tabs>
                <w:tab w:val="center" w:pos="7800"/>
              </w:tabs>
              <w:overflowPunct w:val="0"/>
              <w:autoSpaceDE w:val="0"/>
              <w:autoSpaceDN w:val="0"/>
              <w:contextualSpacing/>
              <w:rPr>
                <w:rFonts w:ascii="Arial" w:eastAsia="黑体" w:hAnsi="Arial" w:cs="Arial"/>
                <w:snapToGrid w:val="0"/>
                <w:sz w:val="22"/>
                <w:szCs w:val="22"/>
              </w:rPr>
            </w:pPr>
            <w:r>
              <w:rPr>
                <w:rFonts w:ascii="Arial" w:eastAsia="黑体" w:hAnsi="Arial" w:cs="Arial"/>
                <w:snapToGrid w:val="0"/>
                <w:sz w:val="22"/>
                <w:szCs w:val="22"/>
              </w:rPr>
              <w:t>8</w:t>
            </w:r>
          </w:p>
        </w:tc>
      </w:tr>
      <w:tr w:rsidR="00AD5BB5">
        <w:trPr>
          <w:trHeight w:val="80"/>
        </w:trPr>
        <w:tc>
          <w:tcPr>
            <w:tcW w:w="6934" w:type="dxa"/>
            <w:vAlign w:val="bottom"/>
          </w:tcPr>
          <w:p w:rsidR="00AD5BB5" w:rsidRDefault="00F87FF6">
            <w:pPr>
              <w:tabs>
                <w:tab w:val="center" w:pos="7800"/>
              </w:tabs>
              <w:overflowPunct w:val="0"/>
              <w:autoSpaceDE w:val="0"/>
              <w:autoSpaceDN w:val="0"/>
              <w:contextualSpacing/>
              <w:rPr>
                <w:rFonts w:ascii="Arial" w:eastAsia="黑体" w:hAnsi="Arial" w:cs="Arial"/>
                <w:snapToGrid w:val="0"/>
                <w:sz w:val="22"/>
                <w:szCs w:val="22"/>
              </w:rPr>
            </w:pPr>
            <w:r>
              <w:rPr>
                <w:rFonts w:ascii="Arial" w:eastAsia="黑体" w:hAnsi="Arial" w:cs="Arial"/>
                <w:snapToGrid w:val="0"/>
                <w:sz w:val="22"/>
                <w:szCs w:val="22"/>
              </w:rPr>
              <w:t>合并现金流量表</w:t>
            </w:r>
          </w:p>
        </w:tc>
        <w:tc>
          <w:tcPr>
            <w:tcW w:w="567" w:type="dxa"/>
            <w:vAlign w:val="bottom"/>
          </w:tcPr>
          <w:p w:rsidR="00AD5BB5" w:rsidRDefault="00F87FF6">
            <w:pPr>
              <w:tabs>
                <w:tab w:val="center" w:pos="7800"/>
              </w:tabs>
              <w:overflowPunct w:val="0"/>
              <w:autoSpaceDE w:val="0"/>
              <w:autoSpaceDN w:val="0"/>
              <w:contextualSpacing/>
              <w:jc w:val="right"/>
              <w:rPr>
                <w:rFonts w:ascii="Arial" w:eastAsia="黑体" w:hAnsi="Arial" w:cs="Arial"/>
                <w:snapToGrid w:val="0"/>
                <w:sz w:val="22"/>
                <w:szCs w:val="22"/>
              </w:rPr>
            </w:pPr>
            <w:r>
              <w:rPr>
                <w:rFonts w:ascii="Arial" w:eastAsia="黑体" w:hAnsi="Arial" w:cs="Arial"/>
                <w:snapToGrid w:val="0"/>
                <w:sz w:val="22"/>
                <w:szCs w:val="22"/>
              </w:rPr>
              <w:t>9</w:t>
            </w:r>
          </w:p>
        </w:tc>
        <w:tc>
          <w:tcPr>
            <w:tcW w:w="490" w:type="dxa"/>
            <w:vAlign w:val="bottom"/>
          </w:tcPr>
          <w:p w:rsidR="00AD5BB5" w:rsidRDefault="00F87FF6">
            <w:pPr>
              <w:tabs>
                <w:tab w:val="center" w:pos="7800"/>
              </w:tabs>
              <w:overflowPunct w:val="0"/>
              <w:autoSpaceDE w:val="0"/>
              <w:autoSpaceDN w:val="0"/>
              <w:contextualSpacing/>
              <w:jc w:val="center"/>
              <w:rPr>
                <w:rFonts w:ascii="Arial" w:eastAsia="黑体" w:hAnsi="Arial" w:cs="Arial"/>
                <w:snapToGrid w:val="0"/>
                <w:sz w:val="22"/>
                <w:szCs w:val="22"/>
              </w:rPr>
            </w:pPr>
            <w:r>
              <w:rPr>
                <w:rFonts w:ascii="Arial" w:eastAsia="黑体" w:hAnsi="Arial" w:cs="Arial"/>
                <w:snapToGrid w:val="0"/>
                <w:sz w:val="22"/>
                <w:szCs w:val="22"/>
              </w:rPr>
              <w:t>-</w:t>
            </w:r>
          </w:p>
        </w:tc>
        <w:tc>
          <w:tcPr>
            <w:tcW w:w="651" w:type="dxa"/>
            <w:vAlign w:val="bottom"/>
          </w:tcPr>
          <w:p w:rsidR="00AD5BB5" w:rsidRDefault="00F87FF6">
            <w:pPr>
              <w:tabs>
                <w:tab w:val="center" w:pos="7800"/>
              </w:tabs>
              <w:overflowPunct w:val="0"/>
              <w:autoSpaceDE w:val="0"/>
              <w:autoSpaceDN w:val="0"/>
              <w:contextualSpacing/>
              <w:rPr>
                <w:rFonts w:ascii="Arial" w:eastAsia="黑体" w:hAnsi="Arial" w:cs="Arial"/>
                <w:snapToGrid w:val="0"/>
                <w:sz w:val="22"/>
                <w:szCs w:val="22"/>
              </w:rPr>
            </w:pPr>
            <w:r>
              <w:rPr>
                <w:rFonts w:ascii="Arial" w:eastAsia="黑体" w:hAnsi="Arial" w:cs="Arial"/>
                <w:snapToGrid w:val="0"/>
                <w:sz w:val="22"/>
                <w:szCs w:val="22"/>
              </w:rPr>
              <w:t>10</w:t>
            </w:r>
          </w:p>
        </w:tc>
      </w:tr>
      <w:tr w:rsidR="00AD5BB5">
        <w:trPr>
          <w:trHeight w:val="80"/>
        </w:trPr>
        <w:tc>
          <w:tcPr>
            <w:tcW w:w="6934" w:type="dxa"/>
            <w:vAlign w:val="bottom"/>
          </w:tcPr>
          <w:p w:rsidR="00AD5BB5" w:rsidRDefault="00F87FF6">
            <w:pPr>
              <w:tabs>
                <w:tab w:val="center" w:pos="7800"/>
              </w:tabs>
              <w:overflowPunct w:val="0"/>
              <w:autoSpaceDE w:val="0"/>
              <w:autoSpaceDN w:val="0"/>
              <w:contextualSpacing/>
              <w:rPr>
                <w:rFonts w:ascii="Arial" w:eastAsia="黑体" w:hAnsi="Arial" w:cs="Arial"/>
                <w:snapToGrid w:val="0"/>
                <w:sz w:val="22"/>
                <w:szCs w:val="22"/>
              </w:rPr>
            </w:pPr>
            <w:r>
              <w:rPr>
                <w:rFonts w:ascii="Arial" w:eastAsia="黑体" w:hAnsi="Arial" w:cs="Arial"/>
                <w:snapToGrid w:val="0"/>
                <w:sz w:val="22"/>
                <w:szCs w:val="22"/>
              </w:rPr>
              <w:t>公司资产负债表</w:t>
            </w:r>
          </w:p>
        </w:tc>
        <w:tc>
          <w:tcPr>
            <w:tcW w:w="567" w:type="dxa"/>
            <w:vAlign w:val="bottom"/>
          </w:tcPr>
          <w:p w:rsidR="00AD5BB5" w:rsidRDefault="00F87FF6">
            <w:pPr>
              <w:tabs>
                <w:tab w:val="center" w:pos="7800"/>
              </w:tabs>
              <w:overflowPunct w:val="0"/>
              <w:autoSpaceDE w:val="0"/>
              <w:autoSpaceDN w:val="0"/>
              <w:contextualSpacing/>
              <w:jc w:val="right"/>
              <w:rPr>
                <w:rFonts w:ascii="Arial" w:eastAsia="黑体" w:hAnsi="Arial" w:cs="Arial"/>
                <w:snapToGrid w:val="0"/>
                <w:sz w:val="22"/>
                <w:szCs w:val="22"/>
              </w:rPr>
            </w:pPr>
            <w:r>
              <w:rPr>
                <w:rFonts w:ascii="Arial" w:eastAsia="黑体" w:hAnsi="Arial" w:cs="Arial"/>
                <w:snapToGrid w:val="0"/>
                <w:sz w:val="22"/>
                <w:szCs w:val="22"/>
              </w:rPr>
              <w:t>11</w:t>
            </w:r>
          </w:p>
        </w:tc>
        <w:tc>
          <w:tcPr>
            <w:tcW w:w="490" w:type="dxa"/>
            <w:vAlign w:val="bottom"/>
          </w:tcPr>
          <w:p w:rsidR="00AD5BB5" w:rsidRDefault="00F87FF6">
            <w:pPr>
              <w:tabs>
                <w:tab w:val="center" w:pos="7800"/>
              </w:tabs>
              <w:overflowPunct w:val="0"/>
              <w:autoSpaceDE w:val="0"/>
              <w:autoSpaceDN w:val="0"/>
              <w:contextualSpacing/>
              <w:jc w:val="center"/>
              <w:rPr>
                <w:rFonts w:ascii="Arial" w:eastAsia="黑体" w:hAnsi="Arial" w:cs="Arial"/>
                <w:snapToGrid w:val="0"/>
                <w:sz w:val="22"/>
                <w:szCs w:val="22"/>
              </w:rPr>
            </w:pPr>
            <w:r>
              <w:rPr>
                <w:rFonts w:ascii="Arial" w:eastAsia="黑体" w:hAnsi="Arial" w:cs="Arial"/>
                <w:snapToGrid w:val="0"/>
                <w:sz w:val="22"/>
                <w:szCs w:val="22"/>
              </w:rPr>
              <w:t>-</w:t>
            </w:r>
          </w:p>
        </w:tc>
        <w:tc>
          <w:tcPr>
            <w:tcW w:w="651" w:type="dxa"/>
            <w:vAlign w:val="bottom"/>
          </w:tcPr>
          <w:p w:rsidR="00AD5BB5" w:rsidRDefault="00F87FF6">
            <w:pPr>
              <w:tabs>
                <w:tab w:val="center" w:pos="7800"/>
              </w:tabs>
              <w:overflowPunct w:val="0"/>
              <w:autoSpaceDE w:val="0"/>
              <w:autoSpaceDN w:val="0"/>
              <w:contextualSpacing/>
              <w:rPr>
                <w:rFonts w:ascii="Arial" w:eastAsia="黑体" w:hAnsi="Arial" w:cs="Arial"/>
                <w:snapToGrid w:val="0"/>
                <w:sz w:val="22"/>
                <w:szCs w:val="22"/>
              </w:rPr>
            </w:pPr>
            <w:r>
              <w:rPr>
                <w:rFonts w:ascii="Arial" w:eastAsia="黑体" w:hAnsi="Arial" w:cs="Arial"/>
                <w:snapToGrid w:val="0"/>
                <w:sz w:val="22"/>
                <w:szCs w:val="22"/>
              </w:rPr>
              <w:t>12</w:t>
            </w:r>
          </w:p>
        </w:tc>
      </w:tr>
      <w:tr w:rsidR="00AD5BB5">
        <w:trPr>
          <w:trHeight w:val="80"/>
        </w:trPr>
        <w:tc>
          <w:tcPr>
            <w:tcW w:w="6934" w:type="dxa"/>
            <w:vAlign w:val="bottom"/>
          </w:tcPr>
          <w:p w:rsidR="00AD5BB5" w:rsidRDefault="00F87FF6">
            <w:pPr>
              <w:tabs>
                <w:tab w:val="center" w:pos="7800"/>
              </w:tabs>
              <w:overflowPunct w:val="0"/>
              <w:autoSpaceDE w:val="0"/>
              <w:autoSpaceDN w:val="0"/>
              <w:contextualSpacing/>
              <w:rPr>
                <w:rFonts w:ascii="Arial" w:eastAsia="黑体" w:hAnsi="Arial" w:cs="Arial"/>
                <w:snapToGrid w:val="0"/>
                <w:sz w:val="22"/>
                <w:szCs w:val="22"/>
              </w:rPr>
            </w:pPr>
            <w:r>
              <w:rPr>
                <w:rFonts w:ascii="Arial" w:eastAsia="黑体" w:hAnsi="Arial" w:cs="Arial"/>
                <w:snapToGrid w:val="0"/>
                <w:sz w:val="22"/>
                <w:szCs w:val="22"/>
              </w:rPr>
              <w:t>公司利润表</w:t>
            </w:r>
          </w:p>
        </w:tc>
        <w:tc>
          <w:tcPr>
            <w:tcW w:w="567" w:type="dxa"/>
            <w:vAlign w:val="bottom"/>
          </w:tcPr>
          <w:p w:rsidR="00AD5BB5" w:rsidRDefault="00F87FF6">
            <w:pPr>
              <w:tabs>
                <w:tab w:val="center" w:pos="7800"/>
              </w:tabs>
              <w:overflowPunct w:val="0"/>
              <w:autoSpaceDE w:val="0"/>
              <w:autoSpaceDN w:val="0"/>
              <w:contextualSpacing/>
              <w:jc w:val="right"/>
              <w:rPr>
                <w:rFonts w:ascii="Arial" w:eastAsia="黑体" w:hAnsi="Arial" w:cs="Arial"/>
                <w:snapToGrid w:val="0"/>
                <w:sz w:val="22"/>
                <w:szCs w:val="22"/>
              </w:rPr>
            </w:pPr>
            <w:r>
              <w:rPr>
                <w:rFonts w:ascii="Arial" w:eastAsia="黑体" w:hAnsi="Arial" w:cs="Arial"/>
                <w:snapToGrid w:val="0"/>
                <w:sz w:val="22"/>
                <w:szCs w:val="22"/>
              </w:rPr>
              <w:t>13</w:t>
            </w:r>
          </w:p>
        </w:tc>
        <w:tc>
          <w:tcPr>
            <w:tcW w:w="490" w:type="dxa"/>
            <w:vAlign w:val="bottom"/>
          </w:tcPr>
          <w:p w:rsidR="00AD5BB5" w:rsidRDefault="00F87FF6">
            <w:pPr>
              <w:tabs>
                <w:tab w:val="center" w:pos="7800"/>
              </w:tabs>
              <w:overflowPunct w:val="0"/>
              <w:autoSpaceDE w:val="0"/>
              <w:autoSpaceDN w:val="0"/>
              <w:contextualSpacing/>
              <w:jc w:val="center"/>
              <w:rPr>
                <w:rFonts w:ascii="Arial" w:eastAsia="黑体" w:hAnsi="Arial" w:cs="Arial"/>
                <w:snapToGrid w:val="0"/>
                <w:sz w:val="22"/>
                <w:szCs w:val="22"/>
              </w:rPr>
            </w:pPr>
            <w:r>
              <w:rPr>
                <w:rFonts w:ascii="Arial" w:eastAsia="黑体" w:hAnsi="Arial" w:cs="Arial"/>
                <w:snapToGrid w:val="0"/>
                <w:sz w:val="22"/>
                <w:szCs w:val="22"/>
              </w:rPr>
              <w:t>-</w:t>
            </w:r>
          </w:p>
        </w:tc>
        <w:tc>
          <w:tcPr>
            <w:tcW w:w="651" w:type="dxa"/>
            <w:vAlign w:val="bottom"/>
          </w:tcPr>
          <w:p w:rsidR="00AD5BB5" w:rsidRDefault="00F87FF6">
            <w:pPr>
              <w:tabs>
                <w:tab w:val="center" w:pos="7800"/>
              </w:tabs>
              <w:overflowPunct w:val="0"/>
              <w:autoSpaceDE w:val="0"/>
              <w:autoSpaceDN w:val="0"/>
              <w:contextualSpacing/>
              <w:rPr>
                <w:rFonts w:ascii="Arial" w:eastAsia="黑体" w:hAnsi="Arial" w:cs="Arial"/>
                <w:snapToGrid w:val="0"/>
                <w:sz w:val="22"/>
                <w:szCs w:val="22"/>
              </w:rPr>
            </w:pPr>
            <w:r>
              <w:rPr>
                <w:rFonts w:ascii="Arial" w:eastAsia="黑体" w:hAnsi="Arial" w:cs="Arial"/>
                <w:snapToGrid w:val="0"/>
                <w:sz w:val="22"/>
                <w:szCs w:val="22"/>
              </w:rPr>
              <w:t>14</w:t>
            </w:r>
          </w:p>
        </w:tc>
      </w:tr>
      <w:tr w:rsidR="00AD5BB5">
        <w:trPr>
          <w:trHeight w:val="80"/>
        </w:trPr>
        <w:tc>
          <w:tcPr>
            <w:tcW w:w="6934" w:type="dxa"/>
            <w:vAlign w:val="bottom"/>
          </w:tcPr>
          <w:p w:rsidR="00AD5BB5" w:rsidRDefault="00F87FF6">
            <w:pPr>
              <w:tabs>
                <w:tab w:val="center" w:pos="7800"/>
              </w:tabs>
              <w:overflowPunct w:val="0"/>
              <w:autoSpaceDE w:val="0"/>
              <w:autoSpaceDN w:val="0"/>
              <w:contextualSpacing/>
              <w:rPr>
                <w:rFonts w:ascii="Arial" w:eastAsia="黑体" w:hAnsi="Arial" w:cs="Arial"/>
                <w:snapToGrid w:val="0"/>
                <w:sz w:val="22"/>
                <w:szCs w:val="22"/>
              </w:rPr>
            </w:pPr>
            <w:r>
              <w:rPr>
                <w:rFonts w:ascii="Arial" w:eastAsia="黑体" w:hAnsi="Arial" w:cs="Arial"/>
                <w:snapToGrid w:val="0"/>
                <w:sz w:val="22"/>
                <w:szCs w:val="22"/>
              </w:rPr>
              <w:t>公司股东权益变动表</w:t>
            </w:r>
          </w:p>
        </w:tc>
        <w:tc>
          <w:tcPr>
            <w:tcW w:w="567" w:type="dxa"/>
            <w:vAlign w:val="bottom"/>
          </w:tcPr>
          <w:p w:rsidR="00AD5BB5" w:rsidRDefault="00F87FF6">
            <w:pPr>
              <w:tabs>
                <w:tab w:val="center" w:pos="7800"/>
              </w:tabs>
              <w:overflowPunct w:val="0"/>
              <w:autoSpaceDE w:val="0"/>
              <w:autoSpaceDN w:val="0"/>
              <w:contextualSpacing/>
              <w:jc w:val="right"/>
              <w:rPr>
                <w:rFonts w:ascii="Arial" w:eastAsia="黑体" w:hAnsi="Arial" w:cs="Arial"/>
                <w:snapToGrid w:val="0"/>
                <w:sz w:val="22"/>
                <w:szCs w:val="22"/>
              </w:rPr>
            </w:pPr>
            <w:r>
              <w:rPr>
                <w:rFonts w:ascii="Arial" w:eastAsia="黑体" w:hAnsi="Arial" w:cs="Arial"/>
                <w:snapToGrid w:val="0"/>
                <w:sz w:val="22"/>
                <w:szCs w:val="22"/>
              </w:rPr>
              <w:t>15</w:t>
            </w:r>
          </w:p>
        </w:tc>
        <w:tc>
          <w:tcPr>
            <w:tcW w:w="490" w:type="dxa"/>
            <w:vAlign w:val="bottom"/>
          </w:tcPr>
          <w:p w:rsidR="00AD5BB5" w:rsidRDefault="00F87FF6">
            <w:pPr>
              <w:tabs>
                <w:tab w:val="center" w:pos="7800"/>
              </w:tabs>
              <w:overflowPunct w:val="0"/>
              <w:autoSpaceDE w:val="0"/>
              <w:autoSpaceDN w:val="0"/>
              <w:contextualSpacing/>
              <w:jc w:val="center"/>
              <w:rPr>
                <w:rFonts w:ascii="Arial" w:eastAsia="黑体" w:hAnsi="Arial" w:cs="Arial"/>
                <w:snapToGrid w:val="0"/>
                <w:sz w:val="22"/>
                <w:szCs w:val="22"/>
              </w:rPr>
            </w:pPr>
            <w:r>
              <w:rPr>
                <w:rFonts w:ascii="Arial" w:eastAsia="黑体" w:hAnsi="Arial" w:cs="Arial"/>
                <w:snapToGrid w:val="0"/>
                <w:sz w:val="22"/>
                <w:szCs w:val="22"/>
              </w:rPr>
              <w:t>-</w:t>
            </w:r>
          </w:p>
        </w:tc>
        <w:tc>
          <w:tcPr>
            <w:tcW w:w="651" w:type="dxa"/>
            <w:vAlign w:val="bottom"/>
          </w:tcPr>
          <w:p w:rsidR="00AD5BB5" w:rsidRDefault="00F87FF6">
            <w:pPr>
              <w:tabs>
                <w:tab w:val="center" w:pos="7800"/>
              </w:tabs>
              <w:overflowPunct w:val="0"/>
              <w:autoSpaceDE w:val="0"/>
              <w:autoSpaceDN w:val="0"/>
              <w:contextualSpacing/>
              <w:rPr>
                <w:rFonts w:ascii="Arial" w:eastAsia="黑体" w:hAnsi="Arial" w:cs="Arial"/>
                <w:snapToGrid w:val="0"/>
                <w:sz w:val="22"/>
                <w:szCs w:val="22"/>
              </w:rPr>
            </w:pPr>
            <w:r>
              <w:rPr>
                <w:rFonts w:ascii="Arial" w:eastAsia="黑体" w:hAnsi="Arial" w:cs="Arial"/>
                <w:snapToGrid w:val="0"/>
                <w:sz w:val="22"/>
                <w:szCs w:val="22"/>
              </w:rPr>
              <w:t>16</w:t>
            </w:r>
          </w:p>
        </w:tc>
      </w:tr>
      <w:tr w:rsidR="00AD5BB5">
        <w:trPr>
          <w:trHeight w:val="80"/>
        </w:trPr>
        <w:tc>
          <w:tcPr>
            <w:tcW w:w="6934" w:type="dxa"/>
            <w:vAlign w:val="bottom"/>
          </w:tcPr>
          <w:p w:rsidR="00AD5BB5" w:rsidRDefault="00F87FF6">
            <w:pPr>
              <w:tabs>
                <w:tab w:val="center" w:pos="7800"/>
              </w:tabs>
              <w:overflowPunct w:val="0"/>
              <w:autoSpaceDE w:val="0"/>
              <w:autoSpaceDN w:val="0"/>
              <w:contextualSpacing/>
              <w:rPr>
                <w:rFonts w:ascii="Arial" w:eastAsia="黑体" w:hAnsi="Arial" w:cs="Arial"/>
                <w:snapToGrid w:val="0"/>
                <w:sz w:val="22"/>
                <w:szCs w:val="22"/>
              </w:rPr>
            </w:pPr>
            <w:r>
              <w:rPr>
                <w:rFonts w:ascii="Arial" w:eastAsia="黑体" w:hAnsi="Arial" w:cs="Arial"/>
                <w:snapToGrid w:val="0"/>
                <w:sz w:val="22"/>
                <w:szCs w:val="22"/>
              </w:rPr>
              <w:t>公司现金流量表</w:t>
            </w:r>
          </w:p>
        </w:tc>
        <w:tc>
          <w:tcPr>
            <w:tcW w:w="567" w:type="dxa"/>
            <w:vAlign w:val="bottom"/>
          </w:tcPr>
          <w:p w:rsidR="00AD5BB5" w:rsidRDefault="00F87FF6">
            <w:pPr>
              <w:tabs>
                <w:tab w:val="center" w:pos="7800"/>
              </w:tabs>
              <w:overflowPunct w:val="0"/>
              <w:autoSpaceDE w:val="0"/>
              <w:autoSpaceDN w:val="0"/>
              <w:contextualSpacing/>
              <w:jc w:val="right"/>
              <w:rPr>
                <w:rFonts w:ascii="Arial" w:eastAsia="黑体" w:hAnsi="Arial" w:cs="Arial"/>
                <w:snapToGrid w:val="0"/>
                <w:sz w:val="22"/>
                <w:szCs w:val="22"/>
              </w:rPr>
            </w:pPr>
            <w:r>
              <w:rPr>
                <w:rFonts w:ascii="Arial" w:eastAsia="黑体" w:hAnsi="Arial" w:cs="Arial"/>
                <w:snapToGrid w:val="0"/>
                <w:sz w:val="22"/>
                <w:szCs w:val="22"/>
              </w:rPr>
              <w:t>17</w:t>
            </w:r>
          </w:p>
        </w:tc>
        <w:tc>
          <w:tcPr>
            <w:tcW w:w="490" w:type="dxa"/>
            <w:vAlign w:val="bottom"/>
          </w:tcPr>
          <w:p w:rsidR="00AD5BB5" w:rsidRDefault="00F87FF6">
            <w:pPr>
              <w:tabs>
                <w:tab w:val="center" w:pos="7800"/>
              </w:tabs>
              <w:overflowPunct w:val="0"/>
              <w:autoSpaceDE w:val="0"/>
              <w:autoSpaceDN w:val="0"/>
              <w:contextualSpacing/>
              <w:jc w:val="center"/>
              <w:rPr>
                <w:rFonts w:ascii="Arial" w:eastAsia="黑体" w:hAnsi="Arial" w:cs="Arial"/>
                <w:snapToGrid w:val="0"/>
                <w:sz w:val="22"/>
                <w:szCs w:val="22"/>
              </w:rPr>
            </w:pPr>
            <w:r>
              <w:rPr>
                <w:rFonts w:ascii="Arial" w:eastAsia="黑体" w:hAnsi="Arial" w:cs="Arial"/>
                <w:snapToGrid w:val="0"/>
                <w:sz w:val="22"/>
                <w:szCs w:val="22"/>
              </w:rPr>
              <w:t>-</w:t>
            </w:r>
          </w:p>
        </w:tc>
        <w:tc>
          <w:tcPr>
            <w:tcW w:w="651" w:type="dxa"/>
            <w:vAlign w:val="bottom"/>
          </w:tcPr>
          <w:p w:rsidR="00AD5BB5" w:rsidRDefault="00F87FF6">
            <w:pPr>
              <w:tabs>
                <w:tab w:val="center" w:pos="7800"/>
              </w:tabs>
              <w:overflowPunct w:val="0"/>
              <w:autoSpaceDE w:val="0"/>
              <w:autoSpaceDN w:val="0"/>
              <w:contextualSpacing/>
              <w:rPr>
                <w:rFonts w:ascii="Arial" w:eastAsia="黑体" w:hAnsi="Arial" w:cs="Arial"/>
                <w:snapToGrid w:val="0"/>
                <w:sz w:val="22"/>
                <w:szCs w:val="22"/>
              </w:rPr>
            </w:pPr>
            <w:r>
              <w:rPr>
                <w:rFonts w:ascii="Arial" w:eastAsia="黑体" w:hAnsi="Arial" w:cs="Arial"/>
                <w:snapToGrid w:val="0"/>
                <w:sz w:val="22"/>
                <w:szCs w:val="22"/>
              </w:rPr>
              <w:t>18</w:t>
            </w:r>
          </w:p>
        </w:tc>
      </w:tr>
      <w:tr w:rsidR="00AD5BB5">
        <w:trPr>
          <w:trHeight w:val="80"/>
        </w:trPr>
        <w:tc>
          <w:tcPr>
            <w:tcW w:w="6934" w:type="dxa"/>
            <w:vAlign w:val="bottom"/>
          </w:tcPr>
          <w:p w:rsidR="00AD5BB5" w:rsidRDefault="00F87FF6">
            <w:pPr>
              <w:tabs>
                <w:tab w:val="center" w:pos="7800"/>
              </w:tabs>
              <w:overflowPunct w:val="0"/>
              <w:autoSpaceDE w:val="0"/>
              <w:autoSpaceDN w:val="0"/>
              <w:contextualSpacing/>
              <w:rPr>
                <w:rFonts w:ascii="Arial" w:eastAsia="黑体" w:hAnsi="Arial" w:cs="Arial"/>
                <w:snapToGrid w:val="0"/>
                <w:sz w:val="22"/>
                <w:szCs w:val="22"/>
              </w:rPr>
            </w:pPr>
            <w:r>
              <w:rPr>
                <w:rFonts w:ascii="Arial" w:eastAsia="黑体" w:hAnsi="Arial" w:cs="Arial"/>
                <w:snapToGrid w:val="0"/>
                <w:sz w:val="22"/>
                <w:szCs w:val="22"/>
              </w:rPr>
              <w:t>财务报表附注</w:t>
            </w:r>
          </w:p>
        </w:tc>
        <w:tc>
          <w:tcPr>
            <w:tcW w:w="567" w:type="dxa"/>
            <w:vAlign w:val="bottom"/>
          </w:tcPr>
          <w:p w:rsidR="00AD5BB5" w:rsidRDefault="00F87FF6">
            <w:pPr>
              <w:tabs>
                <w:tab w:val="center" w:pos="7800"/>
              </w:tabs>
              <w:overflowPunct w:val="0"/>
              <w:autoSpaceDE w:val="0"/>
              <w:autoSpaceDN w:val="0"/>
              <w:contextualSpacing/>
              <w:jc w:val="right"/>
              <w:rPr>
                <w:rFonts w:ascii="Arial" w:eastAsia="黑体" w:hAnsi="Arial" w:cs="Arial"/>
                <w:snapToGrid w:val="0"/>
                <w:sz w:val="22"/>
                <w:szCs w:val="22"/>
              </w:rPr>
            </w:pPr>
            <w:r>
              <w:rPr>
                <w:rFonts w:ascii="Arial" w:eastAsia="黑体" w:hAnsi="Arial" w:cs="Arial"/>
                <w:snapToGrid w:val="0"/>
                <w:sz w:val="22"/>
                <w:szCs w:val="22"/>
              </w:rPr>
              <w:t>19</w:t>
            </w:r>
          </w:p>
        </w:tc>
        <w:tc>
          <w:tcPr>
            <w:tcW w:w="490" w:type="dxa"/>
            <w:vAlign w:val="bottom"/>
          </w:tcPr>
          <w:p w:rsidR="00AD5BB5" w:rsidRDefault="00F87FF6">
            <w:pPr>
              <w:tabs>
                <w:tab w:val="center" w:pos="7800"/>
              </w:tabs>
              <w:overflowPunct w:val="0"/>
              <w:autoSpaceDE w:val="0"/>
              <w:autoSpaceDN w:val="0"/>
              <w:contextualSpacing/>
              <w:jc w:val="center"/>
              <w:rPr>
                <w:rFonts w:ascii="Arial" w:eastAsia="黑体" w:hAnsi="Arial" w:cs="Arial"/>
                <w:snapToGrid w:val="0"/>
                <w:sz w:val="22"/>
                <w:szCs w:val="22"/>
              </w:rPr>
            </w:pPr>
            <w:r>
              <w:rPr>
                <w:rFonts w:ascii="Arial" w:eastAsia="黑体" w:hAnsi="Arial" w:cs="Arial"/>
                <w:snapToGrid w:val="0"/>
                <w:sz w:val="22"/>
                <w:szCs w:val="22"/>
              </w:rPr>
              <w:t>-</w:t>
            </w:r>
          </w:p>
        </w:tc>
        <w:tc>
          <w:tcPr>
            <w:tcW w:w="651" w:type="dxa"/>
            <w:vAlign w:val="bottom"/>
          </w:tcPr>
          <w:p w:rsidR="00AD5BB5" w:rsidRDefault="00F87FF6">
            <w:pPr>
              <w:tabs>
                <w:tab w:val="center" w:pos="7800"/>
              </w:tabs>
              <w:overflowPunct w:val="0"/>
              <w:autoSpaceDE w:val="0"/>
              <w:autoSpaceDN w:val="0"/>
              <w:contextualSpacing/>
              <w:rPr>
                <w:rFonts w:ascii="Arial" w:eastAsia="黑体" w:hAnsi="Arial" w:cs="Arial"/>
                <w:snapToGrid w:val="0"/>
                <w:sz w:val="22"/>
                <w:szCs w:val="22"/>
              </w:rPr>
            </w:pPr>
            <w:r>
              <w:rPr>
                <w:rFonts w:ascii="Arial" w:eastAsia="黑体" w:hAnsi="Arial" w:cs="Arial"/>
                <w:snapToGrid w:val="0"/>
                <w:sz w:val="22"/>
                <w:szCs w:val="22"/>
              </w:rPr>
              <w:t>112</w:t>
            </w:r>
          </w:p>
        </w:tc>
      </w:tr>
      <w:tr w:rsidR="00AD5BB5">
        <w:trPr>
          <w:trHeight w:val="80"/>
        </w:trPr>
        <w:tc>
          <w:tcPr>
            <w:tcW w:w="6934" w:type="dxa"/>
            <w:vAlign w:val="bottom"/>
          </w:tcPr>
          <w:p w:rsidR="00AD5BB5" w:rsidRDefault="00AD5BB5">
            <w:pPr>
              <w:tabs>
                <w:tab w:val="center" w:pos="7800"/>
              </w:tabs>
              <w:overflowPunct w:val="0"/>
              <w:autoSpaceDE w:val="0"/>
              <w:autoSpaceDN w:val="0"/>
              <w:contextualSpacing/>
              <w:rPr>
                <w:rFonts w:ascii="Arial" w:eastAsia="黑体" w:hAnsi="Arial" w:cs="Arial"/>
                <w:snapToGrid w:val="0"/>
                <w:sz w:val="22"/>
                <w:szCs w:val="22"/>
              </w:rPr>
            </w:pPr>
          </w:p>
        </w:tc>
        <w:tc>
          <w:tcPr>
            <w:tcW w:w="567" w:type="dxa"/>
            <w:vAlign w:val="bottom"/>
          </w:tcPr>
          <w:p w:rsidR="00AD5BB5" w:rsidRDefault="00AD5BB5">
            <w:pPr>
              <w:tabs>
                <w:tab w:val="center" w:pos="7800"/>
              </w:tabs>
              <w:overflowPunct w:val="0"/>
              <w:autoSpaceDE w:val="0"/>
              <w:autoSpaceDN w:val="0"/>
              <w:contextualSpacing/>
              <w:jc w:val="right"/>
              <w:rPr>
                <w:rFonts w:ascii="Arial" w:eastAsia="黑体" w:hAnsi="Arial" w:cs="Arial"/>
                <w:snapToGrid w:val="0"/>
                <w:sz w:val="22"/>
                <w:szCs w:val="22"/>
              </w:rPr>
            </w:pPr>
          </w:p>
        </w:tc>
        <w:tc>
          <w:tcPr>
            <w:tcW w:w="490" w:type="dxa"/>
            <w:vAlign w:val="bottom"/>
          </w:tcPr>
          <w:p w:rsidR="00AD5BB5" w:rsidRDefault="00AD5BB5">
            <w:pPr>
              <w:tabs>
                <w:tab w:val="center" w:pos="7800"/>
              </w:tabs>
              <w:overflowPunct w:val="0"/>
              <w:autoSpaceDE w:val="0"/>
              <w:autoSpaceDN w:val="0"/>
              <w:contextualSpacing/>
              <w:jc w:val="center"/>
              <w:rPr>
                <w:rFonts w:ascii="Arial" w:eastAsia="黑体" w:hAnsi="Arial" w:cs="Arial"/>
                <w:snapToGrid w:val="0"/>
                <w:sz w:val="22"/>
                <w:szCs w:val="22"/>
              </w:rPr>
            </w:pPr>
          </w:p>
        </w:tc>
        <w:tc>
          <w:tcPr>
            <w:tcW w:w="651" w:type="dxa"/>
            <w:vAlign w:val="bottom"/>
          </w:tcPr>
          <w:p w:rsidR="00AD5BB5" w:rsidRDefault="00AD5BB5">
            <w:pPr>
              <w:tabs>
                <w:tab w:val="center" w:pos="7800"/>
              </w:tabs>
              <w:overflowPunct w:val="0"/>
              <w:autoSpaceDE w:val="0"/>
              <w:autoSpaceDN w:val="0"/>
              <w:contextualSpacing/>
              <w:rPr>
                <w:rFonts w:ascii="Arial" w:eastAsia="黑体" w:hAnsi="Arial" w:cs="Arial"/>
                <w:snapToGrid w:val="0"/>
                <w:sz w:val="22"/>
                <w:szCs w:val="22"/>
              </w:rPr>
            </w:pPr>
          </w:p>
        </w:tc>
      </w:tr>
      <w:tr w:rsidR="00AD5BB5">
        <w:trPr>
          <w:trHeight w:val="80"/>
        </w:trPr>
        <w:tc>
          <w:tcPr>
            <w:tcW w:w="6934" w:type="dxa"/>
            <w:vAlign w:val="bottom"/>
          </w:tcPr>
          <w:p w:rsidR="00AD5BB5" w:rsidRDefault="00AD5BB5">
            <w:pPr>
              <w:tabs>
                <w:tab w:val="center" w:pos="7800"/>
              </w:tabs>
              <w:overflowPunct w:val="0"/>
              <w:autoSpaceDE w:val="0"/>
              <w:autoSpaceDN w:val="0"/>
              <w:contextualSpacing/>
              <w:rPr>
                <w:rFonts w:ascii="Arial" w:eastAsia="黑体" w:hAnsi="Arial" w:cs="Arial"/>
                <w:snapToGrid w:val="0"/>
                <w:sz w:val="22"/>
                <w:szCs w:val="22"/>
              </w:rPr>
            </w:pPr>
          </w:p>
        </w:tc>
        <w:tc>
          <w:tcPr>
            <w:tcW w:w="567" w:type="dxa"/>
            <w:vAlign w:val="bottom"/>
          </w:tcPr>
          <w:p w:rsidR="00AD5BB5" w:rsidRDefault="00AD5BB5">
            <w:pPr>
              <w:tabs>
                <w:tab w:val="center" w:pos="7800"/>
              </w:tabs>
              <w:overflowPunct w:val="0"/>
              <w:autoSpaceDE w:val="0"/>
              <w:autoSpaceDN w:val="0"/>
              <w:contextualSpacing/>
              <w:jc w:val="right"/>
              <w:rPr>
                <w:rFonts w:ascii="Arial" w:eastAsia="黑体" w:hAnsi="Arial" w:cs="Arial"/>
                <w:snapToGrid w:val="0"/>
                <w:sz w:val="22"/>
                <w:szCs w:val="22"/>
              </w:rPr>
            </w:pPr>
          </w:p>
        </w:tc>
        <w:tc>
          <w:tcPr>
            <w:tcW w:w="490" w:type="dxa"/>
            <w:vAlign w:val="bottom"/>
          </w:tcPr>
          <w:p w:rsidR="00AD5BB5" w:rsidRDefault="00AD5BB5">
            <w:pPr>
              <w:tabs>
                <w:tab w:val="center" w:pos="7800"/>
              </w:tabs>
              <w:overflowPunct w:val="0"/>
              <w:autoSpaceDE w:val="0"/>
              <w:autoSpaceDN w:val="0"/>
              <w:contextualSpacing/>
              <w:jc w:val="center"/>
              <w:rPr>
                <w:rFonts w:ascii="Arial" w:eastAsia="黑体" w:hAnsi="Arial" w:cs="Arial"/>
                <w:snapToGrid w:val="0"/>
                <w:sz w:val="22"/>
                <w:szCs w:val="22"/>
              </w:rPr>
            </w:pPr>
          </w:p>
        </w:tc>
        <w:tc>
          <w:tcPr>
            <w:tcW w:w="651" w:type="dxa"/>
            <w:vAlign w:val="bottom"/>
          </w:tcPr>
          <w:p w:rsidR="00AD5BB5" w:rsidRDefault="00AD5BB5">
            <w:pPr>
              <w:tabs>
                <w:tab w:val="center" w:pos="7800"/>
              </w:tabs>
              <w:overflowPunct w:val="0"/>
              <w:autoSpaceDE w:val="0"/>
              <w:autoSpaceDN w:val="0"/>
              <w:contextualSpacing/>
              <w:rPr>
                <w:rFonts w:ascii="Arial" w:eastAsia="黑体" w:hAnsi="Arial" w:cs="Arial"/>
                <w:snapToGrid w:val="0"/>
                <w:sz w:val="22"/>
                <w:szCs w:val="22"/>
              </w:rPr>
            </w:pPr>
          </w:p>
        </w:tc>
      </w:tr>
      <w:tr w:rsidR="00AD5BB5">
        <w:trPr>
          <w:trHeight w:val="80"/>
        </w:trPr>
        <w:tc>
          <w:tcPr>
            <w:tcW w:w="6934" w:type="dxa"/>
            <w:vAlign w:val="bottom"/>
          </w:tcPr>
          <w:p w:rsidR="00AD5BB5" w:rsidRDefault="00F87FF6">
            <w:pPr>
              <w:tabs>
                <w:tab w:val="center" w:pos="7800"/>
              </w:tabs>
              <w:overflowPunct w:val="0"/>
              <w:autoSpaceDE w:val="0"/>
              <w:autoSpaceDN w:val="0"/>
              <w:contextualSpacing/>
              <w:rPr>
                <w:rFonts w:ascii="Arial" w:eastAsia="黑体" w:hAnsi="Arial" w:cs="Arial"/>
                <w:snapToGrid w:val="0"/>
                <w:sz w:val="22"/>
                <w:szCs w:val="22"/>
              </w:rPr>
            </w:pPr>
            <w:r>
              <w:rPr>
                <w:rFonts w:ascii="Arial" w:eastAsia="黑体" w:hAnsi="Arial" w:cs="Arial"/>
                <w:snapToGrid w:val="0"/>
                <w:sz w:val="22"/>
                <w:szCs w:val="22"/>
              </w:rPr>
              <w:t>补充资料</w:t>
            </w:r>
          </w:p>
        </w:tc>
        <w:tc>
          <w:tcPr>
            <w:tcW w:w="567" w:type="dxa"/>
            <w:vAlign w:val="bottom"/>
          </w:tcPr>
          <w:p w:rsidR="00AD5BB5" w:rsidRDefault="00AD5BB5">
            <w:pPr>
              <w:tabs>
                <w:tab w:val="center" w:pos="7800"/>
              </w:tabs>
              <w:overflowPunct w:val="0"/>
              <w:autoSpaceDE w:val="0"/>
              <w:autoSpaceDN w:val="0"/>
              <w:contextualSpacing/>
              <w:jc w:val="right"/>
              <w:rPr>
                <w:rFonts w:ascii="Arial" w:eastAsia="黑体" w:hAnsi="Arial" w:cs="Arial"/>
                <w:snapToGrid w:val="0"/>
                <w:sz w:val="22"/>
                <w:szCs w:val="22"/>
              </w:rPr>
            </w:pPr>
          </w:p>
        </w:tc>
        <w:tc>
          <w:tcPr>
            <w:tcW w:w="490" w:type="dxa"/>
            <w:vAlign w:val="bottom"/>
          </w:tcPr>
          <w:p w:rsidR="00AD5BB5" w:rsidRDefault="00AD5BB5">
            <w:pPr>
              <w:tabs>
                <w:tab w:val="center" w:pos="7800"/>
              </w:tabs>
              <w:overflowPunct w:val="0"/>
              <w:autoSpaceDE w:val="0"/>
              <w:autoSpaceDN w:val="0"/>
              <w:contextualSpacing/>
              <w:jc w:val="center"/>
              <w:rPr>
                <w:rFonts w:ascii="Arial" w:eastAsia="黑体" w:hAnsi="Arial" w:cs="Arial"/>
                <w:snapToGrid w:val="0"/>
                <w:sz w:val="22"/>
                <w:szCs w:val="22"/>
              </w:rPr>
            </w:pPr>
          </w:p>
        </w:tc>
        <w:tc>
          <w:tcPr>
            <w:tcW w:w="651" w:type="dxa"/>
            <w:vAlign w:val="bottom"/>
          </w:tcPr>
          <w:p w:rsidR="00AD5BB5" w:rsidRDefault="00AD5BB5">
            <w:pPr>
              <w:tabs>
                <w:tab w:val="center" w:pos="7800"/>
              </w:tabs>
              <w:overflowPunct w:val="0"/>
              <w:autoSpaceDE w:val="0"/>
              <w:autoSpaceDN w:val="0"/>
              <w:contextualSpacing/>
              <w:rPr>
                <w:rFonts w:ascii="Arial" w:eastAsia="黑体" w:hAnsi="Arial" w:cs="Arial"/>
                <w:snapToGrid w:val="0"/>
                <w:sz w:val="22"/>
                <w:szCs w:val="22"/>
              </w:rPr>
            </w:pPr>
          </w:p>
        </w:tc>
      </w:tr>
      <w:tr w:rsidR="00AD5BB5">
        <w:trPr>
          <w:trHeight w:val="80"/>
        </w:trPr>
        <w:tc>
          <w:tcPr>
            <w:tcW w:w="6934" w:type="dxa"/>
            <w:vAlign w:val="bottom"/>
          </w:tcPr>
          <w:p w:rsidR="00AD5BB5" w:rsidRDefault="00F87FF6">
            <w:pPr>
              <w:tabs>
                <w:tab w:val="center" w:pos="7800"/>
              </w:tabs>
              <w:overflowPunct w:val="0"/>
              <w:autoSpaceDE w:val="0"/>
              <w:autoSpaceDN w:val="0"/>
              <w:contextualSpacing/>
              <w:rPr>
                <w:rFonts w:ascii="Arial" w:eastAsia="黑体" w:hAnsi="Arial" w:cs="Arial"/>
                <w:snapToGrid w:val="0"/>
                <w:sz w:val="22"/>
                <w:szCs w:val="22"/>
              </w:rPr>
            </w:pPr>
            <w:r>
              <w:rPr>
                <w:rFonts w:ascii="Arial" w:eastAsia="黑体" w:hAnsi="Arial" w:cs="Arial"/>
                <w:snapToGrid w:val="0"/>
                <w:sz w:val="22"/>
                <w:szCs w:val="22"/>
              </w:rPr>
              <w:t>1.</w:t>
            </w:r>
            <w:r>
              <w:rPr>
                <w:rFonts w:ascii="Arial" w:eastAsia="黑体" w:hAnsi="Arial" w:cs="Arial"/>
                <w:snapToGrid w:val="0"/>
                <w:sz w:val="22"/>
                <w:szCs w:val="22"/>
              </w:rPr>
              <w:t>非经常性损益明细表</w:t>
            </w:r>
          </w:p>
        </w:tc>
        <w:tc>
          <w:tcPr>
            <w:tcW w:w="567" w:type="dxa"/>
            <w:vAlign w:val="bottom"/>
          </w:tcPr>
          <w:p w:rsidR="00AD5BB5" w:rsidRDefault="00AD5BB5">
            <w:pPr>
              <w:tabs>
                <w:tab w:val="center" w:pos="7800"/>
              </w:tabs>
              <w:overflowPunct w:val="0"/>
              <w:autoSpaceDE w:val="0"/>
              <w:autoSpaceDN w:val="0"/>
              <w:contextualSpacing/>
              <w:jc w:val="right"/>
              <w:rPr>
                <w:rFonts w:ascii="Arial" w:eastAsia="黑体" w:hAnsi="Arial" w:cs="Arial"/>
                <w:snapToGrid w:val="0"/>
                <w:sz w:val="22"/>
                <w:szCs w:val="22"/>
              </w:rPr>
            </w:pPr>
          </w:p>
        </w:tc>
        <w:tc>
          <w:tcPr>
            <w:tcW w:w="490" w:type="dxa"/>
            <w:vAlign w:val="bottom"/>
          </w:tcPr>
          <w:p w:rsidR="00AD5BB5" w:rsidRDefault="00F87FF6">
            <w:pPr>
              <w:tabs>
                <w:tab w:val="center" w:pos="7800"/>
              </w:tabs>
              <w:overflowPunct w:val="0"/>
              <w:autoSpaceDE w:val="0"/>
              <w:autoSpaceDN w:val="0"/>
              <w:contextualSpacing/>
              <w:jc w:val="center"/>
              <w:rPr>
                <w:rFonts w:ascii="Arial" w:eastAsia="黑体" w:hAnsi="Arial" w:cs="Arial"/>
                <w:snapToGrid w:val="0"/>
                <w:sz w:val="22"/>
                <w:szCs w:val="22"/>
              </w:rPr>
            </w:pPr>
            <w:r>
              <w:rPr>
                <w:rFonts w:ascii="Arial" w:eastAsia="黑体" w:hAnsi="Arial" w:cs="Arial"/>
                <w:snapToGrid w:val="0"/>
                <w:sz w:val="22"/>
                <w:szCs w:val="22"/>
              </w:rPr>
              <w:t>1</w:t>
            </w:r>
          </w:p>
        </w:tc>
        <w:tc>
          <w:tcPr>
            <w:tcW w:w="651" w:type="dxa"/>
            <w:vAlign w:val="bottom"/>
          </w:tcPr>
          <w:p w:rsidR="00AD5BB5" w:rsidRDefault="00AD5BB5">
            <w:pPr>
              <w:tabs>
                <w:tab w:val="center" w:pos="7800"/>
              </w:tabs>
              <w:overflowPunct w:val="0"/>
              <w:autoSpaceDE w:val="0"/>
              <w:autoSpaceDN w:val="0"/>
              <w:contextualSpacing/>
              <w:rPr>
                <w:rFonts w:ascii="Arial" w:eastAsia="黑体" w:hAnsi="Arial" w:cs="Arial"/>
                <w:snapToGrid w:val="0"/>
                <w:sz w:val="22"/>
                <w:szCs w:val="22"/>
              </w:rPr>
            </w:pPr>
          </w:p>
        </w:tc>
      </w:tr>
      <w:tr w:rsidR="00AD5BB5">
        <w:trPr>
          <w:trHeight w:val="80"/>
        </w:trPr>
        <w:tc>
          <w:tcPr>
            <w:tcW w:w="6934" w:type="dxa"/>
            <w:vAlign w:val="bottom"/>
          </w:tcPr>
          <w:p w:rsidR="00AD5BB5" w:rsidRDefault="00F87FF6">
            <w:pPr>
              <w:tabs>
                <w:tab w:val="center" w:pos="7800"/>
              </w:tabs>
              <w:overflowPunct w:val="0"/>
              <w:autoSpaceDE w:val="0"/>
              <w:autoSpaceDN w:val="0"/>
              <w:contextualSpacing/>
              <w:rPr>
                <w:rFonts w:ascii="Arial" w:eastAsia="黑体" w:hAnsi="Arial" w:cs="Arial"/>
                <w:snapToGrid w:val="0"/>
                <w:sz w:val="22"/>
                <w:szCs w:val="22"/>
              </w:rPr>
            </w:pPr>
            <w:r>
              <w:rPr>
                <w:rFonts w:ascii="Arial" w:eastAsia="黑体" w:hAnsi="Arial" w:cs="Arial"/>
                <w:snapToGrid w:val="0"/>
                <w:sz w:val="22"/>
                <w:szCs w:val="22"/>
              </w:rPr>
              <w:t>2.</w:t>
            </w:r>
            <w:r>
              <w:rPr>
                <w:rFonts w:ascii="Arial" w:eastAsia="黑体" w:hAnsi="Arial" w:cs="Arial"/>
                <w:snapToGrid w:val="0"/>
                <w:sz w:val="22"/>
                <w:szCs w:val="22"/>
              </w:rPr>
              <w:t>净资产收益率和每股收益</w:t>
            </w:r>
          </w:p>
        </w:tc>
        <w:tc>
          <w:tcPr>
            <w:tcW w:w="567" w:type="dxa"/>
            <w:vAlign w:val="bottom"/>
          </w:tcPr>
          <w:p w:rsidR="00AD5BB5" w:rsidRDefault="00AD5BB5">
            <w:pPr>
              <w:tabs>
                <w:tab w:val="center" w:pos="7800"/>
              </w:tabs>
              <w:overflowPunct w:val="0"/>
              <w:autoSpaceDE w:val="0"/>
              <w:autoSpaceDN w:val="0"/>
              <w:contextualSpacing/>
              <w:jc w:val="right"/>
              <w:rPr>
                <w:rFonts w:ascii="Arial" w:eastAsia="黑体" w:hAnsi="Arial" w:cs="Arial"/>
                <w:snapToGrid w:val="0"/>
                <w:sz w:val="22"/>
                <w:szCs w:val="22"/>
              </w:rPr>
            </w:pPr>
          </w:p>
        </w:tc>
        <w:tc>
          <w:tcPr>
            <w:tcW w:w="490" w:type="dxa"/>
            <w:vAlign w:val="bottom"/>
          </w:tcPr>
          <w:p w:rsidR="00AD5BB5" w:rsidRDefault="00F87FF6">
            <w:pPr>
              <w:tabs>
                <w:tab w:val="center" w:pos="7800"/>
              </w:tabs>
              <w:overflowPunct w:val="0"/>
              <w:autoSpaceDE w:val="0"/>
              <w:autoSpaceDN w:val="0"/>
              <w:contextualSpacing/>
              <w:jc w:val="center"/>
              <w:rPr>
                <w:rFonts w:ascii="Arial" w:eastAsia="黑体" w:hAnsi="Arial" w:cs="Arial"/>
                <w:snapToGrid w:val="0"/>
                <w:sz w:val="22"/>
                <w:szCs w:val="22"/>
              </w:rPr>
            </w:pPr>
            <w:r>
              <w:rPr>
                <w:rFonts w:ascii="Arial" w:eastAsia="黑体" w:hAnsi="Arial" w:cs="Arial"/>
                <w:snapToGrid w:val="0"/>
                <w:sz w:val="22"/>
                <w:szCs w:val="22"/>
              </w:rPr>
              <w:t>2</w:t>
            </w:r>
          </w:p>
        </w:tc>
        <w:tc>
          <w:tcPr>
            <w:tcW w:w="651" w:type="dxa"/>
            <w:vAlign w:val="bottom"/>
          </w:tcPr>
          <w:p w:rsidR="00AD5BB5" w:rsidRDefault="00AD5BB5">
            <w:pPr>
              <w:tabs>
                <w:tab w:val="center" w:pos="7800"/>
              </w:tabs>
              <w:overflowPunct w:val="0"/>
              <w:autoSpaceDE w:val="0"/>
              <w:autoSpaceDN w:val="0"/>
              <w:contextualSpacing/>
              <w:rPr>
                <w:rFonts w:ascii="Arial" w:eastAsia="黑体" w:hAnsi="Arial" w:cs="Arial"/>
                <w:snapToGrid w:val="0"/>
                <w:sz w:val="22"/>
                <w:szCs w:val="22"/>
              </w:rPr>
            </w:pPr>
          </w:p>
        </w:tc>
      </w:tr>
    </w:tbl>
    <w:bookmarkEnd w:id="54"/>
    <w:p w:rsidR="00AD5BB5" w:rsidRDefault="00F87FF6">
      <w:pPr>
        <w:tabs>
          <w:tab w:val="center" w:pos="7920"/>
        </w:tabs>
        <w:overflowPunct w:val="0"/>
        <w:autoSpaceDE w:val="0"/>
        <w:autoSpaceDN w:val="0"/>
        <w:adjustRightInd w:val="0"/>
        <w:snapToGrid w:val="0"/>
        <w:textAlignment w:val="bottom"/>
        <w:rPr>
          <w:rFonts w:ascii="Arial" w:eastAsia="黑体" w:hAnsi="Arial" w:cs="Arial"/>
          <w:snapToGrid w:val="0"/>
          <w:sz w:val="22"/>
          <w:szCs w:val="22"/>
        </w:rPr>
      </w:pPr>
      <w:r>
        <w:rPr>
          <w:rFonts w:ascii="Arial" w:eastAsia="黑体" w:hAnsi="Arial" w:cs="Arial"/>
          <w:snapToGrid w:val="0"/>
          <w:sz w:val="22"/>
          <w:szCs w:val="22"/>
        </w:rPr>
        <w:tab/>
      </w:r>
    </w:p>
    <w:p w:rsidR="00AD5BB5" w:rsidRDefault="00AD5BB5">
      <w:pPr>
        <w:overflowPunct w:val="0"/>
        <w:autoSpaceDE w:val="0"/>
        <w:autoSpaceDN w:val="0"/>
        <w:rPr>
          <w:rFonts w:ascii="Arial" w:eastAsia="黑体" w:hAnsi="Arial" w:cs="Arial"/>
          <w:szCs w:val="21"/>
        </w:rPr>
      </w:pPr>
    </w:p>
    <w:p w:rsidR="00AD5BB5" w:rsidRDefault="00AD5BB5">
      <w:pPr>
        <w:overflowPunct w:val="0"/>
        <w:autoSpaceDE w:val="0"/>
        <w:autoSpaceDN w:val="0"/>
        <w:rPr>
          <w:rFonts w:ascii="Arial" w:eastAsia="黑体" w:hAnsi="Arial" w:cs="Arial"/>
          <w:szCs w:val="21"/>
        </w:rPr>
      </w:pPr>
    </w:p>
    <w:p w:rsidR="00AD5BB5" w:rsidRDefault="00AD5BB5">
      <w:pPr>
        <w:overflowPunct w:val="0"/>
        <w:autoSpaceDE w:val="0"/>
        <w:autoSpaceDN w:val="0"/>
        <w:rPr>
          <w:rFonts w:ascii="Arial" w:eastAsia="黑体" w:hAnsi="Arial" w:cs="Arial"/>
          <w:szCs w:val="21"/>
        </w:rPr>
        <w:sectPr w:rsidR="00AD5BB5">
          <w:headerReference w:type="default" r:id="rId11"/>
          <w:footerReference w:type="default" r:id="rId12"/>
          <w:footerReference w:type="first" r:id="rId13"/>
          <w:pgSz w:w="11907" w:h="16840"/>
          <w:pgMar w:top="1440" w:right="1797" w:bottom="1440" w:left="1797" w:header="720" w:footer="720" w:gutter="0"/>
          <w:pgNumType w:start="3"/>
          <w:cols w:space="720"/>
          <w:docGrid w:linePitch="360"/>
        </w:sectPr>
      </w:pPr>
    </w:p>
    <w:p w:rsidR="00AD5BB5" w:rsidRDefault="00AD5BB5">
      <w:pPr>
        <w:overflowPunct w:val="0"/>
        <w:autoSpaceDE w:val="0"/>
        <w:autoSpaceDN w:val="0"/>
        <w:rPr>
          <w:rFonts w:ascii="Arial" w:eastAsia="黑体" w:hAnsi="Arial" w:cs="Arial"/>
          <w:sz w:val="22"/>
          <w:szCs w:val="22"/>
        </w:rPr>
      </w:pPr>
      <w:bookmarkStart w:id="55" w:name="_Hlk132648895"/>
    </w:p>
    <w:p w:rsidR="00AD5BB5" w:rsidRDefault="00AD5BB5">
      <w:pPr>
        <w:overflowPunct w:val="0"/>
        <w:autoSpaceDE w:val="0"/>
        <w:autoSpaceDN w:val="0"/>
        <w:rPr>
          <w:rFonts w:ascii="Arial" w:eastAsia="黑体" w:hAnsi="Arial" w:cs="Arial"/>
          <w:sz w:val="22"/>
          <w:szCs w:val="22"/>
        </w:rPr>
      </w:pPr>
    </w:p>
    <w:p w:rsidR="00AD5BB5" w:rsidRDefault="00AD5BB5">
      <w:pPr>
        <w:overflowPunct w:val="0"/>
        <w:autoSpaceDE w:val="0"/>
        <w:autoSpaceDN w:val="0"/>
        <w:rPr>
          <w:rFonts w:ascii="Arial" w:eastAsia="黑体" w:hAnsi="Arial" w:cs="Arial"/>
          <w:sz w:val="22"/>
          <w:szCs w:val="22"/>
        </w:rPr>
      </w:pPr>
    </w:p>
    <w:p w:rsidR="00AD5BB5" w:rsidRDefault="00AD5BB5">
      <w:pPr>
        <w:overflowPunct w:val="0"/>
        <w:autoSpaceDE w:val="0"/>
        <w:autoSpaceDN w:val="0"/>
        <w:rPr>
          <w:rFonts w:ascii="Arial" w:eastAsia="黑体" w:hAnsi="Arial" w:cs="Arial"/>
          <w:sz w:val="22"/>
          <w:szCs w:val="22"/>
        </w:rPr>
      </w:pPr>
    </w:p>
    <w:p w:rsidR="00AD5BB5" w:rsidRDefault="00AD5BB5">
      <w:pPr>
        <w:overflowPunct w:val="0"/>
        <w:autoSpaceDE w:val="0"/>
        <w:autoSpaceDN w:val="0"/>
        <w:rPr>
          <w:rFonts w:ascii="Arial" w:eastAsia="黑体" w:hAnsi="Arial" w:cs="Arial"/>
          <w:sz w:val="22"/>
          <w:szCs w:val="22"/>
        </w:rPr>
      </w:pPr>
    </w:p>
    <w:p w:rsidR="00AD5BB5" w:rsidRDefault="00F87FF6">
      <w:pPr>
        <w:pStyle w:val="1100"/>
        <w:overflowPunct w:val="0"/>
        <w:rPr>
          <w:sz w:val="22"/>
          <w:szCs w:val="22"/>
        </w:rPr>
      </w:pPr>
      <w:r>
        <w:rPr>
          <w:sz w:val="22"/>
          <w:szCs w:val="22"/>
        </w:rPr>
        <w:t>审阅报告</w:t>
      </w:r>
    </w:p>
    <w:p w:rsidR="00AD5BB5" w:rsidRDefault="00AD5BB5">
      <w:pPr>
        <w:overflowPunct w:val="0"/>
        <w:autoSpaceDE w:val="0"/>
        <w:autoSpaceDN w:val="0"/>
        <w:rPr>
          <w:rFonts w:ascii="Arial" w:eastAsia="黑体" w:hAnsi="Arial" w:cs="Arial"/>
          <w:sz w:val="22"/>
          <w:szCs w:val="22"/>
        </w:rPr>
      </w:pPr>
    </w:p>
    <w:p w:rsidR="00AD5BB5" w:rsidRDefault="00F87FF6">
      <w:pPr>
        <w:overflowPunct w:val="0"/>
        <w:autoSpaceDE w:val="0"/>
        <w:autoSpaceDN w:val="0"/>
        <w:adjustRightInd w:val="0"/>
        <w:snapToGrid w:val="0"/>
        <w:jc w:val="right"/>
        <w:rPr>
          <w:rFonts w:ascii="Arial" w:eastAsia="黑体" w:hAnsi="Arial" w:cs="Arial"/>
          <w:sz w:val="22"/>
          <w:szCs w:val="22"/>
        </w:rPr>
      </w:pPr>
      <w:r>
        <w:rPr>
          <w:rFonts w:ascii="Arial" w:eastAsia="黑体" w:hAnsi="Arial" w:cs="Arial"/>
          <w:sz w:val="22"/>
          <w:szCs w:val="22"/>
        </w:rPr>
        <w:t>安永华明</w:t>
      </w:r>
      <w:r>
        <w:rPr>
          <w:rFonts w:ascii="Arial" w:eastAsia="黑体" w:hAnsi="Arial" w:cs="Arial" w:hint="eastAsia"/>
          <w:sz w:val="22"/>
          <w:szCs w:val="22"/>
        </w:rPr>
        <w:t>（</w:t>
      </w:r>
      <w:r>
        <w:rPr>
          <w:rFonts w:ascii="Arial" w:eastAsia="黑体" w:hAnsi="Arial" w:cs="Arial"/>
          <w:sz w:val="22"/>
          <w:szCs w:val="22"/>
        </w:rPr>
        <w:t>2023</w:t>
      </w:r>
      <w:r>
        <w:rPr>
          <w:rFonts w:ascii="Arial" w:eastAsia="黑体" w:hAnsi="Arial" w:cs="Arial" w:hint="eastAsia"/>
          <w:sz w:val="22"/>
          <w:szCs w:val="22"/>
        </w:rPr>
        <w:t>）</w:t>
      </w:r>
      <w:proofErr w:type="gramStart"/>
      <w:r>
        <w:rPr>
          <w:rFonts w:ascii="Arial" w:eastAsia="黑体" w:hAnsi="Arial" w:cs="Arial"/>
          <w:sz w:val="22"/>
          <w:szCs w:val="22"/>
        </w:rPr>
        <w:t>专字第</w:t>
      </w:r>
      <w:r>
        <w:rPr>
          <w:rFonts w:ascii="Arial" w:eastAsia="黑体" w:hAnsi="Arial" w:cs="Arial"/>
          <w:sz w:val="22"/>
          <w:szCs w:val="22"/>
        </w:rPr>
        <w:t>61276201</w:t>
      </w:r>
      <w:proofErr w:type="gramEnd"/>
      <w:r>
        <w:rPr>
          <w:rFonts w:ascii="Arial" w:eastAsia="黑体" w:hAnsi="Arial" w:cs="Arial"/>
          <w:sz w:val="22"/>
          <w:szCs w:val="22"/>
        </w:rPr>
        <w:t>_H05</w:t>
      </w:r>
      <w:r>
        <w:rPr>
          <w:rFonts w:ascii="Arial" w:eastAsia="黑体" w:hAnsi="Arial" w:cs="Arial"/>
          <w:sz w:val="22"/>
          <w:szCs w:val="22"/>
        </w:rPr>
        <w:t>号</w:t>
      </w:r>
    </w:p>
    <w:p w:rsidR="00AD5BB5" w:rsidRDefault="00F87FF6">
      <w:pPr>
        <w:overflowPunct w:val="0"/>
        <w:autoSpaceDE w:val="0"/>
        <w:autoSpaceDN w:val="0"/>
        <w:adjustRightInd w:val="0"/>
        <w:snapToGrid w:val="0"/>
        <w:jc w:val="right"/>
        <w:rPr>
          <w:rFonts w:ascii="Arial" w:eastAsia="黑体" w:hAnsi="Arial" w:cs="Arial"/>
          <w:sz w:val="22"/>
          <w:szCs w:val="22"/>
        </w:rPr>
      </w:pPr>
      <w:r>
        <w:rPr>
          <w:rFonts w:ascii="Arial" w:eastAsia="黑体" w:hAnsi="Arial" w:cs="Arial"/>
          <w:sz w:val="22"/>
          <w:szCs w:val="22"/>
        </w:rPr>
        <w:fldChar w:fldCharType="begin"/>
      </w:r>
      <w:r>
        <w:rPr>
          <w:rFonts w:ascii="Arial" w:eastAsia="黑体" w:hAnsi="Arial" w:cs="Arial"/>
          <w:sz w:val="22"/>
          <w:szCs w:val="22"/>
        </w:rPr>
        <w:instrText xml:space="preserve"> DOCPROPERTY </w:instrText>
      </w:r>
      <w:r>
        <w:rPr>
          <w:rFonts w:ascii="Arial" w:eastAsia="黑体" w:hAnsi="Arial" w:cs="Arial"/>
          <w:sz w:val="22"/>
          <w:szCs w:val="22"/>
        </w:rPr>
        <w:instrText>公司名称</w:instrText>
      </w:r>
      <w:r>
        <w:rPr>
          <w:rFonts w:ascii="Arial" w:eastAsia="黑体" w:hAnsi="Arial" w:cs="Arial"/>
          <w:sz w:val="22"/>
          <w:szCs w:val="22"/>
        </w:rPr>
        <w:instrText xml:space="preserve"> </w:instrText>
      </w:r>
      <w:r>
        <w:rPr>
          <w:rFonts w:ascii="Arial" w:eastAsia="黑体" w:hAnsi="Arial" w:cs="Arial"/>
          <w:sz w:val="22"/>
          <w:szCs w:val="22"/>
        </w:rPr>
        <w:fldChar w:fldCharType="separate"/>
      </w:r>
      <w:r>
        <w:rPr>
          <w:rFonts w:ascii="Arial" w:eastAsia="黑体" w:hAnsi="Arial" w:cs="Arial"/>
          <w:sz w:val="22"/>
          <w:szCs w:val="22"/>
        </w:rPr>
        <w:t>厦门银行股份有限公司</w:t>
      </w:r>
      <w:r>
        <w:rPr>
          <w:rFonts w:ascii="Arial" w:eastAsia="黑体" w:hAnsi="Arial" w:cs="Arial"/>
          <w:sz w:val="22"/>
          <w:szCs w:val="22"/>
        </w:rPr>
        <w:fldChar w:fldCharType="end"/>
      </w:r>
    </w:p>
    <w:p w:rsidR="00AD5BB5" w:rsidRDefault="00AD5BB5">
      <w:pPr>
        <w:overflowPunct w:val="0"/>
        <w:autoSpaceDE w:val="0"/>
        <w:autoSpaceDN w:val="0"/>
        <w:adjustRightInd w:val="0"/>
        <w:snapToGrid w:val="0"/>
        <w:jc w:val="right"/>
        <w:rPr>
          <w:rFonts w:ascii="Arial" w:eastAsia="黑体" w:hAnsi="Arial" w:cs="Arial"/>
          <w:sz w:val="22"/>
          <w:szCs w:val="22"/>
        </w:rPr>
      </w:pPr>
    </w:p>
    <w:p w:rsidR="00AD5BB5" w:rsidRDefault="00AD5BB5">
      <w:pPr>
        <w:overflowPunct w:val="0"/>
        <w:autoSpaceDE w:val="0"/>
        <w:autoSpaceDN w:val="0"/>
        <w:adjustRightInd w:val="0"/>
        <w:snapToGrid w:val="0"/>
        <w:jc w:val="right"/>
        <w:rPr>
          <w:rFonts w:ascii="Arial" w:eastAsia="黑体" w:hAnsi="Arial" w:cs="Arial"/>
          <w:sz w:val="22"/>
          <w:szCs w:val="22"/>
        </w:rPr>
      </w:pPr>
    </w:p>
    <w:p w:rsidR="00AD5BB5" w:rsidRDefault="00F87FF6">
      <w:pPr>
        <w:overflowPunct w:val="0"/>
        <w:autoSpaceDE w:val="0"/>
        <w:autoSpaceDN w:val="0"/>
        <w:adjustRightInd w:val="0"/>
        <w:snapToGrid w:val="0"/>
        <w:rPr>
          <w:rFonts w:ascii="Arial" w:eastAsia="黑体" w:hAnsi="Arial" w:cs="Arial"/>
          <w:sz w:val="22"/>
          <w:szCs w:val="22"/>
        </w:rPr>
      </w:pPr>
      <w:r>
        <w:rPr>
          <w:rFonts w:ascii="Arial" w:eastAsia="黑体" w:hAnsi="Arial" w:cs="Arial"/>
          <w:sz w:val="22"/>
          <w:szCs w:val="22"/>
        </w:rPr>
        <w:fldChar w:fldCharType="begin"/>
      </w:r>
      <w:r>
        <w:rPr>
          <w:rFonts w:ascii="Arial" w:eastAsia="黑体" w:hAnsi="Arial" w:cs="Arial"/>
          <w:sz w:val="22"/>
          <w:szCs w:val="22"/>
        </w:rPr>
        <w:instrText xml:space="preserve"> DOCPROPERTY </w:instrText>
      </w:r>
      <w:r>
        <w:rPr>
          <w:rFonts w:ascii="Arial" w:eastAsia="黑体" w:hAnsi="Arial" w:cs="Arial"/>
          <w:sz w:val="22"/>
          <w:szCs w:val="22"/>
        </w:rPr>
        <w:instrText>公司名称</w:instrText>
      </w:r>
      <w:r>
        <w:rPr>
          <w:rFonts w:ascii="Arial" w:eastAsia="黑体" w:hAnsi="Arial" w:cs="Arial"/>
          <w:sz w:val="22"/>
          <w:szCs w:val="22"/>
        </w:rPr>
        <w:instrText xml:space="preserve"> </w:instrText>
      </w:r>
      <w:r>
        <w:rPr>
          <w:rFonts w:ascii="Arial" w:eastAsia="黑体" w:hAnsi="Arial" w:cs="Arial"/>
          <w:sz w:val="22"/>
          <w:szCs w:val="22"/>
        </w:rPr>
        <w:fldChar w:fldCharType="separate"/>
      </w:r>
      <w:r>
        <w:rPr>
          <w:rFonts w:ascii="Arial" w:eastAsia="黑体" w:hAnsi="Arial" w:cs="Arial"/>
          <w:sz w:val="22"/>
          <w:szCs w:val="22"/>
        </w:rPr>
        <w:t>厦门银行股份有限公司</w:t>
      </w:r>
      <w:r>
        <w:rPr>
          <w:rFonts w:ascii="Arial" w:eastAsia="黑体" w:hAnsi="Arial" w:cs="Arial"/>
          <w:sz w:val="22"/>
          <w:szCs w:val="22"/>
        </w:rPr>
        <w:fldChar w:fldCharType="end"/>
      </w:r>
      <w:r>
        <w:rPr>
          <w:rFonts w:ascii="Arial" w:eastAsia="黑体" w:hAnsi="Arial" w:cs="Arial"/>
          <w:sz w:val="22"/>
          <w:szCs w:val="22"/>
        </w:rPr>
        <w:t>全体股东：</w:t>
      </w:r>
    </w:p>
    <w:p w:rsidR="00AD5BB5" w:rsidRDefault="00AD5BB5">
      <w:pPr>
        <w:overflowPunct w:val="0"/>
        <w:autoSpaceDE w:val="0"/>
        <w:autoSpaceDN w:val="0"/>
        <w:adjustRightInd w:val="0"/>
        <w:snapToGrid w:val="0"/>
        <w:rPr>
          <w:rFonts w:ascii="Arial" w:eastAsia="黑体" w:hAnsi="Arial" w:cs="Arial"/>
          <w:sz w:val="22"/>
          <w:szCs w:val="22"/>
        </w:rPr>
      </w:pPr>
    </w:p>
    <w:p w:rsidR="00AD5BB5" w:rsidRDefault="00F87FF6">
      <w:pPr>
        <w:overflowPunct w:val="0"/>
        <w:autoSpaceDE w:val="0"/>
        <w:autoSpaceDN w:val="0"/>
        <w:spacing w:line="360" w:lineRule="auto"/>
        <w:ind w:firstLineChars="200" w:firstLine="440"/>
        <w:rPr>
          <w:rFonts w:ascii="Arial" w:eastAsia="黑体" w:hAnsi="Arial" w:cs="Arial"/>
          <w:sz w:val="22"/>
          <w:szCs w:val="22"/>
        </w:rPr>
      </w:pPr>
      <w:r>
        <w:rPr>
          <w:rFonts w:ascii="Arial" w:eastAsia="黑体" w:hAnsi="Arial" w:cs="Arial"/>
          <w:sz w:val="22"/>
          <w:szCs w:val="22"/>
        </w:rPr>
        <w:t>我们审阅了后附的厦门银行股份有限公司（</w:t>
      </w:r>
      <w:r>
        <w:rPr>
          <w:rFonts w:ascii="Arial" w:eastAsia="黑体" w:hAnsi="Arial" w:cs="Arial"/>
          <w:sz w:val="22"/>
          <w:szCs w:val="22"/>
        </w:rPr>
        <w:t>“</w:t>
      </w:r>
      <w:r>
        <w:rPr>
          <w:rFonts w:ascii="Arial" w:eastAsia="黑体" w:hAnsi="Arial" w:cs="Arial"/>
          <w:sz w:val="22"/>
          <w:szCs w:val="22"/>
        </w:rPr>
        <w:t>贵公司</w:t>
      </w:r>
      <w:r>
        <w:rPr>
          <w:rFonts w:ascii="Arial" w:eastAsia="黑体" w:hAnsi="Arial" w:cs="Arial"/>
          <w:sz w:val="22"/>
          <w:szCs w:val="22"/>
        </w:rPr>
        <w:t>”</w:t>
      </w:r>
      <w:r>
        <w:rPr>
          <w:rFonts w:ascii="Arial" w:eastAsia="黑体" w:hAnsi="Arial" w:cs="Arial"/>
          <w:sz w:val="22"/>
          <w:szCs w:val="22"/>
        </w:rPr>
        <w:t>）及其子公司（统称</w:t>
      </w:r>
      <w:r>
        <w:rPr>
          <w:rFonts w:ascii="Arial" w:eastAsia="黑体" w:hAnsi="Arial" w:cs="Arial"/>
          <w:sz w:val="22"/>
          <w:szCs w:val="22"/>
        </w:rPr>
        <w:t>“</w:t>
      </w:r>
      <w:r>
        <w:rPr>
          <w:rFonts w:ascii="Arial" w:eastAsia="黑体" w:hAnsi="Arial" w:cs="Arial"/>
          <w:sz w:val="22"/>
          <w:szCs w:val="22"/>
        </w:rPr>
        <w:t>贵集团</w:t>
      </w:r>
      <w:r>
        <w:rPr>
          <w:rFonts w:ascii="Arial" w:eastAsia="黑体" w:hAnsi="Arial" w:cs="Arial"/>
          <w:sz w:val="22"/>
          <w:szCs w:val="22"/>
        </w:rPr>
        <w:t>”</w:t>
      </w:r>
      <w:r>
        <w:rPr>
          <w:rFonts w:ascii="Arial" w:eastAsia="黑体" w:hAnsi="Arial" w:cs="Arial"/>
          <w:sz w:val="22"/>
          <w:szCs w:val="22"/>
        </w:rPr>
        <w:t>）的中期财务报表，包括</w:t>
      </w:r>
      <w:r>
        <w:rPr>
          <w:rFonts w:ascii="Arial" w:eastAsia="黑体" w:hAnsi="Arial" w:cs="Arial"/>
          <w:sz w:val="22"/>
          <w:szCs w:val="22"/>
        </w:rPr>
        <w:t>2023</w:t>
      </w:r>
      <w:r>
        <w:rPr>
          <w:rFonts w:ascii="Arial" w:eastAsia="黑体" w:hAnsi="Arial" w:cs="Arial"/>
          <w:sz w:val="22"/>
          <w:szCs w:val="22"/>
        </w:rPr>
        <w:t>年</w:t>
      </w:r>
      <w:r>
        <w:rPr>
          <w:rFonts w:ascii="Arial" w:eastAsia="黑体" w:hAnsi="Arial" w:cs="Arial"/>
          <w:sz w:val="22"/>
          <w:szCs w:val="22"/>
        </w:rPr>
        <w:t>6</w:t>
      </w:r>
      <w:r>
        <w:rPr>
          <w:rFonts w:ascii="Arial" w:eastAsia="黑体" w:hAnsi="Arial" w:cs="Arial"/>
          <w:sz w:val="22"/>
          <w:szCs w:val="22"/>
        </w:rPr>
        <w:t>月</w:t>
      </w:r>
      <w:r>
        <w:rPr>
          <w:rFonts w:ascii="Arial" w:eastAsia="黑体" w:hAnsi="Arial" w:cs="Arial"/>
          <w:sz w:val="22"/>
          <w:szCs w:val="22"/>
        </w:rPr>
        <w:t>30</w:t>
      </w:r>
      <w:r>
        <w:rPr>
          <w:rFonts w:ascii="Arial" w:eastAsia="黑体" w:hAnsi="Arial" w:cs="Arial"/>
          <w:sz w:val="22"/>
          <w:szCs w:val="22"/>
        </w:rPr>
        <w:t>日的合并及公司资产负债表，截至</w:t>
      </w:r>
      <w:r>
        <w:rPr>
          <w:rFonts w:ascii="Arial" w:eastAsia="黑体" w:hAnsi="Arial" w:cs="Arial"/>
          <w:sz w:val="22"/>
          <w:szCs w:val="22"/>
        </w:rPr>
        <w:t>2023</w:t>
      </w:r>
      <w:r>
        <w:rPr>
          <w:rFonts w:ascii="Arial" w:eastAsia="黑体" w:hAnsi="Arial" w:cs="Arial"/>
          <w:sz w:val="22"/>
          <w:szCs w:val="22"/>
        </w:rPr>
        <w:t>年</w:t>
      </w:r>
      <w:r>
        <w:rPr>
          <w:rFonts w:ascii="Arial" w:eastAsia="黑体" w:hAnsi="Arial" w:cs="Arial"/>
          <w:sz w:val="22"/>
          <w:szCs w:val="22"/>
        </w:rPr>
        <w:t>6</w:t>
      </w:r>
      <w:r>
        <w:rPr>
          <w:rFonts w:ascii="Arial" w:eastAsia="黑体" w:hAnsi="Arial" w:cs="Arial"/>
          <w:sz w:val="22"/>
          <w:szCs w:val="22"/>
        </w:rPr>
        <w:t>月</w:t>
      </w:r>
      <w:r>
        <w:rPr>
          <w:rFonts w:ascii="Arial" w:eastAsia="黑体" w:hAnsi="Arial" w:cs="Arial"/>
          <w:sz w:val="22"/>
          <w:szCs w:val="22"/>
        </w:rPr>
        <w:t>30</w:t>
      </w:r>
      <w:r>
        <w:rPr>
          <w:rFonts w:ascii="Arial" w:eastAsia="黑体" w:hAnsi="Arial" w:cs="Arial"/>
          <w:sz w:val="22"/>
          <w:szCs w:val="22"/>
        </w:rPr>
        <w:t>日</w:t>
      </w:r>
      <w:proofErr w:type="gramStart"/>
      <w:r>
        <w:rPr>
          <w:rFonts w:ascii="Arial" w:eastAsia="黑体" w:hAnsi="Arial" w:cs="Arial"/>
          <w:sz w:val="22"/>
          <w:szCs w:val="22"/>
        </w:rPr>
        <w:t>止</w:t>
      </w:r>
      <w:proofErr w:type="gramEnd"/>
      <w:r>
        <w:rPr>
          <w:rFonts w:ascii="Arial" w:eastAsia="黑体" w:hAnsi="Arial" w:cs="Arial"/>
          <w:sz w:val="22"/>
          <w:szCs w:val="22"/>
        </w:rPr>
        <w:t>6</w:t>
      </w:r>
      <w:r>
        <w:rPr>
          <w:rFonts w:ascii="Arial" w:eastAsia="黑体" w:hAnsi="Arial" w:cs="Arial"/>
          <w:sz w:val="22"/>
          <w:szCs w:val="22"/>
        </w:rPr>
        <w:t>个月期间的合并及公司利润表、股东权益变动表和现金流量表以及财务报表附注。上述中期财务报表的编制是贵公司管理层的责任，我们的责任是在实施审阅工作的基础上对这些中期财务报表出具审阅报告。</w:t>
      </w:r>
    </w:p>
    <w:p w:rsidR="00AD5BB5" w:rsidRDefault="00AD5BB5">
      <w:pPr>
        <w:overflowPunct w:val="0"/>
        <w:autoSpaceDE w:val="0"/>
        <w:autoSpaceDN w:val="0"/>
        <w:adjustRightInd w:val="0"/>
        <w:snapToGrid w:val="0"/>
        <w:rPr>
          <w:rFonts w:ascii="Arial" w:eastAsia="黑体" w:hAnsi="Arial" w:cs="Arial"/>
          <w:sz w:val="22"/>
          <w:szCs w:val="22"/>
        </w:rPr>
      </w:pPr>
    </w:p>
    <w:p w:rsidR="00AD5BB5" w:rsidRDefault="00F87FF6">
      <w:pPr>
        <w:overflowPunct w:val="0"/>
        <w:autoSpaceDE w:val="0"/>
        <w:autoSpaceDN w:val="0"/>
        <w:spacing w:line="360" w:lineRule="auto"/>
        <w:ind w:firstLineChars="200" w:firstLine="440"/>
        <w:rPr>
          <w:rFonts w:ascii="Arial" w:eastAsia="黑体" w:hAnsi="Arial" w:cs="Arial"/>
          <w:sz w:val="22"/>
          <w:szCs w:val="22"/>
        </w:rPr>
      </w:pPr>
      <w:r>
        <w:rPr>
          <w:rFonts w:ascii="Arial" w:eastAsia="黑体" w:hAnsi="Arial" w:cs="Arial"/>
          <w:sz w:val="22"/>
          <w:szCs w:val="22"/>
        </w:rPr>
        <w:t>我们按照《中国注册会计师审阅准则第</w:t>
      </w:r>
      <w:r>
        <w:rPr>
          <w:rFonts w:ascii="Arial" w:eastAsia="黑体" w:hAnsi="Arial" w:cs="Arial"/>
          <w:sz w:val="22"/>
          <w:szCs w:val="22"/>
        </w:rPr>
        <w:t>2101</w:t>
      </w:r>
      <w:r>
        <w:rPr>
          <w:rFonts w:ascii="Arial" w:eastAsia="黑体" w:hAnsi="Arial" w:cs="Arial"/>
          <w:sz w:val="22"/>
          <w:szCs w:val="22"/>
        </w:rPr>
        <w:t>号</w:t>
      </w:r>
      <w:r>
        <w:rPr>
          <w:rFonts w:ascii="Arial" w:eastAsia="黑体" w:hAnsi="Arial" w:cs="Arial"/>
          <w:sz w:val="22"/>
          <w:szCs w:val="22"/>
        </w:rPr>
        <w:t>——</w:t>
      </w:r>
      <w:r>
        <w:rPr>
          <w:rFonts w:ascii="Arial" w:eastAsia="黑体" w:hAnsi="Arial" w:cs="Arial"/>
          <w:sz w:val="22"/>
          <w:szCs w:val="22"/>
        </w:rPr>
        <w:t>财务报表审阅》的规定执行了审阅业务。该准则要求我们计划和实施审阅工作，以对财务报表是否不存在重大错报获取有限保证。审阅主要限于询问公司有关人员和对财务数据实施分析程序，提供的保证程度低于审计。我们没有实施审计，因而不发表审计意见。</w:t>
      </w:r>
    </w:p>
    <w:p w:rsidR="00AD5BB5" w:rsidRDefault="00AD5BB5">
      <w:pPr>
        <w:overflowPunct w:val="0"/>
        <w:autoSpaceDE w:val="0"/>
        <w:autoSpaceDN w:val="0"/>
        <w:adjustRightInd w:val="0"/>
        <w:snapToGrid w:val="0"/>
        <w:rPr>
          <w:rFonts w:ascii="Arial" w:eastAsia="黑体" w:hAnsi="Arial" w:cs="Arial"/>
          <w:sz w:val="22"/>
          <w:szCs w:val="22"/>
        </w:rPr>
      </w:pPr>
    </w:p>
    <w:p w:rsidR="00AD5BB5" w:rsidRDefault="00F87FF6">
      <w:pPr>
        <w:overflowPunct w:val="0"/>
        <w:autoSpaceDE w:val="0"/>
        <w:autoSpaceDN w:val="0"/>
        <w:spacing w:line="360" w:lineRule="auto"/>
        <w:ind w:firstLineChars="200" w:firstLine="440"/>
        <w:rPr>
          <w:rFonts w:ascii="Arial" w:eastAsia="黑体" w:hAnsi="Arial" w:cs="Arial"/>
          <w:sz w:val="22"/>
          <w:szCs w:val="22"/>
        </w:rPr>
      </w:pPr>
      <w:r>
        <w:rPr>
          <w:rFonts w:ascii="Arial" w:eastAsia="黑体" w:hAnsi="Arial" w:cs="Arial"/>
          <w:sz w:val="22"/>
          <w:szCs w:val="22"/>
        </w:rPr>
        <w:t>根据我们的审阅，我们没有注意到任何事项使我们相信上述中期财务报表没有在所有重大方面按照《企业会计准则第</w:t>
      </w:r>
      <w:r>
        <w:rPr>
          <w:rFonts w:ascii="Arial" w:eastAsia="黑体" w:hAnsi="Arial" w:cs="Arial"/>
          <w:sz w:val="22"/>
          <w:szCs w:val="22"/>
        </w:rPr>
        <w:t>32</w:t>
      </w:r>
      <w:r>
        <w:rPr>
          <w:rFonts w:ascii="Arial" w:eastAsia="黑体" w:hAnsi="Arial" w:cs="Arial"/>
          <w:sz w:val="22"/>
          <w:szCs w:val="22"/>
        </w:rPr>
        <w:t>号</w:t>
      </w:r>
      <w:r>
        <w:rPr>
          <w:rFonts w:ascii="Arial" w:eastAsia="黑体" w:hAnsi="Arial" w:cs="Arial"/>
          <w:sz w:val="22"/>
          <w:szCs w:val="22"/>
        </w:rPr>
        <w:t>——</w:t>
      </w:r>
      <w:r>
        <w:rPr>
          <w:rFonts w:ascii="Arial" w:eastAsia="黑体" w:hAnsi="Arial" w:cs="Arial"/>
          <w:sz w:val="22"/>
          <w:szCs w:val="22"/>
        </w:rPr>
        <w:t>中期财务报告》的规定编制。</w:t>
      </w:r>
    </w:p>
    <w:p w:rsidR="00AD5BB5" w:rsidRDefault="00AD5BB5">
      <w:pPr>
        <w:overflowPunct w:val="0"/>
        <w:autoSpaceDE w:val="0"/>
        <w:autoSpaceDN w:val="0"/>
        <w:ind w:firstLine="200"/>
        <w:rPr>
          <w:rFonts w:ascii="Arial" w:eastAsia="黑体" w:hAnsi="Arial" w:cs="Arial"/>
          <w:sz w:val="22"/>
          <w:szCs w:val="22"/>
        </w:rPr>
      </w:pPr>
    </w:p>
    <w:p w:rsidR="00AD5BB5" w:rsidRDefault="00F87FF6">
      <w:pPr>
        <w:overflowPunct w:val="0"/>
        <w:autoSpaceDE w:val="0"/>
        <w:autoSpaceDN w:val="0"/>
        <w:ind w:firstLine="200"/>
        <w:rPr>
          <w:rFonts w:ascii="Arial" w:eastAsia="黑体" w:hAnsi="Arial" w:cs="Arial"/>
          <w:sz w:val="22"/>
          <w:szCs w:val="22"/>
        </w:rPr>
      </w:pPr>
      <w:r>
        <w:rPr>
          <w:rFonts w:ascii="Arial" w:hAnsi="Arial" w:cs="Arial"/>
        </w:rPr>
        <w:br w:type="page"/>
      </w:r>
    </w:p>
    <w:p w:rsidR="00AD5BB5" w:rsidRDefault="00AD5BB5">
      <w:pPr>
        <w:overflowPunct w:val="0"/>
        <w:autoSpaceDE w:val="0"/>
        <w:autoSpaceDN w:val="0"/>
        <w:adjustRightInd w:val="0"/>
        <w:snapToGrid w:val="0"/>
        <w:jc w:val="center"/>
        <w:rPr>
          <w:rFonts w:ascii="Arial" w:eastAsia="黑体" w:hAnsi="Arial" w:cs="Arial"/>
          <w:b/>
          <w:sz w:val="22"/>
          <w:szCs w:val="22"/>
        </w:rPr>
      </w:pPr>
    </w:p>
    <w:p w:rsidR="00AD5BB5" w:rsidRDefault="00AD5BB5">
      <w:pPr>
        <w:overflowPunct w:val="0"/>
        <w:autoSpaceDE w:val="0"/>
        <w:autoSpaceDN w:val="0"/>
        <w:adjustRightInd w:val="0"/>
        <w:snapToGrid w:val="0"/>
        <w:jc w:val="center"/>
        <w:rPr>
          <w:rFonts w:ascii="Arial" w:eastAsia="黑体" w:hAnsi="Arial" w:cs="Arial"/>
          <w:b/>
          <w:sz w:val="22"/>
          <w:szCs w:val="22"/>
        </w:rPr>
      </w:pPr>
    </w:p>
    <w:p w:rsidR="00AD5BB5" w:rsidRDefault="00AD5BB5">
      <w:pPr>
        <w:overflowPunct w:val="0"/>
        <w:autoSpaceDE w:val="0"/>
        <w:autoSpaceDN w:val="0"/>
        <w:adjustRightInd w:val="0"/>
        <w:snapToGrid w:val="0"/>
        <w:jc w:val="center"/>
        <w:rPr>
          <w:rFonts w:ascii="Arial" w:eastAsia="黑体" w:hAnsi="Arial" w:cs="Arial"/>
          <w:b/>
          <w:sz w:val="22"/>
          <w:szCs w:val="22"/>
        </w:rPr>
      </w:pPr>
    </w:p>
    <w:p w:rsidR="00AD5BB5" w:rsidRDefault="00AD5BB5">
      <w:pPr>
        <w:overflowPunct w:val="0"/>
        <w:autoSpaceDE w:val="0"/>
        <w:autoSpaceDN w:val="0"/>
        <w:adjustRightInd w:val="0"/>
        <w:snapToGrid w:val="0"/>
        <w:jc w:val="center"/>
        <w:rPr>
          <w:rFonts w:ascii="Arial" w:eastAsia="黑体" w:hAnsi="Arial" w:cs="Arial"/>
          <w:b/>
          <w:sz w:val="22"/>
          <w:szCs w:val="22"/>
        </w:rPr>
      </w:pPr>
    </w:p>
    <w:p w:rsidR="00AD5BB5" w:rsidRDefault="00AD5BB5">
      <w:pPr>
        <w:overflowPunct w:val="0"/>
        <w:autoSpaceDE w:val="0"/>
        <w:autoSpaceDN w:val="0"/>
        <w:adjustRightInd w:val="0"/>
        <w:snapToGrid w:val="0"/>
        <w:jc w:val="center"/>
        <w:rPr>
          <w:rFonts w:ascii="Arial" w:eastAsia="黑体" w:hAnsi="Arial" w:cs="Arial"/>
          <w:b/>
          <w:sz w:val="22"/>
          <w:szCs w:val="22"/>
        </w:rPr>
      </w:pPr>
    </w:p>
    <w:p w:rsidR="00AD5BB5" w:rsidRDefault="00F87FF6">
      <w:pPr>
        <w:overflowPunct w:val="0"/>
        <w:autoSpaceDE w:val="0"/>
        <w:autoSpaceDN w:val="0"/>
        <w:adjustRightInd w:val="0"/>
        <w:snapToGrid w:val="0"/>
        <w:jc w:val="center"/>
        <w:rPr>
          <w:rFonts w:ascii="Arial" w:eastAsia="黑体" w:hAnsi="Arial" w:cs="Arial"/>
          <w:b/>
          <w:sz w:val="22"/>
          <w:szCs w:val="22"/>
        </w:rPr>
      </w:pPr>
      <w:r>
        <w:rPr>
          <w:rFonts w:ascii="Arial" w:eastAsia="黑体" w:hAnsi="Arial" w:cs="Arial"/>
          <w:b/>
          <w:sz w:val="22"/>
          <w:szCs w:val="22"/>
        </w:rPr>
        <w:t>审阅报告（续）</w:t>
      </w:r>
    </w:p>
    <w:p w:rsidR="00AD5BB5" w:rsidRDefault="00AD5BB5">
      <w:pPr>
        <w:overflowPunct w:val="0"/>
        <w:autoSpaceDE w:val="0"/>
        <w:autoSpaceDN w:val="0"/>
        <w:adjustRightInd w:val="0"/>
        <w:snapToGrid w:val="0"/>
        <w:jc w:val="right"/>
        <w:rPr>
          <w:rFonts w:ascii="Arial" w:eastAsia="黑体" w:hAnsi="Arial" w:cs="Arial"/>
          <w:sz w:val="22"/>
          <w:szCs w:val="22"/>
        </w:rPr>
      </w:pPr>
    </w:p>
    <w:p w:rsidR="00AD5BB5" w:rsidRDefault="00F87FF6">
      <w:pPr>
        <w:overflowPunct w:val="0"/>
        <w:autoSpaceDE w:val="0"/>
        <w:autoSpaceDN w:val="0"/>
        <w:adjustRightInd w:val="0"/>
        <w:snapToGrid w:val="0"/>
        <w:ind w:leftChars="200" w:left="1080" w:hangingChars="300" w:hanging="660"/>
        <w:jc w:val="right"/>
        <w:rPr>
          <w:rFonts w:ascii="Arial" w:eastAsia="黑体" w:hAnsi="Arial" w:cs="Arial"/>
          <w:sz w:val="22"/>
          <w:szCs w:val="22"/>
        </w:rPr>
      </w:pPr>
      <w:r>
        <w:rPr>
          <w:rFonts w:ascii="Arial" w:eastAsia="黑体" w:hAnsi="Arial" w:cs="Arial"/>
          <w:sz w:val="22"/>
          <w:szCs w:val="22"/>
        </w:rPr>
        <w:t>安永华明</w:t>
      </w:r>
      <w:r>
        <w:rPr>
          <w:rFonts w:ascii="Arial" w:eastAsia="黑体" w:hAnsi="Arial" w:cs="Arial" w:hint="eastAsia"/>
          <w:sz w:val="22"/>
          <w:szCs w:val="22"/>
        </w:rPr>
        <w:t>（</w:t>
      </w:r>
      <w:r>
        <w:rPr>
          <w:rFonts w:ascii="Arial" w:eastAsia="黑体" w:hAnsi="Arial" w:cs="Arial"/>
          <w:sz w:val="22"/>
          <w:szCs w:val="22"/>
        </w:rPr>
        <w:t>2023</w:t>
      </w:r>
      <w:r>
        <w:rPr>
          <w:rFonts w:ascii="Arial" w:eastAsia="黑体" w:hAnsi="Arial" w:cs="Arial" w:hint="eastAsia"/>
          <w:sz w:val="22"/>
          <w:szCs w:val="22"/>
        </w:rPr>
        <w:t>）</w:t>
      </w:r>
      <w:proofErr w:type="gramStart"/>
      <w:r>
        <w:rPr>
          <w:rFonts w:ascii="Arial" w:eastAsia="黑体" w:hAnsi="Arial" w:cs="Arial"/>
          <w:sz w:val="22"/>
          <w:szCs w:val="22"/>
        </w:rPr>
        <w:t>专字第</w:t>
      </w:r>
      <w:r>
        <w:rPr>
          <w:rFonts w:ascii="Arial" w:eastAsia="黑体" w:hAnsi="Arial" w:cs="Arial"/>
          <w:sz w:val="22"/>
          <w:szCs w:val="22"/>
        </w:rPr>
        <w:t>61276201</w:t>
      </w:r>
      <w:proofErr w:type="gramEnd"/>
      <w:r>
        <w:rPr>
          <w:rFonts w:ascii="Arial" w:eastAsia="黑体" w:hAnsi="Arial" w:cs="Arial"/>
          <w:sz w:val="22"/>
          <w:szCs w:val="22"/>
        </w:rPr>
        <w:t>_H05</w:t>
      </w:r>
      <w:r>
        <w:rPr>
          <w:rFonts w:ascii="Arial" w:eastAsia="黑体" w:hAnsi="Arial" w:cs="Arial"/>
          <w:sz w:val="22"/>
          <w:szCs w:val="22"/>
        </w:rPr>
        <w:t>号</w:t>
      </w:r>
    </w:p>
    <w:p w:rsidR="00AD5BB5" w:rsidRDefault="00F87FF6">
      <w:pPr>
        <w:overflowPunct w:val="0"/>
        <w:autoSpaceDE w:val="0"/>
        <w:autoSpaceDN w:val="0"/>
        <w:adjustRightInd w:val="0"/>
        <w:snapToGrid w:val="0"/>
        <w:jc w:val="right"/>
        <w:rPr>
          <w:rFonts w:ascii="Arial" w:eastAsia="黑体" w:hAnsi="Arial" w:cs="Arial"/>
          <w:sz w:val="22"/>
          <w:szCs w:val="22"/>
        </w:rPr>
      </w:pPr>
      <w:r>
        <w:rPr>
          <w:rFonts w:ascii="Arial" w:eastAsia="黑体" w:hAnsi="Arial" w:cs="Arial"/>
          <w:sz w:val="22"/>
          <w:szCs w:val="22"/>
        </w:rPr>
        <w:fldChar w:fldCharType="begin"/>
      </w:r>
      <w:r>
        <w:rPr>
          <w:rFonts w:ascii="Arial" w:eastAsia="黑体" w:hAnsi="Arial" w:cs="Arial"/>
          <w:sz w:val="22"/>
          <w:szCs w:val="22"/>
        </w:rPr>
        <w:instrText xml:space="preserve"> DOCPROPERTY </w:instrText>
      </w:r>
      <w:r>
        <w:rPr>
          <w:rFonts w:ascii="Arial" w:eastAsia="黑体" w:hAnsi="Arial" w:cs="Arial"/>
          <w:sz w:val="22"/>
          <w:szCs w:val="22"/>
        </w:rPr>
        <w:instrText>公司名称</w:instrText>
      </w:r>
      <w:r>
        <w:rPr>
          <w:rFonts w:ascii="Arial" w:eastAsia="黑体" w:hAnsi="Arial" w:cs="Arial"/>
          <w:sz w:val="22"/>
          <w:szCs w:val="22"/>
        </w:rPr>
        <w:instrText xml:space="preserve"> </w:instrText>
      </w:r>
      <w:r>
        <w:rPr>
          <w:rFonts w:ascii="Arial" w:eastAsia="黑体" w:hAnsi="Arial" w:cs="Arial"/>
          <w:sz w:val="22"/>
          <w:szCs w:val="22"/>
        </w:rPr>
        <w:fldChar w:fldCharType="separate"/>
      </w:r>
      <w:r>
        <w:rPr>
          <w:rFonts w:ascii="Arial" w:eastAsia="黑体" w:hAnsi="Arial" w:cs="Arial"/>
          <w:sz w:val="22"/>
          <w:szCs w:val="22"/>
        </w:rPr>
        <w:t>厦门银行股份有限公司</w:t>
      </w:r>
      <w:r>
        <w:rPr>
          <w:rFonts w:ascii="Arial" w:eastAsia="黑体" w:hAnsi="Arial" w:cs="Arial"/>
          <w:sz w:val="22"/>
          <w:szCs w:val="22"/>
        </w:rPr>
        <w:fldChar w:fldCharType="end"/>
      </w:r>
    </w:p>
    <w:p w:rsidR="00AD5BB5" w:rsidRDefault="00AD5BB5">
      <w:pPr>
        <w:overflowPunct w:val="0"/>
        <w:autoSpaceDE w:val="0"/>
        <w:autoSpaceDN w:val="0"/>
        <w:adjustRightInd w:val="0"/>
        <w:snapToGrid w:val="0"/>
        <w:jc w:val="center"/>
        <w:rPr>
          <w:rFonts w:ascii="Arial" w:eastAsia="黑体" w:hAnsi="Arial" w:cs="Arial"/>
          <w:sz w:val="22"/>
          <w:szCs w:val="22"/>
        </w:rPr>
      </w:pPr>
    </w:p>
    <w:p w:rsidR="00AD5BB5" w:rsidRDefault="00AD5BB5">
      <w:pPr>
        <w:overflowPunct w:val="0"/>
        <w:autoSpaceDE w:val="0"/>
        <w:autoSpaceDN w:val="0"/>
        <w:adjustRightInd w:val="0"/>
        <w:snapToGrid w:val="0"/>
        <w:jc w:val="center"/>
        <w:rPr>
          <w:rFonts w:ascii="Arial" w:eastAsia="黑体" w:hAnsi="Arial" w:cs="Arial"/>
          <w:sz w:val="22"/>
          <w:szCs w:val="22"/>
        </w:rPr>
      </w:pPr>
    </w:p>
    <w:p w:rsidR="00AD5BB5" w:rsidRDefault="00F87FF6">
      <w:pPr>
        <w:overflowPunct w:val="0"/>
        <w:autoSpaceDE w:val="0"/>
        <w:autoSpaceDN w:val="0"/>
        <w:ind w:firstLineChars="200" w:firstLine="440"/>
        <w:rPr>
          <w:rFonts w:ascii="Arial" w:eastAsia="黑体" w:hAnsi="Arial" w:cs="Arial"/>
          <w:sz w:val="22"/>
          <w:szCs w:val="22"/>
        </w:rPr>
      </w:pPr>
      <w:r>
        <w:rPr>
          <w:rFonts w:ascii="Arial" w:eastAsia="黑体" w:hAnsi="Arial" w:cs="Arial"/>
          <w:sz w:val="22"/>
          <w:szCs w:val="22"/>
        </w:rPr>
        <w:t>（本页无正文）</w:t>
      </w:r>
    </w:p>
    <w:p w:rsidR="00AD5BB5" w:rsidRDefault="00AD5BB5">
      <w:pPr>
        <w:overflowPunct w:val="0"/>
        <w:autoSpaceDE w:val="0"/>
        <w:autoSpaceDN w:val="0"/>
        <w:rPr>
          <w:rFonts w:ascii="Arial" w:eastAsia="黑体" w:hAnsi="Arial" w:cs="Arial"/>
          <w:sz w:val="22"/>
          <w:szCs w:val="22"/>
        </w:rPr>
      </w:pPr>
    </w:p>
    <w:p w:rsidR="00AD5BB5" w:rsidRDefault="00AD5BB5">
      <w:pPr>
        <w:overflowPunct w:val="0"/>
        <w:autoSpaceDE w:val="0"/>
        <w:autoSpaceDN w:val="0"/>
        <w:rPr>
          <w:rFonts w:ascii="Arial" w:eastAsia="黑体" w:hAnsi="Arial" w:cs="Arial"/>
          <w:sz w:val="22"/>
          <w:szCs w:val="22"/>
        </w:rPr>
      </w:pPr>
    </w:p>
    <w:p w:rsidR="00AD5BB5" w:rsidRDefault="00AD5BB5">
      <w:pPr>
        <w:overflowPunct w:val="0"/>
        <w:autoSpaceDE w:val="0"/>
        <w:autoSpaceDN w:val="0"/>
        <w:rPr>
          <w:rFonts w:ascii="Arial" w:eastAsia="黑体" w:hAnsi="Arial" w:cs="Arial"/>
          <w:sz w:val="22"/>
          <w:szCs w:val="22"/>
        </w:rPr>
      </w:pPr>
    </w:p>
    <w:p w:rsidR="00AD5BB5" w:rsidRDefault="00AD5BB5">
      <w:pPr>
        <w:overflowPunct w:val="0"/>
        <w:autoSpaceDE w:val="0"/>
        <w:autoSpaceDN w:val="0"/>
        <w:rPr>
          <w:rFonts w:ascii="Arial" w:eastAsia="黑体" w:hAnsi="Arial" w:cs="Arial"/>
          <w:sz w:val="22"/>
          <w:szCs w:val="22"/>
        </w:rPr>
      </w:pPr>
    </w:p>
    <w:p w:rsidR="00AD5BB5" w:rsidRDefault="00AD5BB5">
      <w:pPr>
        <w:overflowPunct w:val="0"/>
        <w:autoSpaceDE w:val="0"/>
        <w:autoSpaceDN w:val="0"/>
        <w:rPr>
          <w:rFonts w:ascii="Arial" w:eastAsia="黑体" w:hAnsi="Arial" w:cs="Arial"/>
          <w:sz w:val="22"/>
          <w:szCs w:val="22"/>
        </w:rPr>
      </w:pPr>
    </w:p>
    <w:p w:rsidR="00AD5BB5" w:rsidRDefault="00AD5BB5">
      <w:pPr>
        <w:overflowPunct w:val="0"/>
        <w:autoSpaceDE w:val="0"/>
        <w:autoSpaceDN w:val="0"/>
        <w:rPr>
          <w:rFonts w:ascii="Arial" w:eastAsia="黑体" w:hAnsi="Arial" w:cs="Arial"/>
          <w:sz w:val="22"/>
          <w:szCs w:val="22"/>
        </w:rPr>
      </w:pPr>
    </w:p>
    <w:p w:rsidR="00AD5BB5" w:rsidRDefault="00AD5BB5">
      <w:pPr>
        <w:overflowPunct w:val="0"/>
        <w:autoSpaceDE w:val="0"/>
        <w:autoSpaceDN w:val="0"/>
        <w:rPr>
          <w:rFonts w:ascii="Arial" w:eastAsia="黑体" w:hAnsi="Arial" w:cs="Arial"/>
          <w:sz w:val="22"/>
          <w:szCs w:val="22"/>
        </w:rPr>
      </w:pPr>
    </w:p>
    <w:p w:rsidR="00AD5BB5" w:rsidRDefault="00AD5BB5">
      <w:pPr>
        <w:overflowPunct w:val="0"/>
        <w:autoSpaceDE w:val="0"/>
        <w:autoSpaceDN w:val="0"/>
        <w:rPr>
          <w:rFonts w:ascii="Arial" w:eastAsia="黑体" w:hAnsi="Arial" w:cs="Arial"/>
          <w:sz w:val="22"/>
          <w:szCs w:val="22"/>
        </w:rPr>
      </w:pPr>
    </w:p>
    <w:p w:rsidR="00AD5BB5" w:rsidRDefault="00AD5BB5">
      <w:pPr>
        <w:overflowPunct w:val="0"/>
        <w:autoSpaceDE w:val="0"/>
        <w:autoSpaceDN w:val="0"/>
        <w:rPr>
          <w:rFonts w:ascii="Arial" w:eastAsia="黑体" w:hAnsi="Arial" w:cs="Arial"/>
          <w:sz w:val="22"/>
          <w:szCs w:val="22"/>
        </w:rPr>
      </w:pPr>
    </w:p>
    <w:p w:rsidR="00AD5BB5" w:rsidRDefault="00AD5BB5">
      <w:pPr>
        <w:overflowPunct w:val="0"/>
        <w:autoSpaceDE w:val="0"/>
        <w:autoSpaceDN w:val="0"/>
        <w:rPr>
          <w:rFonts w:ascii="Arial" w:eastAsia="黑体" w:hAnsi="Arial" w:cs="Arial"/>
          <w:sz w:val="22"/>
          <w:szCs w:val="22"/>
        </w:rPr>
      </w:pPr>
    </w:p>
    <w:p w:rsidR="00AD5BB5" w:rsidRDefault="00AD5BB5">
      <w:pPr>
        <w:overflowPunct w:val="0"/>
        <w:autoSpaceDE w:val="0"/>
        <w:autoSpaceDN w:val="0"/>
        <w:rPr>
          <w:rFonts w:ascii="Arial" w:eastAsia="黑体" w:hAnsi="Arial" w:cs="Arial"/>
          <w:sz w:val="22"/>
          <w:szCs w:val="22"/>
        </w:rPr>
      </w:pPr>
    </w:p>
    <w:sdt>
      <w:sdtPr>
        <w:rPr>
          <w:rFonts w:ascii="Arial" w:eastAsia="黑体" w:hAnsi="Arial" w:cs="Arial"/>
          <w:sz w:val="22"/>
          <w:szCs w:val="22"/>
        </w:rPr>
        <w:alias w:val="此处为签署区域，请勿调整框线"/>
        <w:tag w:val="此处为签署区域，请勿调整框线"/>
        <w:id w:val="924302083"/>
      </w:sdtPr>
      <w:sdtContent>
        <w:tbl>
          <w:tblPr>
            <w:tblW w:w="8313" w:type="dxa"/>
            <w:tblLayout w:type="fixed"/>
            <w:tblCellMar>
              <w:left w:w="0" w:type="dxa"/>
              <w:right w:w="0" w:type="dxa"/>
            </w:tblCellMar>
            <w:tblLook w:val="04A0" w:firstRow="1" w:lastRow="0" w:firstColumn="1" w:lastColumn="0" w:noHBand="0" w:noVBand="1"/>
            <w:tblCaption w:val="b3eb7fb1-c34d-4314-bdd8-8a023237386d"/>
            <w:tblDescription w:val="{&quot;UUID&quot;:&quot;afsaddin_tabledata_2_56437_b3eb7fb1-c34d-4314-bdd8-8a023237386d&quot;,&quot;TitleRowCount&quot;:-1,&quot;SplitedTable&quot;:null,&quot;FirstTableId&quot;:null}"/>
          </w:tblPr>
          <w:tblGrid>
            <w:gridCol w:w="5102"/>
            <w:gridCol w:w="3211"/>
          </w:tblGrid>
          <w:tr w:rsidR="00AD5BB5">
            <w:tc>
              <w:tcPr>
                <w:tcW w:w="5102" w:type="dxa"/>
                <w:noWrap/>
              </w:tcPr>
              <w:p w:rsidR="00AD5BB5" w:rsidRDefault="00AD5BB5">
                <w:pPr>
                  <w:wordWrap w:val="0"/>
                  <w:rPr>
                    <w:rFonts w:ascii="Arial" w:eastAsia="黑体" w:hAnsi="Arial" w:cs="Arial"/>
                    <w:sz w:val="22"/>
                    <w:szCs w:val="22"/>
                  </w:rPr>
                </w:pPr>
              </w:p>
              <w:p w:rsidR="00AD5BB5" w:rsidRDefault="00AD5BB5">
                <w:pPr>
                  <w:wordWrap w:val="0"/>
                  <w:rPr>
                    <w:rFonts w:ascii="Arial" w:eastAsia="黑体" w:hAnsi="Arial" w:cs="Arial"/>
                    <w:sz w:val="22"/>
                    <w:szCs w:val="22"/>
                  </w:rPr>
                </w:pPr>
              </w:p>
              <w:p w:rsidR="00AD5BB5" w:rsidRDefault="00AD5BB5">
                <w:pPr>
                  <w:wordWrap w:val="0"/>
                  <w:rPr>
                    <w:rFonts w:ascii="Arial" w:eastAsia="黑体" w:hAnsi="Arial" w:cs="Arial"/>
                    <w:sz w:val="22"/>
                    <w:szCs w:val="22"/>
                  </w:rPr>
                </w:pPr>
              </w:p>
              <w:p w:rsidR="00AD5BB5" w:rsidRDefault="00AD5BB5">
                <w:pPr>
                  <w:wordWrap w:val="0"/>
                  <w:rPr>
                    <w:rFonts w:ascii="Arial" w:eastAsia="黑体" w:hAnsi="Arial" w:cs="Arial"/>
                    <w:sz w:val="22"/>
                    <w:szCs w:val="22"/>
                  </w:rPr>
                </w:pPr>
              </w:p>
              <w:p w:rsidR="00AD5BB5" w:rsidRDefault="00AD5BB5">
                <w:pPr>
                  <w:wordWrap w:val="0"/>
                  <w:rPr>
                    <w:rFonts w:ascii="Arial" w:eastAsia="黑体" w:hAnsi="Arial" w:cs="Arial"/>
                    <w:sz w:val="22"/>
                    <w:szCs w:val="22"/>
                  </w:rPr>
                </w:pPr>
              </w:p>
              <w:p w:rsidR="00AD5BB5" w:rsidRDefault="00AD5BB5">
                <w:pPr>
                  <w:wordWrap w:val="0"/>
                  <w:rPr>
                    <w:rFonts w:ascii="Arial" w:eastAsia="黑体" w:hAnsi="Arial" w:cs="Arial"/>
                    <w:sz w:val="22"/>
                    <w:szCs w:val="22"/>
                  </w:rPr>
                </w:pPr>
              </w:p>
              <w:p w:rsidR="00AD5BB5" w:rsidRDefault="00AD5BB5">
                <w:pPr>
                  <w:wordWrap w:val="0"/>
                  <w:rPr>
                    <w:rFonts w:ascii="Arial" w:eastAsia="黑体" w:hAnsi="Arial" w:cs="Arial"/>
                    <w:sz w:val="22"/>
                    <w:szCs w:val="22"/>
                  </w:rPr>
                </w:pPr>
              </w:p>
            </w:tc>
            <w:tc>
              <w:tcPr>
                <w:tcW w:w="3211" w:type="dxa"/>
                <w:noWrap/>
              </w:tcPr>
              <w:p w:rsidR="00AD5BB5" w:rsidRDefault="00AD5BB5">
                <w:pPr>
                  <w:wordWrap w:val="0"/>
                  <w:rPr>
                    <w:rFonts w:ascii="Arial" w:eastAsia="黑体" w:hAnsi="Arial" w:cs="Arial"/>
                    <w:sz w:val="22"/>
                    <w:szCs w:val="22"/>
                  </w:rPr>
                </w:pPr>
              </w:p>
              <w:p w:rsidR="00AD5BB5" w:rsidRDefault="00AD5BB5">
                <w:pPr>
                  <w:wordWrap w:val="0"/>
                  <w:rPr>
                    <w:rFonts w:ascii="Arial" w:eastAsia="黑体" w:hAnsi="Arial" w:cs="Arial"/>
                    <w:sz w:val="22"/>
                    <w:szCs w:val="22"/>
                  </w:rPr>
                </w:pPr>
              </w:p>
              <w:p w:rsidR="00AD5BB5" w:rsidRDefault="00AD5BB5">
                <w:pPr>
                  <w:wordWrap w:val="0"/>
                  <w:rPr>
                    <w:rFonts w:ascii="Arial" w:eastAsia="黑体" w:hAnsi="Arial" w:cs="Arial"/>
                    <w:sz w:val="22"/>
                    <w:szCs w:val="22"/>
                  </w:rPr>
                </w:pPr>
              </w:p>
              <w:p w:rsidR="00AD5BB5" w:rsidRDefault="00AD5BB5">
                <w:pPr>
                  <w:wordWrap w:val="0"/>
                  <w:rPr>
                    <w:rFonts w:ascii="Arial" w:eastAsia="黑体" w:hAnsi="Arial" w:cs="Arial"/>
                    <w:sz w:val="22"/>
                    <w:szCs w:val="22"/>
                  </w:rPr>
                </w:pPr>
              </w:p>
              <w:p w:rsidR="00AD5BB5" w:rsidRDefault="00AD5BB5">
                <w:pPr>
                  <w:wordWrap w:val="0"/>
                  <w:rPr>
                    <w:rFonts w:ascii="Arial" w:eastAsia="黑体" w:hAnsi="Arial" w:cs="Arial"/>
                    <w:sz w:val="22"/>
                    <w:szCs w:val="22"/>
                  </w:rPr>
                </w:pPr>
              </w:p>
              <w:p w:rsidR="00AD5BB5" w:rsidRDefault="00AD5BB5">
                <w:pPr>
                  <w:wordWrap w:val="0"/>
                  <w:rPr>
                    <w:rFonts w:ascii="Arial" w:eastAsia="黑体" w:hAnsi="Arial" w:cs="Arial"/>
                    <w:sz w:val="22"/>
                    <w:szCs w:val="22"/>
                  </w:rPr>
                </w:pPr>
              </w:p>
              <w:p w:rsidR="00AD5BB5" w:rsidRDefault="00AD5BB5">
                <w:pPr>
                  <w:wordWrap w:val="0"/>
                  <w:rPr>
                    <w:rFonts w:ascii="Arial" w:eastAsia="黑体" w:hAnsi="Arial" w:cs="Arial"/>
                    <w:sz w:val="22"/>
                    <w:szCs w:val="22"/>
                  </w:rPr>
                </w:pPr>
              </w:p>
            </w:tc>
          </w:tr>
          <w:tr w:rsidR="00AD5BB5">
            <w:tc>
              <w:tcPr>
                <w:tcW w:w="5102" w:type="dxa"/>
                <w:noWrap/>
              </w:tcPr>
              <w:p w:rsidR="00AD5BB5" w:rsidRDefault="00F87FF6">
                <w:pPr>
                  <w:wordWrap w:val="0"/>
                  <w:rPr>
                    <w:rFonts w:ascii="Arial" w:eastAsia="黑体" w:hAnsi="Arial" w:cs="Arial"/>
                    <w:sz w:val="22"/>
                    <w:szCs w:val="22"/>
                  </w:rPr>
                </w:pPr>
                <w:r>
                  <w:rPr>
                    <w:rFonts w:ascii="Arial" w:eastAsia="黑体" w:hAnsi="Arial" w:cs="Arial"/>
                    <w:sz w:val="22"/>
                    <w:szCs w:val="22"/>
                  </w:rPr>
                  <w:t>安永华明会计师事务所（特殊普通合伙）</w:t>
                </w:r>
              </w:p>
            </w:tc>
            <w:tc>
              <w:tcPr>
                <w:tcW w:w="3211" w:type="dxa"/>
                <w:noWrap/>
              </w:tcPr>
              <w:p w:rsidR="00AD5BB5" w:rsidRDefault="00F87FF6">
                <w:pPr>
                  <w:wordWrap w:val="0"/>
                  <w:jc w:val="right"/>
                  <w:rPr>
                    <w:rFonts w:ascii="Arial" w:eastAsia="黑体" w:hAnsi="Arial" w:cs="Arial"/>
                    <w:sz w:val="22"/>
                    <w:szCs w:val="22"/>
                  </w:rPr>
                </w:pPr>
                <w:r>
                  <w:rPr>
                    <w:rFonts w:ascii="Arial" w:eastAsia="黑体" w:hAnsi="Arial" w:cs="Arial"/>
                    <w:sz w:val="22"/>
                    <w:szCs w:val="22"/>
                  </w:rPr>
                  <w:t>中国注册会计师：</w:t>
                </w:r>
                <w:r>
                  <w:rPr>
                    <w:rFonts w:ascii="Arial" w:eastAsia="黑体" w:hAnsi="Arial" w:cs="Arial"/>
                    <w:sz w:val="22"/>
                    <w:szCs w:val="22"/>
                  </w:rPr>
                  <w:fldChar w:fldCharType="begin"/>
                </w:r>
                <w:r>
                  <w:rPr>
                    <w:rFonts w:ascii="Arial" w:eastAsia="黑体" w:hAnsi="Arial" w:cs="Arial"/>
                    <w:sz w:val="22"/>
                    <w:szCs w:val="22"/>
                  </w:rPr>
                  <w:instrText xml:space="preserve"> DOCPROPERTY </w:instrText>
                </w:r>
                <w:r>
                  <w:rPr>
                    <w:rFonts w:ascii="Arial" w:eastAsia="黑体" w:hAnsi="Arial" w:cs="Arial"/>
                    <w:sz w:val="22"/>
                    <w:szCs w:val="22"/>
                  </w:rPr>
                  <w:instrText>第一签字人</w:instrText>
                </w:r>
                <w:r>
                  <w:rPr>
                    <w:rFonts w:ascii="Arial" w:eastAsia="黑体" w:hAnsi="Arial" w:cs="Arial"/>
                    <w:sz w:val="22"/>
                    <w:szCs w:val="22"/>
                  </w:rPr>
                  <w:instrText xml:space="preserve"> </w:instrText>
                </w:r>
                <w:r>
                  <w:rPr>
                    <w:rFonts w:ascii="Arial" w:eastAsia="黑体" w:hAnsi="Arial" w:cs="Arial"/>
                    <w:sz w:val="22"/>
                    <w:szCs w:val="22"/>
                  </w:rPr>
                  <w:fldChar w:fldCharType="separate"/>
                </w:r>
                <w:r>
                  <w:rPr>
                    <w:rFonts w:ascii="Arial" w:eastAsia="黑体" w:hAnsi="Arial" w:cs="Arial"/>
                    <w:sz w:val="22"/>
                    <w:szCs w:val="22"/>
                  </w:rPr>
                  <w:t>昌　华</w:t>
                </w:r>
                <w:r>
                  <w:rPr>
                    <w:rFonts w:ascii="Arial" w:eastAsia="黑体" w:hAnsi="Arial" w:cs="Arial"/>
                    <w:sz w:val="22"/>
                    <w:szCs w:val="22"/>
                  </w:rPr>
                  <w:fldChar w:fldCharType="end"/>
                </w:r>
              </w:p>
              <w:p w:rsidR="00AD5BB5" w:rsidRDefault="00AD5BB5">
                <w:pPr>
                  <w:ind w:rightChars="150" w:right="315"/>
                  <w:jc w:val="right"/>
                  <w:rPr>
                    <w:rFonts w:ascii="Arial" w:eastAsia="黑体" w:hAnsi="Arial" w:cs="Arial"/>
                    <w:sz w:val="22"/>
                    <w:szCs w:val="22"/>
                  </w:rPr>
                </w:pPr>
              </w:p>
              <w:p w:rsidR="00AD5BB5" w:rsidRDefault="00AD5BB5">
                <w:pPr>
                  <w:wordWrap w:val="0"/>
                  <w:jc w:val="right"/>
                  <w:rPr>
                    <w:rFonts w:ascii="Arial" w:eastAsia="黑体" w:hAnsi="Arial" w:cs="Arial"/>
                    <w:sz w:val="22"/>
                    <w:szCs w:val="22"/>
                  </w:rPr>
                </w:pPr>
              </w:p>
              <w:p w:rsidR="00AD5BB5" w:rsidRDefault="00AD5BB5">
                <w:pPr>
                  <w:wordWrap w:val="0"/>
                  <w:jc w:val="right"/>
                  <w:rPr>
                    <w:rFonts w:ascii="Arial" w:eastAsia="黑体" w:hAnsi="Arial" w:cs="Arial"/>
                    <w:sz w:val="22"/>
                    <w:szCs w:val="22"/>
                  </w:rPr>
                </w:pPr>
              </w:p>
              <w:p w:rsidR="00AD5BB5" w:rsidRDefault="00AD5BB5">
                <w:pPr>
                  <w:wordWrap w:val="0"/>
                  <w:jc w:val="right"/>
                  <w:rPr>
                    <w:rFonts w:ascii="Arial" w:eastAsia="黑体" w:hAnsi="Arial" w:cs="Arial"/>
                    <w:sz w:val="22"/>
                    <w:szCs w:val="22"/>
                  </w:rPr>
                </w:pPr>
              </w:p>
              <w:p w:rsidR="00AD5BB5" w:rsidRDefault="00AD5BB5">
                <w:pPr>
                  <w:wordWrap w:val="0"/>
                  <w:jc w:val="right"/>
                  <w:rPr>
                    <w:rFonts w:ascii="Arial" w:eastAsia="黑体" w:hAnsi="Arial" w:cs="Arial"/>
                    <w:sz w:val="22"/>
                    <w:szCs w:val="22"/>
                  </w:rPr>
                </w:pPr>
              </w:p>
              <w:p w:rsidR="00AD5BB5" w:rsidRDefault="00AD5BB5">
                <w:pPr>
                  <w:wordWrap w:val="0"/>
                  <w:jc w:val="right"/>
                  <w:rPr>
                    <w:rFonts w:ascii="Arial" w:eastAsia="黑体" w:hAnsi="Arial" w:cs="Arial"/>
                    <w:sz w:val="22"/>
                    <w:szCs w:val="22"/>
                  </w:rPr>
                </w:pPr>
              </w:p>
              <w:p w:rsidR="00AD5BB5" w:rsidRDefault="00AD5BB5">
                <w:pPr>
                  <w:wordWrap w:val="0"/>
                  <w:jc w:val="right"/>
                  <w:rPr>
                    <w:rFonts w:ascii="Arial" w:eastAsia="黑体" w:hAnsi="Arial" w:cs="Arial"/>
                    <w:sz w:val="22"/>
                    <w:szCs w:val="22"/>
                  </w:rPr>
                </w:pPr>
              </w:p>
              <w:p w:rsidR="00AD5BB5" w:rsidRDefault="00AD5BB5">
                <w:pPr>
                  <w:wordWrap w:val="0"/>
                  <w:jc w:val="right"/>
                  <w:rPr>
                    <w:rFonts w:ascii="Arial" w:eastAsia="黑体" w:hAnsi="Arial" w:cs="Arial"/>
                    <w:sz w:val="22"/>
                    <w:szCs w:val="22"/>
                  </w:rPr>
                </w:pPr>
              </w:p>
            </w:tc>
          </w:tr>
          <w:tr w:rsidR="00AD5BB5">
            <w:tc>
              <w:tcPr>
                <w:tcW w:w="5102" w:type="dxa"/>
                <w:noWrap/>
              </w:tcPr>
              <w:p w:rsidR="00AD5BB5" w:rsidRDefault="00AD5BB5">
                <w:pPr>
                  <w:wordWrap w:val="0"/>
                  <w:rPr>
                    <w:rFonts w:ascii="Arial" w:eastAsia="黑体" w:hAnsi="Arial" w:cs="Arial"/>
                    <w:sz w:val="22"/>
                    <w:szCs w:val="22"/>
                  </w:rPr>
                </w:pPr>
              </w:p>
            </w:tc>
            <w:tc>
              <w:tcPr>
                <w:tcW w:w="3211" w:type="dxa"/>
                <w:noWrap/>
              </w:tcPr>
              <w:p w:rsidR="00AD5BB5" w:rsidRDefault="00F87FF6">
                <w:pPr>
                  <w:wordWrap w:val="0"/>
                  <w:jc w:val="right"/>
                  <w:rPr>
                    <w:rFonts w:ascii="Arial" w:eastAsia="黑体" w:hAnsi="Arial" w:cs="Arial"/>
                    <w:sz w:val="22"/>
                    <w:szCs w:val="22"/>
                  </w:rPr>
                </w:pPr>
                <w:r>
                  <w:rPr>
                    <w:rFonts w:ascii="Arial" w:eastAsia="黑体" w:hAnsi="Arial" w:cs="Arial"/>
                    <w:sz w:val="22"/>
                    <w:szCs w:val="22"/>
                  </w:rPr>
                  <w:t>中国注册会计师：</w:t>
                </w:r>
                <w:r>
                  <w:rPr>
                    <w:rFonts w:ascii="Arial" w:eastAsia="黑体" w:hAnsi="Arial" w:cs="Arial"/>
                    <w:sz w:val="22"/>
                    <w:szCs w:val="22"/>
                  </w:rPr>
                  <w:fldChar w:fldCharType="begin"/>
                </w:r>
                <w:r>
                  <w:rPr>
                    <w:rFonts w:ascii="Arial" w:eastAsia="黑体" w:hAnsi="Arial" w:cs="Arial"/>
                    <w:sz w:val="22"/>
                    <w:szCs w:val="22"/>
                  </w:rPr>
                  <w:instrText xml:space="preserve"> DOCPROPERTY </w:instrText>
                </w:r>
                <w:r>
                  <w:rPr>
                    <w:rFonts w:ascii="Arial" w:eastAsia="黑体" w:hAnsi="Arial" w:cs="Arial"/>
                    <w:sz w:val="22"/>
                    <w:szCs w:val="22"/>
                  </w:rPr>
                  <w:instrText>第二签字人</w:instrText>
                </w:r>
                <w:r>
                  <w:rPr>
                    <w:rFonts w:ascii="Arial" w:eastAsia="黑体" w:hAnsi="Arial" w:cs="Arial"/>
                    <w:sz w:val="22"/>
                    <w:szCs w:val="22"/>
                  </w:rPr>
                  <w:instrText xml:space="preserve"> </w:instrText>
                </w:r>
                <w:r>
                  <w:rPr>
                    <w:rFonts w:ascii="Arial" w:eastAsia="黑体" w:hAnsi="Arial" w:cs="Arial"/>
                    <w:sz w:val="22"/>
                    <w:szCs w:val="22"/>
                  </w:rPr>
                  <w:fldChar w:fldCharType="separate"/>
                </w:r>
                <w:r>
                  <w:rPr>
                    <w:rFonts w:ascii="Arial" w:eastAsia="黑体" w:hAnsi="Arial" w:cs="Arial"/>
                    <w:sz w:val="22"/>
                    <w:szCs w:val="22"/>
                  </w:rPr>
                  <w:t>张力卓</w:t>
                </w:r>
                <w:r>
                  <w:rPr>
                    <w:rFonts w:ascii="Arial" w:eastAsia="黑体" w:hAnsi="Arial" w:cs="Arial"/>
                    <w:sz w:val="22"/>
                    <w:szCs w:val="22"/>
                  </w:rPr>
                  <w:fldChar w:fldCharType="end"/>
                </w:r>
              </w:p>
              <w:p w:rsidR="00AD5BB5" w:rsidRDefault="00AD5BB5">
                <w:pPr>
                  <w:wordWrap w:val="0"/>
                  <w:jc w:val="right"/>
                  <w:rPr>
                    <w:rFonts w:ascii="Arial" w:eastAsia="黑体" w:hAnsi="Arial" w:cs="Arial"/>
                    <w:sz w:val="22"/>
                    <w:szCs w:val="22"/>
                  </w:rPr>
                </w:pPr>
              </w:p>
              <w:p w:rsidR="00AD5BB5" w:rsidRDefault="00AD5BB5">
                <w:pPr>
                  <w:wordWrap w:val="0"/>
                  <w:jc w:val="right"/>
                  <w:rPr>
                    <w:rFonts w:ascii="Arial" w:eastAsia="黑体" w:hAnsi="Arial" w:cs="Arial"/>
                    <w:sz w:val="22"/>
                    <w:szCs w:val="22"/>
                  </w:rPr>
                </w:pPr>
              </w:p>
              <w:p w:rsidR="00AD5BB5" w:rsidRDefault="00AD5BB5">
                <w:pPr>
                  <w:wordWrap w:val="0"/>
                  <w:jc w:val="right"/>
                  <w:rPr>
                    <w:rFonts w:ascii="Arial" w:eastAsia="黑体" w:hAnsi="Arial" w:cs="Arial"/>
                    <w:sz w:val="22"/>
                    <w:szCs w:val="22"/>
                  </w:rPr>
                </w:pPr>
              </w:p>
            </w:tc>
          </w:tr>
          <w:tr w:rsidR="00AD5BB5">
            <w:tc>
              <w:tcPr>
                <w:tcW w:w="5102" w:type="dxa"/>
                <w:noWrap/>
                <w:vAlign w:val="center"/>
              </w:tcPr>
              <w:p w:rsidR="00AD5BB5" w:rsidRDefault="00F87FF6">
                <w:pPr>
                  <w:wordWrap w:val="0"/>
                  <w:jc w:val="center"/>
                  <w:rPr>
                    <w:rFonts w:ascii="Arial" w:eastAsia="黑体" w:hAnsi="Arial" w:cs="Arial"/>
                    <w:sz w:val="22"/>
                    <w:szCs w:val="22"/>
                  </w:rPr>
                </w:pPr>
                <w:r>
                  <w:rPr>
                    <w:rFonts w:ascii="Arial" w:eastAsia="黑体" w:hAnsi="Arial" w:cs="Arial"/>
                    <w:sz w:val="22"/>
                    <w:szCs w:val="22"/>
                  </w:rPr>
                  <w:t>中国</w:t>
                </w:r>
                <w:r>
                  <w:rPr>
                    <w:rFonts w:ascii="Arial" w:eastAsia="黑体" w:hAnsi="Arial" w:cs="Arial" w:hint="eastAsia"/>
                    <w:sz w:val="22"/>
                    <w:szCs w:val="22"/>
                  </w:rPr>
                  <w:t xml:space="preserve"> </w:t>
                </w:r>
                <w:r>
                  <w:rPr>
                    <w:rFonts w:ascii="Arial" w:eastAsia="黑体" w:hAnsi="Arial" w:cs="Arial"/>
                    <w:sz w:val="22"/>
                    <w:szCs w:val="22"/>
                  </w:rPr>
                  <w:t xml:space="preserve"> </w:t>
                </w:r>
                <w:r>
                  <w:rPr>
                    <w:rFonts w:ascii="Arial" w:eastAsia="黑体" w:hAnsi="Arial" w:cs="Arial"/>
                    <w:sz w:val="22"/>
                    <w:szCs w:val="22"/>
                  </w:rPr>
                  <w:fldChar w:fldCharType="begin"/>
                </w:r>
                <w:r>
                  <w:rPr>
                    <w:rFonts w:ascii="Arial" w:eastAsia="黑体" w:hAnsi="Arial" w:cs="Arial"/>
                    <w:sz w:val="22"/>
                    <w:szCs w:val="22"/>
                  </w:rPr>
                  <w:instrText xml:space="preserve"> DOCPROPERTY Office</w:instrText>
                </w:r>
                <w:r>
                  <w:rPr>
                    <w:rFonts w:ascii="Arial" w:eastAsia="黑体" w:hAnsi="Arial" w:cs="Arial"/>
                    <w:sz w:val="22"/>
                    <w:szCs w:val="22"/>
                  </w:rPr>
                  <w:instrText>所在城市</w:instrText>
                </w:r>
                <w:r>
                  <w:rPr>
                    <w:rFonts w:ascii="Arial" w:eastAsia="黑体" w:hAnsi="Arial" w:cs="Arial"/>
                    <w:sz w:val="22"/>
                    <w:szCs w:val="22"/>
                  </w:rPr>
                  <w:instrText xml:space="preserve"> </w:instrText>
                </w:r>
                <w:r>
                  <w:rPr>
                    <w:rFonts w:ascii="Arial" w:eastAsia="黑体" w:hAnsi="Arial" w:cs="Arial"/>
                    <w:sz w:val="22"/>
                    <w:szCs w:val="22"/>
                  </w:rPr>
                  <w:fldChar w:fldCharType="separate"/>
                </w:r>
                <w:r>
                  <w:rPr>
                    <w:rFonts w:ascii="Arial" w:eastAsia="黑体" w:hAnsi="Arial" w:cs="Arial"/>
                    <w:sz w:val="22"/>
                    <w:szCs w:val="22"/>
                  </w:rPr>
                  <w:t>北京</w:t>
                </w:r>
                <w:r>
                  <w:rPr>
                    <w:rFonts w:ascii="Arial" w:eastAsia="黑体" w:hAnsi="Arial" w:cs="Arial"/>
                    <w:sz w:val="22"/>
                    <w:szCs w:val="22"/>
                  </w:rPr>
                  <w:fldChar w:fldCharType="end"/>
                </w:r>
              </w:p>
            </w:tc>
            <w:tc>
              <w:tcPr>
                <w:tcW w:w="3211" w:type="dxa"/>
                <w:noWrap/>
              </w:tcPr>
              <w:p w:rsidR="00AD5BB5" w:rsidRDefault="00F87FF6">
                <w:pPr>
                  <w:wordWrap w:val="0"/>
                  <w:jc w:val="right"/>
                  <w:rPr>
                    <w:rFonts w:ascii="Arial" w:eastAsia="黑体" w:hAnsi="Arial" w:cs="Arial"/>
                    <w:sz w:val="22"/>
                    <w:szCs w:val="22"/>
                  </w:rPr>
                </w:pPr>
                <w:r>
                  <w:rPr>
                    <w:rFonts w:ascii="Arial" w:eastAsia="黑体" w:hAnsi="Arial" w:cs="Arial"/>
                    <w:sz w:val="22"/>
                    <w:szCs w:val="22"/>
                  </w:rPr>
                  <w:fldChar w:fldCharType="begin"/>
                </w:r>
                <w:r>
                  <w:rPr>
                    <w:rFonts w:ascii="Arial" w:eastAsia="黑体" w:hAnsi="Arial" w:cs="Arial"/>
                    <w:sz w:val="22"/>
                    <w:szCs w:val="22"/>
                  </w:rPr>
                  <w:instrText xml:space="preserve"> DOCPROPERTY </w:instrText>
                </w:r>
                <w:r>
                  <w:rPr>
                    <w:rFonts w:ascii="Arial" w:eastAsia="黑体" w:hAnsi="Arial" w:cs="Arial"/>
                    <w:sz w:val="22"/>
                    <w:szCs w:val="22"/>
                  </w:rPr>
                  <w:instrText>报告日</w:instrText>
                </w:r>
                <w:r>
                  <w:rPr>
                    <w:rFonts w:ascii="Arial" w:eastAsia="黑体" w:hAnsi="Arial" w:cs="Arial"/>
                    <w:sz w:val="22"/>
                    <w:szCs w:val="22"/>
                  </w:rPr>
                  <w:instrText xml:space="preserve"> </w:instrText>
                </w:r>
                <w:r>
                  <w:rPr>
                    <w:rFonts w:ascii="Arial" w:eastAsia="黑体" w:hAnsi="Arial" w:cs="Arial"/>
                    <w:sz w:val="22"/>
                    <w:szCs w:val="22"/>
                  </w:rPr>
                  <w:fldChar w:fldCharType="separate"/>
                </w:r>
                <w:r>
                  <w:rPr>
                    <w:rFonts w:ascii="Arial" w:eastAsia="黑体" w:hAnsi="Arial" w:cs="Arial"/>
                    <w:sz w:val="22"/>
                    <w:szCs w:val="22"/>
                  </w:rPr>
                  <w:t>2023</w:t>
                </w:r>
                <w:r>
                  <w:rPr>
                    <w:rFonts w:ascii="Arial" w:eastAsia="黑体" w:hAnsi="Arial" w:cs="Arial"/>
                    <w:sz w:val="22"/>
                    <w:szCs w:val="22"/>
                  </w:rPr>
                  <w:t>年</w:t>
                </w:r>
                <w:r>
                  <w:rPr>
                    <w:rFonts w:ascii="Arial" w:eastAsia="黑体" w:hAnsi="Arial" w:cs="Arial"/>
                    <w:sz w:val="22"/>
                    <w:szCs w:val="22"/>
                  </w:rPr>
                  <w:t>8</w:t>
                </w:r>
                <w:r>
                  <w:rPr>
                    <w:rFonts w:ascii="Arial" w:eastAsia="黑体" w:hAnsi="Arial" w:cs="Arial"/>
                    <w:sz w:val="22"/>
                    <w:szCs w:val="22"/>
                  </w:rPr>
                  <w:t>月</w:t>
                </w:r>
                <w:r>
                  <w:rPr>
                    <w:rFonts w:ascii="Arial" w:eastAsia="黑体" w:hAnsi="Arial" w:cs="Arial"/>
                    <w:sz w:val="22"/>
                    <w:szCs w:val="22"/>
                  </w:rPr>
                  <w:t>28</w:t>
                </w:r>
                <w:r>
                  <w:rPr>
                    <w:rFonts w:ascii="Arial" w:eastAsia="黑体" w:hAnsi="Arial" w:cs="Arial"/>
                    <w:sz w:val="22"/>
                    <w:szCs w:val="22"/>
                  </w:rPr>
                  <w:t>日</w:t>
                </w:r>
                <w:r>
                  <w:rPr>
                    <w:rFonts w:ascii="Arial" w:eastAsia="黑体" w:hAnsi="Arial" w:cs="Arial"/>
                    <w:sz w:val="22"/>
                    <w:szCs w:val="22"/>
                  </w:rPr>
                  <w:fldChar w:fldCharType="end"/>
                </w:r>
              </w:p>
            </w:tc>
          </w:tr>
          <w:bookmarkEnd w:id="55"/>
        </w:tbl>
      </w:sdtContent>
    </w:sdt>
    <w:p w:rsidR="00AD5BB5" w:rsidRDefault="00AD5BB5">
      <w:pPr>
        <w:rPr>
          <w:rFonts w:ascii="Arial" w:eastAsia="黑体" w:hAnsi="Arial" w:cs="Arial"/>
          <w:sz w:val="22"/>
          <w:szCs w:val="22"/>
        </w:rPr>
      </w:pPr>
    </w:p>
    <w:p w:rsidR="00AD5BB5" w:rsidRDefault="00AD5BB5">
      <w:pPr>
        <w:overflowPunct w:val="0"/>
        <w:autoSpaceDE w:val="0"/>
        <w:autoSpaceDN w:val="0"/>
        <w:rPr>
          <w:rFonts w:ascii="Arial" w:eastAsia="黑体" w:hAnsi="Arial" w:cs="Arial"/>
          <w:sz w:val="22"/>
          <w:szCs w:val="22"/>
        </w:rPr>
      </w:pPr>
    </w:p>
    <w:p w:rsidR="00AD5BB5" w:rsidRDefault="00AD5BB5">
      <w:pPr>
        <w:overflowPunct w:val="0"/>
        <w:autoSpaceDE w:val="0"/>
        <w:autoSpaceDN w:val="0"/>
        <w:rPr>
          <w:rFonts w:ascii="Arial" w:eastAsia="黑体" w:hAnsi="Arial" w:cs="Arial"/>
          <w:sz w:val="22"/>
          <w:szCs w:val="22"/>
        </w:rPr>
      </w:pPr>
    </w:p>
    <w:p w:rsidR="00AD5BB5" w:rsidRDefault="00AD5BB5">
      <w:pPr>
        <w:overflowPunct w:val="0"/>
        <w:autoSpaceDE w:val="0"/>
        <w:autoSpaceDN w:val="0"/>
        <w:rPr>
          <w:rFonts w:ascii="Arial" w:eastAsia="黑体" w:hAnsi="Arial" w:cs="Arial"/>
          <w:sz w:val="22"/>
          <w:szCs w:val="22"/>
        </w:rPr>
        <w:sectPr w:rsidR="00AD5BB5">
          <w:headerReference w:type="default" r:id="rId14"/>
          <w:footerReference w:type="default" r:id="rId15"/>
          <w:footerReference w:type="first" r:id="rId16"/>
          <w:pgSz w:w="11907" w:h="16840"/>
          <w:pgMar w:top="1440" w:right="1797" w:bottom="1440" w:left="1797" w:header="720" w:footer="720" w:gutter="0"/>
          <w:pgNumType w:start="1"/>
          <w:cols w:space="720"/>
          <w:docGrid w:linePitch="360"/>
        </w:sectPr>
      </w:pPr>
    </w:p>
    <w:p w:rsidR="00AD5BB5" w:rsidRDefault="00AD5BB5">
      <w:pPr>
        <w:overflowPunct w:val="0"/>
        <w:autoSpaceDE w:val="0"/>
        <w:autoSpaceDN w:val="0"/>
        <w:rPr>
          <w:rFonts w:ascii="Arial" w:eastAsia="黑体" w:hAnsi="Arial" w:cs="Arial"/>
          <w:sz w:val="22"/>
          <w:szCs w:val="22"/>
        </w:rPr>
      </w:pPr>
      <w:bookmarkStart w:id="56" w:name="afsaddin_Section_f991fc44e08e4c8fa123aa9"/>
    </w:p>
    <w:bookmarkEnd w:id="56"/>
    <w:p w:rsidR="00AD5BB5" w:rsidRDefault="00AD5BB5">
      <w:pPr>
        <w:overflowPunct w:val="0"/>
        <w:autoSpaceDE w:val="0"/>
        <w:autoSpaceDN w:val="0"/>
        <w:rPr>
          <w:rFonts w:ascii="Arial" w:eastAsia="黑体" w:hAnsi="Arial" w:cs="Arial"/>
          <w:sz w:val="22"/>
          <w:szCs w:val="22"/>
        </w:rPr>
      </w:pPr>
    </w:p>
    <w:tbl>
      <w:tblPr>
        <w:tblW w:w="0" w:type="auto"/>
        <w:tblLayout w:type="fixed"/>
        <w:tblCellMar>
          <w:left w:w="0" w:type="dxa"/>
          <w:right w:w="0" w:type="dxa"/>
        </w:tblCellMar>
        <w:tblLook w:val="04A0" w:firstRow="1" w:lastRow="0" w:firstColumn="1" w:lastColumn="0" w:noHBand="0" w:noVBand="1"/>
        <w:tblCaption w:val="8ce60336-9410-4f2b-97b4-1719196d4846"/>
        <w:tblDescription w:val="{&quot;UUID&quot;:&quot;afsaddin_tabledata_2_56437_8ce60336-9410-4f2b-97b4-1719196d4846&quot;,&quot;TitleRowCount&quot;:2,&quot;SplitedTable&quot;:false,&quot;FirstTableId&quot;:&quot;8ce60336-9410-4f2b-97b4-1719196d4846&quot;}"/>
      </w:tblPr>
      <w:tblGrid>
        <w:gridCol w:w="3236"/>
        <w:gridCol w:w="688"/>
        <w:gridCol w:w="110"/>
        <w:gridCol w:w="2031"/>
        <w:gridCol w:w="110"/>
        <w:gridCol w:w="110"/>
        <w:gridCol w:w="2031"/>
        <w:gridCol w:w="110"/>
      </w:tblGrid>
      <w:tr w:rsidR="00AD5BB5">
        <w:tc>
          <w:tcPr>
            <w:tcW w:w="3236" w:type="dxa"/>
            <w:tcBorders>
              <w:top w:val="nil"/>
              <w:left w:val="nil"/>
              <w:bottom w:val="nil"/>
              <w:right w:val="nil"/>
            </w:tcBorders>
            <w:vAlign w:val="bottom"/>
          </w:tcPr>
          <w:p w:rsidR="00AD5BB5" w:rsidRDefault="00F87FF6">
            <w:pPr>
              <w:autoSpaceDE w:val="0"/>
              <w:autoSpaceDN w:val="0"/>
              <w:ind w:left="201" w:hangingChars="100" w:hanging="201"/>
              <w:rPr>
                <w:rFonts w:ascii="Arial" w:eastAsia="黑体" w:hAnsi="Arial" w:cs="Arial"/>
                <w:b/>
                <w:bCs/>
                <w:sz w:val="20"/>
                <w:u w:val="single"/>
              </w:rPr>
            </w:pPr>
            <w:r>
              <w:rPr>
                <w:rFonts w:ascii="Arial" w:eastAsia="黑体" w:hAnsi="Arial" w:cs="Arial"/>
                <w:b/>
                <w:bCs/>
                <w:sz w:val="20"/>
                <w:u w:val="single"/>
              </w:rPr>
              <w:t>资产</w:t>
            </w:r>
          </w:p>
        </w:tc>
        <w:tc>
          <w:tcPr>
            <w:tcW w:w="688" w:type="dxa"/>
            <w:tcBorders>
              <w:top w:val="nil"/>
              <w:left w:val="nil"/>
              <w:bottom w:val="nil"/>
              <w:right w:val="nil"/>
            </w:tcBorders>
            <w:vAlign w:val="bottom"/>
          </w:tcPr>
          <w:p w:rsidR="00AD5BB5" w:rsidRDefault="00F87FF6">
            <w:pPr>
              <w:autoSpaceDE w:val="0"/>
              <w:autoSpaceDN w:val="0"/>
              <w:jc w:val="center"/>
              <w:rPr>
                <w:rFonts w:ascii="Arial" w:eastAsia="黑体" w:hAnsi="Arial" w:cs="Arial"/>
                <w:b/>
                <w:bCs/>
                <w:sz w:val="20"/>
                <w:u w:val="single"/>
              </w:rPr>
            </w:pPr>
            <w:r>
              <w:rPr>
                <w:rFonts w:ascii="Arial" w:eastAsia="黑体" w:hAnsi="Arial" w:cs="Arial"/>
                <w:b/>
                <w:bCs/>
                <w:sz w:val="20"/>
                <w:u w:val="single"/>
              </w:rPr>
              <w:t>附注五</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2031"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u w:val="single"/>
              </w:rPr>
              <w:fldChar w:fldCharType="begin"/>
            </w:r>
            <w:r>
              <w:rPr>
                <w:rFonts w:ascii="Arial" w:eastAsia="黑体" w:hAnsi="Arial" w:cs="Arial"/>
                <w:b/>
                <w:bCs/>
                <w:sz w:val="20"/>
                <w:u w:val="single"/>
              </w:rPr>
              <w:instrText xml:space="preserve"> DOCPROPERTY </w:instrText>
            </w:r>
            <w:r>
              <w:rPr>
                <w:rFonts w:ascii="Arial" w:eastAsia="黑体" w:hAnsi="Arial" w:cs="Arial"/>
                <w:b/>
                <w:bCs/>
                <w:sz w:val="20"/>
                <w:u w:val="single"/>
              </w:rPr>
              <w:instrText>当期资产负债表日</w:instrText>
            </w:r>
            <w:r>
              <w:rPr>
                <w:rFonts w:ascii="Arial" w:eastAsia="黑体" w:hAnsi="Arial" w:cs="Arial"/>
                <w:b/>
                <w:bCs/>
                <w:sz w:val="20"/>
                <w:u w:val="single"/>
              </w:rPr>
              <w:instrText xml:space="preserve"> </w:instrText>
            </w:r>
            <w:r>
              <w:rPr>
                <w:rFonts w:ascii="Arial" w:eastAsia="黑体" w:hAnsi="Arial" w:cs="Arial"/>
                <w:b/>
                <w:bCs/>
                <w:sz w:val="20"/>
                <w:u w:val="single"/>
              </w:rPr>
              <w:fldChar w:fldCharType="separate"/>
            </w:r>
            <w:r>
              <w:rPr>
                <w:rFonts w:ascii="Arial" w:eastAsia="黑体" w:hAnsi="Arial" w:cs="Arial"/>
                <w:b/>
                <w:bCs/>
                <w:sz w:val="20"/>
                <w:u w:val="single"/>
              </w:rPr>
              <w:t>2023</w:t>
            </w:r>
            <w:r>
              <w:rPr>
                <w:rFonts w:ascii="Arial" w:eastAsia="黑体" w:hAnsi="Arial" w:cs="Arial"/>
                <w:b/>
                <w:bCs/>
                <w:sz w:val="20"/>
                <w:u w:val="single"/>
              </w:rPr>
              <w:t>年</w:t>
            </w:r>
            <w:r>
              <w:rPr>
                <w:rFonts w:ascii="Arial" w:eastAsia="黑体" w:hAnsi="Arial" w:cs="Arial"/>
                <w:b/>
                <w:bCs/>
                <w:sz w:val="20"/>
                <w:u w:val="single"/>
              </w:rPr>
              <w:t>6</w:t>
            </w:r>
            <w:r>
              <w:rPr>
                <w:rFonts w:ascii="Arial" w:eastAsia="黑体" w:hAnsi="Arial" w:cs="Arial"/>
                <w:b/>
                <w:bCs/>
                <w:sz w:val="20"/>
                <w:u w:val="single"/>
              </w:rPr>
              <w:t>月</w:t>
            </w:r>
            <w:r>
              <w:rPr>
                <w:rFonts w:ascii="Arial" w:eastAsia="黑体" w:hAnsi="Arial" w:cs="Arial"/>
                <w:b/>
                <w:bCs/>
                <w:sz w:val="20"/>
                <w:u w:val="single"/>
              </w:rPr>
              <w:t>30</w:t>
            </w:r>
            <w:r>
              <w:rPr>
                <w:rFonts w:ascii="Arial" w:eastAsia="黑体" w:hAnsi="Arial" w:cs="Arial"/>
                <w:b/>
                <w:bCs/>
                <w:sz w:val="20"/>
                <w:u w:val="single"/>
              </w:rPr>
              <w:t>日</w:t>
            </w:r>
            <w:r>
              <w:rPr>
                <w:rFonts w:ascii="Arial" w:eastAsia="黑体" w:hAnsi="Arial" w:cs="Arial"/>
                <w:b/>
                <w:bCs/>
                <w:sz w:val="20"/>
                <w:u w:val="single"/>
              </w:rPr>
              <w:fldChar w:fldCharType="end"/>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2031"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u w:val="single"/>
              </w:rPr>
              <w:fldChar w:fldCharType="begin"/>
            </w:r>
            <w:r>
              <w:rPr>
                <w:rFonts w:ascii="Arial" w:eastAsia="黑体" w:hAnsi="Arial" w:cs="Arial"/>
                <w:b/>
                <w:bCs/>
                <w:sz w:val="20"/>
                <w:u w:val="single"/>
              </w:rPr>
              <w:instrText xml:space="preserve"> DOCPROPERTY </w:instrText>
            </w:r>
            <w:r>
              <w:rPr>
                <w:rFonts w:ascii="Arial" w:eastAsia="黑体" w:hAnsi="Arial" w:cs="Arial"/>
                <w:b/>
                <w:bCs/>
                <w:sz w:val="20"/>
                <w:u w:val="single"/>
              </w:rPr>
              <w:instrText>上期资产负债表日</w:instrText>
            </w:r>
            <w:r>
              <w:rPr>
                <w:rFonts w:ascii="Arial" w:eastAsia="黑体" w:hAnsi="Arial" w:cs="Arial"/>
                <w:b/>
                <w:bCs/>
                <w:sz w:val="20"/>
                <w:u w:val="single"/>
              </w:rPr>
              <w:instrText xml:space="preserve"> </w:instrText>
            </w:r>
            <w:r>
              <w:rPr>
                <w:rFonts w:ascii="Arial" w:eastAsia="黑体" w:hAnsi="Arial" w:cs="Arial"/>
                <w:b/>
                <w:bCs/>
                <w:sz w:val="20"/>
                <w:u w:val="single"/>
              </w:rPr>
              <w:fldChar w:fldCharType="separate"/>
            </w:r>
            <w:r>
              <w:rPr>
                <w:rFonts w:ascii="Arial" w:eastAsia="黑体" w:hAnsi="Arial" w:cs="Arial"/>
                <w:b/>
                <w:bCs/>
                <w:sz w:val="20"/>
                <w:u w:val="single"/>
              </w:rPr>
              <w:t>2022</w:t>
            </w:r>
            <w:r>
              <w:rPr>
                <w:rFonts w:ascii="Arial" w:eastAsia="黑体" w:hAnsi="Arial" w:cs="Arial"/>
                <w:b/>
                <w:bCs/>
                <w:sz w:val="20"/>
                <w:u w:val="single"/>
              </w:rPr>
              <w:t>年</w:t>
            </w:r>
            <w:r>
              <w:rPr>
                <w:rFonts w:ascii="Arial" w:eastAsia="黑体" w:hAnsi="Arial" w:cs="Arial"/>
                <w:b/>
                <w:bCs/>
                <w:sz w:val="20"/>
                <w:u w:val="single"/>
              </w:rPr>
              <w:t>12</w:t>
            </w:r>
            <w:r>
              <w:rPr>
                <w:rFonts w:ascii="Arial" w:eastAsia="黑体" w:hAnsi="Arial" w:cs="Arial"/>
                <w:b/>
                <w:bCs/>
                <w:sz w:val="20"/>
                <w:u w:val="single"/>
              </w:rPr>
              <w:t>月</w:t>
            </w:r>
            <w:r>
              <w:rPr>
                <w:rFonts w:ascii="Arial" w:eastAsia="黑体" w:hAnsi="Arial" w:cs="Arial"/>
                <w:b/>
                <w:bCs/>
                <w:sz w:val="20"/>
                <w:u w:val="single"/>
              </w:rPr>
              <w:t>31</w:t>
            </w:r>
            <w:r>
              <w:rPr>
                <w:rFonts w:ascii="Arial" w:eastAsia="黑体" w:hAnsi="Arial" w:cs="Arial"/>
                <w:b/>
                <w:bCs/>
                <w:sz w:val="20"/>
                <w:u w:val="single"/>
              </w:rPr>
              <w:t>日</w:t>
            </w:r>
            <w:r>
              <w:rPr>
                <w:rFonts w:ascii="Arial" w:eastAsia="黑体" w:hAnsi="Arial" w:cs="Arial"/>
                <w:b/>
                <w:bCs/>
                <w:sz w:val="20"/>
                <w:u w:val="single"/>
              </w:rPr>
              <w:fldChar w:fldCharType="end"/>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688"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Chars="100" w:left="410" w:hangingChars="100" w:hanging="200"/>
              <w:rPr>
                <w:rFonts w:ascii="Arial" w:eastAsia="黑体" w:hAnsi="Arial" w:cs="Arial"/>
                <w:sz w:val="20"/>
              </w:rPr>
            </w:pPr>
            <w:r>
              <w:rPr>
                <w:rFonts w:ascii="Arial" w:eastAsia="黑体" w:hAnsi="Arial" w:cs="Arial"/>
                <w:sz w:val="20"/>
              </w:rPr>
              <w:t>现金及存放中央银行款项</w:t>
            </w:r>
          </w:p>
        </w:tc>
        <w:tc>
          <w:tcPr>
            <w:tcW w:w="688"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hint="eastAsia"/>
                <w:sz w:val="20"/>
              </w:rPr>
              <w:t>1</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21,536,485,410.92</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ind w:rightChars="5" w:right="10"/>
              <w:jc w:val="right"/>
              <w:rPr>
                <w:rFonts w:ascii="Arial" w:eastAsia="黑体" w:hAnsi="Arial" w:cs="Arial"/>
                <w:sz w:val="20"/>
              </w:rPr>
            </w:pPr>
            <w:r>
              <w:rPr>
                <w:rFonts w:ascii="Arial" w:eastAsia="黑体" w:hAnsi="Arial" w:cs="Arial"/>
                <w:sz w:val="20"/>
              </w:rPr>
              <w:t>29,808,457,951.28</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Chars="100" w:left="410" w:hangingChars="100" w:hanging="200"/>
              <w:rPr>
                <w:rFonts w:ascii="Arial" w:eastAsia="黑体" w:hAnsi="Arial" w:cs="Arial"/>
                <w:sz w:val="20"/>
              </w:rPr>
            </w:pPr>
            <w:r>
              <w:rPr>
                <w:rFonts w:ascii="Arial" w:eastAsia="黑体" w:hAnsi="Arial" w:cs="Arial"/>
                <w:sz w:val="20"/>
              </w:rPr>
              <w:t>存放同业及其他金融机构款项</w:t>
            </w:r>
          </w:p>
        </w:tc>
        <w:tc>
          <w:tcPr>
            <w:tcW w:w="688"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hint="eastAsia"/>
                <w:sz w:val="20"/>
              </w:rPr>
              <w:t>2</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6,444,699,119.52</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ind w:rightChars="5" w:right="10"/>
              <w:jc w:val="right"/>
              <w:rPr>
                <w:rFonts w:ascii="Arial" w:eastAsia="黑体" w:hAnsi="Arial" w:cs="Arial"/>
                <w:sz w:val="20"/>
              </w:rPr>
            </w:pPr>
            <w:r>
              <w:rPr>
                <w:rFonts w:ascii="Arial" w:eastAsia="黑体" w:hAnsi="Arial" w:cs="Arial"/>
                <w:sz w:val="20"/>
              </w:rPr>
              <w:t>10,107,660,595.11</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Chars="100" w:left="410" w:hangingChars="100" w:hanging="200"/>
              <w:rPr>
                <w:rFonts w:ascii="Arial" w:eastAsia="黑体" w:hAnsi="Arial" w:cs="Arial"/>
                <w:sz w:val="20"/>
              </w:rPr>
            </w:pPr>
            <w:r>
              <w:rPr>
                <w:rFonts w:ascii="Arial" w:eastAsia="黑体" w:hAnsi="Arial" w:cs="Arial"/>
                <w:sz w:val="20"/>
              </w:rPr>
              <w:t>拆出资金</w:t>
            </w:r>
          </w:p>
        </w:tc>
        <w:tc>
          <w:tcPr>
            <w:tcW w:w="688"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hint="eastAsia"/>
                <w:sz w:val="20"/>
              </w:rPr>
              <w:t>3</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17,675,663,248.86</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ind w:rightChars="5" w:right="10"/>
              <w:jc w:val="right"/>
              <w:rPr>
                <w:rFonts w:ascii="Arial" w:eastAsia="黑体" w:hAnsi="Arial" w:cs="Arial"/>
                <w:sz w:val="20"/>
              </w:rPr>
            </w:pPr>
            <w:r>
              <w:rPr>
                <w:rFonts w:ascii="Arial" w:eastAsia="黑体" w:hAnsi="Arial" w:cs="Arial"/>
                <w:sz w:val="20"/>
              </w:rPr>
              <w:t>13,869,536,648.33</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Chars="100" w:left="410" w:hangingChars="100" w:hanging="200"/>
              <w:rPr>
                <w:rFonts w:ascii="Arial" w:eastAsia="黑体" w:hAnsi="Arial" w:cs="Arial"/>
                <w:sz w:val="20"/>
              </w:rPr>
            </w:pPr>
            <w:r>
              <w:rPr>
                <w:rFonts w:ascii="Arial" w:eastAsia="黑体" w:hAnsi="Arial" w:cs="Arial"/>
                <w:sz w:val="20"/>
              </w:rPr>
              <w:t>衍生金融资产</w:t>
            </w:r>
          </w:p>
        </w:tc>
        <w:tc>
          <w:tcPr>
            <w:tcW w:w="688"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hint="eastAsia"/>
                <w:sz w:val="20"/>
              </w:rPr>
              <w:t>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1,831,245,164.76</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ind w:rightChars="5" w:right="10"/>
              <w:jc w:val="right"/>
              <w:rPr>
                <w:rFonts w:ascii="Arial" w:eastAsia="黑体" w:hAnsi="Arial" w:cs="Arial"/>
                <w:sz w:val="20"/>
              </w:rPr>
            </w:pPr>
            <w:r>
              <w:rPr>
                <w:rFonts w:ascii="Arial" w:eastAsia="黑体" w:hAnsi="Arial" w:cs="Arial"/>
                <w:sz w:val="20"/>
              </w:rPr>
              <w:t>2,071,731,603.84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Chars="100" w:left="410" w:hangingChars="100" w:hanging="200"/>
              <w:rPr>
                <w:rFonts w:ascii="Arial" w:eastAsia="黑体" w:hAnsi="Arial" w:cs="Arial"/>
                <w:sz w:val="20"/>
              </w:rPr>
            </w:pPr>
            <w:r>
              <w:rPr>
                <w:rFonts w:ascii="Arial" w:eastAsia="黑体" w:hAnsi="Arial" w:cs="Arial"/>
                <w:sz w:val="20"/>
              </w:rPr>
              <w:t>买入返售金融资产</w:t>
            </w:r>
          </w:p>
        </w:tc>
        <w:tc>
          <w:tcPr>
            <w:tcW w:w="688"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hint="eastAsia"/>
                <w:sz w:val="20"/>
              </w:rPr>
              <w:t>5</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1,712,499,474.63</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ind w:rightChars="5" w:right="10"/>
              <w:jc w:val="right"/>
              <w:rPr>
                <w:rFonts w:ascii="Arial" w:eastAsia="黑体" w:hAnsi="Arial" w:cs="Arial"/>
                <w:sz w:val="20"/>
              </w:rPr>
            </w:pPr>
            <w:r>
              <w:rPr>
                <w:rFonts w:ascii="Arial" w:eastAsia="黑体" w:hAnsi="Arial" w:cs="Arial"/>
                <w:sz w:val="20"/>
              </w:rPr>
              <w:t>16,079,751,316.94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Chars="100" w:left="410" w:hangingChars="100" w:hanging="200"/>
              <w:rPr>
                <w:rFonts w:ascii="Arial" w:eastAsia="黑体" w:hAnsi="Arial" w:cs="Arial"/>
                <w:sz w:val="20"/>
              </w:rPr>
            </w:pPr>
            <w:r>
              <w:rPr>
                <w:rFonts w:ascii="Arial" w:eastAsia="黑体" w:hAnsi="Arial" w:cs="Arial"/>
                <w:sz w:val="20"/>
              </w:rPr>
              <w:t>发放贷款及垫款</w:t>
            </w:r>
          </w:p>
        </w:tc>
        <w:tc>
          <w:tcPr>
            <w:tcW w:w="688"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hint="eastAsia"/>
                <w:sz w:val="20"/>
              </w:rPr>
              <w:t>6</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195,295,223,972.61</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ind w:rightChars="5" w:right="10"/>
              <w:jc w:val="right"/>
              <w:rPr>
                <w:rFonts w:ascii="Arial" w:eastAsia="黑体" w:hAnsi="Arial" w:cs="Arial"/>
                <w:sz w:val="20"/>
              </w:rPr>
            </w:pPr>
            <w:r>
              <w:rPr>
                <w:rFonts w:ascii="Arial" w:eastAsia="黑体" w:hAnsi="Arial" w:cs="Arial"/>
                <w:sz w:val="20"/>
              </w:rPr>
              <w:t>194,155,097,541.24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Chars="100" w:left="410" w:hangingChars="100" w:hanging="200"/>
              <w:rPr>
                <w:rFonts w:ascii="Arial" w:eastAsia="黑体" w:hAnsi="Arial" w:cs="Arial"/>
                <w:sz w:val="20"/>
              </w:rPr>
            </w:pPr>
            <w:r>
              <w:rPr>
                <w:rFonts w:ascii="Arial" w:eastAsia="黑体" w:hAnsi="Arial" w:cs="Arial"/>
                <w:sz w:val="20"/>
              </w:rPr>
              <w:t>金融投资</w:t>
            </w:r>
          </w:p>
        </w:tc>
        <w:tc>
          <w:tcPr>
            <w:tcW w:w="688"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AD5BB5">
            <w:pPr>
              <w:autoSpaceDE w:val="0"/>
              <w:autoSpaceDN w:val="0"/>
              <w:ind w:rightChars="5" w:right="1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Chars="194" w:left="607" w:hangingChars="100" w:hanging="200"/>
              <w:rPr>
                <w:rFonts w:ascii="Arial" w:eastAsia="黑体" w:hAnsi="Arial" w:cs="Arial"/>
                <w:sz w:val="20"/>
              </w:rPr>
            </w:pPr>
            <w:proofErr w:type="gramStart"/>
            <w:r>
              <w:rPr>
                <w:rFonts w:ascii="Arial" w:eastAsia="黑体" w:hAnsi="Arial" w:cs="Arial"/>
                <w:sz w:val="20"/>
              </w:rPr>
              <w:t>—</w:t>
            </w:r>
            <w:r>
              <w:rPr>
                <w:rFonts w:ascii="Arial" w:eastAsia="黑体" w:hAnsi="Arial" w:cs="Arial"/>
                <w:sz w:val="20"/>
              </w:rPr>
              <w:t>交易</w:t>
            </w:r>
            <w:proofErr w:type="gramEnd"/>
            <w:r>
              <w:rPr>
                <w:rFonts w:ascii="Arial" w:eastAsia="黑体" w:hAnsi="Arial" w:cs="Arial"/>
                <w:sz w:val="20"/>
              </w:rPr>
              <w:t>性金融资产</w:t>
            </w:r>
          </w:p>
        </w:tc>
        <w:tc>
          <w:tcPr>
            <w:tcW w:w="688"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hint="eastAsia"/>
                <w:sz w:val="20"/>
              </w:rPr>
              <w:t>7</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14,516,923,304.31</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ind w:rightChars="5" w:right="10"/>
              <w:jc w:val="right"/>
              <w:rPr>
                <w:rFonts w:ascii="Arial" w:eastAsia="黑体" w:hAnsi="Arial" w:cs="Arial"/>
                <w:sz w:val="20"/>
              </w:rPr>
            </w:pPr>
            <w:r>
              <w:rPr>
                <w:rFonts w:ascii="Arial" w:eastAsia="黑体" w:hAnsi="Arial" w:cs="Arial"/>
                <w:sz w:val="20"/>
              </w:rPr>
              <w:t>15,749,732,446.14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Chars="194" w:left="607" w:hangingChars="100" w:hanging="200"/>
              <w:rPr>
                <w:rFonts w:ascii="Arial" w:eastAsia="黑体" w:hAnsi="Arial" w:cs="Arial"/>
                <w:sz w:val="20"/>
              </w:rPr>
            </w:pPr>
            <w:r>
              <w:rPr>
                <w:rFonts w:ascii="Arial" w:eastAsia="黑体" w:hAnsi="Arial" w:cs="Arial"/>
                <w:sz w:val="20"/>
              </w:rPr>
              <w:t>—</w:t>
            </w:r>
            <w:r>
              <w:rPr>
                <w:rFonts w:ascii="Arial" w:eastAsia="黑体" w:hAnsi="Arial" w:cs="Arial"/>
                <w:sz w:val="20"/>
              </w:rPr>
              <w:t>债权投资</w:t>
            </w:r>
          </w:p>
        </w:tc>
        <w:tc>
          <w:tcPr>
            <w:tcW w:w="688"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hint="eastAsia"/>
                <w:sz w:val="20"/>
              </w:rPr>
              <w:t>8</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49,917,651,439.32</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ind w:rightChars="5" w:right="10"/>
              <w:jc w:val="right"/>
              <w:rPr>
                <w:rFonts w:ascii="Arial" w:eastAsia="黑体" w:hAnsi="Arial" w:cs="Arial"/>
                <w:sz w:val="20"/>
              </w:rPr>
            </w:pPr>
            <w:r>
              <w:rPr>
                <w:rFonts w:ascii="Arial" w:eastAsia="黑体" w:hAnsi="Arial" w:cs="Arial"/>
                <w:sz w:val="20"/>
              </w:rPr>
              <w:t>45,044,163,133.19</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Chars="194" w:left="607" w:hangingChars="100" w:hanging="200"/>
              <w:rPr>
                <w:rFonts w:ascii="Arial" w:eastAsia="黑体" w:hAnsi="Arial" w:cs="Arial"/>
                <w:sz w:val="20"/>
              </w:rPr>
            </w:pPr>
            <w:proofErr w:type="gramStart"/>
            <w:r>
              <w:rPr>
                <w:rFonts w:ascii="Arial" w:eastAsia="黑体" w:hAnsi="Arial" w:cs="Arial"/>
                <w:sz w:val="20"/>
              </w:rPr>
              <w:t>—</w:t>
            </w:r>
            <w:r>
              <w:rPr>
                <w:rFonts w:ascii="Arial" w:eastAsia="黑体" w:hAnsi="Arial" w:cs="Arial"/>
                <w:sz w:val="20"/>
              </w:rPr>
              <w:t>其他</w:t>
            </w:r>
            <w:proofErr w:type="gramEnd"/>
            <w:r>
              <w:rPr>
                <w:rFonts w:ascii="Arial" w:eastAsia="黑体" w:hAnsi="Arial" w:cs="Arial"/>
                <w:sz w:val="20"/>
              </w:rPr>
              <w:t>债权投资</w:t>
            </w:r>
          </w:p>
        </w:tc>
        <w:tc>
          <w:tcPr>
            <w:tcW w:w="688"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hint="eastAsia"/>
                <w:sz w:val="20"/>
              </w:rPr>
              <w:t>9</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38,698,026,779.20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ind w:rightChars="5" w:right="10"/>
              <w:jc w:val="right"/>
              <w:rPr>
                <w:rFonts w:ascii="Arial" w:eastAsia="黑体" w:hAnsi="Arial" w:cs="Arial"/>
                <w:sz w:val="20"/>
              </w:rPr>
            </w:pPr>
            <w:r>
              <w:rPr>
                <w:rFonts w:ascii="Arial" w:eastAsia="黑体" w:hAnsi="Arial" w:cs="Arial"/>
                <w:sz w:val="20"/>
              </w:rPr>
              <w:t>39,299,346,153.82</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Chars="194" w:left="607" w:hangingChars="100" w:hanging="200"/>
              <w:rPr>
                <w:rFonts w:ascii="Arial" w:eastAsia="黑体" w:hAnsi="Arial" w:cs="Arial"/>
                <w:sz w:val="20"/>
              </w:rPr>
            </w:pPr>
            <w:proofErr w:type="gramStart"/>
            <w:r>
              <w:rPr>
                <w:rFonts w:ascii="Arial" w:eastAsia="黑体" w:hAnsi="Arial" w:cs="Arial"/>
                <w:sz w:val="20"/>
              </w:rPr>
              <w:t>—</w:t>
            </w:r>
            <w:r>
              <w:rPr>
                <w:rFonts w:ascii="Arial" w:eastAsia="黑体" w:hAnsi="Arial" w:cs="Arial"/>
                <w:sz w:val="20"/>
              </w:rPr>
              <w:t>其他</w:t>
            </w:r>
            <w:proofErr w:type="gramEnd"/>
            <w:r>
              <w:rPr>
                <w:rFonts w:ascii="Arial" w:eastAsia="黑体" w:hAnsi="Arial" w:cs="Arial"/>
                <w:sz w:val="20"/>
              </w:rPr>
              <w:t>权益工具投资</w:t>
            </w:r>
          </w:p>
        </w:tc>
        <w:tc>
          <w:tcPr>
            <w:tcW w:w="688"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hint="eastAsia"/>
                <w:sz w:val="20"/>
              </w:rPr>
              <w:t>1</w:t>
            </w:r>
            <w:r>
              <w:rPr>
                <w:rFonts w:ascii="Arial" w:eastAsia="黑体" w:hAnsi="Arial" w:cs="Arial"/>
                <w:sz w:val="20"/>
              </w:rPr>
              <w:t>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96,061,014.21</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ind w:rightChars="5" w:right="10"/>
              <w:jc w:val="right"/>
              <w:rPr>
                <w:rFonts w:ascii="Arial" w:eastAsia="黑体" w:hAnsi="Arial" w:cs="Arial"/>
                <w:sz w:val="20"/>
              </w:rPr>
            </w:pPr>
            <w:r>
              <w:rPr>
                <w:rFonts w:ascii="Arial" w:eastAsia="黑体" w:hAnsi="Arial" w:cs="Arial"/>
                <w:sz w:val="20"/>
              </w:rPr>
              <w:t>77,287,780.74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Chars="100" w:left="410" w:hangingChars="100" w:hanging="200"/>
              <w:rPr>
                <w:rFonts w:ascii="Arial" w:eastAsia="黑体" w:hAnsi="Arial" w:cs="Arial"/>
                <w:sz w:val="20"/>
              </w:rPr>
            </w:pPr>
            <w:r>
              <w:rPr>
                <w:rFonts w:ascii="Arial" w:eastAsia="黑体" w:hAnsi="Arial" w:cs="Arial"/>
                <w:sz w:val="20"/>
              </w:rPr>
              <w:t>投资性房地产</w:t>
            </w:r>
          </w:p>
        </w:tc>
        <w:tc>
          <w:tcPr>
            <w:tcW w:w="688"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sz w:val="20"/>
              </w:rPr>
              <w:t>11</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2,328,259.99</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ind w:rightChars="5" w:right="10"/>
              <w:jc w:val="right"/>
              <w:rPr>
                <w:rFonts w:ascii="Arial" w:eastAsia="黑体" w:hAnsi="Arial" w:cs="Arial"/>
                <w:sz w:val="20"/>
              </w:rPr>
            </w:pPr>
            <w:r>
              <w:rPr>
                <w:rFonts w:ascii="Arial" w:eastAsia="黑体" w:hAnsi="Arial" w:cs="Arial"/>
                <w:sz w:val="20"/>
              </w:rPr>
              <w:t>2,567,042.86</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Chars="100" w:left="410" w:hangingChars="100" w:hanging="200"/>
              <w:rPr>
                <w:rFonts w:ascii="Arial" w:eastAsia="黑体" w:hAnsi="Arial" w:cs="Arial"/>
                <w:sz w:val="20"/>
              </w:rPr>
            </w:pPr>
            <w:r>
              <w:rPr>
                <w:rFonts w:ascii="Arial" w:eastAsia="黑体" w:hAnsi="Arial" w:cs="Arial"/>
                <w:sz w:val="20"/>
              </w:rPr>
              <w:t>固定资产</w:t>
            </w:r>
          </w:p>
        </w:tc>
        <w:tc>
          <w:tcPr>
            <w:tcW w:w="688"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sz w:val="20"/>
              </w:rPr>
              <w:t>12</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779,871,416.24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ind w:rightChars="5" w:right="10"/>
              <w:jc w:val="right"/>
              <w:rPr>
                <w:rFonts w:ascii="Arial" w:eastAsia="黑体" w:hAnsi="Arial" w:cs="Arial"/>
                <w:sz w:val="20"/>
              </w:rPr>
            </w:pPr>
            <w:r>
              <w:rPr>
                <w:rFonts w:ascii="Arial" w:eastAsia="黑体" w:hAnsi="Arial" w:cs="Arial"/>
                <w:sz w:val="20"/>
              </w:rPr>
              <w:t>801,970,417.24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Chars="100" w:left="410" w:hangingChars="100" w:hanging="200"/>
              <w:rPr>
                <w:rFonts w:ascii="Arial" w:eastAsia="黑体" w:hAnsi="Arial" w:cs="Arial"/>
                <w:sz w:val="20"/>
              </w:rPr>
            </w:pPr>
            <w:r>
              <w:rPr>
                <w:rFonts w:ascii="Arial" w:eastAsia="黑体" w:hAnsi="Arial" w:cs="Arial"/>
                <w:sz w:val="20"/>
              </w:rPr>
              <w:t>在建工程</w:t>
            </w:r>
          </w:p>
        </w:tc>
        <w:tc>
          <w:tcPr>
            <w:tcW w:w="688"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sz w:val="20"/>
              </w:rPr>
              <w:t>13</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249,269,091.96</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ind w:rightChars="5" w:right="10"/>
              <w:jc w:val="right"/>
              <w:rPr>
                <w:rFonts w:ascii="Arial" w:eastAsia="黑体" w:hAnsi="Arial" w:cs="Arial"/>
                <w:sz w:val="20"/>
              </w:rPr>
            </w:pPr>
            <w:r>
              <w:rPr>
                <w:rFonts w:ascii="Arial" w:eastAsia="黑体" w:hAnsi="Arial" w:cs="Arial"/>
                <w:sz w:val="20"/>
              </w:rPr>
              <w:t>174,139,487.04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Chars="100" w:left="410" w:hangingChars="100" w:hanging="200"/>
              <w:rPr>
                <w:rFonts w:ascii="Arial" w:eastAsia="黑体" w:hAnsi="Arial" w:cs="Arial"/>
                <w:sz w:val="20"/>
              </w:rPr>
            </w:pPr>
            <w:r>
              <w:rPr>
                <w:rFonts w:ascii="Arial" w:eastAsia="黑体" w:hAnsi="Arial" w:cs="Arial"/>
                <w:sz w:val="20"/>
              </w:rPr>
              <w:t>无形资产</w:t>
            </w:r>
          </w:p>
        </w:tc>
        <w:tc>
          <w:tcPr>
            <w:tcW w:w="688"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sz w:val="20"/>
              </w:rPr>
              <w:t>14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479,337,688.78</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ind w:rightChars="5" w:right="10"/>
              <w:jc w:val="right"/>
              <w:rPr>
                <w:rFonts w:ascii="Arial" w:eastAsia="黑体" w:hAnsi="Arial" w:cs="Arial"/>
                <w:sz w:val="20"/>
              </w:rPr>
            </w:pPr>
            <w:r>
              <w:rPr>
                <w:rFonts w:ascii="Arial" w:eastAsia="黑体" w:hAnsi="Arial" w:cs="Arial"/>
                <w:sz w:val="20"/>
              </w:rPr>
              <w:t>462,115,950.95</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Chars="100" w:left="410" w:hangingChars="100" w:hanging="200"/>
              <w:rPr>
                <w:rFonts w:ascii="Arial" w:eastAsia="黑体" w:hAnsi="Arial" w:cs="Arial"/>
                <w:sz w:val="20"/>
              </w:rPr>
            </w:pPr>
            <w:r>
              <w:rPr>
                <w:rFonts w:ascii="Arial" w:eastAsia="黑体" w:hAnsi="Arial" w:cs="Arial"/>
                <w:sz w:val="20"/>
              </w:rPr>
              <w:t>递延所得税资产</w:t>
            </w:r>
          </w:p>
        </w:tc>
        <w:tc>
          <w:tcPr>
            <w:tcW w:w="688"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sz w:val="20"/>
              </w:rPr>
              <w:t>15</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1,555,529,857.00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ind w:rightChars="5" w:right="10"/>
              <w:jc w:val="right"/>
              <w:rPr>
                <w:rFonts w:ascii="Arial" w:eastAsia="黑体" w:hAnsi="Arial" w:cs="Arial"/>
                <w:sz w:val="20"/>
              </w:rPr>
            </w:pPr>
            <w:r>
              <w:rPr>
                <w:rFonts w:ascii="Arial" w:eastAsia="黑体" w:hAnsi="Arial" w:cs="Arial"/>
                <w:sz w:val="20"/>
              </w:rPr>
              <w:t>1,792,454,553.28</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Chars="100" w:left="410" w:hangingChars="100" w:hanging="200"/>
              <w:rPr>
                <w:rFonts w:ascii="Arial" w:eastAsia="黑体" w:hAnsi="Arial" w:cs="Arial"/>
                <w:sz w:val="20"/>
              </w:rPr>
            </w:pPr>
            <w:r>
              <w:rPr>
                <w:rFonts w:ascii="Arial" w:eastAsia="黑体" w:hAnsi="Arial" w:cs="Arial"/>
                <w:sz w:val="20"/>
              </w:rPr>
              <w:t>其他资产</w:t>
            </w:r>
          </w:p>
        </w:tc>
        <w:tc>
          <w:tcPr>
            <w:tcW w:w="688"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hint="eastAsia"/>
                <w:sz w:val="20"/>
              </w:rPr>
              <w:t>1</w:t>
            </w:r>
            <w:r>
              <w:rPr>
                <w:rFonts w:ascii="Arial" w:eastAsia="黑体" w:hAnsi="Arial" w:cs="Arial"/>
                <w:sz w:val="20"/>
              </w:rPr>
              <w:t>6</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2,125,499,252.07</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single" w:sz="4" w:space="0" w:color="auto"/>
              <w:right w:val="nil"/>
            </w:tcBorders>
            <w:vAlign w:val="bottom"/>
          </w:tcPr>
          <w:p w:rsidR="00AD5BB5" w:rsidRDefault="00F87FF6">
            <w:pPr>
              <w:autoSpaceDE w:val="0"/>
              <w:autoSpaceDN w:val="0"/>
              <w:ind w:rightChars="5" w:right="10"/>
              <w:jc w:val="right"/>
              <w:rPr>
                <w:rFonts w:ascii="Arial" w:eastAsia="黑体" w:hAnsi="Arial" w:cs="Arial"/>
                <w:sz w:val="20"/>
              </w:rPr>
            </w:pPr>
            <w:r>
              <w:rPr>
                <w:rFonts w:ascii="Arial" w:eastAsia="黑体" w:hAnsi="Arial" w:cs="Arial"/>
                <w:sz w:val="20"/>
              </w:rPr>
              <w:t>1,712,006,000.35</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688"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single" w:sz="4" w:space="0" w:color="auto"/>
              <w:left w:val="nil"/>
              <w:bottom w:val="nil"/>
              <w:right w:val="nil"/>
            </w:tcBorders>
            <w:vAlign w:val="bottom"/>
          </w:tcPr>
          <w:p w:rsidR="00AD5BB5" w:rsidRDefault="00AD5BB5">
            <w:pPr>
              <w:autoSpaceDE w:val="0"/>
              <w:autoSpaceDN w:val="0"/>
              <w:ind w:rightChars="5" w:right="1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201" w:hangingChars="100" w:hanging="201"/>
              <w:rPr>
                <w:rFonts w:ascii="Arial" w:eastAsia="黑体" w:hAnsi="Arial" w:cs="Arial"/>
                <w:b/>
                <w:bCs/>
                <w:sz w:val="20"/>
              </w:rPr>
            </w:pPr>
            <w:r>
              <w:rPr>
                <w:rFonts w:ascii="Arial" w:eastAsia="黑体" w:hAnsi="Arial" w:cs="Arial"/>
                <w:b/>
                <w:bCs/>
                <w:sz w:val="20"/>
              </w:rPr>
              <w:t>资产总计</w:t>
            </w:r>
          </w:p>
        </w:tc>
        <w:tc>
          <w:tcPr>
            <w:tcW w:w="688"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2031"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352,916,314,494.38</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2031" w:type="dxa"/>
            <w:tcBorders>
              <w:top w:val="nil"/>
              <w:left w:val="nil"/>
              <w:bottom w:val="double" w:sz="4" w:space="0" w:color="auto"/>
              <w:right w:val="nil"/>
            </w:tcBorders>
            <w:vAlign w:val="bottom"/>
          </w:tcPr>
          <w:p w:rsidR="00AD5BB5" w:rsidRDefault="00F87FF6">
            <w:pPr>
              <w:autoSpaceDE w:val="0"/>
              <w:autoSpaceDN w:val="0"/>
              <w:ind w:rightChars="5" w:right="10"/>
              <w:jc w:val="right"/>
              <w:rPr>
                <w:rFonts w:ascii="Arial" w:eastAsia="黑体" w:hAnsi="Arial" w:cs="Arial"/>
                <w:b/>
                <w:bCs/>
                <w:sz w:val="20"/>
              </w:rPr>
            </w:pPr>
            <w:r>
              <w:rPr>
                <w:rFonts w:ascii="Arial" w:eastAsia="黑体" w:hAnsi="Arial" w:cs="Arial"/>
                <w:b/>
                <w:bCs/>
                <w:sz w:val="20"/>
              </w:rPr>
              <w:t>371,208,018,622.35</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688"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bl>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F87FF6">
      <w:pPr>
        <w:rPr>
          <w:rFonts w:ascii="Arial" w:hAnsi="Arial" w:cs="Arial"/>
        </w:rPr>
      </w:pPr>
      <w:r>
        <w:rPr>
          <w:rFonts w:ascii="Arial" w:eastAsia="黑体" w:hAnsi="Arial" w:cs="Arial"/>
          <w:i/>
          <w:sz w:val="20"/>
        </w:rPr>
        <w:t>后附财务报表附注为本财务报表的组成部分</w:t>
      </w:r>
      <w:r>
        <w:rPr>
          <w:rFonts w:ascii="Arial" w:hAnsi="Arial" w:cs="Arial"/>
        </w:rPr>
        <w:br w:type="page"/>
      </w:r>
    </w:p>
    <w:p w:rsidR="00AD5BB5" w:rsidRDefault="00AD5BB5">
      <w:pPr>
        <w:rPr>
          <w:rFonts w:ascii="Arial" w:eastAsia="黑体" w:hAnsi="Arial" w:cs="Arial"/>
          <w:sz w:val="22"/>
        </w:rPr>
      </w:pPr>
    </w:p>
    <w:p w:rsidR="00AD5BB5" w:rsidRDefault="00AD5BB5">
      <w:pPr>
        <w:rPr>
          <w:rFonts w:ascii="Arial" w:eastAsia="黑体" w:hAnsi="Arial" w:cs="Arial"/>
          <w:sz w:val="22"/>
        </w:rPr>
      </w:pPr>
    </w:p>
    <w:tbl>
      <w:tblPr>
        <w:tblW w:w="0" w:type="auto"/>
        <w:tblLayout w:type="fixed"/>
        <w:tblCellMar>
          <w:left w:w="0" w:type="dxa"/>
          <w:right w:w="0" w:type="dxa"/>
        </w:tblCellMar>
        <w:tblLook w:val="04A0" w:firstRow="1" w:lastRow="0" w:firstColumn="1" w:lastColumn="0" w:noHBand="0" w:noVBand="1"/>
        <w:tblCaption w:val="6d912ed4-39c9-40ad-8a71-1dcee294b201"/>
        <w:tblDescription w:val="{&quot;UUID&quot;:&quot;afsaddin_tabledata_2_56437_6d912ed4-39c9-40ad-8a71-1dcee294b201&quot;,&quot;TitleRowCount&quot;:2,&quot;SplitedTable&quot;:true,&quot;FirstTableId&quot;:&quot;8ce60336-9410-4f2b-97b4-1719196d4846&quot;}"/>
      </w:tblPr>
      <w:tblGrid>
        <w:gridCol w:w="3236"/>
        <w:gridCol w:w="688"/>
        <w:gridCol w:w="110"/>
        <w:gridCol w:w="2031"/>
        <w:gridCol w:w="110"/>
        <w:gridCol w:w="110"/>
        <w:gridCol w:w="2031"/>
        <w:gridCol w:w="110"/>
      </w:tblGrid>
      <w:tr w:rsidR="00AD5BB5">
        <w:tc>
          <w:tcPr>
            <w:tcW w:w="3236" w:type="dxa"/>
            <w:tcBorders>
              <w:top w:val="nil"/>
              <w:left w:val="nil"/>
              <w:bottom w:val="nil"/>
              <w:right w:val="nil"/>
            </w:tcBorders>
            <w:vAlign w:val="bottom"/>
          </w:tcPr>
          <w:p w:rsidR="00AD5BB5" w:rsidRDefault="00F87FF6">
            <w:pPr>
              <w:autoSpaceDE w:val="0"/>
              <w:autoSpaceDN w:val="0"/>
              <w:ind w:left="201" w:hangingChars="100" w:hanging="201"/>
              <w:rPr>
                <w:rFonts w:ascii="Arial" w:eastAsia="黑体" w:hAnsi="Arial" w:cs="Arial"/>
                <w:b/>
                <w:bCs/>
                <w:sz w:val="20"/>
                <w:u w:val="single"/>
              </w:rPr>
            </w:pPr>
            <w:r>
              <w:rPr>
                <w:rFonts w:ascii="Arial" w:eastAsia="黑体" w:hAnsi="Arial" w:cs="Arial"/>
                <w:b/>
                <w:bCs/>
                <w:sz w:val="20"/>
                <w:u w:val="single"/>
              </w:rPr>
              <w:t>负债和股东权益</w:t>
            </w:r>
          </w:p>
        </w:tc>
        <w:tc>
          <w:tcPr>
            <w:tcW w:w="688" w:type="dxa"/>
            <w:tcBorders>
              <w:top w:val="nil"/>
              <w:left w:val="nil"/>
              <w:bottom w:val="nil"/>
              <w:right w:val="nil"/>
            </w:tcBorders>
            <w:vAlign w:val="bottom"/>
          </w:tcPr>
          <w:p w:rsidR="00AD5BB5" w:rsidRDefault="00F87FF6">
            <w:pPr>
              <w:autoSpaceDE w:val="0"/>
              <w:autoSpaceDN w:val="0"/>
              <w:jc w:val="center"/>
              <w:rPr>
                <w:rFonts w:ascii="Arial" w:eastAsia="黑体" w:hAnsi="Arial" w:cs="Arial"/>
                <w:b/>
                <w:bCs/>
                <w:sz w:val="20"/>
                <w:u w:val="single"/>
              </w:rPr>
            </w:pPr>
            <w:r>
              <w:rPr>
                <w:rFonts w:ascii="Arial" w:eastAsia="黑体" w:hAnsi="Arial" w:cs="Arial"/>
                <w:b/>
                <w:bCs/>
                <w:sz w:val="20"/>
                <w:u w:val="single"/>
              </w:rPr>
              <w:t>附注五</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2031"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u w:val="single"/>
              </w:rPr>
              <w:fldChar w:fldCharType="begin"/>
            </w:r>
            <w:r>
              <w:rPr>
                <w:rFonts w:ascii="Arial" w:eastAsia="黑体" w:hAnsi="Arial" w:cs="Arial"/>
                <w:b/>
                <w:bCs/>
                <w:sz w:val="20"/>
                <w:u w:val="single"/>
              </w:rPr>
              <w:instrText xml:space="preserve"> DOCPROPERTY </w:instrText>
            </w:r>
            <w:r>
              <w:rPr>
                <w:rFonts w:ascii="Arial" w:eastAsia="黑体" w:hAnsi="Arial" w:cs="Arial"/>
                <w:b/>
                <w:bCs/>
                <w:sz w:val="20"/>
                <w:u w:val="single"/>
              </w:rPr>
              <w:instrText>当期资产负债表日</w:instrText>
            </w:r>
            <w:r>
              <w:rPr>
                <w:rFonts w:ascii="Arial" w:eastAsia="黑体" w:hAnsi="Arial" w:cs="Arial"/>
                <w:b/>
                <w:bCs/>
                <w:sz w:val="20"/>
                <w:u w:val="single"/>
              </w:rPr>
              <w:instrText xml:space="preserve"> </w:instrText>
            </w:r>
            <w:r>
              <w:rPr>
                <w:rFonts w:ascii="Arial" w:eastAsia="黑体" w:hAnsi="Arial" w:cs="Arial"/>
                <w:b/>
                <w:bCs/>
                <w:sz w:val="20"/>
                <w:u w:val="single"/>
              </w:rPr>
              <w:fldChar w:fldCharType="separate"/>
            </w:r>
            <w:r>
              <w:rPr>
                <w:rFonts w:ascii="Arial" w:eastAsia="黑体" w:hAnsi="Arial" w:cs="Arial"/>
                <w:b/>
                <w:bCs/>
                <w:sz w:val="20"/>
                <w:u w:val="single"/>
              </w:rPr>
              <w:t>2023</w:t>
            </w:r>
            <w:r>
              <w:rPr>
                <w:rFonts w:ascii="Arial" w:eastAsia="黑体" w:hAnsi="Arial" w:cs="Arial"/>
                <w:b/>
                <w:bCs/>
                <w:sz w:val="20"/>
                <w:u w:val="single"/>
              </w:rPr>
              <w:t>年</w:t>
            </w:r>
            <w:r>
              <w:rPr>
                <w:rFonts w:ascii="Arial" w:eastAsia="黑体" w:hAnsi="Arial" w:cs="Arial"/>
                <w:b/>
                <w:bCs/>
                <w:sz w:val="20"/>
                <w:u w:val="single"/>
              </w:rPr>
              <w:t>6</w:t>
            </w:r>
            <w:r>
              <w:rPr>
                <w:rFonts w:ascii="Arial" w:eastAsia="黑体" w:hAnsi="Arial" w:cs="Arial"/>
                <w:b/>
                <w:bCs/>
                <w:sz w:val="20"/>
                <w:u w:val="single"/>
              </w:rPr>
              <w:t>月</w:t>
            </w:r>
            <w:r>
              <w:rPr>
                <w:rFonts w:ascii="Arial" w:eastAsia="黑体" w:hAnsi="Arial" w:cs="Arial"/>
                <w:b/>
                <w:bCs/>
                <w:sz w:val="20"/>
                <w:u w:val="single"/>
              </w:rPr>
              <w:t>30</w:t>
            </w:r>
            <w:r>
              <w:rPr>
                <w:rFonts w:ascii="Arial" w:eastAsia="黑体" w:hAnsi="Arial" w:cs="Arial"/>
                <w:b/>
                <w:bCs/>
                <w:sz w:val="20"/>
                <w:u w:val="single"/>
              </w:rPr>
              <w:t>日</w:t>
            </w:r>
            <w:r>
              <w:rPr>
                <w:rFonts w:ascii="Arial" w:eastAsia="黑体" w:hAnsi="Arial" w:cs="Arial"/>
                <w:b/>
                <w:bCs/>
                <w:sz w:val="20"/>
                <w:u w:val="single"/>
              </w:rPr>
              <w:fldChar w:fldCharType="end"/>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2031"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u w:val="single"/>
              </w:rPr>
              <w:fldChar w:fldCharType="begin"/>
            </w:r>
            <w:r>
              <w:rPr>
                <w:rFonts w:ascii="Arial" w:eastAsia="黑体" w:hAnsi="Arial" w:cs="Arial"/>
                <w:b/>
                <w:bCs/>
                <w:sz w:val="20"/>
                <w:u w:val="single"/>
              </w:rPr>
              <w:instrText xml:space="preserve"> DOCPROPERTY </w:instrText>
            </w:r>
            <w:r>
              <w:rPr>
                <w:rFonts w:ascii="Arial" w:eastAsia="黑体" w:hAnsi="Arial" w:cs="Arial"/>
                <w:b/>
                <w:bCs/>
                <w:sz w:val="20"/>
                <w:u w:val="single"/>
              </w:rPr>
              <w:instrText>上期资产负债表日</w:instrText>
            </w:r>
            <w:r>
              <w:rPr>
                <w:rFonts w:ascii="Arial" w:eastAsia="黑体" w:hAnsi="Arial" w:cs="Arial"/>
                <w:b/>
                <w:bCs/>
                <w:sz w:val="20"/>
                <w:u w:val="single"/>
              </w:rPr>
              <w:instrText xml:space="preserve"> </w:instrText>
            </w:r>
            <w:r>
              <w:rPr>
                <w:rFonts w:ascii="Arial" w:eastAsia="黑体" w:hAnsi="Arial" w:cs="Arial"/>
                <w:b/>
                <w:bCs/>
                <w:sz w:val="20"/>
                <w:u w:val="single"/>
              </w:rPr>
              <w:fldChar w:fldCharType="separate"/>
            </w:r>
            <w:r>
              <w:rPr>
                <w:rFonts w:ascii="Arial" w:eastAsia="黑体" w:hAnsi="Arial" w:cs="Arial"/>
                <w:b/>
                <w:bCs/>
                <w:sz w:val="20"/>
                <w:u w:val="single"/>
              </w:rPr>
              <w:t>2022</w:t>
            </w:r>
            <w:r>
              <w:rPr>
                <w:rFonts w:ascii="Arial" w:eastAsia="黑体" w:hAnsi="Arial" w:cs="Arial"/>
                <w:b/>
                <w:bCs/>
                <w:sz w:val="20"/>
                <w:u w:val="single"/>
              </w:rPr>
              <w:t>年</w:t>
            </w:r>
            <w:r>
              <w:rPr>
                <w:rFonts w:ascii="Arial" w:eastAsia="黑体" w:hAnsi="Arial" w:cs="Arial"/>
                <w:b/>
                <w:bCs/>
                <w:sz w:val="20"/>
                <w:u w:val="single"/>
              </w:rPr>
              <w:t>12</w:t>
            </w:r>
            <w:r>
              <w:rPr>
                <w:rFonts w:ascii="Arial" w:eastAsia="黑体" w:hAnsi="Arial" w:cs="Arial"/>
                <w:b/>
                <w:bCs/>
                <w:sz w:val="20"/>
                <w:u w:val="single"/>
              </w:rPr>
              <w:t>月</w:t>
            </w:r>
            <w:r>
              <w:rPr>
                <w:rFonts w:ascii="Arial" w:eastAsia="黑体" w:hAnsi="Arial" w:cs="Arial"/>
                <w:b/>
                <w:bCs/>
                <w:sz w:val="20"/>
                <w:u w:val="single"/>
              </w:rPr>
              <w:t>31</w:t>
            </w:r>
            <w:r>
              <w:rPr>
                <w:rFonts w:ascii="Arial" w:eastAsia="黑体" w:hAnsi="Arial" w:cs="Arial"/>
                <w:b/>
                <w:bCs/>
                <w:sz w:val="20"/>
                <w:u w:val="single"/>
              </w:rPr>
              <w:t>日</w:t>
            </w:r>
            <w:r>
              <w:rPr>
                <w:rFonts w:ascii="Arial" w:eastAsia="黑体" w:hAnsi="Arial" w:cs="Arial"/>
                <w:b/>
                <w:bCs/>
                <w:sz w:val="20"/>
                <w:u w:val="single"/>
              </w:rPr>
              <w:fldChar w:fldCharType="end"/>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688"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Chars="94" w:left="397" w:hangingChars="100" w:hanging="200"/>
              <w:rPr>
                <w:rFonts w:ascii="Arial" w:eastAsia="黑体" w:hAnsi="Arial" w:cs="Arial"/>
                <w:sz w:val="20"/>
              </w:rPr>
            </w:pPr>
            <w:r>
              <w:rPr>
                <w:rFonts w:ascii="Arial" w:eastAsia="黑体" w:hAnsi="Arial" w:cs="Arial"/>
                <w:sz w:val="20"/>
              </w:rPr>
              <w:t>向中央银行借款</w:t>
            </w:r>
          </w:p>
        </w:tc>
        <w:tc>
          <w:tcPr>
            <w:tcW w:w="688"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hint="eastAsia"/>
                <w:sz w:val="20"/>
              </w:rPr>
              <w:t>1</w:t>
            </w:r>
            <w:r>
              <w:rPr>
                <w:rFonts w:ascii="Arial" w:eastAsia="黑体" w:hAnsi="Arial" w:cs="Arial"/>
                <w:sz w:val="20"/>
              </w:rPr>
              <w:t>8</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8,399,274,703.47</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ind w:rightChars="5" w:right="10"/>
              <w:jc w:val="right"/>
              <w:rPr>
                <w:rFonts w:ascii="Arial" w:eastAsia="黑体" w:hAnsi="Arial" w:cs="Arial"/>
                <w:sz w:val="20"/>
              </w:rPr>
            </w:pPr>
            <w:r>
              <w:rPr>
                <w:rFonts w:ascii="Arial" w:eastAsia="黑体" w:hAnsi="Arial" w:cs="Arial"/>
                <w:sz w:val="20"/>
              </w:rPr>
              <w:t>8,935,700,000.01</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Chars="94" w:left="397" w:hangingChars="100" w:hanging="200"/>
              <w:rPr>
                <w:rFonts w:ascii="Arial" w:eastAsia="黑体" w:hAnsi="Arial" w:cs="Arial"/>
                <w:sz w:val="20"/>
              </w:rPr>
            </w:pPr>
            <w:r>
              <w:rPr>
                <w:rFonts w:ascii="Arial" w:eastAsia="黑体" w:hAnsi="Arial" w:cs="Arial"/>
                <w:sz w:val="20"/>
              </w:rPr>
              <w:t>同业及其他金融机构存放款项</w:t>
            </w:r>
          </w:p>
        </w:tc>
        <w:tc>
          <w:tcPr>
            <w:tcW w:w="688"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hint="eastAsia"/>
                <w:sz w:val="20"/>
              </w:rPr>
              <w:t>1</w:t>
            </w:r>
            <w:r>
              <w:rPr>
                <w:rFonts w:ascii="Arial" w:eastAsia="黑体" w:hAnsi="Arial" w:cs="Arial"/>
                <w:sz w:val="20"/>
              </w:rPr>
              <w:t>9</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10,152,382,396.11</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ind w:rightChars="5" w:right="10"/>
              <w:jc w:val="right"/>
              <w:rPr>
                <w:rFonts w:ascii="Arial" w:eastAsia="黑体" w:hAnsi="Arial" w:cs="Arial"/>
                <w:sz w:val="20"/>
              </w:rPr>
            </w:pPr>
            <w:r>
              <w:rPr>
                <w:rFonts w:ascii="Arial" w:eastAsia="黑体" w:hAnsi="Arial" w:cs="Arial"/>
                <w:sz w:val="20"/>
              </w:rPr>
              <w:t>13,426,022,359.13</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Chars="94" w:left="397" w:hangingChars="100" w:hanging="200"/>
              <w:rPr>
                <w:rFonts w:ascii="Arial" w:eastAsia="黑体" w:hAnsi="Arial" w:cs="Arial"/>
                <w:sz w:val="20"/>
              </w:rPr>
            </w:pPr>
            <w:r>
              <w:rPr>
                <w:rFonts w:ascii="Arial" w:eastAsia="黑体" w:hAnsi="Arial" w:cs="Arial"/>
                <w:sz w:val="20"/>
              </w:rPr>
              <w:t>拆入资金</w:t>
            </w:r>
          </w:p>
        </w:tc>
        <w:tc>
          <w:tcPr>
            <w:tcW w:w="688"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hint="eastAsia"/>
                <w:sz w:val="20"/>
              </w:rPr>
              <w:t>2</w:t>
            </w:r>
            <w:r>
              <w:rPr>
                <w:rFonts w:ascii="Arial" w:eastAsia="黑体" w:hAnsi="Arial" w:cs="Arial"/>
                <w:sz w:val="20"/>
              </w:rPr>
              <w:t>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24,053,822,180.59</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ind w:rightChars="5" w:right="10"/>
              <w:jc w:val="right"/>
              <w:rPr>
                <w:rFonts w:ascii="Arial" w:eastAsia="黑体" w:hAnsi="Arial" w:cs="Arial"/>
                <w:sz w:val="20"/>
              </w:rPr>
            </w:pPr>
            <w:r>
              <w:rPr>
                <w:rFonts w:ascii="Arial" w:eastAsia="黑体" w:hAnsi="Arial" w:cs="Arial"/>
                <w:sz w:val="20"/>
              </w:rPr>
              <w:t>22,281,968,163.86</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Chars="94" w:left="397" w:hangingChars="100" w:hanging="200"/>
              <w:rPr>
                <w:rFonts w:ascii="Arial" w:eastAsia="黑体" w:hAnsi="Arial" w:cs="Arial"/>
                <w:sz w:val="20"/>
              </w:rPr>
            </w:pPr>
            <w:r>
              <w:rPr>
                <w:rFonts w:ascii="Arial" w:eastAsia="黑体" w:hAnsi="Arial" w:cs="Arial"/>
                <w:sz w:val="20"/>
              </w:rPr>
              <w:t>交易性金融负债</w:t>
            </w:r>
          </w:p>
        </w:tc>
        <w:tc>
          <w:tcPr>
            <w:tcW w:w="688"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sz w:val="20"/>
              </w:rPr>
              <w:t>21</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103,125,441.55</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ind w:rightChars="5" w:right="10"/>
              <w:jc w:val="right"/>
              <w:rPr>
                <w:rFonts w:ascii="Arial" w:eastAsia="黑体" w:hAnsi="Arial" w:cs="Arial"/>
                <w:sz w:val="20"/>
              </w:rPr>
            </w:pPr>
            <w:r>
              <w:rPr>
                <w:rFonts w:ascii="Arial" w:eastAsia="黑体" w:hAnsi="Arial" w:cs="Arial"/>
                <w:sz w:val="20"/>
              </w:rPr>
              <w:t>2,849,303.95</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Chars="94" w:left="397" w:hangingChars="100" w:hanging="200"/>
              <w:rPr>
                <w:rFonts w:ascii="Arial" w:eastAsia="黑体" w:hAnsi="Arial" w:cs="Arial"/>
                <w:sz w:val="20"/>
              </w:rPr>
            </w:pPr>
            <w:r>
              <w:rPr>
                <w:rFonts w:ascii="Arial" w:eastAsia="黑体" w:hAnsi="Arial" w:cs="Arial"/>
                <w:sz w:val="20"/>
              </w:rPr>
              <w:t>卖出回购金融资产款</w:t>
            </w:r>
          </w:p>
        </w:tc>
        <w:tc>
          <w:tcPr>
            <w:tcW w:w="688"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hint="eastAsia"/>
                <w:sz w:val="20"/>
              </w:rPr>
              <w:t>2</w:t>
            </w:r>
            <w:r>
              <w:rPr>
                <w:rFonts w:ascii="Arial" w:eastAsia="黑体" w:hAnsi="Arial" w:cs="Arial"/>
                <w:sz w:val="20"/>
              </w:rPr>
              <w:t>2</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13,282,818,972.83</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ind w:rightChars="5" w:right="10"/>
              <w:jc w:val="right"/>
              <w:rPr>
                <w:rFonts w:ascii="Arial" w:eastAsia="黑体" w:hAnsi="Arial" w:cs="Arial"/>
                <w:sz w:val="20"/>
              </w:rPr>
            </w:pPr>
            <w:r>
              <w:rPr>
                <w:rFonts w:ascii="Arial" w:eastAsia="黑体" w:hAnsi="Arial" w:cs="Arial"/>
                <w:sz w:val="20"/>
              </w:rPr>
              <w:t>19,851,821,327.97</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Chars="94" w:left="397" w:hangingChars="100" w:hanging="200"/>
              <w:rPr>
                <w:rFonts w:ascii="Arial" w:eastAsia="黑体" w:hAnsi="Arial" w:cs="Arial"/>
                <w:sz w:val="20"/>
              </w:rPr>
            </w:pPr>
            <w:r>
              <w:rPr>
                <w:rFonts w:ascii="Arial" w:eastAsia="黑体" w:hAnsi="Arial" w:cs="Arial"/>
                <w:sz w:val="20"/>
              </w:rPr>
              <w:t>衍生金融负债</w:t>
            </w:r>
          </w:p>
        </w:tc>
        <w:tc>
          <w:tcPr>
            <w:tcW w:w="688"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hint="eastAsia"/>
                <w:sz w:val="20"/>
              </w:rPr>
              <w:t>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1,817,927,155.15</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ind w:rightChars="5" w:right="10"/>
              <w:jc w:val="right"/>
              <w:rPr>
                <w:rFonts w:ascii="Arial" w:eastAsia="黑体" w:hAnsi="Arial" w:cs="Arial"/>
                <w:sz w:val="20"/>
              </w:rPr>
            </w:pPr>
            <w:r>
              <w:rPr>
                <w:rFonts w:ascii="Arial" w:eastAsia="黑体" w:hAnsi="Arial" w:cs="Arial"/>
                <w:sz w:val="20"/>
              </w:rPr>
              <w:t>2,278,585,435.40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Chars="94" w:left="397" w:hangingChars="100" w:hanging="200"/>
              <w:rPr>
                <w:rFonts w:ascii="Arial" w:eastAsia="黑体" w:hAnsi="Arial" w:cs="Arial"/>
                <w:sz w:val="20"/>
              </w:rPr>
            </w:pPr>
            <w:r>
              <w:rPr>
                <w:rFonts w:ascii="Arial" w:eastAsia="黑体" w:hAnsi="Arial" w:cs="Arial"/>
                <w:sz w:val="20"/>
              </w:rPr>
              <w:t>吸收存款</w:t>
            </w:r>
          </w:p>
        </w:tc>
        <w:tc>
          <w:tcPr>
            <w:tcW w:w="688"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hint="eastAsia"/>
                <w:sz w:val="20"/>
              </w:rPr>
              <w:t>2</w:t>
            </w:r>
            <w:r>
              <w:rPr>
                <w:rFonts w:ascii="Arial" w:eastAsia="黑体" w:hAnsi="Arial" w:cs="Arial"/>
                <w:sz w:val="20"/>
              </w:rPr>
              <w:t>3</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187,645,660,454.87</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ind w:rightChars="5" w:right="10"/>
              <w:jc w:val="right"/>
              <w:rPr>
                <w:rFonts w:ascii="Arial" w:eastAsia="黑体" w:hAnsi="Arial" w:cs="Arial"/>
                <w:sz w:val="20"/>
              </w:rPr>
            </w:pPr>
            <w:r>
              <w:rPr>
                <w:rFonts w:ascii="Arial" w:eastAsia="黑体" w:hAnsi="Arial" w:cs="Arial"/>
                <w:sz w:val="20"/>
              </w:rPr>
              <w:t>207,014,863,871.46</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Chars="94" w:left="397" w:hangingChars="100" w:hanging="200"/>
              <w:rPr>
                <w:rFonts w:ascii="Arial" w:eastAsia="黑体" w:hAnsi="Arial" w:cs="Arial"/>
                <w:sz w:val="20"/>
              </w:rPr>
            </w:pPr>
            <w:r>
              <w:rPr>
                <w:rFonts w:ascii="Arial" w:eastAsia="黑体" w:hAnsi="Arial" w:cs="Arial"/>
                <w:sz w:val="20"/>
              </w:rPr>
              <w:t>应付职工薪酬</w:t>
            </w:r>
          </w:p>
        </w:tc>
        <w:tc>
          <w:tcPr>
            <w:tcW w:w="688"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sz w:val="20"/>
              </w:rPr>
              <w:t>24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445,701,889.32</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ind w:rightChars="5" w:right="10"/>
              <w:jc w:val="right"/>
              <w:rPr>
                <w:rFonts w:ascii="Arial" w:eastAsia="黑体" w:hAnsi="Arial" w:cs="Arial"/>
                <w:sz w:val="20"/>
              </w:rPr>
            </w:pPr>
            <w:r>
              <w:rPr>
                <w:rFonts w:ascii="Arial" w:eastAsia="黑体" w:hAnsi="Arial" w:cs="Arial"/>
                <w:sz w:val="20"/>
              </w:rPr>
              <w:t>506,228,770.61</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Chars="94" w:left="397" w:hangingChars="100" w:hanging="200"/>
              <w:rPr>
                <w:rFonts w:ascii="Arial" w:eastAsia="黑体" w:hAnsi="Arial" w:cs="Arial"/>
                <w:sz w:val="20"/>
              </w:rPr>
            </w:pPr>
            <w:r>
              <w:rPr>
                <w:rFonts w:ascii="Arial" w:eastAsia="黑体" w:hAnsi="Arial" w:cs="Arial"/>
                <w:sz w:val="20"/>
              </w:rPr>
              <w:t>应交税费</w:t>
            </w:r>
          </w:p>
        </w:tc>
        <w:tc>
          <w:tcPr>
            <w:tcW w:w="688"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sz w:val="20"/>
              </w:rPr>
              <w:t>25</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212,893,405.70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ind w:rightChars="5" w:right="10"/>
              <w:jc w:val="right"/>
              <w:rPr>
                <w:rFonts w:ascii="Arial" w:eastAsia="黑体" w:hAnsi="Arial" w:cs="Arial"/>
                <w:sz w:val="20"/>
              </w:rPr>
            </w:pPr>
            <w:r>
              <w:rPr>
                <w:rFonts w:ascii="Arial" w:eastAsia="黑体" w:hAnsi="Arial" w:cs="Arial"/>
                <w:sz w:val="20"/>
              </w:rPr>
              <w:t>267,988,863.95</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Chars="94" w:left="397" w:hangingChars="100" w:hanging="200"/>
              <w:rPr>
                <w:rFonts w:ascii="Arial" w:eastAsia="黑体" w:hAnsi="Arial" w:cs="Arial"/>
                <w:sz w:val="20"/>
              </w:rPr>
            </w:pPr>
            <w:r>
              <w:rPr>
                <w:rFonts w:ascii="Arial" w:eastAsia="黑体" w:hAnsi="Arial" w:cs="Arial"/>
                <w:sz w:val="20"/>
              </w:rPr>
              <w:t>应付债券</w:t>
            </w:r>
          </w:p>
        </w:tc>
        <w:tc>
          <w:tcPr>
            <w:tcW w:w="688"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sz w:val="20"/>
              </w:rPr>
              <w:t>26</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77,204,487,365.39</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ind w:rightChars="5" w:right="10"/>
              <w:jc w:val="right"/>
              <w:rPr>
                <w:rFonts w:ascii="Arial" w:eastAsia="黑体" w:hAnsi="Arial" w:cs="Arial"/>
                <w:sz w:val="20"/>
              </w:rPr>
            </w:pPr>
            <w:r>
              <w:rPr>
                <w:rFonts w:ascii="Arial" w:eastAsia="黑体" w:hAnsi="Arial" w:cs="Arial"/>
                <w:sz w:val="20"/>
              </w:rPr>
              <w:t>69,439,121,875.05</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Chars="94" w:left="397" w:hangingChars="100" w:hanging="200"/>
              <w:rPr>
                <w:rFonts w:ascii="Arial" w:eastAsia="黑体" w:hAnsi="Arial" w:cs="Arial"/>
                <w:sz w:val="20"/>
              </w:rPr>
            </w:pPr>
            <w:r>
              <w:rPr>
                <w:rFonts w:ascii="Arial" w:eastAsia="黑体" w:hAnsi="Arial" w:cs="Arial"/>
                <w:sz w:val="20"/>
              </w:rPr>
              <w:t>预计负债</w:t>
            </w:r>
          </w:p>
        </w:tc>
        <w:tc>
          <w:tcPr>
            <w:tcW w:w="688"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sz w:val="20"/>
              </w:rPr>
              <w:t>27</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312,892,259.86</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ind w:rightChars="5" w:right="10"/>
              <w:jc w:val="right"/>
              <w:rPr>
                <w:rFonts w:ascii="Arial" w:eastAsia="黑体" w:hAnsi="Arial" w:cs="Arial"/>
                <w:sz w:val="20"/>
              </w:rPr>
            </w:pPr>
            <w:r>
              <w:rPr>
                <w:rFonts w:ascii="Arial" w:eastAsia="黑体" w:hAnsi="Arial" w:cs="Arial"/>
                <w:sz w:val="20"/>
              </w:rPr>
              <w:t>473,824,172.88</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Chars="94" w:left="397" w:hangingChars="100" w:hanging="200"/>
              <w:rPr>
                <w:rFonts w:ascii="Arial" w:eastAsia="黑体" w:hAnsi="Arial" w:cs="Arial"/>
                <w:sz w:val="20"/>
              </w:rPr>
            </w:pPr>
            <w:r>
              <w:rPr>
                <w:rFonts w:ascii="Arial" w:eastAsia="黑体" w:hAnsi="Arial" w:cs="Arial"/>
                <w:sz w:val="20"/>
              </w:rPr>
              <w:t>其他负债</w:t>
            </w:r>
          </w:p>
        </w:tc>
        <w:tc>
          <w:tcPr>
            <w:tcW w:w="688"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hint="eastAsia"/>
                <w:sz w:val="20"/>
              </w:rPr>
              <w:t>2</w:t>
            </w:r>
            <w:r>
              <w:rPr>
                <w:rFonts w:ascii="Arial" w:eastAsia="黑体" w:hAnsi="Arial" w:cs="Arial"/>
                <w:sz w:val="20"/>
              </w:rPr>
              <w:t>8</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3,548,084,949.60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single" w:sz="4" w:space="0" w:color="auto"/>
              <w:right w:val="nil"/>
            </w:tcBorders>
            <w:vAlign w:val="bottom"/>
          </w:tcPr>
          <w:p w:rsidR="00AD5BB5" w:rsidRDefault="00F87FF6">
            <w:pPr>
              <w:autoSpaceDE w:val="0"/>
              <w:autoSpaceDN w:val="0"/>
              <w:ind w:rightChars="5" w:right="10"/>
              <w:jc w:val="right"/>
              <w:rPr>
                <w:rFonts w:ascii="Arial" w:eastAsia="黑体" w:hAnsi="Arial" w:cs="Arial"/>
                <w:sz w:val="20"/>
              </w:rPr>
            </w:pPr>
            <w:r>
              <w:rPr>
                <w:rFonts w:ascii="Arial" w:eastAsia="黑体" w:hAnsi="Arial" w:cs="Arial"/>
                <w:sz w:val="20"/>
              </w:rPr>
              <w:t>1,985,194,972.48</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688"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single" w:sz="4" w:space="0" w:color="auto"/>
              <w:left w:val="nil"/>
              <w:bottom w:val="nil"/>
              <w:right w:val="nil"/>
            </w:tcBorders>
            <w:vAlign w:val="bottom"/>
          </w:tcPr>
          <w:p w:rsidR="00AD5BB5" w:rsidRDefault="00AD5BB5">
            <w:pPr>
              <w:autoSpaceDE w:val="0"/>
              <w:autoSpaceDN w:val="0"/>
              <w:ind w:rightChars="5" w:right="1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201" w:hangingChars="100" w:hanging="201"/>
              <w:rPr>
                <w:rFonts w:ascii="Arial" w:eastAsia="黑体" w:hAnsi="Arial" w:cs="Arial"/>
                <w:b/>
                <w:bCs/>
                <w:sz w:val="20"/>
              </w:rPr>
            </w:pPr>
            <w:r>
              <w:rPr>
                <w:rFonts w:ascii="Arial" w:eastAsia="黑体" w:hAnsi="Arial" w:cs="Arial"/>
                <w:b/>
                <w:bCs/>
                <w:sz w:val="20"/>
              </w:rPr>
              <w:t>负债合计</w:t>
            </w:r>
          </w:p>
        </w:tc>
        <w:tc>
          <w:tcPr>
            <w:tcW w:w="688"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2031"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327,179,071,174.44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2031" w:type="dxa"/>
            <w:tcBorders>
              <w:top w:val="nil"/>
              <w:left w:val="nil"/>
              <w:bottom w:val="single" w:sz="4" w:space="0" w:color="auto"/>
              <w:right w:val="nil"/>
            </w:tcBorders>
            <w:vAlign w:val="bottom"/>
          </w:tcPr>
          <w:p w:rsidR="00AD5BB5" w:rsidRDefault="00F87FF6">
            <w:pPr>
              <w:autoSpaceDE w:val="0"/>
              <w:autoSpaceDN w:val="0"/>
              <w:ind w:rightChars="5" w:right="10"/>
              <w:jc w:val="right"/>
              <w:rPr>
                <w:rFonts w:ascii="Arial" w:eastAsia="黑体" w:hAnsi="Arial" w:cs="Arial"/>
                <w:b/>
                <w:bCs/>
                <w:sz w:val="20"/>
              </w:rPr>
            </w:pPr>
            <w:r>
              <w:rPr>
                <w:rFonts w:ascii="Arial" w:eastAsia="黑体" w:hAnsi="Arial" w:cs="Arial"/>
                <w:b/>
                <w:bCs/>
                <w:sz w:val="20"/>
              </w:rPr>
              <w:t>346,464,169,116.75</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688"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single" w:sz="4" w:space="0" w:color="auto"/>
              <w:left w:val="nil"/>
              <w:bottom w:val="nil"/>
              <w:right w:val="nil"/>
            </w:tcBorders>
            <w:vAlign w:val="bottom"/>
          </w:tcPr>
          <w:p w:rsidR="00AD5BB5" w:rsidRDefault="00AD5BB5">
            <w:pPr>
              <w:autoSpaceDE w:val="0"/>
              <w:autoSpaceDN w:val="0"/>
              <w:ind w:rightChars="5" w:right="1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688"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AD5BB5">
            <w:pPr>
              <w:autoSpaceDE w:val="0"/>
              <w:autoSpaceDN w:val="0"/>
              <w:ind w:rightChars="5" w:right="1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Chars="106" w:left="423" w:hangingChars="100" w:hanging="200"/>
              <w:rPr>
                <w:rFonts w:ascii="Arial" w:eastAsia="黑体" w:hAnsi="Arial" w:cs="Arial"/>
                <w:sz w:val="20"/>
              </w:rPr>
            </w:pPr>
            <w:r>
              <w:rPr>
                <w:rFonts w:ascii="Arial" w:eastAsia="黑体" w:hAnsi="Arial" w:cs="Arial"/>
                <w:sz w:val="20"/>
              </w:rPr>
              <w:t>股本</w:t>
            </w:r>
          </w:p>
        </w:tc>
        <w:tc>
          <w:tcPr>
            <w:tcW w:w="688"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sz w:val="20"/>
              </w:rPr>
              <w:t>29</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2,639,127,888.00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ind w:rightChars="5" w:right="10"/>
              <w:jc w:val="right"/>
              <w:rPr>
                <w:rFonts w:ascii="Arial" w:eastAsia="黑体" w:hAnsi="Arial" w:cs="Arial"/>
                <w:sz w:val="20"/>
              </w:rPr>
            </w:pPr>
            <w:r>
              <w:rPr>
                <w:rFonts w:ascii="Arial" w:eastAsia="黑体" w:hAnsi="Arial" w:cs="Arial"/>
                <w:sz w:val="20"/>
              </w:rPr>
              <w:t>2,639,127,888.00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Chars="106" w:left="423" w:hangingChars="100" w:hanging="200"/>
              <w:rPr>
                <w:rFonts w:ascii="Arial" w:eastAsia="黑体" w:hAnsi="Arial" w:cs="Arial"/>
                <w:sz w:val="20"/>
              </w:rPr>
            </w:pPr>
            <w:r>
              <w:rPr>
                <w:rFonts w:ascii="Arial" w:eastAsia="黑体" w:hAnsi="Arial" w:cs="Arial"/>
                <w:sz w:val="20"/>
              </w:rPr>
              <w:t>其他权益工具</w:t>
            </w:r>
          </w:p>
        </w:tc>
        <w:tc>
          <w:tcPr>
            <w:tcW w:w="688"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sz w:val="20"/>
              </w:rPr>
              <w:t>30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2,498,552,830.19</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ind w:rightChars="5" w:right="10"/>
              <w:jc w:val="right"/>
              <w:rPr>
                <w:rFonts w:ascii="Arial" w:eastAsia="黑体" w:hAnsi="Arial" w:cs="Arial"/>
                <w:sz w:val="20"/>
              </w:rPr>
            </w:pPr>
            <w:r>
              <w:rPr>
                <w:rFonts w:ascii="Arial" w:eastAsia="黑体" w:hAnsi="Arial" w:cs="Arial"/>
                <w:sz w:val="20"/>
              </w:rPr>
              <w:t>2,498,552,830.19</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Chars="200" w:left="1220" w:hangingChars="400" w:hanging="800"/>
              <w:rPr>
                <w:rFonts w:ascii="Arial" w:eastAsia="黑体" w:hAnsi="Arial" w:cs="Arial"/>
                <w:sz w:val="20"/>
              </w:rPr>
            </w:pPr>
            <w:r>
              <w:rPr>
                <w:rFonts w:ascii="Arial" w:eastAsia="黑体" w:hAnsi="Arial" w:cs="Arial"/>
                <w:sz w:val="20"/>
              </w:rPr>
              <w:t>其中：永续债</w:t>
            </w:r>
          </w:p>
        </w:tc>
        <w:tc>
          <w:tcPr>
            <w:tcW w:w="688"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2,498,552,830.19</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ind w:rightChars="5" w:right="10"/>
              <w:jc w:val="right"/>
              <w:rPr>
                <w:rFonts w:ascii="Arial" w:eastAsia="黑体" w:hAnsi="Arial" w:cs="Arial"/>
                <w:sz w:val="20"/>
              </w:rPr>
            </w:pPr>
            <w:r>
              <w:rPr>
                <w:rFonts w:ascii="Arial" w:eastAsia="黑体" w:hAnsi="Arial" w:cs="Arial"/>
                <w:sz w:val="20"/>
              </w:rPr>
              <w:t>2,498,552,830.19</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Chars="106" w:left="423" w:hangingChars="100" w:hanging="200"/>
              <w:rPr>
                <w:rFonts w:ascii="Arial" w:eastAsia="黑体" w:hAnsi="Arial" w:cs="Arial"/>
                <w:sz w:val="20"/>
              </w:rPr>
            </w:pPr>
            <w:r>
              <w:rPr>
                <w:rFonts w:ascii="Arial" w:eastAsia="黑体" w:hAnsi="Arial" w:cs="Arial"/>
                <w:sz w:val="20"/>
              </w:rPr>
              <w:t>资本公积</w:t>
            </w:r>
          </w:p>
        </w:tc>
        <w:tc>
          <w:tcPr>
            <w:tcW w:w="688"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sz w:val="20"/>
              </w:rPr>
              <w:t>31</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6,785,874,486.75</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ind w:rightChars="5" w:right="10"/>
              <w:jc w:val="right"/>
              <w:rPr>
                <w:rFonts w:ascii="Arial" w:eastAsia="黑体" w:hAnsi="Arial" w:cs="Arial"/>
                <w:sz w:val="20"/>
              </w:rPr>
            </w:pPr>
            <w:r>
              <w:rPr>
                <w:rFonts w:ascii="Arial" w:eastAsia="黑体" w:hAnsi="Arial" w:cs="Arial"/>
                <w:sz w:val="20"/>
              </w:rPr>
              <w:t>6,785,874,486.75</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Chars="106" w:left="423" w:hangingChars="100" w:hanging="200"/>
              <w:rPr>
                <w:rFonts w:ascii="Arial" w:eastAsia="黑体" w:hAnsi="Arial" w:cs="Arial"/>
                <w:sz w:val="20"/>
              </w:rPr>
            </w:pPr>
            <w:r>
              <w:rPr>
                <w:rFonts w:ascii="Arial" w:eastAsia="黑体" w:hAnsi="Arial" w:cs="Arial"/>
                <w:sz w:val="20"/>
              </w:rPr>
              <w:t>其他综合收益</w:t>
            </w:r>
          </w:p>
        </w:tc>
        <w:tc>
          <w:tcPr>
            <w:tcW w:w="688"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sz w:val="20"/>
              </w:rPr>
              <w:t>32</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316,319,242.67</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ind w:rightChars="5" w:right="10"/>
              <w:jc w:val="right"/>
              <w:rPr>
                <w:rFonts w:ascii="Arial" w:eastAsia="黑体" w:hAnsi="Arial" w:cs="Arial"/>
                <w:sz w:val="20"/>
              </w:rPr>
            </w:pPr>
            <w:r>
              <w:rPr>
                <w:rFonts w:ascii="Arial" w:eastAsia="黑体" w:hAnsi="Arial" w:cs="Arial"/>
                <w:sz w:val="20"/>
              </w:rPr>
              <w:t>(39,410,194.67</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r>
      <w:tr w:rsidR="00AD5BB5">
        <w:tc>
          <w:tcPr>
            <w:tcW w:w="3236" w:type="dxa"/>
            <w:tcBorders>
              <w:top w:val="nil"/>
              <w:left w:val="nil"/>
              <w:bottom w:val="nil"/>
              <w:right w:val="nil"/>
            </w:tcBorders>
            <w:vAlign w:val="bottom"/>
          </w:tcPr>
          <w:p w:rsidR="00AD5BB5" w:rsidRDefault="00F87FF6">
            <w:pPr>
              <w:autoSpaceDE w:val="0"/>
              <w:autoSpaceDN w:val="0"/>
              <w:ind w:leftChars="106" w:left="423" w:hangingChars="100" w:hanging="200"/>
              <w:rPr>
                <w:rFonts w:ascii="Arial" w:eastAsia="黑体" w:hAnsi="Arial" w:cs="Arial"/>
                <w:sz w:val="20"/>
              </w:rPr>
            </w:pPr>
            <w:r>
              <w:rPr>
                <w:rFonts w:ascii="Arial" w:eastAsia="黑体" w:hAnsi="Arial" w:cs="Arial"/>
                <w:sz w:val="20"/>
              </w:rPr>
              <w:t>盈余公积</w:t>
            </w:r>
          </w:p>
        </w:tc>
        <w:tc>
          <w:tcPr>
            <w:tcW w:w="688"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sz w:val="20"/>
              </w:rPr>
              <w:t>33</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1,514,561,559.19</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ind w:rightChars="5" w:right="10"/>
              <w:jc w:val="right"/>
              <w:rPr>
                <w:rFonts w:ascii="Arial" w:eastAsia="黑体" w:hAnsi="Arial" w:cs="Arial"/>
                <w:sz w:val="20"/>
              </w:rPr>
            </w:pPr>
            <w:r>
              <w:rPr>
                <w:rFonts w:ascii="Arial" w:eastAsia="黑体" w:hAnsi="Arial" w:cs="Arial"/>
                <w:sz w:val="20"/>
              </w:rPr>
              <w:t>1,514,561,559.19</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Chars="106" w:left="423" w:hangingChars="100" w:hanging="200"/>
              <w:rPr>
                <w:rFonts w:ascii="Arial" w:eastAsia="黑体" w:hAnsi="Arial" w:cs="Arial"/>
                <w:sz w:val="20"/>
              </w:rPr>
            </w:pPr>
            <w:r>
              <w:rPr>
                <w:rFonts w:ascii="Arial" w:eastAsia="黑体" w:hAnsi="Arial" w:cs="Arial"/>
                <w:sz w:val="20"/>
              </w:rPr>
              <w:t>一般风险准备</w:t>
            </w:r>
          </w:p>
        </w:tc>
        <w:tc>
          <w:tcPr>
            <w:tcW w:w="688"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sz w:val="20"/>
              </w:rPr>
              <w:t>34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4,044,832,876.68</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nil"/>
              <w:right w:val="nil"/>
            </w:tcBorders>
            <w:vAlign w:val="bottom"/>
          </w:tcPr>
          <w:p w:rsidR="00AD5BB5" w:rsidRDefault="00F87FF6">
            <w:pPr>
              <w:autoSpaceDE w:val="0"/>
              <w:autoSpaceDN w:val="0"/>
              <w:ind w:rightChars="5" w:right="10"/>
              <w:jc w:val="right"/>
              <w:rPr>
                <w:rFonts w:ascii="Arial" w:eastAsia="黑体" w:hAnsi="Arial" w:cs="Arial"/>
                <w:sz w:val="20"/>
              </w:rPr>
            </w:pPr>
            <w:r>
              <w:rPr>
                <w:rFonts w:ascii="Arial" w:eastAsia="黑体" w:hAnsi="Arial" w:cs="Arial"/>
                <w:sz w:val="20"/>
              </w:rPr>
              <w:t>4,044,832,876.68</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Chars="106" w:left="423" w:hangingChars="100" w:hanging="200"/>
              <w:rPr>
                <w:rFonts w:ascii="Arial" w:eastAsia="黑体" w:hAnsi="Arial" w:cs="Arial"/>
                <w:sz w:val="20"/>
              </w:rPr>
            </w:pPr>
            <w:r>
              <w:rPr>
                <w:rFonts w:ascii="Arial" w:eastAsia="黑体" w:hAnsi="Arial" w:cs="Arial"/>
                <w:sz w:val="20"/>
              </w:rPr>
              <w:t>未分配利润</w:t>
            </w:r>
          </w:p>
        </w:tc>
        <w:tc>
          <w:tcPr>
            <w:tcW w:w="688"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sz w:val="20"/>
              </w:rPr>
              <w:t>35</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7,339,546,059.95</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single" w:sz="4" w:space="0" w:color="auto"/>
              <w:right w:val="nil"/>
            </w:tcBorders>
            <w:vAlign w:val="bottom"/>
          </w:tcPr>
          <w:p w:rsidR="00AD5BB5" w:rsidRDefault="00F87FF6">
            <w:pPr>
              <w:autoSpaceDE w:val="0"/>
              <w:autoSpaceDN w:val="0"/>
              <w:ind w:rightChars="5" w:right="10"/>
              <w:jc w:val="right"/>
              <w:rPr>
                <w:rFonts w:ascii="Arial" w:eastAsia="黑体" w:hAnsi="Arial" w:cs="Arial"/>
                <w:sz w:val="20"/>
              </w:rPr>
            </w:pPr>
            <w:r>
              <w:rPr>
                <w:rFonts w:ascii="Arial" w:eastAsia="黑体" w:hAnsi="Arial" w:cs="Arial"/>
                <w:sz w:val="20"/>
              </w:rPr>
              <w:t>6,748,452,089.72</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AD5BB5">
            <w:pPr>
              <w:autoSpaceDE w:val="0"/>
              <w:autoSpaceDN w:val="0"/>
              <w:ind w:leftChars="94" w:left="497" w:hangingChars="150" w:hanging="300"/>
              <w:rPr>
                <w:rFonts w:ascii="Arial" w:eastAsia="黑体" w:hAnsi="Arial" w:cs="Arial"/>
                <w:sz w:val="20"/>
              </w:rPr>
            </w:pPr>
          </w:p>
        </w:tc>
        <w:tc>
          <w:tcPr>
            <w:tcW w:w="688"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single" w:sz="4" w:space="0" w:color="auto"/>
              <w:left w:val="nil"/>
              <w:bottom w:val="nil"/>
              <w:right w:val="nil"/>
            </w:tcBorders>
            <w:vAlign w:val="bottom"/>
          </w:tcPr>
          <w:p w:rsidR="00AD5BB5" w:rsidRDefault="00AD5BB5">
            <w:pPr>
              <w:autoSpaceDE w:val="0"/>
              <w:autoSpaceDN w:val="0"/>
              <w:ind w:rightChars="5" w:right="1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Chars="94" w:left="397" w:hangingChars="100" w:hanging="200"/>
              <w:rPr>
                <w:rFonts w:ascii="Arial" w:eastAsia="黑体" w:hAnsi="Arial" w:cs="Arial"/>
                <w:sz w:val="20"/>
              </w:rPr>
            </w:pPr>
            <w:r>
              <w:rPr>
                <w:rFonts w:ascii="Arial" w:eastAsia="黑体" w:hAnsi="Arial" w:cs="Arial"/>
                <w:sz w:val="20"/>
              </w:rPr>
              <w:t>归属于母公司股东权益合计</w:t>
            </w:r>
          </w:p>
        </w:tc>
        <w:tc>
          <w:tcPr>
            <w:tcW w:w="688"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25,138,814,943.43</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single" w:sz="4" w:space="0" w:color="auto"/>
              <w:right w:val="nil"/>
            </w:tcBorders>
            <w:vAlign w:val="bottom"/>
          </w:tcPr>
          <w:p w:rsidR="00AD5BB5" w:rsidRDefault="00F87FF6">
            <w:pPr>
              <w:autoSpaceDE w:val="0"/>
              <w:autoSpaceDN w:val="0"/>
              <w:ind w:rightChars="5" w:right="10"/>
              <w:jc w:val="right"/>
              <w:rPr>
                <w:rFonts w:ascii="Arial" w:eastAsia="黑体" w:hAnsi="Arial" w:cs="Arial"/>
                <w:sz w:val="20"/>
              </w:rPr>
            </w:pPr>
            <w:r>
              <w:rPr>
                <w:rFonts w:ascii="Arial" w:eastAsia="黑体" w:hAnsi="Arial" w:cs="Arial"/>
                <w:sz w:val="20"/>
              </w:rPr>
              <w:t>24,191,991,535.86</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688"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single" w:sz="4" w:space="0" w:color="auto"/>
              <w:left w:val="nil"/>
              <w:bottom w:val="nil"/>
              <w:right w:val="nil"/>
            </w:tcBorders>
            <w:vAlign w:val="bottom"/>
          </w:tcPr>
          <w:p w:rsidR="00AD5BB5" w:rsidRDefault="00AD5BB5">
            <w:pPr>
              <w:autoSpaceDE w:val="0"/>
              <w:autoSpaceDN w:val="0"/>
              <w:ind w:rightChars="5" w:right="1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Chars="94" w:left="397" w:hangingChars="100" w:hanging="200"/>
              <w:rPr>
                <w:rFonts w:ascii="Arial" w:eastAsia="黑体" w:hAnsi="Arial" w:cs="Arial"/>
                <w:sz w:val="20"/>
              </w:rPr>
            </w:pPr>
            <w:r>
              <w:rPr>
                <w:rFonts w:ascii="Arial" w:eastAsia="黑体" w:hAnsi="Arial" w:cs="Arial"/>
                <w:sz w:val="20"/>
              </w:rPr>
              <w:t>少数股东权益</w:t>
            </w:r>
          </w:p>
        </w:tc>
        <w:tc>
          <w:tcPr>
            <w:tcW w:w="688"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598,428,376.51</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nil"/>
              <w:left w:val="nil"/>
              <w:bottom w:val="single" w:sz="4" w:space="0" w:color="auto"/>
              <w:right w:val="nil"/>
            </w:tcBorders>
            <w:vAlign w:val="bottom"/>
          </w:tcPr>
          <w:p w:rsidR="00AD5BB5" w:rsidRDefault="00F87FF6">
            <w:pPr>
              <w:autoSpaceDE w:val="0"/>
              <w:autoSpaceDN w:val="0"/>
              <w:ind w:rightChars="5" w:right="10"/>
              <w:jc w:val="right"/>
              <w:rPr>
                <w:rFonts w:ascii="Arial" w:eastAsia="黑体" w:hAnsi="Arial" w:cs="Arial"/>
                <w:sz w:val="20"/>
              </w:rPr>
            </w:pPr>
            <w:r>
              <w:rPr>
                <w:rFonts w:ascii="Arial" w:eastAsia="黑体" w:hAnsi="Arial" w:cs="Arial"/>
                <w:sz w:val="20"/>
              </w:rPr>
              <w:t>551,857,969.74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688"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single" w:sz="4" w:space="0" w:color="auto"/>
              <w:left w:val="nil"/>
              <w:bottom w:val="nil"/>
              <w:right w:val="nil"/>
            </w:tcBorders>
            <w:vAlign w:val="bottom"/>
          </w:tcPr>
          <w:p w:rsidR="00AD5BB5" w:rsidRDefault="00AD5BB5">
            <w:pPr>
              <w:autoSpaceDE w:val="0"/>
              <w:autoSpaceDN w:val="0"/>
              <w:ind w:rightChars="5" w:right="1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201" w:hangingChars="100" w:hanging="201"/>
              <w:rPr>
                <w:rFonts w:ascii="Arial" w:eastAsia="黑体" w:hAnsi="Arial" w:cs="Arial"/>
                <w:b/>
                <w:bCs/>
                <w:sz w:val="20"/>
              </w:rPr>
            </w:pPr>
            <w:r>
              <w:rPr>
                <w:rFonts w:ascii="Arial" w:eastAsia="黑体" w:hAnsi="Arial" w:cs="Arial"/>
                <w:b/>
                <w:bCs/>
                <w:sz w:val="20"/>
              </w:rPr>
              <w:t>股东权益合计</w:t>
            </w:r>
          </w:p>
        </w:tc>
        <w:tc>
          <w:tcPr>
            <w:tcW w:w="688"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2031"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25,737,243,319.94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2031" w:type="dxa"/>
            <w:tcBorders>
              <w:top w:val="nil"/>
              <w:left w:val="nil"/>
              <w:bottom w:val="single" w:sz="4" w:space="0" w:color="auto"/>
              <w:right w:val="nil"/>
            </w:tcBorders>
            <w:vAlign w:val="bottom"/>
          </w:tcPr>
          <w:p w:rsidR="00AD5BB5" w:rsidRDefault="00F87FF6">
            <w:pPr>
              <w:autoSpaceDE w:val="0"/>
              <w:autoSpaceDN w:val="0"/>
              <w:ind w:rightChars="5" w:right="10"/>
              <w:jc w:val="right"/>
              <w:rPr>
                <w:rFonts w:ascii="Arial" w:eastAsia="黑体" w:hAnsi="Arial" w:cs="Arial"/>
                <w:b/>
                <w:bCs/>
                <w:sz w:val="20"/>
              </w:rPr>
            </w:pPr>
            <w:r>
              <w:rPr>
                <w:rFonts w:ascii="Arial" w:eastAsia="黑体" w:hAnsi="Arial" w:cs="Arial"/>
                <w:b/>
                <w:bCs/>
                <w:sz w:val="20"/>
              </w:rPr>
              <w:t>24,743,849,505.60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688"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single" w:sz="4" w:space="0" w:color="auto"/>
              <w:left w:val="nil"/>
              <w:bottom w:val="nil"/>
              <w:right w:val="nil"/>
            </w:tcBorders>
            <w:vAlign w:val="bottom"/>
          </w:tcPr>
          <w:p w:rsidR="00AD5BB5" w:rsidRDefault="00AD5BB5">
            <w:pPr>
              <w:autoSpaceDE w:val="0"/>
              <w:autoSpaceDN w:val="0"/>
              <w:ind w:rightChars="5" w:right="1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F87FF6">
            <w:pPr>
              <w:autoSpaceDE w:val="0"/>
              <w:autoSpaceDN w:val="0"/>
              <w:ind w:left="201" w:hangingChars="100" w:hanging="201"/>
              <w:rPr>
                <w:rFonts w:ascii="Arial" w:eastAsia="黑体" w:hAnsi="Arial" w:cs="Arial"/>
                <w:b/>
                <w:bCs/>
                <w:sz w:val="20"/>
              </w:rPr>
            </w:pPr>
            <w:r>
              <w:rPr>
                <w:rFonts w:ascii="Arial" w:eastAsia="黑体" w:hAnsi="Arial" w:cs="Arial"/>
                <w:b/>
                <w:bCs/>
                <w:sz w:val="20"/>
              </w:rPr>
              <w:t>负债和股东权益总计</w:t>
            </w:r>
          </w:p>
        </w:tc>
        <w:tc>
          <w:tcPr>
            <w:tcW w:w="688"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2031"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352,916,314,494.38</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2031" w:type="dxa"/>
            <w:tcBorders>
              <w:top w:val="nil"/>
              <w:left w:val="nil"/>
              <w:bottom w:val="double" w:sz="4" w:space="0" w:color="auto"/>
              <w:right w:val="nil"/>
            </w:tcBorders>
            <w:vAlign w:val="bottom"/>
          </w:tcPr>
          <w:p w:rsidR="00AD5BB5" w:rsidRDefault="00F87FF6">
            <w:pPr>
              <w:autoSpaceDE w:val="0"/>
              <w:autoSpaceDN w:val="0"/>
              <w:ind w:rightChars="5" w:right="10"/>
              <w:jc w:val="right"/>
              <w:rPr>
                <w:rFonts w:ascii="Arial" w:eastAsia="黑体" w:hAnsi="Arial" w:cs="Arial"/>
                <w:b/>
                <w:bCs/>
                <w:sz w:val="20"/>
              </w:rPr>
            </w:pPr>
            <w:r>
              <w:rPr>
                <w:rFonts w:ascii="Arial" w:eastAsia="黑体" w:hAnsi="Arial" w:cs="Arial"/>
                <w:b/>
                <w:bCs/>
                <w:sz w:val="20"/>
              </w:rPr>
              <w:t>371,208,018,622.35</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236"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688"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1"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bl>
    <w:p w:rsidR="00AD5BB5" w:rsidRDefault="00AD5BB5">
      <w:pPr>
        <w:overflowPunct w:val="0"/>
        <w:autoSpaceDE w:val="0"/>
        <w:autoSpaceDN w:val="0"/>
        <w:rPr>
          <w:rFonts w:ascii="Arial" w:eastAsia="黑体" w:hAnsi="Arial" w:cs="Arial"/>
          <w:sz w:val="20"/>
        </w:rPr>
      </w:pPr>
    </w:p>
    <w:p w:rsidR="00AD5BB5" w:rsidRDefault="00F87FF6">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rPr>
      </w:pPr>
      <w:r>
        <w:rPr>
          <w:rFonts w:ascii="Arial" w:eastAsia="黑体" w:hAnsi="Arial" w:cs="Arial"/>
          <w:sz w:val="20"/>
        </w:rPr>
        <w:t>本财务报表已于</w:t>
      </w:r>
      <w:r>
        <w:rPr>
          <w:rFonts w:ascii="Arial" w:eastAsia="黑体" w:hAnsi="Arial" w:cs="Arial"/>
          <w:sz w:val="20"/>
        </w:rPr>
        <w:fldChar w:fldCharType="begin"/>
      </w:r>
      <w:r>
        <w:rPr>
          <w:rFonts w:ascii="Arial" w:eastAsia="黑体" w:hAnsi="Arial" w:cs="Arial"/>
          <w:sz w:val="20"/>
        </w:rPr>
        <w:instrText xml:space="preserve"> DOCPROPERTY </w:instrText>
      </w:r>
      <w:r>
        <w:rPr>
          <w:rFonts w:ascii="Arial" w:eastAsia="黑体" w:hAnsi="Arial" w:cs="Arial"/>
          <w:sz w:val="20"/>
        </w:rPr>
        <w:instrText>报告日</w:instrText>
      </w:r>
      <w:r>
        <w:rPr>
          <w:rFonts w:ascii="Arial" w:eastAsia="黑体" w:hAnsi="Arial" w:cs="Arial"/>
          <w:sz w:val="20"/>
        </w:rPr>
        <w:instrText xml:space="preserve"> </w:instrText>
      </w:r>
      <w:r>
        <w:rPr>
          <w:rFonts w:ascii="Arial" w:eastAsia="黑体" w:hAnsi="Arial" w:cs="Arial"/>
          <w:sz w:val="20"/>
        </w:rPr>
        <w:fldChar w:fldCharType="separate"/>
      </w:r>
      <w:r>
        <w:rPr>
          <w:rFonts w:ascii="Arial" w:eastAsia="黑体" w:hAnsi="Arial" w:cs="Arial"/>
          <w:sz w:val="20"/>
        </w:rPr>
        <w:t>2023</w:t>
      </w:r>
      <w:r>
        <w:rPr>
          <w:rFonts w:ascii="Arial" w:eastAsia="黑体" w:hAnsi="Arial" w:cs="Arial"/>
          <w:sz w:val="20"/>
        </w:rPr>
        <w:t>年</w:t>
      </w:r>
      <w:r>
        <w:rPr>
          <w:rFonts w:ascii="Arial" w:eastAsia="黑体" w:hAnsi="Arial" w:cs="Arial"/>
          <w:sz w:val="20"/>
        </w:rPr>
        <w:t>8</w:t>
      </w:r>
      <w:r>
        <w:rPr>
          <w:rFonts w:ascii="Arial" w:eastAsia="黑体" w:hAnsi="Arial" w:cs="Arial"/>
          <w:sz w:val="20"/>
        </w:rPr>
        <w:t>月</w:t>
      </w:r>
      <w:r>
        <w:rPr>
          <w:rFonts w:ascii="Arial" w:eastAsia="黑体" w:hAnsi="Arial" w:cs="Arial"/>
          <w:sz w:val="20"/>
        </w:rPr>
        <w:t>28</w:t>
      </w:r>
      <w:r>
        <w:rPr>
          <w:rFonts w:ascii="Arial" w:eastAsia="黑体" w:hAnsi="Arial" w:cs="Arial"/>
          <w:sz w:val="20"/>
        </w:rPr>
        <w:t>日</w:t>
      </w:r>
      <w:r>
        <w:rPr>
          <w:rFonts w:ascii="Arial" w:eastAsia="黑体" w:hAnsi="Arial" w:cs="Arial"/>
          <w:sz w:val="20"/>
        </w:rPr>
        <w:fldChar w:fldCharType="end"/>
      </w:r>
      <w:r>
        <w:rPr>
          <w:rFonts w:ascii="Arial" w:eastAsia="黑体" w:hAnsi="Arial" w:cs="Arial"/>
          <w:sz w:val="20"/>
        </w:rPr>
        <w:t>获本行董事会批准。</w:t>
      </w:r>
    </w:p>
    <w:p w:rsidR="00AD5BB5" w:rsidRDefault="00AD5BB5">
      <w:pPr>
        <w:overflowPunct w:val="0"/>
        <w:autoSpaceDE w:val="0"/>
        <w:autoSpaceDN w:val="0"/>
        <w:snapToGrid w:val="0"/>
        <w:rPr>
          <w:rFonts w:ascii="Arial" w:eastAsia="黑体" w:hAnsi="Arial" w:cs="Arial"/>
          <w:i/>
          <w:sz w:val="20"/>
        </w:rPr>
      </w:pPr>
    </w:p>
    <w:p w:rsidR="00AD5BB5" w:rsidRDefault="00AD5BB5">
      <w:pPr>
        <w:overflowPunct w:val="0"/>
        <w:autoSpaceDE w:val="0"/>
        <w:autoSpaceDN w:val="0"/>
        <w:snapToGrid w:val="0"/>
        <w:rPr>
          <w:rFonts w:ascii="Arial" w:eastAsia="黑体" w:hAnsi="Arial" w:cs="Arial"/>
          <w:i/>
          <w:sz w:val="20"/>
        </w:rPr>
      </w:pPr>
    </w:p>
    <w:p w:rsidR="00AD5BB5" w:rsidRDefault="00F87FF6">
      <w:pPr>
        <w:overflowPunct w:val="0"/>
        <w:autoSpaceDE w:val="0"/>
        <w:autoSpaceDN w:val="0"/>
        <w:snapToGrid w:val="0"/>
        <w:rPr>
          <w:rFonts w:ascii="Arial" w:eastAsia="黑体" w:hAnsi="Arial" w:cs="Arial"/>
          <w:sz w:val="20"/>
        </w:rPr>
      </w:pPr>
      <w:r>
        <w:rPr>
          <w:rFonts w:ascii="Arial" w:eastAsia="黑体" w:hAnsi="Arial" w:cs="Arial"/>
          <w:sz w:val="20"/>
        </w:rPr>
        <w:t>本财务报表由以下人士签署：</w:t>
      </w:r>
    </w:p>
    <w:p w:rsidR="00AD5BB5" w:rsidRDefault="00AD5BB5">
      <w:pPr>
        <w:overflowPunct w:val="0"/>
        <w:autoSpaceDE w:val="0"/>
        <w:autoSpaceDN w:val="0"/>
        <w:snapToGrid w:val="0"/>
        <w:rPr>
          <w:rFonts w:ascii="Arial" w:eastAsia="黑体" w:hAnsi="Arial" w:cs="Arial"/>
          <w:sz w:val="20"/>
        </w:rPr>
      </w:pPr>
    </w:p>
    <w:p w:rsidR="00AD5BB5" w:rsidRDefault="00AD5BB5">
      <w:pPr>
        <w:overflowPunct w:val="0"/>
        <w:autoSpaceDE w:val="0"/>
        <w:autoSpaceDN w:val="0"/>
        <w:snapToGrid w:val="0"/>
        <w:rPr>
          <w:rFonts w:ascii="Arial" w:eastAsia="黑体" w:hAnsi="Arial" w:cs="Arial"/>
          <w:sz w:val="20"/>
        </w:rPr>
      </w:pPr>
    </w:p>
    <w:p w:rsidR="00AD5BB5" w:rsidRDefault="00AD5BB5">
      <w:pPr>
        <w:overflowPunct w:val="0"/>
        <w:autoSpaceDE w:val="0"/>
        <w:autoSpaceDN w:val="0"/>
        <w:snapToGrid w:val="0"/>
        <w:rPr>
          <w:rFonts w:ascii="Arial" w:eastAsia="黑体" w:hAnsi="Arial" w:cs="Arial"/>
          <w:sz w:val="20"/>
        </w:rPr>
      </w:pPr>
    </w:p>
    <w:p w:rsidR="00AD5BB5" w:rsidRDefault="00AD5BB5">
      <w:pPr>
        <w:overflowPunct w:val="0"/>
        <w:autoSpaceDE w:val="0"/>
        <w:autoSpaceDN w:val="0"/>
        <w:snapToGrid w:val="0"/>
        <w:rPr>
          <w:rFonts w:ascii="Arial" w:eastAsia="黑体" w:hAnsi="Arial" w:cs="Arial"/>
          <w:sz w:val="20"/>
        </w:rPr>
      </w:pPr>
    </w:p>
    <w:p w:rsidR="00AD5BB5" w:rsidRDefault="00AD5BB5">
      <w:pPr>
        <w:overflowPunct w:val="0"/>
        <w:autoSpaceDE w:val="0"/>
        <w:autoSpaceDN w:val="0"/>
        <w:snapToGrid w:val="0"/>
        <w:rPr>
          <w:rFonts w:ascii="Arial" w:eastAsia="黑体" w:hAnsi="Arial" w:cs="Arial"/>
          <w:sz w:val="20"/>
        </w:rPr>
      </w:pPr>
    </w:p>
    <w:p w:rsidR="00AD5BB5" w:rsidRDefault="00AD5BB5">
      <w:pPr>
        <w:overflowPunct w:val="0"/>
        <w:autoSpaceDE w:val="0"/>
        <w:autoSpaceDN w:val="0"/>
        <w:snapToGrid w:val="0"/>
        <w:rPr>
          <w:rFonts w:ascii="Arial" w:eastAsia="黑体" w:hAnsi="Arial" w:cs="Arial"/>
          <w:sz w:val="20"/>
        </w:rPr>
      </w:pPr>
    </w:p>
    <w:p w:rsidR="00AD5BB5" w:rsidRDefault="00F87FF6">
      <w:pPr>
        <w:tabs>
          <w:tab w:val="left" w:pos="2100"/>
          <w:tab w:val="left" w:pos="2268"/>
          <w:tab w:val="left" w:pos="4962"/>
        </w:tabs>
        <w:overflowPunct w:val="0"/>
        <w:autoSpaceDE w:val="0"/>
        <w:autoSpaceDN w:val="0"/>
        <w:snapToGrid w:val="0"/>
        <w:rPr>
          <w:rFonts w:ascii="Arial" w:eastAsia="黑体" w:hAnsi="Arial" w:cs="Arial"/>
          <w:sz w:val="20"/>
        </w:rPr>
      </w:pPr>
      <w:r>
        <w:rPr>
          <w:rFonts w:ascii="Arial" w:eastAsia="黑体" w:hAnsi="Arial" w:cs="Arial"/>
          <w:sz w:val="20"/>
        </w:rPr>
        <w:t>法定</w:t>
      </w:r>
      <w:r>
        <w:rPr>
          <w:rFonts w:ascii="Arial" w:eastAsia="黑体" w:hAnsi="Arial" w:cs="Arial"/>
          <w:sz w:val="20"/>
        </w:rPr>
        <w:tab/>
      </w:r>
      <w:r>
        <w:rPr>
          <w:rFonts w:ascii="Arial" w:eastAsia="黑体" w:hAnsi="Arial" w:cs="Arial"/>
          <w:sz w:val="20"/>
        </w:rPr>
        <w:tab/>
      </w:r>
      <w:r>
        <w:rPr>
          <w:rFonts w:ascii="Arial" w:eastAsia="黑体" w:hAnsi="Arial" w:cs="Arial"/>
          <w:sz w:val="20"/>
        </w:rPr>
        <w:t>主管财会</w:t>
      </w:r>
      <w:r>
        <w:rPr>
          <w:rFonts w:ascii="Arial" w:eastAsia="黑体" w:hAnsi="Arial" w:cs="Arial"/>
          <w:sz w:val="20"/>
        </w:rPr>
        <w:tab/>
      </w:r>
      <w:r>
        <w:rPr>
          <w:rFonts w:ascii="Arial" w:eastAsia="黑体" w:hAnsi="Arial" w:cs="Arial"/>
          <w:sz w:val="20"/>
        </w:rPr>
        <w:t>财会机构</w:t>
      </w:r>
    </w:p>
    <w:p w:rsidR="00AD5BB5" w:rsidRDefault="00F87FF6">
      <w:pPr>
        <w:tabs>
          <w:tab w:val="left" w:pos="1985"/>
          <w:tab w:val="left" w:pos="2268"/>
          <w:tab w:val="left" w:pos="4962"/>
          <w:tab w:val="left" w:pos="7181"/>
        </w:tabs>
        <w:overflowPunct w:val="0"/>
        <w:autoSpaceDE w:val="0"/>
        <w:autoSpaceDN w:val="0"/>
        <w:snapToGrid w:val="0"/>
        <w:rPr>
          <w:rFonts w:ascii="Arial" w:eastAsia="黑体" w:hAnsi="Arial" w:cs="Arial"/>
          <w:i/>
          <w:sz w:val="20"/>
        </w:rPr>
      </w:pPr>
      <w:r>
        <w:rPr>
          <w:rFonts w:ascii="Arial" w:eastAsia="黑体" w:hAnsi="Arial" w:cs="Arial"/>
          <w:sz w:val="20"/>
        </w:rPr>
        <w:t>代表人：</w:t>
      </w:r>
      <w:r>
        <w:rPr>
          <w:rFonts w:ascii="Arial" w:eastAsia="黑体" w:hAnsi="Arial" w:cs="Arial"/>
          <w:sz w:val="20"/>
        </w:rPr>
        <w:tab/>
      </w:r>
      <w:r>
        <w:rPr>
          <w:rFonts w:ascii="Arial" w:eastAsia="黑体" w:hAnsi="Arial" w:cs="Arial"/>
          <w:sz w:val="20"/>
        </w:rPr>
        <w:tab/>
      </w:r>
      <w:r>
        <w:rPr>
          <w:rFonts w:ascii="Arial" w:eastAsia="黑体" w:hAnsi="Arial" w:cs="Arial"/>
          <w:sz w:val="20"/>
        </w:rPr>
        <w:t>工作负责人：</w:t>
      </w:r>
      <w:r>
        <w:rPr>
          <w:rFonts w:ascii="Arial" w:eastAsia="黑体" w:hAnsi="Arial" w:cs="Arial"/>
          <w:sz w:val="20"/>
        </w:rPr>
        <w:tab/>
      </w:r>
      <w:r>
        <w:rPr>
          <w:rFonts w:ascii="Arial" w:eastAsia="黑体" w:hAnsi="Arial" w:cs="Arial"/>
          <w:sz w:val="20"/>
        </w:rPr>
        <w:t>负责人：</w:t>
      </w:r>
      <w:r>
        <w:rPr>
          <w:rFonts w:ascii="Arial" w:eastAsia="黑体" w:hAnsi="Arial" w:cs="Arial"/>
          <w:sz w:val="20"/>
        </w:rPr>
        <w:tab/>
      </w:r>
      <w:r>
        <w:rPr>
          <w:rFonts w:ascii="Arial" w:eastAsia="黑体" w:hAnsi="Arial" w:cs="Arial"/>
          <w:sz w:val="20"/>
        </w:rPr>
        <w:tab/>
      </w:r>
      <w:r>
        <w:rPr>
          <w:rFonts w:ascii="Arial" w:eastAsia="黑体" w:hAnsi="Arial" w:cs="Arial"/>
          <w:sz w:val="20"/>
        </w:rPr>
        <w:t>盖章</w:t>
      </w: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F87FF6">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i/>
          <w:sz w:val="20"/>
        </w:rPr>
        <w:sectPr w:rsidR="00AD5BB5">
          <w:headerReference w:type="even" r:id="rId17"/>
          <w:headerReference w:type="default" r:id="rId18"/>
          <w:headerReference w:type="first" r:id="rId19"/>
          <w:pgSz w:w="11907" w:h="16840"/>
          <w:pgMar w:top="1440" w:right="1797" w:bottom="1440" w:left="1797" w:header="720" w:footer="720" w:gutter="0"/>
          <w:cols w:space="720"/>
          <w:titlePg/>
          <w:docGrid w:linePitch="360"/>
        </w:sectPr>
      </w:pPr>
      <w:r>
        <w:rPr>
          <w:rFonts w:ascii="Arial" w:eastAsia="黑体" w:hAnsi="Arial" w:cs="Arial"/>
          <w:i/>
          <w:sz w:val="20"/>
        </w:rPr>
        <w:t>后附财务报表附注为本财务报表的组成部分</w:t>
      </w:r>
    </w:p>
    <w:p w:rsidR="00AD5BB5" w:rsidRDefault="00AD5BB5">
      <w:pPr>
        <w:overflowPunct w:val="0"/>
        <w:autoSpaceDE w:val="0"/>
        <w:autoSpaceDN w:val="0"/>
        <w:adjustRightInd w:val="0"/>
        <w:rPr>
          <w:rFonts w:ascii="Arial" w:eastAsia="黑体" w:hAnsi="Arial" w:cs="Arial"/>
          <w:sz w:val="20"/>
        </w:rPr>
      </w:pPr>
      <w:bookmarkStart w:id="57" w:name="afsaddin_Section_d23044e07d0b4b11818e78d"/>
    </w:p>
    <w:bookmarkEnd w:id="57"/>
    <w:p w:rsidR="00AD5BB5" w:rsidRDefault="00AD5BB5">
      <w:pPr>
        <w:overflowPunct w:val="0"/>
        <w:autoSpaceDE w:val="0"/>
        <w:autoSpaceDN w:val="0"/>
        <w:adjustRightInd w:val="0"/>
        <w:rPr>
          <w:rFonts w:ascii="Arial" w:eastAsia="黑体" w:hAnsi="Arial" w:cs="Arial"/>
          <w:sz w:val="20"/>
        </w:rPr>
      </w:pPr>
    </w:p>
    <w:tbl>
      <w:tblPr>
        <w:tblW w:w="0" w:type="auto"/>
        <w:tblLayout w:type="fixed"/>
        <w:tblCellMar>
          <w:left w:w="0" w:type="dxa"/>
          <w:right w:w="0" w:type="dxa"/>
        </w:tblCellMar>
        <w:tblLook w:val="04A0" w:firstRow="1" w:lastRow="0" w:firstColumn="1" w:lastColumn="0" w:noHBand="0" w:noVBand="1"/>
        <w:tblCaption w:val="69a5f95f-0e0a-411c-87ce-efc816353468"/>
        <w:tblDescription w:val="{&quot;UUID&quot;:&quot;afsaddin_tabledata_2_56437_69a5f95f-0e0a-411c-87ce-efc816353468&quot;,&quot;TitleRowCount&quot;:2,&quot;SplitedTable&quot;:false,&quot;FirstTableId&quot;:&quot;69a5f95f-0e0a-411c-87ce-efc816353468&quot;}"/>
      </w:tblPr>
      <w:tblGrid>
        <w:gridCol w:w="3430"/>
        <w:gridCol w:w="761"/>
        <w:gridCol w:w="111"/>
        <w:gridCol w:w="1927"/>
        <w:gridCol w:w="111"/>
        <w:gridCol w:w="111"/>
        <w:gridCol w:w="1878"/>
        <w:gridCol w:w="111"/>
      </w:tblGrid>
      <w:tr w:rsidR="00AD5BB5">
        <w:tc>
          <w:tcPr>
            <w:tcW w:w="3430" w:type="dxa"/>
            <w:tcBorders>
              <w:top w:val="nil"/>
              <w:left w:val="nil"/>
              <w:bottom w:val="nil"/>
              <w:right w:val="nil"/>
            </w:tcBorders>
            <w:vAlign w:val="bottom"/>
          </w:tcPr>
          <w:p w:rsidR="00AD5BB5" w:rsidRDefault="00AD5BB5">
            <w:pPr>
              <w:autoSpaceDE w:val="0"/>
              <w:autoSpaceDN w:val="0"/>
              <w:ind w:left="301" w:hangingChars="150" w:hanging="301"/>
              <w:rPr>
                <w:rFonts w:ascii="Arial" w:eastAsia="黑体" w:hAnsi="Arial" w:cs="Arial"/>
                <w:b/>
                <w:bCs/>
                <w:sz w:val="20"/>
              </w:rPr>
            </w:pPr>
          </w:p>
        </w:tc>
        <w:tc>
          <w:tcPr>
            <w:tcW w:w="761" w:type="dxa"/>
            <w:tcBorders>
              <w:top w:val="nil"/>
              <w:left w:val="nil"/>
              <w:bottom w:val="nil"/>
              <w:right w:val="nil"/>
            </w:tcBorders>
            <w:vAlign w:val="bottom"/>
          </w:tcPr>
          <w:p w:rsidR="00AD5BB5" w:rsidRDefault="00F87FF6">
            <w:pPr>
              <w:autoSpaceDE w:val="0"/>
              <w:autoSpaceDN w:val="0"/>
              <w:jc w:val="center"/>
              <w:rPr>
                <w:rFonts w:ascii="Arial" w:eastAsia="黑体" w:hAnsi="Arial" w:cs="Arial"/>
                <w:b/>
                <w:bCs/>
                <w:sz w:val="20"/>
                <w:u w:val="single"/>
              </w:rPr>
            </w:pPr>
            <w:r>
              <w:rPr>
                <w:rFonts w:ascii="Arial" w:eastAsia="黑体" w:hAnsi="Arial" w:cs="Arial"/>
                <w:b/>
                <w:bCs/>
                <w:sz w:val="20"/>
                <w:u w:val="single"/>
              </w:rPr>
              <w:t>附注五</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9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u w:val="single"/>
              </w:rPr>
            </w:pPr>
            <w:r>
              <w:rPr>
                <w:rFonts w:ascii="Arial" w:eastAsia="黑体" w:hAnsi="Arial" w:cs="Arial"/>
                <w:sz w:val="20"/>
                <w:u w:val="single"/>
              </w:rPr>
              <w:fldChar w:fldCharType="begin"/>
            </w:r>
            <w:r>
              <w:rPr>
                <w:rFonts w:ascii="Arial" w:eastAsia="黑体" w:hAnsi="Arial" w:cs="Arial"/>
                <w:sz w:val="20"/>
                <w:u w:val="single"/>
              </w:rPr>
              <w:instrText xml:space="preserve">DOCPROPERTY </w:instrText>
            </w:r>
            <w:r>
              <w:rPr>
                <w:rFonts w:ascii="Arial" w:eastAsia="黑体" w:hAnsi="Arial" w:cs="Arial"/>
                <w:sz w:val="20"/>
                <w:u w:val="single"/>
              </w:rPr>
              <w:instrText>当期会计期间</w:instrText>
            </w:r>
            <w:r>
              <w:rPr>
                <w:rFonts w:ascii="Arial" w:eastAsia="黑体" w:hAnsi="Arial" w:cs="Arial"/>
                <w:sz w:val="20"/>
                <w:u w:val="single"/>
              </w:rPr>
              <w:fldChar w:fldCharType="separate"/>
            </w:r>
            <w:r>
              <w:rPr>
                <w:rFonts w:ascii="Arial" w:eastAsia="黑体" w:hAnsi="Arial" w:cs="Arial"/>
                <w:sz w:val="20"/>
                <w:u w:val="single"/>
              </w:rPr>
              <w:t>2023</w:t>
            </w:r>
            <w:r>
              <w:rPr>
                <w:rFonts w:ascii="Arial" w:eastAsia="黑体" w:hAnsi="Arial" w:cs="Arial"/>
                <w:sz w:val="20"/>
                <w:u w:val="single"/>
              </w:rPr>
              <w:fldChar w:fldCharType="end"/>
            </w:r>
            <w:r>
              <w:rPr>
                <w:rFonts w:ascii="Arial" w:eastAsia="黑体" w:hAnsi="Arial" w:cs="Arial"/>
                <w:sz w:val="20"/>
                <w:u w:val="single"/>
              </w:rPr>
              <w:t>年</w:t>
            </w:r>
            <w:r>
              <w:rPr>
                <w:rFonts w:ascii="Arial" w:eastAsia="黑体" w:hAnsi="Arial" w:cs="Arial"/>
                <w:sz w:val="20"/>
                <w:u w:val="single"/>
              </w:rPr>
              <w:t>1-6</w:t>
            </w:r>
            <w:r>
              <w:rPr>
                <w:rFonts w:ascii="Arial" w:eastAsia="黑体" w:hAnsi="Arial" w:cs="Arial"/>
                <w:sz w:val="20"/>
                <w:u w:val="single"/>
              </w:rPr>
              <w:t>月</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u w:val="single"/>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u w:val="single"/>
              </w:rPr>
            </w:pPr>
          </w:p>
        </w:tc>
        <w:tc>
          <w:tcPr>
            <w:tcW w:w="187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u w:val="single"/>
              </w:rPr>
            </w:pPr>
            <w:r>
              <w:rPr>
                <w:rFonts w:ascii="Arial" w:eastAsia="黑体" w:hAnsi="Arial" w:cs="Arial"/>
                <w:sz w:val="20"/>
                <w:u w:val="single"/>
              </w:rPr>
              <w:fldChar w:fldCharType="begin"/>
            </w:r>
            <w:r>
              <w:rPr>
                <w:rFonts w:ascii="Arial" w:eastAsia="黑体" w:hAnsi="Arial" w:cs="Arial"/>
                <w:sz w:val="20"/>
                <w:u w:val="single"/>
              </w:rPr>
              <w:instrText xml:space="preserve">DOCPROPERTY </w:instrText>
            </w:r>
            <w:r>
              <w:rPr>
                <w:rFonts w:ascii="Arial" w:eastAsia="黑体" w:hAnsi="Arial" w:cs="Arial"/>
                <w:sz w:val="20"/>
                <w:u w:val="single"/>
              </w:rPr>
              <w:instrText>对比会计期间</w:instrText>
            </w:r>
            <w:r>
              <w:rPr>
                <w:rFonts w:ascii="Arial" w:eastAsia="黑体" w:hAnsi="Arial" w:cs="Arial"/>
                <w:sz w:val="20"/>
                <w:u w:val="single"/>
              </w:rPr>
              <w:fldChar w:fldCharType="separate"/>
            </w:r>
            <w:r>
              <w:rPr>
                <w:rFonts w:ascii="Arial" w:eastAsia="黑体" w:hAnsi="Arial" w:cs="Arial"/>
                <w:sz w:val="20"/>
                <w:u w:val="single"/>
              </w:rPr>
              <w:t>2022</w:t>
            </w:r>
            <w:r>
              <w:rPr>
                <w:rFonts w:ascii="Arial" w:eastAsia="黑体" w:hAnsi="Arial" w:cs="Arial"/>
                <w:sz w:val="20"/>
                <w:u w:val="single"/>
              </w:rPr>
              <w:fldChar w:fldCharType="end"/>
            </w:r>
            <w:r>
              <w:rPr>
                <w:rFonts w:ascii="Arial" w:eastAsia="黑体" w:hAnsi="Arial" w:cs="Arial"/>
                <w:sz w:val="20"/>
                <w:u w:val="single"/>
              </w:rPr>
              <w:t>年</w:t>
            </w:r>
            <w:r>
              <w:rPr>
                <w:rFonts w:ascii="Arial" w:eastAsia="黑体" w:hAnsi="Arial" w:cs="Arial"/>
                <w:sz w:val="20"/>
                <w:u w:val="single"/>
              </w:rPr>
              <w:t>1-6</w:t>
            </w:r>
            <w:r>
              <w:rPr>
                <w:rFonts w:ascii="Arial" w:eastAsia="黑体" w:hAnsi="Arial" w:cs="Arial"/>
                <w:sz w:val="20"/>
                <w:u w:val="single"/>
              </w:rPr>
              <w:t>月</w:t>
            </w:r>
          </w:p>
        </w:tc>
        <w:tc>
          <w:tcPr>
            <w:tcW w:w="11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F87FF6">
            <w:pPr>
              <w:autoSpaceDE w:val="0"/>
              <w:autoSpaceDN w:val="0"/>
              <w:ind w:left="201" w:hangingChars="100" w:hanging="201"/>
              <w:rPr>
                <w:rFonts w:ascii="Arial" w:eastAsia="黑体" w:hAnsi="Arial" w:cs="Arial"/>
                <w:b/>
                <w:bCs/>
                <w:sz w:val="20"/>
              </w:rPr>
            </w:pPr>
            <w:r>
              <w:rPr>
                <w:rFonts w:ascii="Arial" w:eastAsia="黑体" w:hAnsi="Arial" w:cs="Arial"/>
                <w:b/>
                <w:bCs/>
                <w:sz w:val="20"/>
              </w:rPr>
              <w:t>营业收入</w:t>
            </w: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927"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2,957,516,579.04</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878"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2,854,758,974.05</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F87FF6">
            <w:pPr>
              <w:autoSpaceDE w:val="0"/>
              <w:autoSpaceDN w:val="0"/>
              <w:ind w:leftChars="91" w:left="391" w:hangingChars="100" w:hanging="200"/>
              <w:rPr>
                <w:rFonts w:ascii="Arial" w:eastAsia="黑体" w:hAnsi="Arial" w:cs="Arial"/>
                <w:sz w:val="20"/>
              </w:rPr>
            </w:pPr>
            <w:r>
              <w:rPr>
                <w:rFonts w:ascii="Arial" w:eastAsia="黑体" w:hAnsi="Arial" w:cs="Arial"/>
                <w:sz w:val="20"/>
              </w:rPr>
              <w:t>利息净收入</w:t>
            </w:r>
          </w:p>
        </w:tc>
        <w:tc>
          <w:tcPr>
            <w:tcW w:w="761"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hint="eastAsia"/>
                <w:sz w:val="20"/>
              </w:rPr>
              <w:t>3</w:t>
            </w:r>
            <w:r>
              <w:rPr>
                <w:rFonts w:ascii="Arial" w:eastAsia="黑体" w:hAnsi="Arial" w:cs="Arial"/>
                <w:sz w:val="20"/>
              </w:rPr>
              <w:t>6</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2,238,125,200.18</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2,274,713,077.18</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F87FF6">
            <w:pPr>
              <w:autoSpaceDE w:val="0"/>
              <w:autoSpaceDN w:val="0"/>
              <w:ind w:leftChars="181" w:left="580" w:hangingChars="100" w:hanging="200"/>
              <w:rPr>
                <w:rFonts w:ascii="Arial" w:eastAsia="黑体" w:hAnsi="Arial" w:cs="Arial"/>
                <w:sz w:val="20"/>
              </w:rPr>
            </w:pPr>
            <w:r>
              <w:rPr>
                <w:rFonts w:ascii="Arial" w:eastAsia="黑体" w:hAnsi="Arial" w:cs="Arial"/>
                <w:sz w:val="20"/>
              </w:rPr>
              <w:t>利息收入</w:t>
            </w: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6,225,831,583.83</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6,090,576,666.02</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F87FF6">
            <w:pPr>
              <w:autoSpaceDE w:val="0"/>
              <w:autoSpaceDN w:val="0"/>
              <w:ind w:leftChars="181" w:left="580" w:hangingChars="100" w:hanging="200"/>
              <w:rPr>
                <w:rFonts w:ascii="Arial" w:eastAsia="黑体" w:hAnsi="Arial" w:cs="Arial"/>
                <w:sz w:val="20"/>
              </w:rPr>
            </w:pPr>
            <w:r>
              <w:rPr>
                <w:rFonts w:ascii="Arial" w:eastAsia="黑体" w:hAnsi="Arial" w:cs="Arial"/>
                <w:sz w:val="20"/>
              </w:rPr>
              <w:t>利息支出</w:t>
            </w: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(3,987,706,383.65</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(3,815,863,588.84</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r>
      <w:tr w:rsidR="00AD5BB5">
        <w:tc>
          <w:tcPr>
            <w:tcW w:w="3430" w:type="dxa"/>
            <w:tcBorders>
              <w:top w:val="nil"/>
              <w:left w:val="nil"/>
              <w:bottom w:val="nil"/>
              <w:right w:val="nil"/>
            </w:tcBorders>
            <w:vAlign w:val="bottom"/>
          </w:tcPr>
          <w:p w:rsidR="00AD5BB5" w:rsidRDefault="00F87FF6">
            <w:pPr>
              <w:autoSpaceDE w:val="0"/>
              <w:autoSpaceDN w:val="0"/>
              <w:ind w:leftChars="96" w:left="402" w:hangingChars="100" w:hanging="200"/>
              <w:rPr>
                <w:rFonts w:ascii="Arial" w:eastAsia="黑体" w:hAnsi="Arial" w:cs="Arial"/>
                <w:sz w:val="20"/>
              </w:rPr>
            </w:pPr>
            <w:r>
              <w:rPr>
                <w:rFonts w:ascii="Arial" w:eastAsia="黑体" w:hAnsi="Arial" w:cs="Arial"/>
                <w:sz w:val="20"/>
              </w:rPr>
              <w:t>手续费及佣金净收入</w:t>
            </w:r>
          </w:p>
        </w:tc>
        <w:tc>
          <w:tcPr>
            <w:tcW w:w="761"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hint="eastAsia"/>
                <w:sz w:val="20"/>
              </w:rPr>
              <w:t>3</w:t>
            </w:r>
            <w:r>
              <w:rPr>
                <w:rFonts w:ascii="Arial" w:eastAsia="黑体" w:hAnsi="Arial" w:cs="Arial"/>
                <w:sz w:val="20"/>
              </w:rPr>
              <w:t>7</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195,340,289.29</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239,275,890.72</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F87FF6">
            <w:pPr>
              <w:autoSpaceDE w:val="0"/>
              <w:autoSpaceDN w:val="0"/>
              <w:ind w:leftChars="181" w:left="580" w:hangingChars="100" w:hanging="200"/>
              <w:rPr>
                <w:rFonts w:ascii="Arial" w:eastAsia="黑体" w:hAnsi="Arial" w:cs="Arial"/>
                <w:sz w:val="20"/>
              </w:rPr>
            </w:pPr>
            <w:r>
              <w:rPr>
                <w:rFonts w:ascii="Arial" w:eastAsia="黑体" w:hAnsi="Arial" w:cs="Arial"/>
                <w:sz w:val="20"/>
              </w:rPr>
              <w:t>手续费及佣金收入</w:t>
            </w: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331,596,484.00</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311,609,642.41</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F87FF6">
            <w:pPr>
              <w:autoSpaceDE w:val="0"/>
              <w:autoSpaceDN w:val="0"/>
              <w:ind w:leftChars="181" w:left="580" w:hangingChars="100" w:hanging="200"/>
              <w:rPr>
                <w:rFonts w:ascii="Arial" w:eastAsia="黑体" w:hAnsi="Arial" w:cs="Arial"/>
                <w:sz w:val="20"/>
              </w:rPr>
            </w:pPr>
            <w:r>
              <w:rPr>
                <w:rFonts w:ascii="Arial" w:eastAsia="黑体" w:hAnsi="Arial" w:cs="Arial"/>
                <w:sz w:val="20"/>
              </w:rPr>
              <w:t>手续费及佣金支出</w:t>
            </w: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(136,256,194.71</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(72,333,751.69</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r>
      <w:tr w:rsidR="00AD5BB5">
        <w:tc>
          <w:tcPr>
            <w:tcW w:w="3430" w:type="dxa"/>
            <w:tcBorders>
              <w:top w:val="nil"/>
              <w:left w:val="nil"/>
              <w:bottom w:val="nil"/>
              <w:right w:val="nil"/>
            </w:tcBorders>
            <w:vAlign w:val="bottom"/>
          </w:tcPr>
          <w:p w:rsidR="00AD5BB5" w:rsidRDefault="00F87FF6">
            <w:pPr>
              <w:autoSpaceDE w:val="0"/>
              <w:autoSpaceDN w:val="0"/>
              <w:ind w:leftChars="96" w:left="402" w:hangingChars="100" w:hanging="200"/>
              <w:rPr>
                <w:rFonts w:ascii="Arial" w:eastAsia="黑体" w:hAnsi="Arial" w:cs="Arial"/>
                <w:sz w:val="20"/>
              </w:rPr>
            </w:pPr>
            <w:r>
              <w:rPr>
                <w:rFonts w:ascii="Arial" w:eastAsia="黑体" w:hAnsi="Arial" w:cs="Arial"/>
                <w:sz w:val="20"/>
              </w:rPr>
              <w:t>投资收益</w:t>
            </w:r>
          </w:p>
        </w:tc>
        <w:tc>
          <w:tcPr>
            <w:tcW w:w="761"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sz w:val="20"/>
              </w:rPr>
              <w:t>38</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145,411,185.68</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326,640,598.46</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F87FF6">
            <w:pPr>
              <w:autoSpaceDE w:val="0"/>
              <w:autoSpaceDN w:val="0"/>
              <w:ind w:leftChars="96" w:left="402" w:hangingChars="100" w:hanging="200"/>
              <w:rPr>
                <w:rFonts w:ascii="Arial" w:eastAsia="黑体" w:hAnsi="Arial" w:cs="Arial"/>
                <w:sz w:val="20"/>
              </w:rPr>
            </w:pPr>
            <w:r>
              <w:rPr>
                <w:rFonts w:ascii="Arial" w:eastAsia="黑体" w:hAnsi="Arial" w:cs="Arial"/>
                <w:sz w:val="20"/>
              </w:rPr>
              <w:t>公允价值变动收益</w:t>
            </w:r>
            <w:r>
              <w:rPr>
                <w:rFonts w:ascii="Arial" w:eastAsia="黑体" w:hAnsi="Arial" w:cs="Arial"/>
                <w:sz w:val="20"/>
              </w:rPr>
              <w:t>/</w:t>
            </w:r>
            <w:r>
              <w:rPr>
                <w:rFonts w:ascii="Arial" w:eastAsia="黑体" w:hAnsi="Arial" w:cs="Arial"/>
                <w:sz w:val="20"/>
              </w:rPr>
              <w:t>（损失）</w:t>
            </w:r>
          </w:p>
        </w:tc>
        <w:tc>
          <w:tcPr>
            <w:tcW w:w="761"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hint="eastAsia"/>
                <w:sz w:val="20"/>
              </w:rPr>
              <w:t>3</w:t>
            </w:r>
            <w:r>
              <w:rPr>
                <w:rFonts w:ascii="Arial" w:eastAsia="黑体" w:hAnsi="Arial" w:cs="Arial"/>
                <w:sz w:val="20"/>
              </w:rPr>
              <w:t>9</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145,755,099.27</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(114,518,900.12</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r>
      <w:tr w:rsidR="00AD5BB5">
        <w:tc>
          <w:tcPr>
            <w:tcW w:w="3430" w:type="dxa"/>
            <w:tcBorders>
              <w:top w:val="nil"/>
              <w:left w:val="nil"/>
              <w:bottom w:val="nil"/>
              <w:right w:val="nil"/>
            </w:tcBorders>
            <w:vAlign w:val="bottom"/>
          </w:tcPr>
          <w:p w:rsidR="00AD5BB5" w:rsidRDefault="00F87FF6">
            <w:pPr>
              <w:autoSpaceDE w:val="0"/>
              <w:autoSpaceDN w:val="0"/>
              <w:ind w:leftChars="96" w:left="402" w:hangingChars="100" w:hanging="200"/>
              <w:rPr>
                <w:rFonts w:ascii="Arial" w:eastAsia="黑体" w:hAnsi="Arial" w:cs="Arial"/>
                <w:sz w:val="20"/>
              </w:rPr>
            </w:pPr>
            <w:r>
              <w:rPr>
                <w:rFonts w:ascii="Arial" w:eastAsia="黑体" w:hAnsi="Arial" w:cs="Arial"/>
                <w:sz w:val="20"/>
              </w:rPr>
              <w:t>汇兑收益</w:t>
            </w: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43,800,961.33</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89,674,959.52</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F87FF6">
            <w:pPr>
              <w:autoSpaceDE w:val="0"/>
              <w:autoSpaceDN w:val="0"/>
              <w:ind w:leftChars="96" w:left="402" w:hangingChars="100" w:hanging="200"/>
              <w:rPr>
                <w:rFonts w:ascii="Arial" w:eastAsia="黑体" w:hAnsi="Arial" w:cs="Arial"/>
                <w:sz w:val="20"/>
              </w:rPr>
            </w:pPr>
            <w:r>
              <w:rPr>
                <w:rFonts w:ascii="Arial" w:eastAsia="黑体" w:hAnsi="Arial" w:cs="Arial"/>
                <w:sz w:val="20"/>
              </w:rPr>
              <w:t>其他业务收入</w:t>
            </w: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6,425,069.98</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823,540.19</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F87FF6">
            <w:pPr>
              <w:autoSpaceDE w:val="0"/>
              <w:autoSpaceDN w:val="0"/>
              <w:ind w:leftChars="96" w:left="402" w:hangingChars="100" w:hanging="200"/>
              <w:rPr>
                <w:rFonts w:ascii="Arial" w:eastAsia="黑体" w:hAnsi="Arial" w:cs="Arial"/>
                <w:sz w:val="20"/>
              </w:rPr>
            </w:pPr>
            <w:r>
              <w:rPr>
                <w:rFonts w:ascii="Arial" w:eastAsia="黑体" w:hAnsi="Arial" w:cs="Arial"/>
                <w:sz w:val="20"/>
              </w:rPr>
              <w:t>资产处置收益</w:t>
            </w: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8,831,209.56</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487,294.10</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F87FF6">
            <w:pPr>
              <w:autoSpaceDE w:val="0"/>
              <w:autoSpaceDN w:val="0"/>
              <w:ind w:leftChars="96" w:left="402" w:hangingChars="100" w:hanging="200"/>
              <w:rPr>
                <w:rFonts w:ascii="Arial" w:eastAsia="黑体" w:hAnsi="Arial" w:cs="Arial"/>
                <w:sz w:val="20"/>
              </w:rPr>
            </w:pPr>
            <w:r>
              <w:rPr>
                <w:rFonts w:ascii="Arial" w:eastAsia="黑体" w:hAnsi="Arial" w:cs="Arial"/>
                <w:sz w:val="20"/>
              </w:rPr>
              <w:t>其他收益</w:t>
            </w: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173,827,563.75</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37,662,514.00</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F87FF6">
            <w:pPr>
              <w:autoSpaceDE w:val="0"/>
              <w:autoSpaceDN w:val="0"/>
              <w:ind w:left="201" w:hangingChars="100" w:hanging="201"/>
              <w:rPr>
                <w:rFonts w:ascii="Arial" w:eastAsia="黑体" w:hAnsi="Arial" w:cs="Arial"/>
                <w:b/>
                <w:bCs/>
                <w:sz w:val="20"/>
              </w:rPr>
            </w:pPr>
            <w:r>
              <w:rPr>
                <w:rFonts w:ascii="Arial" w:eastAsia="黑体" w:hAnsi="Arial" w:cs="Arial"/>
                <w:b/>
                <w:bCs/>
                <w:sz w:val="20"/>
              </w:rPr>
              <w:t>营业支出</w:t>
            </w: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927"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(1,308,043,226.61</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b/>
                <w:bCs/>
                <w:sz w:val="20"/>
              </w:rPr>
            </w:pPr>
            <w:r>
              <w:rPr>
                <w:rFonts w:ascii="Arial" w:eastAsia="黑体" w:hAnsi="Arial" w:cs="Arial"/>
                <w:b/>
                <w:bCs/>
                <w:sz w:val="20"/>
              </w:rPr>
              <w:t>)</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878"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(1,550,506,069.65</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b/>
                <w:bCs/>
                <w:sz w:val="20"/>
              </w:rPr>
            </w:pPr>
            <w:r>
              <w:rPr>
                <w:rFonts w:ascii="Arial" w:eastAsia="黑体" w:hAnsi="Arial" w:cs="Arial"/>
                <w:b/>
                <w:bCs/>
                <w:sz w:val="20"/>
              </w:rPr>
              <w:t>)</w:t>
            </w:r>
          </w:p>
        </w:tc>
      </w:tr>
      <w:tr w:rsidR="00AD5BB5">
        <w:tc>
          <w:tcPr>
            <w:tcW w:w="3430" w:type="dxa"/>
            <w:tcBorders>
              <w:top w:val="nil"/>
              <w:left w:val="nil"/>
              <w:bottom w:val="nil"/>
              <w:right w:val="nil"/>
            </w:tcBorders>
            <w:vAlign w:val="bottom"/>
          </w:tcPr>
          <w:p w:rsidR="00AD5BB5" w:rsidRDefault="00F87FF6">
            <w:pPr>
              <w:autoSpaceDE w:val="0"/>
              <w:autoSpaceDN w:val="0"/>
              <w:ind w:leftChars="96" w:left="402" w:hangingChars="100" w:hanging="200"/>
              <w:rPr>
                <w:rFonts w:ascii="Arial" w:eastAsia="黑体" w:hAnsi="Arial" w:cs="Arial"/>
                <w:sz w:val="20"/>
              </w:rPr>
            </w:pPr>
            <w:r>
              <w:rPr>
                <w:rFonts w:ascii="Arial" w:eastAsia="黑体" w:hAnsi="Arial" w:cs="Arial"/>
                <w:sz w:val="20"/>
              </w:rPr>
              <w:t>税金及附加</w:t>
            </w:r>
          </w:p>
        </w:tc>
        <w:tc>
          <w:tcPr>
            <w:tcW w:w="761"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sz w:val="20"/>
              </w:rPr>
              <w:t>40</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(35,945,837.63</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(38,059,729.40</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r>
      <w:tr w:rsidR="00AD5BB5">
        <w:tc>
          <w:tcPr>
            <w:tcW w:w="3430" w:type="dxa"/>
            <w:tcBorders>
              <w:top w:val="nil"/>
              <w:left w:val="nil"/>
              <w:bottom w:val="nil"/>
              <w:right w:val="nil"/>
            </w:tcBorders>
            <w:vAlign w:val="bottom"/>
          </w:tcPr>
          <w:p w:rsidR="00AD5BB5" w:rsidRDefault="00F87FF6">
            <w:pPr>
              <w:autoSpaceDE w:val="0"/>
              <w:autoSpaceDN w:val="0"/>
              <w:ind w:leftChars="96" w:left="402" w:hangingChars="100" w:hanging="200"/>
              <w:rPr>
                <w:rFonts w:ascii="Arial" w:eastAsia="黑体" w:hAnsi="Arial" w:cs="Arial"/>
                <w:sz w:val="20"/>
              </w:rPr>
            </w:pPr>
            <w:r>
              <w:rPr>
                <w:rFonts w:ascii="Arial" w:eastAsia="黑体" w:hAnsi="Arial" w:cs="Arial"/>
                <w:sz w:val="20"/>
              </w:rPr>
              <w:t>业务及管理费</w:t>
            </w:r>
          </w:p>
        </w:tc>
        <w:tc>
          <w:tcPr>
            <w:tcW w:w="761"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hint="eastAsia"/>
                <w:sz w:val="20"/>
              </w:rPr>
              <w:t>4</w:t>
            </w:r>
            <w:r>
              <w:rPr>
                <w:rFonts w:ascii="Arial" w:eastAsia="黑体" w:hAnsi="Arial" w:cs="Arial"/>
                <w:sz w:val="20"/>
              </w:rPr>
              <w:t>1</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(1,081,952,437.60</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(949,119,920.06</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r>
      <w:tr w:rsidR="00AD5BB5">
        <w:tc>
          <w:tcPr>
            <w:tcW w:w="3430" w:type="dxa"/>
            <w:tcBorders>
              <w:top w:val="nil"/>
              <w:left w:val="nil"/>
              <w:bottom w:val="nil"/>
              <w:right w:val="nil"/>
            </w:tcBorders>
            <w:vAlign w:val="bottom"/>
          </w:tcPr>
          <w:p w:rsidR="00AD5BB5" w:rsidRDefault="00F87FF6">
            <w:pPr>
              <w:autoSpaceDE w:val="0"/>
              <w:autoSpaceDN w:val="0"/>
              <w:ind w:leftChars="96" w:left="402" w:hangingChars="100" w:hanging="200"/>
              <w:rPr>
                <w:rFonts w:ascii="Arial" w:eastAsia="黑体" w:hAnsi="Arial" w:cs="Arial"/>
                <w:sz w:val="20"/>
              </w:rPr>
            </w:pPr>
            <w:r>
              <w:rPr>
                <w:rFonts w:ascii="Arial" w:eastAsia="黑体" w:hAnsi="Arial" w:cs="Arial"/>
                <w:sz w:val="20"/>
              </w:rPr>
              <w:t>信用减值损失</w:t>
            </w:r>
          </w:p>
        </w:tc>
        <w:tc>
          <w:tcPr>
            <w:tcW w:w="761"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sz w:val="20"/>
              </w:rPr>
              <w:t>42</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(189,822,834.39</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(563,031,210.12</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r>
      <w:tr w:rsidR="00AD5BB5">
        <w:tc>
          <w:tcPr>
            <w:tcW w:w="3430" w:type="dxa"/>
            <w:tcBorders>
              <w:top w:val="nil"/>
              <w:left w:val="nil"/>
              <w:bottom w:val="nil"/>
              <w:right w:val="nil"/>
            </w:tcBorders>
            <w:vAlign w:val="bottom"/>
          </w:tcPr>
          <w:p w:rsidR="00AD5BB5" w:rsidRDefault="00F87FF6">
            <w:pPr>
              <w:autoSpaceDE w:val="0"/>
              <w:autoSpaceDN w:val="0"/>
              <w:ind w:leftChars="96" w:left="402" w:hangingChars="100" w:hanging="200"/>
              <w:rPr>
                <w:rFonts w:ascii="Arial" w:eastAsia="黑体" w:hAnsi="Arial" w:cs="Arial"/>
                <w:sz w:val="20"/>
              </w:rPr>
            </w:pPr>
            <w:r>
              <w:rPr>
                <w:rFonts w:ascii="Arial" w:eastAsia="黑体" w:hAnsi="Arial" w:cs="Arial"/>
                <w:sz w:val="20"/>
              </w:rPr>
              <w:t>其他业务成本</w:t>
            </w: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(322,116.99</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(295,210.07</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r>
      <w:tr w:rsidR="00AD5BB5">
        <w:tc>
          <w:tcPr>
            <w:tcW w:w="3430"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F87FF6">
            <w:pPr>
              <w:autoSpaceDE w:val="0"/>
              <w:autoSpaceDN w:val="0"/>
              <w:ind w:left="201" w:hangingChars="100" w:hanging="201"/>
              <w:rPr>
                <w:rFonts w:ascii="Arial" w:eastAsia="黑体" w:hAnsi="Arial" w:cs="Arial"/>
                <w:b/>
                <w:bCs/>
                <w:sz w:val="20"/>
              </w:rPr>
            </w:pPr>
            <w:r>
              <w:rPr>
                <w:rFonts w:ascii="Arial" w:eastAsia="黑体" w:hAnsi="Arial" w:cs="Arial"/>
                <w:b/>
                <w:bCs/>
                <w:sz w:val="20"/>
              </w:rPr>
              <w:t>营业利润</w:t>
            </w: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927"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1,649,473,352.43</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878"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1,304,252,904.40</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F87FF6">
            <w:pPr>
              <w:autoSpaceDE w:val="0"/>
              <w:autoSpaceDN w:val="0"/>
              <w:ind w:leftChars="96" w:left="402" w:hangingChars="100" w:hanging="200"/>
              <w:rPr>
                <w:rFonts w:ascii="Arial" w:eastAsia="黑体" w:hAnsi="Arial" w:cs="Arial"/>
                <w:sz w:val="20"/>
              </w:rPr>
            </w:pPr>
            <w:r>
              <w:rPr>
                <w:rFonts w:ascii="Arial" w:eastAsia="黑体" w:hAnsi="Arial" w:cs="Arial"/>
                <w:sz w:val="20"/>
              </w:rPr>
              <w:t>营业外收入</w:t>
            </w:r>
          </w:p>
        </w:tc>
        <w:tc>
          <w:tcPr>
            <w:tcW w:w="761"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sz w:val="20"/>
              </w:rPr>
              <w:t>43</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1,376,067.18</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2,240,203.28</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F87FF6">
            <w:pPr>
              <w:autoSpaceDE w:val="0"/>
              <w:autoSpaceDN w:val="0"/>
              <w:ind w:leftChars="96" w:left="402" w:hangingChars="100" w:hanging="200"/>
              <w:rPr>
                <w:rFonts w:ascii="Arial" w:eastAsia="黑体" w:hAnsi="Arial" w:cs="Arial"/>
                <w:sz w:val="20"/>
              </w:rPr>
            </w:pPr>
            <w:r>
              <w:rPr>
                <w:rFonts w:ascii="Arial" w:eastAsia="黑体" w:hAnsi="Arial" w:cs="Arial"/>
                <w:sz w:val="20"/>
              </w:rPr>
              <w:t>营业外支出</w:t>
            </w:r>
          </w:p>
        </w:tc>
        <w:tc>
          <w:tcPr>
            <w:tcW w:w="761"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sz w:val="20"/>
              </w:rPr>
              <w:t>44</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(3,512,463.15</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(4,043,086.70</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r>
      <w:tr w:rsidR="00AD5BB5">
        <w:tc>
          <w:tcPr>
            <w:tcW w:w="3430"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F87FF6">
            <w:pPr>
              <w:autoSpaceDE w:val="0"/>
              <w:autoSpaceDN w:val="0"/>
              <w:ind w:left="201" w:hangingChars="100" w:hanging="201"/>
              <w:rPr>
                <w:rFonts w:ascii="Arial" w:eastAsia="黑体" w:hAnsi="Arial" w:cs="Arial"/>
                <w:b/>
                <w:bCs/>
                <w:sz w:val="20"/>
              </w:rPr>
            </w:pPr>
            <w:r>
              <w:rPr>
                <w:rFonts w:ascii="Arial" w:eastAsia="黑体" w:hAnsi="Arial" w:cs="Arial"/>
                <w:b/>
                <w:bCs/>
                <w:sz w:val="20"/>
              </w:rPr>
              <w:t>利润总额</w:t>
            </w: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927"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1,647,336,956.46</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878"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1,302,450,020.98</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F87FF6">
            <w:pPr>
              <w:autoSpaceDE w:val="0"/>
              <w:autoSpaceDN w:val="0"/>
              <w:ind w:leftChars="96" w:left="402" w:hangingChars="100" w:hanging="200"/>
              <w:rPr>
                <w:rFonts w:ascii="Arial" w:eastAsia="黑体" w:hAnsi="Arial" w:cs="Arial"/>
                <w:sz w:val="20"/>
              </w:rPr>
            </w:pPr>
            <w:r>
              <w:rPr>
                <w:rFonts w:ascii="Arial" w:eastAsia="黑体" w:hAnsi="Arial" w:cs="Arial"/>
                <w:sz w:val="20"/>
              </w:rPr>
              <w:t>所得税费用</w:t>
            </w:r>
          </w:p>
        </w:tc>
        <w:tc>
          <w:tcPr>
            <w:tcW w:w="761"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sz w:val="20"/>
              </w:rPr>
              <w:t>45</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(172,325,491.94</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(40,728,122.17</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r>
      <w:tr w:rsidR="00AD5BB5">
        <w:tc>
          <w:tcPr>
            <w:tcW w:w="3430"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F87FF6">
            <w:pPr>
              <w:autoSpaceDE w:val="0"/>
              <w:autoSpaceDN w:val="0"/>
              <w:ind w:left="201" w:hangingChars="100" w:hanging="201"/>
              <w:rPr>
                <w:rFonts w:ascii="Arial" w:eastAsia="黑体" w:hAnsi="Arial" w:cs="Arial"/>
                <w:b/>
                <w:bCs/>
                <w:sz w:val="20"/>
              </w:rPr>
            </w:pPr>
            <w:r>
              <w:rPr>
                <w:rFonts w:ascii="Arial" w:eastAsia="黑体" w:hAnsi="Arial" w:cs="Arial"/>
                <w:b/>
                <w:bCs/>
                <w:sz w:val="20"/>
              </w:rPr>
              <w:t>净利润</w:t>
            </w: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92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1,475,011,464.52</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87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1,261,721,898.81</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F87FF6">
            <w:pPr>
              <w:autoSpaceDE w:val="0"/>
              <w:autoSpaceDN w:val="0"/>
              <w:ind w:leftChars="5" w:left="210" w:hangingChars="100" w:hanging="200"/>
              <w:rPr>
                <w:rFonts w:ascii="Arial" w:eastAsia="黑体" w:hAnsi="Arial" w:cs="Arial"/>
                <w:sz w:val="20"/>
              </w:rPr>
            </w:pPr>
            <w:r>
              <w:rPr>
                <w:rFonts w:ascii="Arial" w:eastAsia="黑体" w:hAnsi="Arial" w:cs="Arial"/>
                <w:sz w:val="20"/>
              </w:rPr>
              <w:t>按经营持续性分类</w:t>
            </w: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F87FF6">
            <w:pPr>
              <w:autoSpaceDE w:val="0"/>
              <w:autoSpaceDN w:val="0"/>
              <w:ind w:leftChars="96" w:left="402" w:hangingChars="100" w:hanging="200"/>
              <w:rPr>
                <w:rFonts w:ascii="Arial" w:eastAsia="黑体" w:hAnsi="Arial" w:cs="Arial"/>
                <w:sz w:val="20"/>
              </w:rPr>
            </w:pPr>
            <w:r>
              <w:rPr>
                <w:rFonts w:ascii="Arial" w:eastAsia="黑体" w:hAnsi="Arial" w:cs="Arial"/>
                <w:sz w:val="20"/>
              </w:rPr>
              <w:t>持续经营净利润</w:t>
            </w: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1,475,011,464.52</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1,261,721,898.81</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F87FF6">
            <w:pPr>
              <w:autoSpaceDE w:val="0"/>
              <w:autoSpaceDN w:val="0"/>
              <w:ind w:leftChars="5" w:left="210" w:hangingChars="100" w:hanging="200"/>
              <w:rPr>
                <w:rFonts w:ascii="Arial" w:eastAsia="黑体" w:hAnsi="Arial" w:cs="Arial"/>
                <w:sz w:val="20"/>
              </w:rPr>
            </w:pPr>
            <w:r>
              <w:rPr>
                <w:rFonts w:ascii="Arial" w:eastAsia="黑体" w:hAnsi="Arial" w:cs="Arial"/>
                <w:sz w:val="20"/>
              </w:rPr>
              <w:t>按所有权归属分类</w:t>
            </w: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F87FF6">
            <w:pPr>
              <w:autoSpaceDE w:val="0"/>
              <w:autoSpaceDN w:val="0"/>
              <w:ind w:leftChars="96" w:left="402" w:hangingChars="100" w:hanging="200"/>
              <w:rPr>
                <w:rFonts w:ascii="Arial" w:eastAsia="黑体" w:hAnsi="Arial" w:cs="Arial"/>
                <w:sz w:val="20"/>
              </w:rPr>
            </w:pPr>
            <w:r>
              <w:rPr>
                <w:rFonts w:ascii="Arial" w:eastAsia="黑体" w:hAnsi="Arial" w:cs="Arial"/>
                <w:sz w:val="20"/>
              </w:rPr>
              <w:t>归属于母公司股东的净利润</w:t>
            </w: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1,428,441,057.75</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1,232,285,900.62</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F87FF6">
            <w:pPr>
              <w:autoSpaceDE w:val="0"/>
              <w:autoSpaceDN w:val="0"/>
              <w:ind w:leftChars="107" w:left="425" w:hangingChars="100" w:hanging="200"/>
              <w:rPr>
                <w:rFonts w:ascii="Arial" w:eastAsia="黑体" w:hAnsi="Arial" w:cs="Arial"/>
                <w:sz w:val="20"/>
              </w:rPr>
            </w:pPr>
            <w:r>
              <w:rPr>
                <w:rFonts w:ascii="Arial" w:eastAsia="黑体" w:hAnsi="Arial" w:cs="Arial"/>
                <w:sz w:val="20"/>
              </w:rPr>
              <w:t>少数股东损益</w:t>
            </w: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46,570,406.77</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29,435,998.19</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bl>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F87FF6">
      <w:pPr>
        <w:rPr>
          <w:rFonts w:ascii="Arial" w:hAnsi="Arial" w:cs="Arial"/>
        </w:rPr>
      </w:pPr>
      <w:r>
        <w:rPr>
          <w:rFonts w:ascii="Arial" w:eastAsia="黑体" w:hAnsi="Arial" w:cs="Arial"/>
          <w:i/>
          <w:sz w:val="20"/>
        </w:rPr>
        <w:t>后附财务报表附注为本财务报表的组成部分</w:t>
      </w:r>
      <w:r>
        <w:rPr>
          <w:rFonts w:ascii="Arial" w:hAnsi="Arial" w:cs="Arial"/>
        </w:rPr>
        <w:br w:type="page"/>
      </w:r>
    </w:p>
    <w:p w:rsidR="00AD5BB5" w:rsidRDefault="00AD5BB5">
      <w:pPr>
        <w:rPr>
          <w:rFonts w:ascii="Arial" w:eastAsia="黑体" w:hAnsi="Arial" w:cs="Arial"/>
          <w:sz w:val="22"/>
        </w:rPr>
      </w:pPr>
    </w:p>
    <w:p w:rsidR="00AD5BB5" w:rsidRDefault="00AD5BB5">
      <w:pPr>
        <w:rPr>
          <w:rFonts w:ascii="Arial" w:eastAsia="黑体" w:hAnsi="Arial" w:cs="Arial"/>
          <w:sz w:val="22"/>
        </w:rPr>
      </w:pPr>
    </w:p>
    <w:tbl>
      <w:tblPr>
        <w:tblW w:w="0" w:type="auto"/>
        <w:tblLayout w:type="fixed"/>
        <w:tblCellMar>
          <w:left w:w="0" w:type="dxa"/>
          <w:right w:w="0" w:type="dxa"/>
        </w:tblCellMar>
        <w:tblLook w:val="04A0" w:firstRow="1" w:lastRow="0" w:firstColumn="1" w:lastColumn="0" w:noHBand="0" w:noVBand="1"/>
        <w:tblCaption w:val="04b380fd-55b5-47e5-aee2-746ad899f5c6"/>
        <w:tblDescription w:val="{&quot;UUID&quot;:&quot;afsaddin_tabledata_2_56437_04b380fd-55b5-47e5-aee2-746ad899f5c6&quot;,&quot;TitleRowCount&quot;:2,&quot;SplitedTable&quot;:true,&quot;FirstTableId&quot;:&quot;69a5f95f-0e0a-411c-87ce-efc816353468&quot;}"/>
      </w:tblPr>
      <w:tblGrid>
        <w:gridCol w:w="3430"/>
        <w:gridCol w:w="761"/>
        <w:gridCol w:w="111"/>
        <w:gridCol w:w="1927"/>
        <w:gridCol w:w="111"/>
        <w:gridCol w:w="111"/>
        <w:gridCol w:w="1878"/>
        <w:gridCol w:w="111"/>
      </w:tblGrid>
      <w:tr w:rsidR="00AD5BB5">
        <w:tc>
          <w:tcPr>
            <w:tcW w:w="3430" w:type="dxa"/>
            <w:tcBorders>
              <w:top w:val="nil"/>
              <w:left w:val="nil"/>
              <w:bottom w:val="nil"/>
              <w:right w:val="nil"/>
            </w:tcBorders>
            <w:vAlign w:val="bottom"/>
          </w:tcPr>
          <w:p w:rsidR="00AD5BB5" w:rsidRDefault="00AD5BB5">
            <w:pPr>
              <w:autoSpaceDE w:val="0"/>
              <w:autoSpaceDN w:val="0"/>
              <w:ind w:left="301" w:hangingChars="150" w:hanging="301"/>
              <w:rPr>
                <w:rFonts w:ascii="Arial" w:eastAsia="黑体" w:hAnsi="Arial" w:cs="Arial"/>
                <w:b/>
                <w:bCs/>
                <w:sz w:val="20"/>
              </w:rPr>
            </w:pPr>
          </w:p>
        </w:tc>
        <w:tc>
          <w:tcPr>
            <w:tcW w:w="761" w:type="dxa"/>
            <w:tcBorders>
              <w:top w:val="nil"/>
              <w:left w:val="nil"/>
              <w:bottom w:val="nil"/>
              <w:right w:val="nil"/>
            </w:tcBorders>
            <w:vAlign w:val="bottom"/>
          </w:tcPr>
          <w:p w:rsidR="00AD5BB5" w:rsidRDefault="00F87FF6">
            <w:pPr>
              <w:autoSpaceDE w:val="0"/>
              <w:autoSpaceDN w:val="0"/>
              <w:jc w:val="center"/>
              <w:rPr>
                <w:rFonts w:ascii="Arial" w:eastAsia="黑体" w:hAnsi="Arial" w:cs="Arial"/>
                <w:b/>
                <w:bCs/>
                <w:sz w:val="20"/>
                <w:u w:val="single"/>
              </w:rPr>
            </w:pPr>
            <w:r>
              <w:rPr>
                <w:rFonts w:ascii="Arial" w:eastAsia="黑体" w:hAnsi="Arial" w:cs="Arial"/>
                <w:b/>
                <w:bCs/>
                <w:sz w:val="20"/>
                <w:u w:val="single"/>
              </w:rPr>
              <w:t>附注五</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9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u w:val="single"/>
              </w:rPr>
            </w:pPr>
            <w:r>
              <w:rPr>
                <w:rFonts w:ascii="Arial" w:eastAsia="黑体" w:hAnsi="Arial" w:cs="Arial"/>
                <w:sz w:val="20"/>
                <w:u w:val="single"/>
              </w:rPr>
              <w:fldChar w:fldCharType="begin"/>
            </w:r>
            <w:r>
              <w:rPr>
                <w:rFonts w:ascii="Arial" w:eastAsia="黑体" w:hAnsi="Arial" w:cs="Arial"/>
                <w:sz w:val="20"/>
                <w:u w:val="single"/>
              </w:rPr>
              <w:instrText xml:space="preserve">DOCPROPERTY </w:instrText>
            </w:r>
            <w:r>
              <w:rPr>
                <w:rFonts w:ascii="Arial" w:eastAsia="黑体" w:hAnsi="Arial" w:cs="Arial"/>
                <w:sz w:val="20"/>
                <w:u w:val="single"/>
              </w:rPr>
              <w:instrText>当期会计期间</w:instrText>
            </w:r>
            <w:r>
              <w:rPr>
                <w:rFonts w:ascii="Arial" w:eastAsia="黑体" w:hAnsi="Arial" w:cs="Arial"/>
                <w:sz w:val="20"/>
                <w:u w:val="single"/>
              </w:rPr>
              <w:fldChar w:fldCharType="separate"/>
            </w:r>
            <w:r>
              <w:rPr>
                <w:rFonts w:ascii="Arial" w:eastAsia="黑体" w:hAnsi="Arial" w:cs="Arial"/>
                <w:sz w:val="20"/>
                <w:u w:val="single"/>
              </w:rPr>
              <w:t>2023</w:t>
            </w:r>
            <w:r>
              <w:rPr>
                <w:rFonts w:ascii="Arial" w:eastAsia="黑体" w:hAnsi="Arial" w:cs="Arial"/>
                <w:sz w:val="20"/>
                <w:u w:val="single"/>
              </w:rPr>
              <w:fldChar w:fldCharType="end"/>
            </w:r>
            <w:r>
              <w:rPr>
                <w:rFonts w:ascii="Arial" w:eastAsia="黑体" w:hAnsi="Arial" w:cs="Arial"/>
                <w:sz w:val="20"/>
                <w:u w:val="single"/>
              </w:rPr>
              <w:t>年</w:t>
            </w:r>
            <w:r>
              <w:rPr>
                <w:rFonts w:ascii="Arial" w:eastAsia="黑体" w:hAnsi="Arial" w:cs="Arial"/>
                <w:sz w:val="20"/>
                <w:u w:val="single"/>
              </w:rPr>
              <w:t>1-6</w:t>
            </w:r>
            <w:r>
              <w:rPr>
                <w:rFonts w:ascii="Arial" w:eastAsia="黑体" w:hAnsi="Arial" w:cs="Arial"/>
                <w:sz w:val="20"/>
                <w:u w:val="single"/>
              </w:rPr>
              <w:t>月</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u w:val="single"/>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u w:val="single"/>
              </w:rPr>
            </w:pPr>
          </w:p>
        </w:tc>
        <w:tc>
          <w:tcPr>
            <w:tcW w:w="187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u w:val="single"/>
              </w:rPr>
            </w:pPr>
            <w:r>
              <w:rPr>
                <w:rFonts w:ascii="Arial" w:eastAsia="黑体" w:hAnsi="Arial" w:cs="Arial"/>
                <w:sz w:val="20"/>
                <w:u w:val="single"/>
              </w:rPr>
              <w:fldChar w:fldCharType="begin"/>
            </w:r>
            <w:r>
              <w:rPr>
                <w:rFonts w:ascii="Arial" w:eastAsia="黑体" w:hAnsi="Arial" w:cs="Arial"/>
                <w:sz w:val="20"/>
                <w:u w:val="single"/>
              </w:rPr>
              <w:instrText xml:space="preserve">DOCPROPERTY </w:instrText>
            </w:r>
            <w:r>
              <w:rPr>
                <w:rFonts w:ascii="Arial" w:eastAsia="黑体" w:hAnsi="Arial" w:cs="Arial"/>
                <w:sz w:val="20"/>
                <w:u w:val="single"/>
              </w:rPr>
              <w:instrText>对比会计期间</w:instrText>
            </w:r>
            <w:r>
              <w:rPr>
                <w:rFonts w:ascii="Arial" w:eastAsia="黑体" w:hAnsi="Arial" w:cs="Arial"/>
                <w:sz w:val="20"/>
                <w:u w:val="single"/>
              </w:rPr>
              <w:fldChar w:fldCharType="separate"/>
            </w:r>
            <w:r>
              <w:rPr>
                <w:rFonts w:ascii="Arial" w:eastAsia="黑体" w:hAnsi="Arial" w:cs="Arial"/>
                <w:sz w:val="20"/>
                <w:u w:val="single"/>
              </w:rPr>
              <w:t>2022</w:t>
            </w:r>
            <w:r>
              <w:rPr>
                <w:rFonts w:ascii="Arial" w:eastAsia="黑体" w:hAnsi="Arial" w:cs="Arial"/>
                <w:sz w:val="20"/>
                <w:u w:val="single"/>
              </w:rPr>
              <w:fldChar w:fldCharType="end"/>
            </w:r>
            <w:r>
              <w:rPr>
                <w:rFonts w:ascii="Arial" w:eastAsia="黑体" w:hAnsi="Arial" w:cs="Arial"/>
                <w:sz w:val="20"/>
                <w:u w:val="single"/>
              </w:rPr>
              <w:t>年</w:t>
            </w:r>
            <w:r>
              <w:rPr>
                <w:rFonts w:ascii="Arial" w:eastAsia="黑体" w:hAnsi="Arial" w:cs="Arial"/>
                <w:sz w:val="20"/>
                <w:u w:val="single"/>
              </w:rPr>
              <w:t>1-6</w:t>
            </w:r>
            <w:r>
              <w:rPr>
                <w:rFonts w:ascii="Arial" w:eastAsia="黑体" w:hAnsi="Arial" w:cs="Arial"/>
                <w:sz w:val="20"/>
                <w:u w:val="single"/>
              </w:rPr>
              <w:t>月</w:t>
            </w:r>
          </w:p>
        </w:tc>
        <w:tc>
          <w:tcPr>
            <w:tcW w:w="11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F87FF6">
            <w:pPr>
              <w:autoSpaceDE w:val="0"/>
              <w:autoSpaceDN w:val="0"/>
              <w:ind w:left="300" w:hangingChars="150" w:hanging="300"/>
              <w:rPr>
                <w:rFonts w:ascii="Arial" w:eastAsia="黑体" w:hAnsi="Arial" w:cs="Arial"/>
                <w:sz w:val="20"/>
              </w:rPr>
            </w:pPr>
            <w:r>
              <w:rPr>
                <w:rFonts w:ascii="Arial" w:eastAsia="黑体" w:hAnsi="Arial" w:cs="Arial"/>
                <w:color w:val="FFFFFF" w:themeColor="background1"/>
                <w:sz w:val="20"/>
              </w:rPr>
              <w:t>AA</w:t>
            </w: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F87FF6">
            <w:pPr>
              <w:autoSpaceDE w:val="0"/>
              <w:autoSpaceDN w:val="0"/>
              <w:ind w:left="201" w:hangingChars="100" w:hanging="201"/>
              <w:rPr>
                <w:rFonts w:ascii="Arial" w:eastAsia="黑体" w:hAnsi="Arial" w:cs="Arial"/>
                <w:b/>
                <w:bCs/>
                <w:sz w:val="20"/>
              </w:rPr>
            </w:pPr>
            <w:r>
              <w:rPr>
                <w:rFonts w:ascii="Arial" w:eastAsia="黑体" w:hAnsi="Arial" w:cs="Arial"/>
                <w:b/>
                <w:bCs/>
                <w:sz w:val="20"/>
              </w:rPr>
              <w:t>其他综合收益</w:t>
            </w:r>
            <w:r>
              <w:rPr>
                <w:rFonts w:ascii="Arial" w:eastAsia="黑体" w:hAnsi="Arial" w:cs="Arial" w:hint="eastAsia"/>
                <w:b/>
                <w:bCs/>
                <w:sz w:val="20"/>
              </w:rPr>
              <w:t>/</w:t>
            </w:r>
            <w:r>
              <w:rPr>
                <w:rFonts w:ascii="Arial" w:eastAsia="黑体" w:hAnsi="Arial" w:cs="Arial" w:hint="eastAsia"/>
                <w:b/>
                <w:bCs/>
                <w:sz w:val="20"/>
              </w:rPr>
              <w:t>（损失）</w:t>
            </w:r>
            <w:r>
              <w:rPr>
                <w:rFonts w:ascii="Arial" w:eastAsia="黑体" w:hAnsi="Arial" w:cs="Arial"/>
                <w:b/>
                <w:bCs/>
                <w:sz w:val="20"/>
              </w:rPr>
              <w:t>的税后净额</w:t>
            </w:r>
          </w:p>
        </w:tc>
        <w:tc>
          <w:tcPr>
            <w:tcW w:w="761"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hint="eastAsia"/>
                <w:sz w:val="20"/>
              </w:rPr>
              <w:t>3</w:t>
            </w:r>
            <w:r>
              <w:rPr>
                <w:rFonts w:ascii="Arial" w:eastAsia="黑体" w:hAnsi="Arial" w:cs="Arial"/>
                <w:sz w:val="20"/>
              </w:rPr>
              <w:t>2</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927"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355,729,437.34</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878"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(60,568,608.84</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r>
      <w:tr w:rsidR="00AD5BB5">
        <w:tc>
          <w:tcPr>
            <w:tcW w:w="3430" w:type="dxa"/>
            <w:tcBorders>
              <w:top w:val="nil"/>
              <w:left w:val="nil"/>
              <w:bottom w:val="nil"/>
              <w:right w:val="nil"/>
            </w:tcBorders>
            <w:vAlign w:val="bottom"/>
          </w:tcPr>
          <w:p w:rsidR="00AD5BB5" w:rsidRDefault="00F87FF6">
            <w:pPr>
              <w:autoSpaceDE w:val="0"/>
              <w:autoSpaceDN w:val="0"/>
              <w:ind w:leftChars="12" w:left="219" w:rightChars="85" w:right="178" w:hangingChars="97" w:hanging="194"/>
              <w:rPr>
                <w:rFonts w:ascii="Arial" w:eastAsia="黑体" w:hAnsi="Arial" w:cs="Arial"/>
                <w:sz w:val="20"/>
              </w:rPr>
            </w:pPr>
            <w:r>
              <w:rPr>
                <w:rFonts w:ascii="Arial" w:eastAsia="黑体" w:hAnsi="Arial" w:cs="Arial"/>
                <w:sz w:val="20"/>
              </w:rPr>
              <w:t>归属于母公司股东的其他综合</w:t>
            </w:r>
            <w:r>
              <w:rPr>
                <w:rFonts w:ascii="Arial" w:eastAsia="黑体" w:hAnsi="Arial" w:cs="Arial" w:hint="eastAsia"/>
                <w:sz w:val="20"/>
              </w:rPr>
              <w:t>收益</w:t>
            </w:r>
            <w:r>
              <w:rPr>
                <w:rFonts w:ascii="Arial" w:eastAsia="黑体" w:hAnsi="Arial" w:cs="Arial" w:hint="eastAsia"/>
                <w:sz w:val="20"/>
              </w:rPr>
              <w:t>/</w:t>
            </w:r>
            <w:r>
              <w:rPr>
                <w:rFonts w:ascii="Arial" w:eastAsia="黑体" w:hAnsi="Arial" w:cs="Arial"/>
                <w:sz w:val="20"/>
              </w:rPr>
              <w:t>（损失）的税后净额</w:t>
            </w: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355,729,437.34</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(60,568,608.84</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r>
      <w:tr w:rsidR="00AD5BB5">
        <w:tc>
          <w:tcPr>
            <w:tcW w:w="3430"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F87FF6">
            <w:pPr>
              <w:autoSpaceDE w:val="0"/>
              <w:autoSpaceDN w:val="0"/>
              <w:ind w:left="200" w:hangingChars="100" w:hanging="200"/>
              <w:rPr>
                <w:rFonts w:ascii="Arial" w:eastAsia="黑体" w:hAnsi="Arial" w:cs="Arial"/>
                <w:sz w:val="20"/>
              </w:rPr>
            </w:pPr>
            <w:r>
              <w:rPr>
                <w:rFonts w:ascii="Arial" w:eastAsia="黑体" w:hAnsi="Arial" w:cs="Arial"/>
                <w:sz w:val="20"/>
              </w:rPr>
              <w:t>不能重分类进损益的其他综合收益</w:t>
            </w: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F87FF6">
            <w:pPr>
              <w:autoSpaceDE w:val="0"/>
              <w:autoSpaceDN w:val="0"/>
              <w:ind w:leftChars="84" w:left="376" w:hangingChars="100" w:hanging="200"/>
              <w:rPr>
                <w:rFonts w:ascii="Arial" w:eastAsia="黑体" w:hAnsi="Arial" w:cs="Arial"/>
                <w:sz w:val="20"/>
              </w:rPr>
            </w:pPr>
            <w:r>
              <w:rPr>
                <w:rFonts w:ascii="Arial" w:eastAsia="黑体" w:hAnsi="Arial" w:cs="Arial"/>
                <w:sz w:val="20"/>
              </w:rPr>
              <w:t>其他权益工具投资公允价值变动</w:t>
            </w: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14,079,925.10</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7,378,914.91</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F87FF6">
            <w:pPr>
              <w:autoSpaceDE w:val="0"/>
              <w:autoSpaceDN w:val="0"/>
              <w:ind w:left="200" w:hangingChars="100" w:hanging="200"/>
              <w:rPr>
                <w:rFonts w:ascii="Arial" w:eastAsia="黑体" w:hAnsi="Arial" w:cs="Arial"/>
                <w:sz w:val="20"/>
              </w:rPr>
            </w:pPr>
            <w:r>
              <w:rPr>
                <w:rFonts w:ascii="Arial" w:eastAsia="黑体" w:hAnsi="Arial" w:cs="Arial"/>
                <w:sz w:val="20"/>
              </w:rPr>
              <w:t>将重分类进损益的其他综合收益</w:t>
            </w: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F87FF6">
            <w:pPr>
              <w:autoSpaceDE w:val="0"/>
              <w:autoSpaceDN w:val="0"/>
              <w:ind w:leftChars="84" w:left="376" w:hangingChars="100" w:hanging="200"/>
              <w:rPr>
                <w:rFonts w:ascii="Arial" w:eastAsia="黑体" w:hAnsi="Arial" w:cs="Arial"/>
                <w:sz w:val="20"/>
              </w:rPr>
            </w:pPr>
            <w:r>
              <w:rPr>
                <w:rFonts w:ascii="Arial" w:eastAsia="黑体" w:hAnsi="Arial" w:cs="Arial"/>
                <w:sz w:val="20"/>
              </w:rPr>
              <w:t>1.</w:t>
            </w:r>
            <w:r>
              <w:rPr>
                <w:rFonts w:ascii="Arial" w:eastAsia="黑体" w:hAnsi="Arial" w:cs="Arial"/>
                <w:sz w:val="20"/>
              </w:rPr>
              <w:t>以公允价值计量且其变动计入</w:t>
            </w:r>
          </w:p>
          <w:p w:rsidR="00AD5BB5" w:rsidRDefault="00F87FF6">
            <w:pPr>
              <w:autoSpaceDE w:val="0"/>
              <w:autoSpaceDN w:val="0"/>
              <w:ind w:leftChars="158" w:left="344" w:rightChars="151" w:right="317" w:hangingChars="6" w:hanging="12"/>
              <w:rPr>
                <w:rFonts w:ascii="Arial" w:eastAsia="黑体" w:hAnsi="Arial" w:cs="Arial"/>
                <w:sz w:val="20"/>
              </w:rPr>
            </w:pPr>
            <w:r>
              <w:rPr>
                <w:rFonts w:ascii="Arial" w:eastAsia="黑体" w:hAnsi="Arial" w:cs="Arial"/>
                <w:sz w:val="20"/>
              </w:rPr>
              <w:t>其他综合收益的债务工具投资公允价值变动</w:t>
            </w: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307,047,930.86</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(107,153,583.72</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r>
      <w:tr w:rsidR="00AD5BB5">
        <w:tc>
          <w:tcPr>
            <w:tcW w:w="3430" w:type="dxa"/>
            <w:tcBorders>
              <w:top w:val="nil"/>
              <w:left w:val="nil"/>
              <w:bottom w:val="nil"/>
              <w:right w:val="nil"/>
            </w:tcBorders>
            <w:vAlign w:val="bottom"/>
          </w:tcPr>
          <w:p w:rsidR="00AD5BB5" w:rsidRDefault="00F87FF6">
            <w:pPr>
              <w:autoSpaceDE w:val="0"/>
              <w:autoSpaceDN w:val="0"/>
              <w:ind w:leftChars="84" w:left="376" w:hangingChars="100" w:hanging="200"/>
              <w:rPr>
                <w:rFonts w:ascii="Arial" w:eastAsia="黑体" w:hAnsi="Arial" w:cs="Arial"/>
                <w:sz w:val="20"/>
              </w:rPr>
            </w:pPr>
            <w:r>
              <w:rPr>
                <w:rFonts w:ascii="Arial" w:eastAsia="黑体" w:hAnsi="Arial" w:cs="Arial"/>
                <w:sz w:val="20"/>
              </w:rPr>
              <w:t>2.</w:t>
            </w:r>
            <w:r>
              <w:rPr>
                <w:rFonts w:ascii="Arial" w:eastAsia="黑体" w:hAnsi="Arial" w:cs="Arial"/>
                <w:sz w:val="20"/>
              </w:rPr>
              <w:t>以公允价值计量且其变动计入</w:t>
            </w:r>
          </w:p>
          <w:p w:rsidR="00AD5BB5" w:rsidRDefault="00F87FF6">
            <w:pPr>
              <w:autoSpaceDE w:val="0"/>
              <w:autoSpaceDN w:val="0"/>
              <w:ind w:leftChars="164" w:left="358" w:rightChars="168" w:right="353" w:hangingChars="7" w:hanging="14"/>
              <w:rPr>
                <w:rFonts w:ascii="Arial" w:eastAsia="黑体" w:hAnsi="Arial" w:cs="Arial"/>
                <w:sz w:val="20"/>
              </w:rPr>
            </w:pPr>
            <w:r>
              <w:rPr>
                <w:rFonts w:ascii="Arial" w:eastAsia="黑体" w:hAnsi="Arial" w:cs="Arial"/>
                <w:sz w:val="20"/>
              </w:rPr>
              <w:t>其他综合收益的债务工具投资信用损失准备</w:t>
            </w: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34,601,581.38</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39,206,059.97</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F87FF6">
            <w:pPr>
              <w:autoSpaceDE w:val="0"/>
              <w:autoSpaceDN w:val="0"/>
              <w:ind w:leftChars="12" w:left="235" w:hangingChars="105" w:hanging="210"/>
              <w:rPr>
                <w:rFonts w:ascii="Arial" w:eastAsia="黑体" w:hAnsi="Arial" w:cs="Arial"/>
                <w:sz w:val="20"/>
              </w:rPr>
            </w:pPr>
            <w:r>
              <w:rPr>
                <w:rFonts w:ascii="Arial" w:eastAsia="黑体" w:hAnsi="Arial" w:cs="Arial"/>
                <w:sz w:val="20"/>
              </w:rPr>
              <w:t>归属于少数股东的其他综合收益的税后净额</w:t>
            </w: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F87FF6">
            <w:pPr>
              <w:autoSpaceDE w:val="0"/>
              <w:autoSpaceDN w:val="0"/>
              <w:ind w:left="201" w:hangingChars="100" w:hanging="201"/>
              <w:rPr>
                <w:rFonts w:ascii="Arial" w:eastAsia="黑体" w:hAnsi="Arial" w:cs="Arial"/>
                <w:b/>
                <w:bCs/>
                <w:sz w:val="20"/>
              </w:rPr>
            </w:pPr>
            <w:r>
              <w:rPr>
                <w:rFonts w:ascii="Arial" w:eastAsia="黑体" w:hAnsi="Arial" w:cs="Arial"/>
                <w:b/>
                <w:bCs/>
                <w:sz w:val="20"/>
              </w:rPr>
              <w:t>综合收益总额</w:t>
            </w: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92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1,830,740,901.86</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87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1,201,153,289.97</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F87FF6">
            <w:pPr>
              <w:autoSpaceDE w:val="0"/>
              <w:autoSpaceDN w:val="0"/>
              <w:ind w:left="200" w:hangingChars="100" w:hanging="200"/>
              <w:rPr>
                <w:rFonts w:ascii="Arial" w:eastAsia="黑体" w:hAnsi="Arial" w:cs="Arial"/>
                <w:sz w:val="20"/>
              </w:rPr>
            </w:pPr>
            <w:r>
              <w:rPr>
                <w:rFonts w:ascii="Arial" w:eastAsia="黑体" w:hAnsi="Arial" w:cs="Arial"/>
                <w:sz w:val="20"/>
              </w:rPr>
              <w:t>归属于母公司股东的综合收益总额</w:t>
            </w: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1,784,170,495.09</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1,171,717,291.78</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F87FF6">
            <w:pPr>
              <w:autoSpaceDE w:val="0"/>
              <w:autoSpaceDN w:val="0"/>
              <w:ind w:left="200" w:hangingChars="100" w:hanging="200"/>
              <w:rPr>
                <w:rFonts w:ascii="Arial" w:eastAsia="黑体" w:hAnsi="Arial" w:cs="Arial"/>
                <w:sz w:val="20"/>
              </w:rPr>
            </w:pPr>
            <w:r>
              <w:rPr>
                <w:rFonts w:ascii="Arial" w:eastAsia="黑体" w:hAnsi="Arial" w:cs="Arial"/>
                <w:sz w:val="20"/>
              </w:rPr>
              <w:t>归属于少数股东的综合收益总额</w:t>
            </w: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46,570,406.77</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29,435,998.19</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F87FF6">
            <w:pPr>
              <w:autoSpaceDE w:val="0"/>
              <w:autoSpaceDN w:val="0"/>
              <w:ind w:left="201" w:hangingChars="100" w:hanging="201"/>
              <w:rPr>
                <w:rFonts w:ascii="Arial" w:eastAsia="黑体" w:hAnsi="Arial" w:cs="Arial"/>
                <w:b/>
                <w:bCs/>
                <w:sz w:val="20"/>
              </w:rPr>
            </w:pPr>
            <w:r>
              <w:rPr>
                <w:rFonts w:ascii="Arial" w:eastAsia="黑体" w:hAnsi="Arial" w:cs="Arial"/>
                <w:b/>
                <w:bCs/>
                <w:sz w:val="20"/>
              </w:rPr>
              <w:t>每股收益</w:t>
            </w:r>
          </w:p>
        </w:tc>
        <w:tc>
          <w:tcPr>
            <w:tcW w:w="761"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sz w:val="20"/>
              </w:rPr>
              <w:t>46</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927" w:type="dxa"/>
            <w:tcBorders>
              <w:top w:val="nil"/>
              <w:left w:val="nil"/>
              <w:bottom w:val="nil"/>
              <w:right w:val="nil"/>
            </w:tcBorders>
            <w:vAlign w:val="bottom"/>
          </w:tcPr>
          <w:p w:rsidR="00AD5BB5" w:rsidRDefault="00AD5BB5">
            <w:pPr>
              <w:autoSpaceDE w:val="0"/>
              <w:autoSpaceDN w:val="0"/>
              <w:jc w:val="right"/>
              <w:rPr>
                <w:rFonts w:ascii="Arial" w:eastAsia="黑体" w:hAnsi="Arial" w:cs="Arial"/>
                <w:b/>
                <w:bCs/>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878" w:type="dxa"/>
            <w:tcBorders>
              <w:top w:val="nil"/>
              <w:left w:val="nil"/>
              <w:bottom w:val="nil"/>
              <w:right w:val="nil"/>
            </w:tcBorders>
            <w:vAlign w:val="bottom"/>
          </w:tcPr>
          <w:p w:rsidR="00AD5BB5" w:rsidRDefault="00AD5BB5">
            <w:pPr>
              <w:autoSpaceDE w:val="0"/>
              <w:autoSpaceDN w:val="0"/>
              <w:jc w:val="right"/>
              <w:rPr>
                <w:rFonts w:ascii="Arial" w:eastAsia="黑体" w:hAnsi="Arial" w:cs="Arial"/>
                <w:b/>
                <w:bCs/>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30" w:type="dxa"/>
            <w:tcBorders>
              <w:top w:val="nil"/>
              <w:left w:val="nil"/>
              <w:bottom w:val="nil"/>
              <w:right w:val="nil"/>
            </w:tcBorders>
            <w:vAlign w:val="bottom"/>
          </w:tcPr>
          <w:p w:rsidR="00AD5BB5" w:rsidRDefault="00F87FF6">
            <w:pPr>
              <w:autoSpaceDE w:val="0"/>
              <w:autoSpaceDN w:val="0"/>
              <w:ind w:leftChars="106" w:left="423" w:hangingChars="100" w:hanging="200"/>
              <w:rPr>
                <w:rFonts w:ascii="Arial" w:eastAsia="黑体" w:hAnsi="Arial" w:cs="Arial"/>
                <w:sz w:val="20"/>
              </w:rPr>
            </w:pPr>
            <w:r>
              <w:rPr>
                <w:rFonts w:ascii="Arial" w:eastAsia="黑体" w:hAnsi="Arial" w:cs="Arial"/>
                <w:sz w:val="20"/>
              </w:rPr>
              <w:t>基本</w:t>
            </w:r>
            <w:r>
              <w:rPr>
                <w:rFonts w:ascii="Arial" w:eastAsia="黑体" w:hAnsi="Arial" w:cs="Arial"/>
                <w:sz w:val="20"/>
              </w:rPr>
              <w:t>/</w:t>
            </w:r>
            <w:r>
              <w:rPr>
                <w:rFonts w:ascii="Arial" w:eastAsia="黑体" w:hAnsi="Arial" w:cs="Arial"/>
                <w:sz w:val="20"/>
              </w:rPr>
              <w:t>稀释每股收益</w:t>
            </w:r>
          </w:p>
        </w:tc>
        <w:tc>
          <w:tcPr>
            <w:tcW w:w="76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2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0.51</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87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0.44</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bl>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F87FF6">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rPr>
      </w:pPr>
      <w:r>
        <w:rPr>
          <w:rFonts w:ascii="Arial" w:eastAsia="黑体" w:hAnsi="Arial" w:cs="Arial"/>
          <w:sz w:val="20"/>
        </w:rPr>
        <w:t>本财务报表已于</w:t>
      </w:r>
      <w:r>
        <w:rPr>
          <w:rFonts w:ascii="Arial" w:eastAsia="黑体" w:hAnsi="Arial" w:cs="Arial"/>
          <w:sz w:val="20"/>
        </w:rPr>
        <w:fldChar w:fldCharType="begin"/>
      </w:r>
      <w:r>
        <w:rPr>
          <w:rFonts w:ascii="Arial" w:eastAsia="黑体" w:hAnsi="Arial" w:cs="Arial"/>
          <w:sz w:val="20"/>
        </w:rPr>
        <w:instrText xml:space="preserve"> DOCPROPERTY </w:instrText>
      </w:r>
      <w:r>
        <w:rPr>
          <w:rFonts w:ascii="Arial" w:eastAsia="黑体" w:hAnsi="Arial" w:cs="Arial"/>
          <w:sz w:val="20"/>
        </w:rPr>
        <w:instrText>报告日</w:instrText>
      </w:r>
      <w:r>
        <w:rPr>
          <w:rFonts w:ascii="Arial" w:eastAsia="黑体" w:hAnsi="Arial" w:cs="Arial"/>
          <w:sz w:val="20"/>
        </w:rPr>
        <w:instrText xml:space="preserve"> </w:instrText>
      </w:r>
      <w:r>
        <w:rPr>
          <w:rFonts w:ascii="Arial" w:eastAsia="黑体" w:hAnsi="Arial" w:cs="Arial"/>
          <w:sz w:val="20"/>
        </w:rPr>
        <w:fldChar w:fldCharType="separate"/>
      </w:r>
      <w:r>
        <w:rPr>
          <w:rFonts w:ascii="Arial" w:eastAsia="黑体" w:hAnsi="Arial" w:cs="Arial"/>
          <w:sz w:val="20"/>
        </w:rPr>
        <w:t>2023</w:t>
      </w:r>
      <w:r>
        <w:rPr>
          <w:rFonts w:ascii="Arial" w:eastAsia="黑体" w:hAnsi="Arial" w:cs="Arial"/>
          <w:sz w:val="20"/>
        </w:rPr>
        <w:t>年</w:t>
      </w:r>
      <w:r>
        <w:rPr>
          <w:rFonts w:ascii="Arial" w:eastAsia="黑体" w:hAnsi="Arial" w:cs="Arial"/>
          <w:sz w:val="20"/>
        </w:rPr>
        <w:t>8</w:t>
      </w:r>
      <w:r>
        <w:rPr>
          <w:rFonts w:ascii="Arial" w:eastAsia="黑体" w:hAnsi="Arial" w:cs="Arial"/>
          <w:sz w:val="20"/>
        </w:rPr>
        <w:t>月</w:t>
      </w:r>
      <w:r>
        <w:rPr>
          <w:rFonts w:ascii="Arial" w:eastAsia="黑体" w:hAnsi="Arial" w:cs="Arial"/>
          <w:sz w:val="20"/>
        </w:rPr>
        <w:t>28</w:t>
      </w:r>
      <w:r>
        <w:rPr>
          <w:rFonts w:ascii="Arial" w:eastAsia="黑体" w:hAnsi="Arial" w:cs="Arial"/>
          <w:sz w:val="20"/>
        </w:rPr>
        <w:t>日</w:t>
      </w:r>
      <w:r>
        <w:rPr>
          <w:rFonts w:ascii="Arial" w:eastAsia="黑体" w:hAnsi="Arial" w:cs="Arial"/>
          <w:sz w:val="20"/>
        </w:rPr>
        <w:fldChar w:fldCharType="end"/>
      </w:r>
      <w:r>
        <w:rPr>
          <w:rFonts w:ascii="Arial" w:eastAsia="黑体" w:hAnsi="Arial" w:cs="Arial"/>
          <w:sz w:val="20"/>
        </w:rPr>
        <w:t>获本行董事会批准。</w:t>
      </w:r>
    </w:p>
    <w:p w:rsidR="00AD5BB5" w:rsidRDefault="00AD5BB5">
      <w:pPr>
        <w:overflowPunct w:val="0"/>
        <w:autoSpaceDE w:val="0"/>
        <w:autoSpaceDN w:val="0"/>
        <w:rPr>
          <w:rFonts w:ascii="Arial" w:eastAsia="黑体" w:hAnsi="Arial" w:cs="Arial"/>
          <w:i/>
          <w:sz w:val="20"/>
        </w:rPr>
      </w:pPr>
    </w:p>
    <w:p w:rsidR="00AD5BB5" w:rsidRDefault="00AD5BB5">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rPr>
      </w:pPr>
    </w:p>
    <w:p w:rsidR="00AD5BB5" w:rsidRDefault="00AD5BB5">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18"/>
          <w:szCs w:val="18"/>
        </w:rPr>
      </w:pPr>
    </w:p>
    <w:p w:rsidR="00AD5BB5" w:rsidRDefault="00F87FF6">
      <w:pPr>
        <w:overflowPunct w:val="0"/>
        <w:autoSpaceDE w:val="0"/>
        <w:autoSpaceDN w:val="0"/>
        <w:snapToGrid w:val="0"/>
        <w:rPr>
          <w:rFonts w:ascii="Arial" w:eastAsia="黑体" w:hAnsi="Arial" w:cs="Arial"/>
          <w:sz w:val="20"/>
        </w:rPr>
      </w:pPr>
      <w:r>
        <w:rPr>
          <w:rFonts w:ascii="Arial" w:eastAsia="黑体" w:hAnsi="Arial" w:cs="Arial"/>
          <w:sz w:val="20"/>
        </w:rPr>
        <w:t>本财务报表由以下人士签署：</w:t>
      </w:r>
    </w:p>
    <w:p w:rsidR="00AD5BB5" w:rsidRDefault="00AD5BB5">
      <w:pPr>
        <w:overflowPunct w:val="0"/>
        <w:autoSpaceDE w:val="0"/>
        <w:autoSpaceDN w:val="0"/>
        <w:snapToGrid w:val="0"/>
        <w:rPr>
          <w:rFonts w:ascii="Arial" w:eastAsia="黑体" w:hAnsi="Arial" w:cs="Arial"/>
          <w:sz w:val="20"/>
        </w:rPr>
      </w:pPr>
    </w:p>
    <w:p w:rsidR="00AD5BB5" w:rsidRDefault="00F87FF6">
      <w:pPr>
        <w:tabs>
          <w:tab w:val="left" w:pos="2100"/>
          <w:tab w:val="left" w:pos="2268"/>
          <w:tab w:val="left" w:pos="4962"/>
        </w:tabs>
        <w:overflowPunct w:val="0"/>
        <w:autoSpaceDE w:val="0"/>
        <w:autoSpaceDN w:val="0"/>
        <w:snapToGrid w:val="0"/>
        <w:rPr>
          <w:rFonts w:ascii="Arial" w:eastAsia="黑体" w:hAnsi="Arial" w:cs="Arial"/>
          <w:sz w:val="20"/>
        </w:rPr>
      </w:pPr>
      <w:r>
        <w:rPr>
          <w:rFonts w:ascii="Arial" w:eastAsia="黑体" w:hAnsi="Arial" w:cs="Arial"/>
          <w:sz w:val="20"/>
        </w:rPr>
        <w:t>法定</w:t>
      </w:r>
      <w:r>
        <w:rPr>
          <w:rFonts w:ascii="Arial" w:eastAsia="黑体" w:hAnsi="Arial" w:cs="Arial"/>
          <w:sz w:val="20"/>
        </w:rPr>
        <w:tab/>
      </w:r>
      <w:r>
        <w:rPr>
          <w:rFonts w:ascii="Arial" w:eastAsia="黑体" w:hAnsi="Arial" w:cs="Arial"/>
          <w:sz w:val="20"/>
        </w:rPr>
        <w:tab/>
      </w:r>
      <w:r>
        <w:rPr>
          <w:rFonts w:ascii="Arial" w:eastAsia="黑体" w:hAnsi="Arial" w:cs="Arial"/>
          <w:sz w:val="20"/>
        </w:rPr>
        <w:t>主管财会</w:t>
      </w:r>
      <w:r>
        <w:rPr>
          <w:rFonts w:ascii="Arial" w:eastAsia="黑体" w:hAnsi="Arial" w:cs="Arial"/>
          <w:sz w:val="20"/>
        </w:rPr>
        <w:tab/>
      </w:r>
      <w:r>
        <w:rPr>
          <w:rFonts w:ascii="Arial" w:eastAsia="黑体" w:hAnsi="Arial" w:cs="Arial"/>
          <w:sz w:val="20"/>
        </w:rPr>
        <w:t>财会机构</w:t>
      </w:r>
    </w:p>
    <w:p w:rsidR="00AD5BB5" w:rsidRDefault="00F87FF6">
      <w:pPr>
        <w:tabs>
          <w:tab w:val="left" w:pos="1985"/>
          <w:tab w:val="left" w:pos="2268"/>
          <w:tab w:val="left" w:pos="4962"/>
          <w:tab w:val="left" w:pos="7139"/>
        </w:tabs>
        <w:overflowPunct w:val="0"/>
        <w:autoSpaceDE w:val="0"/>
        <w:autoSpaceDN w:val="0"/>
        <w:snapToGrid w:val="0"/>
        <w:rPr>
          <w:rFonts w:ascii="Arial" w:eastAsia="黑体" w:hAnsi="Arial" w:cs="Arial"/>
          <w:sz w:val="20"/>
        </w:rPr>
      </w:pPr>
      <w:r>
        <w:rPr>
          <w:rFonts w:ascii="Arial" w:eastAsia="黑体" w:hAnsi="Arial" w:cs="Arial"/>
          <w:sz w:val="20"/>
        </w:rPr>
        <w:t>代表人：</w:t>
      </w:r>
      <w:r>
        <w:rPr>
          <w:rFonts w:ascii="Arial" w:eastAsia="黑体" w:hAnsi="Arial" w:cs="Arial"/>
          <w:sz w:val="20"/>
        </w:rPr>
        <w:tab/>
      </w:r>
      <w:r>
        <w:rPr>
          <w:rFonts w:ascii="Arial" w:eastAsia="黑体" w:hAnsi="Arial" w:cs="Arial"/>
          <w:sz w:val="20"/>
        </w:rPr>
        <w:tab/>
      </w:r>
      <w:r>
        <w:rPr>
          <w:rFonts w:ascii="Arial" w:eastAsia="黑体" w:hAnsi="Arial" w:cs="Arial"/>
          <w:sz w:val="20"/>
        </w:rPr>
        <w:t>工作负责人：</w:t>
      </w:r>
      <w:r>
        <w:rPr>
          <w:rFonts w:ascii="Arial" w:eastAsia="黑体" w:hAnsi="Arial" w:cs="Arial"/>
          <w:sz w:val="20"/>
        </w:rPr>
        <w:tab/>
      </w:r>
      <w:r>
        <w:rPr>
          <w:rFonts w:ascii="Arial" w:eastAsia="黑体" w:hAnsi="Arial" w:cs="Arial"/>
          <w:sz w:val="20"/>
        </w:rPr>
        <w:t>负责人：</w:t>
      </w:r>
      <w:r>
        <w:rPr>
          <w:rFonts w:ascii="Arial" w:eastAsia="黑体" w:hAnsi="Arial" w:cs="Arial"/>
          <w:sz w:val="20"/>
        </w:rPr>
        <w:tab/>
      </w:r>
      <w:r>
        <w:rPr>
          <w:rFonts w:ascii="Arial" w:eastAsia="黑体" w:hAnsi="Arial" w:cs="Arial"/>
          <w:sz w:val="20"/>
        </w:rPr>
        <w:tab/>
      </w:r>
      <w:r>
        <w:rPr>
          <w:rFonts w:ascii="Arial" w:eastAsia="黑体" w:hAnsi="Arial" w:cs="Arial"/>
          <w:sz w:val="20"/>
        </w:rPr>
        <w:t>盖章</w:t>
      </w:r>
    </w:p>
    <w:p w:rsidR="00AD5BB5" w:rsidRDefault="00AD5BB5">
      <w:pPr>
        <w:overflowPunct w:val="0"/>
        <w:autoSpaceDE w:val="0"/>
        <w:autoSpaceDN w:val="0"/>
        <w:adjustRightInd w:val="0"/>
        <w:rPr>
          <w:rFonts w:ascii="Arial" w:eastAsia="黑体" w:hAnsi="Arial" w:cs="Arial"/>
          <w:i/>
          <w:sz w:val="20"/>
        </w:rPr>
      </w:pPr>
    </w:p>
    <w:p w:rsidR="00AD5BB5" w:rsidRDefault="00AD5BB5">
      <w:pPr>
        <w:overflowPunct w:val="0"/>
        <w:autoSpaceDE w:val="0"/>
        <w:autoSpaceDN w:val="0"/>
        <w:adjustRightInd w:val="0"/>
        <w:rPr>
          <w:rFonts w:ascii="Arial" w:eastAsia="黑体" w:hAnsi="Arial" w:cs="Arial"/>
          <w:i/>
          <w:sz w:val="20"/>
        </w:rPr>
      </w:pPr>
    </w:p>
    <w:p w:rsidR="00AD5BB5" w:rsidRDefault="00AD5BB5">
      <w:pPr>
        <w:overflowPunct w:val="0"/>
        <w:autoSpaceDE w:val="0"/>
        <w:autoSpaceDN w:val="0"/>
        <w:adjustRightInd w:val="0"/>
        <w:rPr>
          <w:rFonts w:ascii="Arial" w:eastAsia="黑体" w:hAnsi="Arial" w:cs="Arial"/>
          <w:i/>
          <w:sz w:val="20"/>
        </w:rPr>
      </w:pPr>
    </w:p>
    <w:p w:rsidR="00AD5BB5" w:rsidRDefault="00AD5BB5">
      <w:pPr>
        <w:overflowPunct w:val="0"/>
        <w:autoSpaceDE w:val="0"/>
        <w:autoSpaceDN w:val="0"/>
        <w:adjustRightInd w:val="0"/>
        <w:rPr>
          <w:rFonts w:ascii="Arial" w:eastAsia="黑体" w:hAnsi="Arial" w:cs="Arial"/>
          <w:i/>
          <w:sz w:val="20"/>
        </w:rPr>
      </w:pPr>
    </w:p>
    <w:p w:rsidR="00AD5BB5" w:rsidRDefault="00AD5BB5">
      <w:pPr>
        <w:overflowPunct w:val="0"/>
        <w:autoSpaceDE w:val="0"/>
        <w:autoSpaceDN w:val="0"/>
        <w:adjustRightInd w:val="0"/>
        <w:rPr>
          <w:rFonts w:ascii="Arial" w:eastAsia="黑体" w:hAnsi="Arial" w:cs="Arial"/>
          <w:i/>
          <w:sz w:val="20"/>
        </w:rPr>
      </w:pPr>
    </w:p>
    <w:p w:rsidR="00AD5BB5" w:rsidRDefault="00F87FF6">
      <w:pPr>
        <w:overflowPunct w:val="0"/>
        <w:autoSpaceDE w:val="0"/>
        <w:autoSpaceDN w:val="0"/>
        <w:adjustRightInd w:val="0"/>
        <w:rPr>
          <w:rFonts w:ascii="Arial" w:eastAsia="黑体" w:hAnsi="Arial" w:cs="Arial"/>
          <w:i/>
          <w:sz w:val="20"/>
        </w:rPr>
        <w:sectPr w:rsidR="00AD5BB5">
          <w:headerReference w:type="even" r:id="rId20"/>
          <w:headerReference w:type="default" r:id="rId21"/>
          <w:headerReference w:type="first" r:id="rId22"/>
          <w:pgSz w:w="11907" w:h="16840"/>
          <w:pgMar w:top="1440" w:right="1797" w:bottom="1440" w:left="1797" w:header="720" w:footer="720" w:gutter="0"/>
          <w:cols w:space="720"/>
          <w:titlePg/>
          <w:docGrid w:linePitch="360"/>
        </w:sectPr>
      </w:pPr>
      <w:r>
        <w:rPr>
          <w:rFonts w:ascii="Arial" w:eastAsia="黑体" w:hAnsi="Arial" w:cs="Arial"/>
          <w:i/>
          <w:sz w:val="20"/>
        </w:rPr>
        <w:t>后附财务报表附注为本财务报表的组成部分</w:t>
      </w:r>
    </w:p>
    <w:p w:rsidR="00AD5BB5" w:rsidRDefault="00AD5BB5">
      <w:pPr>
        <w:tabs>
          <w:tab w:val="right" w:pos="10560"/>
          <w:tab w:val="right" w:pos="11880"/>
          <w:tab w:val="right" w:pos="13200"/>
        </w:tabs>
        <w:overflowPunct w:val="0"/>
        <w:autoSpaceDE w:val="0"/>
        <w:autoSpaceDN w:val="0"/>
        <w:rPr>
          <w:rFonts w:ascii="Arial" w:eastAsia="黑体" w:hAnsi="Arial" w:cs="Arial"/>
          <w:b/>
          <w:sz w:val="20"/>
          <w:u w:val="single"/>
        </w:rPr>
      </w:pPr>
      <w:bookmarkStart w:id="58" w:name="afsaddin_Section_6e189fc8340c41b8b021dfc"/>
    </w:p>
    <w:bookmarkEnd w:id="58"/>
    <w:p w:rsidR="00AD5BB5" w:rsidRDefault="00AD5BB5">
      <w:pPr>
        <w:tabs>
          <w:tab w:val="right" w:pos="10560"/>
          <w:tab w:val="right" w:pos="11880"/>
          <w:tab w:val="right" w:pos="13200"/>
        </w:tabs>
        <w:overflowPunct w:val="0"/>
        <w:autoSpaceDE w:val="0"/>
        <w:autoSpaceDN w:val="0"/>
        <w:rPr>
          <w:rFonts w:ascii="Arial" w:eastAsia="黑体" w:hAnsi="Arial" w:cs="Arial"/>
          <w:b/>
          <w:sz w:val="20"/>
          <w:u w:val="single"/>
        </w:rPr>
      </w:pPr>
    </w:p>
    <w:tbl>
      <w:tblPr>
        <w:tblW w:w="0" w:type="auto"/>
        <w:tblLayout w:type="fixed"/>
        <w:tblCellMar>
          <w:left w:w="0" w:type="dxa"/>
          <w:right w:w="0" w:type="dxa"/>
        </w:tblCellMar>
        <w:tblLook w:val="04A0" w:firstRow="1" w:lastRow="0" w:firstColumn="1" w:lastColumn="0" w:noHBand="0" w:noVBand="1"/>
        <w:tblCaption w:val="651785aa-7218-4ef5-8dc7-b499843d7610"/>
        <w:tblDescription w:val="{&quot;UUID&quot;:&quot;afsaddin_tabledata_2_56437_651785aa-7218-4ef5-8dc7-b499843d7610&quot;,&quot;TitleRowCount&quot;:4,&quot;SplitedTable&quot;:false,&quot;FirstTableId&quot;:&quot;651785aa-7218-4ef5-8dc7-b499843d7610&quot;}"/>
      </w:tblPr>
      <w:tblGrid>
        <w:gridCol w:w="371"/>
        <w:gridCol w:w="1031"/>
        <w:gridCol w:w="371"/>
        <w:gridCol w:w="102"/>
        <w:gridCol w:w="963"/>
        <w:gridCol w:w="102"/>
        <w:gridCol w:w="102"/>
        <w:gridCol w:w="964"/>
        <w:gridCol w:w="102"/>
        <w:gridCol w:w="102"/>
        <w:gridCol w:w="964"/>
        <w:gridCol w:w="102"/>
        <w:gridCol w:w="101"/>
        <w:gridCol w:w="859"/>
        <w:gridCol w:w="101"/>
        <w:gridCol w:w="101"/>
        <w:gridCol w:w="963"/>
        <w:gridCol w:w="101"/>
        <w:gridCol w:w="101"/>
        <w:gridCol w:w="963"/>
        <w:gridCol w:w="101"/>
        <w:gridCol w:w="101"/>
        <w:gridCol w:w="963"/>
        <w:gridCol w:w="101"/>
        <w:gridCol w:w="101"/>
        <w:gridCol w:w="1031"/>
        <w:gridCol w:w="101"/>
        <w:gridCol w:w="101"/>
        <w:gridCol w:w="859"/>
        <w:gridCol w:w="101"/>
        <w:gridCol w:w="101"/>
        <w:gridCol w:w="1031"/>
        <w:gridCol w:w="101"/>
      </w:tblGrid>
      <w:tr w:rsidR="00AD5BB5">
        <w:tc>
          <w:tcPr>
            <w:tcW w:w="37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bookmarkStart w:id="59" w:name="_Hlk20484898"/>
          </w:p>
        </w:tc>
        <w:tc>
          <w:tcPr>
            <w:tcW w:w="1031" w:type="dxa"/>
            <w:tcBorders>
              <w:top w:val="nil"/>
              <w:left w:val="nil"/>
              <w:bottom w:val="nil"/>
              <w:right w:val="nil"/>
            </w:tcBorders>
            <w:vAlign w:val="bottom"/>
          </w:tcPr>
          <w:p w:rsidR="00AD5BB5" w:rsidRDefault="00AD5BB5">
            <w:pPr>
              <w:autoSpaceDE w:val="0"/>
              <w:autoSpaceDN w:val="0"/>
              <w:ind w:left="165" w:hangingChars="150" w:hanging="165"/>
              <w:rPr>
                <w:rFonts w:ascii="Arial" w:eastAsia="黑体" w:hAnsi="Arial" w:cs="Arial"/>
                <w:sz w:val="11"/>
                <w:szCs w:val="11"/>
              </w:rPr>
            </w:pPr>
          </w:p>
        </w:tc>
        <w:tc>
          <w:tcPr>
            <w:tcW w:w="371"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11"/>
                <w:szCs w:val="11"/>
              </w:rPr>
            </w:pPr>
          </w:p>
        </w:tc>
        <w:tc>
          <w:tcPr>
            <w:tcW w:w="102"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11"/>
                <w:szCs w:val="11"/>
              </w:rPr>
            </w:pPr>
          </w:p>
        </w:tc>
        <w:tc>
          <w:tcPr>
            <w:tcW w:w="11383" w:type="dxa"/>
            <w:gridSpan w:val="28"/>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b/>
                <w:bCs/>
                <w:sz w:val="11"/>
                <w:szCs w:val="11"/>
              </w:rPr>
            </w:pPr>
            <w:r>
              <w:rPr>
                <w:rFonts w:ascii="Arial" w:eastAsia="黑体" w:hAnsi="Arial" w:cs="Arial"/>
                <w:b/>
                <w:bCs/>
                <w:sz w:val="11"/>
                <w:szCs w:val="11"/>
              </w:rPr>
              <w:t>截至</w:t>
            </w:r>
            <w:r>
              <w:rPr>
                <w:rFonts w:ascii="Arial" w:eastAsia="黑体" w:hAnsi="Arial" w:cs="Arial"/>
                <w:b/>
                <w:bCs/>
                <w:sz w:val="11"/>
                <w:szCs w:val="11"/>
              </w:rPr>
              <w:fldChar w:fldCharType="begin"/>
            </w:r>
            <w:r>
              <w:rPr>
                <w:rFonts w:ascii="Arial" w:eastAsia="黑体" w:hAnsi="Arial" w:cs="Arial"/>
                <w:b/>
                <w:bCs/>
                <w:sz w:val="11"/>
                <w:szCs w:val="11"/>
              </w:rPr>
              <w:instrText xml:space="preserve">DOCPROPERTY </w:instrText>
            </w:r>
            <w:r>
              <w:rPr>
                <w:rFonts w:ascii="Arial" w:eastAsia="黑体" w:hAnsi="Arial" w:cs="Arial"/>
                <w:b/>
                <w:bCs/>
                <w:sz w:val="11"/>
                <w:szCs w:val="11"/>
              </w:rPr>
              <w:instrText>当期会计期间</w:instrText>
            </w:r>
            <w:r>
              <w:rPr>
                <w:rFonts w:ascii="Arial" w:eastAsia="黑体" w:hAnsi="Arial" w:cs="Arial"/>
                <w:b/>
                <w:bCs/>
                <w:sz w:val="11"/>
                <w:szCs w:val="11"/>
              </w:rPr>
              <w:fldChar w:fldCharType="separate"/>
            </w:r>
            <w:r>
              <w:rPr>
                <w:rFonts w:ascii="Arial" w:eastAsia="黑体" w:hAnsi="Arial" w:cs="Arial"/>
                <w:b/>
                <w:bCs/>
                <w:sz w:val="11"/>
                <w:szCs w:val="11"/>
              </w:rPr>
              <w:t>2023</w:t>
            </w:r>
            <w:r>
              <w:rPr>
                <w:rFonts w:ascii="Arial" w:eastAsia="黑体" w:hAnsi="Arial" w:cs="Arial"/>
                <w:b/>
                <w:bCs/>
                <w:sz w:val="11"/>
                <w:szCs w:val="11"/>
              </w:rPr>
              <w:fldChar w:fldCharType="end"/>
            </w:r>
            <w:r>
              <w:rPr>
                <w:rFonts w:ascii="Arial" w:eastAsia="黑体" w:hAnsi="Arial" w:cs="Arial"/>
                <w:b/>
                <w:bCs/>
                <w:sz w:val="11"/>
                <w:szCs w:val="11"/>
              </w:rPr>
              <w:t>年</w:t>
            </w:r>
            <w:r>
              <w:rPr>
                <w:rFonts w:ascii="Arial" w:eastAsia="黑体" w:hAnsi="Arial" w:cs="Arial"/>
                <w:b/>
                <w:bCs/>
                <w:sz w:val="11"/>
                <w:szCs w:val="11"/>
              </w:rPr>
              <w:t>6</w:t>
            </w:r>
            <w:r>
              <w:rPr>
                <w:rFonts w:ascii="Arial" w:eastAsia="黑体" w:hAnsi="Arial" w:cs="Arial"/>
                <w:b/>
                <w:bCs/>
                <w:sz w:val="11"/>
                <w:szCs w:val="11"/>
              </w:rPr>
              <w:t>月</w:t>
            </w:r>
            <w:r>
              <w:rPr>
                <w:rFonts w:ascii="Arial" w:eastAsia="黑体" w:hAnsi="Arial" w:cs="Arial"/>
                <w:b/>
                <w:bCs/>
                <w:sz w:val="11"/>
                <w:szCs w:val="11"/>
              </w:rPr>
              <w:t>30</w:t>
            </w:r>
            <w:r>
              <w:rPr>
                <w:rFonts w:ascii="Arial" w:eastAsia="黑体" w:hAnsi="Arial" w:cs="Arial"/>
                <w:b/>
                <w:bCs/>
                <w:sz w:val="11"/>
                <w:szCs w:val="11"/>
              </w:rPr>
              <w:t>日</w:t>
            </w:r>
            <w:proofErr w:type="gramStart"/>
            <w:r>
              <w:rPr>
                <w:rFonts w:ascii="Arial" w:eastAsia="黑体" w:hAnsi="Arial" w:cs="Arial"/>
                <w:b/>
                <w:bCs/>
                <w:sz w:val="11"/>
                <w:szCs w:val="11"/>
              </w:rPr>
              <w:t>止</w:t>
            </w:r>
            <w:proofErr w:type="gramEnd"/>
            <w:r>
              <w:rPr>
                <w:rFonts w:ascii="Arial" w:eastAsia="黑体" w:hAnsi="Arial" w:cs="Arial"/>
                <w:b/>
                <w:bCs/>
                <w:sz w:val="11"/>
                <w:szCs w:val="11"/>
              </w:rPr>
              <w:t>6</w:t>
            </w:r>
            <w:r>
              <w:rPr>
                <w:rFonts w:ascii="Arial" w:eastAsia="黑体" w:hAnsi="Arial" w:cs="Arial"/>
                <w:b/>
                <w:bCs/>
                <w:sz w:val="11"/>
                <w:szCs w:val="11"/>
              </w:rPr>
              <w:t>个月期间</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r w:rsidR="00AD5BB5">
        <w:tc>
          <w:tcPr>
            <w:tcW w:w="37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nil"/>
              <w:left w:val="nil"/>
              <w:bottom w:val="nil"/>
              <w:right w:val="nil"/>
            </w:tcBorders>
            <w:vAlign w:val="bottom"/>
          </w:tcPr>
          <w:p w:rsidR="00AD5BB5" w:rsidRDefault="00AD5BB5">
            <w:pPr>
              <w:autoSpaceDE w:val="0"/>
              <w:autoSpaceDN w:val="0"/>
              <w:ind w:left="165" w:hangingChars="150" w:hanging="165"/>
              <w:rPr>
                <w:rFonts w:ascii="Arial" w:eastAsia="黑体" w:hAnsi="Arial" w:cs="Arial"/>
                <w:sz w:val="11"/>
                <w:szCs w:val="11"/>
              </w:rPr>
            </w:pPr>
          </w:p>
        </w:tc>
        <w:tc>
          <w:tcPr>
            <w:tcW w:w="371" w:type="dxa"/>
            <w:tcBorders>
              <w:top w:val="nil"/>
              <w:left w:val="nil"/>
              <w:bottom w:val="nil"/>
              <w:right w:val="nil"/>
            </w:tcBorders>
            <w:vAlign w:val="bottom"/>
          </w:tcPr>
          <w:p w:rsidR="00AD5BB5" w:rsidRDefault="00F87FF6">
            <w:pPr>
              <w:autoSpaceDE w:val="0"/>
              <w:autoSpaceDN w:val="0"/>
              <w:jc w:val="center"/>
              <w:rPr>
                <w:rFonts w:ascii="Arial" w:eastAsia="黑体" w:hAnsi="Arial" w:cs="Arial"/>
                <w:b/>
                <w:bCs/>
                <w:sz w:val="11"/>
                <w:szCs w:val="11"/>
              </w:rPr>
            </w:pPr>
            <w:r>
              <w:rPr>
                <w:rFonts w:ascii="Arial" w:eastAsia="黑体" w:hAnsi="Arial" w:cs="Arial"/>
                <w:b/>
                <w:bCs/>
                <w:sz w:val="11"/>
                <w:szCs w:val="11"/>
              </w:rPr>
              <w:t>附注五</w:t>
            </w:r>
          </w:p>
        </w:tc>
        <w:tc>
          <w:tcPr>
            <w:tcW w:w="102"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11"/>
                <w:szCs w:val="11"/>
              </w:rPr>
            </w:pPr>
          </w:p>
        </w:tc>
        <w:tc>
          <w:tcPr>
            <w:tcW w:w="9089" w:type="dxa"/>
            <w:gridSpan w:val="22"/>
            <w:tcBorders>
              <w:top w:val="single" w:sz="4" w:space="0" w:color="auto"/>
              <w:left w:val="nil"/>
              <w:bottom w:val="single" w:sz="4" w:space="0" w:color="auto"/>
              <w:right w:val="nil"/>
            </w:tcBorders>
            <w:vAlign w:val="bottom"/>
          </w:tcPr>
          <w:p w:rsidR="00AD5BB5" w:rsidRDefault="00F87FF6">
            <w:pPr>
              <w:autoSpaceDE w:val="0"/>
              <w:autoSpaceDN w:val="0"/>
              <w:jc w:val="center"/>
              <w:rPr>
                <w:rFonts w:ascii="Arial" w:eastAsia="黑体" w:hAnsi="Arial" w:cs="Arial"/>
                <w:b/>
                <w:bCs/>
                <w:sz w:val="11"/>
                <w:szCs w:val="11"/>
              </w:rPr>
            </w:pPr>
            <w:r>
              <w:rPr>
                <w:rFonts w:ascii="Arial" w:eastAsia="黑体" w:hAnsi="Arial" w:cs="Arial"/>
                <w:b/>
                <w:bCs/>
                <w:sz w:val="11"/>
                <w:szCs w:val="11"/>
              </w:rPr>
              <w:t>归属于母公司股东的权益</w:t>
            </w:r>
          </w:p>
        </w:tc>
        <w:tc>
          <w:tcPr>
            <w:tcW w:w="101"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1"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859"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少数股东权益</w:t>
            </w:r>
          </w:p>
        </w:tc>
        <w:tc>
          <w:tcPr>
            <w:tcW w:w="101"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1"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31"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股东权益合计</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r w:rsidR="00AD5BB5">
        <w:tc>
          <w:tcPr>
            <w:tcW w:w="37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nil"/>
              <w:left w:val="nil"/>
              <w:bottom w:val="nil"/>
              <w:right w:val="nil"/>
            </w:tcBorders>
            <w:vAlign w:val="bottom"/>
          </w:tcPr>
          <w:p w:rsidR="00AD5BB5" w:rsidRDefault="00AD5BB5">
            <w:pPr>
              <w:autoSpaceDE w:val="0"/>
              <w:autoSpaceDN w:val="0"/>
              <w:ind w:left="165" w:hangingChars="150" w:hanging="165"/>
              <w:rPr>
                <w:rFonts w:ascii="Arial" w:eastAsia="黑体" w:hAnsi="Arial" w:cs="Arial"/>
                <w:sz w:val="11"/>
                <w:szCs w:val="11"/>
              </w:rPr>
            </w:pPr>
          </w:p>
        </w:tc>
        <w:tc>
          <w:tcPr>
            <w:tcW w:w="371"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11"/>
                <w:szCs w:val="11"/>
              </w:rPr>
            </w:pPr>
          </w:p>
        </w:tc>
        <w:tc>
          <w:tcPr>
            <w:tcW w:w="102"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11"/>
                <w:szCs w:val="11"/>
              </w:rPr>
            </w:pPr>
          </w:p>
        </w:tc>
        <w:tc>
          <w:tcPr>
            <w:tcW w:w="963"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股本</w:t>
            </w:r>
          </w:p>
        </w:tc>
        <w:tc>
          <w:tcPr>
            <w:tcW w:w="10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0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964"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其他权益工具</w:t>
            </w:r>
          </w:p>
        </w:tc>
        <w:tc>
          <w:tcPr>
            <w:tcW w:w="10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0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964"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资本公积</w:t>
            </w:r>
          </w:p>
        </w:tc>
        <w:tc>
          <w:tcPr>
            <w:tcW w:w="10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0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859"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其他综合收益</w:t>
            </w:r>
          </w:p>
        </w:tc>
        <w:tc>
          <w:tcPr>
            <w:tcW w:w="10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0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963"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盈余公积</w:t>
            </w:r>
          </w:p>
        </w:tc>
        <w:tc>
          <w:tcPr>
            <w:tcW w:w="10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0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963"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一般风险准备</w:t>
            </w:r>
          </w:p>
        </w:tc>
        <w:tc>
          <w:tcPr>
            <w:tcW w:w="10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0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963"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未分配利润</w:t>
            </w:r>
          </w:p>
        </w:tc>
        <w:tc>
          <w:tcPr>
            <w:tcW w:w="10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0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031"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小计</w:t>
            </w: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859" w:type="dxa"/>
            <w:tcBorders>
              <w:top w:val="nil"/>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031" w:type="dxa"/>
            <w:tcBorders>
              <w:top w:val="nil"/>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r>
      <w:tr w:rsidR="00AD5BB5">
        <w:tc>
          <w:tcPr>
            <w:tcW w:w="37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nil"/>
              <w:left w:val="nil"/>
              <w:bottom w:val="nil"/>
              <w:right w:val="nil"/>
            </w:tcBorders>
            <w:vAlign w:val="bottom"/>
          </w:tcPr>
          <w:p w:rsidR="00AD5BB5" w:rsidRDefault="00AD5BB5">
            <w:pPr>
              <w:autoSpaceDE w:val="0"/>
              <w:autoSpaceDN w:val="0"/>
              <w:ind w:left="165" w:hangingChars="150" w:hanging="165"/>
              <w:rPr>
                <w:rFonts w:ascii="Arial" w:eastAsia="黑体" w:hAnsi="Arial" w:cs="Arial"/>
                <w:sz w:val="11"/>
                <w:szCs w:val="11"/>
              </w:rPr>
            </w:pPr>
          </w:p>
        </w:tc>
        <w:tc>
          <w:tcPr>
            <w:tcW w:w="37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96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96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96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85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96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96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96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3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85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3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r>
      <w:tr w:rsidR="00AD5BB5">
        <w:tc>
          <w:tcPr>
            <w:tcW w:w="37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nil"/>
              <w:left w:val="nil"/>
              <w:bottom w:val="nil"/>
              <w:right w:val="nil"/>
            </w:tcBorders>
            <w:vAlign w:val="bottom"/>
          </w:tcPr>
          <w:p w:rsidR="00AD5BB5" w:rsidRDefault="00AD5BB5">
            <w:pPr>
              <w:autoSpaceDE w:val="0"/>
              <w:autoSpaceDN w:val="0"/>
              <w:ind w:left="165" w:hangingChars="150" w:hanging="165"/>
              <w:rPr>
                <w:rFonts w:ascii="Arial" w:eastAsia="黑体" w:hAnsi="Arial" w:cs="Arial"/>
                <w:sz w:val="11"/>
                <w:szCs w:val="11"/>
              </w:rPr>
            </w:pPr>
          </w:p>
        </w:tc>
        <w:tc>
          <w:tcPr>
            <w:tcW w:w="37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85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85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r w:rsidR="00AD5BB5">
        <w:tc>
          <w:tcPr>
            <w:tcW w:w="371" w:type="dxa"/>
            <w:tcBorders>
              <w:top w:val="nil"/>
              <w:left w:val="nil"/>
              <w:bottom w:val="nil"/>
              <w:right w:val="nil"/>
            </w:tcBorders>
            <w:vAlign w:val="bottom"/>
          </w:tcPr>
          <w:p w:rsidR="00AD5BB5" w:rsidRDefault="00F87FF6">
            <w:pPr>
              <w:autoSpaceDE w:val="0"/>
              <w:autoSpaceDN w:val="0"/>
              <w:rPr>
                <w:rFonts w:ascii="Arial" w:eastAsia="黑体" w:hAnsi="Arial" w:cs="Arial"/>
                <w:b/>
                <w:bCs/>
                <w:sz w:val="11"/>
                <w:szCs w:val="11"/>
              </w:rPr>
            </w:pPr>
            <w:r>
              <w:rPr>
                <w:rFonts w:ascii="Arial" w:eastAsia="黑体" w:hAnsi="Arial" w:cs="Arial"/>
                <w:b/>
                <w:bCs/>
                <w:sz w:val="11"/>
                <w:szCs w:val="11"/>
              </w:rPr>
              <w:t>一、</w:t>
            </w:r>
          </w:p>
        </w:tc>
        <w:tc>
          <w:tcPr>
            <w:tcW w:w="1031" w:type="dxa"/>
            <w:tcBorders>
              <w:top w:val="nil"/>
              <w:left w:val="nil"/>
              <w:bottom w:val="nil"/>
              <w:right w:val="nil"/>
            </w:tcBorders>
            <w:vAlign w:val="bottom"/>
          </w:tcPr>
          <w:p w:rsidR="00AD5BB5" w:rsidRDefault="00F87FF6">
            <w:pPr>
              <w:autoSpaceDE w:val="0"/>
              <w:autoSpaceDN w:val="0"/>
              <w:ind w:left="110" w:hangingChars="100" w:hanging="110"/>
              <w:rPr>
                <w:rFonts w:ascii="Arial" w:eastAsia="黑体" w:hAnsi="Arial" w:cs="Arial"/>
                <w:b/>
                <w:bCs/>
                <w:sz w:val="11"/>
                <w:szCs w:val="11"/>
              </w:rPr>
            </w:pPr>
            <w:r>
              <w:rPr>
                <w:rFonts w:ascii="Arial" w:eastAsia="黑体" w:hAnsi="Arial" w:cs="Arial"/>
                <w:b/>
                <w:bCs/>
                <w:sz w:val="11"/>
                <w:szCs w:val="11"/>
              </w:rPr>
              <w:fldChar w:fldCharType="begin"/>
            </w:r>
            <w:r>
              <w:rPr>
                <w:rFonts w:ascii="Arial" w:eastAsia="黑体" w:hAnsi="Arial" w:cs="Arial"/>
                <w:b/>
                <w:bCs/>
                <w:sz w:val="11"/>
                <w:szCs w:val="11"/>
              </w:rPr>
              <w:instrText xml:space="preserve"> DOCPROPERTY </w:instrText>
            </w:r>
            <w:r>
              <w:rPr>
                <w:rFonts w:ascii="Arial" w:eastAsia="黑体" w:hAnsi="Arial" w:cs="Arial"/>
                <w:b/>
                <w:bCs/>
                <w:sz w:val="11"/>
                <w:szCs w:val="11"/>
              </w:rPr>
              <w:instrText>当期会计期间</w:instrText>
            </w:r>
            <w:r>
              <w:rPr>
                <w:rFonts w:ascii="Arial" w:eastAsia="黑体" w:hAnsi="Arial" w:cs="Arial"/>
                <w:b/>
                <w:bCs/>
                <w:sz w:val="11"/>
                <w:szCs w:val="11"/>
              </w:rPr>
              <w:instrText xml:space="preserve"> </w:instrText>
            </w:r>
            <w:r>
              <w:rPr>
                <w:rFonts w:ascii="Arial" w:eastAsia="黑体" w:hAnsi="Arial" w:cs="Arial"/>
                <w:b/>
                <w:bCs/>
                <w:sz w:val="11"/>
                <w:szCs w:val="11"/>
              </w:rPr>
              <w:fldChar w:fldCharType="separate"/>
            </w:r>
            <w:r>
              <w:rPr>
                <w:rFonts w:ascii="Arial" w:eastAsia="黑体" w:hAnsi="Arial" w:cs="Arial"/>
                <w:b/>
                <w:bCs/>
                <w:sz w:val="11"/>
                <w:szCs w:val="11"/>
              </w:rPr>
              <w:t>2023</w:t>
            </w:r>
            <w:r>
              <w:rPr>
                <w:rFonts w:ascii="Arial" w:eastAsia="黑体" w:hAnsi="Arial" w:cs="Arial"/>
                <w:b/>
                <w:bCs/>
                <w:sz w:val="11"/>
                <w:szCs w:val="11"/>
              </w:rPr>
              <w:fldChar w:fldCharType="end"/>
            </w:r>
            <w:r>
              <w:rPr>
                <w:rFonts w:ascii="Arial" w:eastAsia="黑体" w:hAnsi="Arial" w:cs="Arial"/>
                <w:b/>
                <w:bCs/>
                <w:sz w:val="11"/>
                <w:szCs w:val="11"/>
              </w:rPr>
              <w:t>年</w:t>
            </w:r>
            <w:r>
              <w:rPr>
                <w:rFonts w:ascii="Arial" w:eastAsia="黑体" w:hAnsi="Arial" w:cs="Arial"/>
                <w:b/>
                <w:bCs/>
                <w:sz w:val="11"/>
                <w:szCs w:val="11"/>
              </w:rPr>
              <w:t>1</w:t>
            </w:r>
            <w:r>
              <w:rPr>
                <w:rFonts w:ascii="Arial" w:eastAsia="黑体" w:hAnsi="Arial" w:cs="Arial"/>
                <w:b/>
                <w:bCs/>
                <w:sz w:val="11"/>
                <w:szCs w:val="11"/>
              </w:rPr>
              <w:t>月</w:t>
            </w:r>
            <w:r>
              <w:rPr>
                <w:rFonts w:ascii="Arial" w:eastAsia="黑体" w:hAnsi="Arial" w:cs="Arial"/>
                <w:b/>
                <w:bCs/>
                <w:sz w:val="11"/>
                <w:szCs w:val="11"/>
              </w:rPr>
              <w:t>1</w:t>
            </w:r>
            <w:r>
              <w:rPr>
                <w:rFonts w:ascii="Arial" w:eastAsia="黑体" w:hAnsi="Arial" w:cs="Arial"/>
                <w:b/>
                <w:bCs/>
                <w:sz w:val="11"/>
                <w:szCs w:val="11"/>
              </w:rPr>
              <w:t>日余额</w:t>
            </w:r>
          </w:p>
        </w:tc>
        <w:tc>
          <w:tcPr>
            <w:tcW w:w="371"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96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2,639,127,888.00</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96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2,498,552,830.19</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96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6,785,874,486.75</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85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(39,410,194.67</w:t>
            </w:r>
          </w:p>
        </w:tc>
        <w:tc>
          <w:tcPr>
            <w:tcW w:w="101" w:type="dxa"/>
            <w:tcBorders>
              <w:top w:val="nil"/>
              <w:left w:val="nil"/>
              <w:bottom w:val="nil"/>
              <w:right w:val="nil"/>
            </w:tcBorders>
            <w:vAlign w:val="bottom"/>
          </w:tcPr>
          <w:p w:rsidR="00AD5BB5" w:rsidRDefault="00F87FF6">
            <w:pPr>
              <w:autoSpaceDE w:val="0"/>
              <w:autoSpaceDN w:val="0"/>
              <w:rPr>
                <w:rFonts w:ascii="Arial" w:eastAsia="黑体" w:hAnsi="Arial" w:cs="Arial"/>
                <w:b/>
                <w:bCs/>
                <w:sz w:val="11"/>
                <w:szCs w:val="11"/>
              </w:rPr>
            </w:pPr>
            <w:r>
              <w:rPr>
                <w:rFonts w:ascii="Arial" w:eastAsia="黑体" w:hAnsi="Arial" w:cs="Arial"/>
                <w:b/>
                <w:bCs/>
                <w:sz w:val="11"/>
                <w:szCs w:val="11"/>
              </w:rPr>
              <w:t>)</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96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1,514,561,559.19</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96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4,044,832,876.68</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96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6,748,452,089.72</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31"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24,191,991,535.86</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85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551,857,969.74</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31"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24,743,849,505.60</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r w:rsidR="00AD5BB5">
        <w:tc>
          <w:tcPr>
            <w:tcW w:w="37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nil"/>
              <w:left w:val="nil"/>
              <w:bottom w:val="nil"/>
              <w:right w:val="nil"/>
            </w:tcBorders>
            <w:vAlign w:val="bottom"/>
          </w:tcPr>
          <w:p w:rsidR="00AD5BB5" w:rsidRDefault="00AD5BB5">
            <w:pPr>
              <w:autoSpaceDE w:val="0"/>
              <w:autoSpaceDN w:val="0"/>
              <w:ind w:left="165" w:hangingChars="150" w:hanging="165"/>
              <w:rPr>
                <w:rFonts w:ascii="Arial" w:eastAsia="黑体" w:hAnsi="Arial" w:cs="Arial"/>
                <w:sz w:val="11"/>
                <w:szCs w:val="11"/>
              </w:rPr>
            </w:pPr>
          </w:p>
        </w:tc>
        <w:tc>
          <w:tcPr>
            <w:tcW w:w="37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85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85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r w:rsidR="00AD5BB5">
        <w:tc>
          <w:tcPr>
            <w:tcW w:w="371" w:type="dxa"/>
            <w:tcBorders>
              <w:top w:val="nil"/>
              <w:left w:val="nil"/>
              <w:bottom w:val="nil"/>
              <w:right w:val="nil"/>
            </w:tcBorders>
            <w:vAlign w:val="bottom"/>
          </w:tcPr>
          <w:p w:rsidR="00AD5BB5" w:rsidRDefault="00F87FF6">
            <w:pPr>
              <w:autoSpaceDE w:val="0"/>
              <w:autoSpaceDN w:val="0"/>
              <w:rPr>
                <w:rFonts w:ascii="Arial" w:eastAsia="黑体" w:hAnsi="Arial" w:cs="Arial"/>
                <w:b/>
                <w:bCs/>
                <w:sz w:val="11"/>
                <w:szCs w:val="11"/>
              </w:rPr>
            </w:pPr>
            <w:r>
              <w:rPr>
                <w:rFonts w:ascii="Arial" w:eastAsia="黑体" w:hAnsi="Arial" w:cs="Arial"/>
                <w:b/>
                <w:bCs/>
                <w:sz w:val="11"/>
                <w:szCs w:val="11"/>
              </w:rPr>
              <w:t>二、</w:t>
            </w:r>
          </w:p>
        </w:tc>
        <w:tc>
          <w:tcPr>
            <w:tcW w:w="1031" w:type="dxa"/>
            <w:tcBorders>
              <w:top w:val="nil"/>
              <w:left w:val="nil"/>
              <w:bottom w:val="nil"/>
              <w:right w:val="nil"/>
            </w:tcBorders>
            <w:vAlign w:val="bottom"/>
          </w:tcPr>
          <w:p w:rsidR="00AD5BB5" w:rsidRDefault="00F87FF6">
            <w:pPr>
              <w:autoSpaceDE w:val="0"/>
              <w:autoSpaceDN w:val="0"/>
              <w:ind w:left="110" w:hangingChars="100" w:hanging="110"/>
              <w:rPr>
                <w:rFonts w:ascii="Arial" w:eastAsia="黑体" w:hAnsi="Arial" w:cs="Arial"/>
                <w:b/>
                <w:bCs/>
                <w:sz w:val="11"/>
                <w:szCs w:val="11"/>
              </w:rPr>
            </w:pPr>
            <w:r>
              <w:rPr>
                <w:rFonts w:ascii="Arial" w:eastAsia="黑体" w:hAnsi="Arial" w:cs="Arial"/>
                <w:b/>
                <w:bCs/>
                <w:sz w:val="11"/>
              </w:rPr>
              <w:t>本期增减变动金额</w:t>
            </w:r>
          </w:p>
        </w:tc>
        <w:tc>
          <w:tcPr>
            <w:tcW w:w="37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85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85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r w:rsidR="00AD5BB5">
        <w:tc>
          <w:tcPr>
            <w:tcW w:w="371"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（一）</w:t>
            </w:r>
          </w:p>
        </w:tc>
        <w:tc>
          <w:tcPr>
            <w:tcW w:w="1031" w:type="dxa"/>
            <w:tcBorders>
              <w:top w:val="nil"/>
              <w:left w:val="nil"/>
              <w:bottom w:val="nil"/>
              <w:right w:val="nil"/>
            </w:tcBorders>
            <w:vAlign w:val="bottom"/>
          </w:tcPr>
          <w:p w:rsidR="00AD5BB5" w:rsidRDefault="00F87FF6">
            <w:pPr>
              <w:autoSpaceDE w:val="0"/>
              <w:autoSpaceDN w:val="0"/>
              <w:ind w:left="110" w:hangingChars="100" w:hanging="110"/>
              <w:rPr>
                <w:rFonts w:ascii="Arial" w:eastAsia="黑体" w:hAnsi="Arial" w:cs="Arial"/>
                <w:sz w:val="11"/>
                <w:szCs w:val="11"/>
              </w:rPr>
            </w:pPr>
            <w:r>
              <w:rPr>
                <w:rFonts w:ascii="Arial" w:eastAsia="黑体" w:hAnsi="Arial" w:cs="Arial"/>
                <w:sz w:val="11"/>
                <w:szCs w:val="11"/>
              </w:rPr>
              <w:t>综合收益总额</w:t>
            </w:r>
          </w:p>
        </w:tc>
        <w:tc>
          <w:tcPr>
            <w:tcW w:w="37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85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355,729,437.34</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rPr>
              <w:t>1,428,441,057.75</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rPr>
              <w:t>1,784,170,495.09</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85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46,570,406.77</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rPr>
              <w:t>1,830,740,901.86</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r w:rsidR="00AD5BB5">
        <w:tc>
          <w:tcPr>
            <w:tcW w:w="371"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（二）</w:t>
            </w:r>
          </w:p>
        </w:tc>
        <w:tc>
          <w:tcPr>
            <w:tcW w:w="1031" w:type="dxa"/>
            <w:tcBorders>
              <w:top w:val="nil"/>
              <w:left w:val="nil"/>
              <w:bottom w:val="nil"/>
              <w:right w:val="nil"/>
            </w:tcBorders>
            <w:vAlign w:val="bottom"/>
          </w:tcPr>
          <w:p w:rsidR="00AD5BB5" w:rsidRDefault="00F87FF6">
            <w:pPr>
              <w:autoSpaceDE w:val="0"/>
              <w:autoSpaceDN w:val="0"/>
              <w:ind w:left="110" w:hangingChars="100" w:hanging="110"/>
              <w:rPr>
                <w:rFonts w:ascii="Arial" w:eastAsia="黑体" w:hAnsi="Arial" w:cs="Arial"/>
                <w:sz w:val="11"/>
                <w:szCs w:val="11"/>
              </w:rPr>
            </w:pPr>
            <w:r>
              <w:rPr>
                <w:rFonts w:ascii="Arial" w:eastAsia="黑体" w:hAnsi="Arial" w:cs="Arial"/>
                <w:sz w:val="11"/>
                <w:szCs w:val="11"/>
              </w:rPr>
              <w:t>利润分配</w:t>
            </w:r>
          </w:p>
        </w:tc>
        <w:tc>
          <w:tcPr>
            <w:tcW w:w="371"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11"/>
                <w:szCs w:val="11"/>
              </w:rPr>
            </w:pPr>
            <w:r>
              <w:rPr>
                <w:rFonts w:ascii="Arial" w:eastAsia="黑体" w:hAnsi="Arial" w:cs="Arial" w:hint="eastAsia"/>
                <w:sz w:val="11"/>
                <w:szCs w:val="11"/>
              </w:rPr>
              <w:t>3</w:t>
            </w:r>
            <w:r>
              <w:rPr>
                <w:rFonts w:ascii="Arial" w:eastAsia="黑体" w:hAnsi="Arial" w:cs="Arial"/>
                <w:sz w:val="11"/>
                <w:szCs w:val="11"/>
              </w:rPr>
              <w:t>5</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85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85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r w:rsidR="00AD5BB5">
        <w:tc>
          <w:tcPr>
            <w:tcW w:w="371" w:type="dxa"/>
            <w:tcBorders>
              <w:top w:val="nil"/>
              <w:left w:val="nil"/>
              <w:bottom w:val="nil"/>
              <w:right w:val="nil"/>
            </w:tcBorders>
            <w:vAlign w:val="bottom"/>
          </w:tcPr>
          <w:p w:rsidR="00AD5BB5" w:rsidRDefault="00F87FF6">
            <w:pPr>
              <w:autoSpaceDE w:val="0"/>
              <w:autoSpaceDN w:val="0"/>
              <w:ind w:rightChars="-70" w:right="-147"/>
              <w:rPr>
                <w:rFonts w:ascii="Arial" w:eastAsia="黑体" w:hAnsi="Arial" w:cs="Arial"/>
                <w:sz w:val="11"/>
                <w:szCs w:val="11"/>
              </w:rPr>
            </w:pPr>
            <w:r>
              <w:rPr>
                <w:rFonts w:ascii="Arial" w:eastAsia="黑体" w:hAnsi="Arial" w:cs="Arial"/>
                <w:sz w:val="11"/>
                <w:szCs w:val="11"/>
              </w:rPr>
              <w:t>1</w:t>
            </w:r>
          </w:p>
        </w:tc>
        <w:tc>
          <w:tcPr>
            <w:tcW w:w="1031" w:type="dxa"/>
            <w:tcBorders>
              <w:top w:val="nil"/>
              <w:left w:val="nil"/>
              <w:bottom w:val="nil"/>
              <w:right w:val="nil"/>
            </w:tcBorders>
            <w:vAlign w:val="bottom"/>
          </w:tcPr>
          <w:p w:rsidR="00AD5BB5" w:rsidRDefault="00F87FF6">
            <w:pPr>
              <w:autoSpaceDE w:val="0"/>
              <w:autoSpaceDN w:val="0"/>
              <w:ind w:left="110" w:hangingChars="100" w:hanging="110"/>
              <w:rPr>
                <w:rFonts w:ascii="Arial" w:eastAsia="黑体" w:hAnsi="Arial" w:cs="Arial"/>
                <w:sz w:val="11"/>
                <w:szCs w:val="11"/>
              </w:rPr>
            </w:pPr>
            <w:r>
              <w:rPr>
                <w:rFonts w:ascii="Arial" w:eastAsia="黑体" w:hAnsi="Arial" w:cs="Arial"/>
                <w:sz w:val="11"/>
                <w:szCs w:val="11"/>
              </w:rPr>
              <w:t>普通股现金分红</w:t>
            </w:r>
          </w:p>
        </w:tc>
        <w:tc>
          <w:tcPr>
            <w:tcW w:w="37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85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(765,347,087.52</w:t>
            </w:r>
          </w:p>
        </w:tc>
        <w:tc>
          <w:tcPr>
            <w:tcW w:w="101"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(765,347,087.52</w:t>
            </w:r>
          </w:p>
        </w:tc>
        <w:tc>
          <w:tcPr>
            <w:tcW w:w="101"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85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(765,347,087.52</w:t>
            </w:r>
          </w:p>
        </w:tc>
        <w:tc>
          <w:tcPr>
            <w:tcW w:w="101"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w:t>
            </w:r>
          </w:p>
        </w:tc>
      </w:tr>
      <w:tr w:rsidR="00AD5BB5">
        <w:tc>
          <w:tcPr>
            <w:tcW w:w="371"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2</w:t>
            </w:r>
          </w:p>
        </w:tc>
        <w:tc>
          <w:tcPr>
            <w:tcW w:w="1031" w:type="dxa"/>
            <w:tcBorders>
              <w:top w:val="nil"/>
              <w:left w:val="nil"/>
              <w:bottom w:val="nil"/>
              <w:right w:val="nil"/>
            </w:tcBorders>
            <w:vAlign w:val="bottom"/>
          </w:tcPr>
          <w:p w:rsidR="00AD5BB5" w:rsidRDefault="00F87FF6">
            <w:pPr>
              <w:autoSpaceDE w:val="0"/>
              <w:autoSpaceDN w:val="0"/>
              <w:ind w:left="110" w:hangingChars="100" w:hanging="110"/>
              <w:rPr>
                <w:rFonts w:ascii="Arial" w:eastAsia="黑体" w:hAnsi="Arial" w:cs="Arial"/>
                <w:sz w:val="11"/>
                <w:szCs w:val="11"/>
              </w:rPr>
            </w:pPr>
            <w:r>
              <w:rPr>
                <w:rFonts w:ascii="Arial" w:eastAsia="黑体" w:hAnsi="Arial" w:cs="Arial"/>
                <w:sz w:val="11"/>
                <w:szCs w:val="11"/>
              </w:rPr>
              <w:t>永续债利息</w:t>
            </w:r>
          </w:p>
        </w:tc>
        <w:tc>
          <w:tcPr>
            <w:tcW w:w="37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85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(72,000,000.00</w:t>
            </w:r>
          </w:p>
        </w:tc>
        <w:tc>
          <w:tcPr>
            <w:tcW w:w="101"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(72,000,000.00</w:t>
            </w:r>
          </w:p>
        </w:tc>
        <w:tc>
          <w:tcPr>
            <w:tcW w:w="101"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85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(72,000,000.00</w:t>
            </w:r>
          </w:p>
        </w:tc>
        <w:tc>
          <w:tcPr>
            <w:tcW w:w="101"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w:t>
            </w:r>
          </w:p>
        </w:tc>
      </w:tr>
      <w:tr w:rsidR="00AD5BB5">
        <w:tc>
          <w:tcPr>
            <w:tcW w:w="37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nil"/>
              <w:left w:val="nil"/>
              <w:bottom w:val="nil"/>
              <w:right w:val="nil"/>
            </w:tcBorders>
            <w:vAlign w:val="bottom"/>
          </w:tcPr>
          <w:p w:rsidR="00AD5BB5" w:rsidRDefault="00AD5BB5">
            <w:pPr>
              <w:autoSpaceDE w:val="0"/>
              <w:autoSpaceDN w:val="0"/>
              <w:ind w:left="165" w:hangingChars="150" w:hanging="165"/>
              <w:rPr>
                <w:rFonts w:ascii="Arial" w:eastAsia="黑体" w:hAnsi="Arial" w:cs="Arial"/>
                <w:sz w:val="11"/>
                <w:szCs w:val="11"/>
              </w:rPr>
            </w:pPr>
          </w:p>
        </w:tc>
        <w:tc>
          <w:tcPr>
            <w:tcW w:w="37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85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ind w:right="11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ind w:right="11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85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r w:rsidR="00AD5BB5">
        <w:tc>
          <w:tcPr>
            <w:tcW w:w="371" w:type="dxa"/>
            <w:tcBorders>
              <w:top w:val="nil"/>
              <w:left w:val="nil"/>
              <w:bottom w:val="nil"/>
              <w:right w:val="nil"/>
            </w:tcBorders>
            <w:vAlign w:val="bottom"/>
          </w:tcPr>
          <w:p w:rsidR="00AD5BB5" w:rsidRDefault="00F87FF6">
            <w:pPr>
              <w:autoSpaceDE w:val="0"/>
              <w:autoSpaceDN w:val="0"/>
              <w:rPr>
                <w:rFonts w:ascii="Arial" w:eastAsia="黑体" w:hAnsi="Arial" w:cs="Arial"/>
                <w:b/>
                <w:bCs/>
                <w:sz w:val="11"/>
                <w:szCs w:val="11"/>
              </w:rPr>
            </w:pPr>
            <w:r>
              <w:rPr>
                <w:rFonts w:ascii="Arial" w:eastAsia="黑体" w:hAnsi="Arial" w:cs="Arial"/>
                <w:b/>
                <w:bCs/>
                <w:sz w:val="11"/>
                <w:szCs w:val="11"/>
              </w:rPr>
              <w:t>三、</w:t>
            </w:r>
          </w:p>
        </w:tc>
        <w:tc>
          <w:tcPr>
            <w:tcW w:w="1031" w:type="dxa"/>
            <w:tcBorders>
              <w:top w:val="nil"/>
              <w:left w:val="nil"/>
              <w:bottom w:val="nil"/>
              <w:right w:val="nil"/>
            </w:tcBorders>
            <w:vAlign w:val="bottom"/>
          </w:tcPr>
          <w:p w:rsidR="00AD5BB5" w:rsidRDefault="00F87FF6">
            <w:pPr>
              <w:autoSpaceDE w:val="0"/>
              <w:autoSpaceDN w:val="0"/>
              <w:ind w:left="110" w:hangingChars="100" w:hanging="110"/>
              <w:rPr>
                <w:rFonts w:ascii="Arial" w:eastAsia="黑体" w:hAnsi="Arial" w:cs="Arial"/>
                <w:b/>
                <w:bCs/>
                <w:sz w:val="11"/>
                <w:szCs w:val="11"/>
              </w:rPr>
            </w:pPr>
            <w:r>
              <w:rPr>
                <w:rFonts w:ascii="Arial" w:eastAsia="黑体" w:hAnsi="Arial" w:cs="Arial"/>
                <w:b/>
                <w:bCs/>
                <w:sz w:val="11"/>
              </w:rPr>
              <w:t>本期期末余额</w:t>
            </w:r>
          </w:p>
        </w:tc>
        <w:tc>
          <w:tcPr>
            <w:tcW w:w="371"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96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2,639,127,888.00</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96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2,498,552,830.19</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96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6,785,874,486.75</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85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316,319,242.67</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96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1,514,561,559.19</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96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4,044,832,876.68</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96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rPr>
              <w:t>7,339,546,059.95</w:t>
            </w:r>
          </w:p>
        </w:tc>
        <w:tc>
          <w:tcPr>
            <w:tcW w:w="101" w:type="dxa"/>
            <w:tcBorders>
              <w:top w:val="nil"/>
              <w:left w:val="nil"/>
              <w:bottom w:val="nil"/>
              <w:right w:val="nil"/>
            </w:tcBorders>
            <w:vAlign w:val="bottom"/>
          </w:tcPr>
          <w:p w:rsidR="00AD5BB5" w:rsidRDefault="00AD5BB5">
            <w:pPr>
              <w:autoSpaceDE w:val="0"/>
              <w:autoSpaceDN w:val="0"/>
              <w:ind w:right="110"/>
              <w:rPr>
                <w:rFonts w:ascii="Arial" w:eastAsia="黑体" w:hAnsi="Arial" w:cs="Arial"/>
                <w:b/>
                <w:bCs/>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31"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rPr>
              <w:t>25,138,814,943.43</w:t>
            </w:r>
          </w:p>
        </w:tc>
        <w:tc>
          <w:tcPr>
            <w:tcW w:w="101" w:type="dxa"/>
            <w:tcBorders>
              <w:top w:val="nil"/>
              <w:left w:val="nil"/>
              <w:bottom w:val="nil"/>
              <w:right w:val="nil"/>
            </w:tcBorders>
            <w:vAlign w:val="bottom"/>
          </w:tcPr>
          <w:p w:rsidR="00AD5BB5" w:rsidRDefault="00AD5BB5">
            <w:pPr>
              <w:autoSpaceDE w:val="0"/>
              <w:autoSpaceDN w:val="0"/>
              <w:ind w:right="110"/>
              <w:rPr>
                <w:rFonts w:ascii="Arial" w:eastAsia="黑体" w:hAnsi="Arial" w:cs="Arial"/>
                <w:b/>
                <w:bCs/>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85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598,428,376.51</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31"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rPr>
              <w:t>25,737,243,319.94</w:t>
            </w:r>
          </w:p>
        </w:tc>
        <w:tc>
          <w:tcPr>
            <w:tcW w:w="101" w:type="dxa"/>
            <w:tcBorders>
              <w:top w:val="nil"/>
              <w:left w:val="nil"/>
              <w:bottom w:val="nil"/>
              <w:right w:val="nil"/>
            </w:tcBorders>
            <w:vAlign w:val="bottom"/>
          </w:tcPr>
          <w:p w:rsidR="00AD5BB5" w:rsidRDefault="00AD5BB5">
            <w:pPr>
              <w:autoSpaceDE w:val="0"/>
              <w:autoSpaceDN w:val="0"/>
              <w:ind w:right="110"/>
              <w:rPr>
                <w:rFonts w:ascii="Arial" w:eastAsia="黑体" w:hAnsi="Arial" w:cs="Arial"/>
                <w:sz w:val="11"/>
                <w:szCs w:val="11"/>
              </w:rPr>
            </w:pPr>
          </w:p>
        </w:tc>
      </w:tr>
    </w:tbl>
    <w:p w:rsidR="00AD5BB5" w:rsidRDefault="00AD5BB5">
      <w:pPr>
        <w:tabs>
          <w:tab w:val="left" w:pos="1985"/>
          <w:tab w:val="left" w:pos="3346"/>
          <w:tab w:val="left" w:pos="6383"/>
          <w:tab w:val="left" w:pos="9883"/>
        </w:tabs>
        <w:overflowPunct w:val="0"/>
        <w:autoSpaceDE w:val="0"/>
        <w:autoSpaceDN w:val="0"/>
        <w:snapToGrid w:val="0"/>
        <w:rPr>
          <w:rFonts w:ascii="Arial" w:eastAsia="黑体" w:hAnsi="Arial" w:cs="Arial"/>
          <w:i/>
          <w:sz w:val="20"/>
        </w:rPr>
      </w:pPr>
    </w:p>
    <w:p w:rsidR="00AD5BB5" w:rsidRDefault="00AD5BB5">
      <w:pPr>
        <w:tabs>
          <w:tab w:val="left" w:pos="1985"/>
          <w:tab w:val="left" w:pos="3346"/>
          <w:tab w:val="left" w:pos="6383"/>
          <w:tab w:val="left" w:pos="9883"/>
        </w:tabs>
        <w:overflowPunct w:val="0"/>
        <w:autoSpaceDE w:val="0"/>
        <w:autoSpaceDN w:val="0"/>
        <w:snapToGrid w:val="0"/>
        <w:rPr>
          <w:rFonts w:ascii="Arial" w:eastAsia="黑体" w:hAnsi="Arial" w:cs="Arial"/>
          <w:i/>
          <w:sz w:val="20"/>
        </w:rPr>
      </w:pPr>
    </w:p>
    <w:p w:rsidR="00AD5BB5" w:rsidRDefault="00AD5BB5">
      <w:pPr>
        <w:tabs>
          <w:tab w:val="left" w:pos="1985"/>
          <w:tab w:val="left" w:pos="3346"/>
          <w:tab w:val="left" w:pos="6383"/>
          <w:tab w:val="left" w:pos="9883"/>
        </w:tabs>
        <w:overflowPunct w:val="0"/>
        <w:autoSpaceDE w:val="0"/>
        <w:autoSpaceDN w:val="0"/>
        <w:snapToGrid w:val="0"/>
        <w:rPr>
          <w:rFonts w:ascii="Arial" w:eastAsia="黑体" w:hAnsi="Arial" w:cs="Arial"/>
          <w:i/>
          <w:sz w:val="20"/>
        </w:rPr>
      </w:pPr>
    </w:p>
    <w:p w:rsidR="00AD5BB5" w:rsidRDefault="00AD5BB5">
      <w:pPr>
        <w:tabs>
          <w:tab w:val="left" w:pos="1985"/>
          <w:tab w:val="left" w:pos="3346"/>
          <w:tab w:val="left" w:pos="6383"/>
          <w:tab w:val="left" w:pos="9883"/>
        </w:tabs>
        <w:overflowPunct w:val="0"/>
        <w:autoSpaceDE w:val="0"/>
        <w:autoSpaceDN w:val="0"/>
        <w:snapToGrid w:val="0"/>
        <w:rPr>
          <w:rFonts w:ascii="Arial" w:eastAsia="黑体" w:hAnsi="Arial" w:cs="Arial"/>
          <w:i/>
          <w:sz w:val="20"/>
        </w:rPr>
      </w:pPr>
    </w:p>
    <w:p w:rsidR="00AD5BB5" w:rsidRDefault="00AD5BB5">
      <w:pPr>
        <w:tabs>
          <w:tab w:val="left" w:pos="1985"/>
          <w:tab w:val="left" w:pos="3346"/>
          <w:tab w:val="left" w:pos="6383"/>
          <w:tab w:val="left" w:pos="9883"/>
        </w:tabs>
        <w:overflowPunct w:val="0"/>
        <w:autoSpaceDE w:val="0"/>
        <w:autoSpaceDN w:val="0"/>
        <w:snapToGrid w:val="0"/>
        <w:rPr>
          <w:rFonts w:ascii="Arial" w:eastAsia="黑体" w:hAnsi="Arial" w:cs="Arial"/>
          <w:i/>
          <w:sz w:val="20"/>
        </w:rPr>
      </w:pPr>
    </w:p>
    <w:p w:rsidR="00AD5BB5" w:rsidRDefault="00AD5BB5">
      <w:pPr>
        <w:tabs>
          <w:tab w:val="left" w:pos="1985"/>
          <w:tab w:val="left" w:pos="3346"/>
          <w:tab w:val="left" w:pos="6383"/>
          <w:tab w:val="left" w:pos="9883"/>
        </w:tabs>
        <w:overflowPunct w:val="0"/>
        <w:autoSpaceDE w:val="0"/>
        <w:autoSpaceDN w:val="0"/>
        <w:snapToGrid w:val="0"/>
        <w:rPr>
          <w:rFonts w:ascii="Arial" w:eastAsia="黑体" w:hAnsi="Arial" w:cs="Arial"/>
          <w:i/>
          <w:sz w:val="20"/>
        </w:rPr>
      </w:pPr>
    </w:p>
    <w:p w:rsidR="00AD5BB5" w:rsidRDefault="00AD5BB5">
      <w:pPr>
        <w:tabs>
          <w:tab w:val="left" w:pos="1985"/>
          <w:tab w:val="left" w:pos="3346"/>
          <w:tab w:val="left" w:pos="6383"/>
          <w:tab w:val="left" w:pos="9883"/>
        </w:tabs>
        <w:overflowPunct w:val="0"/>
        <w:autoSpaceDE w:val="0"/>
        <w:autoSpaceDN w:val="0"/>
        <w:snapToGrid w:val="0"/>
        <w:rPr>
          <w:rFonts w:ascii="Arial" w:eastAsia="黑体" w:hAnsi="Arial" w:cs="Arial"/>
          <w:i/>
          <w:sz w:val="20"/>
        </w:rPr>
      </w:pPr>
    </w:p>
    <w:p w:rsidR="00AD5BB5" w:rsidRDefault="00AD5BB5">
      <w:pPr>
        <w:tabs>
          <w:tab w:val="left" w:pos="1985"/>
          <w:tab w:val="left" w:pos="3346"/>
          <w:tab w:val="left" w:pos="6383"/>
          <w:tab w:val="left" w:pos="9883"/>
        </w:tabs>
        <w:overflowPunct w:val="0"/>
        <w:autoSpaceDE w:val="0"/>
        <w:autoSpaceDN w:val="0"/>
        <w:snapToGrid w:val="0"/>
        <w:rPr>
          <w:rFonts w:ascii="Arial" w:eastAsia="黑体" w:hAnsi="Arial" w:cs="Arial"/>
          <w:i/>
          <w:sz w:val="20"/>
        </w:rPr>
      </w:pPr>
    </w:p>
    <w:p w:rsidR="00AD5BB5" w:rsidRDefault="00AD5BB5">
      <w:pPr>
        <w:tabs>
          <w:tab w:val="left" w:pos="1985"/>
          <w:tab w:val="left" w:pos="3346"/>
          <w:tab w:val="left" w:pos="6383"/>
          <w:tab w:val="left" w:pos="9883"/>
        </w:tabs>
        <w:overflowPunct w:val="0"/>
        <w:autoSpaceDE w:val="0"/>
        <w:autoSpaceDN w:val="0"/>
        <w:snapToGrid w:val="0"/>
        <w:rPr>
          <w:rFonts w:ascii="Arial" w:eastAsia="黑体" w:hAnsi="Arial" w:cs="Arial"/>
          <w:i/>
          <w:sz w:val="20"/>
        </w:rPr>
      </w:pPr>
    </w:p>
    <w:p w:rsidR="00AD5BB5" w:rsidRDefault="00AD5BB5">
      <w:pPr>
        <w:overflowPunct w:val="0"/>
        <w:autoSpaceDE w:val="0"/>
        <w:autoSpaceDN w:val="0"/>
        <w:rPr>
          <w:rFonts w:ascii="Arial" w:eastAsia="黑体" w:hAnsi="Arial" w:cs="Arial"/>
          <w:sz w:val="20"/>
        </w:rPr>
      </w:pPr>
    </w:p>
    <w:p w:rsidR="00AD5BB5" w:rsidRDefault="00F87FF6">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rPr>
      </w:pPr>
      <w:r>
        <w:rPr>
          <w:rFonts w:ascii="Arial" w:eastAsia="黑体" w:hAnsi="Arial" w:cs="Arial"/>
          <w:sz w:val="20"/>
        </w:rPr>
        <w:t>本财务报表已于</w:t>
      </w:r>
      <w:r>
        <w:rPr>
          <w:rFonts w:ascii="Arial" w:eastAsia="黑体" w:hAnsi="Arial" w:cs="Arial"/>
          <w:sz w:val="20"/>
        </w:rPr>
        <w:fldChar w:fldCharType="begin"/>
      </w:r>
      <w:r>
        <w:rPr>
          <w:rFonts w:ascii="Arial" w:eastAsia="黑体" w:hAnsi="Arial" w:cs="Arial"/>
          <w:sz w:val="20"/>
        </w:rPr>
        <w:instrText xml:space="preserve"> DOCPROPERTY </w:instrText>
      </w:r>
      <w:r>
        <w:rPr>
          <w:rFonts w:ascii="Arial" w:eastAsia="黑体" w:hAnsi="Arial" w:cs="Arial"/>
          <w:sz w:val="20"/>
        </w:rPr>
        <w:instrText>报告日</w:instrText>
      </w:r>
      <w:r>
        <w:rPr>
          <w:rFonts w:ascii="Arial" w:eastAsia="黑体" w:hAnsi="Arial" w:cs="Arial"/>
          <w:sz w:val="20"/>
        </w:rPr>
        <w:instrText xml:space="preserve"> </w:instrText>
      </w:r>
      <w:r>
        <w:rPr>
          <w:rFonts w:ascii="Arial" w:eastAsia="黑体" w:hAnsi="Arial" w:cs="Arial"/>
          <w:sz w:val="20"/>
        </w:rPr>
        <w:fldChar w:fldCharType="separate"/>
      </w:r>
      <w:r>
        <w:rPr>
          <w:rFonts w:ascii="Arial" w:eastAsia="黑体" w:hAnsi="Arial" w:cs="Arial"/>
          <w:sz w:val="20"/>
        </w:rPr>
        <w:t>2023</w:t>
      </w:r>
      <w:r>
        <w:rPr>
          <w:rFonts w:ascii="Arial" w:eastAsia="黑体" w:hAnsi="Arial" w:cs="Arial"/>
          <w:sz w:val="20"/>
        </w:rPr>
        <w:t>年</w:t>
      </w:r>
      <w:r>
        <w:rPr>
          <w:rFonts w:ascii="Arial" w:eastAsia="黑体" w:hAnsi="Arial" w:cs="Arial"/>
          <w:sz w:val="20"/>
        </w:rPr>
        <w:t>8</w:t>
      </w:r>
      <w:r>
        <w:rPr>
          <w:rFonts w:ascii="Arial" w:eastAsia="黑体" w:hAnsi="Arial" w:cs="Arial"/>
          <w:sz w:val="20"/>
        </w:rPr>
        <w:t>月</w:t>
      </w:r>
      <w:r>
        <w:rPr>
          <w:rFonts w:ascii="Arial" w:eastAsia="黑体" w:hAnsi="Arial" w:cs="Arial"/>
          <w:sz w:val="20"/>
        </w:rPr>
        <w:t>28</w:t>
      </w:r>
      <w:r>
        <w:rPr>
          <w:rFonts w:ascii="Arial" w:eastAsia="黑体" w:hAnsi="Arial" w:cs="Arial"/>
          <w:sz w:val="20"/>
        </w:rPr>
        <w:t>日</w:t>
      </w:r>
      <w:r>
        <w:rPr>
          <w:rFonts w:ascii="Arial" w:eastAsia="黑体" w:hAnsi="Arial" w:cs="Arial"/>
          <w:sz w:val="20"/>
        </w:rPr>
        <w:fldChar w:fldCharType="end"/>
      </w:r>
      <w:r>
        <w:rPr>
          <w:rFonts w:ascii="Arial" w:eastAsia="黑体" w:hAnsi="Arial" w:cs="Arial"/>
          <w:sz w:val="20"/>
        </w:rPr>
        <w:t>获本行董事会批准。</w:t>
      </w:r>
    </w:p>
    <w:p w:rsidR="00AD5BB5" w:rsidRDefault="00AD5BB5">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rPr>
      </w:pPr>
    </w:p>
    <w:p w:rsidR="00AD5BB5" w:rsidRDefault="00F87FF6">
      <w:pPr>
        <w:overflowPunct w:val="0"/>
        <w:autoSpaceDE w:val="0"/>
        <w:autoSpaceDN w:val="0"/>
        <w:snapToGrid w:val="0"/>
        <w:rPr>
          <w:rFonts w:ascii="Arial" w:eastAsia="黑体" w:hAnsi="Arial" w:cs="Arial"/>
          <w:sz w:val="20"/>
        </w:rPr>
      </w:pPr>
      <w:r>
        <w:rPr>
          <w:rFonts w:ascii="Arial" w:eastAsia="黑体" w:hAnsi="Arial" w:cs="Arial"/>
          <w:sz w:val="20"/>
        </w:rPr>
        <w:t>本财务报表由以下人士签署：</w:t>
      </w:r>
    </w:p>
    <w:p w:rsidR="00AD5BB5" w:rsidRDefault="00AD5BB5">
      <w:pPr>
        <w:overflowPunct w:val="0"/>
        <w:autoSpaceDE w:val="0"/>
        <w:autoSpaceDN w:val="0"/>
        <w:snapToGrid w:val="0"/>
        <w:rPr>
          <w:rFonts w:ascii="Arial" w:eastAsia="黑体" w:hAnsi="Arial" w:cs="Arial"/>
          <w:sz w:val="20"/>
        </w:rPr>
      </w:pPr>
    </w:p>
    <w:p w:rsidR="00AD5BB5" w:rsidRDefault="00F87FF6">
      <w:pPr>
        <w:tabs>
          <w:tab w:val="left" w:pos="2100"/>
          <w:tab w:val="left" w:pos="3346"/>
          <w:tab w:val="left" w:pos="6383"/>
        </w:tabs>
        <w:overflowPunct w:val="0"/>
        <w:autoSpaceDE w:val="0"/>
        <w:autoSpaceDN w:val="0"/>
        <w:snapToGrid w:val="0"/>
        <w:rPr>
          <w:rFonts w:ascii="Arial" w:eastAsia="黑体" w:hAnsi="Arial" w:cs="Arial"/>
          <w:sz w:val="20"/>
        </w:rPr>
      </w:pPr>
      <w:r>
        <w:rPr>
          <w:rFonts w:ascii="Arial" w:eastAsia="黑体" w:hAnsi="Arial" w:cs="Arial"/>
          <w:sz w:val="20"/>
        </w:rPr>
        <w:t>法定</w:t>
      </w:r>
      <w:r>
        <w:rPr>
          <w:rFonts w:ascii="Arial" w:eastAsia="黑体" w:hAnsi="Arial" w:cs="Arial"/>
          <w:sz w:val="20"/>
        </w:rPr>
        <w:tab/>
      </w:r>
      <w:r>
        <w:rPr>
          <w:rFonts w:ascii="Arial" w:eastAsia="黑体" w:hAnsi="Arial" w:cs="Arial"/>
          <w:sz w:val="20"/>
        </w:rPr>
        <w:tab/>
      </w:r>
      <w:r>
        <w:rPr>
          <w:rFonts w:ascii="Arial" w:eastAsia="黑体" w:hAnsi="Arial" w:cs="Arial"/>
          <w:sz w:val="20"/>
        </w:rPr>
        <w:t>主管财会</w:t>
      </w:r>
      <w:r>
        <w:rPr>
          <w:rFonts w:ascii="Arial" w:eastAsia="黑体" w:hAnsi="Arial" w:cs="Arial"/>
          <w:sz w:val="20"/>
        </w:rPr>
        <w:tab/>
      </w:r>
      <w:r>
        <w:rPr>
          <w:rFonts w:ascii="Arial" w:eastAsia="黑体" w:hAnsi="Arial" w:cs="Arial"/>
          <w:sz w:val="20"/>
        </w:rPr>
        <w:t>财会机构</w:t>
      </w:r>
    </w:p>
    <w:p w:rsidR="00AD5BB5" w:rsidRDefault="00F87FF6">
      <w:pPr>
        <w:tabs>
          <w:tab w:val="left" w:pos="1985"/>
          <w:tab w:val="left" w:pos="3346"/>
          <w:tab w:val="left" w:pos="6383"/>
          <w:tab w:val="left" w:pos="9883"/>
        </w:tabs>
        <w:overflowPunct w:val="0"/>
        <w:autoSpaceDE w:val="0"/>
        <w:autoSpaceDN w:val="0"/>
        <w:snapToGrid w:val="0"/>
        <w:rPr>
          <w:rFonts w:ascii="Arial" w:eastAsia="黑体" w:hAnsi="Arial" w:cs="Arial"/>
          <w:sz w:val="20"/>
        </w:rPr>
      </w:pPr>
      <w:r>
        <w:rPr>
          <w:rFonts w:ascii="Arial" w:eastAsia="黑体" w:hAnsi="Arial" w:cs="Arial"/>
          <w:sz w:val="20"/>
        </w:rPr>
        <w:t>代表人：</w:t>
      </w:r>
      <w:r>
        <w:rPr>
          <w:rFonts w:ascii="Arial" w:eastAsia="黑体" w:hAnsi="Arial" w:cs="Arial"/>
          <w:sz w:val="20"/>
        </w:rPr>
        <w:tab/>
      </w:r>
      <w:r>
        <w:rPr>
          <w:rFonts w:ascii="Arial" w:eastAsia="黑体" w:hAnsi="Arial" w:cs="Arial"/>
          <w:sz w:val="20"/>
        </w:rPr>
        <w:tab/>
      </w:r>
      <w:r>
        <w:rPr>
          <w:rFonts w:ascii="Arial" w:eastAsia="黑体" w:hAnsi="Arial" w:cs="Arial"/>
          <w:sz w:val="20"/>
        </w:rPr>
        <w:t>工作负责人：</w:t>
      </w:r>
      <w:r>
        <w:rPr>
          <w:rFonts w:ascii="Arial" w:eastAsia="黑体" w:hAnsi="Arial" w:cs="Arial"/>
          <w:sz w:val="20"/>
        </w:rPr>
        <w:tab/>
      </w:r>
      <w:r>
        <w:rPr>
          <w:rFonts w:ascii="Arial" w:eastAsia="黑体" w:hAnsi="Arial" w:cs="Arial"/>
          <w:sz w:val="20"/>
        </w:rPr>
        <w:t>负责人：</w:t>
      </w:r>
      <w:r>
        <w:rPr>
          <w:rFonts w:ascii="Arial" w:eastAsia="黑体" w:hAnsi="Arial" w:cs="Arial"/>
          <w:sz w:val="20"/>
        </w:rPr>
        <w:tab/>
      </w:r>
      <w:r>
        <w:rPr>
          <w:rFonts w:ascii="Arial" w:eastAsia="黑体" w:hAnsi="Arial" w:cs="Arial"/>
          <w:sz w:val="20"/>
        </w:rPr>
        <w:t>盖章</w:t>
      </w:r>
    </w:p>
    <w:p w:rsidR="00AD5BB5" w:rsidRDefault="00AD5BB5">
      <w:pPr>
        <w:tabs>
          <w:tab w:val="left" w:pos="1985"/>
          <w:tab w:val="left" w:pos="3346"/>
          <w:tab w:val="left" w:pos="6383"/>
          <w:tab w:val="left" w:pos="9883"/>
        </w:tabs>
        <w:overflowPunct w:val="0"/>
        <w:autoSpaceDE w:val="0"/>
        <w:autoSpaceDN w:val="0"/>
        <w:snapToGrid w:val="0"/>
        <w:rPr>
          <w:rFonts w:ascii="Arial" w:eastAsia="黑体" w:hAnsi="Arial" w:cs="Arial"/>
          <w:i/>
          <w:sz w:val="20"/>
        </w:rPr>
      </w:pPr>
    </w:p>
    <w:p w:rsidR="00AD5BB5" w:rsidRDefault="00AD5BB5">
      <w:pPr>
        <w:tabs>
          <w:tab w:val="left" w:pos="1985"/>
          <w:tab w:val="left" w:pos="3346"/>
          <w:tab w:val="left" w:pos="6383"/>
          <w:tab w:val="left" w:pos="9883"/>
        </w:tabs>
        <w:overflowPunct w:val="0"/>
        <w:autoSpaceDE w:val="0"/>
        <w:autoSpaceDN w:val="0"/>
        <w:snapToGrid w:val="0"/>
        <w:rPr>
          <w:rFonts w:ascii="Arial" w:eastAsia="黑体" w:hAnsi="Arial" w:cs="Arial"/>
          <w:i/>
          <w:sz w:val="20"/>
        </w:rPr>
      </w:pPr>
    </w:p>
    <w:p w:rsidR="00AD5BB5" w:rsidRDefault="00AD5BB5">
      <w:pPr>
        <w:tabs>
          <w:tab w:val="left" w:pos="1985"/>
          <w:tab w:val="left" w:pos="3346"/>
          <w:tab w:val="left" w:pos="6383"/>
          <w:tab w:val="left" w:pos="9883"/>
        </w:tabs>
        <w:overflowPunct w:val="0"/>
        <w:autoSpaceDE w:val="0"/>
        <w:autoSpaceDN w:val="0"/>
        <w:snapToGrid w:val="0"/>
        <w:rPr>
          <w:rFonts w:ascii="Arial" w:eastAsia="黑体" w:hAnsi="Arial" w:cs="Arial"/>
          <w:i/>
          <w:sz w:val="20"/>
        </w:rPr>
      </w:pPr>
    </w:p>
    <w:p w:rsidR="00AD5BB5" w:rsidRDefault="00AD5BB5">
      <w:pPr>
        <w:tabs>
          <w:tab w:val="left" w:pos="1985"/>
          <w:tab w:val="left" w:pos="3346"/>
          <w:tab w:val="left" w:pos="6383"/>
          <w:tab w:val="left" w:pos="9883"/>
        </w:tabs>
        <w:overflowPunct w:val="0"/>
        <w:autoSpaceDE w:val="0"/>
        <w:autoSpaceDN w:val="0"/>
        <w:snapToGrid w:val="0"/>
        <w:rPr>
          <w:rFonts w:ascii="Arial" w:eastAsia="黑体" w:hAnsi="Arial" w:cs="Arial"/>
          <w:i/>
          <w:sz w:val="20"/>
        </w:rPr>
      </w:pPr>
    </w:p>
    <w:p w:rsidR="00AD5BB5" w:rsidRDefault="00AD5BB5">
      <w:pPr>
        <w:tabs>
          <w:tab w:val="left" w:pos="1985"/>
          <w:tab w:val="left" w:pos="3346"/>
          <w:tab w:val="left" w:pos="6383"/>
          <w:tab w:val="left" w:pos="9883"/>
        </w:tabs>
        <w:overflowPunct w:val="0"/>
        <w:autoSpaceDE w:val="0"/>
        <w:autoSpaceDN w:val="0"/>
        <w:snapToGrid w:val="0"/>
        <w:rPr>
          <w:rFonts w:ascii="Arial" w:eastAsia="黑体" w:hAnsi="Arial" w:cs="Arial"/>
          <w:i/>
          <w:sz w:val="20"/>
        </w:rPr>
      </w:pPr>
    </w:p>
    <w:p w:rsidR="00AD5BB5" w:rsidRDefault="00AD5BB5">
      <w:pPr>
        <w:tabs>
          <w:tab w:val="left" w:pos="1985"/>
          <w:tab w:val="left" w:pos="3346"/>
          <w:tab w:val="left" w:pos="6383"/>
          <w:tab w:val="left" w:pos="9883"/>
        </w:tabs>
        <w:overflowPunct w:val="0"/>
        <w:autoSpaceDE w:val="0"/>
        <w:autoSpaceDN w:val="0"/>
        <w:snapToGrid w:val="0"/>
        <w:rPr>
          <w:rFonts w:ascii="Arial" w:eastAsia="黑体" w:hAnsi="Arial" w:cs="Arial"/>
          <w:i/>
          <w:sz w:val="20"/>
        </w:rPr>
      </w:pPr>
    </w:p>
    <w:p w:rsidR="00AD5BB5" w:rsidRDefault="00AD5BB5">
      <w:pPr>
        <w:tabs>
          <w:tab w:val="left" w:pos="1985"/>
          <w:tab w:val="left" w:pos="3346"/>
          <w:tab w:val="left" w:pos="6383"/>
          <w:tab w:val="left" w:pos="9883"/>
        </w:tabs>
        <w:overflowPunct w:val="0"/>
        <w:autoSpaceDE w:val="0"/>
        <w:autoSpaceDN w:val="0"/>
        <w:snapToGrid w:val="0"/>
        <w:rPr>
          <w:rFonts w:ascii="Arial" w:eastAsia="黑体" w:hAnsi="Arial" w:cs="Arial"/>
          <w:i/>
          <w:sz w:val="20"/>
        </w:rPr>
      </w:pPr>
    </w:p>
    <w:p w:rsidR="00AD5BB5" w:rsidRDefault="00AD5BB5">
      <w:pPr>
        <w:tabs>
          <w:tab w:val="left" w:pos="1985"/>
          <w:tab w:val="left" w:pos="3346"/>
          <w:tab w:val="left" w:pos="6383"/>
          <w:tab w:val="left" w:pos="9883"/>
        </w:tabs>
        <w:overflowPunct w:val="0"/>
        <w:autoSpaceDE w:val="0"/>
        <w:autoSpaceDN w:val="0"/>
        <w:snapToGrid w:val="0"/>
        <w:rPr>
          <w:rFonts w:ascii="Arial" w:eastAsia="黑体" w:hAnsi="Arial" w:cs="Arial"/>
          <w:i/>
          <w:sz w:val="20"/>
        </w:rPr>
      </w:pPr>
    </w:p>
    <w:p w:rsidR="00AD5BB5" w:rsidRDefault="00F87FF6">
      <w:pPr>
        <w:overflowPunct w:val="0"/>
        <w:autoSpaceDE w:val="0"/>
        <w:autoSpaceDN w:val="0"/>
        <w:rPr>
          <w:rFonts w:ascii="Arial" w:eastAsia="黑体" w:hAnsi="Arial" w:cs="Arial"/>
          <w:i/>
          <w:sz w:val="20"/>
        </w:rPr>
        <w:sectPr w:rsidR="00AD5BB5">
          <w:headerReference w:type="even" r:id="rId23"/>
          <w:headerReference w:type="default" r:id="rId24"/>
          <w:headerReference w:type="first" r:id="rId25"/>
          <w:pgSz w:w="16840" w:h="11907" w:orient="landscape"/>
          <w:pgMar w:top="1440" w:right="1797" w:bottom="1440" w:left="1797" w:header="720" w:footer="720" w:gutter="0"/>
          <w:cols w:space="720"/>
          <w:docGrid w:linePitch="360"/>
        </w:sectPr>
      </w:pPr>
      <w:r>
        <w:rPr>
          <w:rFonts w:ascii="Arial" w:eastAsia="黑体" w:hAnsi="Arial" w:cs="Arial"/>
          <w:i/>
          <w:sz w:val="20"/>
        </w:rPr>
        <w:t>后附财务报表附注为本财务报表的组成部分</w:t>
      </w:r>
    </w:p>
    <w:bookmarkEnd w:id="59"/>
    <w:p w:rsidR="00AD5BB5" w:rsidRDefault="00AD5BB5">
      <w:pPr>
        <w:tabs>
          <w:tab w:val="right" w:pos="10560"/>
          <w:tab w:val="right" w:pos="11880"/>
          <w:tab w:val="right" w:pos="13200"/>
        </w:tabs>
        <w:overflowPunct w:val="0"/>
        <w:autoSpaceDE w:val="0"/>
        <w:autoSpaceDN w:val="0"/>
        <w:rPr>
          <w:rFonts w:ascii="Arial" w:eastAsia="黑体" w:hAnsi="Arial" w:cs="Arial"/>
          <w:b/>
          <w:sz w:val="20"/>
          <w:u w:val="single"/>
        </w:rPr>
      </w:pPr>
    </w:p>
    <w:p w:rsidR="00AD5BB5" w:rsidRDefault="00AD5BB5">
      <w:pPr>
        <w:tabs>
          <w:tab w:val="right" w:pos="10560"/>
          <w:tab w:val="right" w:pos="11880"/>
          <w:tab w:val="right" w:pos="13200"/>
        </w:tabs>
        <w:overflowPunct w:val="0"/>
        <w:autoSpaceDE w:val="0"/>
        <w:autoSpaceDN w:val="0"/>
        <w:rPr>
          <w:rFonts w:ascii="Arial" w:eastAsia="黑体" w:hAnsi="Arial" w:cs="Arial"/>
          <w:b/>
          <w:sz w:val="20"/>
          <w:u w:val="single"/>
        </w:rPr>
      </w:pPr>
    </w:p>
    <w:tbl>
      <w:tblPr>
        <w:tblW w:w="0" w:type="auto"/>
        <w:tblInd w:w="28" w:type="dxa"/>
        <w:tblLayout w:type="fixed"/>
        <w:tblCellMar>
          <w:left w:w="0" w:type="dxa"/>
          <w:right w:w="0" w:type="dxa"/>
        </w:tblCellMar>
        <w:tblLook w:val="04A0" w:firstRow="1" w:lastRow="0" w:firstColumn="1" w:lastColumn="0" w:noHBand="0" w:noVBand="1"/>
        <w:tblCaption w:val="e57c073f-98bf-4136-9c80-548eb82524a1"/>
        <w:tblDescription w:val="{&quot;UUID&quot;:&quot;afsaddin_tabledata_2_56437_e57c073f-98bf-4136-9c80-548eb82524a1&quot;,&quot;TitleRowCount&quot;:4,&quot;SplitedTable&quot;:false,&quot;FirstTableId&quot;:&quot;e57c073f-98bf-4136-9c80-548eb82524a1&quot;}"/>
      </w:tblPr>
      <w:tblGrid>
        <w:gridCol w:w="371"/>
        <w:gridCol w:w="1031"/>
        <w:gridCol w:w="371"/>
        <w:gridCol w:w="102"/>
        <w:gridCol w:w="963"/>
        <w:gridCol w:w="102"/>
        <w:gridCol w:w="102"/>
        <w:gridCol w:w="964"/>
        <w:gridCol w:w="102"/>
        <w:gridCol w:w="102"/>
        <w:gridCol w:w="964"/>
        <w:gridCol w:w="102"/>
        <w:gridCol w:w="101"/>
        <w:gridCol w:w="859"/>
        <w:gridCol w:w="101"/>
        <w:gridCol w:w="101"/>
        <w:gridCol w:w="963"/>
        <w:gridCol w:w="101"/>
        <w:gridCol w:w="101"/>
        <w:gridCol w:w="963"/>
        <w:gridCol w:w="101"/>
        <w:gridCol w:w="101"/>
        <w:gridCol w:w="963"/>
        <w:gridCol w:w="101"/>
        <w:gridCol w:w="101"/>
        <w:gridCol w:w="1031"/>
        <w:gridCol w:w="101"/>
        <w:gridCol w:w="101"/>
        <w:gridCol w:w="859"/>
        <w:gridCol w:w="101"/>
        <w:gridCol w:w="101"/>
        <w:gridCol w:w="1031"/>
        <w:gridCol w:w="101"/>
      </w:tblGrid>
      <w:tr w:rsidR="00AD5BB5">
        <w:tc>
          <w:tcPr>
            <w:tcW w:w="37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nil"/>
              <w:left w:val="nil"/>
              <w:bottom w:val="nil"/>
              <w:right w:val="nil"/>
            </w:tcBorders>
            <w:vAlign w:val="bottom"/>
          </w:tcPr>
          <w:p w:rsidR="00AD5BB5" w:rsidRDefault="00AD5BB5">
            <w:pPr>
              <w:autoSpaceDE w:val="0"/>
              <w:autoSpaceDN w:val="0"/>
              <w:ind w:left="165" w:hangingChars="150" w:hanging="165"/>
              <w:rPr>
                <w:rFonts w:ascii="Arial" w:eastAsia="黑体" w:hAnsi="Arial" w:cs="Arial"/>
                <w:sz w:val="11"/>
                <w:szCs w:val="11"/>
              </w:rPr>
            </w:pPr>
          </w:p>
        </w:tc>
        <w:tc>
          <w:tcPr>
            <w:tcW w:w="371"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11"/>
                <w:szCs w:val="11"/>
              </w:rPr>
            </w:pPr>
          </w:p>
        </w:tc>
        <w:tc>
          <w:tcPr>
            <w:tcW w:w="102"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11"/>
                <w:szCs w:val="11"/>
              </w:rPr>
            </w:pPr>
          </w:p>
        </w:tc>
        <w:tc>
          <w:tcPr>
            <w:tcW w:w="11383" w:type="dxa"/>
            <w:gridSpan w:val="28"/>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b/>
                <w:bCs/>
                <w:sz w:val="11"/>
                <w:szCs w:val="11"/>
              </w:rPr>
            </w:pPr>
            <w:r>
              <w:rPr>
                <w:rFonts w:ascii="Arial" w:eastAsia="黑体" w:hAnsi="Arial" w:cs="Arial"/>
                <w:b/>
                <w:bCs/>
                <w:sz w:val="11"/>
                <w:szCs w:val="11"/>
              </w:rPr>
              <w:t>截至</w:t>
            </w:r>
            <w:r>
              <w:rPr>
                <w:rFonts w:ascii="Arial" w:eastAsia="黑体" w:hAnsi="Arial" w:cs="Arial"/>
                <w:b/>
                <w:bCs/>
                <w:sz w:val="11"/>
                <w:szCs w:val="11"/>
              </w:rPr>
              <w:fldChar w:fldCharType="begin"/>
            </w:r>
            <w:r>
              <w:rPr>
                <w:rFonts w:ascii="Arial" w:eastAsia="黑体" w:hAnsi="Arial" w:cs="Arial"/>
                <w:b/>
                <w:bCs/>
                <w:sz w:val="11"/>
                <w:szCs w:val="11"/>
              </w:rPr>
              <w:instrText xml:space="preserve">DOCPROPERTY </w:instrText>
            </w:r>
            <w:r>
              <w:rPr>
                <w:rFonts w:ascii="Arial" w:eastAsia="黑体" w:hAnsi="Arial" w:cs="Arial"/>
                <w:b/>
                <w:bCs/>
                <w:sz w:val="11"/>
                <w:szCs w:val="11"/>
              </w:rPr>
              <w:instrText>对比会计期间</w:instrText>
            </w:r>
            <w:r>
              <w:rPr>
                <w:rFonts w:ascii="Arial" w:eastAsia="黑体" w:hAnsi="Arial" w:cs="Arial"/>
                <w:b/>
                <w:bCs/>
                <w:sz w:val="11"/>
                <w:szCs w:val="11"/>
              </w:rPr>
              <w:fldChar w:fldCharType="separate"/>
            </w:r>
            <w:r>
              <w:rPr>
                <w:rFonts w:ascii="Arial" w:eastAsia="黑体" w:hAnsi="Arial" w:cs="Arial"/>
                <w:b/>
                <w:bCs/>
                <w:sz w:val="11"/>
                <w:szCs w:val="11"/>
              </w:rPr>
              <w:t>2022</w:t>
            </w:r>
            <w:r>
              <w:rPr>
                <w:rFonts w:ascii="Arial" w:eastAsia="黑体" w:hAnsi="Arial" w:cs="Arial"/>
                <w:b/>
                <w:bCs/>
                <w:sz w:val="11"/>
                <w:szCs w:val="11"/>
              </w:rPr>
              <w:fldChar w:fldCharType="end"/>
            </w:r>
            <w:r>
              <w:rPr>
                <w:rFonts w:ascii="Arial" w:eastAsia="黑体" w:hAnsi="Arial" w:cs="Arial"/>
                <w:b/>
                <w:bCs/>
                <w:sz w:val="11"/>
                <w:szCs w:val="11"/>
              </w:rPr>
              <w:t>年</w:t>
            </w:r>
            <w:r>
              <w:rPr>
                <w:rFonts w:ascii="Arial" w:eastAsia="黑体" w:hAnsi="Arial" w:cs="Arial"/>
                <w:b/>
                <w:bCs/>
                <w:sz w:val="11"/>
                <w:szCs w:val="11"/>
              </w:rPr>
              <w:t>6</w:t>
            </w:r>
            <w:r>
              <w:rPr>
                <w:rFonts w:ascii="Arial" w:eastAsia="黑体" w:hAnsi="Arial" w:cs="Arial"/>
                <w:b/>
                <w:bCs/>
                <w:sz w:val="11"/>
                <w:szCs w:val="11"/>
              </w:rPr>
              <w:t>月</w:t>
            </w:r>
            <w:r>
              <w:rPr>
                <w:rFonts w:ascii="Arial" w:eastAsia="黑体" w:hAnsi="Arial" w:cs="Arial"/>
                <w:b/>
                <w:bCs/>
                <w:sz w:val="11"/>
                <w:szCs w:val="11"/>
              </w:rPr>
              <w:t>30</w:t>
            </w:r>
            <w:r>
              <w:rPr>
                <w:rFonts w:ascii="Arial" w:eastAsia="黑体" w:hAnsi="Arial" w:cs="Arial"/>
                <w:b/>
                <w:bCs/>
                <w:sz w:val="11"/>
                <w:szCs w:val="11"/>
              </w:rPr>
              <w:t>日</w:t>
            </w:r>
            <w:proofErr w:type="gramStart"/>
            <w:r>
              <w:rPr>
                <w:rFonts w:ascii="Arial" w:eastAsia="黑体" w:hAnsi="Arial" w:cs="Arial"/>
                <w:b/>
                <w:bCs/>
                <w:sz w:val="11"/>
                <w:szCs w:val="11"/>
              </w:rPr>
              <w:t>止</w:t>
            </w:r>
            <w:proofErr w:type="gramEnd"/>
            <w:r>
              <w:rPr>
                <w:rFonts w:ascii="Arial" w:eastAsia="黑体" w:hAnsi="Arial" w:cs="Arial"/>
                <w:b/>
                <w:bCs/>
                <w:sz w:val="11"/>
                <w:szCs w:val="11"/>
              </w:rPr>
              <w:t>6</w:t>
            </w:r>
            <w:r>
              <w:rPr>
                <w:rFonts w:ascii="Arial" w:eastAsia="黑体" w:hAnsi="Arial" w:cs="Arial"/>
                <w:b/>
                <w:bCs/>
                <w:sz w:val="11"/>
                <w:szCs w:val="11"/>
              </w:rPr>
              <w:t>个月期间</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r w:rsidR="00AD5BB5">
        <w:tc>
          <w:tcPr>
            <w:tcW w:w="37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nil"/>
              <w:left w:val="nil"/>
              <w:bottom w:val="nil"/>
              <w:right w:val="nil"/>
            </w:tcBorders>
            <w:vAlign w:val="bottom"/>
          </w:tcPr>
          <w:p w:rsidR="00AD5BB5" w:rsidRDefault="00AD5BB5">
            <w:pPr>
              <w:autoSpaceDE w:val="0"/>
              <w:autoSpaceDN w:val="0"/>
              <w:ind w:left="165" w:hangingChars="150" w:hanging="165"/>
              <w:rPr>
                <w:rFonts w:ascii="Arial" w:eastAsia="黑体" w:hAnsi="Arial" w:cs="Arial"/>
                <w:sz w:val="11"/>
                <w:szCs w:val="11"/>
              </w:rPr>
            </w:pPr>
          </w:p>
        </w:tc>
        <w:tc>
          <w:tcPr>
            <w:tcW w:w="371" w:type="dxa"/>
            <w:tcBorders>
              <w:top w:val="nil"/>
              <w:left w:val="nil"/>
              <w:bottom w:val="nil"/>
              <w:right w:val="nil"/>
            </w:tcBorders>
            <w:vAlign w:val="bottom"/>
          </w:tcPr>
          <w:p w:rsidR="00AD5BB5" w:rsidRDefault="00F87FF6">
            <w:pPr>
              <w:autoSpaceDE w:val="0"/>
              <w:autoSpaceDN w:val="0"/>
              <w:jc w:val="center"/>
              <w:rPr>
                <w:rFonts w:ascii="Arial" w:eastAsia="黑体" w:hAnsi="Arial" w:cs="Arial"/>
                <w:b/>
                <w:bCs/>
                <w:sz w:val="11"/>
                <w:szCs w:val="11"/>
              </w:rPr>
            </w:pPr>
            <w:r>
              <w:rPr>
                <w:rFonts w:ascii="Arial" w:eastAsia="黑体" w:hAnsi="Arial" w:cs="Arial"/>
                <w:b/>
                <w:bCs/>
                <w:sz w:val="11"/>
                <w:szCs w:val="11"/>
              </w:rPr>
              <w:t>附注五</w:t>
            </w:r>
          </w:p>
        </w:tc>
        <w:tc>
          <w:tcPr>
            <w:tcW w:w="102"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11"/>
                <w:szCs w:val="11"/>
              </w:rPr>
            </w:pPr>
          </w:p>
        </w:tc>
        <w:tc>
          <w:tcPr>
            <w:tcW w:w="9089" w:type="dxa"/>
            <w:gridSpan w:val="22"/>
            <w:tcBorders>
              <w:top w:val="single" w:sz="4" w:space="0" w:color="auto"/>
              <w:left w:val="nil"/>
              <w:bottom w:val="single" w:sz="4" w:space="0" w:color="auto"/>
              <w:right w:val="nil"/>
            </w:tcBorders>
            <w:vAlign w:val="bottom"/>
          </w:tcPr>
          <w:p w:rsidR="00AD5BB5" w:rsidRDefault="00F87FF6">
            <w:pPr>
              <w:autoSpaceDE w:val="0"/>
              <w:autoSpaceDN w:val="0"/>
              <w:jc w:val="center"/>
              <w:rPr>
                <w:rFonts w:ascii="Arial" w:eastAsia="黑体" w:hAnsi="Arial" w:cs="Arial"/>
                <w:b/>
                <w:bCs/>
                <w:sz w:val="11"/>
                <w:szCs w:val="11"/>
              </w:rPr>
            </w:pPr>
            <w:r>
              <w:rPr>
                <w:rFonts w:ascii="Arial" w:eastAsia="黑体" w:hAnsi="Arial" w:cs="Arial"/>
                <w:b/>
                <w:bCs/>
                <w:sz w:val="11"/>
                <w:szCs w:val="11"/>
              </w:rPr>
              <w:t>归属于母公司股东的权益</w:t>
            </w:r>
          </w:p>
        </w:tc>
        <w:tc>
          <w:tcPr>
            <w:tcW w:w="101"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1"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859"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少数股东权益</w:t>
            </w:r>
          </w:p>
        </w:tc>
        <w:tc>
          <w:tcPr>
            <w:tcW w:w="101"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31"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股东权益合计</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r w:rsidR="00AD5BB5">
        <w:tc>
          <w:tcPr>
            <w:tcW w:w="37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nil"/>
              <w:left w:val="nil"/>
              <w:bottom w:val="nil"/>
              <w:right w:val="nil"/>
            </w:tcBorders>
            <w:vAlign w:val="bottom"/>
          </w:tcPr>
          <w:p w:rsidR="00AD5BB5" w:rsidRDefault="00AD5BB5">
            <w:pPr>
              <w:autoSpaceDE w:val="0"/>
              <w:autoSpaceDN w:val="0"/>
              <w:ind w:left="165" w:hangingChars="150" w:hanging="165"/>
              <w:rPr>
                <w:rFonts w:ascii="Arial" w:eastAsia="黑体" w:hAnsi="Arial" w:cs="Arial"/>
                <w:sz w:val="11"/>
                <w:szCs w:val="11"/>
              </w:rPr>
            </w:pPr>
          </w:p>
        </w:tc>
        <w:tc>
          <w:tcPr>
            <w:tcW w:w="371"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11"/>
                <w:szCs w:val="11"/>
              </w:rPr>
            </w:pPr>
          </w:p>
        </w:tc>
        <w:tc>
          <w:tcPr>
            <w:tcW w:w="102"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11"/>
                <w:szCs w:val="11"/>
              </w:rPr>
            </w:pPr>
          </w:p>
        </w:tc>
        <w:tc>
          <w:tcPr>
            <w:tcW w:w="963"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股本</w:t>
            </w:r>
          </w:p>
        </w:tc>
        <w:tc>
          <w:tcPr>
            <w:tcW w:w="10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0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964"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其他权益工具</w:t>
            </w:r>
          </w:p>
        </w:tc>
        <w:tc>
          <w:tcPr>
            <w:tcW w:w="10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0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964"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资本公积</w:t>
            </w:r>
          </w:p>
        </w:tc>
        <w:tc>
          <w:tcPr>
            <w:tcW w:w="102"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859"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其他综合收益</w:t>
            </w:r>
          </w:p>
        </w:tc>
        <w:tc>
          <w:tcPr>
            <w:tcW w:w="10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0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963"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盈余公积</w:t>
            </w:r>
          </w:p>
        </w:tc>
        <w:tc>
          <w:tcPr>
            <w:tcW w:w="10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0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963"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一般风险准备</w:t>
            </w:r>
          </w:p>
        </w:tc>
        <w:tc>
          <w:tcPr>
            <w:tcW w:w="10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0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963"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未分配利润</w:t>
            </w:r>
          </w:p>
        </w:tc>
        <w:tc>
          <w:tcPr>
            <w:tcW w:w="101"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031"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小计</w:t>
            </w: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859" w:type="dxa"/>
            <w:tcBorders>
              <w:top w:val="nil"/>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031" w:type="dxa"/>
            <w:tcBorders>
              <w:top w:val="nil"/>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r w:rsidR="00AD5BB5">
        <w:tc>
          <w:tcPr>
            <w:tcW w:w="37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nil"/>
              <w:left w:val="nil"/>
              <w:bottom w:val="nil"/>
              <w:right w:val="nil"/>
            </w:tcBorders>
            <w:vAlign w:val="bottom"/>
          </w:tcPr>
          <w:p w:rsidR="00AD5BB5" w:rsidRDefault="00AD5BB5">
            <w:pPr>
              <w:autoSpaceDE w:val="0"/>
              <w:autoSpaceDN w:val="0"/>
              <w:ind w:left="165" w:hangingChars="150" w:hanging="165"/>
              <w:rPr>
                <w:rFonts w:ascii="Arial" w:eastAsia="黑体" w:hAnsi="Arial" w:cs="Arial"/>
                <w:sz w:val="11"/>
                <w:szCs w:val="11"/>
              </w:rPr>
            </w:pPr>
          </w:p>
        </w:tc>
        <w:tc>
          <w:tcPr>
            <w:tcW w:w="37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96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96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96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85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96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96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96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3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85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3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r w:rsidR="00AD5BB5">
        <w:tc>
          <w:tcPr>
            <w:tcW w:w="37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nil"/>
              <w:left w:val="nil"/>
              <w:bottom w:val="nil"/>
              <w:right w:val="nil"/>
            </w:tcBorders>
            <w:vAlign w:val="bottom"/>
          </w:tcPr>
          <w:p w:rsidR="00AD5BB5" w:rsidRDefault="00AD5BB5">
            <w:pPr>
              <w:autoSpaceDE w:val="0"/>
              <w:autoSpaceDN w:val="0"/>
              <w:ind w:left="165" w:hangingChars="150" w:hanging="165"/>
              <w:rPr>
                <w:rFonts w:ascii="Arial" w:eastAsia="黑体" w:hAnsi="Arial" w:cs="Arial"/>
                <w:sz w:val="11"/>
                <w:szCs w:val="11"/>
              </w:rPr>
            </w:pPr>
          </w:p>
        </w:tc>
        <w:tc>
          <w:tcPr>
            <w:tcW w:w="37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85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85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r w:rsidR="00AD5BB5">
        <w:tc>
          <w:tcPr>
            <w:tcW w:w="371" w:type="dxa"/>
            <w:tcBorders>
              <w:top w:val="nil"/>
              <w:left w:val="nil"/>
              <w:bottom w:val="nil"/>
              <w:right w:val="nil"/>
            </w:tcBorders>
            <w:vAlign w:val="bottom"/>
          </w:tcPr>
          <w:p w:rsidR="00AD5BB5" w:rsidRDefault="00F87FF6">
            <w:pPr>
              <w:autoSpaceDE w:val="0"/>
              <w:autoSpaceDN w:val="0"/>
              <w:rPr>
                <w:rFonts w:ascii="Arial" w:eastAsia="黑体" w:hAnsi="Arial" w:cs="Arial"/>
                <w:b/>
                <w:bCs/>
                <w:sz w:val="11"/>
                <w:szCs w:val="11"/>
              </w:rPr>
            </w:pPr>
            <w:r>
              <w:rPr>
                <w:rFonts w:ascii="Arial" w:eastAsia="黑体" w:hAnsi="Arial" w:cs="Arial"/>
                <w:b/>
                <w:bCs/>
                <w:sz w:val="11"/>
                <w:szCs w:val="11"/>
              </w:rPr>
              <w:t>一、</w:t>
            </w:r>
          </w:p>
        </w:tc>
        <w:tc>
          <w:tcPr>
            <w:tcW w:w="1031" w:type="dxa"/>
            <w:tcBorders>
              <w:top w:val="nil"/>
              <w:left w:val="nil"/>
              <w:bottom w:val="nil"/>
              <w:right w:val="nil"/>
            </w:tcBorders>
            <w:vAlign w:val="bottom"/>
          </w:tcPr>
          <w:p w:rsidR="00AD5BB5" w:rsidRDefault="00F87FF6">
            <w:pPr>
              <w:autoSpaceDE w:val="0"/>
              <w:autoSpaceDN w:val="0"/>
              <w:ind w:left="110" w:hangingChars="100" w:hanging="110"/>
              <w:rPr>
                <w:rFonts w:ascii="Arial" w:eastAsia="黑体" w:hAnsi="Arial" w:cs="Arial"/>
                <w:b/>
                <w:bCs/>
                <w:sz w:val="11"/>
                <w:szCs w:val="11"/>
              </w:rPr>
            </w:pPr>
            <w:r>
              <w:rPr>
                <w:rFonts w:ascii="Arial" w:eastAsia="黑体" w:hAnsi="Arial" w:cs="Arial"/>
                <w:b/>
                <w:bCs/>
                <w:sz w:val="11"/>
                <w:szCs w:val="11"/>
              </w:rPr>
              <w:fldChar w:fldCharType="begin"/>
            </w:r>
            <w:r>
              <w:rPr>
                <w:rFonts w:ascii="Arial" w:eastAsia="黑体" w:hAnsi="Arial" w:cs="Arial"/>
                <w:b/>
                <w:bCs/>
                <w:sz w:val="11"/>
                <w:szCs w:val="11"/>
              </w:rPr>
              <w:instrText xml:space="preserve"> DOCPROPERTY </w:instrText>
            </w:r>
            <w:r>
              <w:rPr>
                <w:rFonts w:ascii="Arial" w:eastAsia="黑体" w:hAnsi="Arial" w:cs="Arial"/>
                <w:b/>
                <w:bCs/>
                <w:sz w:val="11"/>
                <w:szCs w:val="11"/>
              </w:rPr>
              <w:instrText>对比会计期间</w:instrText>
            </w:r>
            <w:r>
              <w:rPr>
                <w:rFonts w:ascii="Arial" w:eastAsia="黑体" w:hAnsi="Arial" w:cs="Arial"/>
                <w:b/>
                <w:bCs/>
                <w:sz w:val="11"/>
                <w:szCs w:val="11"/>
              </w:rPr>
              <w:instrText xml:space="preserve"> </w:instrText>
            </w:r>
            <w:r>
              <w:rPr>
                <w:rFonts w:ascii="Arial" w:eastAsia="黑体" w:hAnsi="Arial" w:cs="Arial"/>
                <w:b/>
                <w:bCs/>
                <w:sz w:val="11"/>
                <w:szCs w:val="11"/>
              </w:rPr>
              <w:fldChar w:fldCharType="separate"/>
            </w:r>
            <w:r>
              <w:rPr>
                <w:rFonts w:ascii="Arial" w:eastAsia="黑体" w:hAnsi="Arial" w:cs="Arial"/>
                <w:b/>
                <w:bCs/>
                <w:sz w:val="11"/>
                <w:szCs w:val="11"/>
              </w:rPr>
              <w:t>2022</w:t>
            </w:r>
            <w:r>
              <w:rPr>
                <w:rFonts w:ascii="Arial" w:eastAsia="黑体" w:hAnsi="Arial" w:cs="Arial"/>
                <w:b/>
                <w:bCs/>
                <w:sz w:val="11"/>
                <w:szCs w:val="11"/>
              </w:rPr>
              <w:fldChar w:fldCharType="end"/>
            </w:r>
            <w:r>
              <w:rPr>
                <w:rFonts w:ascii="Arial" w:eastAsia="黑体" w:hAnsi="Arial" w:cs="Arial"/>
                <w:b/>
                <w:bCs/>
                <w:sz w:val="11"/>
                <w:szCs w:val="11"/>
              </w:rPr>
              <w:t>年</w:t>
            </w:r>
            <w:r>
              <w:rPr>
                <w:rFonts w:ascii="Arial" w:eastAsia="黑体" w:hAnsi="Arial" w:cs="Arial"/>
                <w:b/>
                <w:bCs/>
                <w:sz w:val="11"/>
                <w:szCs w:val="11"/>
              </w:rPr>
              <w:t>1</w:t>
            </w:r>
            <w:r>
              <w:rPr>
                <w:rFonts w:ascii="Arial" w:eastAsia="黑体" w:hAnsi="Arial" w:cs="Arial"/>
                <w:b/>
                <w:bCs/>
                <w:sz w:val="11"/>
                <w:szCs w:val="11"/>
              </w:rPr>
              <w:t>月</w:t>
            </w:r>
            <w:r>
              <w:rPr>
                <w:rFonts w:ascii="Arial" w:eastAsia="黑体" w:hAnsi="Arial" w:cs="Arial"/>
                <w:b/>
                <w:bCs/>
                <w:sz w:val="11"/>
                <w:szCs w:val="11"/>
              </w:rPr>
              <w:t>1</w:t>
            </w:r>
            <w:r>
              <w:rPr>
                <w:rFonts w:ascii="Arial" w:eastAsia="黑体" w:hAnsi="Arial" w:cs="Arial"/>
                <w:b/>
                <w:bCs/>
                <w:sz w:val="11"/>
                <w:szCs w:val="11"/>
              </w:rPr>
              <w:t>日余额</w:t>
            </w:r>
          </w:p>
        </w:tc>
        <w:tc>
          <w:tcPr>
            <w:tcW w:w="371"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96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2,639,127,888.00</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96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2,498,552,830.19</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96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6,785,874,486.75</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85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252,178,027.55</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96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1,272,355,862.03</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96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3,724,368,884.25</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96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5,584,820,699.17</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31"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22,757,278,677.94</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85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507,999,712.73</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31"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23,265,278,390.67</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r w:rsidR="00AD5BB5">
        <w:tc>
          <w:tcPr>
            <w:tcW w:w="37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nil"/>
              <w:left w:val="nil"/>
              <w:bottom w:val="nil"/>
              <w:right w:val="nil"/>
            </w:tcBorders>
            <w:vAlign w:val="bottom"/>
          </w:tcPr>
          <w:p w:rsidR="00AD5BB5" w:rsidRDefault="00AD5BB5">
            <w:pPr>
              <w:autoSpaceDE w:val="0"/>
              <w:autoSpaceDN w:val="0"/>
              <w:ind w:left="165" w:hangingChars="150" w:hanging="165"/>
              <w:rPr>
                <w:rFonts w:ascii="Arial" w:eastAsia="黑体" w:hAnsi="Arial" w:cs="Arial"/>
                <w:sz w:val="11"/>
                <w:szCs w:val="11"/>
              </w:rPr>
            </w:pPr>
          </w:p>
        </w:tc>
        <w:tc>
          <w:tcPr>
            <w:tcW w:w="37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85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85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r w:rsidR="00AD5BB5">
        <w:tc>
          <w:tcPr>
            <w:tcW w:w="371" w:type="dxa"/>
            <w:tcBorders>
              <w:top w:val="nil"/>
              <w:left w:val="nil"/>
              <w:bottom w:val="nil"/>
              <w:right w:val="nil"/>
            </w:tcBorders>
            <w:vAlign w:val="bottom"/>
          </w:tcPr>
          <w:p w:rsidR="00AD5BB5" w:rsidRDefault="00F87FF6">
            <w:pPr>
              <w:autoSpaceDE w:val="0"/>
              <w:autoSpaceDN w:val="0"/>
              <w:rPr>
                <w:rFonts w:ascii="Arial" w:eastAsia="黑体" w:hAnsi="Arial" w:cs="Arial"/>
                <w:b/>
                <w:bCs/>
                <w:sz w:val="11"/>
                <w:szCs w:val="11"/>
              </w:rPr>
            </w:pPr>
            <w:r>
              <w:rPr>
                <w:rFonts w:ascii="Arial" w:eastAsia="黑体" w:hAnsi="Arial" w:cs="Arial"/>
                <w:b/>
                <w:bCs/>
                <w:sz w:val="11"/>
                <w:szCs w:val="11"/>
              </w:rPr>
              <w:t>二、</w:t>
            </w:r>
          </w:p>
        </w:tc>
        <w:tc>
          <w:tcPr>
            <w:tcW w:w="1031" w:type="dxa"/>
            <w:tcBorders>
              <w:top w:val="nil"/>
              <w:left w:val="nil"/>
              <w:bottom w:val="nil"/>
              <w:right w:val="nil"/>
            </w:tcBorders>
            <w:vAlign w:val="bottom"/>
          </w:tcPr>
          <w:p w:rsidR="00AD5BB5" w:rsidRDefault="00F87FF6">
            <w:pPr>
              <w:autoSpaceDE w:val="0"/>
              <w:autoSpaceDN w:val="0"/>
              <w:ind w:left="110" w:hangingChars="100" w:hanging="110"/>
              <w:rPr>
                <w:rFonts w:ascii="Arial" w:eastAsia="黑体" w:hAnsi="Arial" w:cs="Arial"/>
                <w:b/>
                <w:bCs/>
                <w:sz w:val="11"/>
                <w:szCs w:val="11"/>
              </w:rPr>
            </w:pPr>
            <w:r>
              <w:rPr>
                <w:rFonts w:ascii="Arial" w:eastAsia="黑体" w:hAnsi="Arial" w:cs="Arial"/>
                <w:b/>
                <w:bCs/>
                <w:sz w:val="11"/>
              </w:rPr>
              <w:t>本期增减变动金额</w:t>
            </w:r>
          </w:p>
        </w:tc>
        <w:tc>
          <w:tcPr>
            <w:tcW w:w="37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85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85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r w:rsidR="00AD5BB5">
        <w:tc>
          <w:tcPr>
            <w:tcW w:w="371"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（一）</w:t>
            </w:r>
          </w:p>
        </w:tc>
        <w:tc>
          <w:tcPr>
            <w:tcW w:w="1031" w:type="dxa"/>
            <w:tcBorders>
              <w:top w:val="nil"/>
              <w:left w:val="nil"/>
              <w:bottom w:val="nil"/>
              <w:right w:val="nil"/>
            </w:tcBorders>
            <w:vAlign w:val="bottom"/>
          </w:tcPr>
          <w:p w:rsidR="00AD5BB5" w:rsidRDefault="00F87FF6">
            <w:pPr>
              <w:autoSpaceDE w:val="0"/>
              <w:autoSpaceDN w:val="0"/>
              <w:ind w:left="110" w:hangingChars="100" w:hanging="110"/>
              <w:rPr>
                <w:rFonts w:ascii="Arial" w:eastAsia="黑体" w:hAnsi="Arial" w:cs="Arial"/>
                <w:sz w:val="11"/>
                <w:szCs w:val="11"/>
              </w:rPr>
            </w:pPr>
            <w:r>
              <w:rPr>
                <w:rFonts w:ascii="Arial" w:eastAsia="黑体" w:hAnsi="Arial" w:cs="Arial"/>
                <w:sz w:val="11"/>
                <w:szCs w:val="11"/>
              </w:rPr>
              <w:t>综合收益总额</w:t>
            </w:r>
          </w:p>
        </w:tc>
        <w:tc>
          <w:tcPr>
            <w:tcW w:w="37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85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(60,568,608.84</w:t>
            </w:r>
          </w:p>
        </w:tc>
        <w:tc>
          <w:tcPr>
            <w:tcW w:w="101"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1,232,285,900.62</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1,171,717,291.78</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85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29,435,998.19</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1,201,153,289.97</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r w:rsidR="00AD5BB5">
        <w:tc>
          <w:tcPr>
            <w:tcW w:w="371"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（二）</w:t>
            </w:r>
          </w:p>
        </w:tc>
        <w:tc>
          <w:tcPr>
            <w:tcW w:w="1031" w:type="dxa"/>
            <w:tcBorders>
              <w:top w:val="nil"/>
              <w:left w:val="nil"/>
              <w:bottom w:val="nil"/>
              <w:right w:val="nil"/>
            </w:tcBorders>
            <w:vAlign w:val="bottom"/>
          </w:tcPr>
          <w:p w:rsidR="00AD5BB5" w:rsidRDefault="00F87FF6">
            <w:pPr>
              <w:autoSpaceDE w:val="0"/>
              <w:autoSpaceDN w:val="0"/>
              <w:ind w:left="110" w:hangingChars="100" w:hanging="110"/>
              <w:rPr>
                <w:rFonts w:ascii="Arial" w:eastAsia="黑体" w:hAnsi="Arial" w:cs="Arial"/>
                <w:sz w:val="11"/>
                <w:szCs w:val="11"/>
              </w:rPr>
            </w:pPr>
            <w:r>
              <w:rPr>
                <w:rFonts w:ascii="Arial" w:eastAsia="黑体" w:hAnsi="Arial" w:cs="Arial"/>
                <w:sz w:val="11"/>
                <w:szCs w:val="11"/>
              </w:rPr>
              <w:t>利润分配</w:t>
            </w:r>
          </w:p>
        </w:tc>
        <w:tc>
          <w:tcPr>
            <w:tcW w:w="371"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11"/>
                <w:szCs w:val="11"/>
              </w:rPr>
            </w:pPr>
            <w:r>
              <w:rPr>
                <w:rFonts w:ascii="Arial" w:eastAsia="黑体" w:hAnsi="Arial" w:cs="Arial" w:hint="eastAsia"/>
                <w:sz w:val="11"/>
                <w:szCs w:val="11"/>
              </w:rPr>
              <w:t>3</w:t>
            </w:r>
            <w:r>
              <w:rPr>
                <w:rFonts w:ascii="Arial" w:eastAsia="黑体" w:hAnsi="Arial" w:cs="Arial"/>
                <w:sz w:val="11"/>
                <w:szCs w:val="11"/>
              </w:rPr>
              <w:t>5</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85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85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r w:rsidR="00AD5BB5">
        <w:tc>
          <w:tcPr>
            <w:tcW w:w="371"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1</w:t>
            </w:r>
          </w:p>
        </w:tc>
        <w:tc>
          <w:tcPr>
            <w:tcW w:w="1031" w:type="dxa"/>
            <w:tcBorders>
              <w:top w:val="nil"/>
              <w:left w:val="nil"/>
              <w:bottom w:val="nil"/>
              <w:right w:val="nil"/>
            </w:tcBorders>
            <w:vAlign w:val="bottom"/>
          </w:tcPr>
          <w:p w:rsidR="00AD5BB5" w:rsidRDefault="00F87FF6">
            <w:pPr>
              <w:autoSpaceDE w:val="0"/>
              <w:autoSpaceDN w:val="0"/>
              <w:ind w:left="110" w:hangingChars="100" w:hanging="110"/>
              <w:rPr>
                <w:rFonts w:ascii="Arial" w:eastAsia="黑体" w:hAnsi="Arial" w:cs="Arial"/>
                <w:sz w:val="11"/>
                <w:szCs w:val="11"/>
              </w:rPr>
            </w:pPr>
            <w:r>
              <w:rPr>
                <w:rFonts w:ascii="Arial" w:eastAsia="黑体" w:hAnsi="Arial" w:cs="Arial"/>
                <w:sz w:val="11"/>
                <w:szCs w:val="11"/>
              </w:rPr>
              <w:t>普通股现金分红</w:t>
            </w:r>
          </w:p>
        </w:tc>
        <w:tc>
          <w:tcPr>
            <w:tcW w:w="37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85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(659,781,972.00</w:t>
            </w:r>
          </w:p>
        </w:tc>
        <w:tc>
          <w:tcPr>
            <w:tcW w:w="101"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(659,781,972.00</w:t>
            </w:r>
          </w:p>
        </w:tc>
        <w:tc>
          <w:tcPr>
            <w:tcW w:w="101"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85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(659,781,972.00</w:t>
            </w:r>
          </w:p>
        </w:tc>
        <w:tc>
          <w:tcPr>
            <w:tcW w:w="101"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w:t>
            </w:r>
          </w:p>
        </w:tc>
      </w:tr>
      <w:tr w:rsidR="00AD5BB5">
        <w:tc>
          <w:tcPr>
            <w:tcW w:w="371" w:type="dxa"/>
            <w:tcBorders>
              <w:top w:val="nil"/>
              <w:left w:val="nil"/>
              <w:bottom w:val="nil"/>
              <w:right w:val="nil"/>
            </w:tcBorders>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2</w:t>
            </w:r>
          </w:p>
        </w:tc>
        <w:tc>
          <w:tcPr>
            <w:tcW w:w="1031" w:type="dxa"/>
            <w:tcBorders>
              <w:top w:val="nil"/>
              <w:left w:val="nil"/>
              <w:bottom w:val="nil"/>
              <w:right w:val="nil"/>
            </w:tcBorders>
            <w:vAlign w:val="bottom"/>
          </w:tcPr>
          <w:p w:rsidR="00AD5BB5" w:rsidRDefault="00F87FF6">
            <w:pPr>
              <w:autoSpaceDE w:val="0"/>
              <w:autoSpaceDN w:val="0"/>
              <w:ind w:left="110" w:hangingChars="100" w:hanging="110"/>
              <w:rPr>
                <w:rFonts w:ascii="Arial" w:eastAsia="黑体" w:hAnsi="Arial" w:cs="Arial"/>
                <w:sz w:val="11"/>
                <w:szCs w:val="11"/>
              </w:rPr>
            </w:pPr>
            <w:r>
              <w:rPr>
                <w:rFonts w:ascii="Arial" w:eastAsia="黑体" w:hAnsi="Arial" w:cs="Arial"/>
                <w:sz w:val="11"/>
                <w:szCs w:val="11"/>
              </w:rPr>
              <w:t>永续债利息</w:t>
            </w:r>
          </w:p>
        </w:tc>
        <w:tc>
          <w:tcPr>
            <w:tcW w:w="371" w:type="dxa"/>
            <w:tcBorders>
              <w:top w:val="nil"/>
              <w:left w:val="nil"/>
              <w:bottom w:val="nil"/>
              <w:right w:val="nil"/>
            </w:tcBorders>
          </w:tcPr>
          <w:p w:rsidR="00AD5BB5" w:rsidRDefault="00AD5BB5">
            <w:pPr>
              <w:autoSpaceDE w:val="0"/>
              <w:autoSpaceDN w:val="0"/>
              <w:jc w:val="center"/>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85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(72,000,000.00</w:t>
            </w:r>
          </w:p>
        </w:tc>
        <w:tc>
          <w:tcPr>
            <w:tcW w:w="101"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(72,000,000.00</w:t>
            </w:r>
          </w:p>
        </w:tc>
        <w:tc>
          <w:tcPr>
            <w:tcW w:w="101"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85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(72,000,000.00</w:t>
            </w:r>
          </w:p>
        </w:tc>
        <w:tc>
          <w:tcPr>
            <w:tcW w:w="101"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w:t>
            </w:r>
          </w:p>
        </w:tc>
      </w:tr>
      <w:tr w:rsidR="00AD5BB5">
        <w:tc>
          <w:tcPr>
            <w:tcW w:w="371"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3</w:t>
            </w:r>
          </w:p>
        </w:tc>
        <w:tc>
          <w:tcPr>
            <w:tcW w:w="1031" w:type="dxa"/>
            <w:tcBorders>
              <w:top w:val="nil"/>
              <w:left w:val="nil"/>
              <w:bottom w:val="nil"/>
              <w:right w:val="nil"/>
            </w:tcBorders>
            <w:vAlign w:val="bottom"/>
          </w:tcPr>
          <w:p w:rsidR="00AD5BB5" w:rsidRDefault="00F87FF6">
            <w:pPr>
              <w:autoSpaceDE w:val="0"/>
              <w:autoSpaceDN w:val="0"/>
              <w:ind w:left="110" w:hangingChars="100" w:hanging="110"/>
              <w:rPr>
                <w:rFonts w:ascii="Arial" w:eastAsia="黑体" w:hAnsi="Arial" w:cs="Arial"/>
                <w:sz w:val="11"/>
                <w:szCs w:val="11"/>
              </w:rPr>
            </w:pPr>
            <w:r>
              <w:rPr>
                <w:rFonts w:ascii="Arial" w:eastAsia="黑体" w:hAnsi="Arial" w:cs="Arial"/>
                <w:sz w:val="11"/>
                <w:szCs w:val="11"/>
              </w:rPr>
              <w:t>对少数股东的分配</w:t>
            </w:r>
          </w:p>
        </w:tc>
        <w:tc>
          <w:tcPr>
            <w:tcW w:w="37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85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85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(21,780,000.00</w:t>
            </w:r>
          </w:p>
        </w:tc>
        <w:tc>
          <w:tcPr>
            <w:tcW w:w="101"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(21,780,000.00</w:t>
            </w:r>
          </w:p>
        </w:tc>
        <w:tc>
          <w:tcPr>
            <w:tcW w:w="101"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w:t>
            </w:r>
          </w:p>
        </w:tc>
      </w:tr>
      <w:tr w:rsidR="00AD5BB5">
        <w:tc>
          <w:tcPr>
            <w:tcW w:w="37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nil"/>
              <w:left w:val="nil"/>
              <w:bottom w:val="nil"/>
              <w:right w:val="nil"/>
            </w:tcBorders>
            <w:vAlign w:val="bottom"/>
          </w:tcPr>
          <w:p w:rsidR="00AD5BB5" w:rsidRDefault="00AD5BB5">
            <w:pPr>
              <w:autoSpaceDE w:val="0"/>
              <w:autoSpaceDN w:val="0"/>
              <w:ind w:left="165" w:hangingChars="150" w:hanging="165"/>
              <w:rPr>
                <w:rFonts w:ascii="Arial" w:eastAsia="黑体" w:hAnsi="Arial" w:cs="Arial"/>
                <w:sz w:val="11"/>
                <w:szCs w:val="11"/>
              </w:rPr>
            </w:pPr>
          </w:p>
        </w:tc>
        <w:tc>
          <w:tcPr>
            <w:tcW w:w="37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85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85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r w:rsidR="00AD5BB5">
        <w:tc>
          <w:tcPr>
            <w:tcW w:w="371" w:type="dxa"/>
            <w:tcBorders>
              <w:top w:val="nil"/>
              <w:left w:val="nil"/>
              <w:bottom w:val="nil"/>
              <w:right w:val="nil"/>
            </w:tcBorders>
            <w:vAlign w:val="bottom"/>
          </w:tcPr>
          <w:p w:rsidR="00AD5BB5" w:rsidRDefault="00F87FF6">
            <w:pPr>
              <w:autoSpaceDE w:val="0"/>
              <w:autoSpaceDN w:val="0"/>
              <w:rPr>
                <w:rFonts w:ascii="Arial" w:eastAsia="黑体" w:hAnsi="Arial" w:cs="Arial"/>
                <w:b/>
                <w:bCs/>
                <w:sz w:val="11"/>
                <w:szCs w:val="11"/>
              </w:rPr>
            </w:pPr>
            <w:r>
              <w:rPr>
                <w:rFonts w:ascii="Arial" w:eastAsia="黑体" w:hAnsi="Arial" w:cs="Arial"/>
                <w:b/>
                <w:bCs/>
                <w:sz w:val="11"/>
                <w:szCs w:val="11"/>
              </w:rPr>
              <w:t>三、</w:t>
            </w:r>
          </w:p>
        </w:tc>
        <w:tc>
          <w:tcPr>
            <w:tcW w:w="1031" w:type="dxa"/>
            <w:tcBorders>
              <w:top w:val="nil"/>
              <w:left w:val="nil"/>
              <w:bottom w:val="nil"/>
              <w:right w:val="nil"/>
            </w:tcBorders>
            <w:vAlign w:val="bottom"/>
          </w:tcPr>
          <w:p w:rsidR="00AD5BB5" w:rsidRDefault="00F87FF6">
            <w:pPr>
              <w:autoSpaceDE w:val="0"/>
              <w:autoSpaceDN w:val="0"/>
              <w:ind w:left="110" w:hangingChars="100" w:hanging="110"/>
              <w:rPr>
                <w:rFonts w:ascii="Arial" w:eastAsia="黑体" w:hAnsi="Arial" w:cs="Arial"/>
                <w:b/>
                <w:bCs/>
                <w:sz w:val="11"/>
                <w:szCs w:val="11"/>
              </w:rPr>
            </w:pPr>
            <w:r>
              <w:rPr>
                <w:rFonts w:ascii="Arial" w:eastAsia="黑体" w:hAnsi="Arial" w:cs="Arial"/>
                <w:b/>
                <w:bCs/>
                <w:sz w:val="11"/>
              </w:rPr>
              <w:t>本期期末余额</w:t>
            </w:r>
          </w:p>
        </w:tc>
        <w:tc>
          <w:tcPr>
            <w:tcW w:w="371"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96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2,639,127,888.00</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96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2,498,552,830.19</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96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6,785,874,486.75</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85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191,609,418.71</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96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1,272,355,862.03</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96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3,724,368,884.25</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96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6,085,324,627.79</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31"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23,197,213,997.72</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85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515,655,710.92</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31"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23,712,869,708.64</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bl>
    <w:p w:rsidR="00AD5BB5" w:rsidRDefault="00AD5BB5">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rPr>
      </w:pPr>
    </w:p>
    <w:p w:rsidR="00AD5BB5" w:rsidRDefault="00AD5BB5">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rPr>
      </w:pPr>
    </w:p>
    <w:p w:rsidR="00AD5BB5" w:rsidRDefault="00AD5BB5">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rPr>
      </w:pPr>
    </w:p>
    <w:p w:rsidR="00AD5BB5" w:rsidRDefault="00AD5BB5">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rPr>
      </w:pPr>
    </w:p>
    <w:p w:rsidR="00AD5BB5" w:rsidRDefault="00AD5BB5">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rPr>
      </w:pPr>
    </w:p>
    <w:p w:rsidR="00AD5BB5" w:rsidRDefault="00AD5BB5">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rPr>
      </w:pPr>
    </w:p>
    <w:p w:rsidR="00AD5BB5" w:rsidRDefault="00AD5BB5">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rPr>
      </w:pPr>
    </w:p>
    <w:p w:rsidR="00AD5BB5" w:rsidRDefault="00AD5BB5">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rPr>
      </w:pPr>
    </w:p>
    <w:p w:rsidR="00AD5BB5" w:rsidRDefault="00AD5BB5">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rPr>
      </w:pPr>
    </w:p>
    <w:p w:rsidR="00AD5BB5" w:rsidRDefault="00AD5BB5">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rPr>
      </w:pPr>
    </w:p>
    <w:p w:rsidR="00AD5BB5" w:rsidRDefault="00AD5BB5">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rPr>
      </w:pPr>
    </w:p>
    <w:p w:rsidR="00AD5BB5" w:rsidRDefault="00AD5BB5">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rPr>
      </w:pPr>
    </w:p>
    <w:p w:rsidR="00AD5BB5" w:rsidRDefault="00AD5BB5">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rPr>
      </w:pPr>
    </w:p>
    <w:p w:rsidR="00AD5BB5" w:rsidRDefault="00AD5BB5">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rPr>
      </w:pPr>
    </w:p>
    <w:p w:rsidR="00AD5BB5" w:rsidRDefault="00AD5BB5">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rPr>
      </w:pPr>
    </w:p>
    <w:p w:rsidR="00AD5BB5" w:rsidRDefault="00AD5BB5">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rPr>
      </w:pPr>
    </w:p>
    <w:p w:rsidR="00AD5BB5" w:rsidRDefault="00AD5BB5">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rPr>
      </w:pPr>
    </w:p>
    <w:p w:rsidR="00AD5BB5" w:rsidRDefault="00AD5BB5">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rPr>
      </w:pPr>
    </w:p>
    <w:p w:rsidR="00AD5BB5" w:rsidRDefault="00AD5BB5">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rPr>
      </w:pPr>
    </w:p>
    <w:p w:rsidR="00AD5BB5" w:rsidRDefault="00AD5BB5">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rPr>
      </w:pPr>
    </w:p>
    <w:p w:rsidR="00AD5BB5" w:rsidRDefault="00AD5BB5">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rPr>
      </w:pPr>
    </w:p>
    <w:p w:rsidR="00AD5BB5" w:rsidRDefault="00AD5BB5">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rPr>
      </w:pPr>
    </w:p>
    <w:p w:rsidR="00AD5BB5" w:rsidRDefault="00AD5BB5">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rPr>
      </w:pPr>
    </w:p>
    <w:p w:rsidR="00AD5BB5" w:rsidRDefault="00AD5BB5">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rPr>
      </w:pPr>
    </w:p>
    <w:p w:rsidR="00AD5BB5" w:rsidRDefault="00F87FF6">
      <w:pPr>
        <w:overflowPunct w:val="0"/>
        <w:autoSpaceDE w:val="0"/>
        <w:autoSpaceDN w:val="0"/>
        <w:rPr>
          <w:rFonts w:ascii="Arial" w:eastAsia="黑体" w:hAnsi="Arial" w:cs="Arial"/>
          <w:i/>
          <w:sz w:val="20"/>
        </w:rPr>
        <w:sectPr w:rsidR="00AD5BB5">
          <w:headerReference w:type="default" r:id="rId26"/>
          <w:pgSz w:w="16840" w:h="11907" w:orient="landscape"/>
          <w:pgMar w:top="1440" w:right="1797" w:bottom="1440" w:left="1797" w:header="720" w:footer="720" w:gutter="0"/>
          <w:cols w:space="720"/>
          <w:docGrid w:linePitch="360"/>
        </w:sectPr>
      </w:pPr>
      <w:r>
        <w:rPr>
          <w:rFonts w:ascii="Arial" w:eastAsia="黑体" w:hAnsi="Arial" w:cs="Arial"/>
          <w:i/>
          <w:sz w:val="20"/>
        </w:rPr>
        <w:t>后附财务报表附注为本财务报表的组成部分</w:t>
      </w:r>
    </w:p>
    <w:p w:rsidR="00AD5BB5" w:rsidRDefault="00AD5BB5">
      <w:pPr>
        <w:tabs>
          <w:tab w:val="right" w:pos="10560"/>
          <w:tab w:val="right" w:pos="11880"/>
          <w:tab w:val="right" w:pos="13200"/>
        </w:tabs>
        <w:overflowPunct w:val="0"/>
        <w:autoSpaceDE w:val="0"/>
        <w:autoSpaceDN w:val="0"/>
        <w:rPr>
          <w:rFonts w:ascii="Arial" w:eastAsia="黑体" w:hAnsi="Arial" w:cs="Arial"/>
          <w:b/>
          <w:sz w:val="20"/>
          <w:u w:val="single"/>
        </w:rPr>
      </w:pPr>
      <w:bookmarkStart w:id="60" w:name="afsaddin_Section_cee35553c39a4b53b0d6098"/>
    </w:p>
    <w:bookmarkEnd w:id="60"/>
    <w:p w:rsidR="00AD5BB5" w:rsidRDefault="00AD5BB5">
      <w:pPr>
        <w:tabs>
          <w:tab w:val="right" w:pos="10560"/>
          <w:tab w:val="right" w:pos="11880"/>
          <w:tab w:val="right" w:pos="13200"/>
        </w:tabs>
        <w:overflowPunct w:val="0"/>
        <w:autoSpaceDE w:val="0"/>
        <w:autoSpaceDN w:val="0"/>
        <w:rPr>
          <w:rFonts w:ascii="Arial" w:eastAsia="黑体" w:hAnsi="Arial" w:cs="Arial"/>
          <w:b/>
          <w:sz w:val="20"/>
          <w:u w:val="single"/>
        </w:rPr>
      </w:pPr>
    </w:p>
    <w:tbl>
      <w:tblPr>
        <w:tblW w:w="0" w:type="auto"/>
        <w:tblLayout w:type="fixed"/>
        <w:tblCellMar>
          <w:left w:w="0" w:type="dxa"/>
          <w:right w:w="0" w:type="dxa"/>
        </w:tblCellMar>
        <w:tblLook w:val="04A0" w:firstRow="1" w:lastRow="0" w:firstColumn="1" w:lastColumn="0" w:noHBand="0" w:noVBand="1"/>
        <w:tblCaption w:val="ce30f4bd-6840-4092-921b-5f5b41a53a4a"/>
        <w:tblDescription w:val="{&quot;UUID&quot;:&quot;afsaddin_tabledata_2_56437_ce30f4bd-6840-4092-921b-5f5b41a53a4a&quot;,&quot;TitleRowCount&quot;:2,&quot;SplitedTable&quot;:false,&quot;FirstTableId&quot;:&quot;ce30f4bd-6840-4092-921b-5f5b41a53a4a&quot;}"/>
      </w:tblPr>
      <w:tblGrid>
        <w:gridCol w:w="324"/>
        <w:gridCol w:w="3638"/>
        <w:gridCol w:w="784"/>
        <w:gridCol w:w="110"/>
        <w:gridCol w:w="1622"/>
        <w:gridCol w:w="110"/>
        <w:gridCol w:w="110"/>
        <w:gridCol w:w="1628"/>
        <w:gridCol w:w="110"/>
      </w:tblGrid>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1" w:hangingChars="150" w:hanging="241"/>
              <w:rPr>
                <w:rFonts w:ascii="Arial" w:eastAsia="黑体" w:hAnsi="Arial" w:cs="Arial"/>
                <w:b/>
                <w:bCs/>
                <w:sz w:val="16"/>
                <w:szCs w:val="16"/>
              </w:rPr>
            </w:pPr>
          </w:p>
        </w:tc>
        <w:tc>
          <w:tcPr>
            <w:tcW w:w="784" w:type="dxa"/>
            <w:tcBorders>
              <w:top w:val="nil"/>
              <w:left w:val="nil"/>
              <w:bottom w:val="nil"/>
              <w:right w:val="nil"/>
            </w:tcBorders>
            <w:vAlign w:val="bottom"/>
          </w:tcPr>
          <w:p w:rsidR="00AD5BB5" w:rsidRDefault="00F87FF6">
            <w:pPr>
              <w:autoSpaceDE w:val="0"/>
              <w:autoSpaceDN w:val="0"/>
              <w:jc w:val="center"/>
              <w:rPr>
                <w:rFonts w:ascii="Arial" w:eastAsia="黑体" w:hAnsi="Arial" w:cs="Arial"/>
                <w:b/>
                <w:bCs/>
                <w:sz w:val="16"/>
                <w:szCs w:val="16"/>
                <w:u w:val="single"/>
              </w:rPr>
            </w:pPr>
            <w:r>
              <w:rPr>
                <w:rFonts w:ascii="Arial" w:eastAsia="黑体" w:hAnsi="Arial" w:cs="Arial"/>
                <w:b/>
                <w:bCs/>
                <w:sz w:val="16"/>
                <w:szCs w:val="16"/>
                <w:u w:val="single"/>
              </w:rPr>
              <w:t>附注五</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u w:val="single"/>
              </w:rPr>
            </w:pPr>
            <w:r>
              <w:rPr>
                <w:rFonts w:ascii="Arial" w:eastAsia="黑体" w:hAnsi="Arial" w:cs="Arial"/>
                <w:sz w:val="16"/>
                <w:szCs w:val="16"/>
                <w:u w:val="single"/>
              </w:rPr>
              <w:fldChar w:fldCharType="begin"/>
            </w:r>
            <w:r>
              <w:rPr>
                <w:rFonts w:ascii="Arial" w:eastAsia="黑体" w:hAnsi="Arial" w:cs="Arial"/>
                <w:sz w:val="16"/>
                <w:szCs w:val="16"/>
                <w:u w:val="single"/>
              </w:rPr>
              <w:instrText xml:space="preserve">DOCPROPERTY </w:instrText>
            </w:r>
            <w:r>
              <w:rPr>
                <w:rFonts w:ascii="Arial" w:eastAsia="黑体" w:hAnsi="Arial" w:cs="Arial"/>
                <w:sz w:val="16"/>
                <w:szCs w:val="16"/>
                <w:u w:val="single"/>
              </w:rPr>
              <w:instrText>当期会计期间</w:instrText>
            </w:r>
            <w:r>
              <w:rPr>
                <w:rFonts w:ascii="Arial" w:eastAsia="黑体" w:hAnsi="Arial" w:cs="Arial"/>
                <w:sz w:val="16"/>
                <w:szCs w:val="16"/>
                <w:u w:val="single"/>
              </w:rPr>
              <w:fldChar w:fldCharType="separate"/>
            </w:r>
            <w:r>
              <w:rPr>
                <w:rFonts w:ascii="Arial" w:eastAsia="黑体" w:hAnsi="Arial" w:cs="Arial"/>
                <w:sz w:val="16"/>
                <w:szCs w:val="16"/>
                <w:u w:val="single"/>
              </w:rPr>
              <w:t>2023</w:t>
            </w:r>
            <w:r>
              <w:rPr>
                <w:rFonts w:ascii="Arial" w:eastAsia="黑体" w:hAnsi="Arial" w:cs="Arial"/>
                <w:sz w:val="16"/>
                <w:szCs w:val="16"/>
                <w:u w:val="single"/>
              </w:rPr>
              <w:fldChar w:fldCharType="end"/>
            </w:r>
            <w:r>
              <w:rPr>
                <w:rFonts w:ascii="Arial" w:eastAsia="黑体" w:hAnsi="Arial" w:cs="Arial"/>
                <w:sz w:val="16"/>
                <w:szCs w:val="16"/>
                <w:u w:val="single"/>
              </w:rPr>
              <w:t>年</w:t>
            </w:r>
            <w:r>
              <w:rPr>
                <w:rFonts w:ascii="Arial" w:eastAsia="黑体" w:hAnsi="Arial" w:cs="Arial"/>
                <w:sz w:val="16"/>
                <w:szCs w:val="16"/>
                <w:u w:val="single"/>
              </w:rPr>
              <w:t>1-6</w:t>
            </w:r>
            <w:r>
              <w:rPr>
                <w:rFonts w:ascii="Arial" w:eastAsia="黑体" w:hAnsi="Arial" w:cs="Arial"/>
                <w:sz w:val="16"/>
                <w:szCs w:val="16"/>
                <w:u w:val="single"/>
              </w:rPr>
              <w:t>月</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u w:val="single"/>
              </w:rPr>
            </w:pPr>
            <w:r>
              <w:rPr>
                <w:rFonts w:ascii="Arial" w:eastAsia="黑体" w:hAnsi="Arial" w:cs="Arial"/>
                <w:sz w:val="16"/>
                <w:szCs w:val="16"/>
                <w:u w:val="single"/>
              </w:rPr>
              <w:fldChar w:fldCharType="begin"/>
            </w:r>
            <w:r>
              <w:rPr>
                <w:rFonts w:ascii="Arial" w:eastAsia="黑体" w:hAnsi="Arial" w:cs="Arial"/>
                <w:sz w:val="16"/>
                <w:szCs w:val="16"/>
                <w:u w:val="single"/>
              </w:rPr>
              <w:instrText xml:space="preserve">DOCPROPERTY </w:instrText>
            </w:r>
            <w:r>
              <w:rPr>
                <w:rFonts w:ascii="Arial" w:eastAsia="黑体" w:hAnsi="Arial" w:cs="Arial"/>
                <w:sz w:val="16"/>
                <w:szCs w:val="16"/>
                <w:u w:val="single"/>
              </w:rPr>
              <w:instrText>对比会计期间</w:instrText>
            </w:r>
            <w:r>
              <w:rPr>
                <w:rFonts w:ascii="Arial" w:eastAsia="黑体" w:hAnsi="Arial" w:cs="Arial"/>
                <w:sz w:val="16"/>
                <w:szCs w:val="16"/>
                <w:u w:val="single"/>
              </w:rPr>
              <w:fldChar w:fldCharType="separate"/>
            </w:r>
            <w:r>
              <w:rPr>
                <w:rFonts w:ascii="Arial" w:eastAsia="黑体" w:hAnsi="Arial" w:cs="Arial"/>
                <w:sz w:val="16"/>
                <w:szCs w:val="16"/>
                <w:u w:val="single"/>
              </w:rPr>
              <w:t>2022</w:t>
            </w:r>
            <w:r>
              <w:rPr>
                <w:rFonts w:ascii="Arial" w:eastAsia="黑体" w:hAnsi="Arial" w:cs="Arial"/>
                <w:sz w:val="16"/>
                <w:szCs w:val="16"/>
                <w:u w:val="single"/>
              </w:rPr>
              <w:fldChar w:fldCharType="end"/>
            </w:r>
            <w:r>
              <w:rPr>
                <w:rFonts w:ascii="Arial" w:eastAsia="黑体" w:hAnsi="Arial" w:cs="Arial"/>
                <w:sz w:val="16"/>
                <w:szCs w:val="16"/>
                <w:u w:val="single"/>
              </w:rPr>
              <w:t>年</w:t>
            </w:r>
            <w:r>
              <w:rPr>
                <w:rFonts w:ascii="Arial" w:eastAsia="黑体" w:hAnsi="Arial" w:cs="Arial"/>
                <w:sz w:val="16"/>
                <w:szCs w:val="16"/>
                <w:u w:val="single"/>
              </w:rPr>
              <w:t>1-6</w:t>
            </w:r>
            <w:r>
              <w:rPr>
                <w:rFonts w:ascii="Arial" w:eastAsia="黑体" w:hAnsi="Arial" w:cs="Arial"/>
                <w:sz w:val="16"/>
                <w:szCs w:val="16"/>
                <w:u w:val="single"/>
              </w:rPr>
              <w:t>月</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F87FF6">
            <w:pPr>
              <w:autoSpaceDE w:val="0"/>
              <w:autoSpaceDN w:val="0"/>
              <w:rPr>
                <w:rFonts w:ascii="Arial" w:eastAsia="黑体" w:hAnsi="Arial" w:cs="Arial"/>
                <w:b/>
                <w:bCs/>
                <w:sz w:val="16"/>
                <w:szCs w:val="16"/>
              </w:rPr>
            </w:pPr>
            <w:r>
              <w:rPr>
                <w:rFonts w:ascii="Arial" w:eastAsia="黑体" w:hAnsi="Arial" w:cs="Arial"/>
                <w:b/>
                <w:bCs/>
                <w:sz w:val="16"/>
                <w:szCs w:val="16"/>
              </w:rPr>
              <w:t>一、</w:t>
            </w:r>
          </w:p>
        </w:tc>
        <w:tc>
          <w:tcPr>
            <w:tcW w:w="3638" w:type="dxa"/>
            <w:tcBorders>
              <w:top w:val="nil"/>
              <w:left w:val="nil"/>
              <w:bottom w:val="nil"/>
              <w:right w:val="nil"/>
            </w:tcBorders>
            <w:vAlign w:val="bottom"/>
          </w:tcPr>
          <w:p w:rsidR="00AD5BB5" w:rsidRDefault="00F87FF6">
            <w:pPr>
              <w:autoSpaceDE w:val="0"/>
              <w:autoSpaceDN w:val="0"/>
              <w:ind w:left="161" w:hangingChars="100" w:hanging="161"/>
              <w:rPr>
                <w:rFonts w:ascii="Arial" w:eastAsia="黑体" w:hAnsi="Arial" w:cs="Arial"/>
                <w:b/>
                <w:bCs/>
                <w:sz w:val="16"/>
                <w:szCs w:val="16"/>
              </w:rPr>
            </w:pPr>
            <w:r>
              <w:rPr>
                <w:rFonts w:ascii="Arial" w:eastAsia="黑体" w:hAnsi="Arial" w:cs="Arial"/>
                <w:b/>
                <w:bCs/>
                <w:sz w:val="16"/>
                <w:szCs w:val="16"/>
              </w:rPr>
              <w:t>经营活动产生的现金流量</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吸收存款净增加额</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28,244,201,340.54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b/>
                <w:bCs/>
                <w:color w:val="000000"/>
                <w:sz w:val="16"/>
                <w:szCs w:val="16"/>
              </w:rPr>
            </w:pPr>
          </w:p>
        </w:tc>
        <w:tc>
          <w:tcPr>
            <w:tcW w:w="3638" w:type="dxa"/>
            <w:tcBorders>
              <w:top w:val="nil"/>
              <w:left w:val="nil"/>
              <w:bottom w:val="nil"/>
              <w:right w:val="nil"/>
            </w:tcBorders>
            <w:vAlign w:val="bottom"/>
          </w:tcPr>
          <w:p w:rsidR="00AD5BB5" w:rsidRDefault="00F87FF6">
            <w:pPr>
              <w:autoSpaceDE w:val="0"/>
              <w:autoSpaceDN w:val="0"/>
              <w:ind w:left="240" w:hangingChars="150" w:hanging="240"/>
              <w:rPr>
                <w:rFonts w:ascii="Arial" w:eastAsia="黑体" w:hAnsi="Arial" w:cs="Arial"/>
                <w:b/>
                <w:bCs/>
                <w:color w:val="000000"/>
                <w:sz w:val="16"/>
                <w:szCs w:val="16"/>
              </w:rPr>
            </w:pPr>
            <w:r>
              <w:rPr>
                <w:rFonts w:ascii="Arial" w:eastAsia="黑体" w:hAnsi="Arial" w:cs="Arial"/>
                <w:sz w:val="16"/>
              </w:rPr>
              <w:t>存放中央银行款项净减少额</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color w:val="000000"/>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b/>
                <w:color w:val="000000"/>
                <w:sz w:val="16"/>
                <w:szCs w:val="16"/>
              </w:rPr>
            </w:pPr>
            <w:r>
              <w:rPr>
                <w:rFonts w:ascii="Arial" w:eastAsia="黑体" w:hAnsi="Arial" w:cs="Arial"/>
                <w:sz w:val="16"/>
              </w:rPr>
              <w:t>2,214,472,749.53</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color w:val="000000"/>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b/>
                <w:color w:val="000000"/>
                <w:sz w:val="16"/>
                <w:szCs w:val="16"/>
              </w:rPr>
            </w:pPr>
            <w:r>
              <w:rPr>
                <w:rFonts w:ascii="Arial" w:eastAsia="黑体" w:hAnsi="Arial" w:cs="Arial"/>
                <w:sz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向中央银行借款净增加额</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93,160,000.00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拆入资金净增加额</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1,747,823,957.07</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3,736,958,348.03</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为交易目的而持有的金融资产净减少额</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220,726,775.70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3,475,839,776.12</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存放同业及其他金融机构款项净减少额</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1,411,608,708.01</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5,600,794,920.24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同业及其他金融机构存放款项净增加额</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2,082,562,381.85</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收取的利息、手续费及佣金的现金</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5,458,562,462.51</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5,385,676,384.18</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收到其他与经营活动有关的现金</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1,783,168,371.76</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41,006,013.83</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1" w:hangingChars="150" w:hanging="241"/>
              <w:rPr>
                <w:rFonts w:ascii="Arial" w:eastAsia="黑体" w:hAnsi="Arial" w:cs="Arial"/>
                <w:b/>
                <w:bCs/>
                <w:sz w:val="16"/>
                <w:szCs w:val="16"/>
              </w:rPr>
            </w:pP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1" w:hangingChars="100" w:hanging="161"/>
              <w:rPr>
                <w:rFonts w:ascii="Arial" w:eastAsia="黑体" w:hAnsi="Arial" w:cs="Arial"/>
                <w:b/>
                <w:bCs/>
                <w:sz w:val="16"/>
                <w:szCs w:val="16"/>
              </w:rPr>
            </w:pPr>
            <w:r>
              <w:rPr>
                <w:rFonts w:ascii="Arial" w:eastAsia="黑体" w:hAnsi="Arial" w:cs="Arial"/>
                <w:b/>
                <w:bCs/>
                <w:sz w:val="16"/>
                <w:szCs w:val="16"/>
              </w:rPr>
              <w:t>经营活动现金流入小计</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rPr>
              <w:t>12,836,363,024.58</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szCs w:val="16"/>
              </w:rPr>
              <w:t>48,660,199,164.79</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吸收存款净减少额</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(19,790,553,434.26</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发放贷款及垫款净增加额</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(1,485,247,085.26</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(10,007,107,264.25</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向中央银行借款净减少额</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(535,870,000.00</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存放中央银行款项净增加额</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(2,429,300,889.94</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拆出资金净增加额</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(3,757,000,000.00</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(2,697,000,000.00</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同业及其他金融机构存放款项净减少</w:t>
            </w:r>
            <w:r>
              <w:rPr>
                <w:rFonts w:ascii="Arial" w:eastAsia="黑体" w:hAnsi="Arial" w:cs="Arial" w:hint="eastAsia"/>
                <w:sz w:val="16"/>
                <w:szCs w:val="16"/>
              </w:rPr>
              <w:t>额</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(3,353,366,811.53</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卖出回购</w:t>
            </w:r>
            <w:proofErr w:type="gramStart"/>
            <w:r>
              <w:rPr>
                <w:rFonts w:ascii="Arial" w:eastAsia="黑体" w:hAnsi="Arial" w:cs="Arial"/>
                <w:sz w:val="16"/>
                <w:szCs w:val="16"/>
              </w:rPr>
              <w:t>金融资产款净减少</w:t>
            </w:r>
            <w:proofErr w:type="gramEnd"/>
            <w:r>
              <w:rPr>
                <w:rFonts w:ascii="Arial" w:eastAsia="黑体" w:hAnsi="Arial" w:cs="Arial"/>
                <w:sz w:val="16"/>
                <w:szCs w:val="16"/>
              </w:rPr>
              <w:t>额</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(6,560,299,855.79</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(10,871,454,942.32</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支付利息、手续费及佣金的现金</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(2,648,058,070.54</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(2,589,158,120.90</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支付给职工以及为职工支付的现金</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(792,499,196.02</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(689,628,130.54</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支付的各项税费</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(408,885,853.94</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(487,934,422.78</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支付其他与经营活动有关的现金</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(936,152,740.68</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(1,409,492,851.82</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1" w:hangingChars="150" w:hanging="241"/>
              <w:rPr>
                <w:rFonts w:ascii="Arial" w:eastAsia="黑体" w:hAnsi="Arial" w:cs="Arial"/>
                <w:b/>
                <w:bCs/>
                <w:sz w:val="16"/>
                <w:szCs w:val="16"/>
              </w:rPr>
            </w:pP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1" w:hangingChars="100" w:hanging="161"/>
              <w:rPr>
                <w:rFonts w:ascii="Arial" w:eastAsia="黑体" w:hAnsi="Arial" w:cs="Arial"/>
                <w:b/>
                <w:bCs/>
                <w:sz w:val="16"/>
                <w:szCs w:val="16"/>
              </w:rPr>
            </w:pPr>
            <w:r>
              <w:rPr>
                <w:rFonts w:ascii="Arial" w:eastAsia="黑体" w:hAnsi="Arial" w:cs="Arial"/>
                <w:b/>
                <w:bCs/>
                <w:sz w:val="16"/>
                <w:szCs w:val="16"/>
              </w:rPr>
              <w:t>经营活动现金流出小计</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hint="eastAsia"/>
                <w:b/>
                <w:bCs/>
                <w:sz w:val="16"/>
              </w:rPr>
              <w:t>(40,267,933,048.02</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b/>
                <w:bCs/>
                <w:sz w:val="16"/>
                <w:szCs w:val="16"/>
              </w:rPr>
            </w:pPr>
            <w:r>
              <w:rPr>
                <w:rFonts w:ascii="Arial" w:eastAsia="黑体" w:hAnsi="Arial" w:cs="Arial"/>
                <w:b/>
                <w:bCs/>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szCs w:val="16"/>
              </w:rPr>
              <w:t>(31,181,076,622.55</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1" w:hangingChars="150" w:hanging="241"/>
              <w:rPr>
                <w:rFonts w:ascii="Arial" w:eastAsia="黑体" w:hAnsi="Arial" w:cs="Arial"/>
                <w:b/>
                <w:bCs/>
                <w:sz w:val="16"/>
                <w:szCs w:val="16"/>
              </w:rPr>
            </w:pP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1" w:hangingChars="100" w:hanging="161"/>
              <w:rPr>
                <w:rFonts w:ascii="Arial" w:eastAsia="黑体" w:hAnsi="Arial" w:cs="Arial"/>
                <w:b/>
                <w:bCs/>
                <w:sz w:val="16"/>
                <w:szCs w:val="16"/>
              </w:rPr>
            </w:pPr>
            <w:r>
              <w:rPr>
                <w:rFonts w:ascii="Arial" w:eastAsia="黑体" w:hAnsi="Arial" w:cs="Arial"/>
                <w:b/>
                <w:bCs/>
                <w:sz w:val="16"/>
                <w:szCs w:val="16"/>
              </w:rPr>
              <w:t>经营活动（使用）</w:t>
            </w:r>
            <w:r>
              <w:rPr>
                <w:rFonts w:ascii="Arial" w:eastAsia="黑体" w:hAnsi="Arial" w:cs="Arial"/>
                <w:b/>
                <w:bCs/>
                <w:sz w:val="16"/>
                <w:szCs w:val="16"/>
              </w:rPr>
              <w:t>/</w:t>
            </w:r>
            <w:r>
              <w:rPr>
                <w:rFonts w:ascii="Arial" w:eastAsia="黑体" w:hAnsi="Arial" w:cs="Arial"/>
                <w:b/>
                <w:bCs/>
                <w:sz w:val="16"/>
                <w:szCs w:val="16"/>
              </w:rPr>
              <w:t>产生的现金流量净额</w:t>
            </w:r>
          </w:p>
        </w:tc>
        <w:tc>
          <w:tcPr>
            <w:tcW w:w="784"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hint="eastAsia"/>
                <w:sz w:val="16"/>
                <w:szCs w:val="16"/>
              </w:rPr>
              <w:t>4</w:t>
            </w:r>
            <w:r>
              <w:rPr>
                <w:rFonts w:ascii="Arial" w:eastAsia="黑体" w:hAnsi="Arial" w:cs="Arial"/>
                <w:sz w:val="16"/>
                <w:szCs w:val="16"/>
              </w:rPr>
              <w:t>7</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hint="eastAsia"/>
                <w:b/>
                <w:bCs/>
                <w:sz w:val="16"/>
              </w:rPr>
              <w:t>(27,431,570,023.44</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b/>
                <w:bCs/>
                <w:sz w:val="16"/>
                <w:szCs w:val="16"/>
              </w:rPr>
            </w:pPr>
            <w:r>
              <w:rPr>
                <w:rFonts w:ascii="Arial" w:eastAsia="黑体" w:hAnsi="Arial" w:cs="Arial"/>
                <w:b/>
                <w:bCs/>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szCs w:val="16"/>
              </w:rPr>
              <w:t>17,479,122,542.24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3638" w:type="dxa"/>
            <w:tcBorders>
              <w:top w:val="nil"/>
              <w:left w:val="nil"/>
              <w:bottom w:val="nil"/>
              <w:right w:val="nil"/>
            </w:tcBorders>
            <w:vAlign w:val="bottom"/>
          </w:tcPr>
          <w:p w:rsidR="00AD5BB5" w:rsidRDefault="00AD5BB5">
            <w:pPr>
              <w:autoSpaceDE w:val="0"/>
              <w:autoSpaceDN w:val="0"/>
              <w:ind w:left="241" w:hangingChars="150" w:hanging="241"/>
              <w:rPr>
                <w:rFonts w:ascii="Arial" w:eastAsia="黑体" w:hAnsi="Arial" w:cs="Arial"/>
                <w:b/>
                <w:bCs/>
                <w:sz w:val="16"/>
                <w:szCs w:val="16"/>
              </w:rPr>
            </w:pP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F87FF6">
            <w:pPr>
              <w:autoSpaceDE w:val="0"/>
              <w:autoSpaceDN w:val="0"/>
              <w:rPr>
                <w:rFonts w:ascii="Arial" w:eastAsia="黑体" w:hAnsi="Arial" w:cs="Arial"/>
                <w:b/>
                <w:bCs/>
                <w:sz w:val="16"/>
                <w:szCs w:val="16"/>
              </w:rPr>
            </w:pPr>
            <w:r>
              <w:rPr>
                <w:rFonts w:ascii="Arial" w:eastAsia="黑体" w:hAnsi="Arial" w:cs="Arial"/>
                <w:b/>
                <w:bCs/>
                <w:sz w:val="16"/>
                <w:szCs w:val="16"/>
              </w:rPr>
              <w:t>二、</w:t>
            </w:r>
          </w:p>
        </w:tc>
        <w:tc>
          <w:tcPr>
            <w:tcW w:w="3638" w:type="dxa"/>
            <w:tcBorders>
              <w:top w:val="nil"/>
              <w:left w:val="nil"/>
              <w:bottom w:val="nil"/>
              <w:right w:val="nil"/>
            </w:tcBorders>
            <w:vAlign w:val="bottom"/>
          </w:tcPr>
          <w:p w:rsidR="00AD5BB5" w:rsidRDefault="00F87FF6">
            <w:pPr>
              <w:autoSpaceDE w:val="0"/>
              <w:autoSpaceDN w:val="0"/>
              <w:ind w:left="161" w:hangingChars="100" w:hanging="161"/>
              <w:rPr>
                <w:rFonts w:ascii="Arial" w:eastAsia="黑体" w:hAnsi="Arial" w:cs="Arial"/>
                <w:b/>
                <w:bCs/>
                <w:sz w:val="16"/>
                <w:szCs w:val="16"/>
              </w:rPr>
            </w:pPr>
            <w:r>
              <w:rPr>
                <w:rFonts w:ascii="Arial" w:eastAsia="黑体" w:hAnsi="Arial" w:cs="Arial"/>
                <w:b/>
                <w:bCs/>
                <w:sz w:val="16"/>
                <w:szCs w:val="16"/>
              </w:rPr>
              <w:t>投资活动产生的现金流量</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收回投资收到的现金</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30,919,774,015.40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233,093,640,135.42</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取得投资收益收到的现金</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439,904,020.05</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555,208,312.42</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6" w:hangingChars="104" w:hanging="166"/>
              <w:rPr>
                <w:rFonts w:ascii="Arial" w:eastAsia="黑体" w:hAnsi="Arial" w:cs="Arial"/>
                <w:sz w:val="16"/>
                <w:szCs w:val="16"/>
              </w:rPr>
            </w:pPr>
            <w:r>
              <w:rPr>
                <w:rFonts w:ascii="Arial" w:eastAsia="黑体" w:hAnsi="Arial" w:cs="Arial"/>
                <w:sz w:val="16"/>
                <w:szCs w:val="16"/>
              </w:rPr>
              <w:t>处置固定资产、无形资产和其他长期资产</w:t>
            </w:r>
            <w:r>
              <w:rPr>
                <w:rFonts w:ascii="Arial" w:eastAsia="黑体" w:hAnsi="Arial" w:cs="Arial" w:hint="eastAsia"/>
                <w:sz w:val="16"/>
                <w:szCs w:val="16"/>
              </w:rPr>
              <w:t>收回</w:t>
            </w:r>
            <w:r>
              <w:rPr>
                <w:rFonts w:ascii="Arial" w:eastAsia="黑体" w:hAnsi="Arial" w:cs="Arial"/>
                <w:sz w:val="16"/>
                <w:szCs w:val="16"/>
              </w:rPr>
              <w:t>的</w:t>
            </w:r>
          </w:p>
          <w:p w:rsidR="00AD5BB5" w:rsidRDefault="00F87FF6">
            <w:pPr>
              <w:autoSpaceDE w:val="0"/>
              <w:autoSpaceDN w:val="0"/>
              <w:ind w:leftChars="100" w:left="216" w:hangingChars="4" w:hanging="6"/>
              <w:rPr>
                <w:rFonts w:ascii="Arial" w:eastAsia="黑体" w:hAnsi="Arial" w:cs="Arial"/>
                <w:sz w:val="16"/>
                <w:szCs w:val="16"/>
              </w:rPr>
            </w:pPr>
            <w:r>
              <w:rPr>
                <w:rFonts w:ascii="Arial" w:eastAsia="黑体" w:hAnsi="Arial" w:cs="Arial"/>
                <w:sz w:val="16"/>
                <w:szCs w:val="16"/>
              </w:rPr>
              <w:t>现金净额</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14,121,905.02</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7,345,268.77</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1" w:hangingChars="150" w:hanging="241"/>
              <w:rPr>
                <w:rFonts w:ascii="Arial" w:eastAsia="黑体" w:hAnsi="Arial" w:cs="Arial"/>
                <w:b/>
                <w:bCs/>
                <w:sz w:val="16"/>
                <w:szCs w:val="16"/>
              </w:rPr>
            </w:pP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1" w:hangingChars="100" w:hanging="161"/>
              <w:rPr>
                <w:rFonts w:ascii="Arial" w:eastAsia="黑体" w:hAnsi="Arial" w:cs="Arial"/>
                <w:b/>
                <w:bCs/>
                <w:sz w:val="16"/>
                <w:szCs w:val="16"/>
              </w:rPr>
            </w:pPr>
            <w:r>
              <w:rPr>
                <w:rFonts w:ascii="Arial" w:eastAsia="黑体" w:hAnsi="Arial" w:cs="Arial"/>
                <w:b/>
                <w:bCs/>
                <w:sz w:val="16"/>
                <w:szCs w:val="16"/>
              </w:rPr>
              <w:t>投资活动现金流入小计</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31,373,799,940.47</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233,656,193,716.61</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投资支付的现金</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(32,596,426,719.91</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(242,023,266,039.68</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购建固定资产、无形资产和其他长期资产</w:t>
            </w:r>
          </w:p>
          <w:p w:rsidR="00AD5BB5" w:rsidRDefault="00F87FF6">
            <w:pPr>
              <w:autoSpaceDE w:val="0"/>
              <w:autoSpaceDN w:val="0"/>
              <w:ind w:leftChars="64" w:left="294" w:hangingChars="100" w:hanging="160"/>
              <w:rPr>
                <w:rFonts w:ascii="Arial" w:eastAsia="黑体" w:hAnsi="Arial" w:cs="Arial"/>
                <w:sz w:val="16"/>
                <w:szCs w:val="16"/>
              </w:rPr>
            </w:pPr>
            <w:r>
              <w:rPr>
                <w:rFonts w:ascii="Arial" w:eastAsia="黑体" w:hAnsi="Arial" w:cs="Arial"/>
                <w:sz w:val="16"/>
                <w:szCs w:val="16"/>
              </w:rPr>
              <w:t>支付的现金</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(160,564,847.31</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(194,145,386.99</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1" w:hangingChars="150" w:hanging="241"/>
              <w:rPr>
                <w:rFonts w:ascii="Arial" w:eastAsia="黑体" w:hAnsi="Arial" w:cs="Arial"/>
                <w:b/>
                <w:bCs/>
                <w:sz w:val="16"/>
                <w:szCs w:val="16"/>
              </w:rPr>
            </w:pP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1" w:hangingChars="100" w:hanging="161"/>
              <w:rPr>
                <w:rFonts w:ascii="Arial" w:eastAsia="黑体" w:hAnsi="Arial" w:cs="Arial"/>
                <w:b/>
                <w:bCs/>
                <w:sz w:val="16"/>
                <w:szCs w:val="16"/>
              </w:rPr>
            </w:pPr>
            <w:r>
              <w:rPr>
                <w:rFonts w:ascii="Arial" w:eastAsia="黑体" w:hAnsi="Arial" w:cs="Arial"/>
                <w:b/>
                <w:bCs/>
                <w:sz w:val="16"/>
                <w:szCs w:val="16"/>
              </w:rPr>
              <w:t>投资活动现金流出小计</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szCs w:val="16"/>
              </w:rPr>
              <w:t>(32,756,991,567.22</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b/>
                <w:bCs/>
                <w:sz w:val="16"/>
                <w:szCs w:val="16"/>
              </w:rPr>
            </w:pPr>
            <w:r>
              <w:rPr>
                <w:rFonts w:ascii="Arial" w:eastAsia="黑体" w:hAnsi="Arial" w:cs="Arial"/>
                <w:b/>
                <w:bCs/>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szCs w:val="16"/>
              </w:rPr>
              <w:t>(242,217,411,426.67</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b/>
                <w:bCs/>
                <w:sz w:val="16"/>
                <w:szCs w:val="16"/>
              </w:rPr>
            </w:pPr>
            <w:r>
              <w:rPr>
                <w:rFonts w:ascii="Arial" w:eastAsia="黑体" w:hAnsi="Arial" w:cs="Arial"/>
                <w:b/>
                <w:bCs/>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1" w:hangingChars="150" w:hanging="241"/>
              <w:rPr>
                <w:rFonts w:ascii="Arial" w:eastAsia="黑体" w:hAnsi="Arial" w:cs="Arial"/>
                <w:b/>
                <w:bCs/>
                <w:sz w:val="16"/>
                <w:szCs w:val="16"/>
              </w:rPr>
            </w:pP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1" w:hangingChars="100" w:hanging="161"/>
              <w:rPr>
                <w:rFonts w:ascii="Arial" w:eastAsia="黑体" w:hAnsi="Arial" w:cs="Arial"/>
                <w:b/>
                <w:bCs/>
                <w:sz w:val="16"/>
                <w:szCs w:val="16"/>
              </w:rPr>
            </w:pPr>
            <w:r>
              <w:rPr>
                <w:rFonts w:ascii="Arial" w:eastAsia="黑体" w:hAnsi="Arial" w:cs="Arial"/>
                <w:b/>
                <w:bCs/>
                <w:sz w:val="16"/>
              </w:rPr>
              <w:t>投资活动使用的现金流量净额</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rPr>
              <w:t>(1,383,191,626.75</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b/>
                <w:bCs/>
                <w:sz w:val="16"/>
                <w:szCs w:val="16"/>
              </w:rPr>
            </w:pPr>
            <w:r>
              <w:rPr>
                <w:rFonts w:ascii="Arial" w:eastAsia="黑体" w:hAnsi="Arial" w:cs="Arial"/>
                <w:b/>
                <w:bCs/>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szCs w:val="16"/>
              </w:rPr>
              <w:t>(8,561,217,710.06</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b/>
                <w:bCs/>
                <w:sz w:val="16"/>
                <w:szCs w:val="16"/>
              </w:rPr>
            </w:pPr>
            <w:r>
              <w:rPr>
                <w:rFonts w:ascii="Arial" w:eastAsia="黑体" w:hAnsi="Arial" w:cs="Arial"/>
                <w:b/>
                <w:bCs/>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3638" w:type="dxa"/>
            <w:tcBorders>
              <w:top w:val="nil"/>
              <w:left w:val="nil"/>
              <w:bottom w:val="nil"/>
              <w:right w:val="nil"/>
            </w:tcBorders>
            <w:vAlign w:val="bottom"/>
          </w:tcPr>
          <w:p w:rsidR="00AD5BB5" w:rsidRDefault="00AD5BB5">
            <w:pPr>
              <w:autoSpaceDE w:val="0"/>
              <w:autoSpaceDN w:val="0"/>
              <w:ind w:left="241" w:hangingChars="150" w:hanging="241"/>
              <w:rPr>
                <w:rFonts w:ascii="Arial" w:eastAsia="黑体" w:hAnsi="Arial" w:cs="Arial"/>
                <w:b/>
                <w:bCs/>
                <w:sz w:val="16"/>
                <w:szCs w:val="16"/>
              </w:rPr>
            </w:pP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bl>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F87FF6">
      <w:pPr>
        <w:rPr>
          <w:rFonts w:ascii="Arial" w:hAnsi="Arial" w:cs="Arial"/>
        </w:rPr>
      </w:pPr>
      <w:r>
        <w:rPr>
          <w:rFonts w:ascii="Arial" w:eastAsia="黑体" w:hAnsi="Arial" w:cs="Arial"/>
          <w:i/>
          <w:sz w:val="20"/>
        </w:rPr>
        <w:t>后附财务报表附注为本财务报表的组成部分</w:t>
      </w:r>
      <w:r>
        <w:rPr>
          <w:rFonts w:ascii="Arial" w:hAnsi="Arial" w:cs="Arial"/>
        </w:rPr>
        <w:br w:type="page"/>
      </w:r>
    </w:p>
    <w:p w:rsidR="00AD5BB5" w:rsidRDefault="00AD5BB5">
      <w:pPr>
        <w:rPr>
          <w:rFonts w:ascii="Arial" w:eastAsia="黑体" w:hAnsi="Arial" w:cs="Arial"/>
          <w:sz w:val="22"/>
        </w:rPr>
      </w:pPr>
    </w:p>
    <w:p w:rsidR="00AD5BB5" w:rsidRDefault="00AD5BB5">
      <w:pPr>
        <w:rPr>
          <w:rFonts w:ascii="Arial" w:eastAsia="黑体" w:hAnsi="Arial" w:cs="Arial"/>
          <w:sz w:val="22"/>
        </w:rPr>
      </w:pPr>
    </w:p>
    <w:tbl>
      <w:tblPr>
        <w:tblW w:w="0" w:type="auto"/>
        <w:tblLayout w:type="fixed"/>
        <w:tblCellMar>
          <w:left w:w="0" w:type="dxa"/>
          <w:right w:w="0" w:type="dxa"/>
        </w:tblCellMar>
        <w:tblLook w:val="04A0" w:firstRow="1" w:lastRow="0" w:firstColumn="1" w:lastColumn="0" w:noHBand="0" w:noVBand="1"/>
        <w:tblCaption w:val="1488f529-d7d2-4ca9-a174-600e3086ff76"/>
        <w:tblDescription w:val="{&quot;UUID&quot;:&quot;afsaddin_tabledata_2_56437_1488f529-d7d2-4ca9-a174-600e3086ff76&quot;,&quot;TitleRowCount&quot;:2,&quot;SplitedTable&quot;:true,&quot;FirstTableId&quot;:&quot;ce30f4bd-6840-4092-921b-5f5b41a53a4a&quot;}"/>
      </w:tblPr>
      <w:tblGrid>
        <w:gridCol w:w="324"/>
        <w:gridCol w:w="3638"/>
        <w:gridCol w:w="784"/>
        <w:gridCol w:w="110"/>
        <w:gridCol w:w="1622"/>
        <w:gridCol w:w="110"/>
        <w:gridCol w:w="110"/>
        <w:gridCol w:w="1628"/>
        <w:gridCol w:w="110"/>
      </w:tblGrid>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1" w:hangingChars="150" w:hanging="241"/>
              <w:rPr>
                <w:rFonts w:ascii="Arial" w:eastAsia="黑体" w:hAnsi="Arial" w:cs="Arial"/>
                <w:b/>
                <w:bCs/>
                <w:sz w:val="16"/>
                <w:szCs w:val="16"/>
              </w:rPr>
            </w:pPr>
          </w:p>
        </w:tc>
        <w:tc>
          <w:tcPr>
            <w:tcW w:w="784" w:type="dxa"/>
            <w:tcBorders>
              <w:top w:val="nil"/>
              <w:left w:val="nil"/>
              <w:bottom w:val="nil"/>
              <w:right w:val="nil"/>
            </w:tcBorders>
            <w:vAlign w:val="bottom"/>
          </w:tcPr>
          <w:p w:rsidR="00AD5BB5" w:rsidRDefault="00F87FF6">
            <w:pPr>
              <w:autoSpaceDE w:val="0"/>
              <w:autoSpaceDN w:val="0"/>
              <w:jc w:val="center"/>
              <w:rPr>
                <w:rFonts w:ascii="Arial" w:eastAsia="黑体" w:hAnsi="Arial" w:cs="Arial"/>
                <w:b/>
                <w:bCs/>
                <w:sz w:val="16"/>
                <w:szCs w:val="16"/>
                <w:u w:val="single"/>
              </w:rPr>
            </w:pPr>
            <w:r>
              <w:rPr>
                <w:rFonts w:ascii="Arial" w:eastAsia="黑体" w:hAnsi="Arial" w:cs="Arial"/>
                <w:b/>
                <w:bCs/>
                <w:sz w:val="16"/>
                <w:szCs w:val="16"/>
                <w:u w:val="single"/>
              </w:rPr>
              <w:t>附注五</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u w:val="single"/>
              </w:rPr>
            </w:pPr>
            <w:r>
              <w:rPr>
                <w:rFonts w:ascii="Arial" w:eastAsia="黑体" w:hAnsi="Arial" w:cs="Arial"/>
                <w:sz w:val="16"/>
                <w:szCs w:val="16"/>
                <w:u w:val="single"/>
              </w:rPr>
              <w:fldChar w:fldCharType="begin"/>
            </w:r>
            <w:r>
              <w:rPr>
                <w:rFonts w:ascii="Arial" w:eastAsia="黑体" w:hAnsi="Arial" w:cs="Arial"/>
                <w:sz w:val="16"/>
                <w:szCs w:val="16"/>
                <w:u w:val="single"/>
              </w:rPr>
              <w:instrText xml:space="preserve">DOCPROPERTY </w:instrText>
            </w:r>
            <w:r>
              <w:rPr>
                <w:rFonts w:ascii="Arial" w:eastAsia="黑体" w:hAnsi="Arial" w:cs="Arial"/>
                <w:sz w:val="16"/>
                <w:szCs w:val="16"/>
                <w:u w:val="single"/>
              </w:rPr>
              <w:instrText>当期会计期间</w:instrText>
            </w:r>
            <w:r>
              <w:rPr>
                <w:rFonts w:ascii="Arial" w:eastAsia="黑体" w:hAnsi="Arial" w:cs="Arial"/>
                <w:sz w:val="16"/>
                <w:szCs w:val="16"/>
                <w:u w:val="single"/>
              </w:rPr>
              <w:fldChar w:fldCharType="separate"/>
            </w:r>
            <w:r>
              <w:rPr>
                <w:rFonts w:ascii="Arial" w:eastAsia="黑体" w:hAnsi="Arial" w:cs="Arial"/>
                <w:sz w:val="16"/>
                <w:szCs w:val="16"/>
                <w:u w:val="single"/>
              </w:rPr>
              <w:t>2023</w:t>
            </w:r>
            <w:r>
              <w:rPr>
                <w:rFonts w:ascii="Arial" w:eastAsia="黑体" w:hAnsi="Arial" w:cs="Arial"/>
                <w:sz w:val="16"/>
                <w:szCs w:val="16"/>
                <w:u w:val="single"/>
              </w:rPr>
              <w:fldChar w:fldCharType="end"/>
            </w:r>
            <w:r>
              <w:rPr>
                <w:rFonts w:ascii="Arial" w:eastAsia="黑体" w:hAnsi="Arial" w:cs="Arial"/>
                <w:sz w:val="16"/>
                <w:szCs w:val="16"/>
                <w:u w:val="single"/>
              </w:rPr>
              <w:t>年</w:t>
            </w:r>
            <w:r>
              <w:rPr>
                <w:rFonts w:ascii="Arial" w:eastAsia="黑体" w:hAnsi="Arial" w:cs="Arial"/>
                <w:sz w:val="16"/>
                <w:szCs w:val="16"/>
                <w:u w:val="single"/>
              </w:rPr>
              <w:t>1-6</w:t>
            </w:r>
            <w:r>
              <w:rPr>
                <w:rFonts w:ascii="Arial" w:eastAsia="黑体" w:hAnsi="Arial" w:cs="Arial"/>
                <w:sz w:val="16"/>
                <w:szCs w:val="16"/>
                <w:u w:val="single"/>
              </w:rPr>
              <w:t>月</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u w:val="single"/>
              </w:rPr>
            </w:pPr>
            <w:r>
              <w:rPr>
                <w:rFonts w:ascii="Arial" w:eastAsia="黑体" w:hAnsi="Arial" w:cs="Arial"/>
                <w:sz w:val="16"/>
                <w:szCs w:val="16"/>
                <w:u w:val="single"/>
              </w:rPr>
              <w:fldChar w:fldCharType="begin"/>
            </w:r>
            <w:r>
              <w:rPr>
                <w:rFonts w:ascii="Arial" w:eastAsia="黑体" w:hAnsi="Arial" w:cs="Arial"/>
                <w:sz w:val="16"/>
                <w:szCs w:val="16"/>
                <w:u w:val="single"/>
              </w:rPr>
              <w:instrText xml:space="preserve">DOCPROPERTY </w:instrText>
            </w:r>
            <w:r>
              <w:rPr>
                <w:rFonts w:ascii="Arial" w:eastAsia="黑体" w:hAnsi="Arial" w:cs="Arial"/>
                <w:sz w:val="16"/>
                <w:szCs w:val="16"/>
                <w:u w:val="single"/>
              </w:rPr>
              <w:instrText>对比会计期间</w:instrText>
            </w:r>
            <w:r>
              <w:rPr>
                <w:rFonts w:ascii="Arial" w:eastAsia="黑体" w:hAnsi="Arial" w:cs="Arial"/>
                <w:sz w:val="16"/>
                <w:szCs w:val="16"/>
                <w:u w:val="single"/>
              </w:rPr>
              <w:fldChar w:fldCharType="separate"/>
            </w:r>
            <w:r>
              <w:rPr>
                <w:rFonts w:ascii="Arial" w:eastAsia="黑体" w:hAnsi="Arial" w:cs="Arial"/>
                <w:sz w:val="16"/>
                <w:szCs w:val="16"/>
                <w:u w:val="single"/>
              </w:rPr>
              <w:t>2022</w:t>
            </w:r>
            <w:r>
              <w:rPr>
                <w:rFonts w:ascii="Arial" w:eastAsia="黑体" w:hAnsi="Arial" w:cs="Arial"/>
                <w:sz w:val="16"/>
                <w:szCs w:val="16"/>
                <w:u w:val="single"/>
              </w:rPr>
              <w:fldChar w:fldCharType="end"/>
            </w:r>
            <w:r>
              <w:rPr>
                <w:rFonts w:ascii="Arial" w:eastAsia="黑体" w:hAnsi="Arial" w:cs="Arial"/>
                <w:sz w:val="16"/>
                <w:szCs w:val="16"/>
                <w:u w:val="single"/>
              </w:rPr>
              <w:t>年</w:t>
            </w:r>
            <w:r>
              <w:rPr>
                <w:rFonts w:ascii="Arial" w:eastAsia="黑体" w:hAnsi="Arial" w:cs="Arial"/>
                <w:sz w:val="16"/>
                <w:szCs w:val="16"/>
                <w:u w:val="single"/>
              </w:rPr>
              <w:t>1-6</w:t>
            </w:r>
            <w:r>
              <w:rPr>
                <w:rFonts w:ascii="Arial" w:eastAsia="黑体" w:hAnsi="Arial" w:cs="Arial"/>
                <w:sz w:val="16"/>
                <w:szCs w:val="16"/>
                <w:u w:val="single"/>
              </w:rPr>
              <w:t>月</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F87FF6">
            <w:pPr>
              <w:autoSpaceDE w:val="0"/>
              <w:autoSpaceDN w:val="0"/>
              <w:rPr>
                <w:rFonts w:ascii="Arial" w:eastAsia="黑体" w:hAnsi="Arial" w:cs="Arial"/>
                <w:b/>
                <w:bCs/>
                <w:sz w:val="16"/>
                <w:szCs w:val="16"/>
              </w:rPr>
            </w:pPr>
            <w:r>
              <w:rPr>
                <w:rFonts w:ascii="Arial" w:eastAsia="黑体" w:hAnsi="Arial" w:cs="Arial"/>
                <w:b/>
                <w:bCs/>
                <w:sz w:val="16"/>
                <w:szCs w:val="16"/>
              </w:rPr>
              <w:t>三、</w:t>
            </w:r>
          </w:p>
        </w:tc>
        <w:tc>
          <w:tcPr>
            <w:tcW w:w="3638" w:type="dxa"/>
            <w:tcBorders>
              <w:top w:val="nil"/>
              <w:left w:val="nil"/>
              <w:bottom w:val="nil"/>
              <w:right w:val="nil"/>
            </w:tcBorders>
            <w:vAlign w:val="bottom"/>
          </w:tcPr>
          <w:p w:rsidR="00AD5BB5" w:rsidRDefault="00F87FF6">
            <w:pPr>
              <w:autoSpaceDE w:val="0"/>
              <w:autoSpaceDN w:val="0"/>
              <w:ind w:left="161" w:hangingChars="100" w:hanging="161"/>
              <w:rPr>
                <w:rFonts w:ascii="Arial" w:eastAsia="黑体" w:hAnsi="Arial" w:cs="Arial"/>
                <w:b/>
                <w:bCs/>
                <w:sz w:val="16"/>
                <w:szCs w:val="16"/>
              </w:rPr>
            </w:pPr>
            <w:r>
              <w:rPr>
                <w:rFonts w:ascii="Arial" w:eastAsia="黑体" w:hAnsi="Arial" w:cs="Arial"/>
                <w:b/>
                <w:bCs/>
                <w:sz w:val="16"/>
                <w:szCs w:val="16"/>
              </w:rPr>
              <w:t>筹资活动产生的现金流量</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发行债券收到的现金</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45,050,588,110.00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71,143,466,810.00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1" w:hangingChars="150" w:hanging="241"/>
              <w:rPr>
                <w:rFonts w:ascii="Arial" w:eastAsia="黑体" w:hAnsi="Arial" w:cs="Arial"/>
                <w:b/>
                <w:bCs/>
                <w:sz w:val="16"/>
                <w:szCs w:val="16"/>
              </w:rPr>
            </w:pP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3638" w:type="dxa"/>
            <w:tcBorders>
              <w:top w:val="nil"/>
              <w:left w:val="nil"/>
              <w:bottom w:val="nil"/>
              <w:right w:val="nil"/>
            </w:tcBorders>
            <w:vAlign w:val="bottom"/>
          </w:tcPr>
          <w:p w:rsidR="00AD5BB5" w:rsidRDefault="00F87FF6">
            <w:pPr>
              <w:autoSpaceDE w:val="0"/>
              <w:autoSpaceDN w:val="0"/>
              <w:ind w:left="161" w:hangingChars="100" w:hanging="161"/>
              <w:rPr>
                <w:rFonts w:ascii="Arial" w:eastAsia="黑体" w:hAnsi="Arial" w:cs="Arial"/>
                <w:b/>
                <w:bCs/>
                <w:sz w:val="16"/>
                <w:szCs w:val="16"/>
              </w:rPr>
            </w:pPr>
            <w:r>
              <w:rPr>
                <w:rFonts w:ascii="Arial" w:eastAsia="黑体" w:hAnsi="Arial" w:cs="Arial"/>
                <w:b/>
                <w:bCs/>
                <w:sz w:val="16"/>
                <w:szCs w:val="16"/>
              </w:rPr>
              <w:t>筹资活动现金流入小计</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45,050,588,110.00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71,143,466,810.00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偿还债务支付的现金</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(38,200,000,000.00</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(74,260,000,000.00</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分配股利、利润支付的现金</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(834,720,652.86</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(738,905,718.55</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640" w:hangingChars="400" w:hanging="640"/>
              <w:rPr>
                <w:rFonts w:ascii="Arial" w:eastAsia="黑体" w:hAnsi="Arial" w:cs="Arial"/>
                <w:sz w:val="16"/>
                <w:szCs w:val="16"/>
              </w:rPr>
            </w:pPr>
            <w:r>
              <w:rPr>
                <w:rFonts w:ascii="Arial" w:eastAsia="黑体" w:hAnsi="Arial" w:cs="Arial"/>
                <w:sz w:val="16"/>
                <w:szCs w:val="16"/>
              </w:rPr>
              <w:t>其中：子公司支付给少数股东的股利、利润</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(21,780,000.00</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支付租赁负债本金和利息</w:t>
            </w:r>
            <w:r>
              <w:rPr>
                <w:rFonts w:ascii="Arial" w:eastAsia="黑体" w:hAnsi="Arial" w:cs="Arial" w:hint="eastAsia"/>
                <w:sz w:val="16"/>
                <w:szCs w:val="16"/>
              </w:rPr>
              <w:t>的现金</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(65,750,032.52</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(192,223,584.17</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偿付利息支付的现金</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(20,669,295.69</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(239,530,643.54</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b/>
                <w:bCs/>
                <w:sz w:val="16"/>
                <w:szCs w:val="16"/>
              </w:rPr>
            </w:pPr>
            <w:r>
              <w:rPr>
                <w:rFonts w:ascii="Arial" w:eastAsia="黑体" w:hAnsi="Arial" w:cs="Arial"/>
                <w:b/>
                <w:bCs/>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1" w:hangingChars="150" w:hanging="241"/>
              <w:rPr>
                <w:rFonts w:ascii="Arial" w:eastAsia="黑体" w:hAnsi="Arial" w:cs="Arial"/>
                <w:b/>
                <w:bCs/>
                <w:sz w:val="16"/>
                <w:szCs w:val="16"/>
              </w:rPr>
            </w:pP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1" w:hangingChars="100" w:hanging="161"/>
              <w:rPr>
                <w:rFonts w:ascii="Arial" w:eastAsia="黑体" w:hAnsi="Arial" w:cs="Arial"/>
                <w:b/>
                <w:bCs/>
                <w:sz w:val="16"/>
                <w:szCs w:val="16"/>
              </w:rPr>
            </w:pPr>
            <w:r>
              <w:rPr>
                <w:rFonts w:ascii="Arial" w:eastAsia="黑体" w:hAnsi="Arial" w:cs="Arial"/>
                <w:b/>
                <w:bCs/>
                <w:sz w:val="16"/>
                <w:szCs w:val="16"/>
              </w:rPr>
              <w:t>筹资活动现金流出小计</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rPr>
              <w:t>(39,121,139,981.07</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b/>
                <w:bCs/>
                <w:sz w:val="16"/>
                <w:szCs w:val="16"/>
              </w:rPr>
            </w:pPr>
            <w:r>
              <w:rPr>
                <w:rFonts w:ascii="Arial" w:eastAsia="黑体" w:hAnsi="Arial" w:cs="Arial"/>
                <w:b/>
                <w:bCs/>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szCs w:val="16"/>
              </w:rPr>
              <w:t>(75,430,659,946.26</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b/>
                <w:bCs/>
                <w:sz w:val="16"/>
                <w:szCs w:val="16"/>
              </w:rPr>
            </w:pPr>
            <w:r>
              <w:rPr>
                <w:rFonts w:ascii="Arial" w:eastAsia="黑体" w:hAnsi="Arial" w:cs="Arial"/>
                <w:b/>
                <w:bCs/>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3638" w:type="dxa"/>
            <w:tcBorders>
              <w:top w:val="nil"/>
              <w:left w:val="nil"/>
              <w:bottom w:val="nil"/>
              <w:right w:val="nil"/>
            </w:tcBorders>
            <w:vAlign w:val="bottom"/>
          </w:tcPr>
          <w:p w:rsidR="00AD5BB5" w:rsidRDefault="00F87FF6">
            <w:pPr>
              <w:autoSpaceDE w:val="0"/>
              <w:autoSpaceDN w:val="0"/>
              <w:ind w:left="161" w:hangingChars="100" w:hanging="161"/>
              <w:rPr>
                <w:rFonts w:ascii="Arial" w:eastAsia="黑体" w:hAnsi="Arial" w:cs="Arial"/>
                <w:b/>
                <w:bCs/>
                <w:sz w:val="16"/>
                <w:szCs w:val="16"/>
              </w:rPr>
            </w:pPr>
            <w:r>
              <w:rPr>
                <w:rFonts w:ascii="Arial" w:eastAsia="黑体" w:hAnsi="Arial" w:cs="Arial"/>
                <w:b/>
                <w:bCs/>
                <w:sz w:val="16"/>
                <w:szCs w:val="16"/>
              </w:rPr>
              <w:t>筹资活动产生</w:t>
            </w:r>
            <w:r>
              <w:rPr>
                <w:rFonts w:ascii="Arial" w:eastAsia="黑体" w:hAnsi="Arial" w:cs="Arial"/>
                <w:b/>
                <w:bCs/>
                <w:sz w:val="16"/>
                <w:szCs w:val="16"/>
              </w:rPr>
              <w:t>/</w:t>
            </w:r>
            <w:r>
              <w:rPr>
                <w:rFonts w:ascii="Arial" w:eastAsia="黑体" w:hAnsi="Arial" w:cs="Arial"/>
                <w:b/>
                <w:bCs/>
                <w:sz w:val="16"/>
                <w:szCs w:val="16"/>
              </w:rPr>
              <w:t>（使用）的现金流量净额</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rPr>
              <w:t>5,929,448,128.93</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szCs w:val="16"/>
              </w:rPr>
              <w:t>(4,287,193,136.26</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b/>
                <w:bCs/>
                <w:sz w:val="16"/>
                <w:szCs w:val="16"/>
              </w:rPr>
            </w:pPr>
            <w:r>
              <w:rPr>
                <w:rFonts w:ascii="Arial" w:eastAsia="黑体" w:hAnsi="Arial" w:cs="Arial"/>
                <w:b/>
                <w:bCs/>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F87FF6">
            <w:pPr>
              <w:autoSpaceDE w:val="0"/>
              <w:autoSpaceDN w:val="0"/>
              <w:rPr>
                <w:rFonts w:ascii="Arial" w:eastAsia="黑体" w:hAnsi="Arial" w:cs="Arial"/>
                <w:b/>
                <w:bCs/>
                <w:sz w:val="16"/>
                <w:szCs w:val="16"/>
              </w:rPr>
            </w:pPr>
            <w:r>
              <w:rPr>
                <w:rFonts w:ascii="Arial" w:eastAsia="黑体" w:hAnsi="Arial" w:cs="Arial"/>
                <w:b/>
                <w:bCs/>
                <w:sz w:val="16"/>
                <w:szCs w:val="16"/>
              </w:rPr>
              <w:t>四、</w:t>
            </w:r>
          </w:p>
        </w:tc>
        <w:tc>
          <w:tcPr>
            <w:tcW w:w="3638" w:type="dxa"/>
            <w:tcBorders>
              <w:top w:val="nil"/>
              <w:left w:val="nil"/>
              <w:bottom w:val="nil"/>
              <w:right w:val="nil"/>
            </w:tcBorders>
            <w:vAlign w:val="bottom"/>
          </w:tcPr>
          <w:p w:rsidR="00AD5BB5" w:rsidRDefault="00F87FF6">
            <w:pPr>
              <w:autoSpaceDE w:val="0"/>
              <w:autoSpaceDN w:val="0"/>
              <w:ind w:left="161" w:hangingChars="100" w:hanging="161"/>
              <w:rPr>
                <w:rFonts w:ascii="Arial" w:eastAsia="黑体" w:hAnsi="Arial" w:cs="Arial"/>
                <w:b/>
                <w:bCs/>
                <w:sz w:val="16"/>
                <w:szCs w:val="16"/>
              </w:rPr>
            </w:pPr>
            <w:r>
              <w:rPr>
                <w:rFonts w:ascii="Arial" w:eastAsia="黑体" w:hAnsi="Arial" w:cs="Arial"/>
                <w:b/>
                <w:bCs/>
                <w:sz w:val="16"/>
                <w:szCs w:val="16"/>
              </w:rPr>
              <w:t>汇率变动对现金及现金等价物的影响</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szCs w:val="16"/>
              </w:rPr>
              <w:t>51,423,710.48</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szCs w:val="16"/>
              </w:rPr>
              <w:t>87,446,850.46</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F87FF6">
            <w:pPr>
              <w:autoSpaceDE w:val="0"/>
              <w:autoSpaceDN w:val="0"/>
              <w:rPr>
                <w:rFonts w:ascii="Arial" w:eastAsia="黑体" w:hAnsi="Arial" w:cs="Arial"/>
                <w:b/>
                <w:bCs/>
                <w:sz w:val="16"/>
                <w:szCs w:val="16"/>
              </w:rPr>
            </w:pPr>
            <w:r>
              <w:rPr>
                <w:rFonts w:ascii="Arial" w:eastAsia="黑体" w:hAnsi="Arial" w:cs="Arial"/>
                <w:b/>
                <w:bCs/>
                <w:sz w:val="16"/>
                <w:szCs w:val="16"/>
              </w:rPr>
              <w:t>五、</w:t>
            </w:r>
          </w:p>
        </w:tc>
        <w:tc>
          <w:tcPr>
            <w:tcW w:w="3638" w:type="dxa"/>
            <w:tcBorders>
              <w:top w:val="nil"/>
              <w:left w:val="nil"/>
              <w:bottom w:val="nil"/>
              <w:right w:val="nil"/>
            </w:tcBorders>
            <w:vAlign w:val="bottom"/>
          </w:tcPr>
          <w:p w:rsidR="00AD5BB5" w:rsidRDefault="00F87FF6">
            <w:pPr>
              <w:autoSpaceDE w:val="0"/>
              <w:autoSpaceDN w:val="0"/>
              <w:ind w:left="161" w:hangingChars="100" w:hanging="161"/>
              <w:rPr>
                <w:rFonts w:ascii="Arial" w:eastAsia="黑体" w:hAnsi="Arial" w:cs="Arial"/>
                <w:b/>
                <w:bCs/>
                <w:sz w:val="16"/>
                <w:szCs w:val="16"/>
              </w:rPr>
            </w:pPr>
            <w:r>
              <w:rPr>
                <w:rFonts w:ascii="Arial" w:eastAsia="黑体" w:hAnsi="Arial" w:cs="Arial"/>
                <w:b/>
                <w:bCs/>
                <w:sz w:val="16"/>
                <w:szCs w:val="16"/>
              </w:rPr>
              <w:t>本</w:t>
            </w:r>
            <w:r>
              <w:rPr>
                <w:rFonts w:ascii="Arial" w:eastAsia="黑体" w:hAnsi="Arial" w:cs="Arial" w:hint="eastAsia"/>
                <w:b/>
                <w:bCs/>
                <w:sz w:val="16"/>
                <w:szCs w:val="16"/>
              </w:rPr>
              <w:t>期</w:t>
            </w:r>
            <w:r>
              <w:rPr>
                <w:rFonts w:ascii="Arial" w:eastAsia="黑体" w:hAnsi="Arial" w:cs="Arial"/>
                <w:b/>
                <w:bCs/>
                <w:sz w:val="16"/>
                <w:szCs w:val="16"/>
              </w:rPr>
              <w:t>现金及现金等价物净（减少）</w:t>
            </w:r>
            <w:r>
              <w:rPr>
                <w:rFonts w:ascii="Arial" w:eastAsia="黑体" w:hAnsi="Arial" w:cs="Arial"/>
                <w:b/>
                <w:bCs/>
                <w:sz w:val="16"/>
                <w:szCs w:val="16"/>
              </w:rPr>
              <w:t>/</w:t>
            </w:r>
            <w:r>
              <w:rPr>
                <w:rFonts w:ascii="Arial" w:eastAsia="黑体" w:hAnsi="Arial" w:cs="Arial"/>
                <w:b/>
                <w:bCs/>
                <w:sz w:val="16"/>
                <w:szCs w:val="16"/>
              </w:rPr>
              <w:t>增加额</w:t>
            </w:r>
          </w:p>
        </w:tc>
        <w:tc>
          <w:tcPr>
            <w:tcW w:w="784"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hint="eastAsia"/>
                <w:sz w:val="16"/>
                <w:szCs w:val="16"/>
              </w:rPr>
              <w:t>4</w:t>
            </w:r>
            <w:r>
              <w:rPr>
                <w:rFonts w:ascii="Arial" w:eastAsia="黑体" w:hAnsi="Arial" w:cs="Arial"/>
                <w:sz w:val="16"/>
                <w:szCs w:val="16"/>
              </w:rPr>
              <w:t>7</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szCs w:val="16"/>
              </w:rPr>
              <w:t>(22,833,889,810.78</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b/>
                <w:bCs/>
                <w:sz w:val="16"/>
                <w:szCs w:val="16"/>
              </w:rPr>
            </w:pPr>
            <w:r>
              <w:rPr>
                <w:rFonts w:ascii="Arial" w:eastAsia="黑体" w:hAnsi="Arial" w:cs="Arial"/>
                <w:b/>
                <w:bCs/>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szCs w:val="16"/>
              </w:rPr>
              <w:t>4,718,158,546.38</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3638" w:type="dxa"/>
            <w:tcBorders>
              <w:top w:val="nil"/>
              <w:left w:val="nil"/>
              <w:bottom w:val="nil"/>
              <w:right w:val="nil"/>
            </w:tcBorders>
            <w:vAlign w:val="bottom"/>
          </w:tcPr>
          <w:p w:rsidR="00AD5BB5" w:rsidRDefault="00F87FF6">
            <w:pPr>
              <w:autoSpaceDE w:val="0"/>
              <w:autoSpaceDN w:val="0"/>
              <w:ind w:left="480" w:hangingChars="300" w:hanging="480"/>
              <w:rPr>
                <w:rFonts w:ascii="Arial" w:eastAsia="黑体" w:hAnsi="Arial" w:cs="Arial"/>
                <w:sz w:val="16"/>
                <w:szCs w:val="16"/>
              </w:rPr>
            </w:pPr>
            <w:r>
              <w:rPr>
                <w:rFonts w:ascii="Arial" w:eastAsia="黑体" w:hAnsi="Arial" w:cs="Arial"/>
                <w:sz w:val="16"/>
                <w:szCs w:val="16"/>
              </w:rPr>
              <w:t>加：</w:t>
            </w:r>
            <w:r>
              <w:rPr>
                <w:rFonts w:ascii="Arial" w:eastAsia="黑体" w:hAnsi="Arial" w:cs="Arial" w:hint="eastAsia"/>
                <w:sz w:val="16"/>
                <w:szCs w:val="16"/>
              </w:rPr>
              <w:t>期</w:t>
            </w:r>
            <w:r>
              <w:rPr>
                <w:rFonts w:ascii="Arial" w:eastAsia="黑体" w:hAnsi="Arial" w:cs="Arial"/>
                <w:sz w:val="16"/>
                <w:szCs w:val="16"/>
              </w:rPr>
              <w:t>初现金及现金等价物余额</w:t>
            </w: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32,028,978,069.62</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14,810,847,478.83</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3638" w:type="dxa"/>
            <w:tcBorders>
              <w:top w:val="nil"/>
              <w:left w:val="nil"/>
              <w:bottom w:val="nil"/>
              <w:right w:val="nil"/>
            </w:tcBorders>
            <w:vAlign w:val="bottom"/>
          </w:tcPr>
          <w:p w:rsidR="00AD5BB5" w:rsidRDefault="00AD5BB5">
            <w:pPr>
              <w:autoSpaceDE w:val="0"/>
              <w:autoSpaceDN w:val="0"/>
              <w:ind w:left="241" w:hangingChars="150" w:hanging="241"/>
              <w:rPr>
                <w:rFonts w:ascii="Arial" w:eastAsia="黑体" w:hAnsi="Arial" w:cs="Arial"/>
                <w:b/>
                <w:bCs/>
                <w:sz w:val="16"/>
                <w:szCs w:val="16"/>
              </w:rPr>
            </w:pPr>
          </w:p>
        </w:tc>
        <w:tc>
          <w:tcPr>
            <w:tcW w:w="78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F87FF6">
            <w:pPr>
              <w:autoSpaceDE w:val="0"/>
              <w:autoSpaceDN w:val="0"/>
              <w:rPr>
                <w:rFonts w:ascii="Arial" w:eastAsia="黑体" w:hAnsi="Arial" w:cs="Arial"/>
                <w:b/>
                <w:bCs/>
                <w:sz w:val="16"/>
                <w:szCs w:val="16"/>
              </w:rPr>
            </w:pPr>
            <w:r>
              <w:rPr>
                <w:rFonts w:ascii="Arial" w:eastAsia="黑体" w:hAnsi="Arial" w:cs="Arial"/>
                <w:b/>
                <w:bCs/>
                <w:sz w:val="16"/>
                <w:szCs w:val="16"/>
              </w:rPr>
              <w:t>六、</w:t>
            </w:r>
          </w:p>
        </w:tc>
        <w:tc>
          <w:tcPr>
            <w:tcW w:w="3638" w:type="dxa"/>
            <w:tcBorders>
              <w:top w:val="nil"/>
              <w:left w:val="nil"/>
              <w:bottom w:val="nil"/>
              <w:right w:val="nil"/>
            </w:tcBorders>
            <w:vAlign w:val="bottom"/>
          </w:tcPr>
          <w:p w:rsidR="00AD5BB5" w:rsidRDefault="00F87FF6">
            <w:pPr>
              <w:autoSpaceDE w:val="0"/>
              <w:autoSpaceDN w:val="0"/>
              <w:ind w:left="161" w:hangingChars="100" w:hanging="161"/>
              <w:rPr>
                <w:rFonts w:ascii="Arial" w:eastAsia="黑体" w:hAnsi="Arial" w:cs="Arial"/>
                <w:b/>
                <w:bCs/>
                <w:sz w:val="16"/>
                <w:szCs w:val="16"/>
              </w:rPr>
            </w:pPr>
            <w:r>
              <w:rPr>
                <w:rFonts w:ascii="Arial" w:eastAsia="黑体" w:hAnsi="Arial" w:cs="Arial" w:hint="eastAsia"/>
                <w:b/>
                <w:bCs/>
                <w:sz w:val="16"/>
                <w:szCs w:val="16"/>
              </w:rPr>
              <w:t>期</w:t>
            </w:r>
            <w:r>
              <w:rPr>
                <w:rFonts w:ascii="Arial" w:eastAsia="黑体" w:hAnsi="Arial" w:cs="Arial"/>
                <w:b/>
                <w:bCs/>
                <w:sz w:val="16"/>
                <w:szCs w:val="16"/>
              </w:rPr>
              <w:t>末现金及现金等价物余额</w:t>
            </w:r>
          </w:p>
        </w:tc>
        <w:tc>
          <w:tcPr>
            <w:tcW w:w="784"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hint="eastAsia"/>
                <w:sz w:val="16"/>
                <w:szCs w:val="16"/>
              </w:rPr>
              <w:t>4</w:t>
            </w:r>
            <w:r>
              <w:rPr>
                <w:rFonts w:ascii="Arial" w:eastAsia="黑体" w:hAnsi="Arial" w:cs="Arial"/>
                <w:sz w:val="16"/>
                <w:szCs w:val="16"/>
              </w:rPr>
              <w:t>7</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szCs w:val="16"/>
              </w:rPr>
              <w:t>9,195,088,258.84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szCs w:val="16"/>
              </w:rPr>
              <w:t>19,529,006,025.21</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bl>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F87FF6">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rPr>
      </w:pPr>
      <w:r>
        <w:rPr>
          <w:rFonts w:ascii="Arial" w:eastAsia="黑体" w:hAnsi="Arial" w:cs="Arial"/>
          <w:sz w:val="20"/>
        </w:rPr>
        <w:t>本财务报表已于</w:t>
      </w:r>
      <w:r>
        <w:rPr>
          <w:rFonts w:ascii="Arial" w:eastAsia="黑体" w:hAnsi="Arial" w:cs="Arial"/>
          <w:sz w:val="20"/>
        </w:rPr>
        <w:fldChar w:fldCharType="begin"/>
      </w:r>
      <w:r>
        <w:rPr>
          <w:rFonts w:ascii="Arial" w:eastAsia="黑体" w:hAnsi="Arial" w:cs="Arial"/>
          <w:sz w:val="20"/>
        </w:rPr>
        <w:instrText xml:space="preserve"> DOCPROPERTY </w:instrText>
      </w:r>
      <w:r>
        <w:rPr>
          <w:rFonts w:ascii="Arial" w:eastAsia="黑体" w:hAnsi="Arial" w:cs="Arial"/>
          <w:sz w:val="20"/>
        </w:rPr>
        <w:instrText>报告日</w:instrText>
      </w:r>
      <w:r>
        <w:rPr>
          <w:rFonts w:ascii="Arial" w:eastAsia="黑体" w:hAnsi="Arial" w:cs="Arial"/>
          <w:sz w:val="20"/>
        </w:rPr>
        <w:instrText xml:space="preserve"> </w:instrText>
      </w:r>
      <w:r>
        <w:rPr>
          <w:rFonts w:ascii="Arial" w:eastAsia="黑体" w:hAnsi="Arial" w:cs="Arial"/>
          <w:sz w:val="20"/>
        </w:rPr>
        <w:fldChar w:fldCharType="separate"/>
      </w:r>
      <w:r>
        <w:rPr>
          <w:rFonts w:ascii="Arial" w:eastAsia="黑体" w:hAnsi="Arial" w:cs="Arial"/>
          <w:sz w:val="20"/>
        </w:rPr>
        <w:t>2023</w:t>
      </w:r>
      <w:r>
        <w:rPr>
          <w:rFonts w:ascii="Arial" w:eastAsia="黑体" w:hAnsi="Arial" w:cs="Arial"/>
          <w:sz w:val="20"/>
        </w:rPr>
        <w:t>年</w:t>
      </w:r>
      <w:r>
        <w:rPr>
          <w:rFonts w:ascii="Arial" w:eastAsia="黑体" w:hAnsi="Arial" w:cs="Arial"/>
          <w:sz w:val="20"/>
        </w:rPr>
        <w:t>8</w:t>
      </w:r>
      <w:r>
        <w:rPr>
          <w:rFonts w:ascii="Arial" w:eastAsia="黑体" w:hAnsi="Arial" w:cs="Arial"/>
          <w:sz w:val="20"/>
        </w:rPr>
        <w:t>月</w:t>
      </w:r>
      <w:r>
        <w:rPr>
          <w:rFonts w:ascii="Arial" w:eastAsia="黑体" w:hAnsi="Arial" w:cs="Arial"/>
          <w:sz w:val="20"/>
        </w:rPr>
        <w:t>28</w:t>
      </w:r>
      <w:r>
        <w:rPr>
          <w:rFonts w:ascii="Arial" w:eastAsia="黑体" w:hAnsi="Arial" w:cs="Arial"/>
          <w:sz w:val="20"/>
        </w:rPr>
        <w:t>日</w:t>
      </w:r>
      <w:r>
        <w:rPr>
          <w:rFonts w:ascii="Arial" w:eastAsia="黑体" w:hAnsi="Arial" w:cs="Arial"/>
          <w:sz w:val="20"/>
        </w:rPr>
        <w:fldChar w:fldCharType="end"/>
      </w:r>
      <w:r>
        <w:rPr>
          <w:rFonts w:ascii="Arial" w:eastAsia="黑体" w:hAnsi="Arial" w:cs="Arial"/>
          <w:sz w:val="20"/>
        </w:rPr>
        <w:t>获本行董事会批准。</w:t>
      </w:r>
    </w:p>
    <w:p w:rsidR="00AD5BB5" w:rsidRDefault="00AD5BB5">
      <w:pPr>
        <w:overflowPunct w:val="0"/>
        <w:autoSpaceDE w:val="0"/>
        <w:autoSpaceDN w:val="0"/>
        <w:snapToGrid w:val="0"/>
        <w:rPr>
          <w:rFonts w:ascii="Arial" w:eastAsia="黑体" w:hAnsi="Arial" w:cs="Arial"/>
          <w:i/>
          <w:sz w:val="20"/>
        </w:rPr>
      </w:pPr>
    </w:p>
    <w:p w:rsidR="00AD5BB5" w:rsidRDefault="00F87FF6">
      <w:pPr>
        <w:overflowPunct w:val="0"/>
        <w:autoSpaceDE w:val="0"/>
        <w:autoSpaceDN w:val="0"/>
        <w:snapToGrid w:val="0"/>
        <w:rPr>
          <w:rFonts w:ascii="Arial" w:eastAsia="黑体" w:hAnsi="Arial" w:cs="Arial"/>
          <w:sz w:val="20"/>
        </w:rPr>
      </w:pPr>
      <w:r>
        <w:rPr>
          <w:rFonts w:ascii="Arial" w:eastAsia="黑体" w:hAnsi="Arial" w:cs="Arial"/>
          <w:sz w:val="20"/>
        </w:rPr>
        <w:t>本财务报表由以下人士签署：</w:t>
      </w: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snapToGrid w:val="0"/>
        <w:rPr>
          <w:rFonts w:ascii="Arial" w:eastAsia="黑体" w:hAnsi="Arial" w:cs="Arial"/>
          <w:sz w:val="20"/>
        </w:rPr>
      </w:pPr>
    </w:p>
    <w:p w:rsidR="00AD5BB5" w:rsidRDefault="00F87FF6">
      <w:pPr>
        <w:tabs>
          <w:tab w:val="left" w:pos="2100"/>
          <w:tab w:val="left" w:pos="2268"/>
          <w:tab w:val="left" w:pos="4962"/>
        </w:tabs>
        <w:overflowPunct w:val="0"/>
        <w:autoSpaceDE w:val="0"/>
        <w:autoSpaceDN w:val="0"/>
        <w:snapToGrid w:val="0"/>
        <w:rPr>
          <w:rFonts w:ascii="Arial" w:eastAsia="黑体" w:hAnsi="Arial" w:cs="Arial"/>
          <w:sz w:val="20"/>
        </w:rPr>
      </w:pPr>
      <w:r>
        <w:rPr>
          <w:rFonts w:ascii="Arial" w:eastAsia="黑体" w:hAnsi="Arial" w:cs="Arial"/>
          <w:sz w:val="20"/>
        </w:rPr>
        <w:t>法定</w:t>
      </w:r>
      <w:r>
        <w:rPr>
          <w:rFonts w:ascii="Arial" w:eastAsia="黑体" w:hAnsi="Arial" w:cs="Arial"/>
          <w:sz w:val="20"/>
        </w:rPr>
        <w:tab/>
      </w:r>
      <w:r>
        <w:rPr>
          <w:rFonts w:ascii="Arial" w:eastAsia="黑体" w:hAnsi="Arial" w:cs="Arial"/>
          <w:sz w:val="20"/>
        </w:rPr>
        <w:tab/>
      </w:r>
      <w:r>
        <w:rPr>
          <w:rFonts w:ascii="Arial" w:eastAsia="黑体" w:hAnsi="Arial" w:cs="Arial"/>
          <w:sz w:val="20"/>
        </w:rPr>
        <w:t>主管财会</w:t>
      </w:r>
      <w:r>
        <w:rPr>
          <w:rFonts w:ascii="Arial" w:eastAsia="黑体" w:hAnsi="Arial" w:cs="Arial"/>
          <w:sz w:val="20"/>
        </w:rPr>
        <w:tab/>
      </w:r>
      <w:r>
        <w:rPr>
          <w:rFonts w:ascii="Arial" w:eastAsia="黑体" w:hAnsi="Arial" w:cs="Arial"/>
          <w:sz w:val="20"/>
        </w:rPr>
        <w:t>财会机构</w:t>
      </w:r>
    </w:p>
    <w:p w:rsidR="00AD5BB5" w:rsidRDefault="00F87FF6">
      <w:pPr>
        <w:tabs>
          <w:tab w:val="left" w:pos="1985"/>
          <w:tab w:val="left" w:pos="2268"/>
          <w:tab w:val="left" w:pos="4962"/>
          <w:tab w:val="left" w:pos="7139"/>
        </w:tabs>
        <w:overflowPunct w:val="0"/>
        <w:autoSpaceDE w:val="0"/>
        <w:autoSpaceDN w:val="0"/>
        <w:snapToGrid w:val="0"/>
        <w:rPr>
          <w:rFonts w:ascii="Arial" w:eastAsia="黑体" w:hAnsi="Arial" w:cs="Arial"/>
          <w:sz w:val="20"/>
        </w:rPr>
      </w:pPr>
      <w:r>
        <w:rPr>
          <w:rFonts w:ascii="Arial" w:eastAsia="黑体" w:hAnsi="Arial" w:cs="Arial"/>
          <w:sz w:val="20"/>
        </w:rPr>
        <w:t>代表人：</w:t>
      </w:r>
      <w:r>
        <w:rPr>
          <w:rFonts w:ascii="Arial" w:eastAsia="黑体" w:hAnsi="Arial" w:cs="Arial"/>
          <w:sz w:val="20"/>
        </w:rPr>
        <w:tab/>
      </w:r>
      <w:r>
        <w:rPr>
          <w:rFonts w:ascii="Arial" w:eastAsia="黑体" w:hAnsi="Arial" w:cs="Arial"/>
          <w:sz w:val="20"/>
        </w:rPr>
        <w:tab/>
      </w:r>
      <w:r>
        <w:rPr>
          <w:rFonts w:ascii="Arial" w:eastAsia="黑体" w:hAnsi="Arial" w:cs="Arial"/>
          <w:sz w:val="20"/>
        </w:rPr>
        <w:t>工作负责人：</w:t>
      </w:r>
      <w:r>
        <w:rPr>
          <w:rFonts w:ascii="Arial" w:eastAsia="黑体" w:hAnsi="Arial" w:cs="Arial"/>
          <w:sz w:val="20"/>
        </w:rPr>
        <w:tab/>
      </w:r>
      <w:r>
        <w:rPr>
          <w:rFonts w:ascii="Arial" w:eastAsia="黑体" w:hAnsi="Arial" w:cs="Arial"/>
          <w:sz w:val="20"/>
        </w:rPr>
        <w:t>负责人：</w:t>
      </w:r>
      <w:r>
        <w:rPr>
          <w:rFonts w:ascii="Arial" w:eastAsia="黑体" w:hAnsi="Arial" w:cs="Arial"/>
          <w:sz w:val="20"/>
        </w:rPr>
        <w:tab/>
      </w:r>
      <w:r>
        <w:rPr>
          <w:rFonts w:ascii="Arial" w:eastAsia="黑体" w:hAnsi="Arial" w:cs="Arial"/>
          <w:sz w:val="20"/>
        </w:rPr>
        <w:tab/>
      </w:r>
      <w:r>
        <w:rPr>
          <w:rFonts w:ascii="Arial" w:eastAsia="黑体" w:hAnsi="Arial" w:cs="Arial"/>
          <w:sz w:val="20"/>
        </w:rPr>
        <w:t>盖章</w:t>
      </w: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F87FF6">
      <w:pPr>
        <w:tabs>
          <w:tab w:val="center" w:pos="4200"/>
          <w:tab w:val="decimal" w:pos="4800"/>
          <w:tab w:val="decimal" w:pos="6240"/>
          <w:tab w:val="decimal" w:pos="6840"/>
          <w:tab w:val="decimal" w:pos="8280"/>
        </w:tabs>
        <w:overflowPunct w:val="0"/>
        <w:autoSpaceDE w:val="0"/>
        <w:autoSpaceDN w:val="0"/>
        <w:adjustRightInd w:val="0"/>
        <w:rPr>
          <w:rFonts w:ascii="Arial" w:eastAsia="黑体" w:hAnsi="Arial" w:cs="Arial"/>
          <w:i/>
          <w:sz w:val="20"/>
        </w:rPr>
        <w:sectPr w:rsidR="00AD5BB5">
          <w:headerReference w:type="even" r:id="rId27"/>
          <w:headerReference w:type="default" r:id="rId28"/>
          <w:headerReference w:type="first" r:id="rId29"/>
          <w:pgSz w:w="11907" w:h="16840"/>
          <w:pgMar w:top="1440" w:right="1797" w:bottom="1440" w:left="1797" w:header="720" w:footer="720" w:gutter="0"/>
          <w:cols w:space="720"/>
          <w:titlePg/>
          <w:docGrid w:linePitch="360"/>
        </w:sectPr>
      </w:pPr>
      <w:r>
        <w:rPr>
          <w:rFonts w:ascii="Arial" w:eastAsia="黑体" w:hAnsi="Arial" w:cs="Arial"/>
          <w:i/>
          <w:sz w:val="20"/>
        </w:rPr>
        <w:t>后附财务报表附注为本财务报表的组成部分</w:t>
      </w:r>
    </w:p>
    <w:p w:rsidR="00AD5BB5" w:rsidRDefault="00AD5BB5">
      <w:pPr>
        <w:tabs>
          <w:tab w:val="right" w:pos="10560"/>
          <w:tab w:val="right" w:pos="11880"/>
          <w:tab w:val="right" w:pos="13200"/>
        </w:tabs>
        <w:overflowPunct w:val="0"/>
        <w:autoSpaceDE w:val="0"/>
        <w:autoSpaceDN w:val="0"/>
        <w:rPr>
          <w:rFonts w:ascii="Arial" w:eastAsia="黑体" w:hAnsi="Arial" w:cs="Arial"/>
          <w:b/>
          <w:sz w:val="20"/>
          <w:u w:val="single"/>
        </w:rPr>
      </w:pPr>
      <w:bookmarkStart w:id="61" w:name="afsaddin_Section_68e5cac89b0b4a5390fc37c"/>
    </w:p>
    <w:bookmarkEnd w:id="61"/>
    <w:p w:rsidR="00AD5BB5" w:rsidRDefault="00AD5BB5">
      <w:pPr>
        <w:tabs>
          <w:tab w:val="right" w:pos="10560"/>
          <w:tab w:val="right" w:pos="11880"/>
          <w:tab w:val="right" w:pos="13200"/>
        </w:tabs>
        <w:overflowPunct w:val="0"/>
        <w:autoSpaceDE w:val="0"/>
        <w:autoSpaceDN w:val="0"/>
        <w:rPr>
          <w:rFonts w:ascii="Arial" w:eastAsia="黑体" w:hAnsi="Arial" w:cs="Arial"/>
          <w:b/>
          <w:sz w:val="20"/>
          <w:u w:val="single"/>
        </w:rPr>
      </w:pPr>
    </w:p>
    <w:tbl>
      <w:tblPr>
        <w:tblW w:w="0" w:type="auto"/>
        <w:tblLayout w:type="fixed"/>
        <w:tblCellMar>
          <w:left w:w="0" w:type="dxa"/>
          <w:right w:w="0" w:type="dxa"/>
        </w:tblCellMar>
        <w:tblLook w:val="04A0" w:firstRow="1" w:lastRow="0" w:firstColumn="1" w:lastColumn="0" w:noHBand="0" w:noVBand="1"/>
        <w:tblCaption w:val="39c1a830-0f59-4888-a646-6afc6f6d7a34"/>
        <w:tblDescription w:val="{&quot;UUID&quot;:&quot;afsaddin_tabledata_2_56437_39c1a830-0f59-4888-a646-6afc6f6d7a34&quot;,&quot;TitleRowCount&quot;:2,&quot;SplitedTable&quot;:false,&quot;FirstTableId&quot;:&quot;39c1a830-0f59-4888-a646-6afc6f6d7a34&quot;}"/>
      </w:tblPr>
      <w:tblGrid>
        <w:gridCol w:w="2975"/>
        <w:gridCol w:w="921"/>
        <w:gridCol w:w="113"/>
        <w:gridCol w:w="2039"/>
        <w:gridCol w:w="113"/>
        <w:gridCol w:w="113"/>
        <w:gridCol w:w="2039"/>
        <w:gridCol w:w="113"/>
      </w:tblGrid>
      <w:tr w:rsidR="00AD5BB5">
        <w:tc>
          <w:tcPr>
            <w:tcW w:w="2975" w:type="dxa"/>
            <w:tcBorders>
              <w:top w:val="nil"/>
              <w:left w:val="nil"/>
              <w:bottom w:val="nil"/>
              <w:right w:val="nil"/>
            </w:tcBorders>
            <w:vAlign w:val="bottom"/>
          </w:tcPr>
          <w:p w:rsidR="00AD5BB5" w:rsidRDefault="00F87FF6">
            <w:pPr>
              <w:autoSpaceDE w:val="0"/>
              <w:autoSpaceDN w:val="0"/>
              <w:ind w:left="201" w:hangingChars="100" w:hanging="201"/>
              <w:rPr>
                <w:rFonts w:ascii="Arial" w:eastAsia="黑体" w:hAnsi="Arial" w:cs="Arial"/>
                <w:b/>
                <w:bCs/>
                <w:sz w:val="20"/>
                <w:u w:val="single"/>
              </w:rPr>
            </w:pPr>
            <w:r>
              <w:rPr>
                <w:rFonts w:ascii="Arial" w:eastAsia="黑体" w:hAnsi="Arial" w:cs="Arial"/>
                <w:b/>
                <w:bCs/>
                <w:sz w:val="20"/>
                <w:u w:val="single"/>
              </w:rPr>
              <w:t>资产</w:t>
            </w:r>
          </w:p>
        </w:tc>
        <w:tc>
          <w:tcPr>
            <w:tcW w:w="921" w:type="dxa"/>
            <w:tcBorders>
              <w:top w:val="nil"/>
              <w:left w:val="nil"/>
              <w:bottom w:val="nil"/>
              <w:right w:val="nil"/>
            </w:tcBorders>
            <w:vAlign w:val="bottom"/>
          </w:tcPr>
          <w:p w:rsidR="00AD5BB5" w:rsidRDefault="00F87FF6">
            <w:pPr>
              <w:autoSpaceDE w:val="0"/>
              <w:autoSpaceDN w:val="0"/>
              <w:jc w:val="center"/>
              <w:rPr>
                <w:rFonts w:ascii="Arial" w:eastAsia="黑体" w:hAnsi="Arial" w:cs="Arial"/>
                <w:b/>
                <w:bCs/>
                <w:sz w:val="20"/>
                <w:u w:val="single"/>
              </w:rPr>
            </w:pPr>
            <w:r>
              <w:rPr>
                <w:rFonts w:ascii="Arial" w:eastAsia="黑体" w:hAnsi="Arial" w:cs="Arial"/>
                <w:b/>
                <w:bCs/>
                <w:sz w:val="20"/>
                <w:u w:val="single"/>
              </w:rPr>
              <w:t>附注十四</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u w:val="single"/>
              </w:rPr>
              <w:fldChar w:fldCharType="begin"/>
            </w:r>
            <w:r>
              <w:rPr>
                <w:rFonts w:ascii="Arial" w:eastAsia="黑体" w:hAnsi="Arial" w:cs="Arial"/>
                <w:b/>
                <w:bCs/>
                <w:sz w:val="20"/>
                <w:u w:val="single"/>
              </w:rPr>
              <w:instrText xml:space="preserve"> DOCPROPERTY </w:instrText>
            </w:r>
            <w:r>
              <w:rPr>
                <w:rFonts w:ascii="Arial" w:eastAsia="黑体" w:hAnsi="Arial" w:cs="Arial"/>
                <w:b/>
                <w:bCs/>
                <w:sz w:val="20"/>
                <w:u w:val="single"/>
              </w:rPr>
              <w:instrText>当期资产负债表日</w:instrText>
            </w:r>
            <w:r>
              <w:rPr>
                <w:rFonts w:ascii="Arial" w:eastAsia="黑体" w:hAnsi="Arial" w:cs="Arial"/>
                <w:b/>
                <w:bCs/>
                <w:sz w:val="20"/>
                <w:u w:val="single"/>
              </w:rPr>
              <w:instrText xml:space="preserve"> </w:instrText>
            </w:r>
            <w:r>
              <w:rPr>
                <w:rFonts w:ascii="Arial" w:eastAsia="黑体" w:hAnsi="Arial" w:cs="Arial"/>
                <w:b/>
                <w:bCs/>
                <w:sz w:val="20"/>
                <w:u w:val="single"/>
              </w:rPr>
              <w:fldChar w:fldCharType="separate"/>
            </w:r>
            <w:r>
              <w:rPr>
                <w:rFonts w:ascii="Arial" w:eastAsia="黑体" w:hAnsi="Arial" w:cs="Arial"/>
                <w:b/>
                <w:bCs/>
                <w:sz w:val="20"/>
                <w:u w:val="single"/>
              </w:rPr>
              <w:t>2023</w:t>
            </w:r>
            <w:r>
              <w:rPr>
                <w:rFonts w:ascii="Arial" w:eastAsia="黑体" w:hAnsi="Arial" w:cs="Arial"/>
                <w:b/>
                <w:bCs/>
                <w:sz w:val="20"/>
                <w:u w:val="single"/>
              </w:rPr>
              <w:t>年</w:t>
            </w:r>
            <w:r>
              <w:rPr>
                <w:rFonts w:ascii="Arial" w:eastAsia="黑体" w:hAnsi="Arial" w:cs="Arial"/>
                <w:b/>
                <w:bCs/>
                <w:sz w:val="20"/>
                <w:u w:val="single"/>
              </w:rPr>
              <w:t>6</w:t>
            </w:r>
            <w:r>
              <w:rPr>
                <w:rFonts w:ascii="Arial" w:eastAsia="黑体" w:hAnsi="Arial" w:cs="Arial"/>
                <w:b/>
                <w:bCs/>
                <w:sz w:val="20"/>
                <w:u w:val="single"/>
              </w:rPr>
              <w:t>月</w:t>
            </w:r>
            <w:r>
              <w:rPr>
                <w:rFonts w:ascii="Arial" w:eastAsia="黑体" w:hAnsi="Arial" w:cs="Arial"/>
                <w:b/>
                <w:bCs/>
                <w:sz w:val="20"/>
                <w:u w:val="single"/>
              </w:rPr>
              <w:t>30</w:t>
            </w:r>
            <w:r>
              <w:rPr>
                <w:rFonts w:ascii="Arial" w:eastAsia="黑体" w:hAnsi="Arial" w:cs="Arial"/>
                <w:b/>
                <w:bCs/>
                <w:sz w:val="20"/>
                <w:u w:val="single"/>
              </w:rPr>
              <w:t>日</w:t>
            </w:r>
            <w:r>
              <w:rPr>
                <w:rFonts w:ascii="Arial" w:eastAsia="黑体" w:hAnsi="Arial" w:cs="Arial"/>
                <w:b/>
                <w:bCs/>
                <w:sz w:val="20"/>
                <w:u w:val="single"/>
              </w:rPr>
              <w:fldChar w:fldCharType="end"/>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u w:val="single"/>
              </w:rPr>
              <w:t>2022</w:t>
            </w:r>
            <w:r>
              <w:rPr>
                <w:rFonts w:ascii="Arial" w:eastAsia="黑体" w:hAnsi="Arial" w:cs="Arial"/>
                <w:b/>
                <w:bCs/>
                <w:sz w:val="20"/>
                <w:u w:val="single"/>
              </w:rPr>
              <w:t>年</w:t>
            </w:r>
            <w:r>
              <w:rPr>
                <w:rFonts w:ascii="Arial" w:eastAsia="黑体" w:hAnsi="Arial" w:cs="Arial"/>
                <w:b/>
                <w:bCs/>
                <w:sz w:val="20"/>
                <w:u w:val="single"/>
              </w:rPr>
              <w:t>12</w:t>
            </w:r>
            <w:r>
              <w:rPr>
                <w:rFonts w:ascii="Arial" w:eastAsia="黑体" w:hAnsi="Arial" w:cs="Arial"/>
                <w:b/>
                <w:bCs/>
                <w:sz w:val="20"/>
                <w:u w:val="single"/>
              </w:rPr>
              <w:t>月</w:t>
            </w:r>
            <w:r>
              <w:rPr>
                <w:rFonts w:ascii="Arial" w:eastAsia="黑体" w:hAnsi="Arial" w:cs="Arial"/>
                <w:b/>
                <w:bCs/>
                <w:sz w:val="20"/>
                <w:u w:val="single"/>
              </w:rPr>
              <w:t>31</w:t>
            </w:r>
            <w:r>
              <w:rPr>
                <w:rFonts w:ascii="Arial" w:eastAsia="黑体" w:hAnsi="Arial" w:cs="Arial"/>
                <w:b/>
                <w:bCs/>
                <w:sz w:val="20"/>
                <w:u w:val="single"/>
              </w:rPr>
              <w:t>日</w:t>
            </w:r>
          </w:p>
        </w:tc>
        <w:tc>
          <w:tcPr>
            <w:tcW w:w="11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Chars="88" w:left="385" w:hangingChars="100" w:hanging="200"/>
              <w:rPr>
                <w:rFonts w:ascii="Arial" w:eastAsia="黑体" w:hAnsi="Arial" w:cs="Arial"/>
                <w:sz w:val="20"/>
              </w:rPr>
            </w:pPr>
            <w:r>
              <w:rPr>
                <w:rFonts w:ascii="Arial" w:eastAsia="黑体" w:hAnsi="Arial" w:cs="Arial"/>
                <w:sz w:val="20"/>
              </w:rPr>
              <w:t>现金及存放中央银行款项</w:t>
            </w:r>
          </w:p>
        </w:tc>
        <w:tc>
          <w:tcPr>
            <w:tcW w:w="921"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hint="eastAsia"/>
                <w:sz w:val="20"/>
              </w:rPr>
              <w:t>1</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ind w:rightChars="12" w:right="25"/>
              <w:jc w:val="right"/>
              <w:rPr>
                <w:rFonts w:ascii="Arial" w:eastAsia="黑体" w:hAnsi="Arial" w:cs="Arial"/>
                <w:sz w:val="20"/>
              </w:rPr>
            </w:pPr>
            <w:r>
              <w:rPr>
                <w:rFonts w:ascii="Arial" w:eastAsia="黑体" w:hAnsi="Arial" w:cs="Arial"/>
                <w:sz w:val="20"/>
              </w:rPr>
              <w:t>21,536,470,422.00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29,808,442,988.84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Chars="88" w:left="385" w:hangingChars="100" w:hanging="200"/>
              <w:rPr>
                <w:rFonts w:ascii="Arial" w:eastAsia="黑体" w:hAnsi="Arial" w:cs="Arial"/>
                <w:sz w:val="20"/>
              </w:rPr>
            </w:pPr>
            <w:r>
              <w:rPr>
                <w:rFonts w:ascii="Arial" w:eastAsia="黑体" w:hAnsi="Arial" w:cs="Arial"/>
                <w:sz w:val="20"/>
              </w:rPr>
              <w:t>存放同业及其他金融机构款项</w:t>
            </w: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ind w:rightChars="12" w:right="25"/>
              <w:jc w:val="right"/>
              <w:rPr>
                <w:rFonts w:ascii="Arial" w:eastAsia="黑体" w:hAnsi="Arial" w:cs="Arial"/>
                <w:sz w:val="20"/>
              </w:rPr>
            </w:pPr>
            <w:r>
              <w:rPr>
                <w:rFonts w:ascii="Arial" w:eastAsia="黑体" w:hAnsi="Arial" w:cs="Arial"/>
                <w:sz w:val="20"/>
              </w:rPr>
              <w:t>6,099,747,652.40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9,915,476,012.59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Chars="88" w:left="385" w:hangingChars="100" w:hanging="200"/>
              <w:rPr>
                <w:rFonts w:ascii="Arial" w:eastAsia="黑体" w:hAnsi="Arial" w:cs="Arial"/>
                <w:sz w:val="20"/>
              </w:rPr>
            </w:pPr>
            <w:r>
              <w:rPr>
                <w:rFonts w:ascii="Arial" w:eastAsia="黑体" w:hAnsi="Arial" w:cs="Arial"/>
                <w:sz w:val="20"/>
              </w:rPr>
              <w:t>拆出资金</w:t>
            </w: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ind w:rightChars="12" w:right="25"/>
              <w:jc w:val="right"/>
              <w:rPr>
                <w:rFonts w:ascii="Arial" w:eastAsia="黑体" w:hAnsi="Arial" w:cs="Arial"/>
                <w:sz w:val="20"/>
              </w:rPr>
            </w:pPr>
            <w:r>
              <w:rPr>
                <w:rFonts w:ascii="Arial" w:eastAsia="黑体" w:hAnsi="Arial" w:cs="Arial"/>
                <w:sz w:val="20"/>
              </w:rPr>
              <w:t>18,492,862,341.66</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14,274,869,541.49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Chars="88" w:left="385" w:hangingChars="100" w:hanging="200"/>
              <w:rPr>
                <w:rFonts w:ascii="Arial" w:eastAsia="黑体" w:hAnsi="Arial" w:cs="Arial"/>
                <w:sz w:val="20"/>
              </w:rPr>
            </w:pPr>
            <w:r>
              <w:rPr>
                <w:rFonts w:ascii="Arial" w:eastAsia="黑体" w:hAnsi="Arial" w:cs="Arial"/>
                <w:sz w:val="20"/>
              </w:rPr>
              <w:t>衍生金融资产</w:t>
            </w: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ind w:rightChars="12" w:right="25"/>
              <w:jc w:val="right"/>
              <w:rPr>
                <w:rFonts w:ascii="Arial" w:eastAsia="黑体" w:hAnsi="Arial" w:cs="Arial"/>
                <w:sz w:val="20"/>
              </w:rPr>
            </w:pPr>
            <w:r>
              <w:rPr>
                <w:rFonts w:ascii="Arial" w:eastAsia="黑体" w:hAnsi="Arial" w:cs="Arial"/>
                <w:sz w:val="20"/>
              </w:rPr>
              <w:t>1,831,245,164.76</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2,071,731,603.84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Chars="88" w:left="385" w:hangingChars="100" w:hanging="200"/>
              <w:rPr>
                <w:rFonts w:ascii="Arial" w:eastAsia="黑体" w:hAnsi="Arial" w:cs="Arial"/>
                <w:sz w:val="20"/>
              </w:rPr>
            </w:pPr>
            <w:r>
              <w:rPr>
                <w:rFonts w:ascii="Arial" w:eastAsia="黑体" w:hAnsi="Arial" w:cs="Arial"/>
                <w:sz w:val="20"/>
              </w:rPr>
              <w:t>买入返售金融资产</w:t>
            </w: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ind w:rightChars="12" w:right="25"/>
              <w:jc w:val="right"/>
              <w:rPr>
                <w:rFonts w:ascii="Arial" w:eastAsia="黑体" w:hAnsi="Arial" w:cs="Arial"/>
                <w:sz w:val="20"/>
              </w:rPr>
            </w:pPr>
            <w:r>
              <w:rPr>
                <w:rFonts w:ascii="Arial" w:eastAsia="黑体" w:hAnsi="Arial" w:cs="Arial"/>
                <w:sz w:val="20"/>
              </w:rPr>
              <w:t>1,712,499,474.63</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16,079,751,316.94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Chars="88" w:left="385" w:hangingChars="100" w:hanging="200"/>
              <w:rPr>
                <w:rFonts w:ascii="Arial" w:eastAsia="黑体" w:hAnsi="Arial" w:cs="Arial"/>
                <w:sz w:val="20"/>
              </w:rPr>
            </w:pPr>
            <w:r>
              <w:rPr>
                <w:rFonts w:ascii="Arial" w:eastAsia="黑体" w:hAnsi="Arial" w:cs="Arial"/>
                <w:sz w:val="20"/>
              </w:rPr>
              <w:t>发放贷款及垫款</w:t>
            </w:r>
          </w:p>
        </w:tc>
        <w:tc>
          <w:tcPr>
            <w:tcW w:w="921"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hint="eastAsia"/>
                <w:sz w:val="20"/>
              </w:rPr>
              <w:t>2</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ind w:rightChars="12" w:right="25"/>
              <w:jc w:val="right"/>
              <w:rPr>
                <w:rFonts w:ascii="Arial" w:eastAsia="黑体" w:hAnsi="Arial" w:cs="Arial"/>
                <w:sz w:val="20"/>
              </w:rPr>
            </w:pPr>
            <w:r>
              <w:rPr>
                <w:rFonts w:ascii="Arial" w:eastAsia="黑体" w:hAnsi="Arial" w:cs="Arial"/>
                <w:sz w:val="20"/>
              </w:rPr>
              <w:t>181,400,989,542.28</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181,666,724,223.97</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Chars="88" w:left="385" w:hangingChars="100" w:hanging="200"/>
              <w:rPr>
                <w:rFonts w:ascii="Arial" w:eastAsia="黑体" w:hAnsi="Arial" w:cs="Arial"/>
                <w:sz w:val="20"/>
              </w:rPr>
            </w:pPr>
            <w:r>
              <w:rPr>
                <w:rFonts w:ascii="Arial" w:eastAsia="黑体" w:hAnsi="Arial" w:cs="Arial"/>
                <w:sz w:val="20"/>
              </w:rPr>
              <w:t>金融投资</w:t>
            </w: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AD5BB5">
            <w:pPr>
              <w:autoSpaceDE w:val="0"/>
              <w:autoSpaceDN w:val="0"/>
              <w:ind w:rightChars="12" w:right="25"/>
              <w:jc w:val="right"/>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Chars="182" w:left="582" w:hangingChars="100" w:hanging="200"/>
              <w:rPr>
                <w:rFonts w:ascii="Arial" w:eastAsia="黑体" w:hAnsi="Arial" w:cs="Arial"/>
                <w:sz w:val="20"/>
              </w:rPr>
            </w:pPr>
            <w:proofErr w:type="gramStart"/>
            <w:r>
              <w:rPr>
                <w:rFonts w:ascii="Arial" w:eastAsia="黑体" w:hAnsi="Arial" w:cs="Arial"/>
                <w:sz w:val="20"/>
              </w:rPr>
              <w:t>—</w:t>
            </w:r>
            <w:r>
              <w:rPr>
                <w:rFonts w:ascii="Arial" w:eastAsia="黑体" w:hAnsi="Arial" w:cs="Arial"/>
                <w:sz w:val="20"/>
              </w:rPr>
              <w:t>交易</w:t>
            </w:r>
            <w:proofErr w:type="gramEnd"/>
            <w:r>
              <w:rPr>
                <w:rFonts w:ascii="Arial" w:eastAsia="黑体" w:hAnsi="Arial" w:cs="Arial"/>
                <w:sz w:val="20"/>
              </w:rPr>
              <w:t>性金融资产</w:t>
            </w: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ind w:rightChars="12" w:right="25"/>
              <w:jc w:val="right"/>
              <w:rPr>
                <w:rFonts w:ascii="Arial" w:eastAsia="黑体" w:hAnsi="Arial" w:cs="Arial"/>
                <w:sz w:val="20"/>
              </w:rPr>
            </w:pPr>
            <w:r>
              <w:rPr>
                <w:rFonts w:ascii="Arial" w:eastAsia="黑体" w:hAnsi="Arial" w:cs="Arial"/>
                <w:sz w:val="20"/>
              </w:rPr>
              <w:t>14,456,915,520.98</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15,399,555,660.26</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Chars="182" w:left="582" w:hangingChars="100" w:hanging="200"/>
              <w:rPr>
                <w:rFonts w:ascii="Arial" w:eastAsia="黑体" w:hAnsi="Arial" w:cs="Arial"/>
                <w:sz w:val="20"/>
              </w:rPr>
            </w:pPr>
            <w:r>
              <w:rPr>
                <w:rFonts w:ascii="Arial" w:eastAsia="黑体" w:hAnsi="Arial" w:cs="Arial"/>
                <w:sz w:val="20"/>
              </w:rPr>
              <w:t>—</w:t>
            </w:r>
            <w:r>
              <w:rPr>
                <w:rFonts w:ascii="Arial" w:eastAsia="黑体" w:hAnsi="Arial" w:cs="Arial"/>
                <w:sz w:val="20"/>
              </w:rPr>
              <w:t>债权投资</w:t>
            </w: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ind w:rightChars="12" w:right="25"/>
              <w:jc w:val="right"/>
              <w:rPr>
                <w:rFonts w:ascii="Arial" w:eastAsia="黑体" w:hAnsi="Arial" w:cs="Arial"/>
                <w:sz w:val="20"/>
              </w:rPr>
            </w:pPr>
            <w:r>
              <w:rPr>
                <w:rFonts w:ascii="Arial" w:eastAsia="黑体" w:hAnsi="Arial" w:cs="Arial"/>
                <w:sz w:val="20"/>
              </w:rPr>
              <w:t>49,917,651,439.32</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45,044,163,133.19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Chars="182" w:left="582" w:hangingChars="100" w:hanging="200"/>
              <w:rPr>
                <w:rFonts w:ascii="Arial" w:eastAsia="黑体" w:hAnsi="Arial" w:cs="Arial"/>
                <w:sz w:val="20"/>
              </w:rPr>
            </w:pPr>
            <w:proofErr w:type="gramStart"/>
            <w:r>
              <w:rPr>
                <w:rFonts w:ascii="Arial" w:eastAsia="黑体" w:hAnsi="Arial" w:cs="Arial"/>
                <w:sz w:val="20"/>
              </w:rPr>
              <w:t>—</w:t>
            </w:r>
            <w:r>
              <w:rPr>
                <w:rFonts w:ascii="Arial" w:eastAsia="黑体" w:hAnsi="Arial" w:cs="Arial"/>
                <w:sz w:val="20"/>
              </w:rPr>
              <w:t>其他</w:t>
            </w:r>
            <w:proofErr w:type="gramEnd"/>
            <w:r>
              <w:rPr>
                <w:rFonts w:ascii="Arial" w:eastAsia="黑体" w:hAnsi="Arial" w:cs="Arial"/>
                <w:sz w:val="20"/>
              </w:rPr>
              <w:t>债权投资</w:t>
            </w: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ind w:rightChars="12" w:right="25"/>
              <w:jc w:val="right"/>
              <w:rPr>
                <w:rFonts w:ascii="Arial" w:eastAsia="黑体" w:hAnsi="Arial" w:cs="Arial"/>
                <w:sz w:val="20"/>
              </w:rPr>
            </w:pPr>
            <w:r>
              <w:rPr>
                <w:rFonts w:ascii="Arial" w:eastAsia="黑体" w:hAnsi="Arial" w:cs="Arial"/>
                <w:sz w:val="20"/>
              </w:rPr>
              <w:t>38,698,026,779.20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39,299,346,153.82</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Chars="182" w:left="582" w:hangingChars="100" w:hanging="200"/>
              <w:rPr>
                <w:rFonts w:ascii="Arial" w:eastAsia="黑体" w:hAnsi="Arial" w:cs="Arial"/>
                <w:sz w:val="20"/>
              </w:rPr>
            </w:pPr>
            <w:proofErr w:type="gramStart"/>
            <w:r>
              <w:rPr>
                <w:rFonts w:ascii="Arial" w:eastAsia="黑体" w:hAnsi="Arial" w:cs="Arial"/>
                <w:sz w:val="20"/>
              </w:rPr>
              <w:t>—</w:t>
            </w:r>
            <w:r>
              <w:rPr>
                <w:rFonts w:ascii="Arial" w:eastAsia="黑体" w:hAnsi="Arial" w:cs="Arial"/>
                <w:sz w:val="20"/>
              </w:rPr>
              <w:t>其他</w:t>
            </w:r>
            <w:proofErr w:type="gramEnd"/>
            <w:r>
              <w:rPr>
                <w:rFonts w:ascii="Arial" w:eastAsia="黑体" w:hAnsi="Arial" w:cs="Arial"/>
                <w:sz w:val="20"/>
              </w:rPr>
              <w:t>权益工具投资</w:t>
            </w: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ind w:rightChars="12" w:right="25"/>
              <w:jc w:val="right"/>
              <w:rPr>
                <w:rFonts w:ascii="Arial" w:eastAsia="黑体" w:hAnsi="Arial" w:cs="Arial"/>
                <w:sz w:val="20"/>
              </w:rPr>
            </w:pPr>
            <w:r>
              <w:rPr>
                <w:rFonts w:ascii="Arial" w:eastAsia="黑体" w:hAnsi="Arial" w:cs="Arial"/>
                <w:sz w:val="20"/>
              </w:rPr>
              <w:t>96,061,014.21</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77,287,780.74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Chars="88" w:left="385" w:hangingChars="100" w:hanging="200"/>
              <w:rPr>
                <w:rFonts w:ascii="Arial" w:eastAsia="黑体" w:hAnsi="Arial" w:cs="Arial"/>
                <w:sz w:val="20"/>
              </w:rPr>
            </w:pPr>
            <w:r>
              <w:rPr>
                <w:rFonts w:ascii="Arial" w:eastAsia="黑体" w:hAnsi="Arial" w:cs="Arial"/>
                <w:sz w:val="20"/>
              </w:rPr>
              <w:t>长期股权投资</w:t>
            </w:r>
          </w:p>
        </w:tc>
        <w:tc>
          <w:tcPr>
            <w:tcW w:w="921"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sz w:val="20"/>
              </w:rPr>
              <w:t>3</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ind w:rightChars="12" w:right="25"/>
              <w:jc w:val="right"/>
              <w:rPr>
                <w:rFonts w:ascii="Arial" w:eastAsia="黑体" w:hAnsi="Arial" w:cs="Arial"/>
                <w:sz w:val="20"/>
              </w:rPr>
            </w:pPr>
            <w:r>
              <w:rPr>
                <w:rFonts w:ascii="Arial" w:eastAsia="黑体" w:hAnsi="Arial" w:cs="Arial"/>
                <w:sz w:val="20"/>
              </w:rPr>
              <w:t>927,000,000.00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927,000,000.00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Chars="88" w:left="385" w:hangingChars="100" w:hanging="200"/>
              <w:rPr>
                <w:rFonts w:ascii="Arial" w:eastAsia="黑体" w:hAnsi="Arial" w:cs="Arial"/>
                <w:sz w:val="20"/>
              </w:rPr>
            </w:pPr>
            <w:r>
              <w:rPr>
                <w:rFonts w:ascii="Arial" w:eastAsia="黑体" w:hAnsi="Arial" w:cs="Arial"/>
                <w:sz w:val="20"/>
              </w:rPr>
              <w:t>投资性房地产</w:t>
            </w: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ind w:rightChars="12" w:right="25"/>
              <w:jc w:val="right"/>
              <w:rPr>
                <w:rFonts w:ascii="Arial" w:eastAsia="黑体" w:hAnsi="Arial" w:cs="Arial"/>
                <w:sz w:val="20"/>
              </w:rPr>
            </w:pPr>
            <w:r>
              <w:rPr>
                <w:rFonts w:ascii="Arial" w:eastAsia="黑体" w:hAnsi="Arial" w:cs="Arial"/>
                <w:sz w:val="20"/>
              </w:rPr>
              <w:t>2,328,259.99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2,567,042.86</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Chars="88" w:left="385" w:hangingChars="100" w:hanging="200"/>
              <w:rPr>
                <w:rFonts w:ascii="Arial" w:eastAsia="黑体" w:hAnsi="Arial" w:cs="Arial"/>
                <w:sz w:val="20"/>
              </w:rPr>
            </w:pPr>
            <w:r>
              <w:rPr>
                <w:rFonts w:ascii="Arial" w:eastAsia="黑体" w:hAnsi="Arial" w:cs="Arial"/>
                <w:sz w:val="20"/>
              </w:rPr>
              <w:t>固定资产</w:t>
            </w: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ind w:rightChars="12" w:right="25"/>
              <w:jc w:val="right"/>
              <w:rPr>
                <w:rFonts w:ascii="Arial" w:eastAsia="黑体" w:hAnsi="Arial" w:cs="Arial"/>
                <w:sz w:val="20"/>
              </w:rPr>
            </w:pPr>
            <w:r>
              <w:rPr>
                <w:rFonts w:ascii="Arial" w:eastAsia="黑体" w:hAnsi="Arial" w:cs="Arial"/>
                <w:sz w:val="20"/>
              </w:rPr>
              <w:t>776,651,315.07</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798,382,453.97</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Chars="88" w:left="385" w:hangingChars="100" w:hanging="200"/>
              <w:rPr>
                <w:rFonts w:ascii="Arial" w:eastAsia="黑体" w:hAnsi="Arial" w:cs="Arial"/>
                <w:sz w:val="20"/>
              </w:rPr>
            </w:pPr>
            <w:r>
              <w:rPr>
                <w:rFonts w:ascii="Arial" w:eastAsia="黑体" w:hAnsi="Arial" w:cs="Arial"/>
                <w:sz w:val="20"/>
              </w:rPr>
              <w:t>在建工程</w:t>
            </w: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ind w:rightChars="12" w:right="25"/>
              <w:jc w:val="right"/>
              <w:rPr>
                <w:rFonts w:ascii="Arial" w:eastAsia="黑体" w:hAnsi="Arial" w:cs="Arial"/>
                <w:sz w:val="20"/>
              </w:rPr>
            </w:pPr>
            <w:r>
              <w:rPr>
                <w:rFonts w:ascii="Arial" w:eastAsia="黑体" w:hAnsi="Arial" w:cs="Arial"/>
                <w:sz w:val="20"/>
              </w:rPr>
              <w:t>249,269,091.96</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174,139,487.04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Chars="88" w:left="385" w:hangingChars="100" w:hanging="200"/>
              <w:rPr>
                <w:rFonts w:ascii="Arial" w:eastAsia="黑体" w:hAnsi="Arial" w:cs="Arial"/>
                <w:sz w:val="20"/>
              </w:rPr>
            </w:pPr>
            <w:r>
              <w:rPr>
                <w:rFonts w:ascii="Arial" w:eastAsia="黑体" w:hAnsi="Arial" w:cs="Arial"/>
                <w:sz w:val="20"/>
              </w:rPr>
              <w:t>无形资产</w:t>
            </w: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ind w:rightChars="12" w:right="25"/>
              <w:jc w:val="right"/>
              <w:rPr>
                <w:rFonts w:ascii="Arial" w:eastAsia="黑体" w:hAnsi="Arial" w:cs="Arial"/>
                <w:sz w:val="20"/>
              </w:rPr>
            </w:pPr>
            <w:r>
              <w:rPr>
                <w:rFonts w:ascii="Arial" w:eastAsia="黑体" w:hAnsi="Arial" w:cs="Arial"/>
                <w:sz w:val="20"/>
              </w:rPr>
              <w:t>477,912,866.99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460,402,527.65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Chars="88" w:left="385" w:hangingChars="100" w:hanging="200"/>
              <w:rPr>
                <w:rFonts w:ascii="Arial" w:eastAsia="黑体" w:hAnsi="Arial" w:cs="Arial"/>
                <w:sz w:val="20"/>
              </w:rPr>
            </w:pPr>
            <w:r>
              <w:rPr>
                <w:rFonts w:ascii="Arial" w:eastAsia="黑体" w:hAnsi="Arial" w:cs="Arial"/>
                <w:sz w:val="20"/>
              </w:rPr>
              <w:t>递延所得税资产</w:t>
            </w: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ind w:rightChars="12" w:right="25"/>
              <w:jc w:val="right"/>
              <w:rPr>
                <w:rFonts w:ascii="Arial" w:eastAsia="黑体" w:hAnsi="Arial" w:cs="Arial"/>
                <w:sz w:val="20"/>
              </w:rPr>
            </w:pPr>
            <w:r>
              <w:rPr>
                <w:rFonts w:ascii="Arial" w:eastAsia="黑体" w:hAnsi="Arial" w:cs="Arial"/>
                <w:sz w:val="20"/>
              </w:rPr>
              <w:t>1,441,486,733.57</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1,692,429,679.64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Chars="88" w:left="385" w:hangingChars="100" w:hanging="200"/>
              <w:rPr>
                <w:rFonts w:ascii="Arial" w:eastAsia="黑体" w:hAnsi="Arial" w:cs="Arial"/>
                <w:sz w:val="20"/>
              </w:rPr>
            </w:pPr>
            <w:r>
              <w:rPr>
                <w:rFonts w:ascii="Arial" w:eastAsia="黑体" w:hAnsi="Arial" w:cs="Arial"/>
                <w:sz w:val="20"/>
              </w:rPr>
              <w:t>其他资产</w:t>
            </w: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single" w:sz="4" w:space="0" w:color="auto"/>
              <w:right w:val="nil"/>
            </w:tcBorders>
            <w:vAlign w:val="bottom"/>
          </w:tcPr>
          <w:p w:rsidR="00AD5BB5" w:rsidRDefault="00F87FF6">
            <w:pPr>
              <w:autoSpaceDE w:val="0"/>
              <w:autoSpaceDN w:val="0"/>
              <w:ind w:rightChars="12" w:right="25"/>
              <w:jc w:val="right"/>
              <w:rPr>
                <w:rFonts w:ascii="Arial" w:eastAsia="黑体" w:hAnsi="Arial" w:cs="Arial"/>
                <w:sz w:val="20"/>
              </w:rPr>
            </w:pPr>
            <w:r>
              <w:rPr>
                <w:rFonts w:ascii="Arial" w:eastAsia="黑体" w:hAnsi="Arial" w:cs="Arial"/>
                <w:sz w:val="20"/>
              </w:rPr>
              <w:t>2,116,220,264.47</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1,691,539,876.27</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single" w:sz="4" w:space="0" w:color="auto"/>
              <w:left w:val="nil"/>
              <w:bottom w:val="nil"/>
              <w:right w:val="nil"/>
            </w:tcBorders>
            <w:vAlign w:val="bottom"/>
          </w:tcPr>
          <w:p w:rsidR="00AD5BB5" w:rsidRDefault="00AD5BB5">
            <w:pPr>
              <w:autoSpaceDE w:val="0"/>
              <w:autoSpaceDN w:val="0"/>
              <w:ind w:rightChars="12" w:right="25"/>
              <w:jc w:val="right"/>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201" w:hangingChars="100" w:hanging="201"/>
              <w:rPr>
                <w:rFonts w:ascii="Arial" w:eastAsia="黑体" w:hAnsi="Arial" w:cs="Arial"/>
                <w:b/>
                <w:bCs/>
                <w:sz w:val="20"/>
              </w:rPr>
            </w:pPr>
            <w:r>
              <w:rPr>
                <w:rFonts w:ascii="Arial" w:eastAsia="黑体" w:hAnsi="Arial" w:cs="Arial"/>
                <w:b/>
                <w:bCs/>
                <w:sz w:val="20"/>
              </w:rPr>
              <w:t>资产总计</w:t>
            </w: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2039" w:type="dxa"/>
            <w:tcBorders>
              <w:top w:val="nil"/>
              <w:left w:val="nil"/>
              <w:bottom w:val="double" w:sz="4" w:space="0" w:color="auto"/>
              <w:right w:val="nil"/>
            </w:tcBorders>
            <w:vAlign w:val="bottom"/>
          </w:tcPr>
          <w:p w:rsidR="00AD5BB5" w:rsidRDefault="00F87FF6">
            <w:pPr>
              <w:autoSpaceDE w:val="0"/>
              <w:autoSpaceDN w:val="0"/>
              <w:ind w:rightChars="12" w:right="25"/>
              <w:jc w:val="right"/>
              <w:rPr>
                <w:rFonts w:ascii="Arial" w:eastAsia="黑体" w:hAnsi="Arial" w:cs="Arial"/>
                <w:b/>
                <w:bCs/>
                <w:sz w:val="20"/>
              </w:rPr>
            </w:pPr>
            <w:r>
              <w:rPr>
                <w:rFonts w:ascii="Arial" w:eastAsia="黑体" w:hAnsi="Arial" w:cs="Arial"/>
                <w:b/>
                <w:bCs/>
                <w:sz w:val="20"/>
              </w:rPr>
              <w:t>340,233,337,883.49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203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359,383,809,483.11</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bl>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F87FF6">
      <w:pPr>
        <w:rPr>
          <w:rFonts w:ascii="Arial" w:hAnsi="Arial" w:cs="Arial"/>
        </w:rPr>
      </w:pPr>
      <w:r>
        <w:rPr>
          <w:rFonts w:ascii="Arial" w:eastAsia="黑体" w:hAnsi="Arial" w:cs="Arial"/>
          <w:i/>
          <w:sz w:val="20"/>
        </w:rPr>
        <w:t>后附财务报表附注为本财务报表的组成部分</w:t>
      </w:r>
      <w:r>
        <w:rPr>
          <w:rFonts w:ascii="Arial" w:hAnsi="Arial" w:cs="Arial"/>
        </w:rPr>
        <w:br w:type="page"/>
      </w:r>
    </w:p>
    <w:p w:rsidR="00AD5BB5" w:rsidRDefault="00AD5BB5">
      <w:pPr>
        <w:rPr>
          <w:rFonts w:ascii="Arial" w:eastAsia="黑体" w:hAnsi="Arial" w:cs="Arial"/>
          <w:sz w:val="22"/>
        </w:rPr>
      </w:pPr>
    </w:p>
    <w:p w:rsidR="00AD5BB5" w:rsidRDefault="00AD5BB5">
      <w:pPr>
        <w:rPr>
          <w:rFonts w:ascii="Arial" w:eastAsia="黑体" w:hAnsi="Arial" w:cs="Arial"/>
          <w:sz w:val="22"/>
        </w:rPr>
      </w:pPr>
    </w:p>
    <w:tbl>
      <w:tblPr>
        <w:tblW w:w="0" w:type="auto"/>
        <w:tblLayout w:type="fixed"/>
        <w:tblCellMar>
          <w:left w:w="0" w:type="dxa"/>
          <w:right w:w="0" w:type="dxa"/>
        </w:tblCellMar>
        <w:tblLook w:val="04A0" w:firstRow="1" w:lastRow="0" w:firstColumn="1" w:lastColumn="0" w:noHBand="0" w:noVBand="1"/>
        <w:tblCaption w:val="891d90ba-901c-4081-b3a8-14d1dedcecc3"/>
        <w:tblDescription w:val="{&quot;UUID&quot;:&quot;afsaddin_tabledata_2_56437_891d90ba-901c-4081-b3a8-14d1dedcecc3&quot;,&quot;TitleRowCount&quot;:2,&quot;SplitedTable&quot;:true,&quot;FirstTableId&quot;:&quot;39c1a830-0f59-4888-a646-6afc6f6d7a34&quot;}"/>
      </w:tblPr>
      <w:tblGrid>
        <w:gridCol w:w="2975"/>
        <w:gridCol w:w="921"/>
        <w:gridCol w:w="113"/>
        <w:gridCol w:w="2039"/>
        <w:gridCol w:w="113"/>
        <w:gridCol w:w="113"/>
        <w:gridCol w:w="2039"/>
        <w:gridCol w:w="113"/>
      </w:tblGrid>
      <w:tr w:rsidR="00AD5BB5">
        <w:tc>
          <w:tcPr>
            <w:tcW w:w="2975" w:type="dxa"/>
            <w:tcBorders>
              <w:top w:val="nil"/>
              <w:left w:val="nil"/>
              <w:bottom w:val="nil"/>
              <w:right w:val="nil"/>
            </w:tcBorders>
            <w:vAlign w:val="bottom"/>
          </w:tcPr>
          <w:p w:rsidR="00AD5BB5" w:rsidRDefault="00F87FF6">
            <w:pPr>
              <w:autoSpaceDE w:val="0"/>
              <w:autoSpaceDN w:val="0"/>
              <w:ind w:left="201" w:hangingChars="100" w:hanging="201"/>
              <w:rPr>
                <w:rFonts w:ascii="Arial" w:eastAsia="黑体" w:hAnsi="Arial" w:cs="Arial"/>
                <w:b/>
                <w:bCs/>
                <w:sz w:val="20"/>
                <w:u w:val="single"/>
              </w:rPr>
            </w:pPr>
            <w:r>
              <w:rPr>
                <w:rFonts w:ascii="Arial" w:eastAsia="黑体" w:hAnsi="Arial" w:cs="Arial"/>
                <w:b/>
                <w:bCs/>
                <w:sz w:val="20"/>
                <w:u w:val="single"/>
              </w:rPr>
              <w:t>负债和股东权益</w:t>
            </w:r>
          </w:p>
        </w:tc>
        <w:tc>
          <w:tcPr>
            <w:tcW w:w="921" w:type="dxa"/>
            <w:tcBorders>
              <w:top w:val="nil"/>
              <w:left w:val="nil"/>
              <w:bottom w:val="nil"/>
              <w:right w:val="nil"/>
            </w:tcBorders>
            <w:vAlign w:val="bottom"/>
          </w:tcPr>
          <w:p w:rsidR="00AD5BB5" w:rsidRDefault="00F87FF6">
            <w:pPr>
              <w:autoSpaceDE w:val="0"/>
              <w:autoSpaceDN w:val="0"/>
              <w:jc w:val="center"/>
              <w:rPr>
                <w:rFonts w:ascii="Arial" w:eastAsia="黑体" w:hAnsi="Arial" w:cs="Arial"/>
                <w:b/>
                <w:bCs/>
                <w:sz w:val="20"/>
                <w:u w:val="single"/>
              </w:rPr>
            </w:pPr>
            <w:r>
              <w:rPr>
                <w:rFonts w:ascii="Arial" w:eastAsia="黑体" w:hAnsi="Arial" w:cs="Arial"/>
                <w:b/>
                <w:bCs/>
                <w:sz w:val="20"/>
                <w:u w:val="single"/>
              </w:rPr>
              <w:t>附注十四</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u w:val="single"/>
              </w:rPr>
              <w:fldChar w:fldCharType="begin"/>
            </w:r>
            <w:r>
              <w:rPr>
                <w:rFonts w:ascii="Arial" w:eastAsia="黑体" w:hAnsi="Arial" w:cs="Arial"/>
                <w:b/>
                <w:bCs/>
                <w:sz w:val="20"/>
                <w:u w:val="single"/>
              </w:rPr>
              <w:instrText xml:space="preserve"> DOCPROPERTY </w:instrText>
            </w:r>
            <w:r>
              <w:rPr>
                <w:rFonts w:ascii="Arial" w:eastAsia="黑体" w:hAnsi="Arial" w:cs="Arial"/>
                <w:b/>
                <w:bCs/>
                <w:sz w:val="20"/>
                <w:u w:val="single"/>
              </w:rPr>
              <w:instrText>当期资产负债表日</w:instrText>
            </w:r>
            <w:r>
              <w:rPr>
                <w:rFonts w:ascii="Arial" w:eastAsia="黑体" w:hAnsi="Arial" w:cs="Arial"/>
                <w:b/>
                <w:bCs/>
                <w:sz w:val="20"/>
                <w:u w:val="single"/>
              </w:rPr>
              <w:instrText xml:space="preserve"> </w:instrText>
            </w:r>
            <w:r>
              <w:rPr>
                <w:rFonts w:ascii="Arial" w:eastAsia="黑体" w:hAnsi="Arial" w:cs="Arial"/>
                <w:b/>
                <w:bCs/>
                <w:sz w:val="20"/>
                <w:u w:val="single"/>
              </w:rPr>
              <w:fldChar w:fldCharType="separate"/>
            </w:r>
            <w:r>
              <w:rPr>
                <w:rFonts w:ascii="Arial" w:eastAsia="黑体" w:hAnsi="Arial" w:cs="Arial"/>
                <w:b/>
                <w:bCs/>
                <w:sz w:val="20"/>
                <w:u w:val="single"/>
              </w:rPr>
              <w:t>2023</w:t>
            </w:r>
            <w:r>
              <w:rPr>
                <w:rFonts w:ascii="Arial" w:eastAsia="黑体" w:hAnsi="Arial" w:cs="Arial"/>
                <w:b/>
                <w:bCs/>
                <w:sz w:val="20"/>
                <w:u w:val="single"/>
              </w:rPr>
              <w:t>年</w:t>
            </w:r>
            <w:r>
              <w:rPr>
                <w:rFonts w:ascii="Arial" w:eastAsia="黑体" w:hAnsi="Arial" w:cs="Arial"/>
                <w:b/>
                <w:bCs/>
                <w:sz w:val="20"/>
                <w:u w:val="single"/>
              </w:rPr>
              <w:t>6</w:t>
            </w:r>
            <w:r>
              <w:rPr>
                <w:rFonts w:ascii="Arial" w:eastAsia="黑体" w:hAnsi="Arial" w:cs="Arial"/>
                <w:b/>
                <w:bCs/>
                <w:sz w:val="20"/>
                <w:u w:val="single"/>
              </w:rPr>
              <w:t>月</w:t>
            </w:r>
            <w:r>
              <w:rPr>
                <w:rFonts w:ascii="Arial" w:eastAsia="黑体" w:hAnsi="Arial" w:cs="Arial"/>
                <w:b/>
                <w:bCs/>
                <w:sz w:val="20"/>
                <w:u w:val="single"/>
              </w:rPr>
              <w:t>30</w:t>
            </w:r>
            <w:r>
              <w:rPr>
                <w:rFonts w:ascii="Arial" w:eastAsia="黑体" w:hAnsi="Arial" w:cs="Arial"/>
                <w:b/>
                <w:bCs/>
                <w:sz w:val="20"/>
                <w:u w:val="single"/>
              </w:rPr>
              <w:t>日</w:t>
            </w:r>
            <w:r>
              <w:rPr>
                <w:rFonts w:ascii="Arial" w:eastAsia="黑体" w:hAnsi="Arial" w:cs="Arial"/>
                <w:b/>
                <w:bCs/>
                <w:sz w:val="20"/>
                <w:u w:val="single"/>
              </w:rPr>
              <w:fldChar w:fldCharType="end"/>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u w:val="single"/>
              </w:rPr>
              <w:t>2022</w:t>
            </w:r>
            <w:r>
              <w:rPr>
                <w:rFonts w:ascii="Arial" w:eastAsia="黑体" w:hAnsi="Arial" w:cs="Arial"/>
                <w:b/>
                <w:bCs/>
                <w:sz w:val="20"/>
                <w:u w:val="single"/>
              </w:rPr>
              <w:t>年</w:t>
            </w:r>
            <w:r>
              <w:rPr>
                <w:rFonts w:ascii="Arial" w:eastAsia="黑体" w:hAnsi="Arial" w:cs="Arial"/>
                <w:b/>
                <w:bCs/>
                <w:sz w:val="20"/>
                <w:u w:val="single"/>
              </w:rPr>
              <w:t>12</w:t>
            </w:r>
            <w:r>
              <w:rPr>
                <w:rFonts w:ascii="Arial" w:eastAsia="黑体" w:hAnsi="Arial" w:cs="Arial"/>
                <w:b/>
                <w:bCs/>
                <w:sz w:val="20"/>
                <w:u w:val="single"/>
              </w:rPr>
              <w:t>月</w:t>
            </w:r>
            <w:r>
              <w:rPr>
                <w:rFonts w:ascii="Arial" w:eastAsia="黑体" w:hAnsi="Arial" w:cs="Arial"/>
                <w:b/>
                <w:bCs/>
                <w:sz w:val="20"/>
                <w:u w:val="single"/>
              </w:rPr>
              <w:t>31</w:t>
            </w:r>
            <w:r>
              <w:rPr>
                <w:rFonts w:ascii="Arial" w:eastAsia="黑体" w:hAnsi="Arial" w:cs="Arial"/>
                <w:b/>
                <w:bCs/>
                <w:sz w:val="20"/>
                <w:u w:val="single"/>
              </w:rPr>
              <w:t>日</w:t>
            </w:r>
          </w:p>
        </w:tc>
        <w:tc>
          <w:tcPr>
            <w:tcW w:w="11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92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Chars="106" w:left="423" w:hangingChars="100" w:hanging="200"/>
              <w:rPr>
                <w:rFonts w:ascii="Arial" w:eastAsia="黑体" w:hAnsi="Arial" w:cs="Arial"/>
                <w:sz w:val="20"/>
              </w:rPr>
            </w:pPr>
            <w:r>
              <w:rPr>
                <w:rFonts w:ascii="Arial" w:eastAsia="黑体" w:hAnsi="Arial" w:cs="Arial"/>
                <w:sz w:val="20"/>
              </w:rPr>
              <w:t>向中央银行借款</w:t>
            </w: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8,399,274,703.47</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8,935,700,000.01</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Chars="106" w:left="423" w:hangingChars="100" w:hanging="200"/>
              <w:rPr>
                <w:rFonts w:ascii="Arial" w:eastAsia="黑体" w:hAnsi="Arial" w:cs="Arial"/>
                <w:sz w:val="20"/>
              </w:rPr>
            </w:pPr>
            <w:r>
              <w:rPr>
                <w:rFonts w:ascii="Arial" w:eastAsia="黑体" w:hAnsi="Arial" w:cs="Arial"/>
                <w:sz w:val="20"/>
              </w:rPr>
              <w:t>同业及其他金融机构存放款项</w:t>
            </w:r>
          </w:p>
        </w:tc>
        <w:tc>
          <w:tcPr>
            <w:tcW w:w="921"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hint="eastAsia"/>
                <w:sz w:val="20"/>
              </w:rPr>
              <w:t>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10,156,608,487.04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13,429,052,061.25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Chars="106" w:left="423" w:hangingChars="100" w:hanging="200"/>
              <w:rPr>
                <w:rFonts w:ascii="Arial" w:eastAsia="黑体" w:hAnsi="Arial" w:cs="Arial"/>
                <w:sz w:val="20"/>
              </w:rPr>
            </w:pPr>
            <w:r>
              <w:rPr>
                <w:rFonts w:ascii="Arial" w:eastAsia="黑体" w:hAnsi="Arial" w:cs="Arial"/>
                <w:sz w:val="20"/>
              </w:rPr>
              <w:t>拆入资金</w:t>
            </w:r>
          </w:p>
        </w:tc>
        <w:tc>
          <w:tcPr>
            <w:tcW w:w="921"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hint="eastAsia"/>
                <w:sz w:val="20"/>
              </w:rPr>
              <w:t>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14,101,755,665.24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12,796,763,098.16</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Chars="106" w:left="423" w:hangingChars="100" w:hanging="200"/>
              <w:rPr>
                <w:rFonts w:ascii="Arial" w:eastAsia="黑体" w:hAnsi="Arial" w:cs="Arial"/>
                <w:sz w:val="20"/>
              </w:rPr>
            </w:pPr>
            <w:r>
              <w:rPr>
                <w:rFonts w:ascii="Arial" w:eastAsia="黑体" w:hAnsi="Arial" w:cs="Arial"/>
                <w:sz w:val="20"/>
              </w:rPr>
              <w:t>交易性金融负债</w:t>
            </w: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103,125,441.55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2,849,303.95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Chars="106" w:left="423" w:hangingChars="100" w:hanging="200"/>
              <w:rPr>
                <w:rFonts w:ascii="Arial" w:eastAsia="黑体" w:hAnsi="Arial" w:cs="Arial"/>
                <w:sz w:val="20"/>
              </w:rPr>
            </w:pPr>
            <w:r>
              <w:rPr>
                <w:rFonts w:ascii="Arial" w:eastAsia="黑体" w:hAnsi="Arial" w:cs="Arial"/>
                <w:sz w:val="20"/>
              </w:rPr>
              <w:t>卖出回购金融资产款</w:t>
            </w: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13,282,818,972.83</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19,851,821,327.97</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Chars="106" w:left="423" w:hangingChars="100" w:hanging="200"/>
              <w:rPr>
                <w:rFonts w:ascii="Arial" w:eastAsia="黑体" w:hAnsi="Arial" w:cs="Arial"/>
                <w:sz w:val="20"/>
              </w:rPr>
            </w:pPr>
            <w:r>
              <w:rPr>
                <w:rFonts w:ascii="Arial" w:eastAsia="黑体" w:hAnsi="Arial" w:cs="Arial"/>
                <w:sz w:val="20"/>
              </w:rPr>
              <w:t>衍生金融负债</w:t>
            </w: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1,817,927,155.15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2,278,585,435.40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Chars="106" w:left="423" w:hangingChars="100" w:hanging="200"/>
              <w:rPr>
                <w:rFonts w:ascii="Arial" w:eastAsia="黑体" w:hAnsi="Arial" w:cs="Arial"/>
                <w:sz w:val="20"/>
              </w:rPr>
            </w:pPr>
            <w:r>
              <w:rPr>
                <w:rFonts w:ascii="Arial" w:eastAsia="黑体" w:hAnsi="Arial" w:cs="Arial"/>
                <w:sz w:val="20"/>
              </w:rPr>
              <w:t>吸收存款</w:t>
            </w: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187,645,660,454.87</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207,014,863,871.46</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Chars="106" w:left="423" w:hangingChars="100" w:hanging="200"/>
              <w:rPr>
                <w:rFonts w:ascii="Arial" w:eastAsia="黑体" w:hAnsi="Arial" w:cs="Arial"/>
                <w:sz w:val="20"/>
              </w:rPr>
            </w:pPr>
            <w:r>
              <w:rPr>
                <w:rFonts w:ascii="Arial" w:eastAsia="黑体" w:hAnsi="Arial" w:cs="Arial"/>
                <w:sz w:val="20"/>
              </w:rPr>
              <w:t>应付职工薪酬</w:t>
            </w: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391,077,465.96</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445,879,961.89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Chars="106" w:left="423" w:hangingChars="100" w:hanging="200"/>
              <w:rPr>
                <w:rFonts w:ascii="Arial" w:eastAsia="黑体" w:hAnsi="Arial" w:cs="Arial"/>
                <w:sz w:val="20"/>
              </w:rPr>
            </w:pPr>
            <w:r>
              <w:rPr>
                <w:rFonts w:ascii="Arial" w:eastAsia="黑体" w:hAnsi="Arial" w:cs="Arial"/>
                <w:sz w:val="20"/>
              </w:rPr>
              <w:t>应交税费</w:t>
            </w: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116,929,071.34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162,293,637.14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Chars="106" w:left="423" w:hangingChars="100" w:hanging="200"/>
              <w:rPr>
                <w:rFonts w:ascii="Arial" w:eastAsia="黑体" w:hAnsi="Arial" w:cs="Arial"/>
                <w:sz w:val="20"/>
              </w:rPr>
            </w:pPr>
            <w:r>
              <w:rPr>
                <w:rFonts w:ascii="Arial" w:eastAsia="黑体" w:hAnsi="Arial" w:cs="Arial"/>
                <w:sz w:val="20"/>
              </w:rPr>
              <w:t>应付债券</w:t>
            </w: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76,652,515,081.63</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68,876,417,057.03</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Chars="106" w:left="423" w:hangingChars="100" w:hanging="200"/>
              <w:rPr>
                <w:rFonts w:ascii="Arial" w:eastAsia="黑体" w:hAnsi="Arial" w:cs="Arial"/>
                <w:sz w:val="20"/>
              </w:rPr>
            </w:pPr>
            <w:r>
              <w:rPr>
                <w:rFonts w:ascii="Arial" w:eastAsia="黑体" w:hAnsi="Arial" w:cs="Arial"/>
                <w:sz w:val="20"/>
              </w:rPr>
              <w:t>预计负债</w:t>
            </w: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312,892,259.86</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473,824,172.88</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Chars="106" w:left="423" w:hangingChars="100" w:hanging="200"/>
              <w:rPr>
                <w:rFonts w:ascii="Arial" w:eastAsia="黑体" w:hAnsi="Arial" w:cs="Arial"/>
                <w:sz w:val="20"/>
              </w:rPr>
            </w:pPr>
            <w:r>
              <w:rPr>
                <w:rFonts w:ascii="Arial" w:eastAsia="黑体" w:hAnsi="Arial" w:cs="Arial"/>
                <w:sz w:val="20"/>
              </w:rPr>
              <w:t>其他负债</w:t>
            </w: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2,572,234,782.16</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1,276,797,293.10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201" w:hangingChars="100" w:hanging="201"/>
              <w:rPr>
                <w:rFonts w:ascii="Arial" w:eastAsia="黑体" w:hAnsi="Arial" w:cs="Arial"/>
                <w:b/>
                <w:bCs/>
                <w:sz w:val="20"/>
              </w:rPr>
            </w:pPr>
            <w:r>
              <w:rPr>
                <w:rFonts w:ascii="Arial" w:eastAsia="黑体" w:hAnsi="Arial" w:cs="Arial"/>
                <w:b/>
                <w:bCs/>
                <w:sz w:val="20"/>
              </w:rPr>
              <w:t>负债合计</w:t>
            </w: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203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315,552,819,541.10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203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335,544,847,220.24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Chars="94" w:left="397" w:hangingChars="100" w:hanging="200"/>
              <w:rPr>
                <w:rFonts w:ascii="Arial" w:eastAsia="黑体" w:hAnsi="Arial" w:cs="Arial"/>
                <w:sz w:val="20"/>
              </w:rPr>
            </w:pPr>
            <w:r>
              <w:rPr>
                <w:rFonts w:ascii="Arial" w:eastAsia="黑体" w:hAnsi="Arial" w:cs="Arial"/>
                <w:sz w:val="20"/>
              </w:rPr>
              <w:t>股本</w:t>
            </w: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2,639,127,888.00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2,639,127,888.00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Chars="94" w:left="397" w:hangingChars="100" w:hanging="200"/>
              <w:rPr>
                <w:rFonts w:ascii="Arial" w:eastAsia="黑体" w:hAnsi="Arial" w:cs="Arial"/>
                <w:sz w:val="20"/>
              </w:rPr>
            </w:pPr>
            <w:r>
              <w:rPr>
                <w:rFonts w:ascii="Arial" w:eastAsia="黑体" w:hAnsi="Arial" w:cs="Arial"/>
                <w:sz w:val="20"/>
              </w:rPr>
              <w:t>其他权益工具</w:t>
            </w: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2,498,552,830.19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2,498,552,830.19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Chars="194" w:left="1207" w:hangingChars="400" w:hanging="800"/>
              <w:rPr>
                <w:rFonts w:ascii="Arial" w:eastAsia="黑体" w:hAnsi="Arial" w:cs="Arial"/>
                <w:sz w:val="20"/>
              </w:rPr>
            </w:pPr>
            <w:r>
              <w:rPr>
                <w:rFonts w:ascii="Arial" w:eastAsia="黑体" w:hAnsi="Arial" w:cs="Arial"/>
                <w:sz w:val="20"/>
              </w:rPr>
              <w:t>其中：永续债</w:t>
            </w: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2,498,552,830.19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2,498,552,830.19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Chars="94" w:left="397" w:hangingChars="100" w:hanging="200"/>
              <w:rPr>
                <w:rFonts w:ascii="Arial" w:eastAsia="黑体" w:hAnsi="Arial" w:cs="Arial"/>
                <w:sz w:val="20"/>
              </w:rPr>
            </w:pPr>
            <w:r>
              <w:rPr>
                <w:rFonts w:ascii="Arial" w:eastAsia="黑体" w:hAnsi="Arial" w:cs="Arial"/>
                <w:sz w:val="20"/>
              </w:rPr>
              <w:t>资本公积</w:t>
            </w: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6,792,174,486.75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6,792,174,486.75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Chars="94" w:left="397" w:hangingChars="100" w:hanging="200"/>
              <w:rPr>
                <w:rFonts w:ascii="Arial" w:eastAsia="黑体" w:hAnsi="Arial" w:cs="Arial"/>
                <w:sz w:val="20"/>
              </w:rPr>
            </w:pPr>
            <w:r>
              <w:rPr>
                <w:rFonts w:ascii="Arial" w:eastAsia="黑体" w:hAnsi="Arial" w:cs="Arial"/>
                <w:sz w:val="20"/>
              </w:rPr>
              <w:t>其他综合收益</w:t>
            </w: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316,319,242.67</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(39,410,194.67</w:t>
            </w:r>
          </w:p>
        </w:tc>
        <w:tc>
          <w:tcPr>
            <w:tcW w:w="113"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r>
      <w:tr w:rsidR="00AD5BB5">
        <w:tc>
          <w:tcPr>
            <w:tcW w:w="2975" w:type="dxa"/>
            <w:tcBorders>
              <w:top w:val="nil"/>
              <w:left w:val="nil"/>
              <w:bottom w:val="nil"/>
              <w:right w:val="nil"/>
            </w:tcBorders>
            <w:vAlign w:val="bottom"/>
          </w:tcPr>
          <w:p w:rsidR="00AD5BB5" w:rsidRDefault="00F87FF6">
            <w:pPr>
              <w:autoSpaceDE w:val="0"/>
              <w:autoSpaceDN w:val="0"/>
              <w:ind w:leftChars="94" w:left="397" w:hangingChars="100" w:hanging="200"/>
              <w:rPr>
                <w:rFonts w:ascii="Arial" w:eastAsia="黑体" w:hAnsi="Arial" w:cs="Arial"/>
                <w:sz w:val="20"/>
              </w:rPr>
            </w:pPr>
            <w:r>
              <w:rPr>
                <w:rFonts w:ascii="Arial" w:eastAsia="黑体" w:hAnsi="Arial" w:cs="Arial"/>
                <w:sz w:val="20"/>
              </w:rPr>
              <w:t>盈余公积</w:t>
            </w: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1,514,561,559.19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1,514,561,559.19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Chars="94" w:left="397" w:hangingChars="100" w:hanging="200"/>
              <w:rPr>
                <w:rFonts w:ascii="Arial" w:eastAsia="黑体" w:hAnsi="Arial" w:cs="Arial"/>
                <w:sz w:val="20"/>
              </w:rPr>
            </w:pPr>
            <w:r>
              <w:rPr>
                <w:rFonts w:ascii="Arial" w:eastAsia="黑体" w:hAnsi="Arial" w:cs="Arial"/>
                <w:sz w:val="20"/>
              </w:rPr>
              <w:t>一般风险准备</w:t>
            </w: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3,912,128,785.76</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3,912,128,785.76</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Chars="94" w:left="397" w:hangingChars="100" w:hanging="200"/>
              <w:rPr>
                <w:rFonts w:ascii="Arial" w:eastAsia="黑体" w:hAnsi="Arial" w:cs="Arial"/>
                <w:sz w:val="20"/>
              </w:rPr>
            </w:pPr>
            <w:r>
              <w:rPr>
                <w:rFonts w:ascii="Arial" w:eastAsia="黑体" w:hAnsi="Arial" w:cs="Arial"/>
                <w:sz w:val="20"/>
              </w:rPr>
              <w:t>未分配利润</w:t>
            </w: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7,007,653,549.83</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6,521,826,907.65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201" w:hangingChars="100" w:hanging="201"/>
              <w:rPr>
                <w:rFonts w:ascii="Arial" w:eastAsia="黑体" w:hAnsi="Arial" w:cs="Arial"/>
                <w:b/>
                <w:bCs/>
                <w:sz w:val="20"/>
              </w:rPr>
            </w:pPr>
            <w:r>
              <w:rPr>
                <w:rFonts w:ascii="Arial" w:eastAsia="黑体" w:hAnsi="Arial" w:cs="Arial"/>
                <w:b/>
                <w:bCs/>
                <w:sz w:val="20"/>
              </w:rPr>
              <w:t>股东权益合计</w:t>
            </w: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203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24,680,518,342.39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203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23,838,962,262.87</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F87FF6">
            <w:pPr>
              <w:autoSpaceDE w:val="0"/>
              <w:autoSpaceDN w:val="0"/>
              <w:ind w:left="201" w:hangingChars="100" w:hanging="201"/>
              <w:rPr>
                <w:rFonts w:ascii="Arial" w:eastAsia="黑体" w:hAnsi="Arial" w:cs="Arial"/>
                <w:b/>
                <w:bCs/>
                <w:sz w:val="20"/>
              </w:rPr>
            </w:pPr>
            <w:r>
              <w:rPr>
                <w:rFonts w:ascii="Arial" w:eastAsia="黑体" w:hAnsi="Arial" w:cs="Arial"/>
                <w:b/>
                <w:bCs/>
                <w:sz w:val="20"/>
              </w:rPr>
              <w:t>负债和股东权益总计</w:t>
            </w: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203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340,233,337,883.49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203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359,383,809,483.11</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2975"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9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39"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bl>
    <w:p w:rsidR="00AD5BB5" w:rsidRDefault="00AD5BB5">
      <w:pPr>
        <w:rPr>
          <w:rFonts w:ascii="Arial" w:hAnsi="Arial" w:cs="Arial"/>
          <w:sz w:val="20"/>
        </w:rPr>
      </w:pPr>
    </w:p>
    <w:p w:rsidR="00AD5BB5" w:rsidRDefault="00F87FF6">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rPr>
      </w:pPr>
      <w:r>
        <w:rPr>
          <w:rFonts w:ascii="Arial" w:eastAsia="黑体" w:hAnsi="Arial" w:cs="Arial"/>
          <w:sz w:val="20"/>
        </w:rPr>
        <w:t>本财务报表已于</w:t>
      </w:r>
      <w:r>
        <w:rPr>
          <w:rFonts w:ascii="Arial" w:eastAsia="黑体" w:hAnsi="Arial" w:cs="Arial"/>
          <w:sz w:val="20"/>
        </w:rPr>
        <w:fldChar w:fldCharType="begin"/>
      </w:r>
      <w:r>
        <w:rPr>
          <w:rFonts w:ascii="Arial" w:eastAsia="黑体" w:hAnsi="Arial" w:cs="Arial"/>
          <w:sz w:val="20"/>
        </w:rPr>
        <w:instrText xml:space="preserve"> DOCPROPERTY </w:instrText>
      </w:r>
      <w:r>
        <w:rPr>
          <w:rFonts w:ascii="Arial" w:eastAsia="黑体" w:hAnsi="Arial" w:cs="Arial"/>
          <w:sz w:val="20"/>
        </w:rPr>
        <w:instrText>报告日</w:instrText>
      </w:r>
      <w:r>
        <w:rPr>
          <w:rFonts w:ascii="Arial" w:eastAsia="黑体" w:hAnsi="Arial" w:cs="Arial"/>
          <w:sz w:val="20"/>
        </w:rPr>
        <w:instrText xml:space="preserve"> </w:instrText>
      </w:r>
      <w:r>
        <w:rPr>
          <w:rFonts w:ascii="Arial" w:eastAsia="黑体" w:hAnsi="Arial" w:cs="Arial"/>
          <w:sz w:val="20"/>
        </w:rPr>
        <w:fldChar w:fldCharType="separate"/>
      </w:r>
      <w:r>
        <w:rPr>
          <w:rFonts w:ascii="Arial" w:eastAsia="黑体" w:hAnsi="Arial" w:cs="Arial"/>
          <w:sz w:val="20"/>
        </w:rPr>
        <w:t>2023</w:t>
      </w:r>
      <w:r>
        <w:rPr>
          <w:rFonts w:ascii="Arial" w:eastAsia="黑体" w:hAnsi="Arial" w:cs="Arial"/>
          <w:sz w:val="20"/>
        </w:rPr>
        <w:t>年</w:t>
      </w:r>
      <w:r>
        <w:rPr>
          <w:rFonts w:ascii="Arial" w:eastAsia="黑体" w:hAnsi="Arial" w:cs="Arial"/>
          <w:sz w:val="20"/>
        </w:rPr>
        <w:t>8</w:t>
      </w:r>
      <w:r>
        <w:rPr>
          <w:rFonts w:ascii="Arial" w:eastAsia="黑体" w:hAnsi="Arial" w:cs="Arial"/>
          <w:sz w:val="20"/>
        </w:rPr>
        <w:t>月</w:t>
      </w:r>
      <w:r>
        <w:rPr>
          <w:rFonts w:ascii="Arial" w:eastAsia="黑体" w:hAnsi="Arial" w:cs="Arial"/>
          <w:sz w:val="20"/>
        </w:rPr>
        <w:t>28</w:t>
      </w:r>
      <w:r>
        <w:rPr>
          <w:rFonts w:ascii="Arial" w:eastAsia="黑体" w:hAnsi="Arial" w:cs="Arial"/>
          <w:sz w:val="20"/>
        </w:rPr>
        <w:t>日</w:t>
      </w:r>
      <w:r>
        <w:rPr>
          <w:rFonts w:ascii="Arial" w:eastAsia="黑体" w:hAnsi="Arial" w:cs="Arial"/>
          <w:sz w:val="20"/>
        </w:rPr>
        <w:fldChar w:fldCharType="end"/>
      </w:r>
      <w:r>
        <w:rPr>
          <w:rFonts w:ascii="Arial" w:eastAsia="黑体" w:hAnsi="Arial" w:cs="Arial"/>
          <w:sz w:val="20"/>
        </w:rPr>
        <w:t>获本行董事会批准。</w:t>
      </w:r>
    </w:p>
    <w:p w:rsidR="00AD5BB5" w:rsidRDefault="00AD5BB5">
      <w:pPr>
        <w:overflowPunct w:val="0"/>
        <w:autoSpaceDE w:val="0"/>
        <w:autoSpaceDN w:val="0"/>
        <w:snapToGrid w:val="0"/>
        <w:rPr>
          <w:rFonts w:ascii="Arial" w:eastAsia="黑体" w:hAnsi="Arial" w:cs="Arial"/>
          <w:i/>
          <w:sz w:val="18"/>
          <w:szCs w:val="18"/>
        </w:rPr>
      </w:pPr>
    </w:p>
    <w:p w:rsidR="00AD5BB5" w:rsidRDefault="00AD5BB5">
      <w:pPr>
        <w:overflowPunct w:val="0"/>
        <w:autoSpaceDE w:val="0"/>
        <w:autoSpaceDN w:val="0"/>
        <w:snapToGrid w:val="0"/>
        <w:rPr>
          <w:rFonts w:ascii="Arial" w:eastAsia="黑体" w:hAnsi="Arial" w:cs="Arial"/>
          <w:i/>
          <w:sz w:val="18"/>
          <w:szCs w:val="18"/>
        </w:rPr>
      </w:pPr>
    </w:p>
    <w:p w:rsidR="00AD5BB5" w:rsidRDefault="00F87FF6">
      <w:pPr>
        <w:overflowPunct w:val="0"/>
        <w:autoSpaceDE w:val="0"/>
        <w:autoSpaceDN w:val="0"/>
        <w:snapToGrid w:val="0"/>
        <w:rPr>
          <w:rFonts w:ascii="Arial" w:eastAsia="黑体" w:hAnsi="Arial" w:cs="Arial"/>
          <w:sz w:val="20"/>
        </w:rPr>
      </w:pPr>
      <w:r>
        <w:rPr>
          <w:rFonts w:ascii="Arial" w:eastAsia="黑体" w:hAnsi="Arial" w:cs="Arial"/>
          <w:sz w:val="20"/>
        </w:rPr>
        <w:t>本财务报表由以下人士签署：</w:t>
      </w:r>
    </w:p>
    <w:p w:rsidR="00AD5BB5" w:rsidRDefault="00AD5BB5">
      <w:pPr>
        <w:overflowPunct w:val="0"/>
        <w:autoSpaceDE w:val="0"/>
        <w:autoSpaceDN w:val="0"/>
        <w:snapToGrid w:val="0"/>
        <w:rPr>
          <w:rFonts w:ascii="Arial" w:eastAsia="黑体" w:hAnsi="Arial" w:cs="Arial"/>
          <w:sz w:val="20"/>
        </w:rPr>
      </w:pPr>
    </w:p>
    <w:p w:rsidR="00AD5BB5" w:rsidRDefault="00AD5BB5">
      <w:pPr>
        <w:overflowPunct w:val="0"/>
        <w:autoSpaceDE w:val="0"/>
        <w:autoSpaceDN w:val="0"/>
        <w:snapToGrid w:val="0"/>
        <w:rPr>
          <w:rFonts w:ascii="Arial" w:eastAsia="黑体" w:hAnsi="Arial" w:cs="Arial"/>
          <w:sz w:val="20"/>
        </w:rPr>
      </w:pPr>
    </w:p>
    <w:p w:rsidR="00AD5BB5" w:rsidRDefault="00AD5BB5">
      <w:pPr>
        <w:overflowPunct w:val="0"/>
        <w:autoSpaceDE w:val="0"/>
        <w:autoSpaceDN w:val="0"/>
        <w:snapToGrid w:val="0"/>
        <w:rPr>
          <w:rFonts w:ascii="Arial" w:eastAsia="黑体" w:hAnsi="Arial" w:cs="Arial"/>
          <w:sz w:val="20"/>
        </w:rPr>
      </w:pPr>
    </w:p>
    <w:p w:rsidR="00AD5BB5" w:rsidRDefault="00AD5BB5">
      <w:pPr>
        <w:overflowPunct w:val="0"/>
        <w:autoSpaceDE w:val="0"/>
        <w:autoSpaceDN w:val="0"/>
        <w:snapToGrid w:val="0"/>
        <w:rPr>
          <w:rFonts w:ascii="Arial" w:eastAsia="黑体" w:hAnsi="Arial" w:cs="Arial"/>
          <w:sz w:val="20"/>
        </w:rPr>
      </w:pPr>
    </w:p>
    <w:p w:rsidR="00AD5BB5" w:rsidRDefault="00AD5BB5">
      <w:pPr>
        <w:overflowPunct w:val="0"/>
        <w:autoSpaceDE w:val="0"/>
        <w:autoSpaceDN w:val="0"/>
        <w:snapToGrid w:val="0"/>
        <w:rPr>
          <w:rFonts w:ascii="Arial" w:eastAsia="黑体" w:hAnsi="Arial" w:cs="Arial"/>
          <w:sz w:val="20"/>
        </w:rPr>
      </w:pPr>
    </w:p>
    <w:p w:rsidR="00AD5BB5" w:rsidRDefault="00AD5BB5">
      <w:pPr>
        <w:overflowPunct w:val="0"/>
        <w:autoSpaceDE w:val="0"/>
        <w:autoSpaceDN w:val="0"/>
        <w:snapToGrid w:val="0"/>
        <w:rPr>
          <w:rFonts w:ascii="Arial" w:eastAsia="黑体" w:hAnsi="Arial" w:cs="Arial"/>
          <w:sz w:val="20"/>
        </w:rPr>
      </w:pPr>
    </w:p>
    <w:p w:rsidR="00AD5BB5" w:rsidRDefault="00F87FF6">
      <w:pPr>
        <w:tabs>
          <w:tab w:val="left" w:pos="2100"/>
          <w:tab w:val="left" w:pos="2268"/>
          <w:tab w:val="left" w:pos="4962"/>
        </w:tabs>
        <w:overflowPunct w:val="0"/>
        <w:autoSpaceDE w:val="0"/>
        <w:autoSpaceDN w:val="0"/>
        <w:snapToGrid w:val="0"/>
        <w:rPr>
          <w:rFonts w:ascii="Arial" w:eastAsia="黑体" w:hAnsi="Arial" w:cs="Arial"/>
          <w:sz w:val="20"/>
        </w:rPr>
      </w:pPr>
      <w:r>
        <w:rPr>
          <w:rFonts w:ascii="Arial" w:eastAsia="黑体" w:hAnsi="Arial" w:cs="Arial"/>
          <w:sz w:val="20"/>
        </w:rPr>
        <w:t>法定</w:t>
      </w:r>
      <w:r>
        <w:rPr>
          <w:rFonts w:ascii="Arial" w:eastAsia="黑体" w:hAnsi="Arial" w:cs="Arial"/>
          <w:sz w:val="20"/>
        </w:rPr>
        <w:tab/>
      </w:r>
      <w:r>
        <w:rPr>
          <w:rFonts w:ascii="Arial" w:eastAsia="黑体" w:hAnsi="Arial" w:cs="Arial"/>
          <w:sz w:val="20"/>
        </w:rPr>
        <w:tab/>
      </w:r>
      <w:r>
        <w:rPr>
          <w:rFonts w:ascii="Arial" w:eastAsia="黑体" w:hAnsi="Arial" w:cs="Arial"/>
          <w:sz w:val="20"/>
        </w:rPr>
        <w:t>主管财会</w:t>
      </w:r>
      <w:r>
        <w:rPr>
          <w:rFonts w:ascii="Arial" w:eastAsia="黑体" w:hAnsi="Arial" w:cs="Arial"/>
          <w:sz w:val="20"/>
        </w:rPr>
        <w:tab/>
      </w:r>
      <w:r>
        <w:rPr>
          <w:rFonts w:ascii="Arial" w:eastAsia="黑体" w:hAnsi="Arial" w:cs="Arial"/>
          <w:sz w:val="20"/>
        </w:rPr>
        <w:t>财会机构</w:t>
      </w:r>
    </w:p>
    <w:p w:rsidR="00AD5BB5" w:rsidRDefault="00F87FF6">
      <w:pPr>
        <w:tabs>
          <w:tab w:val="left" w:pos="1985"/>
          <w:tab w:val="left" w:pos="2268"/>
          <w:tab w:val="left" w:pos="4962"/>
          <w:tab w:val="left" w:pos="7139"/>
        </w:tabs>
        <w:overflowPunct w:val="0"/>
        <w:autoSpaceDE w:val="0"/>
        <w:autoSpaceDN w:val="0"/>
        <w:snapToGrid w:val="0"/>
        <w:rPr>
          <w:rFonts w:ascii="Arial" w:eastAsia="黑体" w:hAnsi="Arial" w:cs="Arial"/>
          <w:sz w:val="20"/>
        </w:rPr>
      </w:pPr>
      <w:r>
        <w:rPr>
          <w:rFonts w:ascii="Arial" w:eastAsia="黑体" w:hAnsi="Arial" w:cs="Arial"/>
          <w:sz w:val="20"/>
        </w:rPr>
        <w:t>代表人：</w:t>
      </w:r>
      <w:r>
        <w:rPr>
          <w:rFonts w:ascii="Arial" w:eastAsia="黑体" w:hAnsi="Arial" w:cs="Arial"/>
          <w:sz w:val="20"/>
        </w:rPr>
        <w:tab/>
      </w:r>
      <w:r>
        <w:rPr>
          <w:rFonts w:ascii="Arial" w:eastAsia="黑体" w:hAnsi="Arial" w:cs="Arial"/>
          <w:sz w:val="20"/>
        </w:rPr>
        <w:tab/>
      </w:r>
      <w:r>
        <w:rPr>
          <w:rFonts w:ascii="Arial" w:eastAsia="黑体" w:hAnsi="Arial" w:cs="Arial"/>
          <w:sz w:val="20"/>
        </w:rPr>
        <w:t>工作负责人：</w:t>
      </w:r>
      <w:r>
        <w:rPr>
          <w:rFonts w:ascii="Arial" w:eastAsia="黑体" w:hAnsi="Arial" w:cs="Arial"/>
          <w:sz w:val="20"/>
        </w:rPr>
        <w:tab/>
      </w:r>
      <w:r>
        <w:rPr>
          <w:rFonts w:ascii="Arial" w:eastAsia="黑体" w:hAnsi="Arial" w:cs="Arial"/>
          <w:sz w:val="20"/>
        </w:rPr>
        <w:t>负责人：</w:t>
      </w:r>
      <w:r>
        <w:rPr>
          <w:rFonts w:ascii="Arial" w:eastAsia="黑体" w:hAnsi="Arial" w:cs="Arial"/>
          <w:sz w:val="20"/>
        </w:rPr>
        <w:tab/>
      </w:r>
      <w:r>
        <w:rPr>
          <w:rFonts w:ascii="Arial" w:eastAsia="黑体" w:hAnsi="Arial" w:cs="Arial"/>
          <w:sz w:val="20"/>
        </w:rPr>
        <w:tab/>
      </w:r>
      <w:r>
        <w:rPr>
          <w:rFonts w:ascii="Arial" w:eastAsia="黑体" w:hAnsi="Arial" w:cs="Arial"/>
          <w:sz w:val="20"/>
        </w:rPr>
        <w:t>盖章</w:t>
      </w: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F87FF6">
      <w:pPr>
        <w:overflowPunct w:val="0"/>
        <w:autoSpaceDE w:val="0"/>
        <w:autoSpaceDN w:val="0"/>
        <w:rPr>
          <w:rFonts w:ascii="Arial" w:eastAsia="黑体" w:hAnsi="Arial" w:cs="Arial"/>
          <w:i/>
          <w:sz w:val="20"/>
        </w:rPr>
        <w:sectPr w:rsidR="00AD5BB5">
          <w:headerReference w:type="even" r:id="rId30"/>
          <w:headerReference w:type="default" r:id="rId31"/>
          <w:headerReference w:type="first" r:id="rId32"/>
          <w:pgSz w:w="11907" w:h="16840"/>
          <w:pgMar w:top="1440" w:right="1797" w:bottom="1440" w:left="1797" w:header="720" w:footer="720" w:gutter="0"/>
          <w:cols w:space="720"/>
          <w:titlePg/>
          <w:docGrid w:linePitch="360"/>
        </w:sectPr>
      </w:pPr>
      <w:r>
        <w:rPr>
          <w:rFonts w:ascii="Arial" w:eastAsia="黑体" w:hAnsi="Arial" w:cs="Arial"/>
          <w:i/>
          <w:sz w:val="20"/>
        </w:rPr>
        <w:t>后附财务报表附注为本财务报表的组成部分</w:t>
      </w:r>
    </w:p>
    <w:p w:rsidR="00AD5BB5" w:rsidRDefault="00AD5BB5">
      <w:pPr>
        <w:tabs>
          <w:tab w:val="right" w:pos="10560"/>
          <w:tab w:val="right" w:pos="11880"/>
          <w:tab w:val="right" w:pos="13200"/>
        </w:tabs>
        <w:overflowPunct w:val="0"/>
        <w:autoSpaceDE w:val="0"/>
        <w:autoSpaceDN w:val="0"/>
        <w:rPr>
          <w:rFonts w:ascii="Arial" w:eastAsia="黑体" w:hAnsi="Arial" w:cs="Arial"/>
          <w:sz w:val="20"/>
        </w:rPr>
      </w:pPr>
      <w:bookmarkStart w:id="62" w:name="afsaddin_Section_4b25693aa1884d07a9b270b"/>
    </w:p>
    <w:bookmarkEnd w:id="62"/>
    <w:p w:rsidR="00AD5BB5" w:rsidRDefault="00AD5BB5">
      <w:pPr>
        <w:tabs>
          <w:tab w:val="right" w:pos="10560"/>
          <w:tab w:val="right" w:pos="11880"/>
          <w:tab w:val="right" w:pos="13200"/>
        </w:tabs>
        <w:overflowPunct w:val="0"/>
        <w:autoSpaceDE w:val="0"/>
        <w:autoSpaceDN w:val="0"/>
        <w:rPr>
          <w:rFonts w:ascii="Arial" w:eastAsia="黑体" w:hAnsi="Arial" w:cs="Arial"/>
          <w:sz w:val="20"/>
        </w:rPr>
      </w:pPr>
    </w:p>
    <w:tbl>
      <w:tblPr>
        <w:tblW w:w="0" w:type="auto"/>
        <w:tblLayout w:type="fixed"/>
        <w:tblCellMar>
          <w:left w:w="0" w:type="dxa"/>
          <w:right w:w="0" w:type="dxa"/>
        </w:tblCellMar>
        <w:tblLook w:val="04A0" w:firstRow="1" w:lastRow="0" w:firstColumn="1" w:lastColumn="0" w:noHBand="0" w:noVBand="1"/>
        <w:tblCaption w:val="de451400-93c6-496e-8d37-fbc6d28a123d"/>
        <w:tblDescription w:val="{&quot;UUID&quot;:&quot;afsaddin_tabledata_2_56437_de451400-93c6-496e-8d37-fbc6d28a123d&quot;,&quot;TitleRowCount&quot;:2,&quot;SplitedTable&quot;:false,&quot;FirstTableId&quot;:&quot;de451400-93c6-496e-8d37-fbc6d28a123d&quot;}"/>
      </w:tblPr>
      <w:tblGrid>
        <w:gridCol w:w="3015"/>
        <w:gridCol w:w="983"/>
        <w:gridCol w:w="111"/>
        <w:gridCol w:w="1992"/>
        <w:gridCol w:w="111"/>
        <w:gridCol w:w="111"/>
        <w:gridCol w:w="1992"/>
        <w:gridCol w:w="111"/>
      </w:tblGrid>
      <w:tr w:rsidR="00AD5BB5">
        <w:tc>
          <w:tcPr>
            <w:tcW w:w="3015" w:type="dxa"/>
            <w:tcBorders>
              <w:top w:val="nil"/>
              <w:left w:val="nil"/>
              <w:bottom w:val="nil"/>
              <w:right w:val="nil"/>
            </w:tcBorders>
            <w:vAlign w:val="bottom"/>
          </w:tcPr>
          <w:p w:rsidR="00AD5BB5" w:rsidRDefault="00AD5BB5">
            <w:pPr>
              <w:autoSpaceDE w:val="0"/>
              <w:autoSpaceDN w:val="0"/>
              <w:ind w:left="301" w:hangingChars="150" w:hanging="301"/>
              <w:rPr>
                <w:rFonts w:ascii="Arial" w:eastAsia="黑体" w:hAnsi="Arial" w:cs="Arial"/>
                <w:b/>
                <w:bCs/>
                <w:sz w:val="20"/>
              </w:rPr>
            </w:pPr>
          </w:p>
        </w:tc>
        <w:tc>
          <w:tcPr>
            <w:tcW w:w="983" w:type="dxa"/>
            <w:tcBorders>
              <w:top w:val="nil"/>
              <w:left w:val="nil"/>
              <w:bottom w:val="nil"/>
              <w:right w:val="nil"/>
            </w:tcBorders>
            <w:vAlign w:val="bottom"/>
          </w:tcPr>
          <w:p w:rsidR="00AD5BB5" w:rsidRDefault="00F87FF6">
            <w:pPr>
              <w:autoSpaceDE w:val="0"/>
              <w:autoSpaceDN w:val="0"/>
              <w:jc w:val="center"/>
              <w:rPr>
                <w:rFonts w:ascii="Arial" w:eastAsia="黑体" w:hAnsi="Arial" w:cs="Arial"/>
                <w:b/>
                <w:bCs/>
                <w:sz w:val="20"/>
                <w:u w:val="single"/>
              </w:rPr>
            </w:pPr>
            <w:r>
              <w:rPr>
                <w:rFonts w:ascii="Arial" w:eastAsia="黑体" w:hAnsi="Arial" w:cs="Arial"/>
                <w:b/>
                <w:bCs/>
                <w:sz w:val="20"/>
                <w:u w:val="single"/>
              </w:rPr>
              <w:t>附注十四</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u w:val="single"/>
              </w:rPr>
            </w:pPr>
            <w:r>
              <w:rPr>
                <w:rFonts w:ascii="Arial" w:eastAsia="黑体" w:hAnsi="Arial" w:cs="Arial"/>
                <w:sz w:val="20"/>
                <w:u w:val="single"/>
              </w:rPr>
              <w:fldChar w:fldCharType="begin"/>
            </w:r>
            <w:r>
              <w:rPr>
                <w:rFonts w:ascii="Arial" w:eastAsia="黑体" w:hAnsi="Arial" w:cs="Arial"/>
                <w:sz w:val="20"/>
                <w:u w:val="single"/>
              </w:rPr>
              <w:instrText xml:space="preserve">DOCPROPERTY </w:instrText>
            </w:r>
            <w:r>
              <w:rPr>
                <w:rFonts w:ascii="Arial" w:eastAsia="黑体" w:hAnsi="Arial" w:cs="Arial"/>
                <w:sz w:val="20"/>
                <w:u w:val="single"/>
              </w:rPr>
              <w:instrText>当期会计期间</w:instrText>
            </w:r>
            <w:r>
              <w:rPr>
                <w:rFonts w:ascii="Arial" w:eastAsia="黑体" w:hAnsi="Arial" w:cs="Arial"/>
                <w:sz w:val="20"/>
                <w:u w:val="single"/>
              </w:rPr>
              <w:fldChar w:fldCharType="separate"/>
            </w:r>
            <w:r>
              <w:rPr>
                <w:rFonts w:ascii="Arial" w:eastAsia="黑体" w:hAnsi="Arial" w:cs="Arial"/>
                <w:sz w:val="20"/>
                <w:u w:val="single"/>
              </w:rPr>
              <w:t>2023</w:t>
            </w:r>
            <w:r>
              <w:rPr>
                <w:rFonts w:ascii="Arial" w:eastAsia="黑体" w:hAnsi="Arial" w:cs="Arial"/>
                <w:sz w:val="20"/>
                <w:u w:val="single"/>
              </w:rPr>
              <w:fldChar w:fldCharType="end"/>
            </w:r>
            <w:r>
              <w:rPr>
                <w:rFonts w:ascii="Arial" w:eastAsia="黑体" w:hAnsi="Arial" w:cs="Arial"/>
                <w:sz w:val="20"/>
                <w:u w:val="single"/>
              </w:rPr>
              <w:t>年</w:t>
            </w:r>
            <w:r>
              <w:rPr>
                <w:rFonts w:ascii="Arial" w:eastAsia="黑体" w:hAnsi="Arial" w:cs="Arial"/>
                <w:sz w:val="20"/>
                <w:u w:val="single"/>
              </w:rPr>
              <w:t>1-6</w:t>
            </w:r>
            <w:r>
              <w:rPr>
                <w:rFonts w:ascii="Arial" w:eastAsia="黑体" w:hAnsi="Arial" w:cs="Arial"/>
                <w:sz w:val="20"/>
                <w:u w:val="single"/>
              </w:rPr>
              <w:t>月</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u w:val="single"/>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u w:val="single"/>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u w:val="single"/>
              </w:rPr>
            </w:pPr>
            <w:r>
              <w:rPr>
                <w:rFonts w:ascii="Arial" w:eastAsia="黑体" w:hAnsi="Arial" w:cs="Arial"/>
                <w:sz w:val="20"/>
                <w:u w:val="single"/>
              </w:rPr>
              <w:fldChar w:fldCharType="begin"/>
            </w:r>
            <w:r>
              <w:rPr>
                <w:rFonts w:ascii="Arial" w:eastAsia="黑体" w:hAnsi="Arial" w:cs="Arial"/>
                <w:sz w:val="20"/>
                <w:u w:val="single"/>
              </w:rPr>
              <w:instrText xml:space="preserve">DOCPROPERTY </w:instrText>
            </w:r>
            <w:r>
              <w:rPr>
                <w:rFonts w:ascii="Arial" w:eastAsia="黑体" w:hAnsi="Arial" w:cs="Arial"/>
                <w:sz w:val="20"/>
                <w:u w:val="single"/>
              </w:rPr>
              <w:instrText>对比会计期间</w:instrText>
            </w:r>
            <w:r>
              <w:rPr>
                <w:rFonts w:ascii="Arial" w:eastAsia="黑体" w:hAnsi="Arial" w:cs="Arial"/>
                <w:sz w:val="20"/>
                <w:u w:val="single"/>
              </w:rPr>
              <w:fldChar w:fldCharType="separate"/>
            </w:r>
            <w:r>
              <w:rPr>
                <w:rFonts w:ascii="Arial" w:eastAsia="黑体" w:hAnsi="Arial" w:cs="Arial"/>
                <w:sz w:val="20"/>
                <w:u w:val="single"/>
              </w:rPr>
              <w:t>2022</w:t>
            </w:r>
            <w:r>
              <w:rPr>
                <w:rFonts w:ascii="Arial" w:eastAsia="黑体" w:hAnsi="Arial" w:cs="Arial"/>
                <w:sz w:val="20"/>
                <w:u w:val="single"/>
              </w:rPr>
              <w:fldChar w:fldCharType="end"/>
            </w:r>
            <w:r>
              <w:rPr>
                <w:rFonts w:ascii="Arial" w:eastAsia="黑体" w:hAnsi="Arial" w:cs="Arial"/>
                <w:sz w:val="20"/>
                <w:u w:val="single"/>
              </w:rPr>
              <w:t>年</w:t>
            </w:r>
            <w:r>
              <w:rPr>
                <w:rFonts w:ascii="Arial" w:eastAsia="黑体" w:hAnsi="Arial" w:cs="Arial"/>
                <w:sz w:val="20"/>
                <w:u w:val="single"/>
              </w:rPr>
              <w:t>1-6</w:t>
            </w:r>
            <w:r>
              <w:rPr>
                <w:rFonts w:ascii="Arial" w:eastAsia="黑体" w:hAnsi="Arial" w:cs="Arial"/>
                <w:sz w:val="20"/>
                <w:u w:val="single"/>
              </w:rPr>
              <w:t>月</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015"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015" w:type="dxa"/>
            <w:tcBorders>
              <w:top w:val="nil"/>
              <w:left w:val="nil"/>
              <w:bottom w:val="nil"/>
              <w:right w:val="nil"/>
            </w:tcBorders>
            <w:vAlign w:val="bottom"/>
          </w:tcPr>
          <w:p w:rsidR="00AD5BB5" w:rsidRDefault="00F87FF6">
            <w:pPr>
              <w:autoSpaceDE w:val="0"/>
              <w:autoSpaceDN w:val="0"/>
              <w:ind w:left="201" w:hangingChars="100" w:hanging="201"/>
              <w:rPr>
                <w:rFonts w:ascii="Arial" w:eastAsia="黑体" w:hAnsi="Arial" w:cs="Arial"/>
                <w:b/>
                <w:bCs/>
                <w:sz w:val="20"/>
              </w:rPr>
            </w:pPr>
            <w:r>
              <w:rPr>
                <w:rFonts w:ascii="Arial" w:eastAsia="黑体" w:hAnsi="Arial" w:cs="Arial"/>
                <w:b/>
                <w:bCs/>
                <w:sz w:val="20"/>
              </w:rPr>
              <w:t>营业收入</w:t>
            </w: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2,661,131,803.54</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2,692,795,631.70</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015" w:type="dxa"/>
            <w:tcBorders>
              <w:top w:val="nil"/>
              <w:left w:val="nil"/>
              <w:bottom w:val="nil"/>
              <w:right w:val="nil"/>
            </w:tcBorders>
            <w:vAlign w:val="bottom"/>
          </w:tcPr>
          <w:p w:rsidR="00AD5BB5" w:rsidRDefault="00F87FF6">
            <w:pPr>
              <w:autoSpaceDE w:val="0"/>
              <w:autoSpaceDN w:val="0"/>
              <w:ind w:leftChars="82" w:left="372" w:hangingChars="100" w:hanging="200"/>
              <w:rPr>
                <w:rFonts w:ascii="Arial" w:eastAsia="黑体" w:hAnsi="Arial" w:cs="Arial"/>
                <w:sz w:val="20"/>
              </w:rPr>
            </w:pPr>
            <w:r>
              <w:rPr>
                <w:rFonts w:ascii="Arial" w:eastAsia="黑体" w:hAnsi="Arial" w:cs="Arial"/>
                <w:sz w:val="20"/>
              </w:rPr>
              <w:t>利息净收入</w:t>
            </w:r>
          </w:p>
        </w:tc>
        <w:tc>
          <w:tcPr>
            <w:tcW w:w="983"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hint="eastAsia"/>
                <w:sz w:val="20"/>
              </w:rPr>
              <w:t>6</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1,929,645,597.40</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2,042,440,450.69</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015" w:type="dxa"/>
            <w:tcBorders>
              <w:top w:val="nil"/>
              <w:left w:val="nil"/>
              <w:bottom w:val="nil"/>
              <w:right w:val="nil"/>
            </w:tcBorders>
            <w:vAlign w:val="bottom"/>
          </w:tcPr>
          <w:p w:rsidR="00AD5BB5" w:rsidRDefault="00F87FF6">
            <w:pPr>
              <w:autoSpaceDE w:val="0"/>
              <w:autoSpaceDN w:val="0"/>
              <w:ind w:leftChars="171" w:left="559" w:hangingChars="100" w:hanging="200"/>
              <w:rPr>
                <w:rFonts w:ascii="Arial" w:eastAsia="黑体" w:hAnsi="Arial" w:cs="Arial"/>
                <w:sz w:val="20"/>
              </w:rPr>
            </w:pPr>
            <w:r>
              <w:rPr>
                <w:rFonts w:ascii="Arial" w:eastAsia="黑体" w:hAnsi="Arial" w:cs="Arial"/>
                <w:sz w:val="20"/>
              </w:rPr>
              <w:t>利息收入</w:t>
            </w: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5,749,969,055.00</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5,703,960,167.49</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015" w:type="dxa"/>
            <w:tcBorders>
              <w:top w:val="nil"/>
              <w:left w:val="nil"/>
              <w:bottom w:val="nil"/>
              <w:right w:val="nil"/>
            </w:tcBorders>
            <w:vAlign w:val="bottom"/>
          </w:tcPr>
          <w:p w:rsidR="00AD5BB5" w:rsidRDefault="00F87FF6">
            <w:pPr>
              <w:autoSpaceDE w:val="0"/>
              <w:autoSpaceDN w:val="0"/>
              <w:ind w:leftChars="171" w:left="559" w:hangingChars="100" w:hanging="200"/>
              <w:rPr>
                <w:rFonts w:ascii="Arial" w:eastAsia="黑体" w:hAnsi="Arial" w:cs="Arial"/>
                <w:sz w:val="20"/>
              </w:rPr>
            </w:pPr>
            <w:r>
              <w:rPr>
                <w:rFonts w:ascii="Arial" w:eastAsia="黑体" w:hAnsi="Arial" w:cs="Arial"/>
                <w:sz w:val="20"/>
              </w:rPr>
              <w:t>利息支出</w:t>
            </w: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(3,820,323,457.60</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(3,661,519,716.80</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r>
      <w:tr w:rsidR="00AD5BB5">
        <w:tc>
          <w:tcPr>
            <w:tcW w:w="3015" w:type="dxa"/>
            <w:tcBorders>
              <w:top w:val="nil"/>
              <w:left w:val="nil"/>
              <w:bottom w:val="nil"/>
              <w:right w:val="nil"/>
            </w:tcBorders>
            <w:vAlign w:val="bottom"/>
          </w:tcPr>
          <w:p w:rsidR="00AD5BB5" w:rsidRDefault="00F87FF6">
            <w:pPr>
              <w:autoSpaceDE w:val="0"/>
              <w:autoSpaceDN w:val="0"/>
              <w:ind w:leftChars="88" w:left="385" w:hangingChars="100" w:hanging="200"/>
              <w:rPr>
                <w:rFonts w:ascii="Arial" w:eastAsia="黑体" w:hAnsi="Arial" w:cs="Arial"/>
                <w:sz w:val="20"/>
              </w:rPr>
            </w:pPr>
            <w:r>
              <w:rPr>
                <w:rFonts w:ascii="Arial" w:eastAsia="黑体" w:hAnsi="Arial" w:cs="Arial"/>
                <w:sz w:val="20"/>
              </w:rPr>
              <w:t>手续费及佣金净收入</w:t>
            </w:r>
          </w:p>
        </w:tc>
        <w:tc>
          <w:tcPr>
            <w:tcW w:w="983"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20"/>
              </w:rPr>
            </w:pPr>
            <w:r>
              <w:rPr>
                <w:rFonts w:ascii="Arial" w:eastAsia="黑体" w:hAnsi="Arial" w:cs="Arial" w:hint="eastAsia"/>
                <w:sz w:val="20"/>
              </w:rPr>
              <w:t>7</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207,757,086.46</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259,366,924.75</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015" w:type="dxa"/>
            <w:tcBorders>
              <w:top w:val="nil"/>
              <w:left w:val="nil"/>
              <w:bottom w:val="nil"/>
              <w:right w:val="nil"/>
            </w:tcBorders>
            <w:vAlign w:val="bottom"/>
          </w:tcPr>
          <w:p w:rsidR="00AD5BB5" w:rsidRDefault="00F87FF6">
            <w:pPr>
              <w:autoSpaceDE w:val="0"/>
              <w:autoSpaceDN w:val="0"/>
              <w:ind w:leftChars="176" w:left="570" w:hangingChars="100" w:hanging="200"/>
              <w:rPr>
                <w:rFonts w:ascii="Arial" w:eastAsia="黑体" w:hAnsi="Arial" w:cs="Arial"/>
                <w:sz w:val="20"/>
              </w:rPr>
            </w:pPr>
            <w:r>
              <w:rPr>
                <w:rFonts w:ascii="Arial" w:eastAsia="黑体" w:hAnsi="Arial" w:cs="Arial"/>
                <w:sz w:val="20"/>
              </w:rPr>
              <w:t>手续费及佣金收入</w:t>
            </w: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335,026,170.19</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328,395,299.54</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015" w:type="dxa"/>
            <w:tcBorders>
              <w:top w:val="nil"/>
              <w:left w:val="nil"/>
              <w:bottom w:val="nil"/>
              <w:right w:val="nil"/>
            </w:tcBorders>
            <w:vAlign w:val="bottom"/>
          </w:tcPr>
          <w:p w:rsidR="00AD5BB5" w:rsidRDefault="00F87FF6">
            <w:pPr>
              <w:autoSpaceDE w:val="0"/>
              <w:autoSpaceDN w:val="0"/>
              <w:ind w:leftChars="176" w:left="570" w:hangingChars="100" w:hanging="200"/>
              <w:rPr>
                <w:rFonts w:ascii="Arial" w:eastAsia="黑体" w:hAnsi="Arial" w:cs="Arial"/>
                <w:sz w:val="20"/>
              </w:rPr>
            </w:pPr>
            <w:r>
              <w:rPr>
                <w:rFonts w:ascii="Arial" w:eastAsia="黑体" w:hAnsi="Arial" w:cs="Arial"/>
                <w:sz w:val="20"/>
              </w:rPr>
              <w:t>手续费及佣金支出</w:t>
            </w: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(127,269,083.73</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(69,028,374.79</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r>
      <w:tr w:rsidR="00AD5BB5">
        <w:tc>
          <w:tcPr>
            <w:tcW w:w="3015" w:type="dxa"/>
            <w:tcBorders>
              <w:top w:val="nil"/>
              <w:left w:val="nil"/>
              <w:bottom w:val="nil"/>
              <w:right w:val="nil"/>
            </w:tcBorders>
            <w:vAlign w:val="bottom"/>
          </w:tcPr>
          <w:p w:rsidR="00AD5BB5" w:rsidRDefault="00F87FF6">
            <w:pPr>
              <w:autoSpaceDE w:val="0"/>
              <w:autoSpaceDN w:val="0"/>
              <w:ind w:leftChars="94" w:left="397" w:hangingChars="100" w:hanging="200"/>
              <w:rPr>
                <w:rFonts w:ascii="Arial" w:eastAsia="黑体" w:hAnsi="Arial" w:cs="Arial"/>
                <w:sz w:val="20"/>
              </w:rPr>
            </w:pPr>
            <w:r>
              <w:rPr>
                <w:rFonts w:ascii="Arial" w:eastAsia="黑体" w:hAnsi="Arial" w:cs="Arial"/>
                <w:sz w:val="20"/>
              </w:rPr>
              <w:t>投资收益</w:t>
            </w: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145,283,127.05</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376,493,944.40</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015" w:type="dxa"/>
            <w:tcBorders>
              <w:top w:val="nil"/>
              <w:left w:val="nil"/>
              <w:bottom w:val="nil"/>
              <w:right w:val="nil"/>
            </w:tcBorders>
            <w:vAlign w:val="bottom"/>
          </w:tcPr>
          <w:p w:rsidR="00AD5BB5" w:rsidRDefault="00F87FF6">
            <w:pPr>
              <w:autoSpaceDE w:val="0"/>
              <w:autoSpaceDN w:val="0"/>
              <w:ind w:leftChars="94" w:left="397" w:hangingChars="100" w:hanging="200"/>
              <w:rPr>
                <w:rFonts w:ascii="Arial" w:eastAsia="黑体" w:hAnsi="Arial" w:cs="Arial"/>
                <w:sz w:val="20"/>
              </w:rPr>
            </w:pPr>
            <w:r>
              <w:rPr>
                <w:rFonts w:ascii="Arial" w:eastAsia="黑体" w:hAnsi="Arial" w:cs="Arial"/>
                <w:sz w:val="20"/>
              </w:rPr>
              <w:t>公允价值变动收益</w:t>
            </w:r>
            <w:r>
              <w:rPr>
                <w:rFonts w:ascii="Arial" w:eastAsia="黑体" w:hAnsi="Arial" w:cs="Arial"/>
                <w:sz w:val="20"/>
              </w:rPr>
              <w:t>/</w:t>
            </w:r>
            <w:r>
              <w:rPr>
                <w:rFonts w:ascii="Arial" w:eastAsia="黑体" w:hAnsi="Arial" w:cs="Arial"/>
                <w:sz w:val="20"/>
              </w:rPr>
              <w:t>（损失）</w:t>
            </w: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145,631,038.43</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(114,404,161.79</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r>
      <w:tr w:rsidR="00AD5BB5">
        <w:tc>
          <w:tcPr>
            <w:tcW w:w="3015" w:type="dxa"/>
            <w:tcBorders>
              <w:top w:val="nil"/>
              <w:left w:val="nil"/>
              <w:bottom w:val="nil"/>
              <w:right w:val="nil"/>
            </w:tcBorders>
            <w:vAlign w:val="bottom"/>
          </w:tcPr>
          <w:p w:rsidR="00AD5BB5" w:rsidRDefault="00F87FF6">
            <w:pPr>
              <w:autoSpaceDE w:val="0"/>
              <w:autoSpaceDN w:val="0"/>
              <w:ind w:leftChars="94" w:left="397" w:hangingChars="100" w:hanging="200"/>
              <w:rPr>
                <w:rFonts w:ascii="Arial" w:eastAsia="黑体" w:hAnsi="Arial" w:cs="Arial"/>
                <w:sz w:val="20"/>
              </w:rPr>
            </w:pPr>
            <w:r>
              <w:rPr>
                <w:rFonts w:ascii="Arial" w:eastAsia="黑体" w:hAnsi="Arial" w:cs="Arial"/>
                <w:sz w:val="20"/>
              </w:rPr>
              <w:t>汇兑收益</w:t>
            </w: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43,800,961.33</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89,674,959.52</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015" w:type="dxa"/>
            <w:tcBorders>
              <w:top w:val="nil"/>
              <w:left w:val="nil"/>
              <w:bottom w:val="nil"/>
              <w:right w:val="nil"/>
            </w:tcBorders>
            <w:vAlign w:val="bottom"/>
          </w:tcPr>
          <w:p w:rsidR="00AD5BB5" w:rsidRDefault="00F87FF6">
            <w:pPr>
              <w:autoSpaceDE w:val="0"/>
              <w:autoSpaceDN w:val="0"/>
              <w:ind w:leftChars="94" w:left="397" w:hangingChars="100" w:hanging="200"/>
              <w:rPr>
                <w:rFonts w:ascii="Arial" w:eastAsia="黑体" w:hAnsi="Arial" w:cs="Arial"/>
                <w:sz w:val="20"/>
              </w:rPr>
            </w:pPr>
            <w:r>
              <w:rPr>
                <w:rFonts w:ascii="Arial" w:eastAsia="黑体" w:hAnsi="Arial" w:cs="Arial"/>
                <w:sz w:val="20"/>
              </w:rPr>
              <w:t>其他业务收入</w:t>
            </w: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6,425,069.98</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1,132,339.55</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015" w:type="dxa"/>
            <w:tcBorders>
              <w:top w:val="nil"/>
              <w:left w:val="nil"/>
              <w:bottom w:val="nil"/>
              <w:right w:val="nil"/>
            </w:tcBorders>
            <w:vAlign w:val="bottom"/>
          </w:tcPr>
          <w:p w:rsidR="00AD5BB5" w:rsidRDefault="00F87FF6">
            <w:pPr>
              <w:autoSpaceDE w:val="0"/>
              <w:autoSpaceDN w:val="0"/>
              <w:ind w:leftChars="94" w:left="397" w:hangingChars="100" w:hanging="200"/>
              <w:rPr>
                <w:rFonts w:ascii="Arial" w:eastAsia="黑体" w:hAnsi="Arial" w:cs="Arial"/>
                <w:sz w:val="20"/>
              </w:rPr>
            </w:pPr>
            <w:r>
              <w:rPr>
                <w:rFonts w:ascii="Arial" w:eastAsia="黑体" w:hAnsi="Arial" w:cs="Arial"/>
                <w:sz w:val="20"/>
              </w:rPr>
              <w:t>资产处置收益</w:t>
            </w: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8,831,209.56</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487,294.10</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015" w:type="dxa"/>
            <w:tcBorders>
              <w:top w:val="nil"/>
              <w:left w:val="nil"/>
              <w:bottom w:val="nil"/>
              <w:right w:val="nil"/>
            </w:tcBorders>
            <w:vAlign w:val="bottom"/>
          </w:tcPr>
          <w:p w:rsidR="00AD5BB5" w:rsidRDefault="00F87FF6">
            <w:pPr>
              <w:autoSpaceDE w:val="0"/>
              <w:autoSpaceDN w:val="0"/>
              <w:ind w:leftChars="94" w:left="397" w:hangingChars="100" w:hanging="200"/>
              <w:rPr>
                <w:rFonts w:ascii="Arial" w:eastAsia="黑体" w:hAnsi="Arial" w:cs="Arial"/>
                <w:sz w:val="20"/>
              </w:rPr>
            </w:pPr>
            <w:r>
              <w:rPr>
                <w:rFonts w:ascii="Arial" w:eastAsia="黑体" w:hAnsi="Arial" w:cs="Arial"/>
                <w:sz w:val="20"/>
              </w:rPr>
              <w:t>其他收益</w:t>
            </w: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173,757,713.33</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37,603,880.48</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015"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015" w:type="dxa"/>
            <w:tcBorders>
              <w:top w:val="nil"/>
              <w:left w:val="nil"/>
              <w:bottom w:val="nil"/>
              <w:right w:val="nil"/>
            </w:tcBorders>
            <w:vAlign w:val="bottom"/>
          </w:tcPr>
          <w:p w:rsidR="00AD5BB5" w:rsidRDefault="00F87FF6">
            <w:pPr>
              <w:autoSpaceDE w:val="0"/>
              <w:autoSpaceDN w:val="0"/>
              <w:ind w:left="201" w:hangingChars="100" w:hanging="201"/>
              <w:rPr>
                <w:rFonts w:ascii="Arial" w:eastAsia="黑体" w:hAnsi="Arial" w:cs="Arial"/>
                <w:b/>
                <w:bCs/>
                <w:sz w:val="20"/>
              </w:rPr>
            </w:pPr>
            <w:r>
              <w:rPr>
                <w:rFonts w:ascii="Arial" w:eastAsia="黑体" w:hAnsi="Arial" w:cs="Arial"/>
                <w:b/>
                <w:bCs/>
                <w:sz w:val="20"/>
              </w:rPr>
              <w:t>营业支出</w:t>
            </w: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(1,214,045,896.63</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b/>
                <w:bCs/>
                <w:sz w:val="20"/>
              </w:rPr>
            </w:pPr>
            <w:r>
              <w:rPr>
                <w:rFonts w:ascii="Arial" w:eastAsia="黑体" w:hAnsi="Arial" w:cs="Arial"/>
                <w:b/>
                <w:bCs/>
                <w:sz w:val="20"/>
              </w:rPr>
              <w:t>)</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(1,448,011,610.41</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b/>
                <w:bCs/>
                <w:sz w:val="20"/>
              </w:rPr>
            </w:pPr>
            <w:r>
              <w:rPr>
                <w:rFonts w:ascii="Arial" w:eastAsia="黑体" w:hAnsi="Arial" w:cs="Arial"/>
                <w:b/>
                <w:bCs/>
                <w:sz w:val="20"/>
              </w:rPr>
              <w:t>)</w:t>
            </w:r>
          </w:p>
        </w:tc>
      </w:tr>
      <w:tr w:rsidR="00AD5BB5">
        <w:tc>
          <w:tcPr>
            <w:tcW w:w="3015" w:type="dxa"/>
            <w:tcBorders>
              <w:top w:val="nil"/>
              <w:left w:val="nil"/>
              <w:bottom w:val="nil"/>
              <w:right w:val="nil"/>
            </w:tcBorders>
            <w:vAlign w:val="bottom"/>
          </w:tcPr>
          <w:p w:rsidR="00AD5BB5" w:rsidRDefault="00F87FF6">
            <w:pPr>
              <w:autoSpaceDE w:val="0"/>
              <w:autoSpaceDN w:val="0"/>
              <w:ind w:leftChars="94" w:left="397" w:hangingChars="100" w:hanging="200"/>
              <w:rPr>
                <w:rFonts w:ascii="Arial" w:eastAsia="黑体" w:hAnsi="Arial" w:cs="Arial"/>
                <w:sz w:val="20"/>
              </w:rPr>
            </w:pPr>
            <w:r>
              <w:rPr>
                <w:rFonts w:ascii="Arial" w:eastAsia="黑体" w:hAnsi="Arial" w:cs="Arial"/>
                <w:sz w:val="20"/>
              </w:rPr>
              <w:t>税金及附加</w:t>
            </w: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(34,959,647.86</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(37,351,406.50</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r>
      <w:tr w:rsidR="00AD5BB5">
        <w:tc>
          <w:tcPr>
            <w:tcW w:w="3015" w:type="dxa"/>
            <w:tcBorders>
              <w:top w:val="nil"/>
              <w:left w:val="nil"/>
              <w:bottom w:val="nil"/>
              <w:right w:val="nil"/>
            </w:tcBorders>
            <w:vAlign w:val="bottom"/>
          </w:tcPr>
          <w:p w:rsidR="00AD5BB5" w:rsidRDefault="00F87FF6">
            <w:pPr>
              <w:autoSpaceDE w:val="0"/>
              <w:autoSpaceDN w:val="0"/>
              <w:ind w:leftChars="94" w:left="397" w:hangingChars="100" w:hanging="200"/>
              <w:rPr>
                <w:rFonts w:ascii="Arial" w:eastAsia="黑体" w:hAnsi="Arial" w:cs="Arial"/>
                <w:sz w:val="20"/>
              </w:rPr>
            </w:pPr>
            <w:r>
              <w:rPr>
                <w:rFonts w:ascii="Arial" w:eastAsia="黑体" w:hAnsi="Arial" w:cs="Arial"/>
                <w:sz w:val="20"/>
              </w:rPr>
              <w:t>业务及管理费</w:t>
            </w: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(1,051,875,228.30</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(919,204,670.58</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r>
      <w:tr w:rsidR="00AD5BB5">
        <w:tc>
          <w:tcPr>
            <w:tcW w:w="3015" w:type="dxa"/>
            <w:tcBorders>
              <w:top w:val="nil"/>
              <w:left w:val="nil"/>
              <w:bottom w:val="nil"/>
              <w:right w:val="nil"/>
            </w:tcBorders>
            <w:vAlign w:val="bottom"/>
          </w:tcPr>
          <w:p w:rsidR="00AD5BB5" w:rsidRDefault="00F87FF6">
            <w:pPr>
              <w:autoSpaceDE w:val="0"/>
              <w:autoSpaceDN w:val="0"/>
              <w:ind w:leftChars="94" w:left="397" w:hangingChars="100" w:hanging="200"/>
              <w:rPr>
                <w:rFonts w:ascii="Arial" w:eastAsia="黑体" w:hAnsi="Arial" w:cs="Arial"/>
                <w:sz w:val="20"/>
              </w:rPr>
            </w:pPr>
            <w:r>
              <w:rPr>
                <w:rFonts w:ascii="Arial" w:eastAsia="黑体" w:hAnsi="Arial" w:cs="Arial"/>
                <w:sz w:val="20"/>
              </w:rPr>
              <w:t>信用减值损失</w:t>
            </w: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(126,888,903.48</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(491,160,323.26</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r>
      <w:tr w:rsidR="00AD5BB5">
        <w:tc>
          <w:tcPr>
            <w:tcW w:w="3015" w:type="dxa"/>
            <w:tcBorders>
              <w:top w:val="nil"/>
              <w:left w:val="nil"/>
              <w:bottom w:val="nil"/>
              <w:right w:val="nil"/>
            </w:tcBorders>
            <w:vAlign w:val="bottom"/>
          </w:tcPr>
          <w:p w:rsidR="00AD5BB5" w:rsidRDefault="00F87FF6">
            <w:pPr>
              <w:autoSpaceDE w:val="0"/>
              <w:autoSpaceDN w:val="0"/>
              <w:ind w:leftChars="94" w:left="397" w:hangingChars="100" w:hanging="200"/>
              <w:rPr>
                <w:rFonts w:ascii="Arial" w:eastAsia="黑体" w:hAnsi="Arial" w:cs="Arial"/>
                <w:sz w:val="20"/>
              </w:rPr>
            </w:pPr>
            <w:r>
              <w:rPr>
                <w:rFonts w:ascii="Arial" w:eastAsia="黑体" w:hAnsi="Arial" w:cs="Arial"/>
                <w:sz w:val="20"/>
              </w:rPr>
              <w:t>其他业务成本</w:t>
            </w: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(322,116.99</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(295,210.07</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r>
      <w:tr w:rsidR="00AD5BB5">
        <w:tc>
          <w:tcPr>
            <w:tcW w:w="3015"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015" w:type="dxa"/>
            <w:tcBorders>
              <w:top w:val="nil"/>
              <w:left w:val="nil"/>
              <w:bottom w:val="nil"/>
              <w:right w:val="nil"/>
            </w:tcBorders>
            <w:vAlign w:val="bottom"/>
          </w:tcPr>
          <w:p w:rsidR="00AD5BB5" w:rsidRDefault="00F87FF6">
            <w:pPr>
              <w:autoSpaceDE w:val="0"/>
              <w:autoSpaceDN w:val="0"/>
              <w:ind w:left="201" w:hangingChars="100" w:hanging="201"/>
              <w:rPr>
                <w:rFonts w:ascii="Arial" w:eastAsia="黑体" w:hAnsi="Arial" w:cs="Arial"/>
                <w:b/>
                <w:bCs/>
                <w:sz w:val="20"/>
              </w:rPr>
            </w:pPr>
            <w:r>
              <w:rPr>
                <w:rFonts w:ascii="Arial" w:eastAsia="黑体" w:hAnsi="Arial" w:cs="Arial"/>
                <w:b/>
                <w:bCs/>
                <w:sz w:val="20"/>
              </w:rPr>
              <w:t>营业利润</w:t>
            </w: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1,447,085,906.91</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1,244,784,021.29</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015" w:type="dxa"/>
            <w:tcBorders>
              <w:top w:val="nil"/>
              <w:left w:val="nil"/>
              <w:bottom w:val="nil"/>
              <w:right w:val="nil"/>
            </w:tcBorders>
            <w:vAlign w:val="bottom"/>
          </w:tcPr>
          <w:p w:rsidR="00AD5BB5" w:rsidRDefault="00F87FF6">
            <w:pPr>
              <w:autoSpaceDE w:val="0"/>
              <w:autoSpaceDN w:val="0"/>
              <w:ind w:leftChars="112" w:left="435" w:hangingChars="100" w:hanging="200"/>
              <w:rPr>
                <w:rFonts w:ascii="Arial" w:eastAsia="黑体" w:hAnsi="Arial" w:cs="Arial"/>
                <w:sz w:val="20"/>
              </w:rPr>
            </w:pPr>
            <w:r>
              <w:rPr>
                <w:rFonts w:ascii="Arial" w:eastAsia="黑体" w:hAnsi="Arial" w:cs="Arial"/>
                <w:sz w:val="20"/>
              </w:rPr>
              <w:t>营业外收入</w:t>
            </w: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1,293,645.12</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2,198,345.01</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015" w:type="dxa"/>
            <w:tcBorders>
              <w:top w:val="nil"/>
              <w:left w:val="nil"/>
              <w:bottom w:val="nil"/>
              <w:right w:val="nil"/>
            </w:tcBorders>
            <w:vAlign w:val="bottom"/>
          </w:tcPr>
          <w:p w:rsidR="00AD5BB5" w:rsidRDefault="00F87FF6">
            <w:pPr>
              <w:autoSpaceDE w:val="0"/>
              <w:autoSpaceDN w:val="0"/>
              <w:ind w:leftChars="112" w:left="435" w:hangingChars="100" w:hanging="200"/>
              <w:rPr>
                <w:rFonts w:ascii="Arial" w:eastAsia="黑体" w:hAnsi="Arial" w:cs="Arial"/>
                <w:sz w:val="20"/>
              </w:rPr>
            </w:pPr>
            <w:r>
              <w:rPr>
                <w:rFonts w:ascii="Arial" w:eastAsia="黑体" w:hAnsi="Arial" w:cs="Arial"/>
                <w:sz w:val="20"/>
              </w:rPr>
              <w:t>营业外支出</w:t>
            </w: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(3,472,656.19</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(4,043,086.70</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r>
      <w:tr w:rsidR="00AD5BB5">
        <w:tc>
          <w:tcPr>
            <w:tcW w:w="3015"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015" w:type="dxa"/>
            <w:tcBorders>
              <w:top w:val="nil"/>
              <w:left w:val="nil"/>
              <w:bottom w:val="nil"/>
              <w:right w:val="nil"/>
            </w:tcBorders>
            <w:vAlign w:val="bottom"/>
          </w:tcPr>
          <w:p w:rsidR="00AD5BB5" w:rsidRDefault="00F87FF6">
            <w:pPr>
              <w:autoSpaceDE w:val="0"/>
              <w:autoSpaceDN w:val="0"/>
              <w:ind w:left="201" w:hangingChars="100" w:hanging="201"/>
              <w:rPr>
                <w:rFonts w:ascii="Arial" w:eastAsia="黑体" w:hAnsi="Arial" w:cs="Arial"/>
                <w:b/>
                <w:bCs/>
                <w:sz w:val="20"/>
              </w:rPr>
            </w:pPr>
            <w:r>
              <w:rPr>
                <w:rFonts w:ascii="Arial" w:eastAsia="黑体" w:hAnsi="Arial" w:cs="Arial"/>
                <w:b/>
                <w:bCs/>
                <w:sz w:val="20"/>
              </w:rPr>
              <w:t>利润总额</w:t>
            </w: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1,444,906,895.84</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1,242,939,279.60</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015" w:type="dxa"/>
            <w:tcBorders>
              <w:top w:val="nil"/>
              <w:left w:val="nil"/>
              <w:bottom w:val="nil"/>
              <w:right w:val="nil"/>
            </w:tcBorders>
            <w:vAlign w:val="bottom"/>
          </w:tcPr>
          <w:p w:rsidR="00AD5BB5" w:rsidRDefault="00F87FF6">
            <w:pPr>
              <w:autoSpaceDE w:val="0"/>
              <w:autoSpaceDN w:val="0"/>
              <w:ind w:leftChars="129" w:left="471" w:hangingChars="100" w:hanging="200"/>
              <w:rPr>
                <w:rFonts w:ascii="Arial" w:eastAsia="黑体" w:hAnsi="Arial" w:cs="Arial"/>
                <w:sz w:val="20"/>
              </w:rPr>
            </w:pPr>
            <w:r>
              <w:rPr>
                <w:rFonts w:ascii="Arial" w:eastAsia="黑体" w:hAnsi="Arial" w:cs="Arial"/>
                <w:sz w:val="20"/>
              </w:rPr>
              <w:t>所得税费用</w:t>
            </w: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(121,733,166.14</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(9,245,426.66</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r>
      <w:tr w:rsidR="00AD5BB5">
        <w:tc>
          <w:tcPr>
            <w:tcW w:w="3015"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015" w:type="dxa"/>
            <w:tcBorders>
              <w:top w:val="nil"/>
              <w:left w:val="nil"/>
              <w:bottom w:val="nil"/>
              <w:right w:val="nil"/>
            </w:tcBorders>
            <w:vAlign w:val="bottom"/>
          </w:tcPr>
          <w:p w:rsidR="00AD5BB5" w:rsidRDefault="00F87FF6">
            <w:pPr>
              <w:autoSpaceDE w:val="0"/>
              <w:autoSpaceDN w:val="0"/>
              <w:ind w:left="201" w:hangingChars="100" w:hanging="201"/>
              <w:rPr>
                <w:rFonts w:ascii="Arial" w:eastAsia="黑体" w:hAnsi="Arial" w:cs="Arial"/>
                <w:b/>
                <w:bCs/>
                <w:sz w:val="20"/>
              </w:rPr>
            </w:pPr>
            <w:r>
              <w:rPr>
                <w:rFonts w:ascii="Arial" w:eastAsia="黑体" w:hAnsi="Arial" w:cs="Arial"/>
                <w:b/>
                <w:bCs/>
                <w:sz w:val="20"/>
              </w:rPr>
              <w:t>净利润</w:t>
            </w: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99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1,323,173,729.70</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99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1,233,693,852.94</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015" w:type="dxa"/>
            <w:tcBorders>
              <w:top w:val="nil"/>
              <w:left w:val="nil"/>
              <w:bottom w:val="nil"/>
              <w:right w:val="nil"/>
            </w:tcBorders>
            <w:vAlign w:val="bottom"/>
          </w:tcPr>
          <w:p w:rsidR="00AD5BB5" w:rsidRDefault="00F87FF6">
            <w:pPr>
              <w:autoSpaceDE w:val="0"/>
              <w:autoSpaceDN w:val="0"/>
              <w:ind w:leftChars="135" w:left="1083" w:hangingChars="400" w:hanging="800"/>
              <w:rPr>
                <w:rFonts w:ascii="Arial" w:eastAsia="黑体" w:hAnsi="Arial" w:cs="Arial"/>
                <w:sz w:val="20"/>
              </w:rPr>
            </w:pPr>
            <w:r>
              <w:rPr>
                <w:rFonts w:ascii="Arial" w:eastAsia="黑体" w:hAnsi="Arial" w:cs="Arial"/>
                <w:sz w:val="20"/>
              </w:rPr>
              <w:t>其中：持续经营净利润</w:t>
            </w: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double" w:sz="4" w:space="0" w:color="auto"/>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1,323,173,729.70</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double" w:sz="4" w:space="0" w:color="auto"/>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1,233,693,852.94</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015"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015"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bl>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F87FF6">
      <w:pPr>
        <w:rPr>
          <w:rFonts w:ascii="Arial" w:hAnsi="Arial" w:cs="Arial"/>
        </w:rPr>
      </w:pPr>
      <w:r>
        <w:rPr>
          <w:rFonts w:ascii="Arial" w:eastAsia="黑体" w:hAnsi="Arial" w:cs="Arial"/>
          <w:i/>
          <w:sz w:val="20"/>
        </w:rPr>
        <w:t>后附财务报表附注为本财务报表的组成部分</w:t>
      </w:r>
      <w:r>
        <w:rPr>
          <w:rFonts w:ascii="Arial" w:hAnsi="Arial" w:cs="Arial"/>
        </w:rPr>
        <w:br w:type="page"/>
      </w:r>
    </w:p>
    <w:p w:rsidR="00AD5BB5" w:rsidRDefault="00AD5BB5">
      <w:pPr>
        <w:rPr>
          <w:rFonts w:ascii="Arial" w:eastAsia="黑体" w:hAnsi="Arial" w:cs="Arial"/>
          <w:sz w:val="22"/>
        </w:rPr>
      </w:pPr>
    </w:p>
    <w:p w:rsidR="00AD5BB5" w:rsidRDefault="00AD5BB5">
      <w:pPr>
        <w:rPr>
          <w:rFonts w:ascii="Arial" w:eastAsia="黑体" w:hAnsi="Arial" w:cs="Arial"/>
          <w:sz w:val="22"/>
        </w:rPr>
      </w:pPr>
    </w:p>
    <w:tbl>
      <w:tblPr>
        <w:tblW w:w="0" w:type="auto"/>
        <w:tblLayout w:type="fixed"/>
        <w:tblCellMar>
          <w:left w:w="0" w:type="dxa"/>
          <w:right w:w="0" w:type="dxa"/>
        </w:tblCellMar>
        <w:tblLook w:val="04A0" w:firstRow="1" w:lastRow="0" w:firstColumn="1" w:lastColumn="0" w:noHBand="0" w:noVBand="1"/>
        <w:tblCaption w:val="823ee9e8-c10c-4f35-81c6-a2effdf8aac5"/>
        <w:tblDescription w:val="{&quot;UUID&quot;:&quot;afsaddin_tabledata_2_56437_823ee9e8-c10c-4f35-81c6-a2effdf8aac5&quot;,&quot;TitleRowCount&quot;:2,&quot;SplitedTable&quot;:true,&quot;FirstTableId&quot;:&quot;de451400-93c6-496e-8d37-fbc6d28a123d&quot;}"/>
      </w:tblPr>
      <w:tblGrid>
        <w:gridCol w:w="3015"/>
        <w:gridCol w:w="983"/>
        <w:gridCol w:w="111"/>
        <w:gridCol w:w="1992"/>
        <w:gridCol w:w="111"/>
        <w:gridCol w:w="111"/>
        <w:gridCol w:w="1992"/>
        <w:gridCol w:w="111"/>
      </w:tblGrid>
      <w:tr w:rsidR="00AD5BB5">
        <w:tc>
          <w:tcPr>
            <w:tcW w:w="3015" w:type="dxa"/>
            <w:tcBorders>
              <w:top w:val="nil"/>
              <w:left w:val="nil"/>
              <w:bottom w:val="nil"/>
              <w:right w:val="nil"/>
            </w:tcBorders>
            <w:vAlign w:val="bottom"/>
          </w:tcPr>
          <w:p w:rsidR="00AD5BB5" w:rsidRDefault="00AD5BB5">
            <w:pPr>
              <w:autoSpaceDE w:val="0"/>
              <w:autoSpaceDN w:val="0"/>
              <w:ind w:left="301" w:hangingChars="150" w:hanging="301"/>
              <w:rPr>
                <w:rFonts w:ascii="Arial" w:eastAsia="黑体" w:hAnsi="Arial" w:cs="Arial"/>
                <w:b/>
                <w:bCs/>
                <w:sz w:val="20"/>
              </w:rPr>
            </w:pPr>
          </w:p>
        </w:tc>
        <w:tc>
          <w:tcPr>
            <w:tcW w:w="983" w:type="dxa"/>
            <w:tcBorders>
              <w:top w:val="nil"/>
              <w:left w:val="nil"/>
              <w:bottom w:val="nil"/>
              <w:right w:val="nil"/>
            </w:tcBorders>
            <w:vAlign w:val="bottom"/>
          </w:tcPr>
          <w:p w:rsidR="00AD5BB5" w:rsidRDefault="00F87FF6">
            <w:pPr>
              <w:autoSpaceDE w:val="0"/>
              <w:autoSpaceDN w:val="0"/>
              <w:jc w:val="center"/>
              <w:rPr>
                <w:rFonts w:ascii="Arial" w:eastAsia="黑体" w:hAnsi="Arial" w:cs="Arial"/>
                <w:b/>
                <w:bCs/>
                <w:sz w:val="20"/>
                <w:u w:val="single"/>
              </w:rPr>
            </w:pPr>
            <w:r>
              <w:rPr>
                <w:rFonts w:ascii="Arial" w:eastAsia="黑体" w:hAnsi="Arial" w:cs="Arial"/>
                <w:b/>
                <w:bCs/>
                <w:sz w:val="20"/>
                <w:u w:val="single"/>
              </w:rPr>
              <w:t>附注十四</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u w:val="single"/>
              </w:rPr>
            </w:pPr>
            <w:r>
              <w:rPr>
                <w:rFonts w:ascii="Arial" w:eastAsia="黑体" w:hAnsi="Arial" w:cs="Arial"/>
                <w:sz w:val="20"/>
                <w:u w:val="single"/>
              </w:rPr>
              <w:fldChar w:fldCharType="begin"/>
            </w:r>
            <w:r>
              <w:rPr>
                <w:rFonts w:ascii="Arial" w:eastAsia="黑体" w:hAnsi="Arial" w:cs="Arial"/>
                <w:sz w:val="20"/>
                <w:u w:val="single"/>
              </w:rPr>
              <w:instrText xml:space="preserve">DOCPROPERTY </w:instrText>
            </w:r>
            <w:r>
              <w:rPr>
                <w:rFonts w:ascii="Arial" w:eastAsia="黑体" w:hAnsi="Arial" w:cs="Arial"/>
                <w:sz w:val="20"/>
                <w:u w:val="single"/>
              </w:rPr>
              <w:instrText>当期会计期间</w:instrText>
            </w:r>
            <w:r>
              <w:rPr>
                <w:rFonts w:ascii="Arial" w:eastAsia="黑体" w:hAnsi="Arial" w:cs="Arial"/>
                <w:sz w:val="20"/>
                <w:u w:val="single"/>
              </w:rPr>
              <w:fldChar w:fldCharType="separate"/>
            </w:r>
            <w:r>
              <w:rPr>
                <w:rFonts w:ascii="Arial" w:eastAsia="黑体" w:hAnsi="Arial" w:cs="Arial"/>
                <w:sz w:val="20"/>
                <w:u w:val="single"/>
              </w:rPr>
              <w:t>2023</w:t>
            </w:r>
            <w:r>
              <w:rPr>
                <w:rFonts w:ascii="Arial" w:eastAsia="黑体" w:hAnsi="Arial" w:cs="Arial"/>
                <w:sz w:val="20"/>
                <w:u w:val="single"/>
              </w:rPr>
              <w:fldChar w:fldCharType="end"/>
            </w:r>
            <w:r>
              <w:rPr>
                <w:rFonts w:ascii="Arial" w:eastAsia="黑体" w:hAnsi="Arial" w:cs="Arial"/>
                <w:sz w:val="20"/>
                <w:u w:val="single"/>
              </w:rPr>
              <w:t>年</w:t>
            </w:r>
            <w:r>
              <w:rPr>
                <w:rFonts w:ascii="Arial" w:eastAsia="黑体" w:hAnsi="Arial" w:cs="Arial"/>
                <w:sz w:val="20"/>
                <w:u w:val="single"/>
              </w:rPr>
              <w:t>1-6</w:t>
            </w:r>
            <w:r>
              <w:rPr>
                <w:rFonts w:ascii="Arial" w:eastAsia="黑体" w:hAnsi="Arial" w:cs="Arial"/>
                <w:sz w:val="20"/>
                <w:u w:val="single"/>
              </w:rPr>
              <w:t>月</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u w:val="single"/>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u w:val="single"/>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u w:val="single"/>
              </w:rPr>
            </w:pPr>
            <w:r>
              <w:rPr>
                <w:rFonts w:ascii="Arial" w:eastAsia="黑体" w:hAnsi="Arial" w:cs="Arial"/>
                <w:sz w:val="20"/>
                <w:u w:val="single"/>
              </w:rPr>
              <w:fldChar w:fldCharType="begin"/>
            </w:r>
            <w:r>
              <w:rPr>
                <w:rFonts w:ascii="Arial" w:eastAsia="黑体" w:hAnsi="Arial" w:cs="Arial"/>
                <w:sz w:val="20"/>
                <w:u w:val="single"/>
              </w:rPr>
              <w:instrText xml:space="preserve">DOCPROPERTY </w:instrText>
            </w:r>
            <w:r>
              <w:rPr>
                <w:rFonts w:ascii="Arial" w:eastAsia="黑体" w:hAnsi="Arial" w:cs="Arial"/>
                <w:sz w:val="20"/>
                <w:u w:val="single"/>
              </w:rPr>
              <w:instrText>对比会计期间</w:instrText>
            </w:r>
            <w:r>
              <w:rPr>
                <w:rFonts w:ascii="Arial" w:eastAsia="黑体" w:hAnsi="Arial" w:cs="Arial"/>
                <w:sz w:val="20"/>
                <w:u w:val="single"/>
              </w:rPr>
              <w:fldChar w:fldCharType="separate"/>
            </w:r>
            <w:r>
              <w:rPr>
                <w:rFonts w:ascii="Arial" w:eastAsia="黑体" w:hAnsi="Arial" w:cs="Arial"/>
                <w:sz w:val="20"/>
                <w:u w:val="single"/>
              </w:rPr>
              <w:t>2022</w:t>
            </w:r>
            <w:r>
              <w:rPr>
                <w:rFonts w:ascii="Arial" w:eastAsia="黑体" w:hAnsi="Arial" w:cs="Arial"/>
                <w:sz w:val="20"/>
                <w:u w:val="single"/>
              </w:rPr>
              <w:fldChar w:fldCharType="end"/>
            </w:r>
            <w:r>
              <w:rPr>
                <w:rFonts w:ascii="Arial" w:eastAsia="黑体" w:hAnsi="Arial" w:cs="Arial"/>
                <w:sz w:val="20"/>
                <w:u w:val="single"/>
              </w:rPr>
              <w:t>年</w:t>
            </w:r>
            <w:r>
              <w:rPr>
                <w:rFonts w:ascii="Arial" w:eastAsia="黑体" w:hAnsi="Arial" w:cs="Arial"/>
                <w:sz w:val="20"/>
                <w:u w:val="single"/>
              </w:rPr>
              <w:t>1-6</w:t>
            </w:r>
            <w:r>
              <w:rPr>
                <w:rFonts w:ascii="Arial" w:eastAsia="黑体" w:hAnsi="Arial" w:cs="Arial"/>
                <w:sz w:val="20"/>
                <w:u w:val="single"/>
              </w:rPr>
              <w:t>月</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015"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015" w:type="dxa"/>
            <w:tcBorders>
              <w:top w:val="nil"/>
              <w:left w:val="nil"/>
              <w:bottom w:val="nil"/>
              <w:right w:val="nil"/>
            </w:tcBorders>
            <w:vAlign w:val="bottom"/>
          </w:tcPr>
          <w:p w:rsidR="00AD5BB5" w:rsidRDefault="00F87FF6">
            <w:pPr>
              <w:autoSpaceDE w:val="0"/>
              <w:autoSpaceDN w:val="0"/>
              <w:ind w:left="201" w:hangingChars="100" w:hanging="201"/>
              <w:rPr>
                <w:rFonts w:ascii="Arial" w:eastAsia="黑体" w:hAnsi="Arial" w:cs="Arial"/>
                <w:b/>
                <w:bCs/>
                <w:sz w:val="20"/>
              </w:rPr>
            </w:pPr>
            <w:r>
              <w:rPr>
                <w:rFonts w:ascii="Arial" w:eastAsia="黑体" w:hAnsi="Arial" w:cs="Arial"/>
                <w:b/>
                <w:bCs/>
                <w:sz w:val="20"/>
              </w:rPr>
              <w:t>其他综合</w:t>
            </w:r>
            <w:r>
              <w:rPr>
                <w:rFonts w:ascii="Arial" w:eastAsia="黑体" w:hAnsi="Arial" w:cs="Arial" w:hint="eastAsia"/>
                <w:b/>
                <w:bCs/>
                <w:sz w:val="20"/>
              </w:rPr>
              <w:t>收益</w:t>
            </w:r>
            <w:r>
              <w:rPr>
                <w:rFonts w:ascii="Arial" w:eastAsia="黑体" w:hAnsi="Arial" w:cs="Arial" w:hint="eastAsia"/>
                <w:b/>
                <w:bCs/>
                <w:sz w:val="20"/>
              </w:rPr>
              <w:t>/</w:t>
            </w:r>
            <w:r>
              <w:rPr>
                <w:rFonts w:ascii="Arial" w:eastAsia="黑体" w:hAnsi="Arial" w:cs="Arial"/>
                <w:b/>
                <w:bCs/>
                <w:sz w:val="20"/>
              </w:rPr>
              <w:t>（损失）的税后</w:t>
            </w:r>
          </w:p>
          <w:p w:rsidR="00AD5BB5" w:rsidRDefault="00F87FF6">
            <w:pPr>
              <w:autoSpaceDE w:val="0"/>
              <w:autoSpaceDN w:val="0"/>
              <w:ind w:leftChars="87" w:left="384" w:hangingChars="100" w:hanging="201"/>
              <w:rPr>
                <w:rFonts w:ascii="Arial" w:eastAsia="黑体" w:hAnsi="Arial" w:cs="Arial"/>
                <w:b/>
                <w:bCs/>
                <w:sz w:val="20"/>
              </w:rPr>
            </w:pPr>
            <w:r>
              <w:rPr>
                <w:rFonts w:ascii="Arial" w:eastAsia="黑体" w:hAnsi="Arial" w:cs="Arial"/>
                <w:b/>
                <w:bCs/>
                <w:sz w:val="20"/>
              </w:rPr>
              <w:t>净额</w:t>
            </w: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355,729,437.34</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(60,568,608.84</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r>
      <w:tr w:rsidR="00AD5BB5">
        <w:tc>
          <w:tcPr>
            <w:tcW w:w="3015"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015" w:type="dxa"/>
            <w:tcBorders>
              <w:top w:val="nil"/>
              <w:left w:val="nil"/>
              <w:bottom w:val="nil"/>
              <w:right w:val="nil"/>
            </w:tcBorders>
            <w:vAlign w:val="bottom"/>
          </w:tcPr>
          <w:p w:rsidR="00AD5BB5" w:rsidRDefault="00F87FF6">
            <w:pPr>
              <w:autoSpaceDE w:val="0"/>
              <w:autoSpaceDN w:val="0"/>
              <w:ind w:left="200" w:hangingChars="100" w:hanging="200"/>
              <w:rPr>
                <w:rFonts w:ascii="Arial" w:eastAsia="黑体" w:hAnsi="Arial" w:cs="Arial"/>
                <w:sz w:val="20"/>
              </w:rPr>
            </w:pPr>
            <w:r>
              <w:rPr>
                <w:rFonts w:ascii="Arial" w:eastAsia="黑体" w:hAnsi="Arial" w:cs="Arial"/>
                <w:sz w:val="20"/>
              </w:rPr>
              <w:t>不能重分类进损益的其他综合收益</w:t>
            </w: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015" w:type="dxa"/>
            <w:tcBorders>
              <w:top w:val="nil"/>
              <w:left w:val="nil"/>
              <w:bottom w:val="nil"/>
              <w:right w:val="nil"/>
            </w:tcBorders>
            <w:vAlign w:val="bottom"/>
          </w:tcPr>
          <w:p w:rsidR="00AD5BB5" w:rsidRDefault="00F87FF6">
            <w:pPr>
              <w:autoSpaceDE w:val="0"/>
              <w:autoSpaceDN w:val="0"/>
              <w:ind w:leftChars="82" w:left="372" w:hangingChars="100" w:hanging="200"/>
              <w:rPr>
                <w:rFonts w:ascii="Arial" w:eastAsia="黑体" w:hAnsi="Arial" w:cs="Arial"/>
                <w:sz w:val="20"/>
              </w:rPr>
            </w:pPr>
            <w:r>
              <w:rPr>
                <w:rFonts w:ascii="Arial" w:eastAsia="黑体" w:hAnsi="Arial" w:cs="Arial"/>
                <w:sz w:val="20"/>
              </w:rPr>
              <w:t>其他权益工具投资公允价值变动</w:t>
            </w: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14,079,925.10</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7,378,914.91</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015"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015" w:type="dxa"/>
            <w:tcBorders>
              <w:top w:val="nil"/>
              <w:left w:val="nil"/>
              <w:bottom w:val="nil"/>
              <w:right w:val="nil"/>
            </w:tcBorders>
            <w:vAlign w:val="bottom"/>
          </w:tcPr>
          <w:p w:rsidR="00AD5BB5" w:rsidRDefault="00F87FF6">
            <w:pPr>
              <w:autoSpaceDE w:val="0"/>
              <w:autoSpaceDN w:val="0"/>
              <w:ind w:left="200" w:hangingChars="100" w:hanging="200"/>
              <w:rPr>
                <w:rFonts w:ascii="Arial" w:eastAsia="黑体" w:hAnsi="Arial" w:cs="Arial"/>
                <w:sz w:val="20"/>
              </w:rPr>
            </w:pPr>
            <w:r>
              <w:rPr>
                <w:rFonts w:ascii="Arial" w:eastAsia="黑体" w:hAnsi="Arial" w:cs="Arial"/>
                <w:sz w:val="20"/>
              </w:rPr>
              <w:t>将重分类进损益的其他综合收益</w:t>
            </w: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015" w:type="dxa"/>
            <w:tcBorders>
              <w:top w:val="nil"/>
              <w:left w:val="nil"/>
              <w:bottom w:val="nil"/>
              <w:right w:val="nil"/>
            </w:tcBorders>
            <w:vAlign w:val="bottom"/>
          </w:tcPr>
          <w:p w:rsidR="00AD5BB5" w:rsidRDefault="00F87FF6">
            <w:pPr>
              <w:autoSpaceDE w:val="0"/>
              <w:autoSpaceDN w:val="0"/>
              <w:ind w:leftChars="94" w:left="397" w:hangingChars="100" w:hanging="200"/>
              <w:rPr>
                <w:rFonts w:ascii="Arial" w:eastAsia="黑体" w:hAnsi="Arial" w:cs="Arial"/>
                <w:sz w:val="20"/>
              </w:rPr>
            </w:pPr>
            <w:r>
              <w:rPr>
                <w:rFonts w:ascii="Arial" w:eastAsia="黑体" w:hAnsi="Arial" w:cs="Arial"/>
                <w:sz w:val="20"/>
              </w:rPr>
              <w:t>1.</w:t>
            </w:r>
            <w:r>
              <w:rPr>
                <w:rFonts w:ascii="Arial" w:eastAsia="黑体" w:hAnsi="Arial" w:cs="Arial"/>
                <w:sz w:val="20"/>
              </w:rPr>
              <w:t>以公允价值计量且其变动</w:t>
            </w:r>
          </w:p>
          <w:p w:rsidR="00AD5BB5" w:rsidRDefault="00F87FF6">
            <w:pPr>
              <w:autoSpaceDE w:val="0"/>
              <w:autoSpaceDN w:val="0"/>
              <w:ind w:leftChars="233" w:left="689" w:hangingChars="100" w:hanging="200"/>
              <w:rPr>
                <w:rFonts w:ascii="Arial" w:eastAsia="黑体" w:hAnsi="Arial" w:cs="Arial"/>
                <w:sz w:val="20"/>
              </w:rPr>
            </w:pPr>
            <w:r>
              <w:rPr>
                <w:rFonts w:ascii="Arial" w:eastAsia="黑体" w:hAnsi="Arial" w:cs="Arial"/>
                <w:sz w:val="20"/>
              </w:rPr>
              <w:t>计入其他综合收益的债务</w:t>
            </w:r>
          </w:p>
          <w:p w:rsidR="00AD5BB5" w:rsidRDefault="00F87FF6">
            <w:pPr>
              <w:autoSpaceDE w:val="0"/>
              <w:autoSpaceDN w:val="0"/>
              <w:ind w:leftChars="247" w:left="719" w:hangingChars="100" w:hanging="200"/>
              <w:rPr>
                <w:rFonts w:ascii="Arial" w:eastAsia="黑体" w:hAnsi="Arial" w:cs="Arial"/>
                <w:sz w:val="20"/>
              </w:rPr>
            </w:pPr>
            <w:r>
              <w:rPr>
                <w:rFonts w:ascii="Arial" w:eastAsia="黑体" w:hAnsi="Arial" w:cs="Arial"/>
                <w:sz w:val="20"/>
              </w:rPr>
              <w:t>工具投资公允价值变动</w:t>
            </w: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307,047,930.86</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(107,153,583.72</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r>
      <w:tr w:rsidR="00AD5BB5">
        <w:tc>
          <w:tcPr>
            <w:tcW w:w="3015" w:type="dxa"/>
            <w:tcBorders>
              <w:top w:val="nil"/>
              <w:left w:val="nil"/>
              <w:bottom w:val="nil"/>
              <w:right w:val="nil"/>
            </w:tcBorders>
            <w:vAlign w:val="bottom"/>
          </w:tcPr>
          <w:p w:rsidR="00AD5BB5" w:rsidRDefault="00F87FF6">
            <w:pPr>
              <w:autoSpaceDE w:val="0"/>
              <w:autoSpaceDN w:val="0"/>
              <w:ind w:leftChars="94" w:left="397" w:hangingChars="100" w:hanging="200"/>
              <w:rPr>
                <w:rFonts w:ascii="Arial" w:eastAsia="黑体" w:hAnsi="Arial" w:cs="Arial"/>
                <w:sz w:val="20"/>
              </w:rPr>
            </w:pPr>
            <w:r>
              <w:rPr>
                <w:rFonts w:ascii="Arial" w:eastAsia="黑体" w:hAnsi="Arial" w:cs="Arial"/>
                <w:sz w:val="20"/>
              </w:rPr>
              <w:t>2.</w:t>
            </w:r>
            <w:r>
              <w:rPr>
                <w:rFonts w:ascii="Arial" w:eastAsia="黑体" w:hAnsi="Arial" w:cs="Arial"/>
                <w:sz w:val="20"/>
              </w:rPr>
              <w:t>以公允价值计量且其变动</w:t>
            </w:r>
          </w:p>
          <w:p w:rsidR="00AD5BB5" w:rsidRDefault="00F87FF6">
            <w:pPr>
              <w:autoSpaceDE w:val="0"/>
              <w:autoSpaceDN w:val="0"/>
              <w:ind w:leftChars="253" w:left="731" w:hangingChars="100" w:hanging="200"/>
              <w:rPr>
                <w:rFonts w:ascii="Arial" w:eastAsia="黑体" w:hAnsi="Arial" w:cs="Arial"/>
                <w:sz w:val="20"/>
              </w:rPr>
            </w:pPr>
            <w:r>
              <w:rPr>
                <w:rFonts w:ascii="Arial" w:eastAsia="黑体" w:hAnsi="Arial" w:cs="Arial"/>
                <w:sz w:val="20"/>
              </w:rPr>
              <w:t>计入其他综合收益的债务</w:t>
            </w:r>
          </w:p>
          <w:p w:rsidR="00AD5BB5" w:rsidRDefault="00F87FF6">
            <w:pPr>
              <w:autoSpaceDE w:val="0"/>
              <w:autoSpaceDN w:val="0"/>
              <w:ind w:leftChars="247" w:left="719" w:hangingChars="100" w:hanging="200"/>
              <w:rPr>
                <w:rFonts w:ascii="Arial" w:eastAsia="黑体" w:hAnsi="Arial" w:cs="Arial"/>
                <w:sz w:val="20"/>
              </w:rPr>
            </w:pPr>
            <w:r>
              <w:rPr>
                <w:rFonts w:ascii="Arial" w:eastAsia="黑体" w:hAnsi="Arial" w:cs="Arial"/>
                <w:sz w:val="20"/>
              </w:rPr>
              <w:t>工具投资信用损失准备</w:t>
            </w: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34,601,581.38</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39,206,059.97</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015"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015" w:type="dxa"/>
            <w:tcBorders>
              <w:top w:val="nil"/>
              <w:left w:val="nil"/>
              <w:bottom w:val="nil"/>
              <w:right w:val="nil"/>
            </w:tcBorders>
            <w:vAlign w:val="bottom"/>
          </w:tcPr>
          <w:p w:rsidR="00AD5BB5" w:rsidRDefault="00F87FF6">
            <w:pPr>
              <w:autoSpaceDE w:val="0"/>
              <w:autoSpaceDN w:val="0"/>
              <w:ind w:left="201" w:hangingChars="100" w:hanging="201"/>
              <w:rPr>
                <w:rFonts w:ascii="Arial" w:eastAsia="黑体" w:hAnsi="Arial" w:cs="Arial"/>
                <w:b/>
                <w:bCs/>
                <w:sz w:val="20"/>
              </w:rPr>
            </w:pPr>
            <w:r>
              <w:rPr>
                <w:rFonts w:ascii="Arial" w:eastAsia="黑体" w:hAnsi="Arial" w:cs="Arial"/>
                <w:b/>
                <w:bCs/>
                <w:sz w:val="20"/>
              </w:rPr>
              <w:t>综合收益总额</w:t>
            </w: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99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1,678,903,167.04</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b/>
                <w:bCs/>
                <w:sz w:val="20"/>
              </w:rPr>
            </w:pPr>
          </w:p>
        </w:tc>
        <w:tc>
          <w:tcPr>
            <w:tcW w:w="199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20"/>
              </w:rPr>
            </w:pPr>
            <w:r>
              <w:rPr>
                <w:rFonts w:ascii="Arial" w:eastAsia="黑体" w:hAnsi="Arial" w:cs="Arial"/>
                <w:b/>
                <w:bCs/>
                <w:sz w:val="20"/>
              </w:rPr>
              <w:t>1,173,125,244.10</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015"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98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992"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bl>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rPr>
          <w:rFonts w:ascii="Arial" w:hAnsi="Arial" w:cs="Arial"/>
        </w:rPr>
      </w:pPr>
    </w:p>
    <w:p w:rsidR="00AD5BB5" w:rsidRDefault="00F87FF6">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rPr>
      </w:pPr>
      <w:r>
        <w:rPr>
          <w:rFonts w:ascii="Arial" w:eastAsia="黑体" w:hAnsi="Arial" w:cs="Arial"/>
          <w:sz w:val="20"/>
        </w:rPr>
        <w:t>本财务报表已于</w:t>
      </w:r>
      <w:r>
        <w:rPr>
          <w:rFonts w:ascii="Arial" w:eastAsia="黑体" w:hAnsi="Arial" w:cs="Arial"/>
          <w:sz w:val="20"/>
        </w:rPr>
        <w:fldChar w:fldCharType="begin"/>
      </w:r>
      <w:r>
        <w:rPr>
          <w:rFonts w:ascii="Arial" w:eastAsia="黑体" w:hAnsi="Arial" w:cs="Arial"/>
          <w:sz w:val="20"/>
        </w:rPr>
        <w:instrText xml:space="preserve"> DOCPROPERTY </w:instrText>
      </w:r>
      <w:r>
        <w:rPr>
          <w:rFonts w:ascii="Arial" w:eastAsia="黑体" w:hAnsi="Arial" w:cs="Arial"/>
          <w:sz w:val="20"/>
        </w:rPr>
        <w:instrText>报告日</w:instrText>
      </w:r>
      <w:r>
        <w:rPr>
          <w:rFonts w:ascii="Arial" w:eastAsia="黑体" w:hAnsi="Arial" w:cs="Arial"/>
          <w:sz w:val="20"/>
        </w:rPr>
        <w:instrText xml:space="preserve"> </w:instrText>
      </w:r>
      <w:r>
        <w:rPr>
          <w:rFonts w:ascii="Arial" w:eastAsia="黑体" w:hAnsi="Arial" w:cs="Arial"/>
          <w:sz w:val="20"/>
        </w:rPr>
        <w:fldChar w:fldCharType="separate"/>
      </w:r>
      <w:r>
        <w:rPr>
          <w:rFonts w:ascii="Arial" w:eastAsia="黑体" w:hAnsi="Arial" w:cs="Arial"/>
          <w:sz w:val="20"/>
        </w:rPr>
        <w:t>2023</w:t>
      </w:r>
      <w:r>
        <w:rPr>
          <w:rFonts w:ascii="Arial" w:eastAsia="黑体" w:hAnsi="Arial" w:cs="Arial"/>
          <w:sz w:val="20"/>
        </w:rPr>
        <w:t>年</w:t>
      </w:r>
      <w:r>
        <w:rPr>
          <w:rFonts w:ascii="Arial" w:eastAsia="黑体" w:hAnsi="Arial" w:cs="Arial"/>
          <w:sz w:val="20"/>
        </w:rPr>
        <w:t>8</w:t>
      </w:r>
      <w:r>
        <w:rPr>
          <w:rFonts w:ascii="Arial" w:eastAsia="黑体" w:hAnsi="Arial" w:cs="Arial"/>
          <w:sz w:val="20"/>
        </w:rPr>
        <w:t>月</w:t>
      </w:r>
      <w:r>
        <w:rPr>
          <w:rFonts w:ascii="Arial" w:eastAsia="黑体" w:hAnsi="Arial" w:cs="Arial"/>
          <w:sz w:val="20"/>
        </w:rPr>
        <w:t>28</w:t>
      </w:r>
      <w:r>
        <w:rPr>
          <w:rFonts w:ascii="Arial" w:eastAsia="黑体" w:hAnsi="Arial" w:cs="Arial"/>
          <w:sz w:val="20"/>
        </w:rPr>
        <w:t>日</w:t>
      </w:r>
      <w:r>
        <w:rPr>
          <w:rFonts w:ascii="Arial" w:eastAsia="黑体" w:hAnsi="Arial" w:cs="Arial"/>
          <w:sz w:val="20"/>
        </w:rPr>
        <w:fldChar w:fldCharType="end"/>
      </w:r>
      <w:r>
        <w:rPr>
          <w:rFonts w:ascii="Arial" w:eastAsia="黑体" w:hAnsi="Arial" w:cs="Arial"/>
          <w:sz w:val="20"/>
        </w:rPr>
        <w:t>获本行董事会批准。</w:t>
      </w: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snapToGrid w:val="0"/>
        <w:rPr>
          <w:rFonts w:ascii="Arial" w:eastAsia="黑体" w:hAnsi="Arial" w:cs="Arial"/>
          <w:i/>
          <w:sz w:val="20"/>
        </w:rPr>
      </w:pPr>
    </w:p>
    <w:p w:rsidR="00AD5BB5" w:rsidRDefault="00F87FF6">
      <w:pPr>
        <w:overflowPunct w:val="0"/>
        <w:autoSpaceDE w:val="0"/>
        <w:autoSpaceDN w:val="0"/>
        <w:snapToGrid w:val="0"/>
        <w:rPr>
          <w:rFonts w:ascii="Arial" w:eastAsia="黑体" w:hAnsi="Arial" w:cs="Arial"/>
          <w:sz w:val="20"/>
        </w:rPr>
      </w:pPr>
      <w:r>
        <w:rPr>
          <w:rFonts w:ascii="Arial" w:eastAsia="黑体" w:hAnsi="Arial" w:cs="Arial"/>
          <w:sz w:val="20"/>
        </w:rPr>
        <w:t>本财务报表由以下人士签署：</w:t>
      </w: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snapToGrid w:val="0"/>
        <w:rPr>
          <w:rFonts w:ascii="Arial" w:eastAsia="黑体" w:hAnsi="Arial" w:cs="Arial"/>
          <w:sz w:val="20"/>
        </w:rPr>
      </w:pPr>
    </w:p>
    <w:p w:rsidR="00AD5BB5" w:rsidRDefault="00F87FF6">
      <w:pPr>
        <w:tabs>
          <w:tab w:val="left" w:pos="2100"/>
          <w:tab w:val="left" w:pos="2552"/>
          <w:tab w:val="left" w:pos="4962"/>
        </w:tabs>
        <w:overflowPunct w:val="0"/>
        <w:autoSpaceDE w:val="0"/>
        <w:autoSpaceDN w:val="0"/>
        <w:snapToGrid w:val="0"/>
        <w:rPr>
          <w:rFonts w:ascii="Arial" w:eastAsia="黑体" w:hAnsi="Arial" w:cs="Arial"/>
          <w:sz w:val="20"/>
        </w:rPr>
      </w:pPr>
      <w:r>
        <w:rPr>
          <w:rFonts w:ascii="Arial" w:eastAsia="黑体" w:hAnsi="Arial" w:cs="Arial"/>
          <w:sz w:val="20"/>
        </w:rPr>
        <w:t>法定</w:t>
      </w:r>
      <w:r>
        <w:rPr>
          <w:rFonts w:ascii="Arial" w:eastAsia="黑体" w:hAnsi="Arial" w:cs="Arial"/>
          <w:sz w:val="20"/>
        </w:rPr>
        <w:tab/>
      </w:r>
      <w:r>
        <w:rPr>
          <w:rFonts w:ascii="Arial" w:eastAsia="黑体" w:hAnsi="Arial" w:cs="Arial"/>
          <w:sz w:val="20"/>
        </w:rPr>
        <w:tab/>
      </w:r>
      <w:r>
        <w:rPr>
          <w:rFonts w:ascii="Arial" w:eastAsia="黑体" w:hAnsi="Arial" w:cs="Arial"/>
          <w:sz w:val="20"/>
        </w:rPr>
        <w:t>主管财会</w:t>
      </w:r>
      <w:r>
        <w:rPr>
          <w:rFonts w:ascii="Arial" w:eastAsia="黑体" w:hAnsi="Arial" w:cs="Arial"/>
          <w:sz w:val="20"/>
        </w:rPr>
        <w:tab/>
      </w:r>
      <w:r>
        <w:rPr>
          <w:rFonts w:ascii="Arial" w:eastAsia="黑体" w:hAnsi="Arial" w:cs="Arial"/>
          <w:sz w:val="20"/>
        </w:rPr>
        <w:t>财会机构</w:t>
      </w:r>
    </w:p>
    <w:p w:rsidR="00AD5BB5" w:rsidRDefault="00F87FF6">
      <w:pPr>
        <w:tabs>
          <w:tab w:val="left" w:pos="1985"/>
          <w:tab w:val="left" w:pos="2552"/>
          <w:tab w:val="left" w:pos="4962"/>
          <w:tab w:val="left" w:pos="7139"/>
        </w:tabs>
        <w:overflowPunct w:val="0"/>
        <w:autoSpaceDE w:val="0"/>
        <w:autoSpaceDN w:val="0"/>
        <w:snapToGrid w:val="0"/>
        <w:rPr>
          <w:rFonts w:ascii="Arial" w:eastAsia="黑体" w:hAnsi="Arial" w:cs="Arial"/>
          <w:sz w:val="20"/>
        </w:rPr>
      </w:pPr>
      <w:r>
        <w:rPr>
          <w:rFonts w:ascii="Arial" w:eastAsia="黑体" w:hAnsi="Arial" w:cs="Arial"/>
          <w:sz w:val="20"/>
        </w:rPr>
        <w:t>代表人：</w:t>
      </w:r>
      <w:r>
        <w:rPr>
          <w:rFonts w:ascii="Arial" w:eastAsia="黑体" w:hAnsi="Arial" w:cs="Arial"/>
          <w:sz w:val="20"/>
        </w:rPr>
        <w:tab/>
      </w:r>
      <w:r>
        <w:rPr>
          <w:rFonts w:ascii="Arial" w:eastAsia="黑体" w:hAnsi="Arial" w:cs="Arial"/>
          <w:sz w:val="20"/>
        </w:rPr>
        <w:tab/>
      </w:r>
      <w:r>
        <w:rPr>
          <w:rFonts w:ascii="Arial" w:eastAsia="黑体" w:hAnsi="Arial" w:cs="Arial"/>
          <w:sz w:val="20"/>
        </w:rPr>
        <w:t>工作负责人：</w:t>
      </w:r>
      <w:r>
        <w:rPr>
          <w:rFonts w:ascii="Arial" w:eastAsia="黑体" w:hAnsi="Arial" w:cs="Arial"/>
          <w:sz w:val="20"/>
        </w:rPr>
        <w:tab/>
      </w:r>
      <w:r>
        <w:rPr>
          <w:rFonts w:ascii="Arial" w:eastAsia="黑体" w:hAnsi="Arial" w:cs="Arial"/>
          <w:sz w:val="20"/>
        </w:rPr>
        <w:t>负责人：</w:t>
      </w:r>
      <w:r>
        <w:rPr>
          <w:rFonts w:ascii="Arial" w:eastAsia="黑体" w:hAnsi="Arial" w:cs="Arial"/>
          <w:sz w:val="20"/>
        </w:rPr>
        <w:tab/>
      </w:r>
      <w:r>
        <w:rPr>
          <w:rFonts w:ascii="Arial" w:eastAsia="黑体" w:hAnsi="Arial" w:cs="Arial"/>
          <w:sz w:val="20"/>
        </w:rPr>
        <w:tab/>
      </w:r>
      <w:r>
        <w:rPr>
          <w:rFonts w:ascii="Arial" w:eastAsia="黑体" w:hAnsi="Arial" w:cs="Arial"/>
          <w:sz w:val="20"/>
        </w:rPr>
        <w:t>盖章</w:t>
      </w: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F87FF6">
      <w:pPr>
        <w:overflowPunct w:val="0"/>
        <w:autoSpaceDE w:val="0"/>
        <w:autoSpaceDN w:val="0"/>
        <w:adjustRightInd w:val="0"/>
        <w:rPr>
          <w:rFonts w:ascii="Arial" w:eastAsia="黑体" w:hAnsi="Arial" w:cs="Arial"/>
          <w:i/>
          <w:sz w:val="20"/>
        </w:rPr>
        <w:sectPr w:rsidR="00AD5BB5">
          <w:headerReference w:type="even" r:id="rId33"/>
          <w:headerReference w:type="default" r:id="rId34"/>
          <w:headerReference w:type="first" r:id="rId35"/>
          <w:pgSz w:w="11907" w:h="16840"/>
          <w:pgMar w:top="1440" w:right="1797" w:bottom="1440" w:left="1797" w:header="720" w:footer="720" w:gutter="0"/>
          <w:cols w:space="720"/>
          <w:titlePg/>
          <w:docGrid w:linePitch="360"/>
        </w:sectPr>
      </w:pPr>
      <w:r>
        <w:rPr>
          <w:rFonts w:ascii="Arial" w:eastAsia="黑体" w:hAnsi="Arial" w:cs="Arial"/>
          <w:i/>
          <w:sz w:val="20"/>
        </w:rPr>
        <w:t>后附财务报表附注为本财务报表的组成部分</w:t>
      </w:r>
    </w:p>
    <w:p w:rsidR="00AD5BB5" w:rsidRDefault="00AD5BB5">
      <w:pPr>
        <w:overflowPunct w:val="0"/>
        <w:autoSpaceDE w:val="0"/>
        <w:autoSpaceDN w:val="0"/>
        <w:rPr>
          <w:rFonts w:ascii="Arial" w:eastAsia="黑体" w:hAnsi="Arial" w:cs="Arial"/>
          <w:i/>
          <w:sz w:val="20"/>
        </w:rPr>
      </w:pPr>
      <w:bookmarkStart w:id="63" w:name="afsaddin_Section_2c1e69bbd8134f44bf53304"/>
    </w:p>
    <w:bookmarkEnd w:id="63"/>
    <w:p w:rsidR="00AD5BB5" w:rsidRDefault="00AD5BB5">
      <w:pPr>
        <w:overflowPunct w:val="0"/>
        <w:autoSpaceDE w:val="0"/>
        <w:autoSpaceDN w:val="0"/>
        <w:rPr>
          <w:rFonts w:ascii="Arial" w:eastAsia="黑体" w:hAnsi="Arial" w:cs="Arial"/>
          <w:i/>
          <w:sz w:val="20"/>
        </w:rPr>
      </w:pPr>
    </w:p>
    <w:tbl>
      <w:tblPr>
        <w:tblW w:w="0" w:type="auto"/>
        <w:tblLayout w:type="fixed"/>
        <w:tblCellMar>
          <w:left w:w="0" w:type="dxa"/>
          <w:right w:w="0" w:type="dxa"/>
        </w:tblCellMar>
        <w:tblLook w:val="04A0" w:firstRow="1" w:lastRow="0" w:firstColumn="1" w:lastColumn="0" w:noHBand="0" w:noVBand="1"/>
        <w:tblCaption w:val="744d7120-c5ac-49b5-aae0-b08f60bc1c5b"/>
        <w:tblDescription w:val="{&quot;UUID&quot;:&quot;afsaddin_tabledata_2_56437_744d7120-c5ac-49b5-aae0-b08f60bc1c5b&quot;,&quot;TitleRowCount&quot;:3,&quot;SplitedTable&quot;:false,&quot;FirstTableId&quot;:&quot;744d7120-c5ac-49b5-aae0-b08f60bc1c5b&quot;}"/>
      </w:tblPr>
      <w:tblGrid>
        <w:gridCol w:w="478"/>
        <w:gridCol w:w="1454"/>
        <w:gridCol w:w="103"/>
        <w:gridCol w:w="1241"/>
        <w:gridCol w:w="104"/>
        <w:gridCol w:w="104"/>
        <w:gridCol w:w="1242"/>
        <w:gridCol w:w="104"/>
        <w:gridCol w:w="104"/>
        <w:gridCol w:w="1242"/>
        <w:gridCol w:w="104"/>
        <w:gridCol w:w="104"/>
        <w:gridCol w:w="1108"/>
        <w:gridCol w:w="104"/>
        <w:gridCol w:w="104"/>
        <w:gridCol w:w="1242"/>
        <w:gridCol w:w="104"/>
        <w:gridCol w:w="104"/>
        <w:gridCol w:w="1242"/>
        <w:gridCol w:w="104"/>
        <w:gridCol w:w="104"/>
        <w:gridCol w:w="1242"/>
        <w:gridCol w:w="104"/>
        <w:gridCol w:w="104"/>
        <w:gridCol w:w="1206"/>
        <w:gridCol w:w="104"/>
      </w:tblGrid>
      <w:tr w:rsidR="00AD5BB5">
        <w:tc>
          <w:tcPr>
            <w:tcW w:w="478"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454" w:type="dxa"/>
            <w:tcBorders>
              <w:top w:val="nil"/>
              <w:left w:val="nil"/>
              <w:bottom w:val="nil"/>
              <w:right w:val="nil"/>
            </w:tcBorders>
            <w:vAlign w:val="bottom"/>
          </w:tcPr>
          <w:p w:rsidR="00AD5BB5" w:rsidRDefault="00AD5BB5">
            <w:pPr>
              <w:autoSpaceDE w:val="0"/>
              <w:autoSpaceDN w:val="0"/>
              <w:ind w:left="166" w:hangingChars="150" w:hanging="166"/>
              <w:rPr>
                <w:rFonts w:ascii="Arial" w:eastAsia="黑体" w:hAnsi="Arial" w:cs="Arial"/>
                <w:b/>
                <w:bCs/>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1221" w:type="dxa"/>
            <w:gridSpan w:val="22"/>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b/>
                <w:bCs/>
                <w:sz w:val="11"/>
                <w:szCs w:val="11"/>
              </w:rPr>
            </w:pPr>
            <w:r>
              <w:rPr>
                <w:rFonts w:ascii="Arial" w:eastAsia="黑体" w:hAnsi="Arial" w:cs="Arial"/>
                <w:b/>
                <w:bCs/>
                <w:sz w:val="11"/>
                <w:szCs w:val="11"/>
              </w:rPr>
              <w:t>截至</w:t>
            </w:r>
            <w:r>
              <w:rPr>
                <w:rFonts w:ascii="Arial" w:eastAsia="黑体" w:hAnsi="Arial" w:cs="Arial"/>
                <w:b/>
                <w:bCs/>
                <w:sz w:val="11"/>
                <w:szCs w:val="11"/>
              </w:rPr>
              <w:fldChar w:fldCharType="begin"/>
            </w:r>
            <w:r>
              <w:rPr>
                <w:rFonts w:ascii="Arial" w:eastAsia="黑体" w:hAnsi="Arial" w:cs="Arial"/>
                <w:b/>
                <w:bCs/>
                <w:sz w:val="11"/>
                <w:szCs w:val="11"/>
              </w:rPr>
              <w:instrText xml:space="preserve">DOCPROPERTY </w:instrText>
            </w:r>
            <w:r>
              <w:rPr>
                <w:rFonts w:ascii="Arial" w:eastAsia="黑体" w:hAnsi="Arial" w:cs="Arial"/>
                <w:b/>
                <w:bCs/>
                <w:sz w:val="11"/>
                <w:szCs w:val="11"/>
              </w:rPr>
              <w:instrText>当期会计期间</w:instrText>
            </w:r>
            <w:r>
              <w:rPr>
                <w:rFonts w:ascii="Arial" w:eastAsia="黑体" w:hAnsi="Arial" w:cs="Arial"/>
                <w:b/>
                <w:bCs/>
                <w:sz w:val="11"/>
                <w:szCs w:val="11"/>
              </w:rPr>
              <w:fldChar w:fldCharType="separate"/>
            </w:r>
            <w:r>
              <w:rPr>
                <w:rFonts w:ascii="Arial" w:eastAsia="黑体" w:hAnsi="Arial" w:cs="Arial"/>
                <w:b/>
                <w:bCs/>
                <w:sz w:val="11"/>
                <w:szCs w:val="11"/>
              </w:rPr>
              <w:t>2023</w:t>
            </w:r>
            <w:r>
              <w:rPr>
                <w:rFonts w:ascii="Arial" w:eastAsia="黑体" w:hAnsi="Arial" w:cs="Arial"/>
                <w:b/>
                <w:bCs/>
                <w:sz w:val="11"/>
                <w:szCs w:val="11"/>
              </w:rPr>
              <w:fldChar w:fldCharType="end"/>
            </w:r>
            <w:r>
              <w:rPr>
                <w:rFonts w:ascii="Arial" w:eastAsia="黑体" w:hAnsi="Arial" w:cs="Arial"/>
                <w:b/>
                <w:bCs/>
                <w:sz w:val="11"/>
                <w:szCs w:val="11"/>
              </w:rPr>
              <w:t>年</w:t>
            </w:r>
            <w:r>
              <w:rPr>
                <w:rFonts w:ascii="Arial" w:eastAsia="黑体" w:hAnsi="Arial" w:cs="Arial"/>
                <w:b/>
                <w:bCs/>
                <w:sz w:val="11"/>
                <w:szCs w:val="11"/>
              </w:rPr>
              <w:t>6</w:t>
            </w:r>
            <w:r>
              <w:rPr>
                <w:rFonts w:ascii="Arial" w:eastAsia="黑体" w:hAnsi="Arial" w:cs="Arial"/>
                <w:b/>
                <w:bCs/>
                <w:sz w:val="11"/>
                <w:szCs w:val="11"/>
              </w:rPr>
              <w:t>月</w:t>
            </w:r>
            <w:r>
              <w:rPr>
                <w:rFonts w:ascii="Arial" w:eastAsia="黑体" w:hAnsi="Arial" w:cs="Arial"/>
                <w:b/>
                <w:bCs/>
                <w:sz w:val="11"/>
                <w:szCs w:val="11"/>
              </w:rPr>
              <w:t>30</w:t>
            </w:r>
            <w:r>
              <w:rPr>
                <w:rFonts w:ascii="Arial" w:eastAsia="黑体" w:hAnsi="Arial" w:cs="Arial"/>
                <w:b/>
                <w:bCs/>
                <w:sz w:val="11"/>
                <w:szCs w:val="11"/>
              </w:rPr>
              <w:t>日</w:t>
            </w:r>
            <w:proofErr w:type="gramStart"/>
            <w:r>
              <w:rPr>
                <w:rFonts w:ascii="Arial" w:eastAsia="黑体" w:hAnsi="Arial" w:cs="Arial"/>
                <w:b/>
                <w:bCs/>
                <w:sz w:val="11"/>
                <w:szCs w:val="11"/>
              </w:rPr>
              <w:t>止</w:t>
            </w:r>
            <w:proofErr w:type="gramEnd"/>
            <w:r>
              <w:rPr>
                <w:rFonts w:ascii="Arial" w:eastAsia="黑体" w:hAnsi="Arial" w:cs="Arial"/>
                <w:b/>
                <w:bCs/>
                <w:sz w:val="11"/>
                <w:szCs w:val="11"/>
              </w:rPr>
              <w:t>6</w:t>
            </w:r>
            <w:r>
              <w:rPr>
                <w:rFonts w:ascii="Arial" w:eastAsia="黑体" w:hAnsi="Arial" w:cs="Arial"/>
                <w:b/>
                <w:bCs/>
                <w:sz w:val="11"/>
                <w:szCs w:val="11"/>
              </w:rPr>
              <w:t>个月期间</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r>
      <w:tr w:rsidR="00AD5BB5">
        <w:tc>
          <w:tcPr>
            <w:tcW w:w="478"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454" w:type="dxa"/>
            <w:tcBorders>
              <w:top w:val="nil"/>
              <w:left w:val="nil"/>
              <w:bottom w:val="nil"/>
              <w:right w:val="nil"/>
            </w:tcBorders>
            <w:vAlign w:val="bottom"/>
          </w:tcPr>
          <w:p w:rsidR="00AD5BB5" w:rsidRDefault="00AD5BB5">
            <w:pPr>
              <w:autoSpaceDE w:val="0"/>
              <w:autoSpaceDN w:val="0"/>
              <w:ind w:left="165" w:hangingChars="150" w:hanging="165"/>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241"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股本</w:t>
            </w:r>
          </w:p>
        </w:tc>
        <w:tc>
          <w:tcPr>
            <w:tcW w:w="10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0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242"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其他权益工具</w:t>
            </w:r>
          </w:p>
        </w:tc>
        <w:tc>
          <w:tcPr>
            <w:tcW w:w="10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0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242"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资本公积</w:t>
            </w:r>
          </w:p>
        </w:tc>
        <w:tc>
          <w:tcPr>
            <w:tcW w:w="10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0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108"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其他综合收益</w:t>
            </w:r>
          </w:p>
        </w:tc>
        <w:tc>
          <w:tcPr>
            <w:tcW w:w="104"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242"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盈余公积</w:t>
            </w:r>
          </w:p>
        </w:tc>
        <w:tc>
          <w:tcPr>
            <w:tcW w:w="10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0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242"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一般风险准备</w:t>
            </w:r>
          </w:p>
        </w:tc>
        <w:tc>
          <w:tcPr>
            <w:tcW w:w="10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0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242"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未分配利润</w:t>
            </w:r>
          </w:p>
        </w:tc>
        <w:tc>
          <w:tcPr>
            <w:tcW w:w="104"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206" w:type="dxa"/>
            <w:tcBorders>
              <w:top w:val="single" w:sz="4" w:space="0" w:color="auto"/>
              <w:left w:val="nil"/>
              <w:bottom w:val="nil"/>
              <w:right w:val="nil"/>
            </w:tcBorders>
            <w:vAlign w:val="bottom"/>
          </w:tcPr>
          <w:p w:rsidR="00AD5BB5" w:rsidRDefault="00F87FF6">
            <w:pPr>
              <w:autoSpaceDE w:val="0"/>
              <w:autoSpaceDN w:val="0"/>
              <w:ind w:rightChars="5" w:right="10"/>
              <w:jc w:val="right"/>
              <w:rPr>
                <w:rFonts w:ascii="Arial" w:eastAsia="黑体" w:hAnsi="Arial" w:cs="Arial"/>
                <w:b/>
                <w:bCs/>
                <w:sz w:val="11"/>
                <w:szCs w:val="11"/>
              </w:rPr>
            </w:pPr>
            <w:r>
              <w:rPr>
                <w:rFonts w:ascii="Arial" w:eastAsia="黑体" w:hAnsi="Arial" w:cs="Arial"/>
                <w:b/>
                <w:bCs/>
                <w:sz w:val="11"/>
                <w:szCs w:val="11"/>
              </w:rPr>
              <w:t>合计</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r w:rsidR="00AD5BB5">
        <w:tc>
          <w:tcPr>
            <w:tcW w:w="478"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454" w:type="dxa"/>
            <w:tcBorders>
              <w:top w:val="nil"/>
              <w:left w:val="nil"/>
              <w:bottom w:val="nil"/>
              <w:right w:val="nil"/>
            </w:tcBorders>
            <w:vAlign w:val="bottom"/>
          </w:tcPr>
          <w:p w:rsidR="00AD5BB5" w:rsidRDefault="00AD5BB5">
            <w:pPr>
              <w:autoSpaceDE w:val="0"/>
              <w:autoSpaceDN w:val="0"/>
              <w:ind w:left="165" w:hangingChars="150" w:hanging="165"/>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24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242"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242"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108"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242"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242"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24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2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r w:rsidR="00AD5BB5">
        <w:tc>
          <w:tcPr>
            <w:tcW w:w="478" w:type="dxa"/>
            <w:tcBorders>
              <w:top w:val="nil"/>
              <w:left w:val="nil"/>
              <w:bottom w:val="nil"/>
              <w:right w:val="nil"/>
            </w:tcBorders>
            <w:vAlign w:val="bottom"/>
          </w:tcPr>
          <w:p w:rsidR="00AD5BB5" w:rsidRDefault="00F87FF6">
            <w:pPr>
              <w:autoSpaceDE w:val="0"/>
              <w:autoSpaceDN w:val="0"/>
              <w:rPr>
                <w:rFonts w:ascii="Arial" w:eastAsia="黑体" w:hAnsi="Arial" w:cs="Arial"/>
                <w:b/>
                <w:bCs/>
                <w:sz w:val="11"/>
                <w:szCs w:val="11"/>
              </w:rPr>
            </w:pPr>
            <w:r>
              <w:rPr>
                <w:rFonts w:ascii="Arial" w:eastAsia="黑体" w:hAnsi="Arial" w:cs="Arial"/>
                <w:b/>
                <w:bCs/>
                <w:sz w:val="11"/>
                <w:szCs w:val="11"/>
              </w:rPr>
              <w:t>一、</w:t>
            </w:r>
          </w:p>
        </w:tc>
        <w:tc>
          <w:tcPr>
            <w:tcW w:w="1454" w:type="dxa"/>
            <w:tcBorders>
              <w:top w:val="nil"/>
              <w:left w:val="nil"/>
              <w:bottom w:val="nil"/>
              <w:right w:val="nil"/>
            </w:tcBorders>
            <w:vAlign w:val="bottom"/>
          </w:tcPr>
          <w:p w:rsidR="00AD5BB5" w:rsidRDefault="00F87FF6">
            <w:pPr>
              <w:autoSpaceDE w:val="0"/>
              <w:autoSpaceDN w:val="0"/>
              <w:ind w:left="110" w:hangingChars="100" w:hanging="110"/>
              <w:rPr>
                <w:rFonts w:ascii="Arial" w:eastAsia="黑体" w:hAnsi="Arial" w:cs="Arial"/>
                <w:b/>
                <w:bCs/>
                <w:sz w:val="11"/>
                <w:szCs w:val="11"/>
              </w:rPr>
            </w:pPr>
            <w:r>
              <w:rPr>
                <w:rFonts w:ascii="Arial" w:eastAsia="黑体" w:hAnsi="Arial" w:cs="Arial"/>
                <w:b/>
                <w:bCs/>
                <w:sz w:val="11"/>
                <w:szCs w:val="11"/>
              </w:rPr>
              <w:fldChar w:fldCharType="begin"/>
            </w:r>
            <w:r>
              <w:rPr>
                <w:rFonts w:ascii="Arial" w:eastAsia="黑体" w:hAnsi="Arial" w:cs="Arial"/>
                <w:b/>
                <w:bCs/>
                <w:sz w:val="11"/>
                <w:szCs w:val="11"/>
              </w:rPr>
              <w:instrText xml:space="preserve"> DOCPROPERTY </w:instrText>
            </w:r>
            <w:r>
              <w:rPr>
                <w:rFonts w:ascii="Arial" w:eastAsia="黑体" w:hAnsi="Arial" w:cs="Arial"/>
                <w:b/>
                <w:bCs/>
                <w:sz w:val="11"/>
                <w:szCs w:val="11"/>
              </w:rPr>
              <w:instrText>当期会计期间</w:instrText>
            </w:r>
            <w:r>
              <w:rPr>
                <w:rFonts w:ascii="Arial" w:eastAsia="黑体" w:hAnsi="Arial" w:cs="Arial"/>
                <w:b/>
                <w:bCs/>
                <w:sz w:val="11"/>
                <w:szCs w:val="11"/>
              </w:rPr>
              <w:instrText xml:space="preserve"> </w:instrText>
            </w:r>
            <w:r>
              <w:rPr>
                <w:rFonts w:ascii="Arial" w:eastAsia="黑体" w:hAnsi="Arial" w:cs="Arial"/>
                <w:b/>
                <w:bCs/>
                <w:sz w:val="11"/>
                <w:szCs w:val="11"/>
              </w:rPr>
              <w:fldChar w:fldCharType="separate"/>
            </w:r>
            <w:r>
              <w:rPr>
                <w:rFonts w:ascii="Arial" w:eastAsia="黑体" w:hAnsi="Arial" w:cs="Arial"/>
                <w:b/>
                <w:bCs/>
                <w:sz w:val="11"/>
                <w:szCs w:val="11"/>
              </w:rPr>
              <w:t>2023</w:t>
            </w:r>
            <w:r>
              <w:rPr>
                <w:rFonts w:ascii="Arial" w:eastAsia="黑体" w:hAnsi="Arial" w:cs="Arial"/>
                <w:b/>
                <w:bCs/>
                <w:sz w:val="11"/>
                <w:szCs w:val="11"/>
              </w:rPr>
              <w:fldChar w:fldCharType="end"/>
            </w:r>
            <w:r>
              <w:rPr>
                <w:rFonts w:ascii="Arial" w:eastAsia="黑体" w:hAnsi="Arial" w:cs="Arial"/>
                <w:b/>
                <w:bCs/>
                <w:sz w:val="11"/>
                <w:szCs w:val="11"/>
              </w:rPr>
              <w:t>年</w:t>
            </w:r>
            <w:r>
              <w:rPr>
                <w:rFonts w:ascii="Arial" w:eastAsia="黑体" w:hAnsi="Arial" w:cs="Arial"/>
                <w:b/>
                <w:bCs/>
                <w:sz w:val="11"/>
                <w:szCs w:val="11"/>
              </w:rPr>
              <w:t>1</w:t>
            </w:r>
            <w:r>
              <w:rPr>
                <w:rFonts w:ascii="Arial" w:eastAsia="黑体" w:hAnsi="Arial" w:cs="Arial"/>
                <w:b/>
                <w:bCs/>
                <w:sz w:val="11"/>
                <w:szCs w:val="11"/>
              </w:rPr>
              <w:t>月</w:t>
            </w:r>
            <w:r>
              <w:rPr>
                <w:rFonts w:ascii="Arial" w:eastAsia="黑体" w:hAnsi="Arial" w:cs="Arial"/>
                <w:b/>
                <w:bCs/>
                <w:sz w:val="11"/>
                <w:szCs w:val="11"/>
              </w:rPr>
              <w:t>1</w:t>
            </w:r>
            <w:r>
              <w:rPr>
                <w:rFonts w:ascii="Arial" w:eastAsia="黑体" w:hAnsi="Arial" w:cs="Arial"/>
                <w:b/>
                <w:bCs/>
                <w:sz w:val="11"/>
                <w:szCs w:val="11"/>
              </w:rPr>
              <w:t>日余额</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1"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2,639,127,888.00</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2,498,552,830.19</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6,792,174,486.75</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0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(39,410,194.67</w:t>
            </w:r>
          </w:p>
        </w:tc>
        <w:tc>
          <w:tcPr>
            <w:tcW w:w="104"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1,514,561,559.19</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3,912,128,785.76</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6,521,826,907.65</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0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23,838,962,262.87</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r w:rsidR="00AD5BB5">
        <w:tc>
          <w:tcPr>
            <w:tcW w:w="478"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454" w:type="dxa"/>
            <w:tcBorders>
              <w:top w:val="nil"/>
              <w:left w:val="nil"/>
              <w:bottom w:val="nil"/>
              <w:right w:val="nil"/>
            </w:tcBorders>
            <w:vAlign w:val="bottom"/>
          </w:tcPr>
          <w:p w:rsidR="00AD5BB5" w:rsidRDefault="00AD5BB5">
            <w:pPr>
              <w:autoSpaceDE w:val="0"/>
              <w:autoSpaceDN w:val="0"/>
              <w:ind w:left="165" w:hangingChars="150" w:hanging="165"/>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0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0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r w:rsidR="00AD5BB5">
        <w:tc>
          <w:tcPr>
            <w:tcW w:w="478" w:type="dxa"/>
            <w:tcBorders>
              <w:top w:val="nil"/>
              <w:left w:val="nil"/>
              <w:bottom w:val="nil"/>
              <w:right w:val="nil"/>
            </w:tcBorders>
            <w:vAlign w:val="bottom"/>
          </w:tcPr>
          <w:p w:rsidR="00AD5BB5" w:rsidRDefault="00F87FF6">
            <w:pPr>
              <w:autoSpaceDE w:val="0"/>
              <w:autoSpaceDN w:val="0"/>
              <w:rPr>
                <w:rFonts w:ascii="Arial" w:eastAsia="黑体" w:hAnsi="Arial" w:cs="Arial"/>
                <w:b/>
                <w:bCs/>
                <w:sz w:val="11"/>
                <w:szCs w:val="11"/>
              </w:rPr>
            </w:pPr>
            <w:r>
              <w:rPr>
                <w:rFonts w:ascii="Arial" w:eastAsia="黑体" w:hAnsi="Arial" w:cs="Arial"/>
                <w:b/>
                <w:bCs/>
                <w:sz w:val="11"/>
                <w:szCs w:val="11"/>
              </w:rPr>
              <w:t>二、</w:t>
            </w:r>
          </w:p>
        </w:tc>
        <w:tc>
          <w:tcPr>
            <w:tcW w:w="1454" w:type="dxa"/>
            <w:tcBorders>
              <w:top w:val="nil"/>
              <w:left w:val="nil"/>
              <w:bottom w:val="nil"/>
              <w:right w:val="nil"/>
            </w:tcBorders>
            <w:vAlign w:val="bottom"/>
          </w:tcPr>
          <w:p w:rsidR="00AD5BB5" w:rsidRDefault="00F87FF6">
            <w:pPr>
              <w:autoSpaceDE w:val="0"/>
              <w:autoSpaceDN w:val="0"/>
              <w:ind w:left="110" w:hangingChars="100" w:hanging="110"/>
              <w:rPr>
                <w:rFonts w:ascii="Arial" w:eastAsia="黑体" w:hAnsi="Arial" w:cs="Arial"/>
                <w:b/>
                <w:bCs/>
                <w:sz w:val="11"/>
                <w:szCs w:val="11"/>
              </w:rPr>
            </w:pPr>
            <w:r>
              <w:rPr>
                <w:rFonts w:ascii="Arial" w:eastAsia="黑体" w:hAnsi="Arial" w:cs="Arial"/>
                <w:b/>
                <w:bCs/>
                <w:sz w:val="11"/>
              </w:rPr>
              <w:t>本期增减变动金额</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0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r w:rsidR="00AD5BB5">
        <w:tc>
          <w:tcPr>
            <w:tcW w:w="478"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（一）</w:t>
            </w:r>
          </w:p>
        </w:tc>
        <w:tc>
          <w:tcPr>
            <w:tcW w:w="1454" w:type="dxa"/>
            <w:tcBorders>
              <w:top w:val="nil"/>
              <w:left w:val="nil"/>
              <w:bottom w:val="nil"/>
              <w:right w:val="nil"/>
            </w:tcBorders>
            <w:vAlign w:val="bottom"/>
          </w:tcPr>
          <w:p w:rsidR="00AD5BB5" w:rsidRDefault="00F87FF6">
            <w:pPr>
              <w:autoSpaceDE w:val="0"/>
              <w:autoSpaceDN w:val="0"/>
              <w:ind w:left="110" w:hangingChars="100" w:hanging="110"/>
              <w:rPr>
                <w:rFonts w:ascii="Arial" w:eastAsia="黑体" w:hAnsi="Arial" w:cs="Arial"/>
                <w:sz w:val="11"/>
                <w:szCs w:val="11"/>
              </w:rPr>
            </w:pPr>
            <w:r>
              <w:rPr>
                <w:rFonts w:ascii="Arial" w:eastAsia="黑体" w:hAnsi="Arial" w:cs="Arial"/>
                <w:sz w:val="11"/>
                <w:szCs w:val="11"/>
              </w:rPr>
              <w:t>综合收益总额</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0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355,729,437.34</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rPr>
              <w:t>1,323,173,729.70</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0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rPr>
              <w:t>1,678,903,167.04</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r w:rsidR="00AD5BB5">
        <w:tc>
          <w:tcPr>
            <w:tcW w:w="478"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（二）</w:t>
            </w:r>
          </w:p>
        </w:tc>
        <w:tc>
          <w:tcPr>
            <w:tcW w:w="1454" w:type="dxa"/>
            <w:tcBorders>
              <w:top w:val="nil"/>
              <w:left w:val="nil"/>
              <w:bottom w:val="nil"/>
              <w:right w:val="nil"/>
            </w:tcBorders>
            <w:vAlign w:val="bottom"/>
          </w:tcPr>
          <w:p w:rsidR="00AD5BB5" w:rsidRDefault="00F87FF6">
            <w:pPr>
              <w:autoSpaceDE w:val="0"/>
              <w:autoSpaceDN w:val="0"/>
              <w:ind w:left="110" w:hangingChars="100" w:hanging="110"/>
              <w:rPr>
                <w:rFonts w:ascii="Arial" w:eastAsia="黑体" w:hAnsi="Arial" w:cs="Arial"/>
                <w:sz w:val="11"/>
                <w:szCs w:val="11"/>
              </w:rPr>
            </w:pPr>
            <w:r>
              <w:rPr>
                <w:rFonts w:ascii="Arial" w:eastAsia="黑体" w:hAnsi="Arial" w:cs="Arial"/>
                <w:sz w:val="11"/>
                <w:szCs w:val="11"/>
              </w:rPr>
              <w:t>利润分配</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0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r w:rsidR="00AD5BB5">
        <w:tc>
          <w:tcPr>
            <w:tcW w:w="478"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1.</w:t>
            </w:r>
          </w:p>
        </w:tc>
        <w:tc>
          <w:tcPr>
            <w:tcW w:w="1454" w:type="dxa"/>
            <w:tcBorders>
              <w:top w:val="nil"/>
              <w:left w:val="nil"/>
              <w:bottom w:val="nil"/>
              <w:right w:val="nil"/>
            </w:tcBorders>
            <w:vAlign w:val="bottom"/>
          </w:tcPr>
          <w:p w:rsidR="00AD5BB5" w:rsidRDefault="00F87FF6">
            <w:pPr>
              <w:autoSpaceDE w:val="0"/>
              <w:autoSpaceDN w:val="0"/>
              <w:ind w:left="110" w:hangingChars="100" w:hanging="110"/>
              <w:rPr>
                <w:rFonts w:ascii="Arial" w:eastAsia="黑体" w:hAnsi="Arial" w:cs="Arial"/>
                <w:sz w:val="11"/>
                <w:szCs w:val="11"/>
              </w:rPr>
            </w:pPr>
            <w:r>
              <w:rPr>
                <w:rFonts w:ascii="Arial" w:eastAsia="黑体" w:hAnsi="Arial" w:cs="Arial"/>
                <w:sz w:val="11"/>
                <w:szCs w:val="11"/>
              </w:rPr>
              <w:t>普通股现金分红</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0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(765,347,087.52</w:t>
            </w:r>
          </w:p>
        </w:tc>
        <w:tc>
          <w:tcPr>
            <w:tcW w:w="104"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0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(765,347,087.52</w:t>
            </w:r>
          </w:p>
        </w:tc>
        <w:tc>
          <w:tcPr>
            <w:tcW w:w="104"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w:t>
            </w:r>
          </w:p>
        </w:tc>
      </w:tr>
      <w:tr w:rsidR="00AD5BB5">
        <w:tc>
          <w:tcPr>
            <w:tcW w:w="478"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2.</w:t>
            </w:r>
          </w:p>
        </w:tc>
        <w:tc>
          <w:tcPr>
            <w:tcW w:w="1454" w:type="dxa"/>
            <w:tcBorders>
              <w:top w:val="nil"/>
              <w:left w:val="nil"/>
              <w:bottom w:val="nil"/>
              <w:right w:val="nil"/>
            </w:tcBorders>
            <w:vAlign w:val="bottom"/>
          </w:tcPr>
          <w:p w:rsidR="00AD5BB5" w:rsidRDefault="00F87FF6">
            <w:pPr>
              <w:autoSpaceDE w:val="0"/>
              <w:autoSpaceDN w:val="0"/>
              <w:ind w:left="110" w:hangingChars="100" w:hanging="110"/>
              <w:rPr>
                <w:rFonts w:ascii="Arial" w:eastAsia="黑体" w:hAnsi="Arial" w:cs="Arial"/>
                <w:sz w:val="11"/>
                <w:szCs w:val="11"/>
              </w:rPr>
            </w:pPr>
            <w:r>
              <w:rPr>
                <w:rFonts w:ascii="Arial" w:eastAsia="黑体" w:hAnsi="Arial" w:cs="Arial"/>
                <w:sz w:val="11"/>
                <w:szCs w:val="11"/>
              </w:rPr>
              <w:t>永续债利息</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1"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0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(72,000,000.00</w:t>
            </w:r>
          </w:p>
        </w:tc>
        <w:tc>
          <w:tcPr>
            <w:tcW w:w="104"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0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(72,000,000.00</w:t>
            </w:r>
          </w:p>
        </w:tc>
        <w:tc>
          <w:tcPr>
            <w:tcW w:w="104"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w:t>
            </w:r>
          </w:p>
        </w:tc>
      </w:tr>
      <w:tr w:rsidR="00AD5BB5">
        <w:tc>
          <w:tcPr>
            <w:tcW w:w="478"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454" w:type="dxa"/>
            <w:tcBorders>
              <w:top w:val="nil"/>
              <w:left w:val="nil"/>
              <w:bottom w:val="nil"/>
              <w:right w:val="nil"/>
            </w:tcBorders>
            <w:vAlign w:val="bottom"/>
          </w:tcPr>
          <w:p w:rsidR="00AD5BB5" w:rsidRDefault="00AD5BB5">
            <w:pPr>
              <w:autoSpaceDE w:val="0"/>
              <w:autoSpaceDN w:val="0"/>
              <w:ind w:left="165" w:hangingChars="150" w:hanging="165"/>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0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4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0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r w:rsidR="00AD5BB5">
        <w:tc>
          <w:tcPr>
            <w:tcW w:w="478" w:type="dxa"/>
            <w:tcBorders>
              <w:top w:val="nil"/>
              <w:left w:val="nil"/>
              <w:bottom w:val="nil"/>
              <w:right w:val="nil"/>
            </w:tcBorders>
            <w:vAlign w:val="bottom"/>
          </w:tcPr>
          <w:p w:rsidR="00AD5BB5" w:rsidRDefault="00F87FF6">
            <w:pPr>
              <w:autoSpaceDE w:val="0"/>
              <w:autoSpaceDN w:val="0"/>
              <w:rPr>
                <w:rFonts w:ascii="Arial" w:eastAsia="黑体" w:hAnsi="Arial" w:cs="Arial"/>
                <w:b/>
                <w:bCs/>
                <w:sz w:val="11"/>
                <w:szCs w:val="11"/>
              </w:rPr>
            </w:pPr>
            <w:r>
              <w:rPr>
                <w:rFonts w:ascii="Arial" w:eastAsia="黑体" w:hAnsi="Arial" w:cs="Arial"/>
                <w:b/>
                <w:bCs/>
                <w:sz w:val="11"/>
                <w:szCs w:val="11"/>
              </w:rPr>
              <w:t>三、</w:t>
            </w:r>
          </w:p>
        </w:tc>
        <w:tc>
          <w:tcPr>
            <w:tcW w:w="1454" w:type="dxa"/>
            <w:tcBorders>
              <w:top w:val="nil"/>
              <w:left w:val="nil"/>
              <w:bottom w:val="nil"/>
              <w:right w:val="nil"/>
            </w:tcBorders>
            <w:vAlign w:val="bottom"/>
          </w:tcPr>
          <w:p w:rsidR="00AD5BB5" w:rsidRDefault="00F87FF6">
            <w:pPr>
              <w:autoSpaceDE w:val="0"/>
              <w:autoSpaceDN w:val="0"/>
              <w:ind w:left="110" w:hangingChars="100" w:hanging="110"/>
              <w:rPr>
                <w:rFonts w:ascii="Arial" w:eastAsia="黑体" w:hAnsi="Arial" w:cs="Arial"/>
                <w:b/>
                <w:bCs/>
                <w:sz w:val="11"/>
                <w:szCs w:val="11"/>
              </w:rPr>
            </w:pPr>
            <w:r>
              <w:rPr>
                <w:rFonts w:ascii="Arial" w:eastAsia="黑体" w:hAnsi="Arial" w:cs="Arial"/>
                <w:b/>
                <w:bCs/>
                <w:sz w:val="11"/>
              </w:rPr>
              <w:t>本期期末余额</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241" w:type="dxa"/>
            <w:tcBorders>
              <w:top w:val="nil"/>
              <w:left w:val="nil"/>
              <w:bottom w:val="double" w:sz="2"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2,639,127,888.00</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242" w:type="dxa"/>
            <w:tcBorders>
              <w:top w:val="nil"/>
              <w:left w:val="nil"/>
              <w:bottom w:val="double" w:sz="2"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2,498,552,830.19</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242" w:type="dxa"/>
            <w:tcBorders>
              <w:top w:val="nil"/>
              <w:left w:val="nil"/>
              <w:bottom w:val="double" w:sz="2"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6,792,174,486.75</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108" w:type="dxa"/>
            <w:tcBorders>
              <w:top w:val="nil"/>
              <w:left w:val="nil"/>
              <w:bottom w:val="double" w:sz="2"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316,319,242.67</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242" w:type="dxa"/>
            <w:tcBorders>
              <w:top w:val="nil"/>
              <w:left w:val="nil"/>
              <w:bottom w:val="double" w:sz="2"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1,514,561,559.19</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242" w:type="dxa"/>
            <w:tcBorders>
              <w:top w:val="nil"/>
              <w:left w:val="nil"/>
              <w:bottom w:val="double" w:sz="2"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3,912,128,785.76</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242" w:type="dxa"/>
            <w:tcBorders>
              <w:top w:val="nil"/>
              <w:left w:val="nil"/>
              <w:bottom w:val="double" w:sz="2"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rPr>
              <w:t>7,007,653,549.83</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206" w:type="dxa"/>
            <w:tcBorders>
              <w:top w:val="nil"/>
              <w:left w:val="nil"/>
              <w:bottom w:val="double" w:sz="2"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rPr>
              <w:t>24,680,518,342.39</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bl>
    <w:p w:rsidR="00AD5BB5" w:rsidRDefault="00AD5BB5">
      <w:pPr>
        <w:tabs>
          <w:tab w:val="left" w:pos="1985"/>
          <w:tab w:val="left" w:pos="3346"/>
          <w:tab w:val="left" w:pos="6383"/>
          <w:tab w:val="left" w:pos="9883"/>
        </w:tabs>
        <w:overflowPunct w:val="0"/>
        <w:autoSpaceDE w:val="0"/>
        <w:autoSpaceDN w:val="0"/>
        <w:snapToGrid w:val="0"/>
        <w:rPr>
          <w:rFonts w:ascii="Arial" w:eastAsia="黑体" w:hAnsi="Arial" w:cs="Arial"/>
          <w:i/>
          <w:sz w:val="20"/>
        </w:rPr>
      </w:pPr>
    </w:p>
    <w:p w:rsidR="00AD5BB5" w:rsidRDefault="00AD5BB5">
      <w:pPr>
        <w:tabs>
          <w:tab w:val="left" w:pos="1985"/>
          <w:tab w:val="left" w:pos="3346"/>
          <w:tab w:val="left" w:pos="6383"/>
          <w:tab w:val="left" w:pos="9883"/>
        </w:tabs>
        <w:overflowPunct w:val="0"/>
        <w:autoSpaceDE w:val="0"/>
        <w:autoSpaceDN w:val="0"/>
        <w:snapToGrid w:val="0"/>
        <w:rPr>
          <w:rFonts w:ascii="Arial" w:eastAsia="黑体" w:hAnsi="Arial" w:cs="Arial"/>
          <w:i/>
          <w:sz w:val="20"/>
        </w:rPr>
      </w:pPr>
    </w:p>
    <w:p w:rsidR="00AD5BB5" w:rsidRDefault="00AD5BB5">
      <w:pPr>
        <w:tabs>
          <w:tab w:val="left" w:pos="1985"/>
          <w:tab w:val="left" w:pos="3346"/>
          <w:tab w:val="left" w:pos="6383"/>
          <w:tab w:val="left" w:pos="9883"/>
        </w:tabs>
        <w:overflowPunct w:val="0"/>
        <w:autoSpaceDE w:val="0"/>
        <w:autoSpaceDN w:val="0"/>
        <w:snapToGrid w:val="0"/>
        <w:rPr>
          <w:rFonts w:ascii="Arial" w:eastAsia="黑体" w:hAnsi="Arial" w:cs="Arial"/>
          <w:i/>
          <w:sz w:val="20"/>
        </w:rPr>
      </w:pPr>
    </w:p>
    <w:p w:rsidR="00AD5BB5" w:rsidRDefault="00AD5BB5">
      <w:pPr>
        <w:tabs>
          <w:tab w:val="left" w:pos="1985"/>
          <w:tab w:val="left" w:pos="3346"/>
          <w:tab w:val="left" w:pos="6383"/>
          <w:tab w:val="left" w:pos="9883"/>
        </w:tabs>
        <w:overflowPunct w:val="0"/>
        <w:autoSpaceDE w:val="0"/>
        <w:autoSpaceDN w:val="0"/>
        <w:snapToGrid w:val="0"/>
        <w:rPr>
          <w:rFonts w:ascii="Arial" w:eastAsia="黑体" w:hAnsi="Arial" w:cs="Arial"/>
          <w:i/>
          <w:sz w:val="20"/>
        </w:rPr>
      </w:pPr>
    </w:p>
    <w:p w:rsidR="00AD5BB5" w:rsidRDefault="00AD5BB5">
      <w:pPr>
        <w:tabs>
          <w:tab w:val="left" w:pos="1985"/>
          <w:tab w:val="left" w:pos="3346"/>
          <w:tab w:val="left" w:pos="6383"/>
          <w:tab w:val="left" w:pos="9883"/>
        </w:tabs>
        <w:overflowPunct w:val="0"/>
        <w:autoSpaceDE w:val="0"/>
        <w:autoSpaceDN w:val="0"/>
        <w:snapToGrid w:val="0"/>
        <w:rPr>
          <w:rFonts w:ascii="Arial" w:eastAsia="黑体" w:hAnsi="Arial" w:cs="Arial"/>
          <w:i/>
          <w:sz w:val="20"/>
        </w:rPr>
      </w:pPr>
    </w:p>
    <w:p w:rsidR="00AD5BB5" w:rsidRDefault="00AD5BB5">
      <w:pPr>
        <w:tabs>
          <w:tab w:val="left" w:pos="1985"/>
          <w:tab w:val="left" w:pos="3346"/>
          <w:tab w:val="left" w:pos="6383"/>
          <w:tab w:val="left" w:pos="9883"/>
        </w:tabs>
        <w:overflowPunct w:val="0"/>
        <w:autoSpaceDE w:val="0"/>
        <w:autoSpaceDN w:val="0"/>
        <w:snapToGrid w:val="0"/>
        <w:rPr>
          <w:rFonts w:ascii="Arial" w:eastAsia="黑体" w:hAnsi="Arial" w:cs="Arial"/>
          <w:i/>
          <w:sz w:val="20"/>
        </w:rPr>
      </w:pPr>
    </w:p>
    <w:p w:rsidR="00AD5BB5" w:rsidRDefault="00AD5BB5">
      <w:pPr>
        <w:tabs>
          <w:tab w:val="left" w:pos="1985"/>
          <w:tab w:val="left" w:pos="3346"/>
          <w:tab w:val="left" w:pos="6383"/>
          <w:tab w:val="left" w:pos="9883"/>
        </w:tabs>
        <w:overflowPunct w:val="0"/>
        <w:autoSpaceDE w:val="0"/>
        <w:autoSpaceDN w:val="0"/>
        <w:snapToGrid w:val="0"/>
        <w:rPr>
          <w:rFonts w:ascii="Arial" w:eastAsia="黑体" w:hAnsi="Arial" w:cs="Arial"/>
          <w:i/>
          <w:sz w:val="20"/>
        </w:rPr>
      </w:pPr>
    </w:p>
    <w:p w:rsidR="00AD5BB5" w:rsidRDefault="00AD5BB5">
      <w:pPr>
        <w:tabs>
          <w:tab w:val="left" w:pos="1985"/>
          <w:tab w:val="left" w:pos="3346"/>
          <w:tab w:val="left" w:pos="6383"/>
          <w:tab w:val="left" w:pos="9883"/>
        </w:tabs>
        <w:overflowPunct w:val="0"/>
        <w:autoSpaceDE w:val="0"/>
        <w:autoSpaceDN w:val="0"/>
        <w:snapToGrid w:val="0"/>
        <w:rPr>
          <w:rFonts w:ascii="Arial" w:eastAsia="黑体" w:hAnsi="Arial" w:cs="Arial"/>
          <w:i/>
          <w:sz w:val="20"/>
        </w:rPr>
      </w:pPr>
    </w:p>
    <w:p w:rsidR="00AD5BB5" w:rsidRDefault="00AD5BB5">
      <w:pPr>
        <w:tabs>
          <w:tab w:val="center" w:pos="4200"/>
          <w:tab w:val="decimal" w:pos="4800"/>
          <w:tab w:val="decimal" w:pos="6240"/>
          <w:tab w:val="decimal" w:pos="6840"/>
          <w:tab w:val="decimal" w:pos="8280"/>
        </w:tabs>
        <w:overflowPunct w:val="0"/>
        <w:autoSpaceDE w:val="0"/>
        <w:autoSpaceDN w:val="0"/>
        <w:adjustRightInd w:val="0"/>
        <w:rPr>
          <w:rFonts w:ascii="Arial" w:eastAsia="黑体" w:hAnsi="Arial" w:cs="Arial"/>
          <w:sz w:val="20"/>
        </w:rPr>
      </w:pPr>
    </w:p>
    <w:p w:rsidR="00AD5BB5" w:rsidRDefault="00F87FF6">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rPr>
      </w:pPr>
      <w:r>
        <w:rPr>
          <w:rFonts w:ascii="Arial" w:eastAsia="黑体" w:hAnsi="Arial" w:cs="Arial"/>
          <w:sz w:val="20"/>
        </w:rPr>
        <w:t>本财务报表已于</w:t>
      </w:r>
      <w:r>
        <w:rPr>
          <w:rFonts w:ascii="Arial" w:eastAsia="黑体" w:hAnsi="Arial" w:cs="Arial"/>
          <w:sz w:val="20"/>
        </w:rPr>
        <w:t>2023</w:t>
      </w:r>
      <w:r>
        <w:rPr>
          <w:rFonts w:ascii="Arial" w:eastAsia="黑体" w:hAnsi="Arial" w:cs="Arial"/>
          <w:sz w:val="20"/>
        </w:rPr>
        <w:t>年</w:t>
      </w:r>
      <w:r>
        <w:rPr>
          <w:rFonts w:ascii="Arial" w:eastAsia="黑体" w:hAnsi="Arial" w:cs="Arial"/>
          <w:sz w:val="20"/>
        </w:rPr>
        <w:t>8</w:t>
      </w:r>
      <w:r>
        <w:rPr>
          <w:rFonts w:ascii="Arial" w:eastAsia="黑体" w:hAnsi="Arial" w:cs="Arial"/>
          <w:sz w:val="20"/>
        </w:rPr>
        <w:t>月</w:t>
      </w:r>
      <w:r>
        <w:rPr>
          <w:rFonts w:ascii="Arial" w:eastAsia="黑体" w:hAnsi="Arial" w:cs="Arial"/>
          <w:sz w:val="20"/>
        </w:rPr>
        <w:t>28</w:t>
      </w:r>
      <w:r>
        <w:rPr>
          <w:rFonts w:ascii="Arial" w:eastAsia="黑体" w:hAnsi="Arial" w:cs="Arial"/>
          <w:sz w:val="20"/>
        </w:rPr>
        <w:t>日获本行董事会批准。</w:t>
      </w:r>
    </w:p>
    <w:p w:rsidR="00AD5BB5" w:rsidRDefault="00AD5BB5">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rPr>
      </w:pPr>
    </w:p>
    <w:p w:rsidR="00AD5BB5" w:rsidRDefault="00F87FF6">
      <w:pPr>
        <w:overflowPunct w:val="0"/>
        <w:autoSpaceDE w:val="0"/>
        <w:autoSpaceDN w:val="0"/>
        <w:snapToGrid w:val="0"/>
        <w:rPr>
          <w:rFonts w:ascii="Arial" w:eastAsia="黑体" w:hAnsi="Arial" w:cs="Arial"/>
          <w:sz w:val="20"/>
        </w:rPr>
      </w:pPr>
      <w:r>
        <w:rPr>
          <w:rFonts w:ascii="Arial" w:eastAsia="黑体" w:hAnsi="Arial" w:cs="Arial"/>
          <w:sz w:val="20"/>
        </w:rPr>
        <w:t>本财务报表由以下人士签署：</w:t>
      </w:r>
    </w:p>
    <w:p w:rsidR="00AD5BB5" w:rsidRDefault="00AD5BB5">
      <w:pPr>
        <w:tabs>
          <w:tab w:val="left" w:pos="1985"/>
          <w:tab w:val="left" w:pos="3346"/>
          <w:tab w:val="left" w:pos="6383"/>
          <w:tab w:val="left" w:pos="9883"/>
        </w:tabs>
        <w:overflowPunct w:val="0"/>
        <w:autoSpaceDE w:val="0"/>
        <w:autoSpaceDN w:val="0"/>
        <w:snapToGrid w:val="0"/>
        <w:rPr>
          <w:rFonts w:ascii="Arial" w:eastAsia="黑体" w:hAnsi="Arial" w:cs="Arial"/>
          <w:i/>
          <w:sz w:val="20"/>
        </w:rPr>
      </w:pPr>
    </w:p>
    <w:p w:rsidR="00AD5BB5" w:rsidRDefault="00AD5BB5">
      <w:pPr>
        <w:tabs>
          <w:tab w:val="left" w:pos="1985"/>
          <w:tab w:val="left" w:pos="3346"/>
          <w:tab w:val="left" w:pos="6383"/>
          <w:tab w:val="left" w:pos="9883"/>
        </w:tabs>
        <w:overflowPunct w:val="0"/>
        <w:autoSpaceDE w:val="0"/>
        <w:autoSpaceDN w:val="0"/>
        <w:snapToGrid w:val="0"/>
        <w:rPr>
          <w:rFonts w:ascii="Arial" w:eastAsia="黑体" w:hAnsi="Arial" w:cs="Arial"/>
          <w:i/>
          <w:sz w:val="20"/>
        </w:rPr>
      </w:pPr>
    </w:p>
    <w:p w:rsidR="00AD5BB5" w:rsidRDefault="00AD5BB5">
      <w:pPr>
        <w:overflowPunct w:val="0"/>
        <w:autoSpaceDE w:val="0"/>
        <w:autoSpaceDN w:val="0"/>
        <w:snapToGrid w:val="0"/>
        <w:rPr>
          <w:rFonts w:ascii="Arial" w:eastAsia="黑体" w:hAnsi="Arial" w:cs="Arial"/>
          <w:sz w:val="20"/>
        </w:rPr>
      </w:pPr>
    </w:p>
    <w:p w:rsidR="00AD5BB5" w:rsidRDefault="00F87FF6">
      <w:pPr>
        <w:tabs>
          <w:tab w:val="left" w:pos="2100"/>
          <w:tab w:val="left" w:pos="3346"/>
          <w:tab w:val="left" w:pos="6383"/>
        </w:tabs>
        <w:overflowPunct w:val="0"/>
        <w:autoSpaceDE w:val="0"/>
        <w:autoSpaceDN w:val="0"/>
        <w:snapToGrid w:val="0"/>
        <w:rPr>
          <w:rFonts w:ascii="Arial" w:eastAsia="黑体" w:hAnsi="Arial" w:cs="Arial"/>
          <w:sz w:val="20"/>
        </w:rPr>
      </w:pPr>
      <w:r>
        <w:rPr>
          <w:rFonts w:ascii="Arial" w:eastAsia="黑体" w:hAnsi="Arial" w:cs="Arial"/>
          <w:sz w:val="20"/>
        </w:rPr>
        <w:t>法定</w:t>
      </w:r>
      <w:r>
        <w:rPr>
          <w:rFonts w:ascii="Arial" w:eastAsia="黑体" w:hAnsi="Arial" w:cs="Arial"/>
          <w:sz w:val="20"/>
        </w:rPr>
        <w:tab/>
      </w:r>
      <w:r>
        <w:rPr>
          <w:rFonts w:ascii="Arial" w:eastAsia="黑体" w:hAnsi="Arial" w:cs="Arial"/>
          <w:sz w:val="20"/>
        </w:rPr>
        <w:tab/>
      </w:r>
      <w:r>
        <w:rPr>
          <w:rFonts w:ascii="Arial" w:eastAsia="黑体" w:hAnsi="Arial" w:cs="Arial"/>
          <w:sz w:val="20"/>
        </w:rPr>
        <w:t>主管财会</w:t>
      </w:r>
      <w:r>
        <w:rPr>
          <w:rFonts w:ascii="Arial" w:eastAsia="黑体" w:hAnsi="Arial" w:cs="Arial"/>
          <w:sz w:val="20"/>
        </w:rPr>
        <w:tab/>
      </w:r>
      <w:r>
        <w:rPr>
          <w:rFonts w:ascii="Arial" w:eastAsia="黑体" w:hAnsi="Arial" w:cs="Arial"/>
          <w:sz w:val="20"/>
        </w:rPr>
        <w:t>财会机构</w:t>
      </w:r>
    </w:p>
    <w:p w:rsidR="00AD5BB5" w:rsidRDefault="00F87FF6">
      <w:pPr>
        <w:tabs>
          <w:tab w:val="left" w:pos="1985"/>
          <w:tab w:val="left" w:pos="3346"/>
          <w:tab w:val="left" w:pos="6383"/>
          <w:tab w:val="left" w:pos="9883"/>
        </w:tabs>
        <w:overflowPunct w:val="0"/>
        <w:autoSpaceDE w:val="0"/>
        <w:autoSpaceDN w:val="0"/>
        <w:snapToGrid w:val="0"/>
        <w:rPr>
          <w:rFonts w:ascii="Arial" w:eastAsia="黑体" w:hAnsi="Arial" w:cs="Arial"/>
          <w:sz w:val="20"/>
        </w:rPr>
      </w:pPr>
      <w:r>
        <w:rPr>
          <w:rFonts w:ascii="Arial" w:eastAsia="黑体" w:hAnsi="Arial" w:cs="Arial"/>
          <w:sz w:val="20"/>
        </w:rPr>
        <w:t>代表人：</w:t>
      </w:r>
      <w:r>
        <w:rPr>
          <w:rFonts w:ascii="Arial" w:eastAsia="黑体" w:hAnsi="Arial" w:cs="Arial"/>
          <w:sz w:val="20"/>
        </w:rPr>
        <w:tab/>
      </w:r>
      <w:r>
        <w:rPr>
          <w:rFonts w:ascii="Arial" w:eastAsia="黑体" w:hAnsi="Arial" w:cs="Arial"/>
          <w:sz w:val="20"/>
        </w:rPr>
        <w:tab/>
      </w:r>
      <w:r>
        <w:rPr>
          <w:rFonts w:ascii="Arial" w:eastAsia="黑体" w:hAnsi="Arial" w:cs="Arial"/>
          <w:sz w:val="20"/>
        </w:rPr>
        <w:t>工作负责人：</w:t>
      </w:r>
      <w:r>
        <w:rPr>
          <w:rFonts w:ascii="Arial" w:eastAsia="黑体" w:hAnsi="Arial" w:cs="Arial"/>
          <w:sz w:val="20"/>
        </w:rPr>
        <w:tab/>
      </w:r>
      <w:r>
        <w:rPr>
          <w:rFonts w:ascii="Arial" w:eastAsia="黑体" w:hAnsi="Arial" w:cs="Arial"/>
          <w:sz w:val="20"/>
        </w:rPr>
        <w:t>负责人：</w:t>
      </w:r>
      <w:r>
        <w:rPr>
          <w:rFonts w:ascii="Arial" w:eastAsia="黑体" w:hAnsi="Arial" w:cs="Arial"/>
          <w:sz w:val="20"/>
        </w:rPr>
        <w:tab/>
      </w:r>
      <w:r>
        <w:rPr>
          <w:rFonts w:ascii="Arial" w:eastAsia="黑体" w:hAnsi="Arial" w:cs="Arial"/>
          <w:sz w:val="20"/>
        </w:rPr>
        <w:t>盖章</w:t>
      </w:r>
    </w:p>
    <w:p w:rsidR="00AD5BB5" w:rsidRDefault="00AD5BB5">
      <w:pPr>
        <w:tabs>
          <w:tab w:val="left" w:pos="1985"/>
          <w:tab w:val="left" w:pos="3346"/>
          <w:tab w:val="left" w:pos="6383"/>
          <w:tab w:val="left" w:pos="9883"/>
        </w:tabs>
        <w:overflowPunct w:val="0"/>
        <w:autoSpaceDE w:val="0"/>
        <w:autoSpaceDN w:val="0"/>
        <w:snapToGrid w:val="0"/>
        <w:rPr>
          <w:rFonts w:ascii="Arial" w:eastAsia="黑体" w:hAnsi="Arial" w:cs="Arial"/>
          <w:i/>
          <w:sz w:val="20"/>
        </w:rPr>
      </w:pPr>
    </w:p>
    <w:p w:rsidR="00AD5BB5" w:rsidRDefault="00AD5BB5">
      <w:pPr>
        <w:tabs>
          <w:tab w:val="left" w:pos="1985"/>
          <w:tab w:val="left" w:pos="3346"/>
          <w:tab w:val="left" w:pos="6383"/>
          <w:tab w:val="left" w:pos="9883"/>
        </w:tabs>
        <w:overflowPunct w:val="0"/>
        <w:autoSpaceDE w:val="0"/>
        <w:autoSpaceDN w:val="0"/>
        <w:snapToGrid w:val="0"/>
        <w:rPr>
          <w:rFonts w:ascii="Arial" w:eastAsia="黑体" w:hAnsi="Arial" w:cs="Arial"/>
          <w:i/>
          <w:sz w:val="20"/>
        </w:rPr>
      </w:pPr>
    </w:p>
    <w:p w:rsidR="00AD5BB5" w:rsidRDefault="00AD5BB5">
      <w:pPr>
        <w:tabs>
          <w:tab w:val="left" w:pos="1985"/>
          <w:tab w:val="left" w:pos="3346"/>
          <w:tab w:val="left" w:pos="6383"/>
          <w:tab w:val="left" w:pos="9883"/>
        </w:tabs>
        <w:overflowPunct w:val="0"/>
        <w:autoSpaceDE w:val="0"/>
        <w:autoSpaceDN w:val="0"/>
        <w:snapToGrid w:val="0"/>
        <w:rPr>
          <w:rFonts w:ascii="Arial" w:eastAsia="黑体" w:hAnsi="Arial" w:cs="Arial"/>
          <w:i/>
          <w:sz w:val="20"/>
        </w:rPr>
      </w:pPr>
    </w:p>
    <w:p w:rsidR="00AD5BB5" w:rsidRDefault="00AD5BB5">
      <w:pPr>
        <w:tabs>
          <w:tab w:val="left" w:pos="1985"/>
          <w:tab w:val="left" w:pos="3346"/>
          <w:tab w:val="left" w:pos="6383"/>
          <w:tab w:val="left" w:pos="9883"/>
        </w:tabs>
        <w:overflowPunct w:val="0"/>
        <w:autoSpaceDE w:val="0"/>
        <w:autoSpaceDN w:val="0"/>
        <w:snapToGrid w:val="0"/>
        <w:rPr>
          <w:rFonts w:ascii="Arial" w:eastAsia="黑体" w:hAnsi="Arial" w:cs="Arial"/>
          <w:i/>
          <w:sz w:val="20"/>
        </w:rPr>
      </w:pPr>
    </w:p>
    <w:p w:rsidR="00AD5BB5" w:rsidRDefault="00AD5BB5">
      <w:pPr>
        <w:tabs>
          <w:tab w:val="left" w:pos="1985"/>
          <w:tab w:val="left" w:pos="3346"/>
          <w:tab w:val="left" w:pos="6383"/>
          <w:tab w:val="left" w:pos="9883"/>
        </w:tabs>
        <w:overflowPunct w:val="0"/>
        <w:autoSpaceDE w:val="0"/>
        <w:autoSpaceDN w:val="0"/>
        <w:snapToGrid w:val="0"/>
        <w:rPr>
          <w:rFonts w:ascii="Arial" w:eastAsia="黑体" w:hAnsi="Arial" w:cs="Arial"/>
          <w:i/>
          <w:sz w:val="20"/>
        </w:rPr>
      </w:pPr>
    </w:p>
    <w:p w:rsidR="00AD5BB5" w:rsidRDefault="00AD5BB5">
      <w:pPr>
        <w:tabs>
          <w:tab w:val="left" w:pos="1985"/>
          <w:tab w:val="left" w:pos="3346"/>
          <w:tab w:val="left" w:pos="6383"/>
          <w:tab w:val="left" w:pos="9883"/>
        </w:tabs>
        <w:overflowPunct w:val="0"/>
        <w:autoSpaceDE w:val="0"/>
        <w:autoSpaceDN w:val="0"/>
        <w:snapToGrid w:val="0"/>
        <w:rPr>
          <w:rFonts w:ascii="Arial" w:eastAsia="黑体" w:hAnsi="Arial" w:cs="Arial"/>
          <w:i/>
          <w:sz w:val="20"/>
        </w:rPr>
      </w:pPr>
    </w:p>
    <w:p w:rsidR="00AD5BB5" w:rsidRDefault="00AD5BB5">
      <w:pPr>
        <w:tabs>
          <w:tab w:val="left" w:pos="1985"/>
          <w:tab w:val="left" w:pos="3346"/>
          <w:tab w:val="left" w:pos="6383"/>
          <w:tab w:val="left" w:pos="9883"/>
        </w:tabs>
        <w:overflowPunct w:val="0"/>
        <w:autoSpaceDE w:val="0"/>
        <w:autoSpaceDN w:val="0"/>
        <w:snapToGrid w:val="0"/>
        <w:rPr>
          <w:rFonts w:ascii="Arial" w:eastAsia="黑体" w:hAnsi="Arial" w:cs="Arial"/>
          <w:i/>
          <w:sz w:val="20"/>
        </w:rPr>
      </w:pPr>
    </w:p>
    <w:p w:rsidR="00AD5BB5" w:rsidRDefault="00AD5BB5">
      <w:pPr>
        <w:tabs>
          <w:tab w:val="left" w:pos="1985"/>
          <w:tab w:val="left" w:pos="3346"/>
          <w:tab w:val="left" w:pos="6383"/>
          <w:tab w:val="left" w:pos="9883"/>
        </w:tabs>
        <w:overflowPunct w:val="0"/>
        <w:autoSpaceDE w:val="0"/>
        <w:autoSpaceDN w:val="0"/>
        <w:snapToGrid w:val="0"/>
        <w:rPr>
          <w:rFonts w:ascii="Arial" w:eastAsia="黑体" w:hAnsi="Arial" w:cs="Arial"/>
          <w:i/>
          <w:sz w:val="20"/>
        </w:rPr>
      </w:pPr>
    </w:p>
    <w:p w:rsidR="00AD5BB5" w:rsidRDefault="00F87FF6">
      <w:pPr>
        <w:overflowPunct w:val="0"/>
        <w:autoSpaceDE w:val="0"/>
        <w:autoSpaceDN w:val="0"/>
        <w:rPr>
          <w:rFonts w:ascii="Arial" w:eastAsia="黑体" w:hAnsi="Arial" w:cs="Arial"/>
          <w:i/>
          <w:sz w:val="20"/>
        </w:rPr>
        <w:sectPr w:rsidR="00AD5BB5">
          <w:headerReference w:type="even" r:id="rId36"/>
          <w:headerReference w:type="default" r:id="rId37"/>
          <w:headerReference w:type="first" r:id="rId38"/>
          <w:pgSz w:w="16840" w:h="11907" w:orient="landscape"/>
          <w:pgMar w:top="1440" w:right="1797" w:bottom="1440" w:left="1797" w:header="720" w:footer="720" w:gutter="0"/>
          <w:cols w:space="720"/>
          <w:docGrid w:linePitch="360"/>
        </w:sectPr>
      </w:pPr>
      <w:r>
        <w:rPr>
          <w:rFonts w:ascii="Arial" w:eastAsia="黑体" w:hAnsi="Arial" w:cs="Arial"/>
          <w:i/>
          <w:sz w:val="20"/>
        </w:rPr>
        <w:t>后附财务报表附注为本财务报表的组成部分</w:t>
      </w:r>
    </w:p>
    <w:p w:rsidR="00AD5BB5" w:rsidRDefault="00AD5BB5">
      <w:pPr>
        <w:overflowPunct w:val="0"/>
        <w:autoSpaceDE w:val="0"/>
        <w:autoSpaceDN w:val="0"/>
        <w:rPr>
          <w:rFonts w:ascii="Arial" w:eastAsia="黑体" w:hAnsi="Arial" w:cs="Arial"/>
          <w:sz w:val="20"/>
        </w:rPr>
      </w:pPr>
    </w:p>
    <w:p w:rsidR="00AD5BB5" w:rsidRDefault="00AD5BB5">
      <w:pPr>
        <w:overflowPunct w:val="0"/>
        <w:autoSpaceDE w:val="0"/>
        <w:autoSpaceDN w:val="0"/>
        <w:rPr>
          <w:rFonts w:ascii="Arial" w:eastAsia="黑体" w:hAnsi="Arial" w:cs="Arial"/>
          <w:sz w:val="20"/>
        </w:rPr>
      </w:pPr>
    </w:p>
    <w:tbl>
      <w:tblPr>
        <w:tblW w:w="0" w:type="auto"/>
        <w:tblLayout w:type="fixed"/>
        <w:tblCellMar>
          <w:left w:w="0" w:type="dxa"/>
          <w:right w:w="0" w:type="dxa"/>
        </w:tblCellMar>
        <w:tblLook w:val="04A0" w:firstRow="1" w:lastRow="0" w:firstColumn="1" w:lastColumn="0" w:noHBand="0" w:noVBand="1"/>
        <w:tblCaption w:val="3b43d26c-37ef-408e-892f-be0cbf390ae7"/>
        <w:tblDescription w:val="{&quot;UUID&quot;:&quot;afsaddin_tabledata_2_56437_3b43d26c-37ef-408e-892f-be0cbf390ae7&quot;,&quot;TitleRowCount&quot;:3,&quot;SplitedTable&quot;:false,&quot;FirstTableId&quot;:&quot;3b43d26c-37ef-408e-892f-be0cbf390ae7&quot;}"/>
      </w:tblPr>
      <w:tblGrid>
        <w:gridCol w:w="453"/>
        <w:gridCol w:w="1969"/>
        <w:gridCol w:w="104"/>
        <w:gridCol w:w="1177"/>
        <w:gridCol w:w="104"/>
        <w:gridCol w:w="104"/>
        <w:gridCol w:w="1177"/>
        <w:gridCol w:w="104"/>
        <w:gridCol w:w="104"/>
        <w:gridCol w:w="1176"/>
        <w:gridCol w:w="103"/>
        <w:gridCol w:w="103"/>
        <w:gridCol w:w="965"/>
        <w:gridCol w:w="103"/>
        <w:gridCol w:w="103"/>
        <w:gridCol w:w="1176"/>
        <w:gridCol w:w="103"/>
        <w:gridCol w:w="103"/>
        <w:gridCol w:w="1176"/>
        <w:gridCol w:w="103"/>
        <w:gridCol w:w="103"/>
        <w:gridCol w:w="1176"/>
        <w:gridCol w:w="103"/>
        <w:gridCol w:w="103"/>
        <w:gridCol w:w="1269"/>
        <w:gridCol w:w="103"/>
      </w:tblGrid>
      <w:tr w:rsidR="00AD5BB5">
        <w:tc>
          <w:tcPr>
            <w:tcW w:w="453"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969" w:type="dxa"/>
            <w:tcBorders>
              <w:top w:val="nil"/>
              <w:left w:val="nil"/>
              <w:bottom w:val="nil"/>
              <w:right w:val="nil"/>
            </w:tcBorders>
            <w:vAlign w:val="bottom"/>
          </w:tcPr>
          <w:p w:rsidR="00AD5BB5" w:rsidRDefault="00AD5BB5">
            <w:pPr>
              <w:autoSpaceDE w:val="0"/>
              <w:autoSpaceDN w:val="0"/>
              <w:ind w:left="166" w:hangingChars="150" w:hanging="166"/>
              <w:rPr>
                <w:rFonts w:ascii="Arial" w:eastAsia="黑体" w:hAnsi="Arial" w:cs="Arial"/>
                <w:b/>
                <w:bCs/>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738" w:type="dxa"/>
            <w:gridSpan w:val="22"/>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b/>
                <w:bCs/>
                <w:sz w:val="11"/>
                <w:szCs w:val="11"/>
              </w:rPr>
            </w:pPr>
            <w:r>
              <w:rPr>
                <w:rFonts w:ascii="Arial" w:eastAsia="黑体" w:hAnsi="Arial" w:cs="Arial"/>
                <w:b/>
                <w:bCs/>
                <w:sz w:val="11"/>
                <w:szCs w:val="11"/>
              </w:rPr>
              <w:t>截至</w:t>
            </w:r>
            <w:r>
              <w:rPr>
                <w:rFonts w:ascii="Arial" w:eastAsia="黑体" w:hAnsi="Arial" w:cs="Arial"/>
                <w:b/>
                <w:bCs/>
                <w:sz w:val="11"/>
                <w:szCs w:val="11"/>
              </w:rPr>
              <w:fldChar w:fldCharType="begin"/>
            </w:r>
            <w:r>
              <w:rPr>
                <w:rFonts w:ascii="Arial" w:eastAsia="黑体" w:hAnsi="Arial" w:cs="Arial"/>
                <w:b/>
                <w:bCs/>
                <w:sz w:val="11"/>
                <w:szCs w:val="11"/>
              </w:rPr>
              <w:instrText xml:space="preserve">DOCPROPERTY </w:instrText>
            </w:r>
            <w:r>
              <w:rPr>
                <w:rFonts w:ascii="Arial" w:eastAsia="黑体" w:hAnsi="Arial" w:cs="Arial"/>
                <w:b/>
                <w:bCs/>
                <w:sz w:val="11"/>
                <w:szCs w:val="11"/>
              </w:rPr>
              <w:instrText>对比会计期间</w:instrText>
            </w:r>
            <w:r>
              <w:rPr>
                <w:rFonts w:ascii="Arial" w:eastAsia="黑体" w:hAnsi="Arial" w:cs="Arial"/>
                <w:b/>
                <w:bCs/>
                <w:sz w:val="11"/>
                <w:szCs w:val="11"/>
              </w:rPr>
              <w:fldChar w:fldCharType="separate"/>
            </w:r>
            <w:r>
              <w:rPr>
                <w:rFonts w:ascii="Arial" w:eastAsia="黑体" w:hAnsi="Arial" w:cs="Arial"/>
                <w:b/>
                <w:bCs/>
                <w:sz w:val="11"/>
                <w:szCs w:val="11"/>
              </w:rPr>
              <w:t>2022</w:t>
            </w:r>
            <w:r>
              <w:rPr>
                <w:rFonts w:ascii="Arial" w:eastAsia="黑体" w:hAnsi="Arial" w:cs="Arial"/>
                <w:b/>
                <w:bCs/>
                <w:sz w:val="11"/>
                <w:szCs w:val="11"/>
              </w:rPr>
              <w:fldChar w:fldCharType="end"/>
            </w:r>
            <w:r>
              <w:rPr>
                <w:rFonts w:ascii="Arial" w:eastAsia="黑体" w:hAnsi="Arial" w:cs="Arial"/>
                <w:b/>
                <w:bCs/>
                <w:sz w:val="11"/>
                <w:szCs w:val="11"/>
              </w:rPr>
              <w:t>年</w:t>
            </w:r>
            <w:r>
              <w:rPr>
                <w:rFonts w:ascii="Arial" w:eastAsia="黑体" w:hAnsi="Arial" w:cs="Arial"/>
                <w:b/>
                <w:bCs/>
                <w:sz w:val="11"/>
                <w:szCs w:val="11"/>
              </w:rPr>
              <w:t>6</w:t>
            </w:r>
            <w:r>
              <w:rPr>
                <w:rFonts w:ascii="Arial" w:eastAsia="黑体" w:hAnsi="Arial" w:cs="Arial"/>
                <w:b/>
                <w:bCs/>
                <w:sz w:val="11"/>
                <w:szCs w:val="11"/>
              </w:rPr>
              <w:t>月</w:t>
            </w:r>
            <w:r>
              <w:rPr>
                <w:rFonts w:ascii="Arial" w:eastAsia="黑体" w:hAnsi="Arial" w:cs="Arial"/>
                <w:b/>
                <w:bCs/>
                <w:sz w:val="11"/>
                <w:szCs w:val="11"/>
              </w:rPr>
              <w:t>30</w:t>
            </w:r>
            <w:r>
              <w:rPr>
                <w:rFonts w:ascii="Arial" w:eastAsia="黑体" w:hAnsi="Arial" w:cs="Arial"/>
                <w:b/>
                <w:bCs/>
                <w:sz w:val="11"/>
                <w:szCs w:val="11"/>
              </w:rPr>
              <w:t>日</w:t>
            </w:r>
            <w:proofErr w:type="gramStart"/>
            <w:r>
              <w:rPr>
                <w:rFonts w:ascii="Arial" w:eastAsia="黑体" w:hAnsi="Arial" w:cs="Arial"/>
                <w:b/>
                <w:bCs/>
                <w:sz w:val="11"/>
                <w:szCs w:val="11"/>
              </w:rPr>
              <w:t>止</w:t>
            </w:r>
            <w:proofErr w:type="gramEnd"/>
            <w:r>
              <w:rPr>
                <w:rFonts w:ascii="Arial" w:eastAsia="黑体" w:hAnsi="Arial" w:cs="Arial"/>
                <w:b/>
                <w:bCs/>
                <w:sz w:val="11"/>
                <w:szCs w:val="11"/>
              </w:rPr>
              <w:t>6</w:t>
            </w:r>
            <w:r>
              <w:rPr>
                <w:rFonts w:ascii="Arial" w:eastAsia="黑体" w:hAnsi="Arial" w:cs="Arial"/>
                <w:b/>
                <w:bCs/>
                <w:sz w:val="11"/>
                <w:szCs w:val="11"/>
              </w:rPr>
              <w:t>个月期间</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r>
      <w:tr w:rsidR="00AD5BB5">
        <w:tc>
          <w:tcPr>
            <w:tcW w:w="45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969" w:type="dxa"/>
            <w:tcBorders>
              <w:top w:val="nil"/>
              <w:left w:val="nil"/>
              <w:bottom w:val="nil"/>
              <w:right w:val="nil"/>
            </w:tcBorders>
            <w:vAlign w:val="bottom"/>
          </w:tcPr>
          <w:p w:rsidR="00AD5BB5" w:rsidRDefault="00AD5BB5">
            <w:pPr>
              <w:autoSpaceDE w:val="0"/>
              <w:autoSpaceDN w:val="0"/>
              <w:ind w:left="165" w:hangingChars="150" w:hanging="165"/>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177"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股本</w:t>
            </w:r>
          </w:p>
        </w:tc>
        <w:tc>
          <w:tcPr>
            <w:tcW w:w="10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0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177"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其他权益工具</w:t>
            </w:r>
          </w:p>
        </w:tc>
        <w:tc>
          <w:tcPr>
            <w:tcW w:w="10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0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176"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资本公积</w:t>
            </w:r>
          </w:p>
        </w:tc>
        <w:tc>
          <w:tcPr>
            <w:tcW w:w="10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0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965"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其他综合收益</w:t>
            </w:r>
          </w:p>
        </w:tc>
        <w:tc>
          <w:tcPr>
            <w:tcW w:w="10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0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176"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盈余公积</w:t>
            </w:r>
          </w:p>
        </w:tc>
        <w:tc>
          <w:tcPr>
            <w:tcW w:w="10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0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176"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一般风险准备</w:t>
            </w:r>
          </w:p>
        </w:tc>
        <w:tc>
          <w:tcPr>
            <w:tcW w:w="10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0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176"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未分配利润</w:t>
            </w:r>
          </w:p>
        </w:tc>
        <w:tc>
          <w:tcPr>
            <w:tcW w:w="103"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1"/>
                <w:szCs w:val="11"/>
              </w:rPr>
            </w:pPr>
          </w:p>
        </w:tc>
        <w:tc>
          <w:tcPr>
            <w:tcW w:w="1269"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合计</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r w:rsidR="00AD5BB5">
        <w:tc>
          <w:tcPr>
            <w:tcW w:w="45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969" w:type="dxa"/>
            <w:tcBorders>
              <w:top w:val="nil"/>
              <w:left w:val="nil"/>
              <w:bottom w:val="nil"/>
              <w:right w:val="nil"/>
            </w:tcBorders>
            <w:vAlign w:val="bottom"/>
          </w:tcPr>
          <w:p w:rsidR="00AD5BB5" w:rsidRDefault="00AD5BB5">
            <w:pPr>
              <w:autoSpaceDE w:val="0"/>
              <w:autoSpaceDN w:val="0"/>
              <w:ind w:left="165" w:hangingChars="150" w:hanging="165"/>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177"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177"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176"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96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176"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176"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1"/>
                <w:szCs w:val="11"/>
              </w:rPr>
            </w:pPr>
          </w:p>
        </w:tc>
        <w:tc>
          <w:tcPr>
            <w:tcW w:w="117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26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r w:rsidR="00AD5BB5">
        <w:tc>
          <w:tcPr>
            <w:tcW w:w="453" w:type="dxa"/>
            <w:tcBorders>
              <w:top w:val="nil"/>
              <w:left w:val="nil"/>
              <w:bottom w:val="nil"/>
              <w:right w:val="nil"/>
            </w:tcBorders>
            <w:vAlign w:val="bottom"/>
          </w:tcPr>
          <w:p w:rsidR="00AD5BB5" w:rsidRDefault="00F87FF6">
            <w:pPr>
              <w:autoSpaceDE w:val="0"/>
              <w:autoSpaceDN w:val="0"/>
              <w:rPr>
                <w:rFonts w:ascii="Arial" w:eastAsia="黑体" w:hAnsi="Arial" w:cs="Arial"/>
                <w:b/>
                <w:bCs/>
                <w:sz w:val="11"/>
                <w:szCs w:val="11"/>
              </w:rPr>
            </w:pPr>
            <w:r>
              <w:rPr>
                <w:rFonts w:ascii="Arial" w:eastAsia="黑体" w:hAnsi="Arial" w:cs="Arial"/>
                <w:b/>
                <w:bCs/>
                <w:sz w:val="11"/>
                <w:szCs w:val="11"/>
              </w:rPr>
              <w:t>一、</w:t>
            </w:r>
          </w:p>
        </w:tc>
        <w:tc>
          <w:tcPr>
            <w:tcW w:w="1969" w:type="dxa"/>
            <w:tcBorders>
              <w:top w:val="nil"/>
              <w:left w:val="nil"/>
              <w:bottom w:val="nil"/>
              <w:right w:val="nil"/>
            </w:tcBorders>
            <w:vAlign w:val="bottom"/>
          </w:tcPr>
          <w:p w:rsidR="00AD5BB5" w:rsidRDefault="00F87FF6">
            <w:pPr>
              <w:autoSpaceDE w:val="0"/>
              <w:autoSpaceDN w:val="0"/>
              <w:ind w:left="110" w:hangingChars="100" w:hanging="110"/>
              <w:rPr>
                <w:rFonts w:ascii="Arial" w:eastAsia="黑体" w:hAnsi="Arial" w:cs="Arial"/>
                <w:b/>
                <w:bCs/>
                <w:sz w:val="11"/>
                <w:szCs w:val="11"/>
              </w:rPr>
            </w:pPr>
            <w:r>
              <w:rPr>
                <w:rFonts w:ascii="Arial" w:eastAsia="黑体" w:hAnsi="Arial" w:cs="Arial"/>
                <w:b/>
                <w:bCs/>
                <w:sz w:val="11"/>
                <w:szCs w:val="11"/>
              </w:rPr>
              <w:fldChar w:fldCharType="begin"/>
            </w:r>
            <w:r>
              <w:rPr>
                <w:rFonts w:ascii="Arial" w:eastAsia="黑体" w:hAnsi="Arial" w:cs="Arial"/>
                <w:b/>
                <w:bCs/>
                <w:sz w:val="11"/>
                <w:szCs w:val="11"/>
              </w:rPr>
              <w:instrText xml:space="preserve"> DOCPROPERTY </w:instrText>
            </w:r>
            <w:r>
              <w:rPr>
                <w:rFonts w:ascii="Arial" w:eastAsia="黑体" w:hAnsi="Arial" w:cs="Arial"/>
                <w:b/>
                <w:bCs/>
                <w:sz w:val="11"/>
                <w:szCs w:val="11"/>
              </w:rPr>
              <w:instrText>对比会计期间</w:instrText>
            </w:r>
            <w:r>
              <w:rPr>
                <w:rFonts w:ascii="Arial" w:eastAsia="黑体" w:hAnsi="Arial" w:cs="Arial"/>
                <w:b/>
                <w:bCs/>
                <w:sz w:val="11"/>
                <w:szCs w:val="11"/>
              </w:rPr>
              <w:instrText xml:space="preserve"> </w:instrText>
            </w:r>
            <w:r>
              <w:rPr>
                <w:rFonts w:ascii="Arial" w:eastAsia="黑体" w:hAnsi="Arial" w:cs="Arial"/>
                <w:b/>
                <w:bCs/>
                <w:sz w:val="11"/>
                <w:szCs w:val="11"/>
              </w:rPr>
              <w:fldChar w:fldCharType="separate"/>
            </w:r>
            <w:r>
              <w:rPr>
                <w:rFonts w:ascii="Arial" w:eastAsia="黑体" w:hAnsi="Arial" w:cs="Arial"/>
                <w:b/>
                <w:bCs/>
                <w:sz w:val="11"/>
                <w:szCs w:val="11"/>
              </w:rPr>
              <w:t>2022</w:t>
            </w:r>
            <w:r>
              <w:rPr>
                <w:rFonts w:ascii="Arial" w:eastAsia="黑体" w:hAnsi="Arial" w:cs="Arial"/>
                <w:b/>
                <w:bCs/>
                <w:sz w:val="11"/>
                <w:szCs w:val="11"/>
              </w:rPr>
              <w:fldChar w:fldCharType="end"/>
            </w:r>
            <w:r>
              <w:rPr>
                <w:rFonts w:ascii="Arial" w:eastAsia="黑体" w:hAnsi="Arial" w:cs="Arial"/>
                <w:b/>
                <w:bCs/>
                <w:sz w:val="11"/>
                <w:szCs w:val="11"/>
              </w:rPr>
              <w:t>年</w:t>
            </w:r>
            <w:r>
              <w:rPr>
                <w:rFonts w:ascii="Arial" w:eastAsia="黑体" w:hAnsi="Arial" w:cs="Arial"/>
                <w:b/>
                <w:bCs/>
                <w:sz w:val="11"/>
                <w:szCs w:val="11"/>
              </w:rPr>
              <w:t>1</w:t>
            </w:r>
            <w:r>
              <w:rPr>
                <w:rFonts w:ascii="Arial" w:eastAsia="黑体" w:hAnsi="Arial" w:cs="Arial"/>
                <w:b/>
                <w:bCs/>
                <w:sz w:val="11"/>
                <w:szCs w:val="11"/>
              </w:rPr>
              <w:t>月</w:t>
            </w:r>
            <w:r>
              <w:rPr>
                <w:rFonts w:ascii="Arial" w:eastAsia="黑体" w:hAnsi="Arial" w:cs="Arial"/>
                <w:b/>
                <w:bCs/>
                <w:sz w:val="11"/>
                <w:szCs w:val="11"/>
              </w:rPr>
              <w:t>1</w:t>
            </w:r>
            <w:r>
              <w:rPr>
                <w:rFonts w:ascii="Arial" w:eastAsia="黑体" w:hAnsi="Arial" w:cs="Arial"/>
                <w:b/>
                <w:bCs/>
                <w:sz w:val="11"/>
                <w:szCs w:val="11"/>
              </w:rPr>
              <w:t>日余额</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17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2,639,127,888.00</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17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2,498,552,830.19</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17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6,792,174,486.75</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96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252,178,027.55</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17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1,272,355,862.03</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17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3,619,571,389.84</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17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5,414,315,001.12</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26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22,488,275,485.48</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r w:rsidR="00AD5BB5">
        <w:tc>
          <w:tcPr>
            <w:tcW w:w="45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969" w:type="dxa"/>
            <w:tcBorders>
              <w:top w:val="nil"/>
              <w:left w:val="nil"/>
              <w:bottom w:val="nil"/>
              <w:right w:val="nil"/>
            </w:tcBorders>
            <w:vAlign w:val="bottom"/>
          </w:tcPr>
          <w:p w:rsidR="00AD5BB5" w:rsidRDefault="00AD5BB5">
            <w:pPr>
              <w:autoSpaceDE w:val="0"/>
              <w:autoSpaceDN w:val="0"/>
              <w:ind w:left="165" w:hangingChars="150" w:hanging="165"/>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6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r w:rsidR="00AD5BB5">
        <w:tc>
          <w:tcPr>
            <w:tcW w:w="453" w:type="dxa"/>
            <w:tcBorders>
              <w:top w:val="nil"/>
              <w:left w:val="nil"/>
              <w:bottom w:val="nil"/>
              <w:right w:val="nil"/>
            </w:tcBorders>
            <w:vAlign w:val="bottom"/>
          </w:tcPr>
          <w:p w:rsidR="00AD5BB5" w:rsidRDefault="00F87FF6">
            <w:pPr>
              <w:autoSpaceDE w:val="0"/>
              <w:autoSpaceDN w:val="0"/>
              <w:rPr>
                <w:rFonts w:ascii="Arial" w:eastAsia="黑体" w:hAnsi="Arial" w:cs="Arial"/>
                <w:b/>
                <w:bCs/>
                <w:sz w:val="11"/>
                <w:szCs w:val="11"/>
              </w:rPr>
            </w:pPr>
            <w:r>
              <w:rPr>
                <w:rFonts w:ascii="Arial" w:eastAsia="黑体" w:hAnsi="Arial" w:cs="Arial"/>
                <w:b/>
                <w:bCs/>
                <w:sz w:val="11"/>
                <w:szCs w:val="11"/>
              </w:rPr>
              <w:t>二、</w:t>
            </w:r>
          </w:p>
        </w:tc>
        <w:tc>
          <w:tcPr>
            <w:tcW w:w="1969" w:type="dxa"/>
            <w:tcBorders>
              <w:top w:val="nil"/>
              <w:left w:val="nil"/>
              <w:bottom w:val="nil"/>
              <w:right w:val="nil"/>
            </w:tcBorders>
            <w:vAlign w:val="bottom"/>
          </w:tcPr>
          <w:p w:rsidR="00AD5BB5" w:rsidRDefault="00F87FF6">
            <w:pPr>
              <w:autoSpaceDE w:val="0"/>
              <w:autoSpaceDN w:val="0"/>
              <w:ind w:left="110" w:hangingChars="100" w:hanging="110"/>
              <w:rPr>
                <w:rFonts w:ascii="Arial" w:eastAsia="黑体" w:hAnsi="Arial" w:cs="Arial"/>
                <w:b/>
                <w:bCs/>
                <w:sz w:val="11"/>
                <w:szCs w:val="11"/>
              </w:rPr>
            </w:pPr>
            <w:r>
              <w:rPr>
                <w:rFonts w:ascii="Arial" w:eastAsia="黑体" w:hAnsi="Arial" w:cs="Arial"/>
                <w:b/>
                <w:bCs/>
                <w:sz w:val="11"/>
              </w:rPr>
              <w:t>本期增减变动金额</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6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r w:rsidR="00AD5BB5">
        <w:tc>
          <w:tcPr>
            <w:tcW w:w="453"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（一）</w:t>
            </w:r>
          </w:p>
        </w:tc>
        <w:tc>
          <w:tcPr>
            <w:tcW w:w="1969" w:type="dxa"/>
            <w:tcBorders>
              <w:top w:val="nil"/>
              <w:left w:val="nil"/>
              <w:bottom w:val="nil"/>
              <w:right w:val="nil"/>
            </w:tcBorders>
            <w:vAlign w:val="bottom"/>
          </w:tcPr>
          <w:p w:rsidR="00AD5BB5" w:rsidRDefault="00F87FF6">
            <w:pPr>
              <w:autoSpaceDE w:val="0"/>
              <w:autoSpaceDN w:val="0"/>
              <w:ind w:left="110" w:hangingChars="100" w:hanging="110"/>
              <w:rPr>
                <w:rFonts w:ascii="Arial" w:eastAsia="黑体" w:hAnsi="Arial" w:cs="Arial"/>
                <w:sz w:val="11"/>
                <w:szCs w:val="11"/>
              </w:rPr>
            </w:pPr>
            <w:r>
              <w:rPr>
                <w:rFonts w:ascii="Arial" w:eastAsia="黑体" w:hAnsi="Arial" w:cs="Arial"/>
                <w:sz w:val="11"/>
                <w:szCs w:val="11"/>
              </w:rPr>
              <w:t>综合收益总额</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(60,568,608.84</w:t>
            </w:r>
          </w:p>
        </w:tc>
        <w:tc>
          <w:tcPr>
            <w:tcW w:w="103"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1,233,693,852.94</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6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1,173,125,244.10</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r w:rsidR="00AD5BB5">
        <w:tc>
          <w:tcPr>
            <w:tcW w:w="453"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（二）</w:t>
            </w:r>
          </w:p>
        </w:tc>
        <w:tc>
          <w:tcPr>
            <w:tcW w:w="1969" w:type="dxa"/>
            <w:tcBorders>
              <w:top w:val="nil"/>
              <w:left w:val="nil"/>
              <w:bottom w:val="nil"/>
              <w:right w:val="nil"/>
            </w:tcBorders>
            <w:vAlign w:val="bottom"/>
          </w:tcPr>
          <w:p w:rsidR="00AD5BB5" w:rsidRDefault="00F87FF6">
            <w:pPr>
              <w:autoSpaceDE w:val="0"/>
              <w:autoSpaceDN w:val="0"/>
              <w:ind w:left="110" w:hangingChars="100" w:hanging="110"/>
              <w:rPr>
                <w:rFonts w:ascii="Arial" w:eastAsia="黑体" w:hAnsi="Arial" w:cs="Arial"/>
                <w:sz w:val="11"/>
                <w:szCs w:val="11"/>
              </w:rPr>
            </w:pPr>
            <w:r>
              <w:rPr>
                <w:rFonts w:ascii="Arial" w:eastAsia="黑体" w:hAnsi="Arial" w:cs="Arial"/>
                <w:sz w:val="11"/>
                <w:szCs w:val="11"/>
              </w:rPr>
              <w:t>利润分配</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6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r w:rsidR="00AD5BB5">
        <w:tc>
          <w:tcPr>
            <w:tcW w:w="453"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1.</w:t>
            </w:r>
          </w:p>
        </w:tc>
        <w:tc>
          <w:tcPr>
            <w:tcW w:w="1969" w:type="dxa"/>
            <w:tcBorders>
              <w:top w:val="nil"/>
              <w:left w:val="nil"/>
              <w:bottom w:val="nil"/>
              <w:right w:val="nil"/>
            </w:tcBorders>
            <w:vAlign w:val="bottom"/>
          </w:tcPr>
          <w:p w:rsidR="00AD5BB5" w:rsidRDefault="00F87FF6">
            <w:pPr>
              <w:autoSpaceDE w:val="0"/>
              <w:autoSpaceDN w:val="0"/>
              <w:ind w:left="110" w:hangingChars="100" w:hanging="110"/>
              <w:rPr>
                <w:rFonts w:ascii="Arial" w:eastAsia="黑体" w:hAnsi="Arial" w:cs="Arial"/>
                <w:sz w:val="11"/>
                <w:szCs w:val="11"/>
              </w:rPr>
            </w:pPr>
            <w:r>
              <w:rPr>
                <w:rFonts w:ascii="Arial" w:eastAsia="黑体" w:hAnsi="Arial" w:cs="Arial"/>
                <w:sz w:val="11"/>
                <w:szCs w:val="11"/>
              </w:rPr>
              <w:t>普通股现金分红</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(659,781,972.00</w:t>
            </w:r>
          </w:p>
        </w:tc>
        <w:tc>
          <w:tcPr>
            <w:tcW w:w="103"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6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(659,781,972.00</w:t>
            </w:r>
          </w:p>
        </w:tc>
        <w:tc>
          <w:tcPr>
            <w:tcW w:w="103"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w:t>
            </w:r>
          </w:p>
        </w:tc>
      </w:tr>
      <w:tr w:rsidR="00AD5BB5">
        <w:tc>
          <w:tcPr>
            <w:tcW w:w="453"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2.</w:t>
            </w:r>
          </w:p>
        </w:tc>
        <w:tc>
          <w:tcPr>
            <w:tcW w:w="1969" w:type="dxa"/>
            <w:tcBorders>
              <w:top w:val="nil"/>
              <w:left w:val="nil"/>
              <w:bottom w:val="nil"/>
              <w:right w:val="nil"/>
            </w:tcBorders>
            <w:vAlign w:val="bottom"/>
          </w:tcPr>
          <w:p w:rsidR="00AD5BB5" w:rsidRDefault="00F87FF6">
            <w:pPr>
              <w:autoSpaceDE w:val="0"/>
              <w:autoSpaceDN w:val="0"/>
              <w:ind w:left="110" w:hangingChars="100" w:hanging="110"/>
              <w:rPr>
                <w:rFonts w:ascii="Arial" w:eastAsia="黑体" w:hAnsi="Arial" w:cs="Arial"/>
                <w:sz w:val="11"/>
                <w:szCs w:val="11"/>
              </w:rPr>
            </w:pPr>
            <w:r>
              <w:rPr>
                <w:rFonts w:ascii="Arial" w:eastAsia="黑体" w:hAnsi="Arial" w:cs="Arial"/>
                <w:sz w:val="11"/>
                <w:szCs w:val="11"/>
              </w:rPr>
              <w:t>永续债利息</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(72,000,000.00</w:t>
            </w:r>
          </w:p>
        </w:tc>
        <w:tc>
          <w:tcPr>
            <w:tcW w:w="103"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6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1"/>
                <w:szCs w:val="11"/>
              </w:rPr>
            </w:pPr>
            <w:r>
              <w:rPr>
                <w:rFonts w:ascii="Arial" w:eastAsia="黑体" w:hAnsi="Arial" w:cs="Arial"/>
                <w:sz w:val="11"/>
                <w:szCs w:val="11"/>
              </w:rPr>
              <w:t>(72,000,000.00</w:t>
            </w:r>
          </w:p>
        </w:tc>
        <w:tc>
          <w:tcPr>
            <w:tcW w:w="103" w:type="dxa"/>
            <w:tcBorders>
              <w:top w:val="nil"/>
              <w:left w:val="nil"/>
              <w:bottom w:val="nil"/>
              <w:right w:val="nil"/>
            </w:tcBorders>
            <w:vAlign w:val="bottom"/>
          </w:tcPr>
          <w:p w:rsidR="00AD5BB5" w:rsidRDefault="00F87FF6">
            <w:pPr>
              <w:autoSpaceDE w:val="0"/>
              <w:autoSpaceDN w:val="0"/>
              <w:rPr>
                <w:rFonts w:ascii="Arial" w:eastAsia="黑体" w:hAnsi="Arial" w:cs="Arial"/>
                <w:sz w:val="11"/>
                <w:szCs w:val="11"/>
              </w:rPr>
            </w:pPr>
            <w:r>
              <w:rPr>
                <w:rFonts w:ascii="Arial" w:eastAsia="黑体" w:hAnsi="Arial" w:cs="Arial"/>
                <w:sz w:val="11"/>
                <w:szCs w:val="11"/>
              </w:rPr>
              <w:t>)</w:t>
            </w:r>
          </w:p>
        </w:tc>
      </w:tr>
      <w:tr w:rsidR="00AD5BB5">
        <w:tc>
          <w:tcPr>
            <w:tcW w:w="45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969" w:type="dxa"/>
            <w:tcBorders>
              <w:top w:val="nil"/>
              <w:left w:val="nil"/>
              <w:bottom w:val="nil"/>
              <w:right w:val="nil"/>
            </w:tcBorders>
            <w:vAlign w:val="bottom"/>
          </w:tcPr>
          <w:p w:rsidR="00AD5BB5" w:rsidRDefault="00AD5BB5">
            <w:pPr>
              <w:autoSpaceDE w:val="0"/>
              <w:autoSpaceDN w:val="0"/>
              <w:ind w:left="165" w:hangingChars="150" w:hanging="165"/>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96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17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c>
          <w:tcPr>
            <w:tcW w:w="126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r w:rsidR="00AD5BB5">
        <w:tc>
          <w:tcPr>
            <w:tcW w:w="453" w:type="dxa"/>
            <w:tcBorders>
              <w:top w:val="nil"/>
              <w:left w:val="nil"/>
              <w:bottom w:val="nil"/>
              <w:right w:val="nil"/>
            </w:tcBorders>
            <w:vAlign w:val="bottom"/>
          </w:tcPr>
          <w:p w:rsidR="00AD5BB5" w:rsidRDefault="00F87FF6">
            <w:pPr>
              <w:autoSpaceDE w:val="0"/>
              <w:autoSpaceDN w:val="0"/>
              <w:rPr>
                <w:rFonts w:ascii="Arial" w:eastAsia="黑体" w:hAnsi="Arial" w:cs="Arial"/>
                <w:b/>
                <w:bCs/>
                <w:sz w:val="11"/>
                <w:szCs w:val="11"/>
              </w:rPr>
            </w:pPr>
            <w:r>
              <w:rPr>
                <w:rFonts w:ascii="Arial" w:eastAsia="黑体" w:hAnsi="Arial" w:cs="Arial"/>
                <w:b/>
                <w:bCs/>
                <w:sz w:val="11"/>
                <w:szCs w:val="11"/>
              </w:rPr>
              <w:t>三、</w:t>
            </w:r>
          </w:p>
        </w:tc>
        <w:tc>
          <w:tcPr>
            <w:tcW w:w="1969" w:type="dxa"/>
            <w:tcBorders>
              <w:top w:val="nil"/>
              <w:left w:val="nil"/>
              <w:bottom w:val="nil"/>
              <w:right w:val="nil"/>
            </w:tcBorders>
            <w:vAlign w:val="bottom"/>
          </w:tcPr>
          <w:p w:rsidR="00AD5BB5" w:rsidRDefault="00F87FF6">
            <w:pPr>
              <w:autoSpaceDE w:val="0"/>
              <w:autoSpaceDN w:val="0"/>
              <w:ind w:left="110" w:hangingChars="100" w:hanging="110"/>
              <w:rPr>
                <w:rFonts w:ascii="Arial" w:eastAsia="黑体" w:hAnsi="Arial" w:cs="Arial"/>
                <w:b/>
                <w:bCs/>
                <w:sz w:val="11"/>
                <w:szCs w:val="11"/>
              </w:rPr>
            </w:pPr>
            <w:r>
              <w:rPr>
                <w:rFonts w:ascii="Arial" w:eastAsia="黑体" w:hAnsi="Arial" w:cs="Arial"/>
                <w:b/>
                <w:bCs/>
                <w:sz w:val="11"/>
              </w:rPr>
              <w:t>本期期末余额</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17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2,639,127,888.00</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17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2,498,552,830.19</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17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6,792,174,486.75</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96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191,609,418.71</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17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1,272,355,862.03</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17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3,619,571,389.84</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17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5,916,226,882.06</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b/>
                <w:bCs/>
                <w:sz w:val="11"/>
                <w:szCs w:val="11"/>
              </w:rPr>
            </w:pPr>
          </w:p>
        </w:tc>
        <w:tc>
          <w:tcPr>
            <w:tcW w:w="126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1"/>
                <w:szCs w:val="11"/>
              </w:rPr>
            </w:pPr>
            <w:r>
              <w:rPr>
                <w:rFonts w:ascii="Arial" w:eastAsia="黑体" w:hAnsi="Arial" w:cs="Arial"/>
                <w:b/>
                <w:bCs/>
                <w:sz w:val="11"/>
                <w:szCs w:val="11"/>
              </w:rPr>
              <w:t>22,929,618,757.58</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1"/>
                <w:szCs w:val="11"/>
              </w:rPr>
            </w:pPr>
          </w:p>
        </w:tc>
      </w:tr>
    </w:tbl>
    <w:p w:rsidR="00AD5BB5" w:rsidRDefault="00AD5BB5">
      <w:pPr>
        <w:overflowPunct w:val="0"/>
        <w:autoSpaceDE w:val="0"/>
        <w:autoSpaceDN w:val="0"/>
        <w:rPr>
          <w:rFonts w:ascii="Arial" w:eastAsia="黑体" w:hAnsi="Arial" w:cs="Arial"/>
          <w:sz w:val="20"/>
        </w:rPr>
      </w:pPr>
    </w:p>
    <w:p w:rsidR="00AD5BB5" w:rsidRDefault="00AD5BB5">
      <w:pPr>
        <w:overflowPunct w:val="0"/>
        <w:autoSpaceDE w:val="0"/>
        <w:autoSpaceDN w:val="0"/>
        <w:rPr>
          <w:rFonts w:ascii="Arial" w:eastAsia="黑体" w:hAnsi="Arial" w:cs="Arial"/>
          <w:sz w:val="20"/>
        </w:rPr>
      </w:pPr>
    </w:p>
    <w:p w:rsidR="00AD5BB5" w:rsidRDefault="00AD5BB5">
      <w:pPr>
        <w:overflowPunct w:val="0"/>
        <w:autoSpaceDE w:val="0"/>
        <w:autoSpaceDN w:val="0"/>
        <w:rPr>
          <w:rFonts w:ascii="Arial" w:eastAsia="黑体" w:hAnsi="Arial" w:cs="Arial"/>
          <w:sz w:val="20"/>
        </w:rPr>
      </w:pPr>
    </w:p>
    <w:p w:rsidR="00AD5BB5" w:rsidRDefault="00AD5BB5">
      <w:pPr>
        <w:overflowPunct w:val="0"/>
        <w:autoSpaceDE w:val="0"/>
        <w:autoSpaceDN w:val="0"/>
        <w:rPr>
          <w:rFonts w:ascii="Arial" w:eastAsia="黑体" w:hAnsi="Arial" w:cs="Arial"/>
          <w:sz w:val="20"/>
        </w:rPr>
      </w:pPr>
    </w:p>
    <w:p w:rsidR="00AD5BB5" w:rsidRDefault="00AD5BB5">
      <w:pPr>
        <w:overflowPunct w:val="0"/>
        <w:autoSpaceDE w:val="0"/>
        <w:autoSpaceDN w:val="0"/>
        <w:rPr>
          <w:rFonts w:ascii="Arial" w:eastAsia="黑体" w:hAnsi="Arial" w:cs="Arial"/>
          <w:sz w:val="20"/>
        </w:rPr>
      </w:pPr>
    </w:p>
    <w:p w:rsidR="00AD5BB5" w:rsidRDefault="00AD5BB5">
      <w:pPr>
        <w:overflowPunct w:val="0"/>
        <w:autoSpaceDE w:val="0"/>
        <w:autoSpaceDN w:val="0"/>
        <w:rPr>
          <w:rFonts w:ascii="Arial" w:eastAsia="黑体" w:hAnsi="Arial" w:cs="Arial"/>
          <w:sz w:val="20"/>
        </w:rPr>
      </w:pPr>
    </w:p>
    <w:p w:rsidR="00AD5BB5" w:rsidRDefault="00AD5BB5">
      <w:pPr>
        <w:overflowPunct w:val="0"/>
        <w:autoSpaceDE w:val="0"/>
        <w:autoSpaceDN w:val="0"/>
        <w:rPr>
          <w:rFonts w:ascii="Arial" w:eastAsia="黑体" w:hAnsi="Arial" w:cs="Arial"/>
          <w:sz w:val="20"/>
        </w:rPr>
      </w:pPr>
    </w:p>
    <w:p w:rsidR="00AD5BB5" w:rsidRDefault="00AD5BB5">
      <w:pPr>
        <w:overflowPunct w:val="0"/>
        <w:autoSpaceDE w:val="0"/>
        <w:autoSpaceDN w:val="0"/>
        <w:rPr>
          <w:rFonts w:ascii="Arial" w:eastAsia="黑体" w:hAnsi="Arial" w:cs="Arial"/>
          <w:sz w:val="20"/>
        </w:rPr>
      </w:pPr>
    </w:p>
    <w:p w:rsidR="00AD5BB5" w:rsidRDefault="00AD5BB5">
      <w:pPr>
        <w:overflowPunct w:val="0"/>
        <w:autoSpaceDE w:val="0"/>
        <w:autoSpaceDN w:val="0"/>
        <w:rPr>
          <w:rFonts w:ascii="Arial" w:eastAsia="黑体" w:hAnsi="Arial" w:cs="Arial"/>
          <w:sz w:val="20"/>
        </w:rPr>
      </w:pPr>
    </w:p>
    <w:p w:rsidR="00AD5BB5" w:rsidRDefault="00AD5BB5">
      <w:pPr>
        <w:overflowPunct w:val="0"/>
        <w:autoSpaceDE w:val="0"/>
        <w:autoSpaceDN w:val="0"/>
        <w:rPr>
          <w:rFonts w:ascii="Arial" w:eastAsia="黑体" w:hAnsi="Arial" w:cs="Arial"/>
          <w:sz w:val="20"/>
        </w:rPr>
      </w:pPr>
    </w:p>
    <w:p w:rsidR="00AD5BB5" w:rsidRDefault="00AD5BB5">
      <w:pPr>
        <w:overflowPunct w:val="0"/>
        <w:autoSpaceDE w:val="0"/>
        <w:autoSpaceDN w:val="0"/>
        <w:rPr>
          <w:rFonts w:ascii="Arial" w:eastAsia="黑体" w:hAnsi="Arial" w:cs="Arial"/>
          <w:sz w:val="20"/>
        </w:rPr>
      </w:pPr>
    </w:p>
    <w:p w:rsidR="00AD5BB5" w:rsidRDefault="00AD5BB5">
      <w:pPr>
        <w:overflowPunct w:val="0"/>
        <w:autoSpaceDE w:val="0"/>
        <w:autoSpaceDN w:val="0"/>
        <w:rPr>
          <w:rFonts w:ascii="Arial" w:eastAsia="黑体" w:hAnsi="Arial" w:cs="Arial"/>
          <w:sz w:val="20"/>
        </w:rPr>
      </w:pPr>
    </w:p>
    <w:p w:rsidR="00AD5BB5" w:rsidRDefault="00AD5BB5">
      <w:pPr>
        <w:overflowPunct w:val="0"/>
        <w:autoSpaceDE w:val="0"/>
        <w:autoSpaceDN w:val="0"/>
        <w:rPr>
          <w:rFonts w:ascii="Arial" w:eastAsia="黑体" w:hAnsi="Arial" w:cs="Arial"/>
          <w:sz w:val="20"/>
        </w:rPr>
      </w:pPr>
    </w:p>
    <w:p w:rsidR="00AD5BB5" w:rsidRDefault="00AD5BB5">
      <w:pPr>
        <w:overflowPunct w:val="0"/>
        <w:autoSpaceDE w:val="0"/>
        <w:autoSpaceDN w:val="0"/>
        <w:rPr>
          <w:rFonts w:ascii="Arial" w:eastAsia="黑体" w:hAnsi="Arial" w:cs="Arial"/>
          <w:sz w:val="20"/>
        </w:rPr>
      </w:pPr>
    </w:p>
    <w:p w:rsidR="00AD5BB5" w:rsidRDefault="00AD5BB5">
      <w:pPr>
        <w:overflowPunct w:val="0"/>
        <w:autoSpaceDE w:val="0"/>
        <w:autoSpaceDN w:val="0"/>
        <w:rPr>
          <w:rFonts w:ascii="Arial" w:eastAsia="黑体" w:hAnsi="Arial" w:cs="Arial"/>
          <w:sz w:val="20"/>
        </w:rPr>
      </w:pPr>
    </w:p>
    <w:p w:rsidR="00AD5BB5" w:rsidRDefault="00AD5BB5">
      <w:pPr>
        <w:overflowPunct w:val="0"/>
        <w:autoSpaceDE w:val="0"/>
        <w:autoSpaceDN w:val="0"/>
        <w:rPr>
          <w:rFonts w:ascii="Arial" w:eastAsia="黑体" w:hAnsi="Arial" w:cs="Arial"/>
          <w:sz w:val="20"/>
        </w:rPr>
      </w:pPr>
    </w:p>
    <w:p w:rsidR="00AD5BB5" w:rsidRDefault="00AD5BB5">
      <w:pPr>
        <w:overflowPunct w:val="0"/>
        <w:autoSpaceDE w:val="0"/>
        <w:autoSpaceDN w:val="0"/>
        <w:rPr>
          <w:rFonts w:ascii="Arial" w:eastAsia="黑体" w:hAnsi="Arial" w:cs="Arial"/>
          <w:sz w:val="20"/>
        </w:rPr>
      </w:pPr>
    </w:p>
    <w:p w:rsidR="00AD5BB5" w:rsidRDefault="00AD5BB5">
      <w:pPr>
        <w:overflowPunct w:val="0"/>
        <w:autoSpaceDE w:val="0"/>
        <w:autoSpaceDN w:val="0"/>
        <w:rPr>
          <w:rFonts w:ascii="Arial" w:eastAsia="黑体" w:hAnsi="Arial" w:cs="Arial"/>
          <w:sz w:val="20"/>
        </w:rPr>
      </w:pPr>
    </w:p>
    <w:p w:rsidR="00AD5BB5" w:rsidRDefault="00AD5BB5">
      <w:pPr>
        <w:overflowPunct w:val="0"/>
        <w:autoSpaceDE w:val="0"/>
        <w:autoSpaceDN w:val="0"/>
        <w:rPr>
          <w:rFonts w:ascii="Arial" w:eastAsia="黑体" w:hAnsi="Arial" w:cs="Arial"/>
          <w:sz w:val="20"/>
        </w:rPr>
      </w:pPr>
    </w:p>
    <w:p w:rsidR="00AD5BB5" w:rsidRDefault="00AD5BB5">
      <w:pPr>
        <w:overflowPunct w:val="0"/>
        <w:autoSpaceDE w:val="0"/>
        <w:autoSpaceDN w:val="0"/>
        <w:rPr>
          <w:rFonts w:ascii="Arial" w:eastAsia="黑体" w:hAnsi="Arial" w:cs="Arial"/>
          <w:sz w:val="20"/>
        </w:rPr>
      </w:pPr>
    </w:p>
    <w:p w:rsidR="00AD5BB5" w:rsidRDefault="00AD5BB5">
      <w:pPr>
        <w:overflowPunct w:val="0"/>
        <w:autoSpaceDE w:val="0"/>
        <w:autoSpaceDN w:val="0"/>
        <w:rPr>
          <w:rFonts w:ascii="Arial" w:eastAsia="黑体" w:hAnsi="Arial" w:cs="Arial"/>
          <w:sz w:val="20"/>
        </w:rPr>
      </w:pPr>
    </w:p>
    <w:p w:rsidR="00AD5BB5" w:rsidRDefault="00AD5BB5">
      <w:pPr>
        <w:overflowPunct w:val="0"/>
        <w:autoSpaceDE w:val="0"/>
        <w:autoSpaceDN w:val="0"/>
        <w:rPr>
          <w:rFonts w:ascii="Arial" w:eastAsia="黑体" w:hAnsi="Arial" w:cs="Arial"/>
          <w:sz w:val="20"/>
        </w:rPr>
      </w:pPr>
    </w:p>
    <w:p w:rsidR="00AD5BB5" w:rsidRDefault="00AD5BB5">
      <w:pPr>
        <w:overflowPunct w:val="0"/>
        <w:autoSpaceDE w:val="0"/>
        <w:autoSpaceDN w:val="0"/>
        <w:rPr>
          <w:rFonts w:ascii="Arial" w:eastAsia="黑体" w:hAnsi="Arial" w:cs="Arial"/>
          <w:sz w:val="20"/>
        </w:rPr>
      </w:pPr>
    </w:p>
    <w:p w:rsidR="00AD5BB5" w:rsidRDefault="00AD5BB5">
      <w:pPr>
        <w:overflowPunct w:val="0"/>
        <w:autoSpaceDE w:val="0"/>
        <w:autoSpaceDN w:val="0"/>
        <w:rPr>
          <w:rFonts w:ascii="Arial" w:eastAsia="黑体" w:hAnsi="Arial" w:cs="Arial"/>
          <w:sz w:val="20"/>
        </w:rPr>
      </w:pPr>
    </w:p>
    <w:p w:rsidR="00AD5BB5" w:rsidRDefault="00AD5BB5">
      <w:pPr>
        <w:overflowPunct w:val="0"/>
        <w:autoSpaceDE w:val="0"/>
        <w:autoSpaceDN w:val="0"/>
        <w:rPr>
          <w:rFonts w:ascii="Arial" w:eastAsia="黑体" w:hAnsi="Arial" w:cs="Arial"/>
          <w:sz w:val="20"/>
        </w:rPr>
      </w:pPr>
    </w:p>
    <w:p w:rsidR="00AD5BB5" w:rsidRDefault="00AD5BB5">
      <w:pPr>
        <w:overflowPunct w:val="0"/>
        <w:autoSpaceDE w:val="0"/>
        <w:autoSpaceDN w:val="0"/>
        <w:rPr>
          <w:rFonts w:ascii="Arial" w:eastAsia="黑体" w:hAnsi="Arial" w:cs="Arial"/>
          <w:sz w:val="20"/>
        </w:rPr>
      </w:pPr>
    </w:p>
    <w:p w:rsidR="00AD5BB5" w:rsidRDefault="00F87FF6">
      <w:pPr>
        <w:overflowPunct w:val="0"/>
        <w:autoSpaceDE w:val="0"/>
        <w:autoSpaceDN w:val="0"/>
        <w:adjustRightInd w:val="0"/>
        <w:rPr>
          <w:rFonts w:ascii="Arial" w:eastAsia="黑体" w:hAnsi="Arial" w:cs="Arial"/>
          <w:i/>
          <w:sz w:val="20"/>
        </w:rPr>
        <w:sectPr w:rsidR="00AD5BB5">
          <w:headerReference w:type="default" r:id="rId39"/>
          <w:pgSz w:w="16840" w:h="11907" w:orient="landscape"/>
          <w:pgMar w:top="1440" w:right="1797" w:bottom="1440" w:left="1797" w:header="720" w:footer="720" w:gutter="0"/>
          <w:cols w:space="720"/>
          <w:docGrid w:linePitch="360"/>
        </w:sectPr>
      </w:pPr>
      <w:r>
        <w:rPr>
          <w:rFonts w:ascii="Arial" w:eastAsia="黑体" w:hAnsi="Arial" w:cs="Arial"/>
          <w:i/>
          <w:sz w:val="20"/>
        </w:rPr>
        <w:t>后附财务报表附注为本财务报表的组成部分</w:t>
      </w:r>
    </w:p>
    <w:p w:rsidR="00AD5BB5" w:rsidRDefault="00AD5BB5">
      <w:pPr>
        <w:overflowPunct w:val="0"/>
        <w:autoSpaceDE w:val="0"/>
        <w:autoSpaceDN w:val="0"/>
        <w:adjustRightInd w:val="0"/>
        <w:rPr>
          <w:rFonts w:ascii="Arial" w:eastAsia="黑体" w:hAnsi="Arial" w:cs="Arial"/>
        </w:rPr>
      </w:pPr>
      <w:bookmarkStart w:id="68" w:name="afsaddin_Section_d385d234a9614b97aef1501"/>
    </w:p>
    <w:bookmarkEnd w:id="68"/>
    <w:p w:rsidR="00AD5BB5" w:rsidRDefault="00AD5BB5">
      <w:pPr>
        <w:overflowPunct w:val="0"/>
        <w:autoSpaceDE w:val="0"/>
        <w:autoSpaceDN w:val="0"/>
        <w:adjustRightInd w:val="0"/>
        <w:rPr>
          <w:rFonts w:ascii="Arial" w:eastAsia="黑体" w:hAnsi="Arial" w:cs="Arial"/>
        </w:rPr>
      </w:pPr>
    </w:p>
    <w:tbl>
      <w:tblPr>
        <w:tblW w:w="0" w:type="auto"/>
        <w:tblLayout w:type="fixed"/>
        <w:tblCellMar>
          <w:left w:w="0" w:type="dxa"/>
          <w:right w:w="0" w:type="dxa"/>
        </w:tblCellMar>
        <w:tblLook w:val="04A0" w:firstRow="1" w:lastRow="0" w:firstColumn="1" w:lastColumn="0" w:noHBand="0" w:noVBand="1"/>
        <w:tblCaption w:val="26ee279f-ee91-4fe3-98bb-78b3280885c0"/>
        <w:tblDescription w:val="{&quot;UUID&quot;:&quot;afsaddin_tabledata_2_56437_26ee279f-ee91-4fe3-98bb-78b3280885c0&quot;,&quot;TitleRowCount&quot;:2,&quot;SplitedTable&quot;:false,&quot;FirstTableId&quot;:&quot;26ee279f-ee91-4fe3-98bb-78b3280885c0&quot;}"/>
      </w:tblPr>
      <w:tblGrid>
        <w:gridCol w:w="324"/>
        <w:gridCol w:w="3638"/>
        <w:gridCol w:w="798"/>
        <w:gridCol w:w="95"/>
        <w:gridCol w:w="1622"/>
        <w:gridCol w:w="110"/>
        <w:gridCol w:w="110"/>
        <w:gridCol w:w="1628"/>
        <w:gridCol w:w="110"/>
      </w:tblGrid>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798" w:type="dxa"/>
            <w:tcBorders>
              <w:top w:val="nil"/>
              <w:left w:val="nil"/>
              <w:bottom w:val="nil"/>
              <w:right w:val="nil"/>
            </w:tcBorders>
            <w:vAlign w:val="bottom"/>
          </w:tcPr>
          <w:p w:rsidR="00AD5BB5" w:rsidRDefault="00F87FF6">
            <w:pPr>
              <w:autoSpaceDE w:val="0"/>
              <w:autoSpaceDN w:val="0"/>
              <w:jc w:val="center"/>
              <w:rPr>
                <w:rFonts w:ascii="Arial" w:eastAsia="黑体" w:hAnsi="Arial" w:cs="Arial"/>
                <w:b/>
                <w:bCs/>
                <w:sz w:val="16"/>
                <w:szCs w:val="16"/>
                <w:u w:val="single"/>
              </w:rPr>
            </w:pPr>
            <w:r>
              <w:rPr>
                <w:rFonts w:ascii="Arial" w:eastAsia="黑体" w:hAnsi="Arial" w:cs="Arial"/>
                <w:b/>
                <w:bCs/>
                <w:sz w:val="16"/>
                <w:szCs w:val="16"/>
                <w:u w:val="single"/>
              </w:rPr>
              <w:t>附注十四</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szCs w:val="16"/>
                <w:u w:val="single"/>
              </w:rPr>
              <w:fldChar w:fldCharType="begin"/>
            </w:r>
            <w:r>
              <w:rPr>
                <w:rFonts w:ascii="Arial" w:eastAsia="黑体" w:hAnsi="Arial" w:cs="Arial"/>
                <w:b/>
                <w:bCs/>
                <w:sz w:val="16"/>
                <w:szCs w:val="16"/>
                <w:u w:val="single"/>
              </w:rPr>
              <w:instrText xml:space="preserve"> DOCPROPERTY </w:instrText>
            </w:r>
            <w:r>
              <w:rPr>
                <w:rFonts w:ascii="Arial" w:eastAsia="黑体" w:hAnsi="Arial" w:cs="Arial"/>
                <w:b/>
                <w:bCs/>
                <w:sz w:val="16"/>
                <w:szCs w:val="16"/>
                <w:u w:val="single"/>
              </w:rPr>
              <w:instrText>当期会计期间</w:instrText>
            </w:r>
            <w:r>
              <w:rPr>
                <w:rFonts w:ascii="Arial" w:eastAsia="黑体" w:hAnsi="Arial" w:cs="Arial"/>
                <w:b/>
                <w:bCs/>
                <w:sz w:val="16"/>
                <w:szCs w:val="16"/>
                <w:u w:val="single"/>
              </w:rPr>
              <w:instrText xml:space="preserve"> </w:instrText>
            </w:r>
            <w:r>
              <w:rPr>
                <w:rFonts w:ascii="Arial" w:eastAsia="黑体" w:hAnsi="Arial" w:cs="Arial"/>
                <w:b/>
                <w:bCs/>
                <w:sz w:val="16"/>
                <w:szCs w:val="16"/>
                <w:u w:val="single"/>
              </w:rPr>
              <w:fldChar w:fldCharType="separate"/>
            </w:r>
            <w:r>
              <w:rPr>
                <w:rFonts w:ascii="Arial" w:eastAsia="黑体" w:hAnsi="Arial" w:cs="Arial"/>
                <w:b/>
                <w:bCs/>
                <w:sz w:val="16"/>
                <w:szCs w:val="16"/>
                <w:u w:val="single"/>
              </w:rPr>
              <w:t>2023</w:t>
            </w:r>
            <w:r>
              <w:rPr>
                <w:rFonts w:ascii="Arial" w:eastAsia="黑体" w:hAnsi="Arial" w:cs="Arial"/>
                <w:b/>
                <w:bCs/>
                <w:sz w:val="16"/>
                <w:szCs w:val="16"/>
                <w:u w:val="single"/>
              </w:rPr>
              <w:fldChar w:fldCharType="end"/>
            </w:r>
            <w:r>
              <w:rPr>
                <w:rFonts w:ascii="Arial" w:eastAsia="黑体" w:hAnsi="Arial" w:cs="Arial"/>
                <w:b/>
                <w:bCs/>
                <w:sz w:val="16"/>
                <w:szCs w:val="16"/>
                <w:u w:val="single"/>
              </w:rPr>
              <w:t>年</w:t>
            </w:r>
            <w:r>
              <w:rPr>
                <w:rFonts w:ascii="Arial" w:eastAsia="黑体" w:hAnsi="Arial" w:cs="Arial"/>
                <w:b/>
                <w:bCs/>
                <w:sz w:val="16"/>
                <w:szCs w:val="16"/>
                <w:u w:val="single"/>
              </w:rPr>
              <w:t>1-6</w:t>
            </w:r>
            <w:r>
              <w:rPr>
                <w:rFonts w:ascii="Arial" w:eastAsia="黑体" w:hAnsi="Arial" w:cs="Arial"/>
                <w:b/>
                <w:bCs/>
                <w:sz w:val="16"/>
                <w:szCs w:val="16"/>
                <w:u w:val="single"/>
              </w:rPr>
              <w:t>月</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szCs w:val="16"/>
                <w:u w:val="single"/>
              </w:rPr>
              <w:fldChar w:fldCharType="begin"/>
            </w:r>
            <w:r>
              <w:rPr>
                <w:rFonts w:ascii="Arial" w:eastAsia="黑体" w:hAnsi="Arial" w:cs="Arial"/>
                <w:b/>
                <w:bCs/>
                <w:sz w:val="16"/>
                <w:szCs w:val="16"/>
                <w:u w:val="single"/>
              </w:rPr>
              <w:instrText xml:space="preserve"> DOCPROPERTY </w:instrText>
            </w:r>
            <w:r>
              <w:rPr>
                <w:rFonts w:ascii="Arial" w:eastAsia="黑体" w:hAnsi="Arial" w:cs="Arial"/>
                <w:b/>
                <w:bCs/>
                <w:sz w:val="16"/>
                <w:szCs w:val="16"/>
                <w:u w:val="single"/>
              </w:rPr>
              <w:instrText>自定义</w:instrText>
            </w:r>
            <w:r>
              <w:rPr>
                <w:rFonts w:ascii="Arial" w:eastAsia="黑体" w:hAnsi="Arial" w:cs="Arial"/>
                <w:b/>
                <w:bCs/>
                <w:sz w:val="16"/>
                <w:szCs w:val="16"/>
                <w:u w:val="single"/>
              </w:rPr>
              <w:instrText xml:space="preserve">2 </w:instrText>
            </w:r>
            <w:r>
              <w:rPr>
                <w:rFonts w:ascii="Arial" w:eastAsia="黑体" w:hAnsi="Arial" w:cs="Arial"/>
                <w:b/>
                <w:bCs/>
                <w:sz w:val="16"/>
                <w:szCs w:val="16"/>
                <w:u w:val="single"/>
              </w:rPr>
              <w:fldChar w:fldCharType="separate"/>
            </w:r>
            <w:r>
              <w:rPr>
                <w:rFonts w:ascii="Arial" w:eastAsia="黑体" w:hAnsi="Arial" w:cs="Arial"/>
                <w:b/>
                <w:bCs/>
                <w:sz w:val="16"/>
                <w:szCs w:val="16"/>
                <w:u w:val="single"/>
              </w:rPr>
              <w:t>2022</w:t>
            </w:r>
            <w:r>
              <w:rPr>
                <w:rFonts w:ascii="Arial" w:eastAsia="黑体" w:hAnsi="Arial" w:cs="Arial"/>
                <w:b/>
                <w:bCs/>
                <w:sz w:val="16"/>
                <w:szCs w:val="16"/>
                <w:u w:val="single"/>
              </w:rPr>
              <w:t>年</w:t>
            </w:r>
            <w:r>
              <w:rPr>
                <w:rFonts w:ascii="Arial" w:eastAsia="黑体" w:hAnsi="Arial" w:cs="Arial"/>
                <w:b/>
                <w:bCs/>
                <w:sz w:val="16"/>
                <w:szCs w:val="16"/>
                <w:u w:val="single"/>
              </w:rPr>
              <w:t>1-6</w:t>
            </w:r>
            <w:r>
              <w:rPr>
                <w:rFonts w:ascii="Arial" w:eastAsia="黑体" w:hAnsi="Arial" w:cs="Arial"/>
                <w:b/>
                <w:bCs/>
                <w:sz w:val="16"/>
                <w:szCs w:val="16"/>
                <w:u w:val="single"/>
              </w:rPr>
              <w:t>月</w:t>
            </w:r>
            <w:r>
              <w:rPr>
                <w:rFonts w:ascii="Arial" w:eastAsia="黑体" w:hAnsi="Arial" w:cs="Arial"/>
                <w:b/>
                <w:bCs/>
                <w:sz w:val="16"/>
                <w:szCs w:val="16"/>
                <w:u w:val="single"/>
              </w:rPr>
              <w:fldChar w:fldCharType="end"/>
            </w:r>
          </w:p>
        </w:tc>
        <w:tc>
          <w:tcPr>
            <w:tcW w:w="11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798" w:type="dxa"/>
            <w:tcBorders>
              <w:top w:val="nil"/>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nil"/>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nil"/>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F87FF6">
            <w:pPr>
              <w:autoSpaceDE w:val="0"/>
              <w:autoSpaceDN w:val="0"/>
              <w:rPr>
                <w:rFonts w:ascii="Arial" w:eastAsia="黑体" w:hAnsi="Arial" w:cs="Arial"/>
                <w:b/>
                <w:bCs/>
                <w:sz w:val="16"/>
                <w:szCs w:val="16"/>
              </w:rPr>
            </w:pPr>
            <w:r>
              <w:rPr>
                <w:rFonts w:ascii="Arial" w:eastAsia="黑体" w:hAnsi="Arial" w:cs="Arial"/>
                <w:b/>
                <w:bCs/>
                <w:sz w:val="16"/>
                <w:szCs w:val="16"/>
              </w:rPr>
              <w:t>一、</w:t>
            </w:r>
          </w:p>
        </w:tc>
        <w:tc>
          <w:tcPr>
            <w:tcW w:w="3638" w:type="dxa"/>
            <w:tcBorders>
              <w:top w:val="nil"/>
              <w:left w:val="nil"/>
              <w:bottom w:val="nil"/>
              <w:right w:val="nil"/>
            </w:tcBorders>
            <w:vAlign w:val="bottom"/>
          </w:tcPr>
          <w:p w:rsidR="00AD5BB5" w:rsidRDefault="00F87FF6">
            <w:pPr>
              <w:autoSpaceDE w:val="0"/>
              <w:autoSpaceDN w:val="0"/>
              <w:ind w:left="161" w:hangingChars="100" w:hanging="161"/>
              <w:rPr>
                <w:rFonts w:ascii="Arial" w:eastAsia="黑体" w:hAnsi="Arial" w:cs="Arial"/>
                <w:b/>
                <w:bCs/>
                <w:sz w:val="16"/>
                <w:szCs w:val="16"/>
              </w:rPr>
            </w:pPr>
            <w:r>
              <w:rPr>
                <w:rFonts w:ascii="Arial" w:eastAsia="黑体" w:hAnsi="Arial" w:cs="Arial"/>
                <w:b/>
                <w:bCs/>
                <w:sz w:val="16"/>
                <w:szCs w:val="16"/>
              </w:rPr>
              <w:t>经营活动产生的现金流量</w:t>
            </w:r>
          </w:p>
        </w:tc>
        <w:tc>
          <w:tcPr>
            <w:tcW w:w="798" w:type="dxa"/>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798" w:type="dxa"/>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吸收存款净增加额</w:t>
            </w:r>
          </w:p>
        </w:tc>
        <w:tc>
          <w:tcPr>
            <w:tcW w:w="798" w:type="dxa"/>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28,286,201,340.54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Chars="-72" w:left="23" w:hangingChars="109" w:hanging="174"/>
              <w:rPr>
                <w:rFonts w:ascii="Arial" w:eastAsia="黑体" w:hAnsi="Arial" w:cs="Arial"/>
                <w:sz w:val="16"/>
                <w:szCs w:val="16"/>
              </w:rPr>
            </w:pPr>
            <w:r>
              <w:rPr>
                <w:rFonts w:ascii="Arial" w:eastAsia="黑体" w:hAnsi="Arial" w:cs="Arial"/>
                <w:sz w:val="16"/>
                <w:szCs w:val="16"/>
              </w:rPr>
              <w:t>向中央银行借款净增加额</w:t>
            </w:r>
          </w:p>
        </w:tc>
        <w:tc>
          <w:tcPr>
            <w:tcW w:w="798" w:type="dxa"/>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93,160,000.00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存放中央银行款项净减少额</w:t>
            </w:r>
          </w:p>
        </w:tc>
        <w:tc>
          <w:tcPr>
            <w:tcW w:w="798" w:type="dxa"/>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2,214,472,749.53</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拆入资金净增加额</w:t>
            </w:r>
          </w:p>
        </w:tc>
        <w:tc>
          <w:tcPr>
            <w:tcW w:w="798" w:type="dxa"/>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1,286,054,072.85</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2,447,882,136.59</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为交易目的而持有的金融资产净减少额</w:t>
            </w:r>
          </w:p>
        </w:tc>
        <w:tc>
          <w:tcPr>
            <w:tcW w:w="798" w:type="dxa"/>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3,467,304,797.83</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存放同业及其他金融机构款项净减少额</w:t>
            </w:r>
          </w:p>
        </w:tc>
        <w:tc>
          <w:tcPr>
            <w:tcW w:w="798" w:type="dxa"/>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1,399,999,999.99</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5,600,664,905.26</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同业及其他金融机构存放款项净增加额</w:t>
            </w:r>
          </w:p>
        </w:tc>
        <w:tc>
          <w:tcPr>
            <w:tcW w:w="798" w:type="dxa"/>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2,080,833,770.85</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收取的利息、手续费及佣金的现金</w:t>
            </w:r>
          </w:p>
        </w:tc>
        <w:tc>
          <w:tcPr>
            <w:tcW w:w="798" w:type="dxa"/>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4,977,080,780.99</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5,003,078,587.41</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收到其他与经营活动有关的现金</w:t>
            </w:r>
          </w:p>
        </w:tc>
        <w:tc>
          <w:tcPr>
            <w:tcW w:w="798" w:type="dxa"/>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1,519,113,576.09</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41,214,321.57</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798" w:type="dxa"/>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1" w:hangingChars="100" w:hanging="161"/>
              <w:rPr>
                <w:rFonts w:ascii="Arial" w:eastAsia="黑体" w:hAnsi="Arial" w:cs="Arial"/>
                <w:b/>
                <w:bCs/>
                <w:sz w:val="16"/>
                <w:szCs w:val="16"/>
              </w:rPr>
            </w:pPr>
            <w:r>
              <w:rPr>
                <w:rFonts w:ascii="Arial" w:eastAsia="黑体" w:hAnsi="Arial" w:cs="Arial"/>
                <w:b/>
                <w:bCs/>
                <w:sz w:val="16"/>
                <w:szCs w:val="16"/>
              </w:rPr>
              <w:t>经营活动现金流入小计</w:t>
            </w:r>
          </w:p>
        </w:tc>
        <w:tc>
          <w:tcPr>
            <w:tcW w:w="798" w:type="dxa"/>
            <w:vAlign w:val="bottom"/>
          </w:tcPr>
          <w:p w:rsidR="00AD5BB5" w:rsidRDefault="00AD5BB5">
            <w:pPr>
              <w:autoSpaceDE w:val="0"/>
              <w:autoSpaceDN w:val="0"/>
              <w:jc w:val="right"/>
              <w:rPr>
                <w:rFonts w:ascii="Arial" w:eastAsia="黑体" w:hAnsi="Arial" w:cs="Arial"/>
                <w:b/>
                <w:bCs/>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szCs w:val="16"/>
              </w:rPr>
              <w:t>11,396,721,179.45</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szCs w:val="16"/>
              </w:rPr>
              <w:t>47,020,339,860.05</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798" w:type="dxa"/>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向中央银行借款净减少额</w:t>
            </w:r>
          </w:p>
        </w:tc>
        <w:tc>
          <w:tcPr>
            <w:tcW w:w="798" w:type="dxa"/>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(535,870,000.00</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发放贷款及垫款净增加额</w:t>
            </w:r>
          </w:p>
        </w:tc>
        <w:tc>
          <w:tcPr>
            <w:tcW w:w="798" w:type="dxa"/>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(19,270,776.67</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(7,865,331,391.33</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存放中央银行款项净增加额</w:t>
            </w:r>
          </w:p>
        </w:tc>
        <w:tc>
          <w:tcPr>
            <w:tcW w:w="798" w:type="dxa"/>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(2,429,300,889.94</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吸收存款净减少额</w:t>
            </w:r>
          </w:p>
        </w:tc>
        <w:tc>
          <w:tcPr>
            <w:tcW w:w="798" w:type="dxa"/>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(19,790,553,434.26</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同业及其他金融机构存放款项净减少额</w:t>
            </w:r>
          </w:p>
        </w:tc>
        <w:tc>
          <w:tcPr>
            <w:tcW w:w="798" w:type="dxa"/>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(3,352,170,422.72</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拆出资金净增加额</w:t>
            </w:r>
          </w:p>
        </w:tc>
        <w:tc>
          <w:tcPr>
            <w:tcW w:w="798" w:type="dxa"/>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(4,157,000,000.00</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(2,797,000,000.00</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为交易目的而持有的金融资产净增加额</w:t>
            </w:r>
          </w:p>
        </w:tc>
        <w:tc>
          <w:tcPr>
            <w:tcW w:w="798" w:type="dxa"/>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(69,438,229.06</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卖出回购</w:t>
            </w:r>
            <w:proofErr w:type="gramStart"/>
            <w:r>
              <w:rPr>
                <w:rFonts w:ascii="Arial" w:eastAsia="黑体" w:hAnsi="Arial" w:cs="Arial"/>
                <w:sz w:val="16"/>
                <w:szCs w:val="16"/>
              </w:rPr>
              <w:t>金融资产款净减少</w:t>
            </w:r>
            <w:proofErr w:type="gramEnd"/>
            <w:r>
              <w:rPr>
                <w:rFonts w:ascii="Arial" w:eastAsia="黑体" w:hAnsi="Arial" w:cs="Arial"/>
                <w:sz w:val="16"/>
                <w:szCs w:val="16"/>
              </w:rPr>
              <w:t>额</w:t>
            </w:r>
          </w:p>
        </w:tc>
        <w:tc>
          <w:tcPr>
            <w:tcW w:w="798" w:type="dxa"/>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(6,560,299,855.79</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(10,871,454,942.32</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支付利息、手续费及佣金的现金</w:t>
            </w:r>
          </w:p>
        </w:tc>
        <w:tc>
          <w:tcPr>
            <w:tcW w:w="798" w:type="dxa"/>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(2,490,908,542.87</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(2,467,967,150.71</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支付给职工以及为职工支付的现金</w:t>
            </w:r>
          </w:p>
        </w:tc>
        <w:tc>
          <w:tcPr>
            <w:tcW w:w="798" w:type="dxa"/>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(764,192,914.78</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(663,055,080.86</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支付的各项税费</w:t>
            </w:r>
          </w:p>
        </w:tc>
        <w:tc>
          <w:tcPr>
            <w:tcW w:w="798" w:type="dxa"/>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(333,558,196.12</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(437,453,741.04</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支付其他与经营活动有关的现金</w:t>
            </w:r>
          </w:p>
        </w:tc>
        <w:tc>
          <w:tcPr>
            <w:tcW w:w="798" w:type="dxa"/>
            <w:vAlign w:val="bottom"/>
          </w:tcPr>
          <w:p w:rsidR="00AD5BB5" w:rsidRDefault="00AD5BB5">
            <w:pPr>
              <w:autoSpaceDE w:val="0"/>
              <w:autoSpaceDN w:val="0"/>
              <w:jc w:val="center"/>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(940,611,119.13</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(1,537,873,479.96</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1" w:hangingChars="150" w:hanging="241"/>
              <w:rPr>
                <w:rFonts w:ascii="Arial" w:eastAsia="黑体" w:hAnsi="Arial" w:cs="Arial"/>
                <w:b/>
                <w:bCs/>
                <w:sz w:val="16"/>
                <w:szCs w:val="16"/>
              </w:rPr>
            </w:pPr>
          </w:p>
        </w:tc>
        <w:tc>
          <w:tcPr>
            <w:tcW w:w="798" w:type="dxa"/>
            <w:vAlign w:val="bottom"/>
          </w:tcPr>
          <w:p w:rsidR="00AD5BB5" w:rsidRDefault="00AD5BB5">
            <w:pPr>
              <w:autoSpaceDE w:val="0"/>
              <w:autoSpaceDN w:val="0"/>
              <w:jc w:val="right"/>
              <w:rPr>
                <w:rFonts w:ascii="Arial" w:eastAsia="黑体" w:hAnsi="Arial" w:cs="Arial"/>
                <w:b/>
                <w:bCs/>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3638" w:type="dxa"/>
            <w:tcBorders>
              <w:top w:val="nil"/>
              <w:left w:val="nil"/>
              <w:bottom w:val="nil"/>
              <w:right w:val="nil"/>
            </w:tcBorders>
            <w:vAlign w:val="bottom"/>
          </w:tcPr>
          <w:p w:rsidR="00AD5BB5" w:rsidRDefault="00F87FF6">
            <w:pPr>
              <w:autoSpaceDE w:val="0"/>
              <w:autoSpaceDN w:val="0"/>
              <w:ind w:left="161" w:hangingChars="100" w:hanging="161"/>
              <w:rPr>
                <w:rFonts w:ascii="Arial" w:eastAsia="黑体" w:hAnsi="Arial" w:cs="Arial"/>
                <w:b/>
                <w:bCs/>
                <w:sz w:val="16"/>
                <w:szCs w:val="16"/>
              </w:rPr>
            </w:pPr>
            <w:r>
              <w:rPr>
                <w:rFonts w:ascii="Arial" w:eastAsia="黑体" w:hAnsi="Arial" w:cs="Arial"/>
                <w:b/>
                <w:bCs/>
                <w:sz w:val="16"/>
                <w:szCs w:val="16"/>
              </w:rPr>
              <w:t>经营活动现金流出小计</w:t>
            </w:r>
          </w:p>
        </w:tc>
        <w:tc>
          <w:tcPr>
            <w:tcW w:w="798" w:type="dxa"/>
            <w:vAlign w:val="bottom"/>
          </w:tcPr>
          <w:p w:rsidR="00AD5BB5" w:rsidRDefault="00AD5BB5">
            <w:pPr>
              <w:autoSpaceDE w:val="0"/>
              <w:autoSpaceDN w:val="0"/>
              <w:jc w:val="right"/>
              <w:rPr>
                <w:rFonts w:ascii="Arial" w:eastAsia="黑体" w:hAnsi="Arial" w:cs="Arial"/>
                <w:b/>
                <w:bCs/>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rPr>
              <w:t>(39,013,873,491.40</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b/>
                <w:bCs/>
                <w:sz w:val="16"/>
                <w:szCs w:val="16"/>
              </w:rPr>
            </w:pPr>
            <w:r>
              <w:rPr>
                <w:rFonts w:ascii="Arial" w:eastAsia="黑体" w:hAnsi="Arial" w:cs="Arial"/>
                <w:b/>
                <w:bCs/>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szCs w:val="16"/>
              </w:rPr>
              <w:t>(29,069,436,676.16</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b/>
                <w:bCs/>
                <w:sz w:val="16"/>
                <w:szCs w:val="16"/>
              </w:rPr>
            </w:pPr>
            <w:r>
              <w:rPr>
                <w:rFonts w:ascii="Arial" w:eastAsia="黑体" w:hAnsi="Arial" w:cs="Arial"/>
                <w:b/>
                <w:bCs/>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798" w:type="dxa"/>
            <w:vAlign w:val="bottom"/>
          </w:tcPr>
          <w:p w:rsidR="00AD5BB5" w:rsidRDefault="00AD5BB5">
            <w:pPr>
              <w:autoSpaceDE w:val="0"/>
              <w:autoSpaceDN w:val="0"/>
              <w:jc w:val="center"/>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1" w:hangingChars="100" w:hanging="161"/>
              <w:rPr>
                <w:rFonts w:ascii="Arial" w:eastAsia="黑体" w:hAnsi="Arial" w:cs="Arial"/>
                <w:b/>
                <w:bCs/>
                <w:sz w:val="16"/>
                <w:szCs w:val="16"/>
              </w:rPr>
            </w:pPr>
            <w:r>
              <w:rPr>
                <w:rFonts w:ascii="Arial" w:eastAsia="黑体" w:hAnsi="Arial" w:cs="Arial"/>
                <w:b/>
                <w:bCs/>
                <w:sz w:val="16"/>
                <w:szCs w:val="16"/>
              </w:rPr>
              <w:t>经营活动（使用）</w:t>
            </w:r>
            <w:r>
              <w:rPr>
                <w:rFonts w:ascii="Arial" w:eastAsia="黑体" w:hAnsi="Arial" w:cs="Arial"/>
                <w:b/>
                <w:bCs/>
                <w:sz w:val="16"/>
                <w:szCs w:val="16"/>
              </w:rPr>
              <w:t>/</w:t>
            </w:r>
            <w:r>
              <w:rPr>
                <w:rFonts w:ascii="Arial" w:eastAsia="黑体" w:hAnsi="Arial" w:cs="Arial"/>
                <w:b/>
                <w:bCs/>
                <w:sz w:val="16"/>
                <w:szCs w:val="16"/>
              </w:rPr>
              <w:t>产生的现金流量净额</w:t>
            </w:r>
          </w:p>
        </w:tc>
        <w:tc>
          <w:tcPr>
            <w:tcW w:w="798" w:type="dxa"/>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hint="eastAsia"/>
                <w:sz w:val="16"/>
                <w:szCs w:val="16"/>
              </w:rPr>
              <w:t>8</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rPr>
              <w:t>(27,617,152,311.95</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b/>
                <w:bCs/>
                <w:sz w:val="16"/>
                <w:szCs w:val="16"/>
              </w:rPr>
            </w:pPr>
            <w:r>
              <w:rPr>
                <w:rFonts w:ascii="Arial" w:eastAsia="黑体" w:hAnsi="Arial" w:cs="Arial"/>
                <w:b/>
                <w:bCs/>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szCs w:val="16"/>
              </w:rPr>
              <w:t>17,950,903,183.89</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798" w:type="dxa"/>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F87FF6">
            <w:pPr>
              <w:autoSpaceDE w:val="0"/>
              <w:autoSpaceDN w:val="0"/>
              <w:rPr>
                <w:rFonts w:ascii="Arial" w:eastAsia="黑体" w:hAnsi="Arial" w:cs="Arial"/>
                <w:b/>
                <w:bCs/>
                <w:sz w:val="16"/>
                <w:szCs w:val="16"/>
              </w:rPr>
            </w:pPr>
            <w:r>
              <w:rPr>
                <w:rFonts w:ascii="Arial" w:eastAsia="黑体" w:hAnsi="Arial" w:cs="Arial"/>
                <w:b/>
                <w:bCs/>
                <w:sz w:val="16"/>
                <w:szCs w:val="16"/>
              </w:rPr>
              <w:t>二、</w:t>
            </w:r>
          </w:p>
        </w:tc>
        <w:tc>
          <w:tcPr>
            <w:tcW w:w="3638" w:type="dxa"/>
            <w:tcBorders>
              <w:top w:val="nil"/>
              <w:left w:val="nil"/>
              <w:bottom w:val="nil"/>
              <w:right w:val="nil"/>
            </w:tcBorders>
            <w:vAlign w:val="bottom"/>
          </w:tcPr>
          <w:p w:rsidR="00AD5BB5" w:rsidRDefault="00F87FF6">
            <w:pPr>
              <w:autoSpaceDE w:val="0"/>
              <w:autoSpaceDN w:val="0"/>
              <w:ind w:left="161" w:hangingChars="100" w:hanging="161"/>
              <w:rPr>
                <w:rFonts w:ascii="Arial" w:eastAsia="黑体" w:hAnsi="Arial" w:cs="Arial"/>
                <w:b/>
                <w:bCs/>
                <w:sz w:val="16"/>
                <w:szCs w:val="16"/>
              </w:rPr>
            </w:pPr>
            <w:r>
              <w:rPr>
                <w:rFonts w:ascii="Arial" w:eastAsia="黑体" w:hAnsi="Arial" w:cs="Arial"/>
                <w:b/>
                <w:bCs/>
                <w:sz w:val="16"/>
                <w:szCs w:val="16"/>
              </w:rPr>
              <w:t>投资活动产生的现金流量</w:t>
            </w:r>
          </w:p>
        </w:tc>
        <w:tc>
          <w:tcPr>
            <w:tcW w:w="798" w:type="dxa"/>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798" w:type="dxa"/>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收回投资收到的现金</w:t>
            </w:r>
          </w:p>
        </w:tc>
        <w:tc>
          <w:tcPr>
            <w:tcW w:w="798" w:type="dxa"/>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30,919,774,015.40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232,763,410,658.76</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取得投资收益收到的现金</w:t>
            </w:r>
          </w:p>
        </w:tc>
        <w:tc>
          <w:tcPr>
            <w:tcW w:w="798" w:type="dxa"/>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439,647,902.54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605,061,658.36</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处置固定资产、无形资产和其他长期资产</w:t>
            </w:r>
            <w:r>
              <w:rPr>
                <w:rFonts w:ascii="Arial" w:eastAsia="黑体" w:hAnsi="Arial" w:cs="Arial" w:hint="eastAsia"/>
                <w:sz w:val="16"/>
                <w:szCs w:val="16"/>
              </w:rPr>
              <w:t>收回</w:t>
            </w:r>
            <w:r>
              <w:rPr>
                <w:rFonts w:ascii="Arial" w:eastAsia="黑体" w:hAnsi="Arial" w:cs="Arial"/>
                <w:sz w:val="16"/>
                <w:szCs w:val="16"/>
              </w:rPr>
              <w:t>的现金净额</w:t>
            </w:r>
          </w:p>
        </w:tc>
        <w:tc>
          <w:tcPr>
            <w:tcW w:w="798" w:type="dxa"/>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14,082,098.06</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7,345,268.77</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798" w:type="dxa"/>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1" w:hangingChars="100" w:hanging="161"/>
              <w:rPr>
                <w:rFonts w:ascii="Arial" w:eastAsia="黑体" w:hAnsi="Arial" w:cs="Arial"/>
                <w:b/>
                <w:bCs/>
                <w:sz w:val="16"/>
                <w:szCs w:val="16"/>
              </w:rPr>
            </w:pPr>
            <w:r>
              <w:rPr>
                <w:rFonts w:ascii="Arial" w:eastAsia="黑体" w:hAnsi="Arial" w:cs="Arial"/>
                <w:b/>
                <w:bCs/>
                <w:sz w:val="16"/>
                <w:szCs w:val="16"/>
              </w:rPr>
              <w:t>投资活动现金流入小计</w:t>
            </w:r>
          </w:p>
        </w:tc>
        <w:tc>
          <w:tcPr>
            <w:tcW w:w="798" w:type="dxa"/>
            <w:vAlign w:val="bottom"/>
          </w:tcPr>
          <w:p w:rsidR="00AD5BB5" w:rsidRDefault="00AD5BB5">
            <w:pPr>
              <w:autoSpaceDE w:val="0"/>
              <w:autoSpaceDN w:val="0"/>
              <w:jc w:val="right"/>
              <w:rPr>
                <w:rFonts w:ascii="Arial" w:eastAsia="黑体" w:hAnsi="Arial" w:cs="Arial"/>
                <w:b/>
                <w:bCs/>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rPr>
              <w:t>31,373,504,016.00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szCs w:val="16"/>
              </w:rPr>
              <w:t>233,375,817,585.89</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798" w:type="dxa"/>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投资支付的现金</w:t>
            </w:r>
          </w:p>
        </w:tc>
        <w:tc>
          <w:tcPr>
            <w:tcW w:w="798" w:type="dxa"/>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(32,596,426,719.91</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(242,023,266,039.67</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购建固定资产、无形资产和其他长期资产</w:t>
            </w:r>
          </w:p>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支付的现金</w:t>
            </w:r>
          </w:p>
        </w:tc>
        <w:tc>
          <w:tcPr>
            <w:tcW w:w="798" w:type="dxa"/>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(160,379,656.37</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(193,502,707.38</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798" w:type="dxa"/>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1" w:hangingChars="100" w:hanging="161"/>
              <w:rPr>
                <w:rFonts w:ascii="Arial" w:eastAsia="黑体" w:hAnsi="Arial" w:cs="Arial"/>
                <w:b/>
                <w:bCs/>
                <w:sz w:val="16"/>
                <w:szCs w:val="16"/>
              </w:rPr>
            </w:pPr>
            <w:r>
              <w:rPr>
                <w:rFonts w:ascii="Arial" w:eastAsia="黑体" w:hAnsi="Arial" w:cs="Arial"/>
                <w:b/>
                <w:bCs/>
                <w:sz w:val="16"/>
                <w:szCs w:val="16"/>
              </w:rPr>
              <w:t>投资活动现金流出小计</w:t>
            </w:r>
          </w:p>
        </w:tc>
        <w:tc>
          <w:tcPr>
            <w:tcW w:w="798" w:type="dxa"/>
            <w:vAlign w:val="bottom"/>
          </w:tcPr>
          <w:p w:rsidR="00AD5BB5" w:rsidRDefault="00AD5BB5">
            <w:pPr>
              <w:autoSpaceDE w:val="0"/>
              <w:autoSpaceDN w:val="0"/>
              <w:jc w:val="right"/>
              <w:rPr>
                <w:rFonts w:ascii="Arial" w:eastAsia="黑体" w:hAnsi="Arial" w:cs="Arial"/>
                <w:b/>
                <w:bCs/>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szCs w:val="16"/>
              </w:rPr>
              <w:t>(32,756,806,376.28</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b/>
                <w:bCs/>
                <w:sz w:val="16"/>
                <w:szCs w:val="16"/>
              </w:rPr>
            </w:pPr>
            <w:r>
              <w:rPr>
                <w:rFonts w:ascii="Arial" w:eastAsia="黑体" w:hAnsi="Arial" w:cs="Arial"/>
                <w:b/>
                <w:bCs/>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szCs w:val="16"/>
              </w:rPr>
              <w:t>(242,216,768,747.05</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b/>
                <w:bCs/>
                <w:sz w:val="16"/>
                <w:szCs w:val="16"/>
              </w:rPr>
            </w:pPr>
            <w:r>
              <w:rPr>
                <w:rFonts w:ascii="Arial" w:eastAsia="黑体" w:hAnsi="Arial" w:cs="Arial"/>
                <w:b/>
                <w:bCs/>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1" w:hangingChars="150" w:hanging="241"/>
              <w:rPr>
                <w:rFonts w:ascii="Arial" w:eastAsia="黑体" w:hAnsi="Arial" w:cs="Arial"/>
                <w:b/>
                <w:bCs/>
                <w:sz w:val="16"/>
                <w:szCs w:val="16"/>
              </w:rPr>
            </w:pPr>
          </w:p>
        </w:tc>
        <w:tc>
          <w:tcPr>
            <w:tcW w:w="798" w:type="dxa"/>
            <w:vAlign w:val="bottom"/>
          </w:tcPr>
          <w:p w:rsidR="00AD5BB5" w:rsidRDefault="00AD5BB5">
            <w:pPr>
              <w:autoSpaceDE w:val="0"/>
              <w:autoSpaceDN w:val="0"/>
              <w:jc w:val="right"/>
              <w:rPr>
                <w:rFonts w:ascii="Arial" w:eastAsia="黑体" w:hAnsi="Arial" w:cs="Arial"/>
                <w:b/>
                <w:bCs/>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1" w:hangingChars="100" w:hanging="161"/>
              <w:rPr>
                <w:rFonts w:ascii="Arial" w:eastAsia="黑体" w:hAnsi="Arial" w:cs="Arial"/>
                <w:b/>
                <w:bCs/>
                <w:sz w:val="16"/>
                <w:szCs w:val="16"/>
              </w:rPr>
            </w:pPr>
            <w:r>
              <w:rPr>
                <w:rFonts w:ascii="Arial" w:eastAsia="黑体" w:hAnsi="Arial" w:cs="Arial"/>
                <w:b/>
                <w:bCs/>
                <w:sz w:val="16"/>
                <w:szCs w:val="16"/>
              </w:rPr>
              <w:t>投资活动使用的现金流量净额</w:t>
            </w:r>
          </w:p>
        </w:tc>
        <w:tc>
          <w:tcPr>
            <w:tcW w:w="798" w:type="dxa"/>
            <w:vAlign w:val="bottom"/>
          </w:tcPr>
          <w:p w:rsidR="00AD5BB5" w:rsidRDefault="00AD5BB5">
            <w:pPr>
              <w:autoSpaceDE w:val="0"/>
              <w:autoSpaceDN w:val="0"/>
              <w:jc w:val="right"/>
              <w:rPr>
                <w:rFonts w:ascii="Arial" w:eastAsia="黑体" w:hAnsi="Arial" w:cs="Arial"/>
                <w:b/>
                <w:bCs/>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rPr>
              <w:t>(1,383,302,360.28</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b/>
                <w:bCs/>
                <w:sz w:val="16"/>
                <w:szCs w:val="16"/>
              </w:rPr>
            </w:pPr>
            <w:r>
              <w:rPr>
                <w:rFonts w:ascii="Arial" w:eastAsia="黑体" w:hAnsi="Arial" w:cs="Arial"/>
                <w:b/>
                <w:bCs/>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szCs w:val="16"/>
              </w:rPr>
              <w:t>(8,840,951,161.16</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b/>
                <w:bCs/>
                <w:sz w:val="16"/>
                <w:szCs w:val="16"/>
              </w:rPr>
            </w:pPr>
            <w:r>
              <w:rPr>
                <w:rFonts w:ascii="Arial" w:eastAsia="黑体" w:hAnsi="Arial" w:cs="Arial"/>
                <w:b/>
                <w:bCs/>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1" w:hangingChars="150" w:hanging="241"/>
              <w:rPr>
                <w:rFonts w:ascii="Arial" w:eastAsia="黑体" w:hAnsi="Arial" w:cs="Arial"/>
                <w:b/>
                <w:bCs/>
                <w:sz w:val="16"/>
                <w:szCs w:val="16"/>
              </w:rPr>
            </w:pPr>
          </w:p>
        </w:tc>
        <w:tc>
          <w:tcPr>
            <w:tcW w:w="798" w:type="dxa"/>
            <w:vAlign w:val="bottom"/>
          </w:tcPr>
          <w:p w:rsidR="00AD5BB5" w:rsidRDefault="00AD5BB5">
            <w:pPr>
              <w:autoSpaceDE w:val="0"/>
              <w:autoSpaceDN w:val="0"/>
              <w:jc w:val="right"/>
              <w:rPr>
                <w:rFonts w:ascii="Arial" w:eastAsia="黑体" w:hAnsi="Arial" w:cs="Arial"/>
                <w:b/>
                <w:bCs/>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bl>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AD5BB5">
      <w:pPr>
        <w:rPr>
          <w:rFonts w:ascii="Arial" w:hAnsi="Arial" w:cs="Arial"/>
        </w:rPr>
      </w:pPr>
    </w:p>
    <w:p w:rsidR="00AD5BB5" w:rsidRDefault="00F87FF6">
      <w:pPr>
        <w:rPr>
          <w:rFonts w:ascii="Arial" w:hAnsi="Arial" w:cs="Arial"/>
        </w:rPr>
      </w:pPr>
      <w:r>
        <w:rPr>
          <w:rFonts w:ascii="Arial" w:eastAsia="黑体" w:hAnsi="Arial" w:cs="Arial"/>
          <w:i/>
          <w:sz w:val="20"/>
        </w:rPr>
        <w:t>后附财务报表附注为本财务报表的组成部分</w:t>
      </w:r>
      <w:r>
        <w:rPr>
          <w:rFonts w:ascii="Arial" w:hAnsi="Arial" w:cs="Arial"/>
        </w:rPr>
        <w:br w:type="page"/>
      </w:r>
    </w:p>
    <w:p w:rsidR="00AD5BB5" w:rsidRDefault="00AD5BB5">
      <w:pPr>
        <w:rPr>
          <w:rFonts w:ascii="Arial" w:eastAsia="黑体" w:hAnsi="Arial" w:cs="Arial"/>
          <w:sz w:val="22"/>
        </w:rPr>
      </w:pPr>
    </w:p>
    <w:p w:rsidR="00AD5BB5" w:rsidRDefault="00AD5BB5">
      <w:pPr>
        <w:rPr>
          <w:rFonts w:ascii="Arial" w:eastAsia="黑体" w:hAnsi="Arial" w:cs="Arial"/>
          <w:sz w:val="22"/>
        </w:rPr>
      </w:pPr>
    </w:p>
    <w:tbl>
      <w:tblPr>
        <w:tblW w:w="0" w:type="auto"/>
        <w:tblLayout w:type="fixed"/>
        <w:tblCellMar>
          <w:left w:w="0" w:type="dxa"/>
          <w:right w:w="0" w:type="dxa"/>
        </w:tblCellMar>
        <w:tblLook w:val="04A0" w:firstRow="1" w:lastRow="0" w:firstColumn="1" w:lastColumn="0" w:noHBand="0" w:noVBand="1"/>
        <w:tblCaption w:val="9012643f-14c8-4de2-89c6-9f180050456b"/>
        <w:tblDescription w:val="{&quot;UUID&quot;:&quot;afsaddin_tabledata_2_56437_9012643f-14c8-4de2-89c6-9f180050456b&quot;,&quot;TitleRowCount&quot;:2,&quot;SplitedTable&quot;:true,&quot;FirstTableId&quot;:&quot;26ee279f-ee91-4fe3-98bb-78b3280885c0&quot;}"/>
      </w:tblPr>
      <w:tblGrid>
        <w:gridCol w:w="324"/>
        <w:gridCol w:w="3638"/>
        <w:gridCol w:w="798"/>
        <w:gridCol w:w="95"/>
        <w:gridCol w:w="1622"/>
        <w:gridCol w:w="110"/>
        <w:gridCol w:w="110"/>
        <w:gridCol w:w="1628"/>
        <w:gridCol w:w="110"/>
      </w:tblGrid>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798" w:type="dxa"/>
            <w:tcBorders>
              <w:top w:val="nil"/>
              <w:left w:val="nil"/>
              <w:bottom w:val="nil"/>
              <w:right w:val="nil"/>
            </w:tcBorders>
            <w:vAlign w:val="bottom"/>
          </w:tcPr>
          <w:p w:rsidR="00AD5BB5" w:rsidRDefault="00F87FF6">
            <w:pPr>
              <w:autoSpaceDE w:val="0"/>
              <w:autoSpaceDN w:val="0"/>
              <w:jc w:val="center"/>
              <w:rPr>
                <w:rFonts w:ascii="Arial" w:eastAsia="黑体" w:hAnsi="Arial" w:cs="Arial"/>
                <w:b/>
                <w:bCs/>
                <w:sz w:val="16"/>
                <w:szCs w:val="16"/>
                <w:u w:val="single"/>
              </w:rPr>
            </w:pPr>
            <w:r>
              <w:rPr>
                <w:rFonts w:ascii="Arial" w:eastAsia="黑体" w:hAnsi="Arial" w:cs="Arial"/>
                <w:b/>
                <w:bCs/>
                <w:sz w:val="16"/>
                <w:szCs w:val="16"/>
                <w:u w:val="single"/>
              </w:rPr>
              <w:t>附注十四</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szCs w:val="16"/>
                <w:u w:val="single"/>
              </w:rPr>
              <w:fldChar w:fldCharType="begin"/>
            </w:r>
            <w:r>
              <w:rPr>
                <w:rFonts w:ascii="Arial" w:eastAsia="黑体" w:hAnsi="Arial" w:cs="Arial"/>
                <w:b/>
                <w:bCs/>
                <w:sz w:val="16"/>
                <w:szCs w:val="16"/>
                <w:u w:val="single"/>
              </w:rPr>
              <w:instrText xml:space="preserve"> DOCPROPERTY </w:instrText>
            </w:r>
            <w:r>
              <w:rPr>
                <w:rFonts w:ascii="Arial" w:eastAsia="黑体" w:hAnsi="Arial" w:cs="Arial"/>
                <w:b/>
                <w:bCs/>
                <w:sz w:val="16"/>
                <w:szCs w:val="16"/>
                <w:u w:val="single"/>
              </w:rPr>
              <w:instrText>当期会计期间</w:instrText>
            </w:r>
            <w:r>
              <w:rPr>
                <w:rFonts w:ascii="Arial" w:eastAsia="黑体" w:hAnsi="Arial" w:cs="Arial"/>
                <w:b/>
                <w:bCs/>
                <w:sz w:val="16"/>
                <w:szCs w:val="16"/>
                <w:u w:val="single"/>
              </w:rPr>
              <w:instrText xml:space="preserve"> </w:instrText>
            </w:r>
            <w:r>
              <w:rPr>
                <w:rFonts w:ascii="Arial" w:eastAsia="黑体" w:hAnsi="Arial" w:cs="Arial"/>
                <w:b/>
                <w:bCs/>
                <w:sz w:val="16"/>
                <w:szCs w:val="16"/>
                <w:u w:val="single"/>
              </w:rPr>
              <w:fldChar w:fldCharType="separate"/>
            </w:r>
            <w:r>
              <w:rPr>
                <w:rFonts w:ascii="Arial" w:eastAsia="黑体" w:hAnsi="Arial" w:cs="Arial"/>
                <w:b/>
                <w:bCs/>
                <w:sz w:val="16"/>
                <w:szCs w:val="16"/>
                <w:u w:val="single"/>
              </w:rPr>
              <w:t>2023</w:t>
            </w:r>
            <w:r>
              <w:rPr>
                <w:rFonts w:ascii="Arial" w:eastAsia="黑体" w:hAnsi="Arial" w:cs="Arial"/>
                <w:b/>
                <w:bCs/>
                <w:sz w:val="16"/>
                <w:szCs w:val="16"/>
                <w:u w:val="single"/>
              </w:rPr>
              <w:fldChar w:fldCharType="end"/>
            </w:r>
            <w:r>
              <w:rPr>
                <w:rFonts w:ascii="Arial" w:eastAsia="黑体" w:hAnsi="Arial" w:cs="Arial"/>
                <w:b/>
                <w:bCs/>
                <w:sz w:val="16"/>
                <w:szCs w:val="16"/>
                <w:u w:val="single"/>
              </w:rPr>
              <w:t>年</w:t>
            </w:r>
            <w:r>
              <w:rPr>
                <w:rFonts w:ascii="Arial" w:eastAsia="黑体" w:hAnsi="Arial" w:cs="Arial"/>
                <w:b/>
                <w:bCs/>
                <w:sz w:val="16"/>
                <w:szCs w:val="16"/>
                <w:u w:val="single"/>
              </w:rPr>
              <w:t>1-6</w:t>
            </w:r>
            <w:r>
              <w:rPr>
                <w:rFonts w:ascii="Arial" w:eastAsia="黑体" w:hAnsi="Arial" w:cs="Arial"/>
                <w:b/>
                <w:bCs/>
                <w:sz w:val="16"/>
                <w:szCs w:val="16"/>
                <w:u w:val="single"/>
              </w:rPr>
              <w:t>月</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szCs w:val="16"/>
                <w:u w:val="single"/>
              </w:rPr>
              <w:fldChar w:fldCharType="begin"/>
            </w:r>
            <w:r>
              <w:rPr>
                <w:rFonts w:ascii="Arial" w:eastAsia="黑体" w:hAnsi="Arial" w:cs="Arial"/>
                <w:b/>
                <w:bCs/>
                <w:sz w:val="16"/>
                <w:szCs w:val="16"/>
                <w:u w:val="single"/>
              </w:rPr>
              <w:instrText xml:space="preserve"> DOCPROPERTY </w:instrText>
            </w:r>
            <w:r>
              <w:rPr>
                <w:rFonts w:ascii="Arial" w:eastAsia="黑体" w:hAnsi="Arial" w:cs="Arial"/>
                <w:b/>
                <w:bCs/>
                <w:sz w:val="16"/>
                <w:szCs w:val="16"/>
                <w:u w:val="single"/>
              </w:rPr>
              <w:instrText>自定义</w:instrText>
            </w:r>
            <w:r>
              <w:rPr>
                <w:rFonts w:ascii="Arial" w:eastAsia="黑体" w:hAnsi="Arial" w:cs="Arial"/>
                <w:b/>
                <w:bCs/>
                <w:sz w:val="16"/>
                <w:szCs w:val="16"/>
                <w:u w:val="single"/>
              </w:rPr>
              <w:instrText xml:space="preserve">2 </w:instrText>
            </w:r>
            <w:r>
              <w:rPr>
                <w:rFonts w:ascii="Arial" w:eastAsia="黑体" w:hAnsi="Arial" w:cs="Arial"/>
                <w:b/>
                <w:bCs/>
                <w:sz w:val="16"/>
                <w:szCs w:val="16"/>
                <w:u w:val="single"/>
              </w:rPr>
              <w:fldChar w:fldCharType="separate"/>
            </w:r>
            <w:r>
              <w:rPr>
                <w:rFonts w:ascii="Arial" w:eastAsia="黑体" w:hAnsi="Arial" w:cs="Arial"/>
                <w:b/>
                <w:bCs/>
                <w:sz w:val="16"/>
                <w:szCs w:val="16"/>
                <w:u w:val="single"/>
              </w:rPr>
              <w:t>2022</w:t>
            </w:r>
            <w:r>
              <w:rPr>
                <w:rFonts w:ascii="Arial" w:eastAsia="黑体" w:hAnsi="Arial" w:cs="Arial"/>
                <w:b/>
                <w:bCs/>
                <w:sz w:val="16"/>
                <w:szCs w:val="16"/>
                <w:u w:val="single"/>
              </w:rPr>
              <w:t>年</w:t>
            </w:r>
            <w:r>
              <w:rPr>
                <w:rFonts w:ascii="Arial" w:eastAsia="黑体" w:hAnsi="Arial" w:cs="Arial"/>
                <w:b/>
                <w:bCs/>
                <w:sz w:val="16"/>
                <w:szCs w:val="16"/>
                <w:u w:val="single"/>
              </w:rPr>
              <w:t>1-6</w:t>
            </w:r>
            <w:r>
              <w:rPr>
                <w:rFonts w:ascii="Arial" w:eastAsia="黑体" w:hAnsi="Arial" w:cs="Arial"/>
                <w:b/>
                <w:bCs/>
                <w:sz w:val="16"/>
                <w:szCs w:val="16"/>
                <w:u w:val="single"/>
              </w:rPr>
              <w:t>月</w:t>
            </w:r>
            <w:r>
              <w:rPr>
                <w:rFonts w:ascii="Arial" w:eastAsia="黑体" w:hAnsi="Arial" w:cs="Arial"/>
                <w:b/>
                <w:bCs/>
                <w:sz w:val="16"/>
                <w:szCs w:val="16"/>
                <w:u w:val="single"/>
              </w:rPr>
              <w:fldChar w:fldCharType="end"/>
            </w:r>
          </w:p>
        </w:tc>
        <w:tc>
          <w:tcPr>
            <w:tcW w:w="11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798" w:type="dxa"/>
            <w:tcBorders>
              <w:top w:val="nil"/>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nil"/>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nil"/>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F87FF6">
            <w:pPr>
              <w:autoSpaceDE w:val="0"/>
              <w:autoSpaceDN w:val="0"/>
              <w:rPr>
                <w:rFonts w:ascii="Arial" w:eastAsia="黑体" w:hAnsi="Arial" w:cs="Arial"/>
                <w:b/>
                <w:bCs/>
                <w:sz w:val="16"/>
                <w:szCs w:val="16"/>
              </w:rPr>
            </w:pPr>
            <w:r>
              <w:rPr>
                <w:rFonts w:ascii="Arial" w:eastAsia="黑体" w:hAnsi="Arial" w:cs="Arial"/>
                <w:b/>
                <w:bCs/>
                <w:sz w:val="16"/>
                <w:szCs w:val="16"/>
              </w:rPr>
              <w:t>三、</w:t>
            </w:r>
          </w:p>
        </w:tc>
        <w:tc>
          <w:tcPr>
            <w:tcW w:w="3638" w:type="dxa"/>
            <w:tcBorders>
              <w:top w:val="nil"/>
              <w:left w:val="nil"/>
              <w:bottom w:val="nil"/>
              <w:right w:val="nil"/>
            </w:tcBorders>
            <w:vAlign w:val="bottom"/>
          </w:tcPr>
          <w:p w:rsidR="00AD5BB5" w:rsidRDefault="00F87FF6">
            <w:pPr>
              <w:autoSpaceDE w:val="0"/>
              <w:autoSpaceDN w:val="0"/>
              <w:ind w:left="161" w:hangingChars="100" w:hanging="161"/>
              <w:rPr>
                <w:rFonts w:ascii="Arial" w:eastAsia="黑体" w:hAnsi="Arial" w:cs="Arial"/>
                <w:b/>
                <w:bCs/>
                <w:sz w:val="16"/>
                <w:szCs w:val="16"/>
              </w:rPr>
            </w:pPr>
            <w:r>
              <w:rPr>
                <w:rFonts w:ascii="Arial" w:eastAsia="黑体" w:hAnsi="Arial" w:cs="Arial"/>
                <w:b/>
                <w:bCs/>
                <w:sz w:val="16"/>
                <w:szCs w:val="16"/>
              </w:rPr>
              <w:t>筹资活动产生的现金流量</w:t>
            </w:r>
          </w:p>
        </w:tc>
        <w:tc>
          <w:tcPr>
            <w:tcW w:w="798"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1" w:hangingChars="150" w:hanging="241"/>
              <w:rPr>
                <w:rFonts w:ascii="Arial" w:eastAsia="黑体" w:hAnsi="Arial" w:cs="Arial"/>
                <w:b/>
                <w:bCs/>
                <w:sz w:val="16"/>
                <w:szCs w:val="16"/>
              </w:rPr>
            </w:pPr>
          </w:p>
        </w:tc>
        <w:tc>
          <w:tcPr>
            <w:tcW w:w="798"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nil"/>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nil"/>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发行债券收到的现金</w:t>
            </w:r>
          </w:p>
        </w:tc>
        <w:tc>
          <w:tcPr>
            <w:tcW w:w="798"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45,050,588,110.00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71,143,466,810.00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798"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筹资活动现金流入小计</w:t>
            </w:r>
          </w:p>
        </w:tc>
        <w:tc>
          <w:tcPr>
            <w:tcW w:w="798"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45,050,588,110.00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71,143,466,810.00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798"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偿还债务支付的现金</w:t>
            </w:r>
          </w:p>
        </w:tc>
        <w:tc>
          <w:tcPr>
            <w:tcW w:w="798"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(38,200,000,000.00</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(74,260,000,000.00</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分配股利、利润支付的现金</w:t>
            </w:r>
          </w:p>
        </w:tc>
        <w:tc>
          <w:tcPr>
            <w:tcW w:w="798"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(834,720,652.86</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(717,125,718.55</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支付租赁负债本金和利息的现金</w:t>
            </w:r>
          </w:p>
        </w:tc>
        <w:tc>
          <w:tcPr>
            <w:tcW w:w="798"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(65,107,814.89</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(190,711,254.29</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偿付利息支付的现金</w:t>
            </w:r>
          </w:p>
        </w:tc>
        <w:tc>
          <w:tcPr>
            <w:tcW w:w="798"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(218,950,000.00</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798"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筹资活动现金流出小计</w:t>
            </w:r>
          </w:p>
        </w:tc>
        <w:tc>
          <w:tcPr>
            <w:tcW w:w="798"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(39,099,828,467.75</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(75,386,786,972.84</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3638" w:type="dxa"/>
            <w:tcBorders>
              <w:top w:val="nil"/>
              <w:left w:val="nil"/>
              <w:bottom w:val="nil"/>
              <w:right w:val="nil"/>
            </w:tcBorders>
            <w:vAlign w:val="bottom"/>
          </w:tcPr>
          <w:p w:rsidR="00AD5BB5" w:rsidRDefault="00AD5BB5">
            <w:pPr>
              <w:autoSpaceDE w:val="0"/>
              <w:autoSpaceDN w:val="0"/>
              <w:ind w:left="241" w:hangingChars="150" w:hanging="241"/>
              <w:rPr>
                <w:rFonts w:ascii="Arial" w:eastAsia="黑体" w:hAnsi="Arial" w:cs="Arial"/>
                <w:b/>
                <w:bCs/>
                <w:sz w:val="16"/>
                <w:szCs w:val="16"/>
              </w:rPr>
            </w:pPr>
          </w:p>
        </w:tc>
        <w:tc>
          <w:tcPr>
            <w:tcW w:w="798"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3638" w:type="dxa"/>
            <w:tcBorders>
              <w:top w:val="nil"/>
              <w:left w:val="nil"/>
              <w:bottom w:val="nil"/>
              <w:right w:val="nil"/>
            </w:tcBorders>
            <w:vAlign w:val="bottom"/>
          </w:tcPr>
          <w:p w:rsidR="00AD5BB5" w:rsidRDefault="00F87FF6">
            <w:pPr>
              <w:autoSpaceDE w:val="0"/>
              <w:autoSpaceDN w:val="0"/>
              <w:ind w:left="161" w:hangingChars="100" w:hanging="161"/>
              <w:rPr>
                <w:rFonts w:ascii="Arial" w:eastAsia="黑体" w:hAnsi="Arial" w:cs="Arial"/>
                <w:b/>
                <w:bCs/>
                <w:sz w:val="16"/>
                <w:szCs w:val="16"/>
              </w:rPr>
            </w:pPr>
            <w:r>
              <w:rPr>
                <w:rFonts w:ascii="Arial" w:eastAsia="黑体" w:hAnsi="Arial" w:cs="Arial"/>
                <w:b/>
                <w:bCs/>
                <w:sz w:val="16"/>
                <w:szCs w:val="16"/>
              </w:rPr>
              <w:t>筹资活动产生</w:t>
            </w:r>
            <w:r>
              <w:rPr>
                <w:rFonts w:ascii="Arial" w:eastAsia="黑体" w:hAnsi="Arial" w:cs="Arial"/>
                <w:b/>
                <w:bCs/>
                <w:sz w:val="16"/>
                <w:szCs w:val="16"/>
              </w:rPr>
              <w:t>/</w:t>
            </w:r>
            <w:r>
              <w:rPr>
                <w:rFonts w:ascii="Arial" w:eastAsia="黑体" w:hAnsi="Arial" w:cs="Arial"/>
                <w:b/>
                <w:bCs/>
                <w:sz w:val="16"/>
                <w:szCs w:val="16"/>
              </w:rPr>
              <w:t>（使用）的现金流量净额</w:t>
            </w:r>
          </w:p>
        </w:tc>
        <w:tc>
          <w:tcPr>
            <w:tcW w:w="798"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szCs w:val="16"/>
              </w:rPr>
              <w:t>5,950,759,642.25</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szCs w:val="16"/>
              </w:rPr>
              <w:t>(4,243,320,162.84</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b/>
                <w:bCs/>
                <w:sz w:val="16"/>
                <w:szCs w:val="16"/>
              </w:rPr>
            </w:pPr>
            <w:r>
              <w:rPr>
                <w:rFonts w:ascii="Arial" w:eastAsia="黑体" w:hAnsi="Arial" w:cs="Arial"/>
                <w:b/>
                <w:bCs/>
                <w:sz w:val="16"/>
                <w:szCs w:val="16"/>
              </w:rPr>
              <w:t>)</w:t>
            </w: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3638" w:type="dxa"/>
            <w:tcBorders>
              <w:top w:val="nil"/>
              <w:left w:val="nil"/>
              <w:bottom w:val="nil"/>
              <w:right w:val="nil"/>
            </w:tcBorders>
            <w:vAlign w:val="bottom"/>
          </w:tcPr>
          <w:p w:rsidR="00AD5BB5" w:rsidRDefault="00AD5BB5">
            <w:pPr>
              <w:autoSpaceDE w:val="0"/>
              <w:autoSpaceDN w:val="0"/>
              <w:ind w:left="241" w:hangingChars="150" w:hanging="241"/>
              <w:rPr>
                <w:rFonts w:ascii="Arial" w:eastAsia="黑体" w:hAnsi="Arial" w:cs="Arial"/>
                <w:b/>
                <w:bCs/>
                <w:sz w:val="16"/>
                <w:szCs w:val="16"/>
              </w:rPr>
            </w:pPr>
          </w:p>
        </w:tc>
        <w:tc>
          <w:tcPr>
            <w:tcW w:w="798"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r>
      <w:tr w:rsidR="00AD5BB5">
        <w:tc>
          <w:tcPr>
            <w:tcW w:w="324" w:type="dxa"/>
            <w:tcBorders>
              <w:top w:val="nil"/>
              <w:left w:val="nil"/>
              <w:bottom w:val="nil"/>
              <w:right w:val="nil"/>
            </w:tcBorders>
            <w:vAlign w:val="bottom"/>
          </w:tcPr>
          <w:p w:rsidR="00AD5BB5" w:rsidRDefault="00F87FF6">
            <w:pPr>
              <w:autoSpaceDE w:val="0"/>
              <w:autoSpaceDN w:val="0"/>
              <w:rPr>
                <w:rFonts w:ascii="Arial" w:eastAsia="黑体" w:hAnsi="Arial" w:cs="Arial"/>
                <w:b/>
                <w:bCs/>
                <w:sz w:val="16"/>
                <w:szCs w:val="16"/>
              </w:rPr>
            </w:pPr>
            <w:r>
              <w:rPr>
                <w:rFonts w:ascii="Arial" w:eastAsia="黑体" w:hAnsi="Arial" w:cs="Arial"/>
                <w:b/>
                <w:bCs/>
                <w:sz w:val="16"/>
                <w:szCs w:val="16"/>
              </w:rPr>
              <w:t>四、</w:t>
            </w:r>
          </w:p>
        </w:tc>
        <w:tc>
          <w:tcPr>
            <w:tcW w:w="3638" w:type="dxa"/>
            <w:tcBorders>
              <w:top w:val="nil"/>
              <w:left w:val="nil"/>
              <w:bottom w:val="nil"/>
              <w:right w:val="nil"/>
            </w:tcBorders>
            <w:vAlign w:val="bottom"/>
          </w:tcPr>
          <w:p w:rsidR="00AD5BB5" w:rsidRDefault="00F87FF6">
            <w:pPr>
              <w:autoSpaceDE w:val="0"/>
              <w:autoSpaceDN w:val="0"/>
              <w:ind w:left="161" w:hangingChars="100" w:hanging="161"/>
              <w:rPr>
                <w:rFonts w:ascii="Arial" w:eastAsia="黑体" w:hAnsi="Arial" w:cs="Arial"/>
                <w:b/>
                <w:bCs/>
                <w:sz w:val="16"/>
                <w:szCs w:val="16"/>
              </w:rPr>
            </w:pPr>
            <w:r>
              <w:rPr>
                <w:rFonts w:ascii="Arial" w:eastAsia="黑体" w:hAnsi="Arial" w:cs="Arial"/>
                <w:b/>
                <w:bCs/>
                <w:sz w:val="16"/>
                <w:szCs w:val="16"/>
              </w:rPr>
              <w:t>汇率变动对现金及现金等价物的影响</w:t>
            </w:r>
          </w:p>
        </w:tc>
        <w:tc>
          <w:tcPr>
            <w:tcW w:w="798"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szCs w:val="16"/>
              </w:rPr>
              <w:t>51,423,710.48</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szCs w:val="16"/>
              </w:rPr>
              <w:t>87,446,850.46</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3638" w:type="dxa"/>
            <w:tcBorders>
              <w:top w:val="nil"/>
              <w:left w:val="nil"/>
              <w:bottom w:val="nil"/>
              <w:right w:val="nil"/>
            </w:tcBorders>
            <w:vAlign w:val="bottom"/>
          </w:tcPr>
          <w:p w:rsidR="00AD5BB5" w:rsidRDefault="00AD5BB5">
            <w:pPr>
              <w:autoSpaceDE w:val="0"/>
              <w:autoSpaceDN w:val="0"/>
              <w:ind w:left="241" w:hangingChars="150" w:hanging="241"/>
              <w:rPr>
                <w:rFonts w:ascii="Arial" w:eastAsia="黑体" w:hAnsi="Arial" w:cs="Arial"/>
                <w:b/>
                <w:bCs/>
                <w:sz w:val="16"/>
                <w:szCs w:val="16"/>
              </w:rPr>
            </w:pPr>
          </w:p>
        </w:tc>
        <w:tc>
          <w:tcPr>
            <w:tcW w:w="798"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r>
      <w:tr w:rsidR="00AD5BB5">
        <w:tc>
          <w:tcPr>
            <w:tcW w:w="324" w:type="dxa"/>
            <w:tcBorders>
              <w:top w:val="nil"/>
              <w:left w:val="nil"/>
              <w:bottom w:val="nil"/>
              <w:right w:val="nil"/>
            </w:tcBorders>
            <w:vAlign w:val="bottom"/>
          </w:tcPr>
          <w:p w:rsidR="00AD5BB5" w:rsidRDefault="00F87FF6">
            <w:pPr>
              <w:autoSpaceDE w:val="0"/>
              <w:autoSpaceDN w:val="0"/>
              <w:rPr>
                <w:rFonts w:ascii="Arial" w:eastAsia="黑体" w:hAnsi="Arial" w:cs="Arial"/>
                <w:b/>
                <w:bCs/>
                <w:sz w:val="16"/>
                <w:szCs w:val="16"/>
              </w:rPr>
            </w:pPr>
            <w:r>
              <w:rPr>
                <w:rFonts w:ascii="Arial" w:eastAsia="黑体" w:hAnsi="Arial" w:cs="Arial"/>
                <w:b/>
                <w:bCs/>
                <w:sz w:val="16"/>
                <w:szCs w:val="16"/>
              </w:rPr>
              <w:t>五、</w:t>
            </w:r>
          </w:p>
        </w:tc>
        <w:tc>
          <w:tcPr>
            <w:tcW w:w="3638" w:type="dxa"/>
            <w:tcBorders>
              <w:top w:val="nil"/>
              <w:left w:val="nil"/>
              <w:bottom w:val="nil"/>
              <w:right w:val="nil"/>
            </w:tcBorders>
            <w:vAlign w:val="bottom"/>
          </w:tcPr>
          <w:p w:rsidR="00AD5BB5" w:rsidRDefault="00F87FF6">
            <w:pPr>
              <w:autoSpaceDE w:val="0"/>
              <w:autoSpaceDN w:val="0"/>
              <w:ind w:left="161" w:hangingChars="100" w:hanging="161"/>
              <w:rPr>
                <w:rFonts w:ascii="Arial" w:eastAsia="黑体" w:hAnsi="Arial" w:cs="Arial"/>
                <w:b/>
                <w:bCs/>
                <w:sz w:val="16"/>
                <w:szCs w:val="16"/>
              </w:rPr>
            </w:pPr>
            <w:r>
              <w:rPr>
                <w:rFonts w:ascii="Arial" w:eastAsia="黑体" w:hAnsi="Arial" w:cs="Arial"/>
                <w:b/>
                <w:bCs/>
                <w:sz w:val="16"/>
              </w:rPr>
              <w:t>本期现金及现金等价物净（减少）</w:t>
            </w:r>
            <w:r>
              <w:rPr>
                <w:rFonts w:ascii="Arial" w:eastAsia="黑体" w:hAnsi="Arial" w:cs="Arial"/>
                <w:b/>
                <w:bCs/>
                <w:sz w:val="16"/>
              </w:rPr>
              <w:t>/</w:t>
            </w:r>
            <w:r>
              <w:rPr>
                <w:rFonts w:ascii="Arial" w:eastAsia="黑体" w:hAnsi="Arial" w:cs="Arial"/>
                <w:b/>
                <w:bCs/>
                <w:sz w:val="16"/>
              </w:rPr>
              <w:t>增加额</w:t>
            </w:r>
          </w:p>
        </w:tc>
        <w:tc>
          <w:tcPr>
            <w:tcW w:w="798"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hint="eastAsia"/>
                <w:sz w:val="16"/>
                <w:szCs w:val="16"/>
              </w:rPr>
              <w:t>8</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szCs w:val="16"/>
              </w:rPr>
              <w:t>(22,998,271,319.50</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b/>
                <w:bCs/>
                <w:sz w:val="16"/>
                <w:szCs w:val="16"/>
              </w:rPr>
            </w:pPr>
            <w:r>
              <w:rPr>
                <w:rFonts w:ascii="Arial" w:eastAsia="黑体" w:hAnsi="Arial" w:cs="Arial"/>
                <w:b/>
                <w:bCs/>
                <w:sz w:val="16"/>
                <w:szCs w:val="16"/>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szCs w:val="16"/>
              </w:rPr>
              <w:t>4,954,078,710.35</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3638" w:type="dxa"/>
            <w:tcBorders>
              <w:top w:val="nil"/>
              <w:left w:val="nil"/>
              <w:bottom w:val="nil"/>
              <w:right w:val="nil"/>
            </w:tcBorders>
            <w:vAlign w:val="bottom"/>
          </w:tcPr>
          <w:p w:rsidR="00AD5BB5" w:rsidRDefault="00F87FF6">
            <w:pPr>
              <w:autoSpaceDE w:val="0"/>
              <w:autoSpaceDN w:val="0"/>
              <w:ind w:left="480" w:hangingChars="300" w:hanging="480"/>
              <w:rPr>
                <w:rFonts w:ascii="Arial" w:eastAsia="黑体" w:hAnsi="Arial" w:cs="Arial"/>
                <w:b/>
                <w:bCs/>
                <w:sz w:val="16"/>
                <w:szCs w:val="16"/>
              </w:rPr>
            </w:pPr>
            <w:r>
              <w:rPr>
                <w:rFonts w:ascii="Arial" w:eastAsia="黑体" w:hAnsi="Arial" w:cs="Arial"/>
                <w:sz w:val="16"/>
              </w:rPr>
              <w:t>加：期初现金及现金等价物余额</w:t>
            </w:r>
          </w:p>
        </w:tc>
        <w:tc>
          <w:tcPr>
            <w:tcW w:w="798"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31,848,485,376.31</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14,332,648,769.97</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63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798"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F87FF6">
            <w:pPr>
              <w:autoSpaceDE w:val="0"/>
              <w:autoSpaceDN w:val="0"/>
              <w:rPr>
                <w:rFonts w:ascii="Arial" w:eastAsia="黑体" w:hAnsi="Arial" w:cs="Arial"/>
                <w:b/>
                <w:bCs/>
                <w:sz w:val="16"/>
                <w:szCs w:val="16"/>
              </w:rPr>
            </w:pPr>
            <w:r>
              <w:rPr>
                <w:rFonts w:ascii="Arial" w:eastAsia="黑体" w:hAnsi="Arial" w:cs="Arial"/>
                <w:b/>
                <w:bCs/>
                <w:sz w:val="16"/>
                <w:szCs w:val="16"/>
              </w:rPr>
              <w:t>六、</w:t>
            </w:r>
          </w:p>
        </w:tc>
        <w:tc>
          <w:tcPr>
            <w:tcW w:w="3638" w:type="dxa"/>
            <w:tcBorders>
              <w:top w:val="nil"/>
              <w:left w:val="nil"/>
              <w:bottom w:val="nil"/>
              <w:right w:val="nil"/>
            </w:tcBorders>
            <w:vAlign w:val="bottom"/>
          </w:tcPr>
          <w:p w:rsidR="00AD5BB5" w:rsidRDefault="00F87FF6">
            <w:pPr>
              <w:autoSpaceDE w:val="0"/>
              <w:autoSpaceDN w:val="0"/>
              <w:ind w:left="161" w:hangingChars="100" w:hanging="161"/>
              <w:rPr>
                <w:rFonts w:ascii="Arial" w:eastAsia="黑体" w:hAnsi="Arial" w:cs="Arial"/>
                <w:b/>
                <w:bCs/>
                <w:sz w:val="16"/>
                <w:szCs w:val="16"/>
              </w:rPr>
            </w:pPr>
            <w:r>
              <w:rPr>
                <w:rFonts w:ascii="Arial" w:eastAsia="黑体" w:hAnsi="Arial" w:cs="Arial"/>
                <w:b/>
                <w:bCs/>
                <w:sz w:val="16"/>
              </w:rPr>
              <w:t>期末现金及现金等价物余额</w:t>
            </w:r>
          </w:p>
        </w:tc>
        <w:tc>
          <w:tcPr>
            <w:tcW w:w="798"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hint="eastAsia"/>
                <w:sz w:val="16"/>
                <w:szCs w:val="16"/>
              </w:rPr>
              <w:t>8</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2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szCs w:val="16"/>
              </w:rPr>
              <w:t>8,850,214,056.81</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6"/>
                <w:szCs w:val="16"/>
              </w:rPr>
            </w:pPr>
            <w:r>
              <w:rPr>
                <w:rFonts w:ascii="Arial" w:eastAsia="黑体" w:hAnsi="Arial" w:cs="Arial"/>
                <w:b/>
                <w:bCs/>
                <w:sz w:val="16"/>
                <w:szCs w:val="16"/>
              </w:rPr>
              <w:t>19,286,727,480.32</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324"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3638" w:type="dxa"/>
            <w:tcBorders>
              <w:top w:val="nil"/>
              <w:left w:val="nil"/>
              <w:bottom w:val="nil"/>
              <w:right w:val="nil"/>
            </w:tcBorders>
            <w:vAlign w:val="bottom"/>
          </w:tcPr>
          <w:p w:rsidR="00AD5BB5" w:rsidRDefault="00AD5BB5">
            <w:pPr>
              <w:autoSpaceDE w:val="0"/>
              <w:autoSpaceDN w:val="0"/>
              <w:ind w:left="241" w:hangingChars="150" w:hanging="241"/>
              <w:rPr>
                <w:rFonts w:ascii="Arial" w:eastAsia="黑体" w:hAnsi="Arial" w:cs="Arial"/>
                <w:b/>
                <w:bCs/>
                <w:sz w:val="16"/>
                <w:szCs w:val="16"/>
              </w:rPr>
            </w:pPr>
          </w:p>
        </w:tc>
        <w:tc>
          <w:tcPr>
            <w:tcW w:w="798" w:type="dxa"/>
            <w:tcBorders>
              <w:top w:val="nil"/>
              <w:left w:val="nil"/>
              <w:bottom w:val="nil"/>
              <w:right w:val="nil"/>
            </w:tcBorders>
            <w:vAlign w:val="bottom"/>
          </w:tcPr>
          <w:p w:rsidR="00AD5BB5" w:rsidRDefault="00AD5BB5">
            <w:pPr>
              <w:autoSpaceDE w:val="0"/>
              <w:autoSpaceDN w:val="0"/>
              <w:jc w:val="center"/>
              <w:rPr>
                <w:rFonts w:ascii="Arial" w:eastAsia="黑体" w:hAnsi="Arial" w:cs="Arial"/>
                <w:b/>
                <w:bCs/>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2"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b/>
                <w:bCs/>
                <w:sz w:val="16"/>
                <w:szCs w:val="16"/>
              </w:rPr>
            </w:pPr>
          </w:p>
        </w:tc>
        <w:tc>
          <w:tcPr>
            <w:tcW w:w="1628"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6"/>
                <w:szCs w:val="16"/>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bl>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F87FF6">
      <w:pPr>
        <w:tabs>
          <w:tab w:val="center" w:pos="4200"/>
          <w:tab w:val="decimal" w:pos="4800"/>
          <w:tab w:val="decimal" w:pos="6240"/>
          <w:tab w:val="decimal" w:pos="6840"/>
          <w:tab w:val="decimal" w:pos="8280"/>
        </w:tabs>
        <w:overflowPunct w:val="0"/>
        <w:autoSpaceDE w:val="0"/>
        <w:autoSpaceDN w:val="0"/>
        <w:adjustRightInd w:val="0"/>
        <w:ind w:left="240" w:hanging="240"/>
        <w:rPr>
          <w:rFonts w:ascii="Arial" w:eastAsia="黑体" w:hAnsi="Arial" w:cs="Arial"/>
          <w:sz w:val="20"/>
        </w:rPr>
      </w:pPr>
      <w:r>
        <w:rPr>
          <w:rFonts w:ascii="Arial" w:eastAsia="黑体" w:hAnsi="Arial" w:cs="Arial"/>
          <w:sz w:val="20"/>
        </w:rPr>
        <w:t>本财务报表已于</w:t>
      </w:r>
      <w:r>
        <w:rPr>
          <w:rFonts w:ascii="Arial" w:eastAsia="黑体" w:hAnsi="Arial" w:cs="Arial"/>
          <w:sz w:val="20"/>
        </w:rPr>
        <w:fldChar w:fldCharType="begin"/>
      </w:r>
      <w:r>
        <w:rPr>
          <w:rFonts w:ascii="Arial" w:eastAsia="黑体" w:hAnsi="Arial" w:cs="Arial"/>
          <w:sz w:val="20"/>
        </w:rPr>
        <w:instrText xml:space="preserve"> DOCPROPERTY </w:instrText>
      </w:r>
      <w:r>
        <w:rPr>
          <w:rFonts w:ascii="Arial" w:eastAsia="黑体" w:hAnsi="Arial" w:cs="Arial"/>
          <w:sz w:val="20"/>
        </w:rPr>
        <w:instrText>报告日</w:instrText>
      </w:r>
      <w:r>
        <w:rPr>
          <w:rFonts w:ascii="Arial" w:eastAsia="黑体" w:hAnsi="Arial" w:cs="Arial"/>
          <w:sz w:val="20"/>
        </w:rPr>
        <w:instrText xml:space="preserve"> </w:instrText>
      </w:r>
      <w:r>
        <w:rPr>
          <w:rFonts w:ascii="Arial" w:eastAsia="黑体" w:hAnsi="Arial" w:cs="Arial"/>
          <w:sz w:val="20"/>
        </w:rPr>
        <w:fldChar w:fldCharType="separate"/>
      </w:r>
      <w:r>
        <w:rPr>
          <w:rFonts w:ascii="Arial" w:eastAsia="黑体" w:hAnsi="Arial" w:cs="Arial"/>
          <w:sz w:val="20"/>
        </w:rPr>
        <w:t>2023</w:t>
      </w:r>
      <w:r>
        <w:rPr>
          <w:rFonts w:ascii="Arial" w:eastAsia="黑体" w:hAnsi="Arial" w:cs="Arial"/>
          <w:sz w:val="20"/>
        </w:rPr>
        <w:t>年</w:t>
      </w:r>
      <w:r>
        <w:rPr>
          <w:rFonts w:ascii="Arial" w:eastAsia="黑体" w:hAnsi="Arial" w:cs="Arial"/>
          <w:sz w:val="20"/>
        </w:rPr>
        <w:t>8</w:t>
      </w:r>
      <w:r>
        <w:rPr>
          <w:rFonts w:ascii="Arial" w:eastAsia="黑体" w:hAnsi="Arial" w:cs="Arial"/>
          <w:sz w:val="20"/>
        </w:rPr>
        <w:t>月</w:t>
      </w:r>
      <w:r>
        <w:rPr>
          <w:rFonts w:ascii="Arial" w:eastAsia="黑体" w:hAnsi="Arial" w:cs="Arial"/>
          <w:sz w:val="20"/>
        </w:rPr>
        <w:t>28</w:t>
      </w:r>
      <w:r>
        <w:rPr>
          <w:rFonts w:ascii="Arial" w:eastAsia="黑体" w:hAnsi="Arial" w:cs="Arial"/>
          <w:sz w:val="20"/>
        </w:rPr>
        <w:t>日</w:t>
      </w:r>
      <w:r>
        <w:rPr>
          <w:rFonts w:ascii="Arial" w:eastAsia="黑体" w:hAnsi="Arial" w:cs="Arial"/>
          <w:sz w:val="20"/>
        </w:rPr>
        <w:fldChar w:fldCharType="end"/>
      </w:r>
      <w:r>
        <w:rPr>
          <w:rFonts w:ascii="Arial" w:eastAsia="黑体" w:hAnsi="Arial" w:cs="Arial"/>
          <w:sz w:val="20"/>
        </w:rPr>
        <w:t>获本行董事会批准。</w:t>
      </w:r>
    </w:p>
    <w:p w:rsidR="00AD5BB5" w:rsidRDefault="00AD5BB5">
      <w:pPr>
        <w:overflowPunct w:val="0"/>
        <w:autoSpaceDE w:val="0"/>
        <w:autoSpaceDN w:val="0"/>
        <w:snapToGrid w:val="0"/>
        <w:rPr>
          <w:rFonts w:ascii="Arial" w:eastAsia="黑体" w:hAnsi="Arial" w:cs="Arial"/>
          <w:i/>
          <w:sz w:val="20"/>
        </w:rPr>
      </w:pPr>
    </w:p>
    <w:p w:rsidR="00AD5BB5" w:rsidRDefault="00F87FF6">
      <w:pPr>
        <w:overflowPunct w:val="0"/>
        <w:autoSpaceDE w:val="0"/>
        <w:autoSpaceDN w:val="0"/>
        <w:snapToGrid w:val="0"/>
        <w:rPr>
          <w:rFonts w:ascii="Arial" w:eastAsia="黑体" w:hAnsi="Arial" w:cs="Arial"/>
          <w:sz w:val="20"/>
        </w:rPr>
      </w:pPr>
      <w:r>
        <w:rPr>
          <w:rFonts w:ascii="Arial" w:eastAsia="黑体" w:hAnsi="Arial" w:cs="Arial"/>
          <w:sz w:val="20"/>
        </w:rPr>
        <w:t>本财务报表由以下人士签署：</w:t>
      </w: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snapToGrid w:val="0"/>
        <w:rPr>
          <w:rFonts w:ascii="Arial" w:eastAsia="黑体" w:hAnsi="Arial" w:cs="Arial"/>
          <w:sz w:val="20"/>
        </w:rPr>
      </w:pPr>
    </w:p>
    <w:p w:rsidR="00AD5BB5" w:rsidRDefault="00F87FF6">
      <w:pPr>
        <w:tabs>
          <w:tab w:val="left" w:pos="2100"/>
          <w:tab w:val="left" w:pos="2268"/>
          <w:tab w:val="left" w:pos="4962"/>
        </w:tabs>
        <w:overflowPunct w:val="0"/>
        <w:autoSpaceDE w:val="0"/>
        <w:autoSpaceDN w:val="0"/>
        <w:snapToGrid w:val="0"/>
        <w:rPr>
          <w:rFonts w:ascii="Arial" w:eastAsia="黑体" w:hAnsi="Arial" w:cs="Arial"/>
          <w:sz w:val="20"/>
        </w:rPr>
      </w:pPr>
      <w:r>
        <w:rPr>
          <w:rFonts w:ascii="Arial" w:eastAsia="黑体" w:hAnsi="Arial" w:cs="Arial"/>
          <w:sz w:val="20"/>
        </w:rPr>
        <w:t>法定</w:t>
      </w:r>
      <w:r>
        <w:rPr>
          <w:rFonts w:ascii="Arial" w:eastAsia="黑体" w:hAnsi="Arial" w:cs="Arial"/>
          <w:sz w:val="20"/>
        </w:rPr>
        <w:tab/>
      </w:r>
      <w:r>
        <w:rPr>
          <w:rFonts w:ascii="Arial" w:eastAsia="黑体" w:hAnsi="Arial" w:cs="Arial"/>
          <w:sz w:val="20"/>
        </w:rPr>
        <w:tab/>
      </w:r>
      <w:r>
        <w:rPr>
          <w:rFonts w:ascii="Arial" w:eastAsia="黑体" w:hAnsi="Arial" w:cs="Arial"/>
          <w:sz w:val="20"/>
        </w:rPr>
        <w:t>主管财会</w:t>
      </w:r>
      <w:r>
        <w:rPr>
          <w:rFonts w:ascii="Arial" w:eastAsia="黑体" w:hAnsi="Arial" w:cs="Arial"/>
          <w:sz w:val="20"/>
        </w:rPr>
        <w:tab/>
      </w:r>
      <w:r>
        <w:rPr>
          <w:rFonts w:ascii="Arial" w:eastAsia="黑体" w:hAnsi="Arial" w:cs="Arial"/>
          <w:sz w:val="20"/>
        </w:rPr>
        <w:t>财会机构</w:t>
      </w:r>
    </w:p>
    <w:p w:rsidR="00AD5BB5" w:rsidRDefault="00F87FF6">
      <w:pPr>
        <w:tabs>
          <w:tab w:val="left" w:pos="1985"/>
          <w:tab w:val="left" w:pos="2268"/>
          <w:tab w:val="left" w:pos="4962"/>
          <w:tab w:val="left" w:pos="7139"/>
        </w:tabs>
        <w:overflowPunct w:val="0"/>
        <w:autoSpaceDE w:val="0"/>
        <w:autoSpaceDN w:val="0"/>
        <w:snapToGrid w:val="0"/>
        <w:rPr>
          <w:rFonts w:ascii="Arial" w:eastAsia="黑体" w:hAnsi="Arial" w:cs="Arial"/>
          <w:sz w:val="20"/>
        </w:rPr>
      </w:pPr>
      <w:r>
        <w:rPr>
          <w:rFonts w:ascii="Arial" w:eastAsia="黑体" w:hAnsi="Arial" w:cs="Arial"/>
          <w:sz w:val="20"/>
        </w:rPr>
        <w:t>代表人：</w:t>
      </w:r>
      <w:r>
        <w:rPr>
          <w:rFonts w:ascii="Arial" w:eastAsia="黑体" w:hAnsi="Arial" w:cs="Arial"/>
          <w:sz w:val="20"/>
        </w:rPr>
        <w:tab/>
      </w:r>
      <w:r>
        <w:rPr>
          <w:rFonts w:ascii="Arial" w:eastAsia="黑体" w:hAnsi="Arial" w:cs="Arial"/>
          <w:sz w:val="20"/>
        </w:rPr>
        <w:tab/>
      </w:r>
      <w:r>
        <w:rPr>
          <w:rFonts w:ascii="Arial" w:eastAsia="黑体" w:hAnsi="Arial" w:cs="Arial"/>
          <w:sz w:val="20"/>
        </w:rPr>
        <w:t>工作负责人：</w:t>
      </w:r>
      <w:r>
        <w:rPr>
          <w:rFonts w:ascii="Arial" w:eastAsia="黑体" w:hAnsi="Arial" w:cs="Arial"/>
          <w:sz w:val="20"/>
        </w:rPr>
        <w:tab/>
      </w:r>
      <w:r>
        <w:rPr>
          <w:rFonts w:ascii="Arial" w:eastAsia="黑体" w:hAnsi="Arial" w:cs="Arial"/>
          <w:sz w:val="20"/>
        </w:rPr>
        <w:t>负责人：</w:t>
      </w:r>
      <w:r>
        <w:rPr>
          <w:rFonts w:ascii="Arial" w:eastAsia="黑体" w:hAnsi="Arial" w:cs="Arial"/>
          <w:sz w:val="20"/>
        </w:rPr>
        <w:tab/>
      </w:r>
      <w:r>
        <w:rPr>
          <w:rFonts w:ascii="Arial" w:eastAsia="黑体" w:hAnsi="Arial" w:cs="Arial"/>
          <w:sz w:val="20"/>
        </w:rPr>
        <w:tab/>
      </w:r>
      <w:r>
        <w:rPr>
          <w:rFonts w:ascii="Arial" w:eastAsia="黑体" w:hAnsi="Arial" w:cs="Arial"/>
          <w:sz w:val="20"/>
        </w:rPr>
        <w:t>盖章</w:t>
      </w: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AD5BB5">
      <w:pPr>
        <w:overflowPunct w:val="0"/>
        <w:autoSpaceDE w:val="0"/>
        <w:autoSpaceDN w:val="0"/>
        <w:rPr>
          <w:rFonts w:ascii="Arial" w:eastAsia="黑体" w:hAnsi="Arial" w:cs="Arial"/>
          <w:i/>
          <w:sz w:val="20"/>
        </w:rPr>
      </w:pPr>
    </w:p>
    <w:p w:rsidR="00AD5BB5" w:rsidRDefault="00F87FF6">
      <w:pPr>
        <w:overflowPunct w:val="0"/>
        <w:autoSpaceDE w:val="0"/>
        <w:autoSpaceDN w:val="0"/>
        <w:rPr>
          <w:rFonts w:ascii="Arial" w:eastAsia="黑体" w:hAnsi="Arial" w:cs="Arial"/>
          <w:bCs/>
          <w:i/>
          <w:snapToGrid w:val="0"/>
          <w:sz w:val="20"/>
        </w:rPr>
        <w:sectPr w:rsidR="00AD5BB5">
          <w:headerReference w:type="even" r:id="rId40"/>
          <w:headerReference w:type="default" r:id="rId41"/>
          <w:headerReference w:type="first" r:id="rId42"/>
          <w:pgSz w:w="11907" w:h="16840"/>
          <w:pgMar w:top="1440" w:right="1797" w:bottom="1440" w:left="1797" w:header="720" w:footer="720" w:gutter="0"/>
          <w:cols w:space="720"/>
          <w:titlePg/>
          <w:docGrid w:linePitch="360"/>
        </w:sectPr>
      </w:pPr>
      <w:r>
        <w:rPr>
          <w:rFonts w:ascii="Arial" w:eastAsia="黑体" w:hAnsi="Arial" w:cs="Arial"/>
          <w:i/>
          <w:sz w:val="20"/>
        </w:rPr>
        <w:t>后附财务报表附注为本财务报表的组成部分</w:t>
      </w:r>
    </w:p>
    <w:p w:rsidR="00AD5BB5" w:rsidRDefault="00AD5BB5">
      <w:pPr>
        <w:overflowPunct w:val="0"/>
        <w:autoSpaceDE w:val="0"/>
        <w:autoSpaceDN w:val="0"/>
        <w:adjustRightInd w:val="0"/>
        <w:snapToGrid w:val="0"/>
        <w:textAlignment w:val="bottom"/>
        <w:rPr>
          <w:rFonts w:ascii="Arial" w:eastAsia="黑体" w:hAnsi="Arial" w:cs="Arial"/>
          <w:szCs w:val="21"/>
        </w:rPr>
      </w:pPr>
      <w:bookmarkStart w:id="69" w:name="_Hlk65934064"/>
    </w:p>
    <w:p w:rsidR="00AD5BB5" w:rsidRDefault="00AD5BB5">
      <w:pPr>
        <w:overflowPunct w:val="0"/>
        <w:autoSpaceDE w:val="0"/>
        <w:autoSpaceDN w:val="0"/>
        <w:adjustRightInd w:val="0"/>
        <w:snapToGrid w:val="0"/>
        <w:textAlignment w:val="bottom"/>
        <w:rPr>
          <w:rFonts w:ascii="Arial" w:eastAsia="黑体" w:hAnsi="Arial" w:cs="Arial"/>
          <w:szCs w:val="21"/>
        </w:rPr>
      </w:pPr>
    </w:p>
    <w:p w:rsidR="00AD5BB5" w:rsidRDefault="00F87FF6">
      <w:pPr>
        <w:pStyle w:val="a3"/>
        <w:numPr>
          <w:ilvl w:val="0"/>
          <w:numId w:val="0"/>
        </w:numPr>
        <w:ind w:left="720" w:hanging="720"/>
        <w:rPr>
          <w:sz w:val="21"/>
          <w:szCs w:val="21"/>
        </w:rPr>
      </w:pPr>
      <w:bookmarkStart w:id="70" w:name="afsaddin_Section_0c898d120d2547df94adc30"/>
      <w:r>
        <w:rPr>
          <w:sz w:val="21"/>
          <w:szCs w:val="21"/>
        </w:rPr>
        <w:t>一、</w:t>
      </w:r>
      <w:r>
        <w:rPr>
          <w:sz w:val="21"/>
          <w:szCs w:val="21"/>
        </w:rPr>
        <w:tab/>
      </w:r>
      <w:r>
        <w:rPr>
          <w:sz w:val="21"/>
          <w:szCs w:val="21"/>
        </w:rPr>
        <w:t>基本情况</w:t>
      </w:r>
    </w:p>
    <w:bookmarkEnd w:id="70"/>
    <w:p w:rsidR="00AD5BB5" w:rsidRDefault="00AD5BB5">
      <w:pPr>
        <w:overflowPunct w:val="0"/>
        <w:autoSpaceDE w:val="0"/>
        <w:autoSpaceDN w:val="0"/>
        <w:adjustRightInd w:val="0"/>
        <w:snapToGrid w:val="0"/>
        <w:textAlignment w:val="bottom"/>
        <w:rPr>
          <w:rFonts w:ascii="Arial" w:eastAsia="黑体" w:hAnsi="Arial" w:cs="Arial"/>
          <w:bCs/>
          <w:snapToGrid w:val="0"/>
          <w:szCs w:val="21"/>
        </w:rPr>
      </w:pPr>
    </w:p>
    <w:p w:rsidR="00AD5BB5" w:rsidRDefault="00F87FF6">
      <w:pPr>
        <w:overflowPunct w:val="0"/>
        <w:autoSpaceDE w:val="0"/>
        <w:autoSpaceDN w:val="0"/>
        <w:adjustRightInd w:val="0"/>
        <w:snapToGrid w:val="0"/>
        <w:textAlignment w:val="bottom"/>
        <w:rPr>
          <w:rFonts w:ascii="Arial" w:eastAsia="黑体" w:hAnsi="Arial" w:cs="Arial"/>
          <w:bCs/>
          <w:snapToGrid w:val="0"/>
          <w:szCs w:val="21"/>
        </w:rPr>
      </w:pPr>
      <w:r>
        <w:rPr>
          <w:rFonts w:ascii="Arial" w:eastAsia="黑体" w:hAnsi="Arial" w:cs="Arial"/>
          <w:bCs/>
          <w:snapToGrid w:val="0"/>
          <w:szCs w:val="21"/>
        </w:rPr>
        <w:fldChar w:fldCharType="begin"/>
      </w:r>
      <w:r>
        <w:rPr>
          <w:rFonts w:ascii="Arial" w:eastAsia="黑体" w:hAnsi="Arial" w:cs="Arial"/>
          <w:bCs/>
          <w:snapToGrid w:val="0"/>
          <w:szCs w:val="21"/>
        </w:rPr>
        <w:instrText xml:space="preserve"> DOCPROPERTY </w:instrText>
      </w:r>
      <w:r>
        <w:rPr>
          <w:rFonts w:ascii="Arial" w:eastAsia="黑体" w:hAnsi="Arial" w:cs="Arial"/>
          <w:bCs/>
          <w:snapToGrid w:val="0"/>
          <w:szCs w:val="21"/>
        </w:rPr>
        <w:instrText>公司名称</w:instrText>
      </w:r>
      <w:r>
        <w:rPr>
          <w:rFonts w:ascii="Arial" w:eastAsia="黑体" w:hAnsi="Arial" w:cs="Arial"/>
          <w:bCs/>
          <w:snapToGrid w:val="0"/>
          <w:szCs w:val="21"/>
        </w:rPr>
        <w:instrText xml:space="preserve"> </w:instrText>
      </w:r>
      <w:r>
        <w:rPr>
          <w:rFonts w:ascii="Arial" w:eastAsia="黑体" w:hAnsi="Arial" w:cs="Arial"/>
          <w:bCs/>
          <w:snapToGrid w:val="0"/>
          <w:szCs w:val="21"/>
        </w:rPr>
        <w:fldChar w:fldCharType="separate"/>
      </w:r>
      <w:r>
        <w:rPr>
          <w:rFonts w:ascii="Arial" w:eastAsia="黑体" w:hAnsi="Arial" w:cs="Arial"/>
          <w:bCs/>
          <w:snapToGrid w:val="0"/>
          <w:szCs w:val="21"/>
        </w:rPr>
        <w:t>厦门银行股份有限公司</w:t>
      </w:r>
      <w:r>
        <w:rPr>
          <w:rFonts w:ascii="Arial" w:eastAsia="黑体" w:hAnsi="Arial" w:cs="Arial"/>
          <w:bCs/>
          <w:snapToGrid w:val="0"/>
          <w:szCs w:val="21"/>
        </w:rPr>
        <w:fldChar w:fldCharType="end"/>
      </w:r>
      <w:r>
        <w:rPr>
          <w:rFonts w:ascii="Arial" w:eastAsia="黑体" w:hAnsi="Arial" w:cs="Arial"/>
          <w:bCs/>
          <w:snapToGrid w:val="0"/>
          <w:szCs w:val="21"/>
        </w:rPr>
        <w:t>（原名厦门市商业银行股份有限公司，以下简称</w:t>
      </w:r>
      <w:r>
        <w:rPr>
          <w:rFonts w:ascii="Arial" w:eastAsia="黑体" w:hAnsi="Arial" w:cs="Arial"/>
          <w:bCs/>
          <w:snapToGrid w:val="0"/>
          <w:szCs w:val="21"/>
        </w:rPr>
        <w:t>“</w:t>
      </w:r>
      <w:r>
        <w:rPr>
          <w:rFonts w:ascii="Arial" w:eastAsia="黑体" w:hAnsi="Arial" w:cs="Arial"/>
          <w:bCs/>
          <w:snapToGrid w:val="0"/>
          <w:szCs w:val="21"/>
        </w:rPr>
        <w:t>本行</w:t>
      </w:r>
      <w:r>
        <w:rPr>
          <w:rFonts w:ascii="Arial" w:eastAsia="黑体" w:hAnsi="Arial" w:cs="Arial"/>
          <w:bCs/>
          <w:snapToGrid w:val="0"/>
          <w:szCs w:val="21"/>
        </w:rPr>
        <w:t>”</w:t>
      </w:r>
      <w:r>
        <w:rPr>
          <w:rFonts w:ascii="Arial" w:eastAsia="黑体" w:hAnsi="Arial" w:cs="Arial"/>
          <w:bCs/>
          <w:snapToGrid w:val="0"/>
          <w:szCs w:val="21"/>
        </w:rPr>
        <w:t>）系</w:t>
      </w:r>
      <w:r>
        <w:rPr>
          <w:rFonts w:ascii="Arial" w:eastAsia="黑体" w:hAnsi="Arial" w:cs="Arial"/>
          <w:bCs/>
          <w:snapToGrid w:val="0"/>
          <w:szCs w:val="21"/>
        </w:rPr>
        <w:t>1996</w:t>
      </w:r>
      <w:r>
        <w:rPr>
          <w:rFonts w:ascii="Arial" w:eastAsia="黑体" w:hAnsi="Arial" w:cs="Arial"/>
          <w:bCs/>
          <w:snapToGrid w:val="0"/>
          <w:szCs w:val="21"/>
        </w:rPr>
        <w:t>年</w:t>
      </w:r>
      <w:r>
        <w:rPr>
          <w:rFonts w:ascii="Arial" w:eastAsia="黑体" w:hAnsi="Arial" w:cs="Arial"/>
          <w:bCs/>
          <w:snapToGrid w:val="0"/>
          <w:szCs w:val="21"/>
        </w:rPr>
        <w:t>11</w:t>
      </w:r>
      <w:r>
        <w:rPr>
          <w:rFonts w:ascii="Arial" w:eastAsia="黑体" w:hAnsi="Arial" w:cs="Arial"/>
          <w:bCs/>
          <w:snapToGrid w:val="0"/>
          <w:szCs w:val="21"/>
        </w:rPr>
        <w:t>月经中国人民银行银复</w:t>
      </w:r>
      <w:r>
        <w:rPr>
          <w:rFonts w:ascii="Arial" w:eastAsia="黑体" w:hAnsi="Arial" w:cs="Arial"/>
          <w:bCs/>
          <w:snapToGrid w:val="0"/>
          <w:szCs w:val="21"/>
        </w:rPr>
        <w:t>[1996]355</w:t>
      </w:r>
      <w:r>
        <w:rPr>
          <w:rFonts w:ascii="Arial" w:eastAsia="黑体" w:hAnsi="Arial" w:cs="Arial"/>
          <w:bCs/>
          <w:snapToGrid w:val="0"/>
          <w:szCs w:val="21"/>
        </w:rPr>
        <w:t>号文批准，由原厦门市</w:t>
      </w:r>
      <w:r>
        <w:rPr>
          <w:rFonts w:ascii="Arial" w:eastAsia="黑体" w:hAnsi="Arial" w:cs="Arial"/>
          <w:bCs/>
          <w:snapToGrid w:val="0"/>
          <w:szCs w:val="21"/>
        </w:rPr>
        <w:t>14</w:t>
      </w:r>
      <w:r>
        <w:rPr>
          <w:rFonts w:ascii="Arial" w:eastAsia="黑体" w:hAnsi="Arial" w:cs="Arial"/>
          <w:bCs/>
          <w:snapToGrid w:val="0"/>
          <w:szCs w:val="21"/>
        </w:rPr>
        <w:t>家城信社及其联社的原股东共</w:t>
      </w:r>
      <w:r>
        <w:rPr>
          <w:rFonts w:ascii="Arial" w:eastAsia="黑体" w:hAnsi="Arial" w:cs="Arial"/>
          <w:bCs/>
          <w:snapToGrid w:val="0"/>
          <w:szCs w:val="21"/>
        </w:rPr>
        <w:t>254</w:t>
      </w:r>
      <w:r>
        <w:rPr>
          <w:rFonts w:ascii="Arial" w:eastAsia="黑体" w:hAnsi="Arial" w:cs="Arial"/>
          <w:bCs/>
          <w:snapToGrid w:val="0"/>
          <w:szCs w:val="21"/>
        </w:rPr>
        <w:t>家机构或企业法人和</w:t>
      </w:r>
      <w:r>
        <w:rPr>
          <w:rFonts w:ascii="Arial" w:eastAsia="黑体" w:hAnsi="Arial" w:cs="Arial"/>
          <w:bCs/>
          <w:snapToGrid w:val="0"/>
          <w:szCs w:val="21"/>
        </w:rPr>
        <w:t>1,796</w:t>
      </w:r>
      <w:r>
        <w:rPr>
          <w:rFonts w:ascii="Arial" w:eastAsia="黑体" w:hAnsi="Arial" w:cs="Arial"/>
          <w:bCs/>
          <w:snapToGrid w:val="0"/>
          <w:szCs w:val="21"/>
        </w:rPr>
        <w:t>名自然人以经评估的净资产作为出资，以及厦门市财政局、其他</w:t>
      </w:r>
      <w:r>
        <w:rPr>
          <w:rFonts w:ascii="Arial" w:eastAsia="黑体" w:hAnsi="Arial" w:cs="Arial"/>
          <w:bCs/>
          <w:snapToGrid w:val="0"/>
          <w:szCs w:val="21"/>
        </w:rPr>
        <w:t>23</w:t>
      </w:r>
      <w:r>
        <w:rPr>
          <w:rFonts w:ascii="Arial" w:eastAsia="黑体" w:hAnsi="Arial" w:cs="Arial"/>
          <w:bCs/>
          <w:snapToGrid w:val="0"/>
          <w:szCs w:val="21"/>
        </w:rPr>
        <w:t>家工商企业以货币出资，共同发起设立的地方性股份制商业银行。</w:t>
      </w:r>
    </w:p>
    <w:p w:rsidR="00AD5BB5" w:rsidRDefault="00AD5BB5">
      <w:pPr>
        <w:overflowPunct w:val="0"/>
        <w:autoSpaceDE w:val="0"/>
        <w:autoSpaceDN w:val="0"/>
        <w:adjustRightInd w:val="0"/>
        <w:snapToGrid w:val="0"/>
        <w:textAlignment w:val="bottom"/>
        <w:rPr>
          <w:rFonts w:ascii="Arial" w:eastAsia="黑体" w:hAnsi="Arial" w:cs="Arial"/>
          <w:bCs/>
          <w:snapToGrid w:val="0"/>
          <w:szCs w:val="21"/>
        </w:rPr>
      </w:pPr>
    </w:p>
    <w:p w:rsidR="00AD5BB5" w:rsidRDefault="00F87FF6">
      <w:pPr>
        <w:overflowPunct w:val="0"/>
        <w:autoSpaceDE w:val="0"/>
        <w:autoSpaceDN w:val="0"/>
        <w:adjustRightInd w:val="0"/>
        <w:snapToGrid w:val="0"/>
        <w:textAlignment w:val="bottom"/>
        <w:rPr>
          <w:rFonts w:ascii="Arial" w:eastAsia="黑体" w:hAnsi="Arial" w:cs="Arial"/>
          <w:bCs/>
          <w:snapToGrid w:val="0"/>
          <w:szCs w:val="21"/>
        </w:rPr>
      </w:pPr>
      <w:r>
        <w:rPr>
          <w:rFonts w:ascii="Arial" w:eastAsia="黑体" w:hAnsi="Arial" w:cs="Arial"/>
          <w:bCs/>
          <w:snapToGrid w:val="0"/>
          <w:szCs w:val="21"/>
        </w:rPr>
        <w:t>本行于</w:t>
      </w:r>
      <w:r>
        <w:rPr>
          <w:rFonts w:ascii="Arial" w:eastAsia="黑体" w:hAnsi="Arial" w:cs="Arial"/>
          <w:bCs/>
          <w:snapToGrid w:val="0"/>
          <w:szCs w:val="21"/>
        </w:rPr>
        <w:t>2009</w:t>
      </w:r>
      <w:r>
        <w:rPr>
          <w:rFonts w:ascii="Arial" w:eastAsia="黑体" w:hAnsi="Arial" w:cs="Arial"/>
          <w:bCs/>
          <w:snapToGrid w:val="0"/>
          <w:szCs w:val="21"/>
        </w:rPr>
        <w:t>年</w:t>
      </w:r>
      <w:r>
        <w:rPr>
          <w:rFonts w:ascii="Arial" w:eastAsia="黑体" w:hAnsi="Arial" w:cs="Arial"/>
          <w:bCs/>
          <w:snapToGrid w:val="0"/>
          <w:szCs w:val="21"/>
        </w:rPr>
        <w:t>9</w:t>
      </w:r>
      <w:r>
        <w:rPr>
          <w:rFonts w:ascii="Arial" w:eastAsia="黑体" w:hAnsi="Arial" w:cs="Arial"/>
          <w:bCs/>
          <w:snapToGrid w:val="0"/>
          <w:szCs w:val="21"/>
        </w:rPr>
        <w:t>月</w:t>
      </w:r>
      <w:r>
        <w:rPr>
          <w:rFonts w:ascii="Arial" w:eastAsia="黑体" w:hAnsi="Arial" w:cs="Arial"/>
          <w:bCs/>
          <w:snapToGrid w:val="0"/>
          <w:szCs w:val="21"/>
        </w:rPr>
        <w:t>17</w:t>
      </w:r>
      <w:r>
        <w:rPr>
          <w:rFonts w:ascii="Arial" w:eastAsia="黑体" w:hAnsi="Arial" w:cs="Arial"/>
          <w:bCs/>
          <w:snapToGrid w:val="0"/>
          <w:szCs w:val="21"/>
        </w:rPr>
        <w:t>日获得</w:t>
      </w:r>
      <w:r>
        <w:rPr>
          <w:rFonts w:ascii="Arial" w:eastAsia="黑体" w:hAnsi="Arial" w:cs="Arial" w:hint="eastAsia"/>
          <w:bCs/>
          <w:snapToGrid w:val="0"/>
          <w:szCs w:val="21"/>
        </w:rPr>
        <w:t>国家金融监督管理总局</w:t>
      </w:r>
      <w:r>
        <w:rPr>
          <w:rFonts w:ascii="Arial" w:eastAsia="黑体" w:hAnsi="Arial" w:cs="Arial"/>
          <w:bCs/>
          <w:snapToGrid w:val="0"/>
          <w:szCs w:val="21"/>
        </w:rPr>
        <w:t>（原中国银行保险监督管理委员会，以下简称</w:t>
      </w:r>
      <w:r>
        <w:rPr>
          <w:rFonts w:ascii="Arial" w:eastAsia="黑体" w:hAnsi="Arial" w:cs="Arial"/>
          <w:bCs/>
          <w:snapToGrid w:val="0"/>
          <w:szCs w:val="21"/>
        </w:rPr>
        <w:t>“</w:t>
      </w:r>
      <w:r>
        <w:rPr>
          <w:rFonts w:ascii="Arial" w:eastAsia="黑体" w:hAnsi="Arial" w:cs="Arial" w:hint="eastAsia"/>
          <w:bCs/>
          <w:snapToGrid w:val="0"/>
          <w:szCs w:val="21"/>
        </w:rPr>
        <w:t>金融监管总局</w:t>
      </w:r>
      <w:r>
        <w:rPr>
          <w:rFonts w:ascii="Arial" w:eastAsia="黑体" w:hAnsi="Arial" w:cs="Arial"/>
          <w:bCs/>
          <w:snapToGrid w:val="0"/>
          <w:szCs w:val="21"/>
        </w:rPr>
        <w:t>”</w:t>
      </w:r>
      <w:r>
        <w:rPr>
          <w:rFonts w:ascii="Arial" w:eastAsia="黑体" w:hAnsi="Arial" w:cs="Arial"/>
          <w:bCs/>
          <w:snapToGrid w:val="0"/>
          <w:szCs w:val="21"/>
        </w:rPr>
        <w:t>）批准，更名为</w:t>
      </w:r>
      <w:r>
        <w:rPr>
          <w:rFonts w:ascii="Arial" w:eastAsia="黑体" w:hAnsi="Arial" w:cs="Arial"/>
          <w:bCs/>
          <w:snapToGrid w:val="0"/>
          <w:szCs w:val="21"/>
        </w:rPr>
        <w:fldChar w:fldCharType="begin"/>
      </w:r>
      <w:r>
        <w:rPr>
          <w:rFonts w:ascii="Arial" w:eastAsia="黑体" w:hAnsi="Arial" w:cs="Arial"/>
          <w:bCs/>
          <w:snapToGrid w:val="0"/>
          <w:szCs w:val="21"/>
        </w:rPr>
        <w:instrText xml:space="preserve"> DOCPROPERTY </w:instrText>
      </w:r>
      <w:r>
        <w:rPr>
          <w:rFonts w:ascii="Arial" w:eastAsia="黑体" w:hAnsi="Arial" w:cs="Arial"/>
          <w:bCs/>
          <w:snapToGrid w:val="0"/>
          <w:szCs w:val="21"/>
        </w:rPr>
        <w:instrText>公司名称</w:instrText>
      </w:r>
      <w:r>
        <w:rPr>
          <w:rFonts w:ascii="Arial" w:eastAsia="黑体" w:hAnsi="Arial" w:cs="Arial"/>
          <w:bCs/>
          <w:snapToGrid w:val="0"/>
          <w:szCs w:val="21"/>
        </w:rPr>
        <w:instrText xml:space="preserve"> </w:instrText>
      </w:r>
      <w:r>
        <w:rPr>
          <w:rFonts w:ascii="Arial" w:eastAsia="黑体" w:hAnsi="Arial" w:cs="Arial"/>
          <w:bCs/>
          <w:snapToGrid w:val="0"/>
          <w:szCs w:val="21"/>
        </w:rPr>
        <w:fldChar w:fldCharType="separate"/>
      </w:r>
      <w:r>
        <w:rPr>
          <w:rFonts w:ascii="Arial" w:eastAsia="黑体" w:hAnsi="Arial" w:cs="Arial"/>
          <w:bCs/>
          <w:snapToGrid w:val="0"/>
          <w:szCs w:val="21"/>
        </w:rPr>
        <w:t>厦门银行股份有限公司</w:t>
      </w:r>
      <w:r>
        <w:rPr>
          <w:rFonts w:ascii="Arial" w:eastAsia="黑体" w:hAnsi="Arial" w:cs="Arial"/>
          <w:bCs/>
          <w:snapToGrid w:val="0"/>
          <w:szCs w:val="21"/>
        </w:rPr>
        <w:fldChar w:fldCharType="end"/>
      </w:r>
      <w:r>
        <w:rPr>
          <w:rFonts w:ascii="Arial" w:eastAsia="黑体" w:hAnsi="Arial" w:cs="Arial"/>
          <w:bCs/>
          <w:snapToGrid w:val="0"/>
          <w:szCs w:val="21"/>
        </w:rPr>
        <w:t>。本行统一社会信用代码为</w:t>
      </w:r>
      <w:r>
        <w:rPr>
          <w:rFonts w:ascii="Arial" w:eastAsia="黑体" w:hAnsi="Arial" w:cs="Arial"/>
          <w:bCs/>
          <w:snapToGrid w:val="0"/>
          <w:szCs w:val="21"/>
        </w:rPr>
        <w:t>9135020026013710XM</w:t>
      </w:r>
      <w:r>
        <w:rPr>
          <w:rFonts w:ascii="Arial" w:eastAsia="黑体" w:hAnsi="Arial" w:cs="Arial"/>
          <w:bCs/>
          <w:snapToGrid w:val="0"/>
          <w:szCs w:val="21"/>
        </w:rPr>
        <w:t>，法定代表人为姚志萍，并持有</w:t>
      </w:r>
      <w:r>
        <w:rPr>
          <w:rFonts w:ascii="Arial" w:eastAsia="黑体" w:hAnsi="Arial" w:cs="Arial" w:hint="eastAsia"/>
          <w:bCs/>
          <w:snapToGrid w:val="0"/>
          <w:szCs w:val="21"/>
        </w:rPr>
        <w:t>国家金融监督管理总局</w:t>
      </w:r>
      <w:r>
        <w:rPr>
          <w:rFonts w:ascii="Arial" w:eastAsia="黑体" w:hAnsi="Arial" w:cs="Arial"/>
          <w:bCs/>
          <w:snapToGrid w:val="0"/>
          <w:szCs w:val="21"/>
        </w:rPr>
        <w:t>厦门监管局（原中国银行保险监督管理委员会厦门监管局）颁发的</w:t>
      </w:r>
      <w:r>
        <w:rPr>
          <w:rFonts w:ascii="Arial" w:eastAsia="黑体" w:hAnsi="Arial" w:cs="Arial"/>
          <w:bCs/>
          <w:snapToGrid w:val="0"/>
          <w:szCs w:val="21"/>
        </w:rPr>
        <w:t>00173734</w:t>
      </w:r>
      <w:r>
        <w:rPr>
          <w:rFonts w:ascii="Arial" w:eastAsia="黑体" w:hAnsi="Arial" w:cs="Arial"/>
          <w:bCs/>
          <w:snapToGrid w:val="0"/>
          <w:szCs w:val="21"/>
        </w:rPr>
        <w:t>号《金融许可证》，注册地址为厦门市思明区湖滨北路</w:t>
      </w:r>
      <w:r>
        <w:rPr>
          <w:rFonts w:ascii="Arial" w:eastAsia="黑体" w:hAnsi="Arial" w:cs="Arial"/>
          <w:bCs/>
          <w:snapToGrid w:val="0"/>
          <w:szCs w:val="21"/>
        </w:rPr>
        <w:t>101</w:t>
      </w:r>
      <w:r>
        <w:rPr>
          <w:rFonts w:ascii="Arial" w:eastAsia="黑体" w:hAnsi="Arial" w:cs="Arial"/>
          <w:bCs/>
          <w:snapToGrid w:val="0"/>
          <w:szCs w:val="21"/>
        </w:rPr>
        <w:t>号。</w:t>
      </w:r>
    </w:p>
    <w:p w:rsidR="00AD5BB5" w:rsidRDefault="00AD5BB5">
      <w:pPr>
        <w:overflowPunct w:val="0"/>
        <w:autoSpaceDE w:val="0"/>
        <w:autoSpaceDN w:val="0"/>
        <w:adjustRightInd w:val="0"/>
        <w:snapToGrid w:val="0"/>
        <w:textAlignment w:val="bottom"/>
        <w:rPr>
          <w:rFonts w:ascii="Arial" w:eastAsia="黑体" w:hAnsi="Arial" w:cs="Arial"/>
          <w:bCs/>
          <w:snapToGrid w:val="0"/>
          <w:szCs w:val="21"/>
        </w:rPr>
      </w:pPr>
    </w:p>
    <w:p w:rsidR="00AD5BB5" w:rsidRDefault="00F87FF6">
      <w:pPr>
        <w:overflowPunct w:val="0"/>
        <w:autoSpaceDE w:val="0"/>
        <w:autoSpaceDN w:val="0"/>
        <w:adjustRightInd w:val="0"/>
        <w:snapToGrid w:val="0"/>
        <w:textAlignment w:val="bottom"/>
        <w:rPr>
          <w:rFonts w:ascii="Arial" w:eastAsia="黑体" w:hAnsi="Arial" w:cs="Arial"/>
          <w:bCs/>
          <w:snapToGrid w:val="0"/>
          <w:szCs w:val="21"/>
        </w:rPr>
      </w:pPr>
      <w:r>
        <w:rPr>
          <w:rFonts w:ascii="Arial" w:eastAsia="黑体" w:hAnsi="Arial" w:cs="Arial"/>
          <w:bCs/>
          <w:snapToGrid w:val="0"/>
          <w:szCs w:val="21"/>
        </w:rPr>
        <w:t>本行首次公开发行</w:t>
      </w:r>
      <w:r>
        <w:rPr>
          <w:rFonts w:ascii="Arial" w:eastAsia="黑体" w:hAnsi="Arial" w:cs="Arial"/>
          <w:bCs/>
          <w:snapToGrid w:val="0"/>
          <w:szCs w:val="21"/>
        </w:rPr>
        <w:t>A</w:t>
      </w:r>
      <w:r>
        <w:rPr>
          <w:rFonts w:ascii="Arial" w:eastAsia="黑体" w:hAnsi="Arial" w:cs="Arial"/>
          <w:bCs/>
          <w:snapToGrid w:val="0"/>
          <w:szCs w:val="21"/>
        </w:rPr>
        <w:t>股股票并于</w:t>
      </w:r>
      <w:r>
        <w:rPr>
          <w:rFonts w:ascii="Arial" w:eastAsia="黑体" w:hAnsi="Arial" w:cs="Arial"/>
          <w:bCs/>
          <w:snapToGrid w:val="0"/>
          <w:szCs w:val="21"/>
        </w:rPr>
        <w:t>2020</w:t>
      </w:r>
      <w:r>
        <w:rPr>
          <w:rFonts w:ascii="Arial" w:eastAsia="黑体" w:hAnsi="Arial" w:cs="Arial"/>
          <w:bCs/>
          <w:snapToGrid w:val="0"/>
          <w:szCs w:val="21"/>
        </w:rPr>
        <w:t>年</w:t>
      </w:r>
      <w:r>
        <w:rPr>
          <w:rFonts w:ascii="Arial" w:eastAsia="黑体" w:hAnsi="Arial" w:cs="Arial"/>
          <w:bCs/>
          <w:snapToGrid w:val="0"/>
          <w:szCs w:val="21"/>
        </w:rPr>
        <w:t>10</w:t>
      </w:r>
      <w:r>
        <w:rPr>
          <w:rFonts w:ascii="Arial" w:eastAsia="黑体" w:hAnsi="Arial" w:cs="Arial"/>
          <w:bCs/>
          <w:snapToGrid w:val="0"/>
          <w:szCs w:val="21"/>
        </w:rPr>
        <w:t>月</w:t>
      </w:r>
      <w:r>
        <w:rPr>
          <w:rFonts w:ascii="Arial" w:eastAsia="黑体" w:hAnsi="Arial" w:cs="Arial"/>
          <w:bCs/>
          <w:snapToGrid w:val="0"/>
          <w:szCs w:val="21"/>
        </w:rPr>
        <w:t>27</w:t>
      </w:r>
      <w:r>
        <w:rPr>
          <w:rFonts w:ascii="Arial" w:eastAsia="黑体" w:hAnsi="Arial" w:cs="Arial"/>
          <w:bCs/>
          <w:snapToGrid w:val="0"/>
          <w:szCs w:val="21"/>
        </w:rPr>
        <w:t>日在上海证券交易所主板上市交易。</w:t>
      </w:r>
    </w:p>
    <w:p w:rsidR="00AD5BB5" w:rsidRDefault="00AD5BB5">
      <w:pPr>
        <w:overflowPunct w:val="0"/>
        <w:autoSpaceDE w:val="0"/>
        <w:autoSpaceDN w:val="0"/>
        <w:adjustRightInd w:val="0"/>
        <w:snapToGrid w:val="0"/>
        <w:textAlignment w:val="bottom"/>
        <w:rPr>
          <w:rFonts w:ascii="Arial" w:eastAsia="黑体" w:hAnsi="Arial" w:cs="Arial"/>
          <w:bCs/>
          <w:snapToGrid w:val="0"/>
          <w:szCs w:val="21"/>
        </w:rPr>
      </w:pPr>
    </w:p>
    <w:p w:rsidR="00AD5BB5" w:rsidRDefault="00F87FF6">
      <w:pPr>
        <w:overflowPunct w:val="0"/>
        <w:autoSpaceDE w:val="0"/>
        <w:autoSpaceDN w:val="0"/>
        <w:adjustRightInd w:val="0"/>
        <w:snapToGrid w:val="0"/>
        <w:textAlignment w:val="bottom"/>
        <w:rPr>
          <w:rFonts w:ascii="Arial" w:eastAsia="黑体" w:hAnsi="Arial" w:cs="Arial"/>
          <w:bCs/>
          <w:snapToGrid w:val="0"/>
          <w:szCs w:val="21"/>
        </w:rPr>
      </w:pPr>
      <w:r>
        <w:rPr>
          <w:rFonts w:ascii="Arial" w:eastAsia="黑体" w:hAnsi="Arial" w:cs="Arial"/>
          <w:bCs/>
          <w:snapToGrid w:val="0"/>
          <w:szCs w:val="21"/>
        </w:rPr>
        <w:t>本行及其合并子公司（以下简称</w:t>
      </w:r>
      <w:r>
        <w:rPr>
          <w:rFonts w:ascii="Arial" w:eastAsia="黑体" w:hAnsi="Arial" w:cs="Arial"/>
          <w:bCs/>
          <w:snapToGrid w:val="0"/>
          <w:szCs w:val="21"/>
        </w:rPr>
        <w:t>“</w:t>
      </w:r>
      <w:r>
        <w:rPr>
          <w:rFonts w:ascii="Arial" w:eastAsia="黑体" w:hAnsi="Arial" w:cs="Arial"/>
          <w:bCs/>
          <w:snapToGrid w:val="0"/>
          <w:szCs w:val="21"/>
        </w:rPr>
        <w:t>本集团</w:t>
      </w:r>
      <w:r>
        <w:rPr>
          <w:rFonts w:ascii="Arial" w:eastAsia="黑体" w:hAnsi="Arial" w:cs="Arial"/>
          <w:bCs/>
          <w:snapToGrid w:val="0"/>
          <w:szCs w:val="21"/>
        </w:rPr>
        <w:t>”</w:t>
      </w:r>
      <w:r>
        <w:rPr>
          <w:rFonts w:ascii="Arial" w:eastAsia="黑体" w:hAnsi="Arial" w:cs="Arial"/>
          <w:bCs/>
          <w:snapToGrid w:val="0"/>
          <w:szCs w:val="21"/>
        </w:rPr>
        <w:t>）的主要业务为经</w:t>
      </w:r>
      <w:r>
        <w:rPr>
          <w:rFonts w:ascii="Arial" w:eastAsia="黑体" w:hAnsi="Arial" w:cs="Arial" w:hint="eastAsia"/>
          <w:bCs/>
          <w:snapToGrid w:val="0"/>
          <w:szCs w:val="21"/>
        </w:rPr>
        <w:t>金融监管总局</w:t>
      </w:r>
      <w:r>
        <w:rPr>
          <w:rFonts w:ascii="Arial" w:eastAsia="黑体" w:hAnsi="Arial" w:cs="Arial"/>
          <w:bCs/>
          <w:snapToGrid w:val="0"/>
          <w:szCs w:val="21"/>
        </w:rPr>
        <w:t>批准的包括对公及对私存款、贷款、支付结算及资金业务等在内的商业银行业务，并提供金融租赁服务。</w:t>
      </w:r>
    </w:p>
    <w:p w:rsidR="00AD5BB5" w:rsidRDefault="00AD5BB5">
      <w:pPr>
        <w:overflowPunct w:val="0"/>
        <w:autoSpaceDE w:val="0"/>
        <w:autoSpaceDN w:val="0"/>
        <w:adjustRightInd w:val="0"/>
        <w:snapToGrid w:val="0"/>
        <w:textAlignment w:val="bottom"/>
        <w:rPr>
          <w:rFonts w:ascii="Arial" w:eastAsia="黑体" w:hAnsi="Arial" w:cs="Arial"/>
          <w:bCs/>
          <w:snapToGrid w:val="0"/>
          <w:szCs w:val="21"/>
        </w:rPr>
      </w:pPr>
    </w:p>
    <w:p w:rsidR="00AD5BB5" w:rsidRDefault="00F87FF6">
      <w:pPr>
        <w:overflowPunct w:val="0"/>
        <w:autoSpaceDE w:val="0"/>
        <w:autoSpaceDN w:val="0"/>
        <w:adjustRightInd w:val="0"/>
        <w:snapToGrid w:val="0"/>
        <w:textAlignment w:val="bottom"/>
        <w:rPr>
          <w:rFonts w:ascii="Arial" w:eastAsia="黑体" w:hAnsi="Arial" w:cs="Arial"/>
          <w:bCs/>
          <w:snapToGrid w:val="0"/>
          <w:szCs w:val="21"/>
        </w:rPr>
      </w:pPr>
      <w:r>
        <w:rPr>
          <w:rFonts w:ascii="Arial" w:eastAsia="黑体" w:hAnsi="Arial" w:cs="Arial"/>
          <w:bCs/>
          <w:snapToGrid w:val="0"/>
          <w:szCs w:val="21"/>
        </w:rPr>
        <w:t>本财务报表业经本行董事会于</w:t>
      </w:r>
      <w:r>
        <w:rPr>
          <w:rFonts w:ascii="Arial" w:eastAsia="黑体" w:hAnsi="Arial" w:cs="Arial"/>
          <w:bCs/>
          <w:snapToGrid w:val="0"/>
          <w:szCs w:val="21"/>
        </w:rPr>
        <w:fldChar w:fldCharType="begin"/>
      </w:r>
      <w:r>
        <w:rPr>
          <w:rFonts w:ascii="Arial" w:eastAsia="黑体" w:hAnsi="Arial" w:cs="Arial"/>
          <w:bCs/>
          <w:snapToGrid w:val="0"/>
          <w:szCs w:val="21"/>
        </w:rPr>
        <w:instrText xml:space="preserve"> DOCPROPERTY </w:instrText>
      </w:r>
      <w:r>
        <w:rPr>
          <w:rFonts w:ascii="Arial" w:eastAsia="黑体" w:hAnsi="Arial" w:cs="Arial"/>
          <w:bCs/>
          <w:snapToGrid w:val="0"/>
          <w:szCs w:val="21"/>
        </w:rPr>
        <w:instrText>报告日</w:instrText>
      </w:r>
      <w:r>
        <w:rPr>
          <w:rFonts w:ascii="Arial" w:eastAsia="黑体" w:hAnsi="Arial" w:cs="Arial"/>
          <w:bCs/>
          <w:snapToGrid w:val="0"/>
          <w:szCs w:val="21"/>
        </w:rPr>
        <w:instrText xml:space="preserve"> </w:instrText>
      </w:r>
      <w:r>
        <w:rPr>
          <w:rFonts w:ascii="Arial" w:eastAsia="黑体" w:hAnsi="Arial" w:cs="Arial"/>
          <w:bCs/>
          <w:snapToGrid w:val="0"/>
          <w:szCs w:val="21"/>
        </w:rPr>
        <w:fldChar w:fldCharType="separate"/>
      </w:r>
      <w:r>
        <w:rPr>
          <w:rFonts w:ascii="Arial" w:eastAsia="黑体" w:hAnsi="Arial" w:cs="Arial"/>
          <w:bCs/>
          <w:snapToGrid w:val="0"/>
          <w:szCs w:val="21"/>
        </w:rPr>
        <w:t>2023</w:t>
      </w:r>
      <w:r>
        <w:rPr>
          <w:rFonts w:ascii="Arial" w:eastAsia="黑体" w:hAnsi="Arial" w:cs="Arial"/>
          <w:bCs/>
          <w:snapToGrid w:val="0"/>
          <w:szCs w:val="21"/>
        </w:rPr>
        <w:t>年</w:t>
      </w:r>
      <w:r>
        <w:rPr>
          <w:rFonts w:ascii="Arial" w:eastAsia="黑体" w:hAnsi="Arial" w:cs="Arial"/>
          <w:bCs/>
          <w:snapToGrid w:val="0"/>
          <w:szCs w:val="21"/>
        </w:rPr>
        <w:t>8</w:t>
      </w:r>
      <w:r>
        <w:rPr>
          <w:rFonts w:ascii="Arial" w:eastAsia="黑体" w:hAnsi="Arial" w:cs="Arial"/>
          <w:bCs/>
          <w:snapToGrid w:val="0"/>
          <w:szCs w:val="21"/>
        </w:rPr>
        <w:t>月</w:t>
      </w:r>
      <w:r>
        <w:rPr>
          <w:rFonts w:ascii="Arial" w:eastAsia="黑体" w:hAnsi="Arial" w:cs="Arial"/>
          <w:bCs/>
          <w:snapToGrid w:val="0"/>
          <w:szCs w:val="21"/>
        </w:rPr>
        <w:t>28</w:t>
      </w:r>
      <w:r>
        <w:rPr>
          <w:rFonts w:ascii="Arial" w:eastAsia="黑体" w:hAnsi="Arial" w:cs="Arial"/>
          <w:bCs/>
          <w:snapToGrid w:val="0"/>
          <w:szCs w:val="21"/>
        </w:rPr>
        <w:t>日</w:t>
      </w:r>
      <w:r>
        <w:rPr>
          <w:rFonts w:ascii="Arial" w:eastAsia="黑体" w:hAnsi="Arial" w:cs="Arial"/>
          <w:bCs/>
          <w:snapToGrid w:val="0"/>
          <w:szCs w:val="21"/>
        </w:rPr>
        <w:fldChar w:fldCharType="end"/>
      </w:r>
      <w:proofErr w:type="gramStart"/>
      <w:r>
        <w:rPr>
          <w:rFonts w:ascii="Arial" w:eastAsia="黑体" w:hAnsi="Arial" w:cs="Arial"/>
          <w:bCs/>
          <w:snapToGrid w:val="0"/>
          <w:szCs w:val="21"/>
        </w:rPr>
        <w:t>决议批准</w:t>
      </w:r>
      <w:proofErr w:type="gramEnd"/>
      <w:r>
        <w:rPr>
          <w:rFonts w:ascii="Arial" w:eastAsia="黑体" w:hAnsi="Arial" w:cs="Arial"/>
          <w:bCs/>
          <w:snapToGrid w:val="0"/>
          <w:szCs w:val="21"/>
        </w:rPr>
        <w:t>报出。</w:t>
      </w:r>
    </w:p>
    <w:p w:rsidR="00AD5BB5" w:rsidRDefault="00AD5BB5">
      <w:pPr>
        <w:overflowPunct w:val="0"/>
        <w:autoSpaceDE w:val="0"/>
        <w:autoSpaceDN w:val="0"/>
        <w:adjustRightInd w:val="0"/>
        <w:snapToGrid w:val="0"/>
        <w:textAlignment w:val="bottom"/>
        <w:rPr>
          <w:rFonts w:ascii="Arial" w:eastAsia="黑体" w:hAnsi="Arial" w:cs="Arial"/>
          <w:bCs/>
          <w:snapToGrid w:val="0"/>
          <w:szCs w:val="21"/>
        </w:rPr>
      </w:pPr>
    </w:p>
    <w:p w:rsidR="00AD5BB5" w:rsidRDefault="00F87FF6">
      <w:pPr>
        <w:overflowPunct w:val="0"/>
        <w:autoSpaceDE w:val="0"/>
        <w:autoSpaceDN w:val="0"/>
        <w:adjustRightInd w:val="0"/>
        <w:snapToGrid w:val="0"/>
        <w:textAlignment w:val="bottom"/>
        <w:rPr>
          <w:rFonts w:ascii="Arial" w:eastAsia="黑体" w:hAnsi="Arial" w:cs="Arial"/>
          <w:bCs/>
          <w:snapToGrid w:val="0"/>
          <w:szCs w:val="21"/>
        </w:rPr>
      </w:pPr>
      <w:r>
        <w:rPr>
          <w:rFonts w:ascii="Arial" w:eastAsia="黑体" w:hAnsi="Arial" w:cs="Arial"/>
          <w:bCs/>
          <w:snapToGrid w:val="0"/>
          <w:szCs w:val="21"/>
        </w:rPr>
        <w:t>合并财务报表的合并范围以控制为基础确定，本行合并子公司情况见附注七、</w:t>
      </w:r>
      <w:r>
        <w:rPr>
          <w:rFonts w:ascii="Arial" w:eastAsia="黑体" w:hAnsi="Arial" w:cs="Arial"/>
          <w:bCs/>
          <w:snapToGrid w:val="0"/>
          <w:szCs w:val="21"/>
        </w:rPr>
        <w:t>1</w:t>
      </w:r>
      <w:r>
        <w:rPr>
          <w:rFonts w:ascii="Arial" w:eastAsia="黑体" w:hAnsi="Arial" w:cs="Arial"/>
          <w:bCs/>
          <w:snapToGrid w:val="0"/>
          <w:szCs w:val="21"/>
        </w:rPr>
        <w:t>。</w:t>
      </w:r>
    </w:p>
    <w:p w:rsidR="00AD5BB5" w:rsidRDefault="00AD5BB5">
      <w:pPr>
        <w:overflowPunct w:val="0"/>
        <w:autoSpaceDE w:val="0"/>
        <w:autoSpaceDN w:val="0"/>
        <w:adjustRightInd w:val="0"/>
        <w:snapToGrid w:val="0"/>
        <w:textAlignment w:val="bottom"/>
        <w:rPr>
          <w:rFonts w:ascii="Arial" w:eastAsia="黑体" w:hAnsi="Arial" w:cs="Arial"/>
          <w:bCs/>
          <w:snapToGrid w:val="0"/>
          <w:szCs w:val="21"/>
        </w:rPr>
      </w:pPr>
    </w:p>
    <w:p w:rsidR="00AD5BB5" w:rsidRDefault="00AD5BB5">
      <w:pPr>
        <w:overflowPunct w:val="0"/>
        <w:autoSpaceDE w:val="0"/>
        <w:autoSpaceDN w:val="0"/>
        <w:adjustRightInd w:val="0"/>
        <w:snapToGrid w:val="0"/>
        <w:textAlignment w:val="bottom"/>
        <w:rPr>
          <w:rFonts w:ascii="Arial" w:eastAsia="黑体" w:hAnsi="Arial" w:cs="Arial"/>
          <w:bCs/>
          <w:snapToGrid w:val="0"/>
          <w:szCs w:val="21"/>
        </w:rPr>
      </w:pPr>
    </w:p>
    <w:p w:rsidR="00AD5BB5" w:rsidRDefault="00F87FF6">
      <w:pPr>
        <w:pStyle w:val="a3"/>
        <w:numPr>
          <w:ilvl w:val="0"/>
          <w:numId w:val="0"/>
        </w:numPr>
        <w:rPr>
          <w:sz w:val="21"/>
          <w:szCs w:val="21"/>
        </w:rPr>
      </w:pPr>
      <w:bookmarkStart w:id="71" w:name="afsaddin_Section_8e2f9298f1d44ade8632bb9"/>
      <w:r>
        <w:rPr>
          <w:sz w:val="21"/>
          <w:szCs w:val="21"/>
        </w:rPr>
        <w:t>二、</w:t>
      </w:r>
      <w:r>
        <w:rPr>
          <w:sz w:val="21"/>
          <w:szCs w:val="21"/>
        </w:rPr>
        <w:tab/>
      </w:r>
      <w:r>
        <w:rPr>
          <w:sz w:val="21"/>
          <w:szCs w:val="21"/>
        </w:rPr>
        <w:t>中期财务报表编制基础及遵循企业会计准则的声明</w:t>
      </w:r>
    </w:p>
    <w:bookmarkEnd w:id="71"/>
    <w:p w:rsidR="00AD5BB5" w:rsidRDefault="00AD5BB5">
      <w:pPr>
        <w:overflowPunct w:val="0"/>
        <w:autoSpaceDE w:val="0"/>
        <w:autoSpaceDN w:val="0"/>
        <w:adjustRightInd w:val="0"/>
        <w:snapToGrid w:val="0"/>
        <w:ind w:left="720" w:hanging="720"/>
        <w:textAlignment w:val="bottom"/>
        <w:rPr>
          <w:rFonts w:ascii="Arial" w:eastAsia="黑体" w:hAnsi="Arial" w:cs="Arial"/>
          <w:bCs/>
          <w:snapToGrid w:val="0"/>
          <w:szCs w:val="21"/>
        </w:rPr>
      </w:pPr>
    </w:p>
    <w:p w:rsidR="00AD5BB5" w:rsidRDefault="00F87FF6">
      <w:pPr>
        <w:overflowPunct w:val="0"/>
        <w:autoSpaceDE w:val="0"/>
        <w:autoSpaceDN w:val="0"/>
        <w:adjustRightInd w:val="0"/>
        <w:snapToGrid w:val="0"/>
        <w:textAlignment w:val="bottom"/>
        <w:rPr>
          <w:rFonts w:ascii="Arial" w:eastAsia="黑体" w:hAnsi="Arial" w:cs="Arial"/>
          <w:bCs/>
          <w:snapToGrid w:val="0"/>
          <w:szCs w:val="21"/>
        </w:rPr>
      </w:pPr>
      <w:proofErr w:type="gramStart"/>
      <w:r>
        <w:rPr>
          <w:rFonts w:ascii="Arial" w:eastAsia="黑体" w:hAnsi="Arial" w:cs="Arial"/>
          <w:bCs/>
          <w:snapToGrid w:val="0"/>
          <w:szCs w:val="21"/>
        </w:rPr>
        <w:t>本中期</w:t>
      </w:r>
      <w:proofErr w:type="gramEnd"/>
      <w:r>
        <w:rPr>
          <w:rFonts w:ascii="Arial" w:eastAsia="黑体" w:hAnsi="Arial" w:cs="Arial"/>
          <w:bCs/>
          <w:snapToGrid w:val="0"/>
          <w:szCs w:val="21"/>
        </w:rPr>
        <w:t>财务报表按照中华人民共和国财政部（以下简称</w:t>
      </w:r>
      <w:r>
        <w:rPr>
          <w:rFonts w:ascii="Arial" w:eastAsia="黑体" w:hAnsi="Arial" w:cs="Arial"/>
          <w:bCs/>
          <w:snapToGrid w:val="0"/>
          <w:szCs w:val="21"/>
        </w:rPr>
        <w:t>“</w:t>
      </w:r>
      <w:r>
        <w:rPr>
          <w:rFonts w:ascii="Arial" w:eastAsia="黑体" w:hAnsi="Arial" w:cs="Arial"/>
          <w:bCs/>
          <w:snapToGrid w:val="0"/>
          <w:szCs w:val="21"/>
        </w:rPr>
        <w:t>财政部</w:t>
      </w:r>
      <w:r>
        <w:rPr>
          <w:rFonts w:ascii="Arial" w:eastAsia="黑体" w:hAnsi="Arial" w:cs="Arial"/>
          <w:bCs/>
          <w:snapToGrid w:val="0"/>
          <w:szCs w:val="21"/>
        </w:rPr>
        <w:t>”</w:t>
      </w:r>
      <w:r>
        <w:rPr>
          <w:rFonts w:ascii="Arial" w:eastAsia="黑体" w:hAnsi="Arial" w:cs="Arial"/>
          <w:bCs/>
          <w:snapToGrid w:val="0"/>
          <w:szCs w:val="21"/>
        </w:rPr>
        <w:t>）颁布的《企业会计准则</w:t>
      </w:r>
      <w:r>
        <w:rPr>
          <w:rFonts w:ascii="Arial" w:eastAsia="黑体" w:hAnsi="Arial" w:cs="Arial"/>
          <w:bCs/>
          <w:snapToGrid w:val="0"/>
          <w:szCs w:val="21"/>
        </w:rPr>
        <w:t>—</w:t>
      </w:r>
      <w:r>
        <w:rPr>
          <w:rFonts w:ascii="Arial" w:eastAsia="黑体" w:hAnsi="Arial" w:cs="Arial"/>
          <w:bCs/>
          <w:snapToGrid w:val="0"/>
          <w:szCs w:val="21"/>
        </w:rPr>
        <w:t>基本准则》以及其后颁布及修订的具体会计准则、企业会计准则应用指南、企业会计准则解释及其他相关规定（以下合称</w:t>
      </w:r>
      <w:r>
        <w:rPr>
          <w:rFonts w:ascii="Arial" w:eastAsia="黑体" w:hAnsi="Arial" w:cs="Arial"/>
          <w:bCs/>
          <w:snapToGrid w:val="0"/>
          <w:szCs w:val="21"/>
        </w:rPr>
        <w:t>“</w:t>
      </w:r>
      <w:r>
        <w:rPr>
          <w:rFonts w:ascii="Arial" w:eastAsia="黑体" w:hAnsi="Arial" w:cs="Arial"/>
          <w:bCs/>
          <w:snapToGrid w:val="0"/>
          <w:szCs w:val="21"/>
        </w:rPr>
        <w:t>企业会计准则</w:t>
      </w:r>
      <w:r>
        <w:rPr>
          <w:rFonts w:ascii="Arial" w:eastAsia="黑体" w:hAnsi="Arial" w:cs="Arial"/>
          <w:bCs/>
          <w:snapToGrid w:val="0"/>
          <w:szCs w:val="21"/>
        </w:rPr>
        <w:t>”</w:t>
      </w:r>
      <w:r>
        <w:rPr>
          <w:rFonts w:ascii="Arial" w:eastAsia="黑体" w:hAnsi="Arial" w:cs="Arial"/>
          <w:bCs/>
          <w:snapToGrid w:val="0"/>
          <w:szCs w:val="21"/>
        </w:rPr>
        <w:t>）编制。</w:t>
      </w:r>
      <w:proofErr w:type="gramStart"/>
      <w:r>
        <w:rPr>
          <w:rFonts w:ascii="Arial" w:eastAsia="黑体" w:hAnsi="Arial" w:cs="Arial"/>
          <w:bCs/>
          <w:snapToGrid w:val="0"/>
          <w:szCs w:val="21"/>
        </w:rPr>
        <w:t>本中期</w:t>
      </w:r>
      <w:proofErr w:type="gramEnd"/>
      <w:r>
        <w:rPr>
          <w:rFonts w:ascii="Arial" w:eastAsia="黑体" w:hAnsi="Arial" w:cs="Arial"/>
          <w:bCs/>
          <w:snapToGrid w:val="0"/>
          <w:szCs w:val="21"/>
        </w:rPr>
        <w:t>财务报表根据财政部颁布的《企业会计准则</w:t>
      </w:r>
      <w:r>
        <w:rPr>
          <w:rFonts w:ascii="Arial" w:eastAsia="黑体" w:hAnsi="Arial" w:cs="Arial"/>
          <w:bCs/>
          <w:snapToGrid w:val="0"/>
          <w:szCs w:val="21"/>
        </w:rPr>
        <w:t>32</w:t>
      </w:r>
      <w:r>
        <w:rPr>
          <w:rFonts w:ascii="Arial" w:eastAsia="黑体" w:hAnsi="Arial" w:cs="Arial"/>
          <w:bCs/>
          <w:snapToGrid w:val="0"/>
          <w:szCs w:val="21"/>
        </w:rPr>
        <w:t>号</w:t>
      </w:r>
      <w:r>
        <w:rPr>
          <w:rFonts w:ascii="Arial" w:eastAsia="黑体" w:hAnsi="Arial" w:cs="Arial"/>
          <w:bCs/>
          <w:snapToGrid w:val="0"/>
          <w:szCs w:val="21"/>
        </w:rPr>
        <w:t>—</w:t>
      </w:r>
      <w:r>
        <w:rPr>
          <w:rFonts w:ascii="Arial" w:eastAsia="黑体" w:hAnsi="Arial" w:cs="Arial"/>
          <w:bCs/>
          <w:snapToGrid w:val="0"/>
          <w:szCs w:val="21"/>
        </w:rPr>
        <w:t>中期财务报告》和中国证券监督管理委员会（以下简称</w:t>
      </w:r>
      <w:r>
        <w:rPr>
          <w:rFonts w:ascii="Arial" w:eastAsia="黑体" w:hAnsi="Arial" w:cs="Arial"/>
          <w:bCs/>
          <w:snapToGrid w:val="0"/>
          <w:szCs w:val="21"/>
        </w:rPr>
        <w:t>“</w:t>
      </w:r>
      <w:r>
        <w:rPr>
          <w:rFonts w:ascii="Arial" w:eastAsia="黑体" w:hAnsi="Arial" w:cs="Arial"/>
          <w:bCs/>
          <w:snapToGrid w:val="0"/>
          <w:szCs w:val="21"/>
        </w:rPr>
        <w:t>证监会</w:t>
      </w:r>
      <w:r>
        <w:rPr>
          <w:rFonts w:ascii="Arial" w:eastAsia="黑体" w:hAnsi="Arial" w:cs="Arial"/>
          <w:bCs/>
          <w:snapToGrid w:val="0"/>
          <w:szCs w:val="21"/>
        </w:rPr>
        <w:t>”</w:t>
      </w:r>
      <w:r>
        <w:rPr>
          <w:rFonts w:ascii="Arial" w:eastAsia="黑体" w:hAnsi="Arial" w:cs="Arial"/>
          <w:bCs/>
          <w:snapToGrid w:val="0"/>
          <w:szCs w:val="21"/>
        </w:rPr>
        <w:t>）颁布的《公开发行证券的公司信息披露内容与格式准则第</w:t>
      </w:r>
      <w:r>
        <w:rPr>
          <w:rFonts w:ascii="Arial" w:eastAsia="黑体" w:hAnsi="Arial" w:cs="Arial"/>
          <w:bCs/>
          <w:snapToGrid w:val="0"/>
          <w:szCs w:val="21"/>
        </w:rPr>
        <w:t>3</w:t>
      </w:r>
      <w:r>
        <w:rPr>
          <w:rFonts w:ascii="Arial" w:eastAsia="黑体" w:hAnsi="Arial" w:cs="Arial"/>
          <w:bCs/>
          <w:snapToGrid w:val="0"/>
          <w:szCs w:val="21"/>
        </w:rPr>
        <w:t>号</w:t>
      </w:r>
      <w:r>
        <w:rPr>
          <w:rFonts w:ascii="Arial" w:eastAsia="黑体" w:hAnsi="Arial" w:cs="Arial"/>
          <w:bCs/>
          <w:snapToGrid w:val="0"/>
          <w:szCs w:val="21"/>
        </w:rPr>
        <w:t>—</w:t>
      </w:r>
      <w:r>
        <w:rPr>
          <w:rFonts w:ascii="Arial" w:eastAsia="黑体" w:hAnsi="Arial" w:cs="Arial"/>
          <w:bCs/>
          <w:snapToGrid w:val="0"/>
          <w:szCs w:val="21"/>
        </w:rPr>
        <w:t>半年度报告的内容与格式》（</w:t>
      </w:r>
      <w:r>
        <w:rPr>
          <w:rFonts w:ascii="Arial" w:eastAsia="黑体" w:hAnsi="Arial" w:cs="Arial"/>
          <w:bCs/>
          <w:snapToGrid w:val="0"/>
          <w:szCs w:val="21"/>
        </w:rPr>
        <w:t>2021</w:t>
      </w:r>
      <w:r>
        <w:rPr>
          <w:rFonts w:ascii="Arial" w:eastAsia="黑体" w:hAnsi="Arial" w:cs="Arial"/>
          <w:bCs/>
          <w:snapToGrid w:val="0"/>
          <w:szCs w:val="21"/>
        </w:rPr>
        <w:t>年修订）的要求进行列报和披露，</w:t>
      </w:r>
      <w:proofErr w:type="gramStart"/>
      <w:r>
        <w:rPr>
          <w:rFonts w:ascii="Arial" w:eastAsia="黑体" w:hAnsi="Arial" w:cs="Arial"/>
          <w:bCs/>
          <w:snapToGrid w:val="0"/>
          <w:szCs w:val="21"/>
        </w:rPr>
        <w:t>本中期</w:t>
      </w:r>
      <w:proofErr w:type="gramEnd"/>
      <w:r>
        <w:rPr>
          <w:rFonts w:ascii="Arial" w:eastAsia="黑体" w:hAnsi="Arial" w:cs="Arial"/>
          <w:bCs/>
          <w:snapToGrid w:val="0"/>
          <w:szCs w:val="21"/>
        </w:rPr>
        <w:t>财务报表应与本集团</w:t>
      </w:r>
      <w:r>
        <w:rPr>
          <w:rFonts w:ascii="Arial" w:eastAsia="黑体" w:hAnsi="Arial" w:cs="Arial"/>
          <w:bCs/>
          <w:snapToGrid w:val="0"/>
          <w:szCs w:val="21"/>
        </w:rPr>
        <w:t>2022</w:t>
      </w:r>
      <w:r>
        <w:rPr>
          <w:rFonts w:ascii="Arial" w:eastAsia="黑体" w:hAnsi="Arial" w:cs="Arial"/>
          <w:bCs/>
          <w:snapToGrid w:val="0"/>
          <w:szCs w:val="21"/>
        </w:rPr>
        <w:t>年度财务报表一并阅读。</w:t>
      </w:r>
    </w:p>
    <w:p w:rsidR="00AD5BB5" w:rsidRDefault="00AD5BB5">
      <w:pPr>
        <w:overflowPunct w:val="0"/>
        <w:autoSpaceDE w:val="0"/>
        <w:autoSpaceDN w:val="0"/>
        <w:adjustRightInd w:val="0"/>
        <w:snapToGrid w:val="0"/>
        <w:textAlignment w:val="bottom"/>
        <w:rPr>
          <w:rFonts w:ascii="Arial" w:eastAsia="黑体" w:hAnsi="Arial" w:cs="Arial"/>
          <w:bCs/>
          <w:snapToGrid w:val="0"/>
          <w:szCs w:val="21"/>
        </w:rPr>
      </w:pPr>
    </w:p>
    <w:p w:rsidR="00AD5BB5" w:rsidRDefault="00F87FF6">
      <w:pPr>
        <w:overflowPunct w:val="0"/>
        <w:autoSpaceDE w:val="0"/>
        <w:autoSpaceDN w:val="0"/>
        <w:adjustRightInd w:val="0"/>
        <w:snapToGrid w:val="0"/>
        <w:textAlignment w:val="bottom"/>
        <w:rPr>
          <w:rFonts w:ascii="Arial" w:eastAsia="黑体" w:hAnsi="Arial" w:cs="Arial"/>
          <w:bCs/>
          <w:snapToGrid w:val="0"/>
          <w:szCs w:val="21"/>
        </w:rPr>
      </w:pPr>
      <w:proofErr w:type="gramStart"/>
      <w:r>
        <w:rPr>
          <w:rFonts w:ascii="Arial" w:eastAsia="黑体" w:hAnsi="Arial" w:cs="Arial"/>
          <w:bCs/>
          <w:snapToGrid w:val="0"/>
          <w:szCs w:val="21"/>
        </w:rPr>
        <w:t>本中期</w:t>
      </w:r>
      <w:proofErr w:type="gramEnd"/>
      <w:r>
        <w:rPr>
          <w:rFonts w:ascii="Arial" w:eastAsia="黑体" w:hAnsi="Arial" w:cs="Arial"/>
          <w:bCs/>
          <w:snapToGrid w:val="0"/>
          <w:szCs w:val="21"/>
        </w:rPr>
        <w:t>财务报表以持续经营为基础列报。</w:t>
      </w:r>
    </w:p>
    <w:p w:rsidR="00AD5BB5" w:rsidRDefault="00AD5BB5">
      <w:pPr>
        <w:overflowPunct w:val="0"/>
        <w:autoSpaceDE w:val="0"/>
        <w:autoSpaceDN w:val="0"/>
        <w:adjustRightInd w:val="0"/>
        <w:snapToGrid w:val="0"/>
        <w:textAlignment w:val="bottom"/>
        <w:rPr>
          <w:rFonts w:ascii="Arial" w:eastAsia="黑体" w:hAnsi="Arial" w:cs="Arial"/>
          <w:bCs/>
          <w:snapToGrid w:val="0"/>
          <w:szCs w:val="21"/>
        </w:rPr>
      </w:pPr>
    </w:p>
    <w:p w:rsidR="00AD5BB5" w:rsidRDefault="00F87FF6">
      <w:pPr>
        <w:overflowPunct w:val="0"/>
        <w:autoSpaceDE w:val="0"/>
        <w:autoSpaceDN w:val="0"/>
        <w:adjustRightInd w:val="0"/>
        <w:snapToGrid w:val="0"/>
        <w:textAlignment w:val="bottom"/>
        <w:rPr>
          <w:rFonts w:ascii="Arial" w:eastAsia="黑体" w:hAnsi="Arial" w:cs="Arial"/>
          <w:bCs/>
          <w:snapToGrid w:val="0"/>
          <w:szCs w:val="21"/>
        </w:rPr>
      </w:pPr>
      <w:r>
        <w:rPr>
          <w:rFonts w:ascii="Arial" w:eastAsia="黑体" w:hAnsi="Arial" w:cs="Arial"/>
          <w:snapToGrid w:val="0"/>
          <w:szCs w:val="21"/>
        </w:rPr>
        <w:t>本财务报表符合企业会计准则的要求，真实、完整地反映了本行及本集团于</w:t>
      </w:r>
      <w:r>
        <w:rPr>
          <w:rFonts w:ascii="Arial" w:eastAsia="黑体" w:hAnsi="Arial" w:cs="Arial"/>
          <w:snapToGrid w:val="0"/>
          <w:szCs w:val="21"/>
        </w:rPr>
        <w:t>2023</w:t>
      </w:r>
      <w:r>
        <w:rPr>
          <w:rFonts w:ascii="Arial" w:eastAsia="黑体" w:hAnsi="Arial" w:cs="Arial"/>
          <w:snapToGrid w:val="0"/>
          <w:szCs w:val="21"/>
        </w:rPr>
        <w:t>年</w:t>
      </w:r>
      <w:r>
        <w:rPr>
          <w:rFonts w:ascii="Arial" w:eastAsia="黑体" w:hAnsi="Arial" w:cs="Arial"/>
          <w:snapToGrid w:val="0"/>
          <w:szCs w:val="21"/>
        </w:rPr>
        <w:t>6</w:t>
      </w:r>
      <w:r>
        <w:rPr>
          <w:rFonts w:ascii="Arial" w:eastAsia="黑体" w:hAnsi="Arial" w:cs="Arial"/>
          <w:snapToGrid w:val="0"/>
          <w:szCs w:val="21"/>
        </w:rPr>
        <w:t>月</w:t>
      </w:r>
      <w:r>
        <w:rPr>
          <w:rFonts w:ascii="Arial" w:eastAsia="黑体" w:hAnsi="Arial" w:cs="Arial"/>
          <w:snapToGrid w:val="0"/>
          <w:szCs w:val="21"/>
        </w:rPr>
        <w:t>30</w:t>
      </w:r>
      <w:r>
        <w:rPr>
          <w:rFonts w:ascii="Arial" w:eastAsia="黑体" w:hAnsi="Arial" w:cs="Arial"/>
          <w:snapToGrid w:val="0"/>
          <w:szCs w:val="21"/>
        </w:rPr>
        <w:t>日的财务状况以及截至</w:t>
      </w:r>
      <w:r>
        <w:rPr>
          <w:rFonts w:ascii="Arial" w:eastAsia="黑体" w:hAnsi="Arial" w:cs="Arial"/>
          <w:snapToGrid w:val="0"/>
          <w:szCs w:val="21"/>
        </w:rPr>
        <w:t>2023</w:t>
      </w:r>
      <w:r>
        <w:rPr>
          <w:rFonts w:ascii="Arial" w:eastAsia="黑体" w:hAnsi="Arial" w:cs="Arial"/>
          <w:snapToGrid w:val="0"/>
          <w:szCs w:val="21"/>
        </w:rPr>
        <w:t>年</w:t>
      </w:r>
      <w:r>
        <w:rPr>
          <w:rFonts w:ascii="Arial" w:eastAsia="黑体" w:hAnsi="Arial" w:cs="Arial"/>
          <w:snapToGrid w:val="0"/>
          <w:szCs w:val="21"/>
        </w:rPr>
        <w:t>6</w:t>
      </w:r>
      <w:r>
        <w:rPr>
          <w:rFonts w:ascii="Arial" w:eastAsia="黑体" w:hAnsi="Arial" w:cs="Arial"/>
          <w:snapToGrid w:val="0"/>
          <w:szCs w:val="21"/>
        </w:rPr>
        <w:t>月</w:t>
      </w:r>
      <w:r>
        <w:rPr>
          <w:rFonts w:ascii="Arial" w:eastAsia="黑体" w:hAnsi="Arial" w:cs="Arial"/>
          <w:snapToGrid w:val="0"/>
          <w:szCs w:val="21"/>
        </w:rPr>
        <w:t>30</w:t>
      </w:r>
      <w:r>
        <w:rPr>
          <w:rFonts w:ascii="Arial" w:eastAsia="黑体" w:hAnsi="Arial" w:cs="Arial"/>
          <w:snapToGrid w:val="0"/>
          <w:szCs w:val="21"/>
        </w:rPr>
        <w:t>日</w:t>
      </w:r>
      <w:proofErr w:type="gramStart"/>
      <w:r>
        <w:rPr>
          <w:rFonts w:ascii="Arial" w:eastAsia="黑体" w:hAnsi="Arial" w:cs="Arial"/>
          <w:snapToGrid w:val="0"/>
          <w:szCs w:val="21"/>
        </w:rPr>
        <w:t>止</w:t>
      </w:r>
      <w:proofErr w:type="gramEnd"/>
      <w:r>
        <w:rPr>
          <w:rFonts w:ascii="Arial" w:eastAsia="黑体" w:hAnsi="Arial" w:cs="Arial"/>
          <w:snapToGrid w:val="0"/>
          <w:szCs w:val="21"/>
        </w:rPr>
        <w:t>6</w:t>
      </w:r>
      <w:r>
        <w:rPr>
          <w:rFonts w:ascii="Arial" w:eastAsia="黑体" w:hAnsi="Arial" w:cs="Arial"/>
          <w:snapToGrid w:val="0"/>
          <w:szCs w:val="21"/>
        </w:rPr>
        <w:t>个月期间的经营成果和现金流量等有关信息。</w:t>
      </w:r>
    </w:p>
    <w:p w:rsidR="00AD5BB5" w:rsidRDefault="00AD5BB5">
      <w:pPr>
        <w:overflowPunct w:val="0"/>
        <w:autoSpaceDE w:val="0"/>
        <w:autoSpaceDN w:val="0"/>
        <w:adjustRightInd w:val="0"/>
        <w:snapToGrid w:val="0"/>
        <w:textAlignment w:val="bottom"/>
        <w:rPr>
          <w:rFonts w:ascii="Arial" w:eastAsia="黑体" w:hAnsi="Arial" w:cs="Arial"/>
          <w:bCs/>
          <w:snapToGrid w:val="0"/>
          <w:szCs w:val="21"/>
        </w:rPr>
      </w:pPr>
    </w:p>
    <w:p w:rsidR="00AD5BB5" w:rsidRDefault="00AD5BB5">
      <w:pPr>
        <w:overflowPunct w:val="0"/>
        <w:autoSpaceDE w:val="0"/>
        <w:autoSpaceDN w:val="0"/>
        <w:adjustRightInd w:val="0"/>
        <w:snapToGrid w:val="0"/>
        <w:textAlignment w:val="bottom"/>
        <w:rPr>
          <w:rFonts w:ascii="Arial" w:eastAsia="黑体" w:hAnsi="Arial" w:cs="Arial"/>
          <w:bCs/>
          <w:snapToGrid w:val="0"/>
          <w:szCs w:val="21"/>
        </w:rPr>
      </w:pPr>
    </w:p>
    <w:p w:rsidR="00AD5BB5" w:rsidRDefault="00F87FF6">
      <w:pPr>
        <w:pStyle w:val="a3"/>
        <w:numPr>
          <w:ilvl w:val="0"/>
          <w:numId w:val="0"/>
        </w:numPr>
        <w:rPr>
          <w:sz w:val="21"/>
          <w:szCs w:val="21"/>
        </w:rPr>
      </w:pPr>
      <w:bookmarkStart w:id="72" w:name="afsaddin_Section_09321d1369f94b61825bd41"/>
      <w:r>
        <w:rPr>
          <w:sz w:val="21"/>
          <w:szCs w:val="21"/>
        </w:rPr>
        <w:t>三、</w:t>
      </w:r>
      <w:r>
        <w:rPr>
          <w:sz w:val="21"/>
          <w:szCs w:val="21"/>
        </w:rPr>
        <w:tab/>
      </w:r>
      <w:r>
        <w:rPr>
          <w:sz w:val="21"/>
          <w:szCs w:val="21"/>
        </w:rPr>
        <w:t>在执行会计政策中所</w:t>
      </w:r>
      <w:proofErr w:type="gramStart"/>
      <w:r>
        <w:rPr>
          <w:sz w:val="21"/>
          <w:szCs w:val="21"/>
        </w:rPr>
        <w:t>作出</w:t>
      </w:r>
      <w:proofErr w:type="gramEnd"/>
      <w:r>
        <w:rPr>
          <w:sz w:val="21"/>
          <w:szCs w:val="21"/>
        </w:rPr>
        <w:t>的重要会计估计和判断</w:t>
      </w:r>
    </w:p>
    <w:bookmarkEnd w:id="72"/>
    <w:p w:rsidR="00AD5BB5" w:rsidRDefault="00AD5BB5">
      <w:pPr>
        <w:overflowPunct w:val="0"/>
        <w:autoSpaceDE w:val="0"/>
        <w:autoSpaceDN w:val="0"/>
        <w:adjustRightInd w:val="0"/>
        <w:snapToGrid w:val="0"/>
        <w:textAlignment w:val="bottom"/>
        <w:rPr>
          <w:rFonts w:ascii="Arial" w:eastAsia="黑体" w:hAnsi="Arial" w:cs="Arial"/>
          <w:bCs/>
          <w:snapToGrid w:val="0"/>
          <w:szCs w:val="21"/>
        </w:rPr>
      </w:pPr>
    </w:p>
    <w:p w:rsidR="00AD5BB5" w:rsidRDefault="00F87FF6">
      <w:pPr>
        <w:overflowPunct w:val="0"/>
        <w:autoSpaceDE w:val="0"/>
        <w:autoSpaceDN w:val="0"/>
        <w:adjustRightInd w:val="0"/>
        <w:snapToGrid w:val="0"/>
        <w:textAlignment w:val="bottom"/>
        <w:rPr>
          <w:rFonts w:ascii="Arial" w:eastAsia="黑体" w:hAnsi="Arial" w:cs="Arial"/>
          <w:snapToGrid w:val="0"/>
          <w:szCs w:val="21"/>
        </w:rPr>
      </w:pPr>
      <w:r>
        <w:rPr>
          <w:rFonts w:ascii="Arial" w:eastAsia="黑体" w:hAnsi="Arial" w:cs="Arial"/>
          <w:snapToGrid w:val="0"/>
          <w:szCs w:val="21"/>
        </w:rPr>
        <w:t>本集团</w:t>
      </w:r>
      <w:proofErr w:type="gramStart"/>
      <w:r>
        <w:rPr>
          <w:rFonts w:ascii="Arial" w:eastAsia="黑体" w:hAnsi="Arial" w:cs="Arial"/>
          <w:snapToGrid w:val="0"/>
          <w:szCs w:val="21"/>
        </w:rPr>
        <w:t>作出</w:t>
      </w:r>
      <w:proofErr w:type="gramEnd"/>
      <w:r>
        <w:rPr>
          <w:rFonts w:ascii="Arial" w:eastAsia="黑体" w:hAnsi="Arial" w:cs="Arial"/>
          <w:snapToGrid w:val="0"/>
          <w:szCs w:val="21"/>
        </w:rPr>
        <w:t>会计估计的实质和假设与编制</w:t>
      </w:r>
      <w:r>
        <w:rPr>
          <w:rFonts w:ascii="Arial" w:eastAsia="黑体" w:hAnsi="Arial" w:cs="Arial"/>
          <w:snapToGrid w:val="0"/>
          <w:szCs w:val="21"/>
        </w:rPr>
        <w:t>2022</w:t>
      </w:r>
      <w:r>
        <w:rPr>
          <w:rFonts w:ascii="Arial" w:eastAsia="黑体" w:hAnsi="Arial" w:cs="Arial"/>
          <w:snapToGrid w:val="0"/>
          <w:szCs w:val="21"/>
        </w:rPr>
        <w:t>年度财务报表所作会计估计的实质和假设保持一致。</w:t>
      </w:r>
      <w:r>
        <w:rPr>
          <w:rFonts w:ascii="Arial" w:eastAsia="黑体" w:hAnsi="Arial" w:cs="Arial"/>
          <w:snapToGrid w:val="0"/>
          <w:szCs w:val="21"/>
        </w:rPr>
        <w:br w:type="page"/>
      </w:r>
    </w:p>
    <w:p w:rsidR="00AD5BB5" w:rsidRDefault="00AD5BB5">
      <w:pPr>
        <w:overflowPunct w:val="0"/>
        <w:autoSpaceDE w:val="0"/>
        <w:autoSpaceDN w:val="0"/>
        <w:adjustRightInd w:val="0"/>
        <w:snapToGrid w:val="0"/>
        <w:textAlignment w:val="bottom"/>
        <w:rPr>
          <w:rFonts w:ascii="Arial" w:eastAsia="黑体" w:hAnsi="Arial" w:cs="Arial"/>
          <w:snapToGrid w:val="0"/>
          <w:szCs w:val="21"/>
        </w:rPr>
      </w:pPr>
    </w:p>
    <w:p w:rsidR="00AD5BB5" w:rsidRDefault="00AD5BB5">
      <w:pPr>
        <w:overflowPunct w:val="0"/>
        <w:autoSpaceDE w:val="0"/>
        <w:autoSpaceDN w:val="0"/>
        <w:adjustRightInd w:val="0"/>
        <w:snapToGrid w:val="0"/>
        <w:textAlignment w:val="bottom"/>
        <w:rPr>
          <w:rFonts w:ascii="Arial" w:eastAsia="黑体" w:hAnsi="Arial" w:cs="Arial"/>
          <w:snapToGrid w:val="0"/>
          <w:szCs w:val="21"/>
        </w:rPr>
      </w:pPr>
    </w:p>
    <w:p w:rsidR="00AD5BB5" w:rsidRDefault="00F87FF6">
      <w:pPr>
        <w:pStyle w:val="a3"/>
        <w:numPr>
          <w:ilvl w:val="0"/>
          <w:numId w:val="0"/>
        </w:numPr>
        <w:rPr>
          <w:sz w:val="21"/>
          <w:szCs w:val="21"/>
        </w:rPr>
      </w:pPr>
      <w:bookmarkStart w:id="73" w:name="afsaddin_Section_6b5db89e978e42fc885f88c"/>
      <w:r>
        <w:rPr>
          <w:sz w:val="21"/>
          <w:szCs w:val="21"/>
        </w:rPr>
        <w:t>四、</w:t>
      </w:r>
      <w:r>
        <w:rPr>
          <w:sz w:val="21"/>
          <w:szCs w:val="21"/>
        </w:rPr>
        <w:tab/>
      </w:r>
      <w:r>
        <w:rPr>
          <w:sz w:val="21"/>
          <w:szCs w:val="21"/>
        </w:rPr>
        <w:t>税项</w:t>
      </w:r>
    </w:p>
    <w:bookmarkEnd w:id="73"/>
    <w:p w:rsidR="00AD5BB5" w:rsidRDefault="00AD5BB5">
      <w:pPr>
        <w:overflowPunct w:val="0"/>
        <w:autoSpaceDE w:val="0"/>
        <w:autoSpaceDN w:val="0"/>
        <w:adjustRightInd w:val="0"/>
        <w:snapToGrid w:val="0"/>
        <w:textAlignment w:val="bottom"/>
        <w:rPr>
          <w:rFonts w:ascii="Arial" w:eastAsia="黑体" w:hAnsi="Arial" w:cs="Arial"/>
          <w:snapToGrid w:val="0"/>
          <w:szCs w:val="21"/>
        </w:rPr>
      </w:pPr>
    </w:p>
    <w:p w:rsidR="00AD5BB5" w:rsidRDefault="00F87FF6">
      <w:pPr>
        <w:pStyle w:val="af5"/>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74" w:name="afsaddin_Section_1c729e69f748490aafa9420"/>
      <w:r>
        <w:rPr>
          <w:rFonts w:ascii="Arial" w:eastAsia="黑体" w:hAnsi="Arial" w:cs="Arial" w:hint="default"/>
          <w:bCs w:val="0"/>
          <w:snapToGrid w:val="0"/>
          <w:color w:val="auto"/>
          <w:sz w:val="21"/>
          <w:szCs w:val="21"/>
        </w:rPr>
        <w:t>主要税种及税率</w:t>
      </w:r>
      <w:bookmarkEnd w:id="74"/>
    </w:p>
    <w:p w:rsidR="00AD5BB5" w:rsidRDefault="00AD5BB5">
      <w:pPr>
        <w:overflowPunct w:val="0"/>
        <w:autoSpaceDE w:val="0"/>
        <w:autoSpaceDN w:val="0"/>
        <w:adjustRightInd w:val="0"/>
        <w:snapToGrid w:val="0"/>
        <w:textAlignment w:val="bottom"/>
        <w:rPr>
          <w:rFonts w:ascii="Arial" w:eastAsia="黑体" w:hAnsi="Arial" w:cs="Arial"/>
          <w:snapToGrid w:val="0"/>
          <w:szCs w:val="21"/>
        </w:rPr>
      </w:pPr>
    </w:p>
    <w:p w:rsidR="00AD5BB5" w:rsidRDefault="00F87FF6">
      <w:pPr>
        <w:tabs>
          <w:tab w:val="left" w:pos="2694"/>
          <w:tab w:val="right" w:pos="8329"/>
        </w:tabs>
        <w:overflowPunct w:val="0"/>
        <w:autoSpaceDE w:val="0"/>
        <w:autoSpaceDN w:val="0"/>
        <w:adjustRightInd w:val="0"/>
        <w:snapToGrid w:val="0"/>
        <w:ind w:left="728" w:right="-243" w:hanging="728"/>
        <w:textAlignment w:val="bottom"/>
        <w:rPr>
          <w:rFonts w:ascii="Arial" w:eastAsia="黑体" w:hAnsi="Arial" w:cs="Arial"/>
          <w:snapToGrid w:val="0"/>
          <w:szCs w:val="21"/>
        </w:rPr>
      </w:pPr>
      <w:r>
        <w:rPr>
          <w:rFonts w:ascii="Arial" w:eastAsia="黑体" w:hAnsi="Arial" w:cs="Arial"/>
          <w:snapToGrid w:val="0"/>
          <w:szCs w:val="21"/>
        </w:rPr>
        <w:t>税</w:t>
      </w:r>
      <w:r>
        <w:rPr>
          <w:rFonts w:ascii="Arial" w:eastAsia="黑体" w:hAnsi="Arial" w:cs="Arial"/>
          <w:snapToGrid w:val="0"/>
          <w:szCs w:val="21"/>
        </w:rPr>
        <w:t>/</w:t>
      </w:r>
      <w:r>
        <w:rPr>
          <w:rFonts w:ascii="Arial" w:eastAsia="黑体" w:hAnsi="Arial" w:cs="Arial"/>
          <w:snapToGrid w:val="0"/>
          <w:szCs w:val="21"/>
        </w:rPr>
        <w:t>费种</w:t>
      </w:r>
      <w:r>
        <w:rPr>
          <w:rFonts w:ascii="Arial" w:eastAsia="黑体" w:hAnsi="Arial" w:cs="Arial"/>
          <w:snapToGrid w:val="0"/>
          <w:szCs w:val="21"/>
        </w:rPr>
        <w:tab/>
      </w:r>
      <w:r>
        <w:rPr>
          <w:rFonts w:ascii="Arial" w:eastAsia="黑体" w:hAnsi="Arial" w:cs="Arial"/>
          <w:snapToGrid w:val="0"/>
          <w:szCs w:val="21"/>
        </w:rPr>
        <w:tab/>
      </w:r>
      <w:r>
        <w:rPr>
          <w:rFonts w:ascii="Arial" w:eastAsia="黑体" w:hAnsi="Arial" w:cs="Arial"/>
          <w:snapToGrid w:val="0"/>
          <w:szCs w:val="21"/>
        </w:rPr>
        <w:t>计提税</w:t>
      </w:r>
      <w:r>
        <w:rPr>
          <w:rFonts w:ascii="Arial" w:eastAsia="黑体" w:hAnsi="Arial" w:cs="Arial"/>
          <w:snapToGrid w:val="0"/>
          <w:szCs w:val="21"/>
        </w:rPr>
        <w:t>/</w:t>
      </w:r>
      <w:proofErr w:type="gramStart"/>
      <w:r>
        <w:rPr>
          <w:rFonts w:ascii="Arial" w:eastAsia="黑体" w:hAnsi="Arial" w:cs="Arial"/>
          <w:snapToGrid w:val="0"/>
          <w:szCs w:val="21"/>
        </w:rPr>
        <w:t>费依据</w:t>
      </w:r>
      <w:proofErr w:type="gramEnd"/>
      <w:r>
        <w:rPr>
          <w:rFonts w:ascii="Arial" w:eastAsia="黑体" w:hAnsi="Arial" w:cs="Arial"/>
          <w:snapToGrid w:val="0"/>
          <w:szCs w:val="21"/>
        </w:rPr>
        <w:tab/>
      </w:r>
      <w:r>
        <w:rPr>
          <w:rFonts w:ascii="Arial" w:eastAsia="黑体" w:hAnsi="Arial" w:cs="Arial"/>
          <w:snapToGrid w:val="0"/>
          <w:szCs w:val="21"/>
        </w:rPr>
        <w:t>税</w:t>
      </w:r>
      <w:r>
        <w:rPr>
          <w:rFonts w:ascii="Arial" w:eastAsia="黑体" w:hAnsi="Arial" w:cs="Arial"/>
          <w:snapToGrid w:val="0"/>
          <w:szCs w:val="21"/>
        </w:rPr>
        <w:t>/</w:t>
      </w:r>
      <w:r>
        <w:rPr>
          <w:rFonts w:ascii="Arial" w:eastAsia="黑体" w:hAnsi="Arial" w:cs="Arial"/>
          <w:snapToGrid w:val="0"/>
          <w:szCs w:val="21"/>
        </w:rPr>
        <w:t>费率</w:t>
      </w:r>
    </w:p>
    <w:p w:rsidR="00AD5BB5" w:rsidRDefault="00AD5BB5">
      <w:pPr>
        <w:tabs>
          <w:tab w:val="left" w:pos="3402"/>
          <w:tab w:val="right" w:pos="8312"/>
        </w:tabs>
        <w:overflowPunct w:val="0"/>
        <w:autoSpaceDE w:val="0"/>
        <w:autoSpaceDN w:val="0"/>
        <w:adjustRightInd w:val="0"/>
        <w:snapToGrid w:val="0"/>
        <w:ind w:left="720"/>
        <w:textAlignment w:val="bottom"/>
        <w:rPr>
          <w:rFonts w:ascii="Arial" w:eastAsia="黑体" w:hAnsi="Arial" w:cs="Arial"/>
          <w:snapToGrid w:val="0"/>
          <w:szCs w:val="21"/>
        </w:rPr>
      </w:pPr>
    </w:p>
    <w:p w:rsidR="00AD5BB5" w:rsidRDefault="00F87FF6">
      <w:pPr>
        <w:tabs>
          <w:tab w:val="left" w:pos="2694"/>
          <w:tab w:val="right" w:pos="8315"/>
        </w:tabs>
        <w:overflowPunct w:val="0"/>
        <w:autoSpaceDE w:val="0"/>
        <w:autoSpaceDN w:val="0"/>
        <w:adjustRightInd w:val="0"/>
        <w:snapToGrid w:val="0"/>
        <w:textAlignment w:val="bottom"/>
        <w:rPr>
          <w:rFonts w:ascii="Arial" w:eastAsia="黑体" w:hAnsi="Arial" w:cs="Arial"/>
          <w:snapToGrid w:val="0"/>
          <w:szCs w:val="21"/>
        </w:rPr>
      </w:pPr>
      <w:r>
        <w:rPr>
          <w:rFonts w:ascii="Arial" w:eastAsia="黑体" w:hAnsi="Arial" w:cs="Arial"/>
          <w:snapToGrid w:val="0"/>
          <w:szCs w:val="21"/>
        </w:rPr>
        <w:t>增值税</w:t>
      </w:r>
      <w:r>
        <w:rPr>
          <w:rFonts w:ascii="Arial" w:eastAsia="黑体" w:hAnsi="Arial" w:cs="Arial"/>
          <w:snapToGrid w:val="0"/>
          <w:szCs w:val="21"/>
        </w:rPr>
        <w:tab/>
      </w:r>
      <w:r>
        <w:rPr>
          <w:rFonts w:ascii="Arial" w:eastAsia="黑体" w:hAnsi="Arial" w:cs="Arial"/>
          <w:snapToGrid w:val="0"/>
          <w:szCs w:val="21"/>
        </w:rPr>
        <w:t>按应税收入计算销项税，并按扣</w:t>
      </w:r>
      <w:r>
        <w:rPr>
          <w:rFonts w:ascii="Arial" w:eastAsia="黑体" w:hAnsi="Arial" w:cs="Arial"/>
          <w:snapToGrid w:val="0"/>
          <w:szCs w:val="21"/>
        </w:rPr>
        <w:tab/>
        <w:t>6%</w:t>
      </w:r>
      <w:r>
        <w:rPr>
          <w:rFonts w:ascii="Arial" w:eastAsia="黑体" w:hAnsi="Arial" w:cs="Arial"/>
          <w:snapToGrid w:val="0"/>
          <w:szCs w:val="21"/>
        </w:rPr>
        <w:t>（</w:t>
      </w:r>
      <w:r>
        <w:rPr>
          <w:rFonts w:ascii="Arial" w:eastAsia="黑体" w:hAnsi="Arial" w:cs="Arial"/>
          <w:snapToGrid w:val="0"/>
          <w:szCs w:val="21"/>
        </w:rPr>
        <w:t>2%</w:t>
      </w:r>
      <w:r>
        <w:rPr>
          <w:rFonts w:ascii="Arial" w:eastAsia="黑体" w:hAnsi="Arial" w:cs="Arial"/>
          <w:snapToGrid w:val="0"/>
          <w:szCs w:val="21"/>
        </w:rPr>
        <w:t>或</w:t>
      </w:r>
      <w:r>
        <w:rPr>
          <w:rFonts w:ascii="Arial" w:eastAsia="黑体" w:hAnsi="Arial" w:cs="Arial"/>
          <w:snapToGrid w:val="0"/>
          <w:szCs w:val="21"/>
        </w:rPr>
        <w:t>3%</w:t>
      </w:r>
    </w:p>
    <w:p w:rsidR="00AD5BB5" w:rsidRDefault="00F87FF6">
      <w:pPr>
        <w:tabs>
          <w:tab w:val="left" w:pos="2694"/>
          <w:tab w:val="right" w:pos="8315"/>
        </w:tabs>
        <w:overflowPunct w:val="0"/>
        <w:autoSpaceDE w:val="0"/>
        <w:autoSpaceDN w:val="0"/>
        <w:adjustRightInd w:val="0"/>
        <w:snapToGrid w:val="0"/>
        <w:textAlignment w:val="bottom"/>
        <w:rPr>
          <w:rFonts w:ascii="Arial" w:eastAsia="黑体" w:hAnsi="Arial" w:cs="Arial"/>
          <w:snapToGrid w:val="0"/>
          <w:szCs w:val="21"/>
        </w:rPr>
      </w:pPr>
      <w:r>
        <w:rPr>
          <w:rFonts w:ascii="Arial" w:eastAsia="黑体" w:hAnsi="Arial" w:cs="Arial"/>
          <w:snapToGrid w:val="0"/>
          <w:szCs w:val="21"/>
        </w:rPr>
        <w:tab/>
      </w:r>
      <w:r>
        <w:rPr>
          <w:rFonts w:ascii="Arial" w:eastAsia="黑体" w:hAnsi="Arial" w:cs="Arial"/>
          <w:snapToGrid w:val="0"/>
          <w:szCs w:val="21"/>
        </w:rPr>
        <w:t>除当期允许抵扣的进项税额后的</w:t>
      </w:r>
      <w:r>
        <w:rPr>
          <w:rFonts w:ascii="Arial" w:eastAsia="黑体" w:hAnsi="Arial" w:cs="Arial"/>
          <w:snapToGrid w:val="0"/>
          <w:szCs w:val="21"/>
        </w:rPr>
        <w:tab/>
      </w:r>
      <w:r>
        <w:rPr>
          <w:rFonts w:ascii="Arial" w:eastAsia="黑体" w:hAnsi="Arial" w:cs="Arial"/>
          <w:snapToGrid w:val="0"/>
          <w:szCs w:val="21"/>
        </w:rPr>
        <w:t>或</w:t>
      </w:r>
      <w:r>
        <w:rPr>
          <w:rFonts w:ascii="Arial" w:eastAsia="黑体" w:hAnsi="Arial" w:cs="Arial"/>
          <w:snapToGrid w:val="0"/>
          <w:szCs w:val="21"/>
        </w:rPr>
        <w:t>5%</w:t>
      </w:r>
      <w:r>
        <w:rPr>
          <w:rFonts w:ascii="Arial" w:eastAsia="黑体" w:hAnsi="Arial" w:cs="Arial"/>
          <w:snapToGrid w:val="0"/>
          <w:szCs w:val="21"/>
        </w:rPr>
        <w:t>或</w:t>
      </w:r>
      <w:r>
        <w:rPr>
          <w:rFonts w:ascii="Arial" w:eastAsia="黑体" w:hAnsi="Arial" w:cs="Arial"/>
          <w:snapToGrid w:val="0"/>
          <w:szCs w:val="21"/>
        </w:rPr>
        <w:t>13%</w:t>
      </w:r>
      <w:r>
        <w:rPr>
          <w:rFonts w:ascii="Arial" w:eastAsia="黑体" w:hAnsi="Arial" w:cs="Arial"/>
          <w:snapToGrid w:val="0"/>
          <w:szCs w:val="21"/>
        </w:rPr>
        <w:t>）</w:t>
      </w:r>
    </w:p>
    <w:p w:rsidR="00AD5BB5" w:rsidRDefault="00F87FF6">
      <w:pPr>
        <w:tabs>
          <w:tab w:val="left" w:pos="2694"/>
          <w:tab w:val="right" w:pos="8287"/>
        </w:tabs>
        <w:overflowPunct w:val="0"/>
        <w:autoSpaceDE w:val="0"/>
        <w:autoSpaceDN w:val="0"/>
        <w:adjustRightInd w:val="0"/>
        <w:snapToGrid w:val="0"/>
        <w:ind w:left="720" w:right="-243"/>
        <w:textAlignment w:val="bottom"/>
        <w:rPr>
          <w:rFonts w:ascii="Arial" w:eastAsia="黑体" w:hAnsi="Arial" w:cs="Arial"/>
          <w:snapToGrid w:val="0"/>
          <w:szCs w:val="21"/>
        </w:rPr>
      </w:pPr>
      <w:r>
        <w:rPr>
          <w:rFonts w:ascii="Arial" w:eastAsia="黑体" w:hAnsi="Arial" w:cs="Arial"/>
          <w:snapToGrid w:val="0"/>
          <w:szCs w:val="21"/>
        </w:rPr>
        <w:tab/>
      </w:r>
      <w:r>
        <w:rPr>
          <w:rFonts w:ascii="Arial" w:eastAsia="黑体" w:hAnsi="Arial" w:cs="Arial"/>
          <w:snapToGrid w:val="0"/>
          <w:szCs w:val="21"/>
        </w:rPr>
        <w:t>差额计缴（注</w:t>
      </w:r>
      <w:r>
        <w:rPr>
          <w:rFonts w:ascii="Arial" w:eastAsia="黑体" w:hAnsi="Arial" w:cs="Arial"/>
          <w:snapToGrid w:val="0"/>
          <w:szCs w:val="21"/>
        </w:rPr>
        <w:t>1</w:t>
      </w:r>
      <w:r>
        <w:rPr>
          <w:rFonts w:ascii="Arial" w:eastAsia="黑体" w:hAnsi="Arial" w:cs="Arial"/>
          <w:snapToGrid w:val="0"/>
          <w:szCs w:val="21"/>
        </w:rPr>
        <w:t>）</w:t>
      </w:r>
    </w:p>
    <w:p w:rsidR="00AD5BB5" w:rsidRDefault="00AD5BB5">
      <w:pPr>
        <w:tabs>
          <w:tab w:val="left" w:pos="2980"/>
          <w:tab w:val="right" w:pos="8287"/>
        </w:tabs>
        <w:overflowPunct w:val="0"/>
        <w:autoSpaceDE w:val="0"/>
        <w:autoSpaceDN w:val="0"/>
        <w:adjustRightInd w:val="0"/>
        <w:snapToGrid w:val="0"/>
        <w:ind w:left="728" w:right="-243" w:hanging="8"/>
        <w:textAlignment w:val="bottom"/>
        <w:rPr>
          <w:rFonts w:ascii="Arial" w:eastAsia="黑体" w:hAnsi="Arial" w:cs="Arial"/>
          <w:snapToGrid w:val="0"/>
          <w:szCs w:val="21"/>
        </w:rPr>
      </w:pPr>
    </w:p>
    <w:p w:rsidR="00AD5BB5" w:rsidRDefault="00F87FF6">
      <w:pPr>
        <w:tabs>
          <w:tab w:val="left" w:pos="2694"/>
          <w:tab w:val="right" w:pos="8315"/>
        </w:tabs>
        <w:overflowPunct w:val="0"/>
        <w:autoSpaceDE w:val="0"/>
        <w:autoSpaceDN w:val="0"/>
        <w:adjustRightInd w:val="0"/>
        <w:snapToGrid w:val="0"/>
        <w:textAlignment w:val="bottom"/>
        <w:rPr>
          <w:rFonts w:ascii="Arial" w:eastAsia="黑体" w:hAnsi="Arial" w:cs="Arial"/>
          <w:snapToGrid w:val="0"/>
          <w:szCs w:val="21"/>
        </w:rPr>
      </w:pPr>
      <w:r>
        <w:rPr>
          <w:rFonts w:ascii="Arial" w:eastAsia="黑体" w:hAnsi="Arial" w:cs="Arial"/>
          <w:snapToGrid w:val="0"/>
          <w:szCs w:val="21"/>
        </w:rPr>
        <w:t>城建税</w:t>
      </w:r>
      <w:r>
        <w:rPr>
          <w:rFonts w:ascii="Arial" w:eastAsia="黑体" w:hAnsi="Arial" w:cs="Arial"/>
          <w:snapToGrid w:val="0"/>
          <w:szCs w:val="21"/>
        </w:rPr>
        <w:tab/>
      </w:r>
      <w:r>
        <w:rPr>
          <w:rFonts w:ascii="Arial" w:eastAsia="黑体" w:hAnsi="Arial" w:cs="Arial"/>
          <w:snapToGrid w:val="0"/>
          <w:szCs w:val="21"/>
        </w:rPr>
        <w:t>实际缴纳的增值税</w:t>
      </w:r>
      <w:r>
        <w:rPr>
          <w:rFonts w:ascii="Arial" w:eastAsia="黑体" w:hAnsi="Arial" w:cs="Arial"/>
          <w:snapToGrid w:val="0"/>
          <w:szCs w:val="21"/>
        </w:rPr>
        <w:tab/>
        <w:t>7%</w:t>
      </w:r>
    </w:p>
    <w:p w:rsidR="00AD5BB5" w:rsidRDefault="00AD5BB5">
      <w:pPr>
        <w:tabs>
          <w:tab w:val="left" w:pos="2980"/>
          <w:tab w:val="right" w:pos="8287"/>
        </w:tabs>
        <w:overflowPunct w:val="0"/>
        <w:autoSpaceDE w:val="0"/>
        <w:autoSpaceDN w:val="0"/>
        <w:adjustRightInd w:val="0"/>
        <w:snapToGrid w:val="0"/>
        <w:ind w:left="728" w:right="-243" w:hanging="8"/>
        <w:textAlignment w:val="bottom"/>
        <w:rPr>
          <w:rFonts w:ascii="Arial" w:eastAsia="黑体" w:hAnsi="Arial" w:cs="Arial"/>
          <w:snapToGrid w:val="0"/>
          <w:szCs w:val="21"/>
        </w:rPr>
      </w:pPr>
    </w:p>
    <w:p w:rsidR="00AD5BB5" w:rsidRDefault="00F87FF6">
      <w:pPr>
        <w:tabs>
          <w:tab w:val="left" w:pos="2694"/>
          <w:tab w:val="right" w:pos="8315"/>
        </w:tabs>
        <w:overflowPunct w:val="0"/>
        <w:autoSpaceDE w:val="0"/>
        <w:autoSpaceDN w:val="0"/>
        <w:adjustRightInd w:val="0"/>
        <w:snapToGrid w:val="0"/>
        <w:textAlignment w:val="bottom"/>
        <w:rPr>
          <w:rFonts w:ascii="Arial" w:eastAsia="黑体" w:hAnsi="Arial" w:cs="Arial"/>
          <w:snapToGrid w:val="0"/>
          <w:szCs w:val="21"/>
        </w:rPr>
      </w:pPr>
      <w:r>
        <w:rPr>
          <w:rFonts w:ascii="Arial" w:eastAsia="黑体" w:hAnsi="Arial" w:cs="Arial"/>
          <w:snapToGrid w:val="0"/>
          <w:szCs w:val="21"/>
        </w:rPr>
        <w:t>教育费附加</w:t>
      </w:r>
      <w:r>
        <w:rPr>
          <w:rFonts w:ascii="Arial" w:eastAsia="黑体" w:hAnsi="Arial" w:cs="Arial"/>
          <w:snapToGrid w:val="0"/>
          <w:szCs w:val="21"/>
        </w:rPr>
        <w:tab/>
      </w:r>
      <w:r>
        <w:rPr>
          <w:rFonts w:ascii="Arial" w:eastAsia="黑体" w:hAnsi="Arial" w:cs="Arial"/>
          <w:snapToGrid w:val="0"/>
          <w:szCs w:val="21"/>
        </w:rPr>
        <w:t>实际缴纳的增值税</w:t>
      </w:r>
      <w:r>
        <w:rPr>
          <w:rFonts w:ascii="Arial" w:eastAsia="黑体" w:hAnsi="Arial" w:cs="Arial"/>
          <w:snapToGrid w:val="0"/>
          <w:szCs w:val="21"/>
        </w:rPr>
        <w:tab/>
        <w:t>5%</w:t>
      </w:r>
    </w:p>
    <w:p w:rsidR="00AD5BB5" w:rsidRDefault="00AD5BB5">
      <w:pPr>
        <w:tabs>
          <w:tab w:val="left" w:pos="2980"/>
          <w:tab w:val="right" w:pos="8287"/>
        </w:tabs>
        <w:overflowPunct w:val="0"/>
        <w:autoSpaceDE w:val="0"/>
        <w:autoSpaceDN w:val="0"/>
        <w:adjustRightInd w:val="0"/>
        <w:snapToGrid w:val="0"/>
        <w:ind w:left="728" w:right="-243" w:hanging="8"/>
        <w:textAlignment w:val="bottom"/>
        <w:rPr>
          <w:rFonts w:ascii="Arial" w:eastAsia="黑体" w:hAnsi="Arial" w:cs="Arial"/>
          <w:snapToGrid w:val="0"/>
          <w:szCs w:val="21"/>
        </w:rPr>
      </w:pPr>
    </w:p>
    <w:p w:rsidR="00AD5BB5" w:rsidRDefault="00F87FF6">
      <w:pPr>
        <w:tabs>
          <w:tab w:val="left" w:pos="2694"/>
          <w:tab w:val="right" w:pos="8315"/>
        </w:tabs>
        <w:overflowPunct w:val="0"/>
        <w:autoSpaceDE w:val="0"/>
        <w:autoSpaceDN w:val="0"/>
        <w:adjustRightInd w:val="0"/>
        <w:snapToGrid w:val="0"/>
        <w:textAlignment w:val="bottom"/>
        <w:rPr>
          <w:rFonts w:ascii="Arial" w:eastAsia="黑体" w:hAnsi="Arial" w:cs="Arial"/>
          <w:szCs w:val="21"/>
        </w:rPr>
      </w:pPr>
      <w:r>
        <w:rPr>
          <w:rFonts w:ascii="Arial" w:eastAsia="黑体" w:hAnsi="Arial" w:cs="Arial"/>
          <w:snapToGrid w:val="0"/>
          <w:szCs w:val="21"/>
        </w:rPr>
        <w:t>企业所得税</w:t>
      </w:r>
      <w:r>
        <w:rPr>
          <w:rFonts w:ascii="Arial" w:eastAsia="黑体" w:hAnsi="Arial" w:cs="Arial"/>
          <w:snapToGrid w:val="0"/>
          <w:szCs w:val="21"/>
        </w:rPr>
        <w:tab/>
      </w:r>
      <w:r>
        <w:rPr>
          <w:rFonts w:ascii="Arial" w:eastAsia="黑体" w:hAnsi="Arial" w:cs="Arial"/>
          <w:snapToGrid w:val="0"/>
          <w:szCs w:val="21"/>
        </w:rPr>
        <w:t>应纳税所得额</w:t>
      </w:r>
      <w:r>
        <w:rPr>
          <w:rFonts w:ascii="Arial" w:eastAsia="黑体" w:hAnsi="Arial" w:cs="Arial"/>
          <w:snapToGrid w:val="0"/>
          <w:szCs w:val="21"/>
        </w:rPr>
        <w:tab/>
        <w:t>25%</w:t>
      </w:r>
    </w:p>
    <w:p w:rsidR="00AD5BB5" w:rsidRDefault="00AD5BB5">
      <w:pPr>
        <w:overflowPunct w:val="0"/>
        <w:autoSpaceDE w:val="0"/>
        <w:autoSpaceDN w:val="0"/>
        <w:adjustRightInd w:val="0"/>
        <w:snapToGrid w:val="0"/>
        <w:textAlignment w:val="bottom"/>
        <w:rPr>
          <w:rFonts w:ascii="Arial" w:eastAsia="黑体" w:hAnsi="Arial" w:cs="Arial"/>
          <w:snapToGrid w:val="0"/>
          <w:szCs w:val="21"/>
        </w:rPr>
      </w:pPr>
    </w:p>
    <w:p w:rsidR="00AD5BB5" w:rsidRDefault="00F87FF6">
      <w:pPr>
        <w:overflowPunct w:val="0"/>
        <w:autoSpaceDE w:val="0"/>
        <w:autoSpaceDN w:val="0"/>
        <w:adjustRightInd w:val="0"/>
        <w:snapToGrid w:val="0"/>
        <w:ind w:left="720" w:hanging="720"/>
        <w:textAlignment w:val="bottom"/>
        <w:rPr>
          <w:rFonts w:ascii="Arial" w:eastAsia="黑体" w:hAnsi="Arial" w:cs="Arial"/>
          <w:snapToGrid w:val="0"/>
          <w:szCs w:val="21"/>
        </w:rPr>
      </w:pPr>
      <w:r>
        <w:rPr>
          <w:rFonts w:ascii="Arial" w:eastAsia="黑体" w:hAnsi="Arial" w:cs="Arial"/>
          <w:snapToGrid w:val="0"/>
          <w:szCs w:val="21"/>
        </w:rPr>
        <w:t>注</w:t>
      </w:r>
      <w:r>
        <w:rPr>
          <w:rFonts w:ascii="Arial" w:eastAsia="黑体" w:hAnsi="Arial" w:cs="Arial"/>
          <w:snapToGrid w:val="0"/>
          <w:szCs w:val="21"/>
        </w:rPr>
        <w:t>1</w:t>
      </w:r>
      <w:r>
        <w:rPr>
          <w:rFonts w:ascii="Arial" w:eastAsia="黑体" w:hAnsi="Arial" w:cs="Arial"/>
          <w:snapToGrid w:val="0"/>
          <w:szCs w:val="21"/>
        </w:rPr>
        <w:t>：</w:t>
      </w:r>
      <w:r>
        <w:rPr>
          <w:rFonts w:ascii="Arial" w:eastAsia="黑体" w:hAnsi="Arial" w:cs="Arial"/>
          <w:snapToGrid w:val="0"/>
          <w:szCs w:val="21"/>
        </w:rPr>
        <w:tab/>
      </w:r>
      <w:r>
        <w:rPr>
          <w:rFonts w:ascii="Arial" w:eastAsia="黑体" w:hAnsi="Arial" w:cs="Arial"/>
          <w:snapToGrid w:val="0"/>
          <w:szCs w:val="21"/>
        </w:rPr>
        <w:t>应税收</w:t>
      </w:r>
      <w:proofErr w:type="gramStart"/>
      <w:r>
        <w:rPr>
          <w:rFonts w:ascii="Arial" w:eastAsia="黑体" w:hAnsi="Arial" w:cs="Arial"/>
          <w:snapToGrid w:val="0"/>
          <w:szCs w:val="21"/>
        </w:rPr>
        <w:t>入包括</w:t>
      </w:r>
      <w:proofErr w:type="gramEnd"/>
      <w:r>
        <w:rPr>
          <w:rFonts w:ascii="Arial" w:eastAsia="黑体" w:hAnsi="Arial" w:cs="Arial"/>
          <w:snapToGrid w:val="0"/>
          <w:szCs w:val="21"/>
        </w:rPr>
        <w:t>贷款服务收入、直接收费金融服务收入和金融商品转让收入。</w:t>
      </w:r>
    </w:p>
    <w:p w:rsidR="00AD5BB5" w:rsidRDefault="00AD5BB5">
      <w:pPr>
        <w:overflowPunct w:val="0"/>
        <w:autoSpaceDE w:val="0"/>
        <w:autoSpaceDN w:val="0"/>
        <w:adjustRightInd w:val="0"/>
        <w:snapToGrid w:val="0"/>
        <w:textAlignment w:val="bottom"/>
        <w:rPr>
          <w:rFonts w:ascii="Arial" w:eastAsia="黑体" w:hAnsi="Arial" w:cs="Arial"/>
          <w:snapToGrid w:val="0"/>
          <w:szCs w:val="21"/>
        </w:rPr>
      </w:pPr>
    </w:p>
    <w:p w:rsidR="00AD5BB5" w:rsidRDefault="00AD5BB5">
      <w:pPr>
        <w:overflowPunct w:val="0"/>
        <w:autoSpaceDE w:val="0"/>
        <w:autoSpaceDN w:val="0"/>
        <w:adjustRightInd w:val="0"/>
        <w:snapToGrid w:val="0"/>
        <w:textAlignment w:val="bottom"/>
        <w:rPr>
          <w:rFonts w:ascii="Arial" w:eastAsia="黑体" w:hAnsi="Arial" w:cs="Arial"/>
          <w:snapToGrid w:val="0"/>
          <w:szCs w:val="21"/>
        </w:rPr>
      </w:pPr>
    </w:p>
    <w:p w:rsidR="00AD5BB5" w:rsidRDefault="00F87FF6">
      <w:pPr>
        <w:pStyle w:val="a3"/>
        <w:numPr>
          <w:ilvl w:val="0"/>
          <w:numId w:val="0"/>
        </w:numPr>
        <w:rPr>
          <w:sz w:val="21"/>
          <w:szCs w:val="21"/>
        </w:rPr>
      </w:pPr>
      <w:bookmarkStart w:id="75" w:name="afsaddin_Section_1e0869e2b13b4d7c973bc4e"/>
      <w:bookmarkEnd w:id="69"/>
      <w:r>
        <w:rPr>
          <w:sz w:val="21"/>
          <w:szCs w:val="21"/>
        </w:rPr>
        <w:t>五、</w:t>
      </w:r>
      <w:r>
        <w:rPr>
          <w:sz w:val="21"/>
          <w:szCs w:val="21"/>
        </w:rPr>
        <w:tab/>
      </w:r>
      <w:r>
        <w:rPr>
          <w:sz w:val="21"/>
          <w:szCs w:val="21"/>
        </w:rPr>
        <w:t>合并财务报表主要项目注释</w:t>
      </w:r>
    </w:p>
    <w:bookmarkEnd w:id="75"/>
    <w:p w:rsidR="00AD5BB5" w:rsidRDefault="00AD5BB5">
      <w:pPr>
        <w:overflowPunct w:val="0"/>
        <w:autoSpaceDE w:val="0"/>
        <w:autoSpaceDN w:val="0"/>
        <w:adjustRightInd w:val="0"/>
        <w:snapToGrid w:val="0"/>
        <w:textAlignment w:val="bottom"/>
        <w:rPr>
          <w:rFonts w:ascii="Arial" w:eastAsia="黑体" w:hAnsi="Arial" w:cs="Arial"/>
          <w:snapToGrid w:val="0"/>
          <w:szCs w:val="21"/>
        </w:rPr>
      </w:pPr>
    </w:p>
    <w:p w:rsidR="00AD5BB5" w:rsidRDefault="00F87FF6">
      <w:pPr>
        <w:pStyle w:val="af5"/>
        <w:jc w:val="left"/>
        <w:rPr>
          <w:rFonts w:hint="default"/>
          <w:sz w:val="21"/>
          <w:szCs w:val="21"/>
        </w:rPr>
      </w:pPr>
      <w:bookmarkStart w:id="76" w:name="afsaddin_Section_abf5ed1d9d694d889959366"/>
      <w:r>
        <w:rPr>
          <w:rFonts w:ascii="Arial" w:eastAsia="黑体" w:hAnsi="Arial" w:cs="Arial" w:hint="default"/>
          <w:bCs w:val="0"/>
          <w:snapToGrid w:val="0"/>
          <w:color w:val="auto"/>
          <w:sz w:val="21"/>
          <w:szCs w:val="21"/>
        </w:rPr>
        <w:t>1.</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现金及存放中央银行款项</w:t>
      </w:r>
    </w:p>
    <w:bookmarkEnd w:id="76"/>
    <w:p w:rsidR="00AD5BB5" w:rsidRDefault="00AD5BB5">
      <w:pPr>
        <w:overflowPunct w:val="0"/>
        <w:autoSpaceDE w:val="0"/>
        <w:autoSpaceDN w:val="0"/>
        <w:adjustRightInd w:val="0"/>
        <w:snapToGrid w:val="0"/>
        <w:textAlignment w:val="bottom"/>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86fafe26-c803-4cd9-a88b-841c43434bfa"/>
        <w:tblDescription w:val="{&quot;UUID&quot;:&quot;afsaddin_tabledata_2_56437_86fafe26-c803-4cd9-a88b-841c43434bfa&quot;,&quot;TitleRowCount&quot;:2,&quot;SplitedTable&quot;:false,&quot;FirstTableId&quot;:&quot;86fafe26-c803-4cd9-a88b-841c43434bfa&quot;}"/>
      </w:tblPr>
      <w:tblGrid>
        <w:gridCol w:w="3444"/>
        <w:gridCol w:w="109"/>
        <w:gridCol w:w="2270"/>
        <w:gridCol w:w="110"/>
        <w:gridCol w:w="110"/>
        <w:gridCol w:w="2300"/>
        <w:gridCol w:w="110"/>
      </w:tblGrid>
      <w:tr w:rsidR="00AD5BB5">
        <w:tc>
          <w:tcPr>
            <w:tcW w:w="3444"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0"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当期资产负债表日</w:instrText>
            </w:r>
            <w:r>
              <w:rPr>
                <w:rFonts w:ascii="Arial" w:eastAsia="黑体" w:hAnsi="Arial" w:cs="Arial"/>
                <w:szCs w:val="21"/>
              </w:rPr>
              <w:instrText xml:space="preserve"> </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t>年</w:t>
            </w:r>
            <w:r>
              <w:rPr>
                <w:rFonts w:ascii="Arial" w:eastAsia="黑体" w:hAnsi="Arial" w:cs="Arial"/>
                <w:szCs w:val="21"/>
              </w:rPr>
              <w:t>6</w:t>
            </w:r>
            <w:r>
              <w:rPr>
                <w:rFonts w:ascii="Arial" w:eastAsia="黑体" w:hAnsi="Arial" w:cs="Arial"/>
                <w:szCs w:val="21"/>
              </w:rPr>
              <w:t>月</w:t>
            </w:r>
            <w:r>
              <w:rPr>
                <w:rFonts w:ascii="Arial" w:eastAsia="黑体" w:hAnsi="Arial" w:cs="Arial"/>
                <w:szCs w:val="21"/>
              </w:rPr>
              <w:t>30</w:t>
            </w:r>
            <w:r>
              <w:rPr>
                <w:rFonts w:ascii="Arial" w:eastAsia="黑体" w:hAnsi="Arial" w:cs="Arial"/>
                <w:szCs w:val="21"/>
              </w:rPr>
              <w:t>日</w:t>
            </w:r>
            <w:r>
              <w:rPr>
                <w:rFonts w:ascii="Arial" w:eastAsia="黑体" w:hAnsi="Arial" w:cs="Arial"/>
                <w:szCs w:val="21"/>
              </w:rPr>
              <w:fldChar w:fldCharType="end"/>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00"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szCs w:val="21"/>
              </w:rPr>
            </w:pPr>
            <w:r>
              <w:rPr>
                <w:rFonts w:ascii="Arial" w:eastAsia="黑体" w:hAnsi="Arial" w:cs="Arial"/>
                <w:szCs w:val="21"/>
              </w:rPr>
              <w:t>2022</w:t>
            </w:r>
            <w:r>
              <w:rPr>
                <w:rFonts w:ascii="Arial" w:eastAsia="黑体" w:hAnsi="Arial" w:cs="Arial"/>
                <w:szCs w:val="21"/>
              </w:rPr>
              <w:t>年</w:t>
            </w:r>
            <w:r>
              <w:rPr>
                <w:rFonts w:ascii="Arial" w:eastAsia="黑体" w:hAnsi="Arial" w:cs="Arial"/>
                <w:szCs w:val="21"/>
              </w:rPr>
              <w:t>12</w:t>
            </w:r>
            <w:r>
              <w:rPr>
                <w:rFonts w:ascii="Arial" w:eastAsia="黑体" w:hAnsi="Arial" w:cs="Arial"/>
                <w:szCs w:val="21"/>
              </w:rPr>
              <w:t>月</w:t>
            </w:r>
            <w:r>
              <w:rPr>
                <w:rFonts w:ascii="Arial" w:eastAsia="黑体" w:hAnsi="Arial" w:cs="Arial"/>
                <w:szCs w:val="21"/>
              </w:rPr>
              <w:t>31</w:t>
            </w:r>
            <w:r>
              <w:rPr>
                <w:rFonts w:ascii="Arial" w:eastAsia="黑体" w:hAnsi="Arial" w:cs="Arial"/>
                <w:szCs w:val="21"/>
              </w:rPr>
              <w:t>日</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r>
      <w:tr w:rsidR="00AD5BB5">
        <w:tc>
          <w:tcPr>
            <w:tcW w:w="3444"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0"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00"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r>
      <w:tr w:rsidR="00AD5BB5">
        <w:tc>
          <w:tcPr>
            <w:tcW w:w="3444"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库存现金</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70"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230,076,577.40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00"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232,517,983.41</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444"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存放中央银行款项</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70"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00"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444"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color w:val="000000"/>
                <w:szCs w:val="21"/>
              </w:rPr>
            </w:pPr>
            <w:r>
              <w:rPr>
                <w:rFonts w:ascii="Arial" w:eastAsia="黑体" w:hAnsi="Arial" w:cs="Arial"/>
                <w:color w:val="000000"/>
                <w:szCs w:val="21"/>
              </w:rPr>
              <w:t>－</w:t>
            </w:r>
            <w:r>
              <w:rPr>
                <w:rFonts w:ascii="Arial" w:eastAsia="黑体" w:hAnsi="Arial" w:cs="Arial"/>
                <w:color w:val="000000"/>
                <w:szCs w:val="21"/>
              </w:rPr>
              <w:t xml:space="preserve"> </w:t>
            </w:r>
            <w:r>
              <w:rPr>
                <w:rFonts w:ascii="Arial" w:eastAsia="黑体" w:hAnsi="Arial" w:cs="Arial"/>
                <w:color w:val="000000"/>
                <w:szCs w:val="21"/>
              </w:rPr>
              <w:t>法定存款准备金</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70"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12,765,584,328.78</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00"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14,542,640,935.33</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444"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color w:val="000000"/>
                <w:szCs w:val="21"/>
              </w:rPr>
            </w:pPr>
            <w:r>
              <w:rPr>
                <w:rFonts w:ascii="Arial" w:eastAsia="黑体" w:hAnsi="Arial" w:cs="Arial"/>
                <w:color w:val="000000"/>
                <w:szCs w:val="21"/>
              </w:rPr>
              <w:t>－</w:t>
            </w:r>
            <w:r>
              <w:rPr>
                <w:rFonts w:ascii="Arial" w:eastAsia="黑体" w:hAnsi="Arial" w:cs="Arial"/>
                <w:color w:val="000000"/>
                <w:szCs w:val="21"/>
              </w:rPr>
              <w:t xml:space="preserve"> </w:t>
            </w:r>
            <w:r>
              <w:rPr>
                <w:rFonts w:ascii="Arial" w:eastAsia="黑体" w:hAnsi="Arial" w:cs="Arial"/>
                <w:color w:val="000000"/>
                <w:szCs w:val="21"/>
              </w:rPr>
              <w:t>超额存款准备金</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70"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4,310,536,906.75</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00"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22" w:right="46"/>
              <w:jc w:val="right"/>
              <w:rPr>
                <w:rFonts w:ascii="Arial" w:eastAsia="黑体" w:hAnsi="Arial" w:cs="Arial"/>
                <w:color w:val="000000"/>
                <w:szCs w:val="21"/>
              </w:rPr>
            </w:pPr>
            <w:r>
              <w:rPr>
                <w:rFonts w:ascii="Arial" w:eastAsia="黑体" w:hAnsi="Arial" w:cs="Arial"/>
                <w:color w:val="000000"/>
                <w:szCs w:val="21"/>
              </w:rPr>
              <w:t>10,364,227,720.48</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444"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color w:val="000000"/>
                <w:szCs w:val="21"/>
              </w:rPr>
            </w:pPr>
            <w:r>
              <w:rPr>
                <w:rFonts w:ascii="Arial" w:eastAsia="黑体" w:hAnsi="Arial" w:cs="Arial"/>
                <w:color w:val="000000"/>
                <w:szCs w:val="21"/>
              </w:rPr>
              <w:t>－</w:t>
            </w:r>
            <w:r>
              <w:rPr>
                <w:rFonts w:ascii="Arial" w:eastAsia="黑体" w:hAnsi="Arial" w:cs="Arial"/>
                <w:color w:val="000000"/>
                <w:szCs w:val="21"/>
              </w:rPr>
              <w:t xml:space="preserve"> </w:t>
            </w:r>
            <w:r>
              <w:rPr>
                <w:rFonts w:ascii="Arial" w:eastAsia="黑体" w:hAnsi="Arial" w:cs="Arial"/>
                <w:color w:val="000000"/>
                <w:szCs w:val="21"/>
              </w:rPr>
              <w:t>财政性存款</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70"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4,169,750,000.00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00"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4,623,355,000.00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444"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Chars="92" w:left="222" w:hangingChars="14" w:hanging="29"/>
              <w:rPr>
                <w:rFonts w:ascii="Arial" w:eastAsia="黑体" w:hAnsi="Arial" w:cs="Arial"/>
                <w:szCs w:val="21"/>
              </w:rPr>
            </w:pPr>
            <w:r>
              <w:rPr>
                <w:rFonts w:ascii="Arial" w:eastAsia="黑体" w:hAnsi="Arial" w:cs="Arial"/>
                <w:szCs w:val="21"/>
              </w:rPr>
              <w:t>－</w:t>
            </w:r>
            <w:r>
              <w:rPr>
                <w:rFonts w:ascii="Arial" w:eastAsia="黑体" w:hAnsi="Arial" w:cs="Arial"/>
                <w:sz w:val="8"/>
                <w:szCs w:val="8"/>
              </w:rPr>
              <w:t xml:space="preserve"> </w:t>
            </w:r>
            <w:r>
              <w:rPr>
                <w:rFonts w:ascii="Arial" w:eastAsia="黑体" w:hAnsi="Arial" w:cs="Arial"/>
                <w:szCs w:val="21"/>
              </w:rPr>
              <w:t>存放央行外汇风险准备金</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0"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52,294,073.03</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00"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36,105,216.01</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r>
      <w:tr w:rsidR="00AD5BB5">
        <w:trPr>
          <w:trHeight w:val="56"/>
        </w:trPr>
        <w:tc>
          <w:tcPr>
            <w:tcW w:w="3444"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70"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00"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444"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小计</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70"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21,528,241,885.96</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00"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29,798,846,855.23</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444"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70"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00"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444"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应计利息</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70"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8,243,524.96</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00"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9,611,096.05</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444"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0"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00"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444"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合计</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0"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21,536,485,410.92</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00"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29,808,457,951.28</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bl>
    <w:p w:rsidR="00AD5BB5" w:rsidRDefault="00AD5BB5">
      <w:pPr>
        <w:overflowPunct w:val="0"/>
        <w:autoSpaceDE w:val="0"/>
        <w:autoSpaceDN w:val="0"/>
        <w:adjustRightInd w:val="0"/>
        <w:snapToGrid w:val="0"/>
        <w:textAlignment w:val="bottom"/>
        <w:rPr>
          <w:rFonts w:ascii="Arial" w:eastAsia="黑体" w:hAnsi="Arial" w:cs="Arial"/>
          <w:snapToGrid w:val="0"/>
          <w:szCs w:val="21"/>
        </w:rPr>
      </w:pPr>
    </w:p>
    <w:p w:rsidR="00AD5BB5" w:rsidRDefault="00F87FF6">
      <w:pPr>
        <w:overflowPunct w:val="0"/>
        <w:autoSpaceDE w:val="0"/>
        <w:autoSpaceDN w:val="0"/>
        <w:adjustRightInd w:val="0"/>
        <w:snapToGrid w:val="0"/>
        <w:textAlignment w:val="bottom"/>
        <w:rPr>
          <w:rFonts w:ascii="Arial" w:eastAsia="黑体" w:hAnsi="Arial" w:cs="Arial"/>
          <w:snapToGrid w:val="0"/>
          <w:szCs w:val="21"/>
        </w:rPr>
      </w:pPr>
      <w:r>
        <w:rPr>
          <w:rFonts w:ascii="Arial" w:eastAsia="黑体" w:hAnsi="Arial" w:cs="Arial"/>
          <w:snapToGrid w:val="0"/>
          <w:szCs w:val="21"/>
        </w:rPr>
        <w:t>本行按照规定向中国人民银行缴存一般性存款法定准备金，此款项不能用于日常业务。在报告期内，本行具体缴存比例为：</w:t>
      </w:r>
    </w:p>
    <w:p w:rsidR="00AD5BB5" w:rsidRDefault="00AD5BB5">
      <w:pPr>
        <w:overflowPunct w:val="0"/>
        <w:autoSpaceDE w:val="0"/>
        <w:autoSpaceDN w:val="0"/>
        <w:adjustRightInd w:val="0"/>
        <w:snapToGrid w:val="0"/>
        <w:textAlignment w:val="bottom"/>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e475bdd1-3724-4f22-ab4e-37510a47d4b8"/>
        <w:tblDescription w:val="{&quot;UUID&quot;:&quot;afsaddin_tabledata_2_56437_e475bdd1-3724-4f22-ab4e-37510a47d4b8&quot;,&quot;TitleRowCount&quot;:2,&quot;SplitedTable&quot;:false,&quot;FirstTableId&quot;:&quot;e475bdd1-3724-4f22-ab4e-37510a47d4b8&quot;}"/>
      </w:tblPr>
      <w:tblGrid>
        <w:gridCol w:w="3444"/>
        <w:gridCol w:w="109"/>
        <w:gridCol w:w="2270"/>
        <w:gridCol w:w="110"/>
        <w:gridCol w:w="110"/>
        <w:gridCol w:w="2300"/>
        <w:gridCol w:w="110"/>
      </w:tblGrid>
      <w:tr w:rsidR="00AD5BB5">
        <w:tc>
          <w:tcPr>
            <w:tcW w:w="3444"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0"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当期资产负债表日</w:instrText>
            </w:r>
            <w:r>
              <w:rPr>
                <w:rFonts w:ascii="Arial" w:eastAsia="黑体" w:hAnsi="Arial" w:cs="Arial"/>
                <w:szCs w:val="21"/>
              </w:rPr>
              <w:instrText xml:space="preserve"> </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t>年</w:t>
            </w:r>
            <w:r>
              <w:rPr>
                <w:rFonts w:ascii="Arial" w:eastAsia="黑体" w:hAnsi="Arial" w:cs="Arial"/>
                <w:szCs w:val="21"/>
              </w:rPr>
              <w:t>6</w:t>
            </w:r>
            <w:r>
              <w:rPr>
                <w:rFonts w:ascii="Arial" w:eastAsia="黑体" w:hAnsi="Arial" w:cs="Arial"/>
                <w:szCs w:val="21"/>
              </w:rPr>
              <w:t>月</w:t>
            </w:r>
            <w:r>
              <w:rPr>
                <w:rFonts w:ascii="Arial" w:eastAsia="黑体" w:hAnsi="Arial" w:cs="Arial"/>
                <w:szCs w:val="21"/>
              </w:rPr>
              <w:t>30</w:t>
            </w:r>
            <w:r>
              <w:rPr>
                <w:rFonts w:ascii="Arial" w:eastAsia="黑体" w:hAnsi="Arial" w:cs="Arial"/>
                <w:szCs w:val="21"/>
              </w:rPr>
              <w:t>日</w:t>
            </w:r>
            <w:r>
              <w:rPr>
                <w:rFonts w:ascii="Arial" w:eastAsia="黑体" w:hAnsi="Arial" w:cs="Arial"/>
                <w:szCs w:val="21"/>
              </w:rPr>
              <w:fldChar w:fldCharType="end"/>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00"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szCs w:val="21"/>
              </w:rPr>
            </w:pPr>
            <w:r>
              <w:rPr>
                <w:rFonts w:ascii="Arial" w:eastAsia="黑体" w:hAnsi="Arial" w:cs="Arial"/>
                <w:szCs w:val="21"/>
              </w:rPr>
              <w:t>2022</w:t>
            </w:r>
            <w:r>
              <w:rPr>
                <w:rFonts w:ascii="Arial" w:eastAsia="黑体" w:hAnsi="Arial" w:cs="Arial"/>
                <w:szCs w:val="21"/>
              </w:rPr>
              <w:t>年</w:t>
            </w:r>
            <w:r>
              <w:rPr>
                <w:rFonts w:ascii="Arial" w:eastAsia="黑体" w:hAnsi="Arial" w:cs="Arial"/>
                <w:szCs w:val="21"/>
              </w:rPr>
              <w:t>12</w:t>
            </w:r>
            <w:r>
              <w:rPr>
                <w:rFonts w:ascii="Arial" w:eastAsia="黑体" w:hAnsi="Arial" w:cs="Arial"/>
                <w:szCs w:val="21"/>
              </w:rPr>
              <w:t>月</w:t>
            </w:r>
            <w:r>
              <w:rPr>
                <w:rFonts w:ascii="Arial" w:eastAsia="黑体" w:hAnsi="Arial" w:cs="Arial"/>
                <w:szCs w:val="21"/>
              </w:rPr>
              <w:t>31</w:t>
            </w:r>
            <w:r>
              <w:rPr>
                <w:rFonts w:ascii="Arial" w:eastAsia="黑体" w:hAnsi="Arial" w:cs="Arial"/>
                <w:szCs w:val="21"/>
              </w:rPr>
              <w:t>日</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r>
      <w:tr w:rsidR="00AD5BB5">
        <w:tc>
          <w:tcPr>
            <w:tcW w:w="3444"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0"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00"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r>
      <w:tr w:rsidR="00AD5BB5">
        <w:tc>
          <w:tcPr>
            <w:tcW w:w="3444"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人民币</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70"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7.25%</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00"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7.50%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444"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外币</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70"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6.00%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00"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6.00%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bl>
    <w:p w:rsidR="00AD5BB5" w:rsidRDefault="00AD5BB5">
      <w:pPr>
        <w:overflowPunct w:val="0"/>
        <w:autoSpaceDE w:val="0"/>
        <w:autoSpaceDN w:val="0"/>
        <w:adjustRightInd w:val="0"/>
        <w:snapToGrid w:val="0"/>
        <w:textAlignment w:val="bottom"/>
        <w:rPr>
          <w:rFonts w:ascii="Arial" w:eastAsia="黑体" w:hAnsi="Arial" w:cs="Arial"/>
          <w:snapToGrid w:val="0"/>
          <w:szCs w:val="21"/>
        </w:rPr>
      </w:pPr>
    </w:p>
    <w:p w:rsidR="00AD5BB5" w:rsidRDefault="00F87FF6">
      <w:pPr>
        <w:overflowPunct w:val="0"/>
        <w:autoSpaceDE w:val="0"/>
        <w:autoSpaceDN w:val="0"/>
        <w:adjustRightInd w:val="0"/>
        <w:snapToGrid w:val="0"/>
        <w:ind w:rightChars="-21" w:right="-44"/>
        <w:textAlignment w:val="bottom"/>
        <w:rPr>
          <w:rFonts w:ascii="Arial" w:eastAsia="黑体" w:hAnsi="Arial" w:cs="Arial"/>
          <w:szCs w:val="21"/>
        </w:rPr>
      </w:pPr>
      <w:r>
        <w:rPr>
          <w:rFonts w:ascii="Arial" w:eastAsia="黑体" w:hAnsi="Arial" w:cs="Arial"/>
          <w:szCs w:val="21"/>
        </w:rPr>
        <w:t>超额存款准备金包括存放于中国人民银行用作资金清算用途的资金及其他各项非限制性资金。</w:t>
      </w:r>
      <w:r>
        <w:rPr>
          <w:rFonts w:ascii="Arial" w:eastAsia="黑体" w:hAnsi="Arial" w:cs="Arial"/>
          <w:bCs/>
          <w:snapToGrid w:val="0"/>
          <w:szCs w:val="21"/>
        </w:rPr>
        <w:br w:type="page"/>
      </w:r>
    </w:p>
    <w:p w:rsidR="00AD5BB5" w:rsidRDefault="00AD5BB5">
      <w:pPr>
        <w:overflowPunct w:val="0"/>
        <w:autoSpaceDE w:val="0"/>
        <w:autoSpaceDN w:val="0"/>
        <w:adjustRightInd w:val="0"/>
        <w:snapToGrid w:val="0"/>
        <w:textAlignment w:val="bottom"/>
        <w:rPr>
          <w:rFonts w:ascii="Arial" w:eastAsia="黑体" w:hAnsi="Arial" w:cs="Arial"/>
          <w:bCs/>
          <w:snapToGrid w:val="0"/>
          <w:szCs w:val="21"/>
        </w:rPr>
      </w:pPr>
    </w:p>
    <w:p w:rsidR="00AD5BB5" w:rsidRDefault="00AD5BB5">
      <w:pPr>
        <w:overflowPunct w:val="0"/>
        <w:autoSpaceDE w:val="0"/>
        <w:autoSpaceDN w:val="0"/>
        <w:adjustRightInd w:val="0"/>
        <w:snapToGrid w:val="0"/>
        <w:textAlignment w:val="bottom"/>
        <w:rPr>
          <w:rFonts w:ascii="Arial" w:eastAsia="黑体" w:hAnsi="Arial" w:cs="Arial"/>
          <w:bCs/>
          <w:snapToGrid w:val="0"/>
          <w:szCs w:val="21"/>
        </w:rPr>
      </w:pPr>
    </w:p>
    <w:p w:rsidR="00AD5BB5" w:rsidRDefault="00F87FF6">
      <w:pPr>
        <w:overflowPunct w:val="0"/>
        <w:autoSpaceDE w:val="0"/>
        <w:autoSpaceDN w:val="0"/>
        <w:adjustRightInd w:val="0"/>
        <w:snapToGrid w:val="0"/>
        <w:textAlignment w:val="bottom"/>
        <w:rPr>
          <w:rFonts w:ascii="Arial" w:eastAsia="黑体" w:hAnsi="Arial" w:cs="Arial"/>
          <w:b/>
          <w:bCs/>
          <w:snapToGrid w:val="0"/>
          <w:szCs w:val="21"/>
        </w:rPr>
      </w:pPr>
      <w:bookmarkStart w:id="77" w:name="afsaddin_WithXu_964469e7777e4447bd7de1b5"/>
      <w:r>
        <w:rPr>
          <w:rFonts w:ascii="Arial" w:eastAsia="黑体" w:hAnsi="Arial" w:cs="Arial"/>
          <w:b/>
          <w:bCs/>
          <w:snapToGrid w:val="0"/>
          <w:szCs w:val="21"/>
        </w:rPr>
        <w:t>五、</w:t>
      </w:r>
      <w:r>
        <w:rPr>
          <w:rFonts w:ascii="Arial" w:eastAsia="黑体" w:hAnsi="Arial" w:cs="Arial"/>
          <w:b/>
          <w:bCs/>
          <w:snapToGrid w:val="0"/>
          <w:szCs w:val="21"/>
        </w:rPr>
        <w:tab/>
      </w:r>
      <w:r>
        <w:rPr>
          <w:rFonts w:ascii="Arial" w:eastAsia="黑体" w:hAnsi="Arial" w:cs="Arial"/>
          <w:b/>
          <w:bCs/>
          <w:snapToGrid w:val="0"/>
          <w:szCs w:val="21"/>
        </w:rPr>
        <w:t>合并财务报表主要项目注释（续）</w:t>
      </w:r>
      <w:bookmarkEnd w:id="77"/>
    </w:p>
    <w:p w:rsidR="00AD5BB5" w:rsidRDefault="00AD5BB5">
      <w:pPr>
        <w:overflowPunct w:val="0"/>
        <w:autoSpaceDE w:val="0"/>
        <w:autoSpaceDN w:val="0"/>
        <w:adjustRightInd w:val="0"/>
        <w:snapToGrid w:val="0"/>
        <w:textAlignment w:val="bottom"/>
        <w:rPr>
          <w:rFonts w:ascii="Arial" w:eastAsia="黑体" w:hAnsi="Arial" w:cs="Arial"/>
          <w:bCs/>
          <w:snapToGrid w:val="0"/>
          <w:szCs w:val="21"/>
        </w:rPr>
      </w:pPr>
    </w:p>
    <w:p w:rsidR="00AD5BB5" w:rsidRDefault="00F87FF6">
      <w:pPr>
        <w:pStyle w:val="af5"/>
        <w:jc w:val="left"/>
        <w:rPr>
          <w:rFonts w:ascii="Arial" w:eastAsia="黑体" w:hAnsi="Arial" w:cs="Arial" w:hint="default"/>
          <w:bCs w:val="0"/>
          <w:snapToGrid w:val="0"/>
          <w:color w:val="auto"/>
          <w:sz w:val="21"/>
          <w:szCs w:val="21"/>
        </w:rPr>
      </w:pPr>
      <w:bookmarkStart w:id="78" w:name="afsaddin_WithXu_7e4a6e2f93104e4589ad3f48"/>
      <w:bookmarkStart w:id="79" w:name="afsaddin_Section_e4d92ca06a6b4a268d45af3"/>
      <w:bookmarkEnd w:id="78"/>
      <w:r>
        <w:rPr>
          <w:rFonts w:ascii="Arial" w:eastAsia="黑体" w:hAnsi="Arial" w:cs="Arial" w:hint="default"/>
          <w:bCs w:val="0"/>
          <w:snapToGrid w:val="0"/>
          <w:color w:val="auto"/>
          <w:sz w:val="21"/>
          <w:szCs w:val="21"/>
        </w:rPr>
        <w:t>2.</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存放同业及其他金融机构款项</w:t>
      </w:r>
    </w:p>
    <w:bookmarkEnd w:id="79"/>
    <w:p w:rsidR="00AD5BB5" w:rsidRDefault="00AD5BB5">
      <w:pPr>
        <w:overflowPunct w:val="0"/>
        <w:autoSpaceDE w:val="0"/>
        <w:autoSpaceDN w:val="0"/>
        <w:adjustRightInd w:val="0"/>
        <w:snapToGrid w:val="0"/>
        <w:textAlignment w:val="bottom"/>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d6bdec05-740f-4a01-a8a7-ce4976d0dca8"/>
        <w:tblDescription w:val="{&quot;UUID&quot;:&quot;afsaddin_tabledata_2_56437_d6bdec05-740f-4a01-a8a7-ce4976d0dca8&quot;,&quot;TitleRowCount&quot;:2,&quot;SplitedTable&quot;:false,&quot;FirstTableId&quot;:&quot;d6bdec05-740f-4a01-a8a7-ce4976d0dca8&quot;}"/>
      </w:tblPr>
      <w:tblGrid>
        <w:gridCol w:w="3444"/>
        <w:gridCol w:w="109"/>
        <w:gridCol w:w="2270"/>
        <w:gridCol w:w="110"/>
        <w:gridCol w:w="110"/>
        <w:gridCol w:w="2300"/>
        <w:gridCol w:w="110"/>
      </w:tblGrid>
      <w:tr w:rsidR="00AD5BB5">
        <w:tc>
          <w:tcPr>
            <w:tcW w:w="3444"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0"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fldChar w:fldCharType="begin"/>
            </w:r>
            <w:r>
              <w:rPr>
                <w:rFonts w:ascii="Arial" w:eastAsia="黑体" w:hAnsi="Arial" w:cs="Arial"/>
                <w:color w:val="000000"/>
                <w:szCs w:val="21"/>
              </w:rPr>
              <w:instrText xml:space="preserve"> DOCPROPERTY </w:instrText>
            </w:r>
            <w:r>
              <w:rPr>
                <w:rFonts w:ascii="Arial" w:eastAsia="黑体" w:hAnsi="Arial" w:cs="Arial"/>
                <w:color w:val="000000"/>
                <w:szCs w:val="21"/>
              </w:rPr>
              <w:instrText>当期资产负债表日</w:instrText>
            </w:r>
            <w:r>
              <w:rPr>
                <w:rFonts w:ascii="Arial" w:eastAsia="黑体" w:hAnsi="Arial" w:cs="Arial"/>
                <w:color w:val="000000"/>
                <w:szCs w:val="21"/>
              </w:rPr>
              <w:instrText xml:space="preserve"> </w:instrText>
            </w:r>
            <w:r>
              <w:rPr>
                <w:rFonts w:ascii="Arial" w:eastAsia="黑体" w:hAnsi="Arial" w:cs="Arial"/>
                <w:color w:val="000000"/>
                <w:szCs w:val="21"/>
              </w:rPr>
              <w:fldChar w:fldCharType="separate"/>
            </w:r>
            <w:r>
              <w:rPr>
                <w:rFonts w:ascii="Arial" w:eastAsia="黑体" w:hAnsi="Arial" w:cs="Arial"/>
                <w:color w:val="000000"/>
                <w:szCs w:val="21"/>
              </w:rPr>
              <w:t>2023</w:t>
            </w:r>
            <w:r>
              <w:rPr>
                <w:rFonts w:ascii="Arial" w:eastAsia="黑体" w:hAnsi="Arial" w:cs="Arial"/>
                <w:color w:val="000000"/>
                <w:szCs w:val="21"/>
              </w:rPr>
              <w:t>年</w:t>
            </w:r>
            <w:r>
              <w:rPr>
                <w:rFonts w:ascii="Arial" w:eastAsia="黑体" w:hAnsi="Arial" w:cs="Arial"/>
                <w:color w:val="000000"/>
                <w:szCs w:val="21"/>
              </w:rPr>
              <w:t>6</w:t>
            </w:r>
            <w:r>
              <w:rPr>
                <w:rFonts w:ascii="Arial" w:eastAsia="黑体" w:hAnsi="Arial" w:cs="Arial"/>
                <w:color w:val="000000"/>
                <w:szCs w:val="21"/>
              </w:rPr>
              <w:t>月</w:t>
            </w:r>
            <w:r>
              <w:rPr>
                <w:rFonts w:ascii="Arial" w:eastAsia="黑体" w:hAnsi="Arial" w:cs="Arial"/>
                <w:color w:val="000000"/>
                <w:szCs w:val="21"/>
              </w:rPr>
              <w:t>30</w:t>
            </w:r>
            <w:r>
              <w:rPr>
                <w:rFonts w:ascii="Arial" w:eastAsia="黑体" w:hAnsi="Arial" w:cs="Arial"/>
                <w:color w:val="000000"/>
                <w:szCs w:val="21"/>
              </w:rPr>
              <w:t>日</w:t>
            </w:r>
            <w:r>
              <w:rPr>
                <w:rFonts w:ascii="Arial" w:eastAsia="黑体" w:hAnsi="Arial" w:cs="Arial"/>
                <w:color w:val="000000"/>
                <w:szCs w:val="21"/>
              </w:rPr>
              <w:fldChar w:fldCharType="end"/>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00"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2022</w:t>
            </w:r>
            <w:r>
              <w:rPr>
                <w:rFonts w:ascii="Arial" w:eastAsia="黑体" w:hAnsi="Arial" w:cs="Arial"/>
                <w:color w:val="000000"/>
                <w:szCs w:val="21"/>
              </w:rPr>
              <w:t>年</w:t>
            </w:r>
            <w:r>
              <w:rPr>
                <w:rFonts w:ascii="Arial" w:eastAsia="黑体" w:hAnsi="Arial" w:cs="Arial"/>
                <w:color w:val="000000"/>
                <w:szCs w:val="21"/>
              </w:rPr>
              <w:t>12</w:t>
            </w:r>
            <w:r>
              <w:rPr>
                <w:rFonts w:ascii="Arial" w:eastAsia="黑体" w:hAnsi="Arial" w:cs="Arial"/>
                <w:color w:val="000000"/>
                <w:szCs w:val="21"/>
              </w:rPr>
              <w:t>月</w:t>
            </w:r>
            <w:r>
              <w:rPr>
                <w:rFonts w:ascii="Arial" w:eastAsia="黑体" w:hAnsi="Arial" w:cs="Arial"/>
                <w:color w:val="000000"/>
                <w:szCs w:val="21"/>
              </w:rPr>
              <w:t>31</w:t>
            </w:r>
            <w:r>
              <w:rPr>
                <w:rFonts w:ascii="Arial" w:eastAsia="黑体" w:hAnsi="Arial" w:cs="Arial"/>
                <w:color w:val="000000"/>
                <w:szCs w:val="21"/>
              </w:rPr>
              <w:t>日</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r>
      <w:tr w:rsidR="00AD5BB5">
        <w:tc>
          <w:tcPr>
            <w:tcW w:w="3444"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0"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00"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r>
      <w:tr w:rsidR="00AD5BB5">
        <w:tc>
          <w:tcPr>
            <w:tcW w:w="3444"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境内银行同业</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70"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7" w:right="15"/>
              <w:jc w:val="right"/>
              <w:rPr>
                <w:rFonts w:ascii="Arial" w:eastAsia="黑体" w:hAnsi="Arial" w:cs="Arial"/>
                <w:color w:val="000000"/>
                <w:szCs w:val="21"/>
              </w:rPr>
            </w:pPr>
            <w:r>
              <w:rPr>
                <w:rFonts w:ascii="Arial" w:eastAsia="黑体" w:hAnsi="Arial" w:cs="Arial"/>
                <w:color w:val="000000"/>
                <w:szCs w:val="21"/>
              </w:rPr>
              <w:t>5,656,832,387.95</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00"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5" w:right="10"/>
              <w:jc w:val="right"/>
              <w:rPr>
                <w:rFonts w:ascii="Arial" w:eastAsia="黑体" w:hAnsi="Arial" w:cs="Arial"/>
                <w:color w:val="000000"/>
                <w:szCs w:val="21"/>
              </w:rPr>
            </w:pPr>
            <w:r>
              <w:rPr>
                <w:rFonts w:ascii="Arial" w:eastAsia="黑体" w:hAnsi="Arial" w:cs="Arial"/>
                <w:color w:val="000000"/>
                <w:szCs w:val="21"/>
              </w:rPr>
              <w:t>9,070,298,172.04</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444"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境内其他金融机构</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70"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7" w:right="15"/>
              <w:jc w:val="right"/>
              <w:rPr>
                <w:rFonts w:ascii="Arial" w:eastAsia="黑体" w:hAnsi="Arial" w:cs="Arial"/>
                <w:color w:val="000000"/>
                <w:szCs w:val="21"/>
              </w:rPr>
            </w:pPr>
            <w:r>
              <w:rPr>
                <w:rFonts w:ascii="Arial" w:eastAsia="黑体" w:hAnsi="Arial" w:cs="Arial"/>
                <w:color w:val="000000"/>
                <w:szCs w:val="21"/>
              </w:rPr>
              <w:t>242,656,425.32</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00"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5" w:right="10"/>
              <w:jc w:val="right"/>
              <w:rPr>
                <w:rFonts w:ascii="Arial" w:eastAsia="黑体" w:hAnsi="Arial" w:cs="Arial"/>
                <w:color w:val="000000"/>
                <w:szCs w:val="21"/>
              </w:rPr>
            </w:pPr>
            <w:r>
              <w:rPr>
                <w:rFonts w:ascii="Arial" w:eastAsia="黑体" w:hAnsi="Arial" w:cs="Arial"/>
                <w:color w:val="000000"/>
                <w:szCs w:val="21"/>
              </w:rPr>
              <w:t>361,545,845.01</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444"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境外银行同业</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70"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rightChars="7" w:right="15"/>
              <w:jc w:val="right"/>
              <w:rPr>
                <w:rFonts w:ascii="Arial" w:eastAsia="黑体" w:hAnsi="Arial" w:cs="Arial"/>
                <w:color w:val="000000"/>
                <w:szCs w:val="21"/>
              </w:rPr>
            </w:pPr>
            <w:r>
              <w:rPr>
                <w:rFonts w:ascii="Arial" w:eastAsia="黑体" w:hAnsi="Arial" w:cs="Arial"/>
                <w:color w:val="000000"/>
                <w:szCs w:val="21"/>
              </w:rPr>
              <w:t>499,304,785.45</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00"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rightChars="5" w:right="10"/>
              <w:jc w:val="right"/>
              <w:rPr>
                <w:rFonts w:ascii="Arial" w:eastAsia="黑体" w:hAnsi="Arial" w:cs="Arial"/>
                <w:color w:val="000000"/>
                <w:szCs w:val="21"/>
              </w:rPr>
            </w:pPr>
            <w:r>
              <w:rPr>
                <w:rFonts w:ascii="Arial" w:eastAsia="黑体" w:hAnsi="Arial" w:cs="Arial"/>
                <w:color w:val="000000"/>
                <w:szCs w:val="21"/>
              </w:rPr>
              <w:t>627,094,880.72</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444"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color w:val="000000"/>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70"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rightChars="7" w:right="15"/>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00"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rightChars="5" w:right="1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444"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小计</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70"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7" w:right="15"/>
              <w:jc w:val="right"/>
              <w:rPr>
                <w:rFonts w:ascii="Arial" w:eastAsia="黑体" w:hAnsi="Arial" w:cs="Arial"/>
                <w:color w:val="000000"/>
                <w:szCs w:val="21"/>
              </w:rPr>
            </w:pPr>
            <w:r>
              <w:rPr>
                <w:rFonts w:ascii="Arial" w:eastAsia="黑体" w:hAnsi="Arial" w:cs="Arial"/>
                <w:color w:val="000000"/>
                <w:szCs w:val="21"/>
              </w:rPr>
              <w:t>6,398,793,598.72</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00"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5" w:right="10"/>
              <w:jc w:val="right"/>
              <w:rPr>
                <w:rFonts w:ascii="Arial" w:eastAsia="黑体" w:hAnsi="Arial" w:cs="Arial"/>
                <w:color w:val="000000"/>
                <w:szCs w:val="21"/>
              </w:rPr>
            </w:pPr>
            <w:r>
              <w:rPr>
                <w:rFonts w:ascii="Arial" w:eastAsia="黑体" w:hAnsi="Arial" w:cs="Arial"/>
                <w:color w:val="000000"/>
                <w:szCs w:val="21"/>
              </w:rPr>
              <w:t>10,058,938,897.77</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444"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70"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7" w:right="15"/>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00"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5" w:right="1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444"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应计利息</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70"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7" w:right="15"/>
              <w:jc w:val="right"/>
              <w:rPr>
                <w:rFonts w:ascii="Arial" w:eastAsia="黑体" w:hAnsi="Arial" w:cs="Arial"/>
                <w:color w:val="000000"/>
                <w:szCs w:val="21"/>
              </w:rPr>
            </w:pPr>
            <w:r>
              <w:rPr>
                <w:rFonts w:ascii="Arial" w:eastAsia="黑体" w:hAnsi="Arial" w:cs="Arial"/>
                <w:color w:val="000000"/>
                <w:szCs w:val="21"/>
              </w:rPr>
              <w:t>49,059,007.04</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00"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5" w:right="10"/>
              <w:jc w:val="right"/>
              <w:rPr>
                <w:rFonts w:ascii="Arial" w:eastAsia="黑体" w:hAnsi="Arial" w:cs="Arial"/>
                <w:color w:val="000000"/>
                <w:szCs w:val="21"/>
              </w:rPr>
            </w:pPr>
            <w:r>
              <w:rPr>
                <w:rFonts w:ascii="Arial" w:eastAsia="黑体" w:hAnsi="Arial" w:cs="Arial"/>
                <w:color w:val="000000"/>
                <w:szCs w:val="21"/>
              </w:rPr>
              <w:t>78,020,212.09</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444"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70"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00"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444"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630" w:hangingChars="300" w:hanging="630"/>
              <w:rPr>
                <w:rFonts w:ascii="Arial" w:eastAsia="黑体" w:hAnsi="Arial" w:cs="Arial"/>
                <w:szCs w:val="21"/>
              </w:rPr>
            </w:pPr>
            <w:r>
              <w:rPr>
                <w:rFonts w:ascii="Arial" w:eastAsia="黑体" w:hAnsi="Arial" w:cs="Arial"/>
                <w:szCs w:val="21"/>
              </w:rPr>
              <w:t>减：减值准备（附注五、</w:t>
            </w:r>
            <w:r>
              <w:rPr>
                <w:rFonts w:ascii="Arial" w:eastAsia="黑体" w:hAnsi="Arial" w:cs="Arial"/>
                <w:szCs w:val="21"/>
              </w:rPr>
              <w:t>17</w:t>
            </w:r>
            <w:r>
              <w:rPr>
                <w:rFonts w:ascii="Arial" w:eastAsia="黑体" w:hAnsi="Arial" w:cs="Arial"/>
                <w:szCs w:val="21"/>
              </w:rPr>
              <w:t>）</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70"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(3,153,486.24</w:t>
            </w:r>
          </w:p>
        </w:tc>
        <w:tc>
          <w:tcPr>
            <w:tcW w:w="110"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szCs w:val="21"/>
              </w:rPr>
            </w:pPr>
            <w:r>
              <w:rPr>
                <w:rFonts w:ascii="Arial" w:eastAsia="黑体" w:hAnsi="Arial" w:cs="Arial"/>
                <w:szCs w:val="21"/>
              </w:rPr>
              <w:t>)</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00"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(29,298,514.75</w:t>
            </w:r>
          </w:p>
        </w:tc>
        <w:tc>
          <w:tcPr>
            <w:tcW w:w="110"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Cs w:val="21"/>
              </w:rPr>
            </w:pPr>
            <w:r>
              <w:rPr>
                <w:rFonts w:ascii="Arial" w:eastAsia="黑体" w:hAnsi="Arial" w:cs="Arial"/>
                <w:color w:val="000000"/>
                <w:szCs w:val="21"/>
              </w:rPr>
              <w:t>)</w:t>
            </w:r>
          </w:p>
        </w:tc>
      </w:tr>
      <w:tr w:rsidR="00AD5BB5">
        <w:tc>
          <w:tcPr>
            <w:tcW w:w="3444"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70"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00"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444"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合计</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0"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rightChars="7" w:right="15"/>
              <w:jc w:val="right"/>
              <w:rPr>
                <w:rFonts w:ascii="Arial" w:eastAsia="黑体" w:hAnsi="Arial" w:cs="Arial"/>
                <w:color w:val="000000"/>
                <w:szCs w:val="21"/>
              </w:rPr>
            </w:pPr>
            <w:r>
              <w:rPr>
                <w:rFonts w:ascii="Arial" w:eastAsia="黑体" w:hAnsi="Arial" w:cs="Arial"/>
                <w:color w:val="000000"/>
                <w:szCs w:val="21"/>
              </w:rPr>
              <w:t>6,444,699,119.52</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00"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rightChars="10" w:right="21"/>
              <w:jc w:val="right"/>
              <w:rPr>
                <w:rFonts w:ascii="Arial" w:eastAsia="黑体" w:hAnsi="Arial" w:cs="Arial"/>
                <w:color w:val="000000"/>
                <w:szCs w:val="21"/>
              </w:rPr>
            </w:pPr>
            <w:r>
              <w:rPr>
                <w:rFonts w:ascii="Arial" w:eastAsia="黑体" w:hAnsi="Arial" w:cs="Arial"/>
                <w:color w:val="000000"/>
                <w:szCs w:val="21"/>
              </w:rPr>
              <w:t>10,107,660,595.11</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bl>
    <w:p w:rsidR="00AD5BB5" w:rsidRDefault="00AD5BB5">
      <w:pPr>
        <w:overflowPunct w:val="0"/>
        <w:autoSpaceDE w:val="0"/>
        <w:autoSpaceDN w:val="0"/>
        <w:adjustRightInd w:val="0"/>
        <w:snapToGrid w:val="0"/>
        <w:textAlignment w:val="bottom"/>
        <w:rPr>
          <w:rFonts w:ascii="Arial" w:eastAsia="黑体" w:hAnsi="Arial" w:cs="Arial"/>
          <w:bCs/>
          <w:snapToGrid w:val="0"/>
          <w:szCs w:val="21"/>
        </w:rPr>
      </w:pPr>
    </w:p>
    <w:p w:rsidR="00AD5BB5" w:rsidRDefault="00F87FF6">
      <w:pPr>
        <w:overflowPunct w:val="0"/>
        <w:autoSpaceDE w:val="0"/>
        <w:autoSpaceDN w:val="0"/>
        <w:adjustRightInd w:val="0"/>
        <w:snapToGrid w:val="0"/>
        <w:textAlignment w:val="bottom"/>
        <w:rPr>
          <w:rFonts w:ascii="Arial" w:eastAsia="黑体" w:hAnsi="Arial" w:cs="Arial"/>
          <w:bCs/>
          <w:snapToGrid w:val="0"/>
          <w:szCs w:val="21"/>
        </w:rPr>
      </w:pPr>
      <w:r>
        <w:rPr>
          <w:rFonts w:ascii="Arial" w:eastAsia="黑体" w:hAnsi="Arial" w:cs="Arial"/>
          <w:bCs/>
          <w:snapToGrid w:val="0"/>
          <w:szCs w:val="21"/>
        </w:rPr>
        <w:t>于</w:t>
      </w:r>
      <w:r>
        <w:rPr>
          <w:rFonts w:ascii="Arial" w:eastAsia="黑体" w:hAnsi="Arial" w:cs="Arial"/>
          <w:bCs/>
          <w:snapToGrid w:val="0"/>
          <w:szCs w:val="21"/>
        </w:rPr>
        <w:fldChar w:fldCharType="begin"/>
      </w:r>
      <w:r>
        <w:rPr>
          <w:rFonts w:ascii="Arial" w:eastAsia="黑体" w:hAnsi="Arial" w:cs="Arial"/>
          <w:bCs/>
          <w:snapToGrid w:val="0"/>
          <w:szCs w:val="21"/>
        </w:rPr>
        <w:instrText xml:space="preserve"> DOCPROPERTY </w:instrText>
      </w:r>
      <w:r>
        <w:rPr>
          <w:rFonts w:ascii="Arial" w:eastAsia="黑体" w:hAnsi="Arial" w:cs="Arial"/>
          <w:bCs/>
          <w:snapToGrid w:val="0"/>
          <w:szCs w:val="21"/>
        </w:rPr>
        <w:instrText>当期会计期间</w:instrText>
      </w:r>
      <w:r>
        <w:rPr>
          <w:rFonts w:ascii="Arial" w:eastAsia="黑体" w:hAnsi="Arial" w:cs="Arial"/>
          <w:bCs/>
          <w:snapToGrid w:val="0"/>
          <w:szCs w:val="21"/>
        </w:rPr>
        <w:instrText xml:space="preserve"> </w:instrText>
      </w:r>
      <w:r>
        <w:rPr>
          <w:rFonts w:ascii="Arial" w:eastAsia="黑体" w:hAnsi="Arial" w:cs="Arial"/>
          <w:bCs/>
          <w:snapToGrid w:val="0"/>
          <w:szCs w:val="21"/>
        </w:rPr>
        <w:fldChar w:fldCharType="separate"/>
      </w:r>
      <w:r>
        <w:rPr>
          <w:rFonts w:ascii="Arial" w:eastAsia="黑体" w:hAnsi="Arial" w:cs="Arial"/>
          <w:bCs/>
          <w:snapToGrid w:val="0"/>
          <w:szCs w:val="21"/>
        </w:rPr>
        <w:t>2023</w:t>
      </w:r>
      <w:r>
        <w:rPr>
          <w:rFonts w:ascii="Arial" w:eastAsia="黑体" w:hAnsi="Arial" w:cs="Arial"/>
          <w:bCs/>
          <w:snapToGrid w:val="0"/>
          <w:szCs w:val="21"/>
        </w:rPr>
        <w:fldChar w:fldCharType="end"/>
      </w:r>
      <w:r>
        <w:rPr>
          <w:rFonts w:ascii="Arial" w:eastAsia="黑体" w:hAnsi="Arial" w:cs="Arial"/>
          <w:bCs/>
          <w:snapToGrid w:val="0"/>
          <w:szCs w:val="21"/>
        </w:rPr>
        <w:t>年</w:t>
      </w:r>
      <w:r>
        <w:rPr>
          <w:rFonts w:ascii="Arial" w:eastAsia="黑体" w:hAnsi="Arial" w:cs="Arial"/>
          <w:bCs/>
          <w:snapToGrid w:val="0"/>
          <w:szCs w:val="21"/>
        </w:rPr>
        <w:t>6</w:t>
      </w:r>
      <w:r>
        <w:rPr>
          <w:rFonts w:ascii="Arial" w:eastAsia="黑体" w:hAnsi="Arial" w:cs="Arial"/>
          <w:bCs/>
          <w:snapToGrid w:val="0"/>
          <w:szCs w:val="21"/>
        </w:rPr>
        <w:t>月</w:t>
      </w:r>
      <w:r>
        <w:rPr>
          <w:rFonts w:ascii="Arial" w:eastAsia="黑体" w:hAnsi="Arial" w:cs="Arial"/>
          <w:bCs/>
          <w:snapToGrid w:val="0"/>
          <w:szCs w:val="21"/>
        </w:rPr>
        <w:t>30</w:t>
      </w:r>
      <w:r>
        <w:rPr>
          <w:rFonts w:ascii="Arial" w:eastAsia="黑体" w:hAnsi="Arial" w:cs="Arial"/>
          <w:bCs/>
          <w:snapToGrid w:val="0"/>
          <w:szCs w:val="21"/>
        </w:rPr>
        <w:t>日</w:t>
      </w:r>
      <w:proofErr w:type="gramStart"/>
      <w:r>
        <w:rPr>
          <w:rFonts w:ascii="Arial" w:eastAsia="黑体" w:hAnsi="Arial" w:cs="Arial"/>
          <w:bCs/>
          <w:snapToGrid w:val="0"/>
          <w:szCs w:val="21"/>
        </w:rPr>
        <w:t>止</w:t>
      </w:r>
      <w:proofErr w:type="gramEnd"/>
      <w:r>
        <w:rPr>
          <w:rFonts w:ascii="Arial" w:eastAsia="黑体" w:hAnsi="Arial" w:cs="Arial"/>
          <w:bCs/>
          <w:snapToGrid w:val="0"/>
          <w:szCs w:val="21"/>
        </w:rPr>
        <w:t>6</w:t>
      </w:r>
      <w:r>
        <w:rPr>
          <w:rFonts w:ascii="Arial" w:eastAsia="黑体" w:hAnsi="Arial" w:cs="Arial"/>
          <w:bCs/>
          <w:snapToGrid w:val="0"/>
          <w:szCs w:val="21"/>
        </w:rPr>
        <w:t>个月期间及</w:t>
      </w:r>
      <w:r>
        <w:rPr>
          <w:rFonts w:ascii="Arial" w:eastAsia="黑体" w:hAnsi="Arial" w:cs="Arial"/>
          <w:bCs/>
          <w:snapToGrid w:val="0"/>
          <w:szCs w:val="21"/>
        </w:rPr>
        <w:fldChar w:fldCharType="begin"/>
      </w:r>
      <w:r>
        <w:rPr>
          <w:rFonts w:ascii="Arial" w:eastAsia="黑体" w:hAnsi="Arial" w:cs="Arial"/>
          <w:bCs/>
          <w:snapToGrid w:val="0"/>
          <w:szCs w:val="21"/>
        </w:rPr>
        <w:instrText xml:space="preserve"> DOCPROPERTY </w:instrText>
      </w:r>
      <w:r>
        <w:rPr>
          <w:rFonts w:ascii="Arial" w:eastAsia="黑体" w:hAnsi="Arial" w:cs="Arial"/>
          <w:bCs/>
          <w:snapToGrid w:val="0"/>
          <w:szCs w:val="21"/>
        </w:rPr>
        <w:instrText>对比会计期间</w:instrText>
      </w:r>
      <w:r>
        <w:rPr>
          <w:rFonts w:ascii="Arial" w:eastAsia="黑体" w:hAnsi="Arial" w:cs="Arial"/>
          <w:bCs/>
          <w:snapToGrid w:val="0"/>
          <w:szCs w:val="21"/>
        </w:rPr>
        <w:instrText xml:space="preserve"> </w:instrText>
      </w:r>
      <w:r>
        <w:rPr>
          <w:rFonts w:ascii="Arial" w:eastAsia="黑体" w:hAnsi="Arial" w:cs="Arial"/>
          <w:bCs/>
          <w:snapToGrid w:val="0"/>
          <w:szCs w:val="21"/>
        </w:rPr>
        <w:fldChar w:fldCharType="separate"/>
      </w:r>
      <w:r>
        <w:rPr>
          <w:rFonts w:ascii="Arial" w:eastAsia="黑体" w:hAnsi="Arial" w:cs="Arial"/>
          <w:bCs/>
          <w:snapToGrid w:val="0"/>
          <w:szCs w:val="21"/>
        </w:rPr>
        <w:t>2022</w:t>
      </w:r>
      <w:r>
        <w:rPr>
          <w:rFonts w:ascii="Arial" w:eastAsia="黑体" w:hAnsi="Arial" w:cs="Arial"/>
          <w:bCs/>
          <w:snapToGrid w:val="0"/>
          <w:szCs w:val="21"/>
        </w:rPr>
        <w:fldChar w:fldCharType="end"/>
      </w:r>
      <w:r>
        <w:rPr>
          <w:rFonts w:ascii="Arial" w:eastAsia="黑体" w:hAnsi="Arial" w:cs="Arial"/>
          <w:bCs/>
          <w:snapToGrid w:val="0"/>
          <w:szCs w:val="21"/>
        </w:rPr>
        <w:t>年度，本集团存放同业及其他金融机构款项账面余额均为阶段</w:t>
      </w:r>
      <w:proofErr w:type="gramStart"/>
      <w:r>
        <w:rPr>
          <w:rFonts w:ascii="Arial" w:eastAsia="黑体" w:hAnsi="Arial" w:cs="Arial"/>
          <w:bCs/>
          <w:snapToGrid w:val="0"/>
          <w:szCs w:val="21"/>
        </w:rPr>
        <w:t>一</w:t>
      </w:r>
      <w:proofErr w:type="gramEnd"/>
      <w:r>
        <w:rPr>
          <w:rFonts w:ascii="Arial" w:eastAsia="黑体" w:hAnsi="Arial" w:cs="Arial"/>
          <w:bCs/>
          <w:snapToGrid w:val="0"/>
          <w:szCs w:val="21"/>
        </w:rPr>
        <w:t>，账面余额和减值准备均不涉及阶段之间的转移。</w:t>
      </w:r>
    </w:p>
    <w:p w:rsidR="00AD5BB5" w:rsidRDefault="00AD5BB5">
      <w:pPr>
        <w:kinsoku w:val="0"/>
        <w:overflowPunct w:val="0"/>
        <w:autoSpaceDE w:val="0"/>
        <w:autoSpaceDN w:val="0"/>
        <w:adjustRightInd w:val="0"/>
        <w:snapToGrid w:val="0"/>
        <w:rPr>
          <w:rFonts w:ascii="Arial" w:eastAsia="黑体" w:hAnsi="Arial" w:cs="Arial"/>
          <w:szCs w:val="21"/>
        </w:rPr>
      </w:pPr>
    </w:p>
    <w:p w:rsidR="00AD5BB5" w:rsidRDefault="00F87FF6">
      <w:pPr>
        <w:pStyle w:val="af5"/>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80" w:name="afsaddin_Section_f4be1a6b769d4851be4b20f"/>
      <w:r>
        <w:rPr>
          <w:rFonts w:ascii="Arial" w:eastAsia="黑体" w:hAnsi="Arial" w:cs="Arial" w:hint="default"/>
          <w:bCs w:val="0"/>
          <w:snapToGrid w:val="0"/>
          <w:color w:val="auto"/>
          <w:sz w:val="21"/>
          <w:szCs w:val="21"/>
        </w:rPr>
        <w:t>3.</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拆出资金</w:t>
      </w:r>
    </w:p>
    <w:bookmarkEnd w:id="80"/>
    <w:p w:rsidR="00AD5BB5" w:rsidRDefault="00AD5BB5">
      <w:pPr>
        <w:overflowPunct w:val="0"/>
        <w:autoSpaceDE w:val="0"/>
        <w:autoSpaceDN w:val="0"/>
        <w:adjustRightInd w:val="0"/>
        <w:snapToGrid w:val="0"/>
        <w:textAlignment w:val="bottom"/>
        <w:rPr>
          <w:rFonts w:ascii="Arial" w:eastAsia="黑体" w:hAnsi="Arial" w:cs="Arial"/>
          <w:bCs/>
          <w:snapToGrid w:val="0"/>
          <w:szCs w:val="21"/>
        </w:rPr>
      </w:pPr>
    </w:p>
    <w:tbl>
      <w:tblPr>
        <w:tblW w:w="0" w:type="auto"/>
        <w:tblLayout w:type="fixed"/>
        <w:tblCellMar>
          <w:left w:w="0" w:type="dxa"/>
          <w:right w:w="0" w:type="dxa"/>
        </w:tblCellMar>
        <w:tblLook w:val="04A0" w:firstRow="1" w:lastRow="0" w:firstColumn="1" w:lastColumn="0" w:noHBand="0" w:noVBand="1"/>
        <w:tblCaption w:val="11637b15-c939-413b-b763-b8c414ca4baf"/>
        <w:tblDescription w:val="{&quot;UUID&quot;:&quot;afsaddin_tabledata_2_56437_11637b15-c939-413b-b763-b8c414ca4baf&quot;,&quot;TitleRowCount&quot;:2,&quot;SplitedTable&quot;:false,&quot;FirstTableId&quot;:&quot;11637b15-c939-413b-b763-b8c414ca4baf&quot;}"/>
      </w:tblPr>
      <w:tblGrid>
        <w:gridCol w:w="3502"/>
        <w:gridCol w:w="109"/>
        <w:gridCol w:w="2317"/>
        <w:gridCol w:w="110"/>
        <w:gridCol w:w="110"/>
        <w:gridCol w:w="2168"/>
        <w:gridCol w:w="110"/>
      </w:tblGrid>
      <w:tr w:rsidR="00AD5BB5">
        <w:tc>
          <w:tcPr>
            <w:tcW w:w="350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1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当期资产负债表日</w:instrText>
            </w:r>
            <w:r>
              <w:rPr>
                <w:rFonts w:ascii="Arial" w:eastAsia="黑体" w:hAnsi="Arial" w:cs="Arial"/>
                <w:szCs w:val="21"/>
              </w:rPr>
              <w:instrText xml:space="preserve"> </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t>年</w:t>
            </w:r>
            <w:r>
              <w:rPr>
                <w:rFonts w:ascii="Arial" w:eastAsia="黑体" w:hAnsi="Arial" w:cs="Arial"/>
                <w:szCs w:val="21"/>
              </w:rPr>
              <w:t>6</w:t>
            </w:r>
            <w:r>
              <w:rPr>
                <w:rFonts w:ascii="Arial" w:eastAsia="黑体" w:hAnsi="Arial" w:cs="Arial"/>
                <w:szCs w:val="21"/>
              </w:rPr>
              <w:t>月</w:t>
            </w:r>
            <w:r>
              <w:rPr>
                <w:rFonts w:ascii="Arial" w:eastAsia="黑体" w:hAnsi="Arial" w:cs="Arial"/>
                <w:szCs w:val="21"/>
              </w:rPr>
              <w:t>30</w:t>
            </w:r>
            <w:r>
              <w:rPr>
                <w:rFonts w:ascii="Arial" w:eastAsia="黑体" w:hAnsi="Arial" w:cs="Arial"/>
                <w:szCs w:val="21"/>
              </w:rPr>
              <w:t>日</w:t>
            </w:r>
            <w:r>
              <w:rPr>
                <w:rFonts w:ascii="Arial" w:eastAsia="黑体" w:hAnsi="Arial" w:cs="Arial"/>
                <w:szCs w:val="21"/>
              </w:rPr>
              <w:fldChar w:fldCharType="end"/>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szCs w:val="21"/>
              </w:rPr>
            </w:pPr>
            <w:r>
              <w:rPr>
                <w:rFonts w:ascii="Arial" w:eastAsia="黑体" w:hAnsi="Arial" w:cs="Arial"/>
                <w:szCs w:val="21"/>
              </w:rPr>
              <w:t>2022</w:t>
            </w:r>
            <w:r>
              <w:rPr>
                <w:rFonts w:ascii="Arial" w:eastAsia="黑体" w:hAnsi="Arial" w:cs="Arial"/>
                <w:szCs w:val="21"/>
              </w:rPr>
              <w:t>年</w:t>
            </w:r>
            <w:r>
              <w:rPr>
                <w:rFonts w:ascii="Arial" w:eastAsia="黑体" w:hAnsi="Arial" w:cs="Arial"/>
                <w:szCs w:val="21"/>
              </w:rPr>
              <w:t>12</w:t>
            </w:r>
            <w:r>
              <w:rPr>
                <w:rFonts w:ascii="Arial" w:eastAsia="黑体" w:hAnsi="Arial" w:cs="Arial"/>
                <w:szCs w:val="21"/>
              </w:rPr>
              <w:t>月</w:t>
            </w:r>
            <w:r>
              <w:rPr>
                <w:rFonts w:ascii="Arial" w:eastAsia="黑体" w:hAnsi="Arial" w:cs="Arial"/>
                <w:szCs w:val="21"/>
              </w:rPr>
              <w:t>31</w:t>
            </w:r>
            <w:r>
              <w:rPr>
                <w:rFonts w:ascii="Arial" w:eastAsia="黑体" w:hAnsi="Arial" w:cs="Arial"/>
                <w:szCs w:val="21"/>
              </w:rPr>
              <w:t>日</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r>
      <w:tr w:rsidR="00AD5BB5">
        <w:tc>
          <w:tcPr>
            <w:tcW w:w="350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17"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r>
      <w:tr w:rsidR="00AD5BB5">
        <w:tc>
          <w:tcPr>
            <w:tcW w:w="350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境内其他金融机构</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rightChars="7" w:right="15"/>
              <w:jc w:val="right"/>
              <w:rPr>
                <w:rFonts w:ascii="Arial" w:eastAsia="黑体" w:hAnsi="Arial" w:cs="Arial"/>
                <w:color w:val="000000"/>
                <w:szCs w:val="21"/>
              </w:rPr>
            </w:pPr>
            <w:r>
              <w:rPr>
                <w:rFonts w:ascii="Arial" w:eastAsia="黑体" w:hAnsi="Arial" w:cs="Arial"/>
                <w:color w:val="000000"/>
                <w:szCs w:val="21"/>
              </w:rPr>
              <w:t>17,488,000,000.00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29" w:right="61"/>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29" w:right="61"/>
              <w:rPr>
                <w:rFonts w:ascii="Arial" w:eastAsia="黑体" w:hAnsi="Arial" w:cs="Arial"/>
                <w:color w:val="000000"/>
                <w:szCs w:val="21"/>
              </w:rPr>
            </w:pPr>
          </w:p>
        </w:tc>
        <w:tc>
          <w:tcPr>
            <w:tcW w:w="2168"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rightChars="7" w:right="15"/>
              <w:jc w:val="right"/>
              <w:rPr>
                <w:rFonts w:ascii="Arial" w:eastAsia="黑体" w:hAnsi="Arial" w:cs="Arial"/>
                <w:color w:val="000000"/>
                <w:szCs w:val="21"/>
              </w:rPr>
            </w:pPr>
            <w:r>
              <w:rPr>
                <w:rFonts w:ascii="Arial" w:eastAsia="黑体" w:hAnsi="Arial" w:cs="Arial"/>
                <w:color w:val="000000"/>
                <w:szCs w:val="21"/>
              </w:rPr>
              <w:t>13,888,000,000.00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502"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小计</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single" w:sz="4" w:space="0" w:color="auto"/>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7" w:right="15"/>
              <w:jc w:val="right"/>
              <w:rPr>
                <w:rFonts w:ascii="Arial" w:eastAsia="黑体" w:hAnsi="Arial" w:cs="Arial"/>
                <w:color w:val="000000"/>
                <w:szCs w:val="21"/>
              </w:rPr>
            </w:pPr>
            <w:r>
              <w:rPr>
                <w:rFonts w:ascii="Arial" w:eastAsia="黑体" w:hAnsi="Arial" w:cs="Arial"/>
                <w:color w:val="000000"/>
                <w:szCs w:val="21"/>
              </w:rPr>
              <w:t>17,488,000,000.00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29" w:right="61"/>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29" w:right="61"/>
              <w:rPr>
                <w:rFonts w:ascii="Arial" w:eastAsia="黑体" w:hAnsi="Arial" w:cs="Arial"/>
                <w:color w:val="000000"/>
                <w:szCs w:val="21"/>
              </w:rPr>
            </w:pPr>
          </w:p>
        </w:tc>
        <w:tc>
          <w:tcPr>
            <w:tcW w:w="2168" w:type="dxa"/>
            <w:tcBorders>
              <w:top w:val="single" w:sz="4" w:space="0" w:color="auto"/>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7" w:right="15"/>
              <w:jc w:val="right"/>
              <w:rPr>
                <w:rFonts w:ascii="Arial" w:eastAsia="黑体" w:hAnsi="Arial" w:cs="Arial"/>
                <w:color w:val="000000"/>
                <w:szCs w:val="21"/>
              </w:rPr>
            </w:pPr>
            <w:r>
              <w:rPr>
                <w:rFonts w:ascii="Arial" w:eastAsia="黑体" w:hAnsi="Arial" w:cs="Arial"/>
                <w:color w:val="000000"/>
                <w:szCs w:val="21"/>
              </w:rPr>
              <w:t>13,888,000,000.00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50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7" w:right="15"/>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7" w:right="15"/>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502"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应计利息</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7" w:right="15"/>
              <w:jc w:val="right"/>
              <w:rPr>
                <w:rFonts w:ascii="Arial" w:eastAsia="黑体" w:hAnsi="Arial" w:cs="Arial"/>
                <w:color w:val="000000"/>
                <w:szCs w:val="21"/>
              </w:rPr>
            </w:pPr>
            <w:r>
              <w:rPr>
                <w:rFonts w:ascii="Arial" w:eastAsia="黑体" w:hAnsi="Arial" w:cs="Arial"/>
                <w:color w:val="000000"/>
                <w:szCs w:val="21"/>
              </w:rPr>
              <w:t>288,167,605.55</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7" w:right="15"/>
              <w:jc w:val="right"/>
              <w:rPr>
                <w:rFonts w:ascii="Arial" w:eastAsia="黑体" w:hAnsi="Arial" w:cs="Arial"/>
                <w:color w:val="000000"/>
                <w:szCs w:val="21"/>
              </w:rPr>
            </w:pPr>
            <w:r>
              <w:rPr>
                <w:rFonts w:ascii="Arial" w:eastAsia="黑体" w:hAnsi="Arial" w:cs="Arial"/>
                <w:color w:val="000000"/>
                <w:szCs w:val="21"/>
              </w:rPr>
              <w:t>190,141,399.02</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50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502"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630" w:hangingChars="300" w:hanging="630"/>
              <w:rPr>
                <w:rFonts w:ascii="Arial" w:eastAsia="黑体" w:hAnsi="Arial" w:cs="Arial"/>
                <w:szCs w:val="21"/>
              </w:rPr>
            </w:pPr>
            <w:r>
              <w:rPr>
                <w:rFonts w:ascii="Arial" w:eastAsia="黑体" w:hAnsi="Arial" w:cs="Arial"/>
                <w:szCs w:val="21"/>
              </w:rPr>
              <w:t>减：减值准备（附注五、</w:t>
            </w:r>
            <w:r>
              <w:rPr>
                <w:rFonts w:ascii="Arial" w:eastAsia="黑体" w:hAnsi="Arial" w:cs="Arial"/>
                <w:szCs w:val="21"/>
              </w:rPr>
              <w:t>17</w:t>
            </w:r>
            <w:r>
              <w:rPr>
                <w:rFonts w:ascii="Arial" w:eastAsia="黑体" w:hAnsi="Arial" w:cs="Arial"/>
                <w:szCs w:val="21"/>
              </w:rPr>
              <w:t>）</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(100,504,356.69</w:t>
            </w:r>
          </w:p>
        </w:tc>
        <w:tc>
          <w:tcPr>
            <w:tcW w:w="110"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szCs w:val="21"/>
              </w:rPr>
            </w:pPr>
            <w:r>
              <w:rPr>
                <w:rFonts w:ascii="Arial" w:eastAsia="黑体" w:hAnsi="Arial" w:cs="Arial"/>
                <w:szCs w:val="21"/>
              </w:rPr>
              <w:t>)</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(208,604,750.69</w:t>
            </w:r>
          </w:p>
        </w:tc>
        <w:tc>
          <w:tcPr>
            <w:tcW w:w="110"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Cs w:val="21"/>
              </w:rPr>
            </w:pPr>
            <w:r>
              <w:rPr>
                <w:rFonts w:ascii="Arial" w:eastAsia="黑体" w:hAnsi="Arial" w:cs="Arial"/>
                <w:color w:val="000000"/>
                <w:szCs w:val="21"/>
              </w:rPr>
              <w:t>)</w:t>
            </w:r>
          </w:p>
        </w:tc>
      </w:tr>
      <w:tr w:rsidR="00AD5BB5">
        <w:tc>
          <w:tcPr>
            <w:tcW w:w="350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502"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合计</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17"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rightChars="-3" w:right="-6"/>
              <w:jc w:val="right"/>
              <w:rPr>
                <w:rFonts w:ascii="Arial" w:eastAsia="黑体" w:hAnsi="Arial" w:cs="Arial"/>
                <w:color w:val="000000"/>
                <w:szCs w:val="21"/>
              </w:rPr>
            </w:pPr>
            <w:r>
              <w:rPr>
                <w:rFonts w:ascii="Arial" w:eastAsia="黑体" w:hAnsi="Arial" w:cs="Arial"/>
                <w:color w:val="000000"/>
                <w:szCs w:val="21"/>
              </w:rPr>
              <w:t>17,675,663,248.86</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rightChars="7" w:right="15"/>
              <w:jc w:val="right"/>
              <w:rPr>
                <w:rFonts w:ascii="Arial" w:eastAsia="黑体" w:hAnsi="Arial" w:cs="Arial"/>
                <w:color w:val="000000"/>
                <w:szCs w:val="21"/>
              </w:rPr>
            </w:pPr>
            <w:r>
              <w:rPr>
                <w:rFonts w:ascii="Arial" w:eastAsia="黑体" w:hAnsi="Arial" w:cs="Arial"/>
                <w:color w:val="000000"/>
                <w:szCs w:val="21"/>
              </w:rPr>
              <w:t>13,869,536,648.33</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bl>
    <w:p w:rsidR="00AD5BB5" w:rsidRDefault="00AD5BB5">
      <w:pPr>
        <w:overflowPunct w:val="0"/>
        <w:autoSpaceDE w:val="0"/>
        <w:autoSpaceDN w:val="0"/>
        <w:adjustRightInd w:val="0"/>
        <w:snapToGrid w:val="0"/>
        <w:textAlignment w:val="bottom"/>
        <w:rPr>
          <w:rFonts w:ascii="Arial" w:eastAsia="黑体" w:hAnsi="Arial" w:cs="Arial"/>
          <w:bCs/>
          <w:snapToGrid w:val="0"/>
          <w:szCs w:val="21"/>
        </w:rPr>
      </w:pPr>
    </w:p>
    <w:p w:rsidR="00AD5BB5" w:rsidRDefault="00F87FF6">
      <w:pPr>
        <w:overflowPunct w:val="0"/>
        <w:autoSpaceDE w:val="0"/>
        <w:autoSpaceDN w:val="0"/>
        <w:adjustRightInd w:val="0"/>
        <w:snapToGrid w:val="0"/>
        <w:textAlignment w:val="bottom"/>
        <w:rPr>
          <w:rFonts w:ascii="Arial" w:eastAsia="黑体" w:hAnsi="Arial" w:cs="Arial"/>
          <w:bCs/>
          <w:snapToGrid w:val="0"/>
          <w:szCs w:val="21"/>
        </w:rPr>
      </w:pPr>
      <w:r>
        <w:rPr>
          <w:rFonts w:ascii="Arial" w:eastAsia="黑体" w:hAnsi="Arial" w:cs="Arial"/>
          <w:bCs/>
          <w:snapToGrid w:val="0"/>
          <w:szCs w:val="21"/>
        </w:rPr>
        <w:t>于</w:t>
      </w:r>
      <w:r>
        <w:rPr>
          <w:rFonts w:ascii="Arial" w:eastAsia="黑体" w:hAnsi="Arial" w:cs="Arial"/>
          <w:bCs/>
          <w:snapToGrid w:val="0"/>
          <w:szCs w:val="21"/>
        </w:rPr>
        <w:fldChar w:fldCharType="begin"/>
      </w:r>
      <w:r>
        <w:rPr>
          <w:rFonts w:ascii="Arial" w:eastAsia="黑体" w:hAnsi="Arial" w:cs="Arial"/>
          <w:bCs/>
          <w:snapToGrid w:val="0"/>
          <w:szCs w:val="21"/>
        </w:rPr>
        <w:instrText xml:space="preserve"> DOCPROPERTY </w:instrText>
      </w:r>
      <w:r>
        <w:rPr>
          <w:rFonts w:ascii="Arial" w:eastAsia="黑体" w:hAnsi="Arial" w:cs="Arial"/>
          <w:bCs/>
          <w:snapToGrid w:val="0"/>
          <w:szCs w:val="21"/>
        </w:rPr>
        <w:instrText>当期会计期间</w:instrText>
      </w:r>
      <w:r>
        <w:rPr>
          <w:rFonts w:ascii="Arial" w:eastAsia="黑体" w:hAnsi="Arial" w:cs="Arial"/>
          <w:bCs/>
          <w:snapToGrid w:val="0"/>
          <w:szCs w:val="21"/>
        </w:rPr>
        <w:instrText xml:space="preserve"> </w:instrText>
      </w:r>
      <w:r>
        <w:rPr>
          <w:rFonts w:ascii="Arial" w:eastAsia="黑体" w:hAnsi="Arial" w:cs="Arial"/>
          <w:bCs/>
          <w:snapToGrid w:val="0"/>
          <w:szCs w:val="21"/>
        </w:rPr>
        <w:fldChar w:fldCharType="separate"/>
      </w:r>
      <w:r>
        <w:rPr>
          <w:rFonts w:ascii="Arial" w:eastAsia="黑体" w:hAnsi="Arial" w:cs="Arial"/>
          <w:bCs/>
          <w:snapToGrid w:val="0"/>
          <w:szCs w:val="21"/>
        </w:rPr>
        <w:t>2023</w:t>
      </w:r>
      <w:r>
        <w:rPr>
          <w:rFonts w:ascii="Arial" w:eastAsia="黑体" w:hAnsi="Arial" w:cs="Arial"/>
          <w:bCs/>
          <w:snapToGrid w:val="0"/>
          <w:szCs w:val="21"/>
        </w:rPr>
        <w:fldChar w:fldCharType="end"/>
      </w:r>
      <w:r>
        <w:rPr>
          <w:rFonts w:ascii="Arial" w:eastAsia="黑体" w:hAnsi="Arial" w:cs="Arial"/>
          <w:bCs/>
          <w:snapToGrid w:val="0"/>
          <w:szCs w:val="21"/>
        </w:rPr>
        <w:t>年</w:t>
      </w:r>
      <w:r>
        <w:rPr>
          <w:rFonts w:ascii="Arial" w:eastAsia="黑体" w:hAnsi="Arial" w:cs="Arial"/>
          <w:bCs/>
          <w:snapToGrid w:val="0"/>
          <w:szCs w:val="21"/>
        </w:rPr>
        <w:t>6</w:t>
      </w:r>
      <w:r>
        <w:rPr>
          <w:rFonts w:ascii="Arial" w:eastAsia="黑体" w:hAnsi="Arial" w:cs="Arial"/>
          <w:bCs/>
          <w:snapToGrid w:val="0"/>
          <w:szCs w:val="21"/>
        </w:rPr>
        <w:t>月</w:t>
      </w:r>
      <w:r>
        <w:rPr>
          <w:rFonts w:ascii="Arial" w:eastAsia="黑体" w:hAnsi="Arial" w:cs="Arial"/>
          <w:bCs/>
          <w:snapToGrid w:val="0"/>
          <w:szCs w:val="21"/>
        </w:rPr>
        <w:t>30</w:t>
      </w:r>
      <w:r>
        <w:rPr>
          <w:rFonts w:ascii="Arial" w:eastAsia="黑体" w:hAnsi="Arial" w:cs="Arial"/>
          <w:bCs/>
          <w:snapToGrid w:val="0"/>
          <w:szCs w:val="21"/>
        </w:rPr>
        <w:t>日</w:t>
      </w:r>
      <w:proofErr w:type="gramStart"/>
      <w:r>
        <w:rPr>
          <w:rFonts w:ascii="Arial" w:eastAsia="黑体" w:hAnsi="Arial" w:cs="Arial"/>
          <w:bCs/>
          <w:snapToGrid w:val="0"/>
          <w:szCs w:val="21"/>
        </w:rPr>
        <w:t>止</w:t>
      </w:r>
      <w:proofErr w:type="gramEnd"/>
      <w:r>
        <w:rPr>
          <w:rFonts w:ascii="Arial" w:eastAsia="黑体" w:hAnsi="Arial" w:cs="Arial"/>
          <w:bCs/>
          <w:snapToGrid w:val="0"/>
          <w:szCs w:val="21"/>
        </w:rPr>
        <w:t>6</w:t>
      </w:r>
      <w:r>
        <w:rPr>
          <w:rFonts w:ascii="Arial" w:eastAsia="黑体" w:hAnsi="Arial" w:cs="Arial"/>
          <w:bCs/>
          <w:snapToGrid w:val="0"/>
          <w:szCs w:val="21"/>
        </w:rPr>
        <w:t>个月期间及</w:t>
      </w:r>
      <w:r>
        <w:rPr>
          <w:rFonts w:ascii="Arial" w:eastAsia="黑体" w:hAnsi="Arial" w:cs="Arial"/>
          <w:bCs/>
          <w:snapToGrid w:val="0"/>
          <w:szCs w:val="21"/>
        </w:rPr>
        <w:fldChar w:fldCharType="begin"/>
      </w:r>
      <w:r>
        <w:rPr>
          <w:rFonts w:ascii="Arial" w:eastAsia="黑体" w:hAnsi="Arial" w:cs="Arial"/>
          <w:bCs/>
          <w:snapToGrid w:val="0"/>
          <w:szCs w:val="21"/>
        </w:rPr>
        <w:instrText xml:space="preserve"> DOCPROPERTY </w:instrText>
      </w:r>
      <w:r>
        <w:rPr>
          <w:rFonts w:ascii="Arial" w:eastAsia="黑体" w:hAnsi="Arial" w:cs="Arial"/>
          <w:bCs/>
          <w:snapToGrid w:val="0"/>
          <w:szCs w:val="21"/>
        </w:rPr>
        <w:instrText>对比会计期间</w:instrText>
      </w:r>
      <w:r>
        <w:rPr>
          <w:rFonts w:ascii="Arial" w:eastAsia="黑体" w:hAnsi="Arial" w:cs="Arial"/>
          <w:bCs/>
          <w:snapToGrid w:val="0"/>
          <w:szCs w:val="21"/>
        </w:rPr>
        <w:instrText xml:space="preserve"> </w:instrText>
      </w:r>
      <w:r>
        <w:rPr>
          <w:rFonts w:ascii="Arial" w:eastAsia="黑体" w:hAnsi="Arial" w:cs="Arial"/>
          <w:bCs/>
          <w:snapToGrid w:val="0"/>
          <w:szCs w:val="21"/>
        </w:rPr>
        <w:fldChar w:fldCharType="separate"/>
      </w:r>
      <w:r>
        <w:rPr>
          <w:rFonts w:ascii="Arial" w:eastAsia="黑体" w:hAnsi="Arial" w:cs="Arial"/>
          <w:bCs/>
          <w:snapToGrid w:val="0"/>
          <w:szCs w:val="21"/>
        </w:rPr>
        <w:t>2022</w:t>
      </w:r>
      <w:r>
        <w:rPr>
          <w:rFonts w:ascii="Arial" w:eastAsia="黑体" w:hAnsi="Arial" w:cs="Arial"/>
          <w:bCs/>
          <w:snapToGrid w:val="0"/>
          <w:szCs w:val="21"/>
        </w:rPr>
        <w:fldChar w:fldCharType="end"/>
      </w:r>
      <w:r>
        <w:rPr>
          <w:rFonts w:ascii="Arial" w:eastAsia="黑体" w:hAnsi="Arial" w:cs="Arial"/>
          <w:bCs/>
          <w:snapToGrid w:val="0"/>
          <w:szCs w:val="21"/>
        </w:rPr>
        <w:t>年度，本集团拆出资金账面余额均为阶段</w:t>
      </w:r>
      <w:proofErr w:type="gramStart"/>
      <w:r>
        <w:rPr>
          <w:rFonts w:ascii="Arial" w:eastAsia="黑体" w:hAnsi="Arial" w:cs="Arial"/>
          <w:bCs/>
          <w:snapToGrid w:val="0"/>
          <w:szCs w:val="21"/>
        </w:rPr>
        <w:t>一</w:t>
      </w:r>
      <w:proofErr w:type="gramEnd"/>
      <w:r>
        <w:rPr>
          <w:rFonts w:ascii="Arial" w:eastAsia="黑体" w:hAnsi="Arial" w:cs="Arial"/>
          <w:bCs/>
          <w:snapToGrid w:val="0"/>
          <w:szCs w:val="21"/>
        </w:rPr>
        <w:t>，账面余额和减值准备均不涉及阶段之间的转移。</w:t>
      </w:r>
      <w:r>
        <w:rPr>
          <w:rFonts w:ascii="Arial" w:eastAsia="黑体" w:hAnsi="Arial" w:cs="Arial"/>
          <w:bCs/>
          <w:snapToGrid w:val="0"/>
        </w:rPr>
        <w:br w:type="page"/>
      </w:r>
    </w:p>
    <w:p w:rsidR="00AD5BB5" w:rsidRDefault="00AD5BB5">
      <w:pPr>
        <w:overflowPunct w:val="0"/>
        <w:autoSpaceDE w:val="0"/>
        <w:autoSpaceDN w:val="0"/>
        <w:adjustRightInd w:val="0"/>
        <w:snapToGrid w:val="0"/>
        <w:textAlignment w:val="bottom"/>
        <w:rPr>
          <w:rFonts w:ascii="Arial" w:eastAsia="黑体" w:hAnsi="Arial" w:cs="Arial"/>
          <w:bCs/>
          <w:snapToGrid w:val="0"/>
        </w:rPr>
      </w:pPr>
    </w:p>
    <w:p w:rsidR="00AD5BB5" w:rsidRDefault="00AD5BB5">
      <w:pPr>
        <w:overflowPunct w:val="0"/>
        <w:autoSpaceDE w:val="0"/>
        <w:autoSpaceDN w:val="0"/>
        <w:adjustRightInd w:val="0"/>
        <w:snapToGrid w:val="0"/>
        <w:textAlignment w:val="bottom"/>
        <w:rPr>
          <w:rFonts w:ascii="Arial" w:eastAsia="黑体" w:hAnsi="Arial" w:cs="Arial"/>
          <w:bCs/>
          <w:snapToGrid w:val="0"/>
        </w:rPr>
      </w:pPr>
    </w:p>
    <w:p w:rsidR="00AD5BB5" w:rsidRDefault="00F87FF6">
      <w:pPr>
        <w:overflowPunct w:val="0"/>
        <w:autoSpaceDE w:val="0"/>
        <w:autoSpaceDN w:val="0"/>
        <w:adjustRightInd w:val="0"/>
        <w:snapToGrid w:val="0"/>
        <w:textAlignment w:val="bottom"/>
        <w:rPr>
          <w:rFonts w:ascii="Arial" w:eastAsia="黑体" w:hAnsi="Arial" w:cs="Arial"/>
          <w:b/>
          <w:bCs/>
          <w:snapToGrid w:val="0"/>
        </w:rPr>
      </w:pPr>
      <w:bookmarkStart w:id="81" w:name="afsaddin_WithXu_e713e3eb02b44666b94ec22d"/>
      <w:r>
        <w:rPr>
          <w:rFonts w:ascii="Arial" w:eastAsia="黑体" w:hAnsi="Arial" w:cs="Arial"/>
          <w:b/>
          <w:bCs/>
          <w:snapToGrid w:val="0"/>
        </w:rPr>
        <w:t>五、</w:t>
      </w:r>
      <w:r>
        <w:rPr>
          <w:rFonts w:ascii="Arial" w:eastAsia="黑体" w:hAnsi="Arial" w:cs="Arial"/>
          <w:b/>
          <w:bCs/>
          <w:snapToGrid w:val="0"/>
        </w:rPr>
        <w:tab/>
      </w:r>
      <w:r>
        <w:rPr>
          <w:rFonts w:ascii="Arial" w:eastAsia="黑体" w:hAnsi="Arial" w:cs="Arial"/>
          <w:b/>
          <w:bCs/>
          <w:snapToGrid w:val="0"/>
        </w:rPr>
        <w:t>合并财务报表主要项目注释（续）</w:t>
      </w:r>
      <w:bookmarkEnd w:id="81"/>
    </w:p>
    <w:p w:rsidR="00AD5BB5" w:rsidRDefault="00AD5BB5">
      <w:pPr>
        <w:overflowPunct w:val="0"/>
        <w:autoSpaceDE w:val="0"/>
        <w:autoSpaceDN w:val="0"/>
        <w:adjustRightInd w:val="0"/>
        <w:snapToGrid w:val="0"/>
        <w:textAlignment w:val="bottom"/>
        <w:rPr>
          <w:rFonts w:ascii="Arial" w:eastAsia="黑体" w:hAnsi="Arial" w:cs="Arial"/>
          <w:bCs/>
          <w:snapToGrid w:val="0"/>
        </w:rPr>
      </w:pPr>
    </w:p>
    <w:p w:rsidR="00AD5BB5" w:rsidRDefault="00F87FF6">
      <w:pPr>
        <w:pStyle w:val="af5"/>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82" w:name="afsaddin_WithXu_d1b8a92a7895469bb2b8c663"/>
      <w:bookmarkStart w:id="83" w:name="afsaddin_Section_61bbdee89227482389e5155"/>
      <w:bookmarkEnd w:id="82"/>
      <w:r>
        <w:rPr>
          <w:rFonts w:ascii="Arial" w:eastAsia="黑体" w:hAnsi="Arial" w:cs="Arial" w:hint="default"/>
          <w:bCs w:val="0"/>
          <w:snapToGrid w:val="0"/>
          <w:color w:val="auto"/>
          <w:sz w:val="21"/>
          <w:szCs w:val="21"/>
        </w:rPr>
        <w:t>4.</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衍生金融资产</w:t>
      </w:r>
      <w:r>
        <w:rPr>
          <w:rFonts w:ascii="Arial" w:eastAsia="黑体" w:hAnsi="Arial" w:cs="Arial" w:hint="default"/>
          <w:bCs w:val="0"/>
          <w:snapToGrid w:val="0"/>
          <w:color w:val="auto"/>
          <w:sz w:val="21"/>
          <w:szCs w:val="21"/>
        </w:rPr>
        <w:t>/</w:t>
      </w:r>
      <w:r>
        <w:rPr>
          <w:rFonts w:ascii="Arial" w:eastAsia="黑体" w:hAnsi="Arial" w:cs="Arial" w:hint="default"/>
          <w:bCs w:val="0"/>
          <w:snapToGrid w:val="0"/>
          <w:color w:val="auto"/>
          <w:sz w:val="21"/>
          <w:szCs w:val="21"/>
        </w:rPr>
        <w:t>负债</w:t>
      </w:r>
    </w:p>
    <w:bookmarkEnd w:id="83"/>
    <w:p w:rsidR="00AD5BB5" w:rsidRDefault="00AD5BB5">
      <w:pPr>
        <w:overflowPunct w:val="0"/>
        <w:autoSpaceDE w:val="0"/>
        <w:autoSpaceDN w:val="0"/>
        <w:adjustRightInd w:val="0"/>
        <w:snapToGrid w:val="0"/>
        <w:textAlignment w:val="bottom"/>
        <w:rPr>
          <w:rFonts w:ascii="Arial" w:eastAsia="黑体" w:hAnsi="Arial" w:cs="Arial"/>
          <w:bCs/>
          <w:snapToGrid w:val="0"/>
          <w:szCs w:val="21"/>
        </w:rPr>
      </w:pPr>
    </w:p>
    <w:p w:rsidR="00AD5BB5" w:rsidRDefault="00F87FF6">
      <w:pPr>
        <w:overflowPunct w:val="0"/>
        <w:autoSpaceDE w:val="0"/>
        <w:autoSpaceDN w:val="0"/>
        <w:adjustRightInd w:val="0"/>
        <w:snapToGrid w:val="0"/>
        <w:textAlignment w:val="bottom"/>
        <w:rPr>
          <w:rFonts w:ascii="Arial" w:eastAsia="黑体" w:hAnsi="Arial" w:cs="Arial"/>
          <w:bCs/>
          <w:snapToGrid w:val="0"/>
          <w:szCs w:val="21"/>
        </w:rPr>
      </w:pPr>
      <w:r>
        <w:rPr>
          <w:rFonts w:ascii="Arial" w:eastAsia="黑体" w:hAnsi="Arial" w:cs="Arial"/>
          <w:bCs/>
          <w:snapToGrid w:val="0"/>
          <w:szCs w:val="21"/>
        </w:rPr>
        <w:t>以下列示的是在资产负债表日本集团衍生金融工具的名义金额及公允价值：</w:t>
      </w:r>
    </w:p>
    <w:p w:rsidR="00AD5BB5" w:rsidRDefault="00AD5BB5">
      <w:pPr>
        <w:overflowPunct w:val="0"/>
        <w:autoSpaceDE w:val="0"/>
        <w:autoSpaceDN w:val="0"/>
        <w:adjustRightInd w:val="0"/>
        <w:snapToGrid w:val="0"/>
        <w:textAlignment w:val="bottom"/>
        <w:rPr>
          <w:rFonts w:ascii="Arial" w:eastAsia="黑体" w:hAnsi="Arial" w:cs="Arial"/>
          <w:bCs/>
          <w:snapToGrid w:val="0"/>
          <w:szCs w:val="21"/>
        </w:rPr>
      </w:pPr>
    </w:p>
    <w:tbl>
      <w:tblPr>
        <w:tblW w:w="0" w:type="auto"/>
        <w:tblLayout w:type="fixed"/>
        <w:tblCellMar>
          <w:left w:w="0" w:type="dxa"/>
          <w:right w:w="0" w:type="dxa"/>
        </w:tblCellMar>
        <w:tblLook w:val="04A0" w:firstRow="1" w:lastRow="0" w:firstColumn="1" w:lastColumn="0" w:noHBand="0" w:noVBand="1"/>
        <w:tblCaption w:val="f1cc0c30-7550-4bc2-8dc2-4c6345ef04e2"/>
        <w:tblDescription w:val="{&quot;UUID&quot;:&quot;afsaddin_tabledata_2_56437_f1cc0c30-7550-4bc2-8dc2-4c6345ef04e2&quot;,&quot;TitleRowCount&quot;:3,&quot;SplitedTable&quot;:false,&quot;FirstTableId&quot;:&quot;f1cc0c30-7550-4bc2-8dc2-4c6345ef04e2&quot;}"/>
      </w:tblPr>
      <w:tblGrid>
        <w:gridCol w:w="1516"/>
        <w:gridCol w:w="109"/>
        <w:gridCol w:w="2247"/>
        <w:gridCol w:w="108"/>
        <w:gridCol w:w="108"/>
        <w:gridCol w:w="1966"/>
        <w:gridCol w:w="108"/>
        <w:gridCol w:w="108"/>
        <w:gridCol w:w="2048"/>
        <w:gridCol w:w="108"/>
      </w:tblGrid>
      <w:tr w:rsidR="00AD5BB5">
        <w:tc>
          <w:tcPr>
            <w:tcW w:w="1516"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6693" w:type="dxa"/>
            <w:gridSpan w:val="7"/>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当期资产负债表日</w:instrText>
            </w:r>
            <w:r>
              <w:rPr>
                <w:rFonts w:ascii="Arial" w:eastAsia="黑体" w:hAnsi="Arial" w:cs="Arial"/>
                <w:szCs w:val="21"/>
              </w:rPr>
              <w:instrText xml:space="preserve"> </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t>年</w:t>
            </w:r>
            <w:r>
              <w:rPr>
                <w:rFonts w:ascii="Arial" w:eastAsia="黑体" w:hAnsi="Arial" w:cs="Arial"/>
                <w:szCs w:val="21"/>
              </w:rPr>
              <w:t>6</w:t>
            </w:r>
            <w:r>
              <w:rPr>
                <w:rFonts w:ascii="Arial" w:eastAsia="黑体" w:hAnsi="Arial" w:cs="Arial"/>
                <w:szCs w:val="21"/>
              </w:rPr>
              <w:t>月</w:t>
            </w:r>
            <w:r>
              <w:rPr>
                <w:rFonts w:ascii="Arial" w:eastAsia="黑体" w:hAnsi="Arial" w:cs="Arial"/>
                <w:szCs w:val="21"/>
              </w:rPr>
              <w:t>30</w:t>
            </w:r>
            <w:r>
              <w:rPr>
                <w:rFonts w:ascii="Arial" w:eastAsia="黑体" w:hAnsi="Arial" w:cs="Arial"/>
                <w:szCs w:val="21"/>
              </w:rPr>
              <w:t>日</w:t>
            </w:r>
            <w:r>
              <w:rPr>
                <w:rFonts w:ascii="Arial" w:eastAsia="黑体" w:hAnsi="Arial" w:cs="Arial"/>
                <w:szCs w:val="21"/>
              </w:rPr>
              <w:fldChar w:fldCharType="end"/>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1516"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47"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名义金额</w:t>
            </w:r>
          </w:p>
        </w:tc>
        <w:tc>
          <w:tcPr>
            <w:tcW w:w="10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4230" w:type="dxa"/>
            <w:gridSpan w:val="4"/>
            <w:tcBorders>
              <w:top w:val="single" w:sz="4" w:space="0" w:color="auto"/>
              <w:left w:val="nil"/>
              <w:bottom w:val="single" w:sz="4" w:space="0" w:color="auto"/>
              <w:right w:val="nil"/>
            </w:tcBorders>
            <w:vAlign w:val="bottom"/>
          </w:tcPr>
          <w:p w:rsidR="00AD5BB5" w:rsidRDefault="00F87FF6">
            <w:pPr>
              <w:autoSpaceDE w:val="0"/>
              <w:autoSpaceDN w:val="0"/>
              <w:jc w:val="center"/>
              <w:rPr>
                <w:rFonts w:ascii="Arial" w:eastAsia="黑体" w:hAnsi="Arial" w:cs="Arial"/>
                <w:szCs w:val="21"/>
              </w:rPr>
            </w:pPr>
            <w:r>
              <w:rPr>
                <w:rFonts w:ascii="Arial" w:eastAsia="黑体" w:hAnsi="Arial" w:cs="Arial"/>
                <w:szCs w:val="21"/>
              </w:rPr>
              <w:t>公允价值</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1516"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4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966"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资产</w:t>
            </w:r>
          </w:p>
        </w:tc>
        <w:tc>
          <w:tcPr>
            <w:tcW w:w="10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2048"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负债</w:t>
            </w:r>
          </w:p>
        </w:tc>
        <w:tc>
          <w:tcPr>
            <w:tcW w:w="10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r>
      <w:tr w:rsidR="00AD5BB5">
        <w:tc>
          <w:tcPr>
            <w:tcW w:w="1516"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外汇衍生工具</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4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66"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4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1516"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远期合约</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4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6,526,571,473.07</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66"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91,359,867.96</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4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(72,356,884.22</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r>
      <w:tr w:rsidR="00AD5BB5">
        <w:tc>
          <w:tcPr>
            <w:tcW w:w="1516"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掉期合约</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4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48,451,027,272.85</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66"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1,001,111,370.10</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4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(985,992,615.16</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r>
      <w:tr w:rsidR="00AD5BB5">
        <w:tc>
          <w:tcPr>
            <w:tcW w:w="1516"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期权合约</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4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450,343,244.88</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6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6,078,687.49</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4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(5,346,107.94</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r>
      <w:tr w:rsidR="00AD5BB5">
        <w:tc>
          <w:tcPr>
            <w:tcW w:w="1516"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小计</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47"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55,427,941,990.80</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66"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1,098,549,925.55</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48"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(1,063,695,607.32</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r>
      <w:tr w:rsidR="00AD5BB5">
        <w:tc>
          <w:tcPr>
            <w:tcW w:w="1516"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4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6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4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1516"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利率衍生工具</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4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66"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4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1516"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利率掉期合约</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4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108,915,000,000.00</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6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597,695,618.14</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4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(602,408,630.58</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r>
      <w:tr w:rsidR="00AD5BB5">
        <w:tc>
          <w:tcPr>
            <w:tcW w:w="1516"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小计</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47"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108,915,000,000.00</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66"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597,695,618.14</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48"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(602,408,630.58</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r>
      <w:tr w:rsidR="00AD5BB5">
        <w:tc>
          <w:tcPr>
            <w:tcW w:w="1516"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4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6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4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1516"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其他衍生工具</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4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31,860,030,000.00</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6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134,999,621.07</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4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(151,822,917.25</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r>
      <w:tr w:rsidR="00AD5BB5">
        <w:tc>
          <w:tcPr>
            <w:tcW w:w="1516"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4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6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4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1516"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合计</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4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196,202,971,990.80</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6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1,831,245,164.76</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4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(1,817,927,155.15</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r>
    </w:tbl>
    <w:p w:rsidR="00AD5BB5" w:rsidRDefault="00AD5BB5">
      <w:pPr>
        <w:overflowPunct w:val="0"/>
        <w:autoSpaceDE w:val="0"/>
        <w:autoSpaceDN w:val="0"/>
        <w:adjustRightInd w:val="0"/>
        <w:snapToGrid w:val="0"/>
        <w:textAlignment w:val="bottom"/>
        <w:rPr>
          <w:rFonts w:ascii="Arial" w:eastAsia="黑体" w:hAnsi="Arial" w:cs="Arial"/>
          <w:bCs/>
          <w:snapToGrid w:val="0"/>
          <w:szCs w:val="21"/>
        </w:rPr>
      </w:pPr>
    </w:p>
    <w:tbl>
      <w:tblPr>
        <w:tblW w:w="0" w:type="auto"/>
        <w:tblLayout w:type="fixed"/>
        <w:tblCellMar>
          <w:left w:w="0" w:type="dxa"/>
          <w:right w:w="0" w:type="dxa"/>
        </w:tblCellMar>
        <w:tblLook w:val="04A0" w:firstRow="1" w:lastRow="0" w:firstColumn="1" w:lastColumn="0" w:noHBand="0" w:noVBand="1"/>
        <w:tblCaption w:val="41382165-1d38-4ad5-ad64-4d5e0c49b840"/>
        <w:tblDescription w:val="{&quot;UUID&quot;:&quot;afsaddin_tabledata_2_56437_41382165-1d38-4ad5-ad64-4d5e0c49b840&quot;,&quot;TitleRowCount&quot;:2,&quot;SplitedTable&quot;:false,&quot;FirstTableId&quot;:&quot;41382165-1d38-4ad5-ad64-4d5e0c49b840&quot;}"/>
      </w:tblPr>
      <w:tblGrid>
        <w:gridCol w:w="1516"/>
        <w:gridCol w:w="109"/>
        <w:gridCol w:w="2247"/>
        <w:gridCol w:w="108"/>
        <w:gridCol w:w="108"/>
        <w:gridCol w:w="1966"/>
        <w:gridCol w:w="108"/>
        <w:gridCol w:w="108"/>
        <w:gridCol w:w="2048"/>
        <w:gridCol w:w="108"/>
      </w:tblGrid>
      <w:tr w:rsidR="00AD5BB5">
        <w:tc>
          <w:tcPr>
            <w:tcW w:w="1516"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6693" w:type="dxa"/>
            <w:gridSpan w:val="7"/>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szCs w:val="21"/>
              </w:rPr>
            </w:pPr>
            <w:r>
              <w:rPr>
                <w:rFonts w:ascii="Arial" w:eastAsia="黑体" w:hAnsi="Arial" w:cs="Arial"/>
                <w:szCs w:val="21"/>
              </w:rPr>
              <w:t>2022</w:t>
            </w:r>
            <w:r>
              <w:rPr>
                <w:rFonts w:ascii="Arial" w:eastAsia="黑体" w:hAnsi="Arial" w:cs="Arial"/>
                <w:szCs w:val="21"/>
              </w:rPr>
              <w:t>年</w:t>
            </w:r>
            <w:r>
              <w:rPr>
                <w:rFonts w:ascii="Arial" w:eastAsia="黑体" w:hAnsi="Arial" w:cs="Arial"/>
                <w:szCs w:val="21"/>
              </w:rPr>
              <w:t>12</w:t>
            </w:r>
            <w:r>
              <w:rPr>
                <w:rFonts w:ascii="Arial" w:eastAsia="黑体" w:hAnsi="Arial" w:cs="Arial"/>
                <w:szCs w:val="21"/>
              </w:rPr>
              <w:t>月</w:t>
            </w:r>
            <w:r>
              <w:rPr>
                <w:rFonts w:ascii="Arial" w:eastAsia="黑体" w:hAnsi="Arial" w:cs="Arial"/>
                <w:szCs w:val="21"/>
              </w:rPr>
              <w:t>31</w:t>
            </w:r>
            <w:r>
              <w:rPr>
                <w:rFonts w:ascii="Arial" w:eastAsia="黑体" w:hAnsi="Arial" w:cs="Arial"/>
                <w:szCs w:val="21"/>
              </w:rPr>
              <w:t>日</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1516"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47"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名义金额</w:t>
            </w:r>
          </w:p>
        </w:tc>
        <w:tc>
          <w:tcPr>
            <w:tcW w:w="10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4230" w:type="dxa"/>
            <w:gridSpan w:val="4"/>
            <w:tcBorders>
              <w:top w:val="single" w:sz="4" w:space="0" w:color="auto"/>
              <w:left w:val="nil"/>
              <w:bottom w:val="single" w:sz="4" w:space="0" w:color="auto"/>
              <w:right w:val="nil"/>
            </w:tcBorders>
            <w:vAlign w:val="bottom"/>
          </w:tcPr>
          <w:p w:rsidR="00AD5BB5" w:rsidRDefault="00F87FF6">
            <w:pPr>
              <w:autoSpaceDE w:val="0"/>
              <w:autoSpaceDN w:val="0"/>
              <w:jc w:val="center"/>
              <w:rPr>
                <w:rFonts w:ascii="Arial" w:eastAsia="黑体" w:hAnsi="Arial" w:cs="Arial"/>
                <w:szCs w:val="21"/>
              </w:rPr>
            </w:pPr>
            <w:r>
              <w:rPr>
                <w:rFonts w:ascii="Arial" w:eastAsia="黑体" w:hAnsi="Arial" w:cs="Arial"/>
                <w:szCs w:val="21"/>
              </w:rPr>
              <w:t>公允价值</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1516"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4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66"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资产</w:t>
            </w:r>
          </w:p>
        </w:tc>
        <w:tc>
          <w:tcPr>
            <w:tcW w:w="108"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Cs w:val="21"/>
              </w:rPr>
            </w:pPr>
          </w:p>
        </w:tc>
        <w:tc>
          <w:tcPr>
            <w:tcW w:w="2048"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负债</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1516"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外汇衍生工具</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4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66"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4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1516"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远期合约</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4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12,454,122,389.42</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66"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228,785,755.15</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4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(186,634,367.22</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r>
      <w:tr w:rsidR="00AD5BB5">
        <w:tc>
          <w:tcPr>
            <w:tcW w:w="1516"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掉期合约</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4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74,365,707,462.86</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66"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1,274,427,933.98</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4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(1,525,337,994.00</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r>
      <w:tr w:rsidR="00AD5BB5">
        <w:tc>
          <w:tcPr>
            <w:tcW w:w="1516"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期权合约</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4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660,552,639.78</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6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12,793,205.50</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4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(1,450,515.40</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r>
      <w:tr w:rsidR="00AD5BB5">
        <w:tc>
          <w:tcPr>
            <w:tcW w:w="1516"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小计</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47"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87,480,382,492.06</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66"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1,516,006,894.63</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48"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(1,713,422,876.62</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r>
      <w:tr w:rsidR="00AD5BB5">
        <w:tc>
          <w:tcPr>
            <w:tcW w:w="1516"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4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6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4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1516"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利率衍生工具</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4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66"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4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1516"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利率掉期合约</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4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94,630,000,000.00</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6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347,734,252.82</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4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(357,068,971.01</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r>
      <w:tr w:rsidR="00AD5BB5">
        <w:tc>
          <w:tcPr>
            <w:tcW w:w="1516"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小计</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47"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94,630,000,000.00</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66"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347,734,252.82</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48"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(357,068,971.01</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r>
      <w:tr w:rsidR="00AD5BB5">
        <w:tc>
          <w:tcPr>
            <w:tcW w:w="1516"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4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6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4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1516"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其他衍生工具</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4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39,896,700,000.00</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6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207,990,456.39</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4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(208,093,587.77</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r>
      <w:tr w:rsidR="00AD5BB5">
        <w:tc>
          <w:tcPr>
            <w:tcW w:w="1516"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4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6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4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1516"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合计</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4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222,007,082,492.06</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6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2,071,731,603.84</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4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(2,278,585,435.40</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r>
    </w:tbl>
    <w:p w:rsidR="00AD5BB5" w:rsidRDefault="00F87FF6">
      <w:pPr>
        <w:rPr>
          <w:rFonts w:ascii="Arial" w:eastAsia="黑体" w:hAnsi="Arial" w:cs="Arial"/>
          <w:bCs/>
        </w:rPr>
      </w:pPr>
      <w:r>
        <w:rPr>
          <w:rFonts w:ascii="Arial" w:eastAsia="黑体" w:hAnsi="Arial" w:cs="Arial"/>
          <w:bCs/>
        </w:rPr>
        <w:br w:type="page"/>
      </w:r>
    </w:p>
    <w:p w:rsidR="00AD5BB5" w:rsidRDefault="00AD5BB5">
      <w:pPr>
        <w:overflowPunct w:val="0"/>
        <w:autoSpaceDE w:val="0"/>
        <w:autoSpaceDN w:val="0"/>
        <w:adjustRightInd w:val="0"/>
        <w:snapToGrid w:val="0"/>
        <w:textAlignment w:val="bottom"/>
        <w:rPr>
          <w:rFonts w:ascii="Arial" w:eastAsia="黑体" w:hAnsi="Arial" w:cs="Arial"/>
          <w:bCs/>
        </w:rPr>
      </w:pPr>
    </w:p>
    <w:p w:rsidR="00AD5BB5" w:rsidRDefault="00AD5BB5">
      <w:pPr>
        <w:overflowPunct w:val="0"/>
        <w:autoSpaceDE w:val="0"/>
        <w:autoSpaceDN w:val="0"/>
        <w:adjustRightInd w:val="0"/>
        <w:snapToGrid w:val="0"/>
        <w:textAlignment w:val="bottom"/>
        <w:rPr>
          <w:rFonts w:ascii="Arial" w:eastAsia="黑体" w:hAnsi="Arial" w:cs="Arial"/>
          <w:bCs/>
        </w:rPr>
      </w:pPr>
    </w:p>
    <w:p w:rsidR="00AD5BB5" w:rsidRDefault="00F87FF6">
      <w:pPr>
        <w:overflowPunct w:val="0"/>
        <w:autoSpaceDE w:val="0"/>
        <w:autoSpaceDN w:val="0"/>
        <w:adjustRightInd w:val="0"/>
        <w:snapToGrid w:val="0"/>
        <w:textAlignment w:val="bottom"/>
        <w:rPr>
          <w:rFonts w:ascii="Arial" w:eastAsia="黑体" w:hAnsi="Arial" w:cs="Arial"/>
          <w:b/>
          <w:bCs/>
        </w:rPr>
      </w:pPr>
      <w:bookmarkStart w:id="84" w:name="afsaddin_WithXu_dc4d049315114a8b8cca1d60"/>
      <w:r>
        <w:rPr>
          <w:rFonts w:ascii="Arial" w:eastAsia="黑体" w:hAnsi="Arial" w:cs="Arial"/>
          <w:b/>
          <w:bCs/>
        </w:rPr>
        <w:t>五、</w:t>
      </w:r>
      <w:r>
        <w:rPr>
          <w:rFonts w:ascii="Arial" w:eastAsia="黑体" w:hAnsi="Arial" w:cs="Arial"/>
          <w:b/>
          <w:bCs/>
        </w:rPr>
        <w:tab/>
      </w:r>
      <w:r>
        <w:rPr>
          <w:rFonts w:ascii="Arial" w:eastAsia="黑体" w:hAnsi="Arial" w:cs="Arial"/>
          <w:b/>
          <w:bCs/>
        </w:rPr>
        <w:t>合并财务报表主要项目注释（续）</w:t>
      </w:r>
      <w:bookmarkEnd w:id="84"/>
    </w:p>
    <w:p w:rsidR="00AD5BB5" w:rsidRDefault="00AD5BB5">
      <w:pPr>
        <w:overflowPunct w:val="0"/>
        <w:autoSpaceDE w:val="0"/>
        <w:autoSpaceDN w:val="0"/>
        <w:adjustRightInd w:val="0"/>
        <w:snapToGrid w:val="0"/>
        <w:textAlignment w:val="bottom"/>
        <w:rPr>
          <w:rFonts w:ascii="Arial" w:eastAsia="黑体" w:hAnsi="Arial" w:cs="Arial"/>
          <w:bCs/>
        </w:rPr>
      </w:pPr>
    </w:p>
    <w:p w:rsidR="00AD5BB5" w:rsidRDefault="00F87FF6">
      <w:pPr>
        <w:pStyle w:val="af5"/>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85" w:name="afsaddin_WithXu_76c074ff9149464fa7100a0c"/>
      <w:bookmarkStart w:id="86" w:name="afsaddin_Section_a74db98a595842439637128"/>
      <w:bookmarkEnd w:id="85"/>
      <w:r>
        <w:rPr>
          <w:rFonts w:ascii="Arial" w:eastAsia="黑体" w:hAnsi="Arial" w:cs="Arial" w:hint="default"/>
          <w:bCs w:val="0"/>
          <w:snapToGrid w:val="0"/>
          <w:color w:val="auto"/>
          <w:sz w:val="21"/>
          <w:szCs w:val="21"/>
        </w:rPr>
        <w:t>5.</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买入返售金融资产</w:t>
      </w:r>
    </w:p>
    <w:bookmarkEnd w:id="86"/>
    <w:p w:rsidR="00AD5BB5" w:rsidRDefault="00AD5BB5">
      <w:pPr>
        <w:overflowPunct w:val="0"/>
        <w:autoSpaceDE w:val="0"/>
        <w:autoSpaceDN w:val="0"/>
        <w:rPr>
          <w:rFonts w:ascii="Arial" w:hAnsi="Arial" w:cs="Arial"/>
        </w:rPr>
      </w:pPr>
    </w:p>
    <w:tbl>
      <w:tblPr>
        <w:tblW w:w="0" w:type="auto"/>
        <w:tblLayout w:type="fixed"/>
        <w:tblCellMar>
          <w:left w:w="0" w:type="dxa"/>
          <w:right w:w="0" w:type="dxa"/>
        </w:tblCellMar>
        <w:tblLook w:val="04A0" w:firstRow="1" w:lastRow="0" w:firstColumn="1" w:lastColumn="0" w:noHBand="0" w:noVBand="1"/>
        <w:tblCaption w:val="7f279450-ff17-41fd-84e7-c943f30dd914"/>
        <w:tblDescription w:val="{&quot;UUID&quot;:&quot;afsaddin_tabledata_2_56437_7f279450-ff17-41fd-84e7-c943f30dd914&quot;,&quot;TitleRowCount&quot;:2,&quot;SplitedTable&quot;:false,&quot;FirstTableId&quot;:&quot;7f279450-ff17-41fd-84e7-c943f30dd914&quot;}"/>
      </w:tblPr>
      <w:tblGrid>
        <w:gridCol w:w="3502"/>
        <w:gridCol w:w="109"/>
        <w:gridCol w:w="2317"/>
        <w:gridCol w:w="110"/>
        <w:gridCol w:w="110"/>
        <w:gridCol w:w="2168"/>
        <w:gridCol w:w="110"/>
      </w:tblGrid>
      <w:tr w:rsidR="00AD5BB5">
        <w:tc>
          <w:tcPr>
            <w:tcW w:w="3502"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当期资产负债表日</w:instrText>
            </w:r>
            <w:r>
              <w:rPr>
                <w:rFonts w:ascii="Arial" w:eastAsia="黑体" w:hAnsi="Arial" w:cs="Arial"/>
                <w:szCs w:val="21"/>
              </w:rPr>
              <w:instrText xml:space="preserve"> </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t>年</w:t>
            </w:r>
            <w:r>
              <w:rPr>
                <w:rFonts w:ascii="Arial" w:eastAsia="黑体" w:hAnsi="Arial" w:cs="Arial"/>
                <w:szCs w:val="21"/>
              </w:rPr>
              <w:t>6</w:t>
            </w:r>
            <w:r>
              <w:rPr>
                <w:rFonts w:ascii="Arial" w:eastAsia="黑体" w:hAnsi="Arial" w:cs="Arial"/>
                <w:szCs w:val="21"/>
              </w:rPr>
              <w:t>月</w:t>
            </w:r>
            <w:r>
              <w:rPr>
                <w:rFonts w:ascii="Arial" w:eastAsia="黑体" w:hAnsi="Arial" w:cs="Arial"/>
                <w:szCs w:val="21"/>
              </w:rPr>
              <w:t>30</w:t>
            </w:r>
            <w:r>
              <w:rPr>
                <w:rFonts w:ascii="Arial" w:eastAsia="黑体" w:hAnsi="Arial" w:cs="Arial"/>
                <w:szCs w:val="21"/>
              </w:rPr>
              <w:t>日</w:t>
            </w:r>
            <w:r>
              <w:rPr>
                <w:rFonts w:ascii="Arial" w:eastAsia="黑体" w:hAnsi="Arial" w:cs="Arial"/>
                <w:szCs w:val="21"/>
              </w:rPr>
              <w:fldChar w:fldCharType="end"/>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2022</w:t>
            </w:r>
            <w:r>
              <w:rPr>
                <w:rFonts w:ascii="Arial" w:eastAsia="黑体" w:hAnsi="Arial" w:cs="Arial"/>
                <w:szCs w:val="21"/>
              </w:rPr>
              <w:t>年</w:t>
            </w:r>
            <w:r>
              <w:rPr>
                <w:rFonts w:ascii="Arial" w:eastAsia="黑体" w:hAnsi="Arial" w:cs="Arial"/>
                <w:szCs w:val="21"/>
              </w:rPr>
              <w:t>12</w:t>
            </w:r>
            <w:r>
              <w:rPr>
                <w:rFonts w:ascii="Arial" w:eastAsia="黑体" w:hAnsi="Arial" w:cs="Arial"/>
                <w:szCs w:val="21"/>
              </w:rPr>
              <w:t>月</w:t>
            </w:r>
            <w:r>
              <w:rPr>
                <w:rFonts w:ascii="Arial" w:eastAsia="黑体" w:hAnsi="Arial" w:cs="Arial"/>
                <w:szCs w:val="21"/>
              </w:rPr>
              <w:t>31</w:t>
            </w:r>
            <w:r>
              <w:rPr>
                <w:rFonts w:ascii="Arial" w:eastAsia="黑体" w:hAnsi="Arial" w:cs="Arial"/>
                <w:szCs w:val="21"/>
              </w:rPr>
              <w:t>日</w:t>
            </w:r>
          </w:p>
        </w:tc>
        <w:tc>
          <w:tcPr>
            <w:tcW w:w="110"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按担保物类别分析：</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政府债券</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1,663,794,000.00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11,867,993,917.38</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政策性金融债券</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49,000,000.00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4,217,021,082.62</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小计</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1,712,794,000.00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16,085,015,000.00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应计利息</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96,286.20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7,790,179.46</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630" w:hangingChars="300" w:hanging="630"/>
              <w:rPr>
                <w:rFonts w:ascii="Arial" w:eastAsia="黑体" w:hAnsi="Arial" w:cs="Arial"/>
                <w:szCs w:val="21"/>
              </w:rPr>
            </w:pPr>
            <w:r>
              <w:rPr>
                <w:rFonts w:ascii="Arial" w:eastAsia="黑体" w:hAnsi="Arial" w:cs="Arial"/>
                <w:szCs w:val="21"/>
              </w:rPr>
              <w:t>减：减值准备（附注五、</w:t>
            </w:r>
            <w:r>
              <w:rPr>
                <w:rFonts w:ascii="Arial" w:eastAsia="黑体" w:hAnsi="Arial" w:cs="Arial"/>
                <w:szCs w:val="21"/>
              </w:rPr>
              <w:t>17</w:t>
            </w:r>
            <w:r>
              <w:rPr>
                <w:rFonts w:ascii="Arial" w:eastAsia="黑体" w:hAnsi="Arial" w:cs="Arial"/>
                <w:szCs w:val="21"/>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single" w:sz="2"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(390,811.57</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single" w:sz="2"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(13,053,862.52</w:t>
            </w:r>
          </w:p>
        </w:tc>
        <w:tc>
          <w:tcPr>
            <w:tcW w:w="110" w:type="dxa"/>
            <w:tcBorders>
              <w:top w:val="nil"/>
              <w:left w:val="nil"/>
              <w:bottom w:val="nil"/>
              <w:right w:val="nil"/>
            </w:tcBorders>
            <w:vAlign w:val="bottom"/>
          </w:tcPr>
          <w:p w:rsidR="00AD5BB5" w:rsidRDefault="00F87FF6">
            <w:pPr>
              <w:autoSpaceDE w:val="0"/>
              <w:autoSpaceDN w:val="0"/>
              <w:ind w:right="200"/>
              <w:rPr>
                <w:rFonts w:ascii="Arial" w:eastAsia="黑体" w:hAnsi="Arial" w:cs="Arial"/>
                <w:szCs w:val="21"/>
              </w:rPr>
            </w:pPr>
            <w:r>
              <w:rPr>
                <w:rFonts w:ascii="Arial" w:eastAsia="黑体" w:hAnsi="Arial" w:cs="Arial"/>
                <w:szCs w:val="21"/>
              </w:rPr>
              <w:t>)</w:t>
            </w:r>
          </w:p>
        </w:tc>
      </w:tr>
      <w:tr w:rsidR="00AD5BB5">
        <w:tc>
          <w:tcPr>
            <w:tcW w:w="3502"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single" w:sz="2"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single" w:sz="2"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合计</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1,712,499,474.63</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16,079,751,316.94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bl>
    <w:p w:rsidR="00AD5BB5" w:rsidRDefault="00AD5BB5">
      <w:pPr>
        <w:overflowPunct w:val="0"/>
        <w:autoSpaceDE w:val="0"/>
        <w:autoSpaceDN w:val="0"/>
        <w:rPr>
          <w:rFonts w:ascii="Arial" w:eastAsia="黑体" w:hAnsi="Arial" w:cs="Arial"/>
          <w:szCs w:val="21"/>
        </w:rPr>
      </w:pPr>
    </w:p>
    <w:tbl>
      <w:tblPr>
        <w:tblW w:w="0" w:type="auto"/>
        <w:tblLayout w:type="fixed"/>
        <w:tblCellMar>
          <w:left w:w="0" w:type="dxa"/>
          <w:right w:w="0" w:type="dxa"/>
        </w:tblCellMar>
        <w:tblLook w:val="04A0" w:firstRow="1" w:lastRow="0" w:firstColumn="1" w:lastColumn="0" w:noHBand="0" w:noVBand="1"/>
        <w:tblCaption w:val="7bbf4c15-2f03-4b2c-93df-eb6594be2915"/>
        <w:tblDescription w:val="{&quot;UUID&quot;:&quot;afsaddin_tabledata_2_56437_7bbf4c15-2f03-4b2c-93df-eb6594be2915&quot;,&quot;TitleRowCount&quot;:2,&quot;SplitedTable&quot;:false,&quot;FirstTableId&quot;:&quot;7bbf4c15-2f03-4b2c-93df-eb6594be2915&quot;}"/>
      </w:tblPr>
      <w:tblGrid>
        <w:gridCol w:w="3502"/>
        <w:gridCol w:w="109"/>
        <w:gridCol w:w="2317"/>
        <w:gridCol w:w="110"/>
        <w:gridCol w:w="110"/>
        <w:gridCol w:w="2168"/>
        <w:gridCol w:w="110"/>
      </w:tblGrid>
      <w:tr w:rsidR="00AD5BB5">
        <w:tc>
          <w:tcPr>
            <w:tcW w:w="3502"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当期资产负债表日</w:instrText>
            </w:r>
            <w:r>
              <w:rPr>
                <w:rFonts w:ascii="Arial" w:eastAsia="黑体" w:hAnsi="Arial" w:cs="Arial"/>
                <w:szCs w:val="21"/>
              </w:rPr>
              <w:instrText xml:space="preserve"> </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t>年</w:t>
            </w:r>
            <w:r>
              <w:rPr>
                <w:rFonts w:ascii="Arial" w:eastAsia="黑体" w:hAnsi="Arial" w:cs="Arial"/>
                <w:szCs w:val="21"/>
              </w:rPr>
              <w:t>6</w:t>
            </w:r>
            <w:r>
              <w:rPr>
                <w:rFonts w:ascii="Arial" w:eastAsia="黑体" w:hAnsi="Arial" w:cs="Arial"/>
                <w:szCs w:val="21"/>
              </w:rPr>
              <w:t>月</w:t>
            </w:r>
            <w:r>
              <w:rPr>
                <w:rFonts w:ascii="Arial" w:eastAsia="黑体" w:hAnsi="Arial" w:cs="Arial"/>
                <w:szCs w:val="21"/>
              </w:rPr>
              <w:t>30</w:t>
            </w:r>
            <w:r>
              <w:rPr>
                <w:rFonts w:ascii="Arial" w:eastAsia="黑体" w:hAnsi="Arial" w:cs="Arial"/>
                <w:szCs w:val="21"/>
              </w:rPr>
              <w:t>日</w:t>
            </w:r>
            <w:r>
              <w:rPr>
                <w:rFonts w:ascii="Arial" w:eastAsia="黑体" w:hAnsi="Arial" w:cs="Arial"/>
                <w:szCs w:val="21"/>
              </w:rPr>
              <w:fldChar w:fldCharType="end"/>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2022</w:t>
            </w:r>
            <w:r>
              <w:rPr>
                <w:rFonts w:ascii="Arial" w:eastAsia="黑体" w:hAnsi="Arial" w:cs="Arial"/>
                <w:szCs w:val="21"/>
              </w:rPr>
              <w:t>年</w:t>
            </w:r>
            <w:r>
              <w:rPr>
                <w:rFonts w:ascii="Arial" w:eastAsia="黑体" w:hAnsi="Arial" w:cs="Arial"/>
                <w:szCs w:val="21"/>
              </w:rPr>
              <w:t>12</w:t>
            </w:r>
            <w:r>
              <w:rPr>
                <w:rFonts w:ascii="Arial" w:eastAsia="黑体" w:hAnsi="Arial" w:cs="Arial"/>
                <w:szCs w:val="21"/>
              </w:rPr>
              <w:t>月</w:t>
            </w:r>
            <w:r>
              <w:rPr>
                <w:rFonts w:ascii="Arial" w:eastAsia="黑体" w:hAnsi="Arial" w:cs="Arial"/>
                <w:szCs w:val="21"/>
              </w:rPr>
              <w:t>31</w:t>
            </w:r>
            <w:r>
              <w:rPr>
                <w:rFonts w:ascii="Arial" w:eastAsia="黑体" w:hAnsi="Arial" w:cs="Arial"/>
                <w:szCs w:val="21"/>
              </w:rPr>
              <w:t>日</w:t>
            </w:r>
          </w:p>
        </w:tc>
        <w:tc>
          <w:tcPr>
            <w:tcW w:w="110"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按交易对手类别分析：</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境内银行同业</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5,398,630,000.00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境内其他金融机构</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1,712,794,000.00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10,686,385,000.00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小计</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1,712,794,000.00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16,085,015,000.00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应计利息</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96,286.20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7,790,179.46</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630" w:hangingChars="300" w:hanging="630"/>
              <w:rPr>
                <w:rFonts w:ascii="Arial" w:eastAsia="黑体" w:hAnsi="Arial" w:cs="Arial"/>
                <w:szCs w:val="21"/>
              </w:rPr>
            </w:pPr>
            <w:r>
              <w:rPr>
                <w:rFonts w:ascii="Arial" w:eastAsia="黑体" w:hAnsi="Arial" w:cs="Arial"/>
                <w:szCs w:val="21"/>
              </w:rPr>
              <w:t>减：减值准备（附注五、</w:t>
            </w:r>
            <w:r>
              <w:rPr>
                <w:rFonts w:ascii="Arial" w:eastAsia="黑体" w:hAnsi="Arial" w:cs="Arial"/>
                <w:szCs w:val="21"/>
              </w:rPr>
              <w:t>17</w:t>
            </w:r>
            <w:r>
              <w:rPr>
                <w:rFonts w:ascii="Arial" w:eastAsia="黑体" w:hAnsi="Arial" w:cs="Arial"/>
                <w:szCs w:val="21"/>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(390,811.57</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(13,053,862.52</w:t>
            </w:r>
          </w:p>
        </w:tc>
        <w:tc>
          <w:tcPr>
            <w:tcW w:w="110" w:type="dxa"/>
            <w:tcBorders>
              <w:top w:val="nil"/>
              <w:left w:val="nil"/>
              <w:bottom w:val="nil"/>
              <w:right w:val="nil"/>
            </w:tcBorders>
            <w:vAlign w:val="bottom"/>
          </w:tcPr>
          <w:p w:rsidR="00AD5BB5" w:rsidRDefault="00F87FF6">
            <w:pPr>
              <w:autoSpaceDE w:val="0"/>
              <w:autoSpaceDN w:val="0"/>
              <w:ind w:right="200"/>
              <w:rPr>
                <w:rFonts w:ascii="Arial" w:eastAsia="黑体" w:hAnsi="Arial" w:cs="Arial"/>
                <w:szCs w:val="21"/>
              </w:rPr>
            </w:pPr>
            <w:r>
              <w:rPr>
                <w:rFonts w:ascii="Arial" w:eastAsia="黑体" w:hAnsi="Arial" w:cs="Arial"/>
                <w:szCs w:val="21"/>
              </w:rPr>
              <w:t>)</w:t>
            </w:r>
          </w:p>
        </w:tc>
      </w:tr>
      <w:tr w:rsidR="00AD5BB5">
        <w:tc>
          <w:tcPr>
            <w:tcW w:w="3502"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合计</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1,712,499,474.63</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16,079,751,316.94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bl>
    <w:p w:rsidR="00AD5BB5" w:rsidRDefault="00AD5BB5">
      <w:pPr>
        <w:overflowPunct w:val="0"/>
        <w:autoSpaceDE w:val="0"/>
        <w:autoSpaceDN w:val="0"/>
        <w:adjustRightInd w:val="0"/>
        <w:snapToGrid w:val="0"/>
        <w:textAlignment w:val="bottom"/>
        <w:rPr>
          <w:rFonts w:ascii="Arial" w:eastAsia="黑体" w:hAnsi="Arial" w:cs="Arial"/>
          <w:bCs/>
          <w:szCs w:val="21"/>
        </w:rPr>
      </w:pPr>
    </w:p>
    <w:p w:rsidR="00AD5BB5" w:rsidRDefault="00F87FF6">
      <w:pPr>
        <w:overflowPunct w:val="0"/>
        <w:autoSpaceDE w:val="0"/>
        <w:autoSpaceDN w:val="0"/>
        <w:adjustRightInd w:val="0"/>
        <w:snapToGrid w:val="0"/>
        <w:textAlignment w:val="bottom"/>
        <w:rPr>
          <w:rFonts w:ascii="Arial" w:eastAsia="黑体" w:hAnsi="Arial" w:cs="Arial"/>
          <w:bCs/>
          <w:snapToGrid w:val="0"/>
          <w:szCs w:val="21"/>
        </w:rPr>
      </w:pPr>
      <w:r>
        <w:rPr>
          <w:rFonts w:ascii="Arial" w:eastAsia="黑体" w:hAnsi="Arial" w:cs="Arial"/>
          <w:bCs/>
          <w:snapToGrid w:val="0"/>
          <w:szCs w:val="21"/>
        </w:rPr>
        <w:t>于</w:t>
      </w:r>
      <w:r>
        <w:rPr>
          <w:rFonts w:ascii="Arial" w:eastAsia="黑体" w:hAnsi="Arial" w:cs="Arial"/>
          <w:bCs/>
          <w:snapToGrid w:val="0"/>
          <w:szCs w:val="21"/>
        </w:rPr>
        <w:fldChar w:fldCharType="begin"/>
      </w:r>
      <w:r>
        <w:rPr>
          <w:rFonts w:ascii="Arial" w:eastAsia="黑体" w:hAnsi="Arial" w:cs="Arial"/>
          <w:bCs/>
          <w:snapToGrid w:val="0"/>
          <w:szCs w:val="21"/>
        </w:rPr>
        <w:instrText xml:space="preserve"> DOCPROPERTY </w:instrText>
      </w:r>
      <w:r>
        <w:rPr>
          <w:rFonts w:ascii="Arial" w:eastAsia="黑体" w:hAnsi="Arial" w:cs="Arial"/>
          <w:bCs/>
          <w:snapToGrid w:val="0"/>
          <w:szCs w:val="21"/>
        </w:rPr>
        <w:instrText>当期会计期间</w:instrText>
      </w:r>
      <w:r>
        <w:rPr>
          <w:rFonts w:ascii="Arial" w:eastAsia="黑体" w:hAnsi="Arial" w:cs="Arial"/>
          <w:bCs/>
          <w:snapToGrid w:val="0"/>
          <w:szCs w:val="21"/>
        </w:rPr>
        <w:instrText xml:space="preserve"> </w:instrText>
      </w:r>
      <w:r>
        <w:rPr>
          <w:rFonts w:ascii="Arial" w:eastAsia="黑体" w:hAnsi="Arial" w:cs="Arial"/>
          <w:bCs/>
          <w:snapToGrid w:val="0"/>
          <w:szCs w:val="21"/>
        </w:rPr>
        <w:fldChar w:fldCharType="separate"/>
      </w:r>
      <w:r>
        <w:rPr>
          <w:rFonts w:ascii="Arial" w:eastAsia="黑体" w:hAnsi="Arial" w:cs="Arial"/>
          <w:bCs/>
          <w:snapToGrid w:val="0"/>
          <w:szCs w:val="21"/>
        </w:rPr>
        <w:t>2023</w:t>
      </w:r>
      <w:r>
        <w:rPr>
          <w:rFonts w:ascii="Arial" w:eastAsia="黑体" w:hAnsi="Arial" w:cs="Arial"/>
          <w:bCs/>
          <w:snapToGrid w:val="0"/>
          <w:szCs w:val="21"/>
        </w:rPr>
        <w:fldChar w:fldCharType="end"/>
      </w:r>
      <w:r>
        <w:rPr>
          <w:rFonts w:ascii="Arial" w:eastAsia="黑体" w:hAnsi="Arial" w:cs="Arial"/>
          <w:bCs/>
          <w:snapToGrid w:val="0"/>
          <w:szCs w:val="21"/>
        </w:rPr>
        <w:t>年</w:t>
      </w:r>
      <w:r>
        <w:rPr>
          <w:rFonts w:ascii="Arial" w:eastAsia="黑体" w:hAnsi="Arial" w:cs="Arial"/>
          <w:bCs/>
          <w:snapToGrid w:val="0"/>
          <w:szCs w:val="21"/>
        </w:rPr>
        <w:t>6</w:t>
      </w:r>
      <w:r>
        <w:rPr>
          <w:rFonts w:ascii="Arial" w:eastAsia="黑体" w:hAnsi="Arial" w:cs="Arial"/>
          <w:bCs/>
          <w:snapToGrid w:val="0"/>
          <w:szCs w:val="21"/>
        </w:rPr>
        <w:t>月</w:t>
      </w:r>
      <w:r>
        <w:rPr>
          <w:rFonts w:ascii="Arial" w:eastAsia="黑体" w:hAnsi="Arial" w:cs="Arial"/>
          <w:bCs/>
          <w:snapToGrid w:val="0"/>
          <w:szCs w:val="21"/>
        </w:rPr>
        <w:t>30</w:t>
      </w:r>
      <w:r>
        <w:rPr>
          <w:rFonts w:ascii="Arial" w:eastAsia="黑体" w:hAnsi="Arial" w:cs="Arial"/>
          <w:bCs/>
          <w:snapToGrid w:val="0"/>
          <w:szCs w:val="21"/>
        </w:rPr>
        <w:t>日</w:t>
      </w:r>
      <w:proofErr w:type="gramStart"/>
      <w:r>
        <w:rPr>
          <w:rFonts w:ascii="Arial" w:eastAsia="黑体" w:hAnsi="Arial" w:cs="Arial"/>
          <w:bCs/>
          <w:snapToGrid w:val="0"/>
          <w:szCs w:val="21"/>
        </w:rPr>
        <w:t>止</w:t>
      </w:r>
      <w:proofErr w:type="gramEnd"/>
      <w:r>
        <w:rPr>
          <w:rFonts w:ascii="Arial" w:eastAsia="黑体" w:hAnsi="Arial" w:cs="Arial"/>
          <w:bCs/>
          <w:snapToGrid w:val="0"/>
          <w:szCs w:val="21"/>
        </w:rPr>
        <w:t>6</w:t>
      </w:r>
      <w:r>
        <w:rPr>
          <w:rFonts w:ascii="Arial" w:eastAsia="黑体" w:hAnsi="Arial" w:cs="Arial"/>
          <w:bCs/>
          <w:snapToGrid w:val="0"/>
          <w:szCs w:val="21"/>
        </w:rPr>
        <w:t>个月期间及</w:t>
      </w:r>
      <w:r>
        <w:rPr>
          <w:rFonts w:ascii="Arial" w:eastAsia="黑体" w:hAnsi="Arial" w:cs="Arial"/>
          <w:bCs/>
          <w:snapToGrid w:val="0"/>
          <w:szCs w:val="21"/>
        </w:rPr>
        <w:fldChar w:fldCharType="begin"/>
      </w:r>
      <w:r>
        <w:rPr>
          <w:rFonts w:ascii="Arial" w:eastAsia="黑体" w:hAnsi="Arial" w:cs="Arial"/>
          <w:bCs/>
          <w:snapToGrid w:val="0"/>
          <w:szCs w:val="21"/>
        </w:rPr>
        <w:instrText xml:space="preserve"> DOCPROPERTY </w:instrText>
      </w:r>
      <w:r>
        <w:rPr>
          <w:rFonts w:ascii="Arial" w:eastAsia="黑体" w:hAnsi="Arial" w:cs="Arial"/>
          <w:bCs/>
          <w:snapToGrid w:val="0"/>
          <w:szCs w:val="21"/>
        </w:rPr>
        <w:instrText>对比会计期间</w:instrText>
      </w:r>
      <w:r>
        <w:rPr>
          <w:rFonts w:ascii="Arial" w:eastAsia="黑体" w:hAnsi="Arial" w:cs="Arial"/>
          <w:bCs/>
          <w:snapToGrid w:val="0"/>
          <w:szCs w:val="21"/>
        </w:rPr>
        <w:instrText xml:space="preserve"> </w:instrText>
      </w:r>
      <w:r>
        <w:rPr>
          <w:rFonts w:ascii="Arial" w:eastAsia="黑体" w:hAnsi="Arial" w:cs="Arial"/>
          <w:bCs/>
          <w:snapToGrid w:val="0"/>
          <w:szCs w:val="21"/>
        </w:rPr>
        <w:fldChar w:fldCharType="separate"/>
      </w:r>
      <w:r>
        <w:rPr>
          <w:rFonts w:ascii="Arial" w:eastAsia="黑体" w:hAnsi="Arial" w:cs="Arial"/>
          <w:bCs/>
          <w:snapToGrid w:val="0"/>
          <w:szCs w:val="21"/>
        </w:rPr>
        <w:t>2022</w:t>
      </w:r>
      <w:r>
        <w:rPr>
          <w:rFonts w:ascii="Arial" w:eastAsia="黑体" w:hAnsi="Arial" w:cs="Arial"/>
          <w:bCs/>
          <w:snapToGrid w:val="0"/>
          <w:szCs w:val="21"/>
        </w:rPr>
        <w:fldChar w:fldCharType="end"/>
      </w:r>
      <w:r>
        <w:rPr>
          <w:rFonts w:ascii="Arial" w:eastAsia="黑体" w:hAnsi="Arial" w:cs="Arial"/>
          <w:bCs/>
          <w:snapToGrid w:val="0"/>
          <w:szCs w:val="21"/>
        </w:rPr>
        <w:t>年度，本集团买入返售金融资产账面余额均为阶段</w:t>
      </w:r>
      <w:proofErr w:type="gramStart"/>
      <w:r>
        <w:rPr>
          <w:rFonts w:ascii="Arial" w:eastAsia="黑体" w:hAnsi="Arial" w:cs="Arial"/>
          <w:bCs/>
          <w:snapToGrid w:val="0"/>
          <w:szCs w:val="21"/>
        </w:rPr>
        <w:t>一</w:t>
      </w:r>
      <w:proofErr w:type="gramEnd"/>
      <w:r>
        <w:rPr>
          <w:rFonts w:ascii="Arial" w:eastAsia="黑体" w:hAnsi="Arial" w:cs="Arial"/>
          <w:bCs/>
          <w:snapToGrid w:val="0"/>
          <w:szCs w:val="21"/>
        </w:rPr>
        <w:t>，账面余额和减值准备均不涉及阶段之间的转移。</w:t>
      </w:r>
      <w:r>
        <w:rPr>
          <w:rFonts w:ascii="Arial" w:eastAsia="黑体" w:hAnsi="Arial" w:cs="Arial"/>
          <w:bCs/>
        </w:rPr>
        <w:br w:type="page"/>
      </w:r>
    </w:p>
    <w:p w:rsidR="00AD5BB5" w:rsidRDefault="00AD5BB5">
      <w:pPr>
        <w:overflowPunct w:val="0"/>
        <w:autoSpaceDE w:val="0"/>
        <w:autoSpaceDN w:val="0"/>
        <w:adjustRightInd w:val="0"/>
        <w:snapToGrid w:val="0"/>
        <w:textAlignment w:val="bottom"/>
        <w:rPr>
          <w:rFonts w:ascii="Arial" w:eastAsia="黑体" w:hAnsi="Arial" w:cs="Arial"/>
          <w:bCs/>
        </w:rPr>
      </w:pPr>
    </w:p>
    <w:p w:rsidR="00AD5BB5" w:rsidRDefault="00AD5BB5">
      <w:pPr>
        <w:overflowPunct w:val="0"/>
        <w:autoSpaceDE w:val="0"/>
        <w:autoSpaceDN w:val="0"/>
        <w:adjustRightInd w:val="0"/>
        <w:snapToGrid w:val="0"/>
        <w:textAlignment w:val="bottom"/>
        <w:rPr>
          <w:rFonts w:ascii="Arial" w:eastAsia="黑体" w:hAnsi="Arial" w:cs="Arial"/>
          <w:bCs/>
        </w:rPr>
      </w:pPr>
    </w:p>
    <w:p w:rsidR="00AD5BB5" w:rsidRDefault="00F87FF6">
      <w:pPr>
        <w:overflowPunct w:val="0"/>
        <w:autoSpaceDE w:val="0"/>
        <w:autoSpaceDN w:val="0"/>
        <w:adjustRightInd w:val="0"/>
        <w:snapToGrid w:val="0"/>
        <w:textAlignment w:val="bottom"/>
        <w:rPr>
          <w:rFonts w:ascii="Arial" w:eastAsia="黑体" w:hAnsi="Arial" w:cs="Arial"/>
          <w:b/>
          <w:bCs/>
        </w:rPr>
      </w:pPr>
      <w:bookmarkStart w:id="87" w:name="afsaddin_WithXu_84b46f566d074b9f897ec85f"/>
      <w:r>
        <w:rPr>
          <w:rFonts w:ascii="Arial" w:eastAsia="黑体" w:hAnsi="Arial" w:cs="Arial"/>
          <w:b/>
          <w:bCs/>
        </w:rPr>
        <w:t>五、</w:t>
      </w:r>
      <w:r>
        <w:rPr>
          <w:rFonts w:ascii="Arial" w:eastAsia="黑体" w:hAnsi="Arial" w:cs="Arial"/>
          <w:b/>
          <w:bCs/>
        </w:rPr>
        <w:tab/>
      </w:r>
      <w:r>
        <w:rPr>
          <w:rFonts w:ascii="Arial" w:eastAsia="黑体" w:hAnsi="Arial" w:cs="Arial"/>
          <w:b/>
          <w:bCs/>
        </w:rPr>
        <w:t>合并财务报表主要项目注释（续）</w:t>
      </w:r>
      <w:bookmarkEnd w:id="87"/>
    </w:p>
    <w:p w:rsidR="00AD5BB5" w:rsidRDefault="00AD5BB5">
      <w:pPr>
        <w:overflowPunct w:val="0"/>
        <w:autoSpaceDE w:val="0"/>
        <w:autoSpaceDN w:val="0"/>
        <w:adjustRightInd w:val="0"/>
        <w:snapToGrid w:val="0"/>
        <w:textAlignment w:val="bottom"/>
        <w:rPr>
          <w:rFonts w:ascii="Arial" w:eastAsia="黑体" w:hAnsi="Arial" w:cs="Arial"/>
          <w:bCs/>
        </w:rPr>
      </w:pPr>
    </w:p>
    <w:p w:rsidR="00AD5BB5" w:rsidRDefault="00F87FF6">
      <w:pPr>
        <w:pStyle w:val="af5"/>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88" w:name="afsaddin_WithXu_7451e74238b2449e87117b43"/>
      <w:bookmarkStart w:id="89" w:name="afsaddin_Section_6dd7936fbb6644e38557069"/>
      <w:bookmarkEnd w:id="88"/>
      <w:r>
        <w:rPr>
          <w:rFonts w:ascii="Arial" w:eastAsia="黑体" w:hAnsi="Arial" w:cs="Arial" w:hint="default"/>
          <w:bCs w:val="0"/>
          <w:snapToGrid w:val="0"/>
          <w:color w:val="auto"/>
          <w:sz w:val="21"/>
          <w:szCs w:val="21"/>
        </w:rPr>
        <w:t>6.</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发放贷款及垫款</w:t>
      </w:r>
    </w:p>
    <w:bookmarkEnd w:id="89"/>
    <w:p w:rsidR="00AD5BB5" w:rsidRDefault="00AD5BB5">
      <w:pPr>
        <w:pStyle w:val="af5"/>
        <w:overflowPunct w:val="0"/>
        <w:autoSpaceDE w:val="0"/>
        <w:autoSpaceDN w:val="0"/>
        <w:adjustRightInd w:val="0"/>
        <w:snapToGrid w:val="0"/>
        <w:ind w:left="720" w:hanging="720"/>
        <w:textAlignment w:val="bottom"/>
        <w:outlineLvl w:val="2"/>
        <w:rPr>
          <w:rFonts w:ascii="Arial" w:eastAsia="黑体" w:hAnsi="Arial" w:cs="Arial" w:hint="default"/>
          <w:bCs w:val="0"/>
          <w:snapToGrid w:val="0"/>
          <w:color w:val="auto"/>
          <w:sz w:val="21"/>
          <w:szCs w:val="21"/>
        </w:rPr>
      </w:pPr>
    </w:p>
    <w:p w:rsidR="00AD5BB5" w:rsidRDefault="00F87FF6">
      <w:pPr>
        <w:pStyle w:val="af5"/>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90" w:name="afsaddin_Section_65404a2a07d7451a9e93e19"/>
      <w:r>
        <w:rPr>
          <w:rFonts w:ascii="Arial" w:eastAsia="黑体" w:hAnsi="Arial" w:cs="Arial" w:hint="default"/>
          <w:bCs w:val="0"/>
          <w:snapToGrid w:val="0"/>
          <w:color w:val="auto"/>
          <w:sz w:val="21"/>
          <w:szCs w:val="21"/>
        </w:rPr>
        <w:t>6.1</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按性质分析</w:t>
      </w:r>
    </w:p>
    <w:bookmarkEnd w:id="90"/>
    <w:p w:rsidR="00AD5BB5" w:rsidRDefault="00AD5BB5">
      <w:pPr>
        <w:overflowPunct w:val="0"/>
        <w:autoSpaceDE w:val="0"/>
        <w:autoSpaceDN w:val="0"/>
        <w:rPr>
          <w:rFonts w:ascii="Arial" w:eastAsia="黑体" w:hAnsi="Arial" w:cs="Arial"/>
          <w:sz w:val="20"/>
        </w:rPr>
      </w:pPr>
    </w:p>
    <w:tbl>
      <w:tblPr>
        <w:tblW w:w="0" w:type="auto"/>
        <w:tblLayout w:type="fixed"/>
        <w:tblCellMar>
          <w:left w:w="0" w:type="dxa"/>
          <w:right w:w="0" w:type="dxa"/>
        </w:tblCellMar>
        <w:tblLook w:val="04A0" w:firstRow="1" w:lastRow="0" w:firstColumn="1" w:lastColumn="0" w:noHBand="0" w:noVBand="1"/>
        <w:tblCaption w:val="3836fa75-ed88-442e-9e2b-a8f20a5441e7"/>
        <w:tblDescription w:val="{&quot;UUID&quot;:&quot;afsaddin_tabledata_2_56437_3836fa75-ed88-442e-9e2b-a8f20a5441e7&quot;,&quot;TitleRowCount&quot;:3,&quot;SplitedTable&quot;:false,&quot;FirstTableId&quot;:&quot;3836fa75-ed88-442e-9e2b-a8f20a5441e7&quot;}"/>
      </w:tblPr>
      <w:tblGrid>
        <w:gridCol w:w="3502"/>
        <w:gridCol w:w="109"/>
        <w:gridCol w:w="2317"/>
        <w:gridCol w:w="110"/>
        <w:gridCol w:w="110"/>
        <w:gridCol w:w="2168"/>
        <w:gridCol w:w="110"/>
      </w:tblGrid>
      <w:tr w:rsidR="00AD5BB5">
        <w:tc>
          <w:tcPr>
            <w:tcW w:w="3502"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当期资产负债表日</w:instrText>
            </w:r>
            <w:r>
              <w:rPr>
                <w:rFonts w:ascii="Arial" w:eastAsia="黑体" w:hAnsi="Arial" w:cs="Arial"/>
                <w:szCs w:val="21"/>
              </w:rPr>
              <w:instrText xml:space="preserve"> </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t>年</w:t>
            </w:r>
            <w:r>
              <w:rPr>
                <w:rFonts w:ascii="Arial" w:eastAsia="黑体" w:hAnsi="Arial" w:cs="Arial"/>
                <w:szCs w:val="21"/>
              </w:rPr>
              <w:t>6</w:t>
            </w:r>
            <w:r>
              <w:rPr>
                <w:rFonts w:ascii="Arial" w:eastAsia="黑体" w:hAnsi="Arial" w:cs="Arial"/>
                <w:szCs w:val="21"/>
              </w:rPr>
              <w:t>月</w:t>
            </w:r>
            <w:r>
              <w:rPr>
                <w:rFonts w:ascii="Arial" w:eastAsia="黑体" w:hAnsi="Arial" w:cs="Arial"/>
                <w:szCs w:val="21"/>
              </w:rPr>
              <w:t>30</w:t>
            </w:r>
            <w:r>
              <w:rPr>
                <w:rFonts w:ascii="Arial" w:eastAsia="黑体" w:hAnsi="Arial" w:cs="Arial"/>
                <w:szCs w:val="21"/>
              </w:rPr>
              <w:t>日</w:t>
            </w:r>
            <w:r>
              <w:rPr>
                <w:rFonts w:ascii="Arial" w:eastAsia="黑体" w:hAnsi="Arial" w:cs="Arial"/>
                <w:szCs w:val="21"/>
              </w:rPr>
              <w:fldChar w:fldCharType="end"/>
            </w:r>
          </w:p>
        </w:tc>
        <w:tc>
          <w:tcPr>
            <w:tcW w:w="110"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216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2022</w:t>
            </w:r>
            <w:r>
              <w:rPr>
                <w:rFonts w:ascii="Arial" w:eastAsia="黑体" w:hAnsi="Arial" w:cs="Arial"/>
                <w:szCs w:val="21"/>
              </w:rPr>
              <w:t>年</w:t>
            </w:r>
            <w:r>
              <w:rPr>
                <w:rFonts w:ascii="Arial" w:eastAsia="黑体" w:hAnsi="Arial" w:cs="Arial"/>
                <w:szCs w:val="21"/>
              </w:rPr>
              <w:t>12</w:t>
            </w:r>
            <w:r>
              <w:rPr>
                <w:rFonts w:ascii="Arial" w:eastAsia="黑体" w:hAnsi="Arial" w:cs="Arial"/>
                <w:szCs w:val="21"/>
              </w:rPr>
              <w:t>月</w:t>
            </w:r>
            <w:r>
              <w:rPr>
                <w:rFonts w:ascii="Arial" w:eastAsia="黑体" w:hAnsi="Arial" w:cs="Arial"/>
                <w:szCs w:val="21"/>
              </w:rPr>
              <w:t>31</w:t>
            </w:r>
            <w:r>
              <w:rPr>
                <w:rFonts w:ascii="Arial" w:eastAsia="黑体" w:hAnsi="Arial" w:cs="Arial"/>
                <w:szCs w:val="21"/>
              </w:rPr>
              <w:t>日</w:t>
            </w:r>
          </w:p>
        </w:tc>
        <w:tc>
          <w:tcPr>
            <w:tcW w:w="110"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以摊</w:t>
            </w:r>
            <w:proofErr w:type="gramStart"/>
            <w:r>
              <w:rPr>
                <w:rFonts w:ascii="Arial" w:eastAsia="黑体" w:hAnsi="Arial" w:cs="Arial"/>
                <w:szCs w:val="21"/>
              </w:rPr>
              <w:t>余成本</w:t>
            </w:r>
            <w:proofErr w:type="gramEnd"/>
            <w:r>
              <w:rPr>
                <w:rFonts w:ascii="Arial" w:eastAsia="黑体" w:hAnsi="Arial" w:cs="Arial"/>
                <w:szCs w:val="21"/>
              </w:rPr>
              <w:t>计量：</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216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216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企业贷款及垫款</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104,098,723,579.86</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103,627,859,250.58</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个人住房贷款</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24,848,338,027.97</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27,946,199,095.17</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个人消费贷款</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7,361,160,199.22</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7,820,060,463.37</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个人经营贷款</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43,780,692,505.20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40,927,566,164.71</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个人贷款及垫款</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75,990,190,732.39</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76,693,825,723.25</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小计</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180,088,914,312.25</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180,321,684,973.83</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以公允价值计量且其变动计入</w:t>
            </w:r>
          </w:p>
          <w:p w:rsidR="00AD5BB5" w:rsidRDefault="00F87FF6">
            <w:pPr>
              <w:autoSpaceDE w:val="0"/>
              <w:autoSpaceDN w:val="0"/>
              <w:ind w:leftChars="106" w:left="433" w:hangingChars="100" w:hanging="210"/>
              <w:rPr>
                <w:rFonts w:ascii="Arial" w:eastAsia="黑体" w:hAnsi="Arial" w:cs="Arial"/>
                <w:szCs w:val="21"/>
              </w:rPr>
            </w:pPr>
            <w:r>
              <w:rPr>
                <w:rFonts w:ascii="Arial" w:eastAsia="黑体" w:hAnsi="Arial" w:cs="Arial"/>
                <w:szCs w:val="21"/>
              </w:rPr>
              <w:t>其他综合收益：</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企业贷款</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9,987,339.39</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9,842,802.05</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贴现</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21,159,652,248.05</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20,053,606,082.79</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小计</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21,169,639,587.44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20,063,448,884.84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合计</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201,258,553,899.69</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200,385,133,858.67</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应计利息</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346,628,906.81</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404,520,955.15</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发放贷款及垫款总额</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201,605,182,806.50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200,789,654,813.82</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630" w:hangingChars="300" w:hanging="630"/>
              <w:rPr>
                <w:rFonts w:ascii="Arial" w:eastAsia="黑体" w:hAnsi="Arial" w:cs="Arial"/>
                <w:szCs w:val="21"/>
              </w:rPr>
            </w:pPr>
            <w:r>
              <w:rPr>
                <w:rFonts w:ascii="Arial" w:eastAsia="黑体" w:hAnsi="Arial" w:cs="Arial"/>
                <w:szCs w:val="21"/>
              </w:rPr>
              <w:t>减：以摊</w:t>
            </w:r>
            <w:proofErr w:type="gramStart"/>
            <w:r>
              <w:rPr>
                <w:rFonts w:ascii="Arial" w:eastAsia="黑体" w:hAnsi="Arial" w:cs="Arial"/>
                <w:szCs w:val="21"/>
              </w:rPr>
              <w:t>余成本</w:t>
            </w:r>
            <w:proofErr w:type="gramEnd"/>
            <w:r>
              <w:rPr>
                <w:rFonts w:ascii="Arial" w:eastAsia="黑体" w:hAnsi="Arial" w:cs="Arial"/>
                <w:szCs w:val="21"/>
              </w:rPr>
              <w:t>计量的贷款及垫款</w:t>
            </w:r>
          </w:p>
          <w:p w:rsidR="00AD5BB5" w:rsidRDefault="00F87FF6">
            <w:pPr>
              <w:autoSpaceDE w:val="0"/>
              <w:autoSpaceDN w:val="0"/>
              <w:ind w:leftChars="274" w:left="785" w:hangingChars="100" w:hanging="210"/>
              <w:rPr>
                <w:rFonts w:ascii="Arial" w:eastAsia="黑体" w:hAnsi="Arial" w:cs="Arial"/>
                <w:szCs w:val="21"/>
              </w:rPr>
            </w:pPr>
            <w:r>
              <w:rPr>
                <w:rFonts w:ascii="Arial" w:eastAsia="黑体" w:hAnsi="Arial" w:cs="Arial"/>
                <w:szCs w:val="21"/>
              </w:rPr>
              <w:t>减值准备（附注五、</w:t>
            </w:r>
            <w:r>
              <w:rPr>
                <w:rFonts w:ascii="Arial" w:eastAsia="黑体" w:hAnsi="Arial" w:cs="Arial"/>
                <w:szCs w:val="21"/>
              </w:rPr>
              <w:t>17</w:t>
            </w:r>
            <w:r>
              <w:rPr>
                <w:rFonts w:ascii="Arial" w:eastAsia="黑体" w:hAnsi="Arial" w:cs="Arial"/>
                <w:szCs w:val="21"/>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(6,309,958,833.89</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(6,634,557,272.58</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r>
      <w:tr w:rsidR="00AD5BB5">
        <w:tc>
          <w:tcPr>
            <w:tcW w:w="3502"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发放贷款及垫款账面价值</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195,295,223,972.61</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194,155,097,541.24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以公允价值计量且其变动计入其他综合收益的贷款及垫款减值准备</w:t>
            </w:r>
          </w:p>
          <w:p w:rsidR="00AD5BB5" w:rsidRDefault="00F87FF6">
            <w:pPr>
              <w:autoSpaceDE w:val="0"/>
              <w:autoSpaceDN w:val="0"/>
              <w:ind w:leftChars="40" w:left="294" w:hangingChars="100" w:hanging="210"/>
              <w:rPr>
                <w:rFonts w:ascii="Arial" w:eastAsia="黑体" w:hAnsi="Arial" w:cs="Arial"/>
                <w:szCs w:val="21"/>
              </w:rPr>
            </w:pPr>
            <w:r>
              <w:rPr>
                <w:rFonts w:ascii="Arial" w:eastAsia="黑体" w:hAnsi="Arial" w:cs="Arial"/>
                <w:szCs w:val="21"/>
              </w:rPr>
              <w:t>（附注五、</w:t>
            </w:r>
            <w:r>
              <w:rPr>
                <w:rFonts w:ascii="Arial" w:eastAsia="黑体" w:hAnsi="Arial" w:cs="Arial"/>
                <w:szCs w:val="21"/>
              </w:rPr>
              <w:t>17</w:t>
            </w:r>
            <w:r>
              <w:rPr>
                <w:rFonts w:ascii="Arial" w:eastAsia="黑体" w:hAnsi="Arial" w:cs="Arial"/>
                <w:szCs w:val="21"/>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(44,397,175.78</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(51,370,759.82</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r>
    </w:tbl>
    <w:p w:rsidR="00AD5BB5" w:rsidRDefault="00F87FF6">
      <w:pPr>
        <w:rPr>
          <w:rFonts w:ascii="Arial" w:eastAsia="黑体" w:hAnsi="Arial" w:cs="Arial"/>
          <w:snapToGrid w:val="0"/>
          <w:szCs w:val="21"/>
        </w:rPr>
      </w:pPr>
      <w:r>
        <w:rPr>
          <w:rFonts w:ascii="Arial" w:eastAsia="黑体" w:hAnsi="Arial" w:cs="Arial"/>
          <w:snapToGrid w:val="0"/>
          <w:szCs w:val="21"/>
        </w:rPr>
        <w:br w:type="page"/>
      </w:r>
    </w:p>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b/>
          <w:snapToGrid w:val="0"/>
          <w:szCs w:val="21"/>
        </w:rPr>
      </w:pPr>
      <w:bookmarkStart w:id="91" w:name="afsaddin_WithXu_df15c83166b54ea5a137e4e1"/>
      <w:r>
        <w:rPr>
          <w:rFonts w:ascii="Arial" w:eastAsia="黑体" w:hAnsi="Arial" w:cs="Arial"/>
          <w:b/>
          <w:snapToGrid w:val="0"/>
          <w:szCs w:val="21"/>
        </w:rPr>
        <w:t>五、</w:t>
      </w:r>
      <w:r>
        <w:rPr>
          <w:rFonts w:ascii="Arial" w:eastAsia="黑体" w:hAnsi="Arial" w:cs="Arial"/>
          <w:b/>
          <w:snapToGrid w:val="0"/>
          <w:szCs w:val="21"/>
        </w:rPr>
        <w:tab/>
      </w:r>
      <w:r>
        <w:rPr>
          <w:rFonts w:ascii="Arial" w:eastAsia="黑体" w:hAnsi="Arial" w:cs="Arial"/>
          <w:b/>
          <w:snapToGrid w:val="0"/>
          <w:szCs w:val="21"/>
        </w:rPr>
        <w:t>合并财务报表主要项目注释（续）</w:t>
      </w:r>
      <w:bookmarkEnd w:id="91"/>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92" w:name="afsaddin_WithXu_89f1685bd84a49fb960d9d62"/>
      <w:r>
        <w:rPr>
          <w:rFonts w:ascii="Arial" w:eastAsia="黑体" w:hAnsi="Arial" w:cs="Arial"/>
          <w:b/>
          <w:snapToGrid w:val="0"/>
          <w:szCs w:val="21"/>
        </w:rPr>
        <w:t>6.</w:t>
      </w:r>
      <w:r>
        <w:rPr>
          <w:rFonts w:ascii="Arial" w:eastAsia="黑体" w:hAnsi="Arial" w:cs="Arial"/>
          <w:b/>
          <w:snapToGrid w:val="0"/>
          <w:szCs w:val="21"/>
        </w:rPr>
        <w:tab/>
      </w:r>
      <w:r>
        <w:rPr>
          <w:rFonts w:ascii="Arial" w:eastAsia="黑体" w:hAnsi="Arial" w:cs="Arial"/>
          <w:b/>
          <w:snapToGrid w:val="0"/>
          <w:szCs w:val="21"/>
        </w:rPr>
        <w:t>发放贷款及垫款（续）</w:t>
      </w:r>
      <w:bookmarkEnd w:id="92"/>
    </w:p>
    <w:p w:rsidR="00AD5BB5" w:rsidRDefault="00AD5BB5">
      <w:pPr>
        <w:overflowPunct w:val="0"/>
        <w:autoSpaceDE w:val="0"/>
        <w:autoSpaceDN w:val="0"/>
        <w:rPr>
          <w:rFonts w:ascii="Arial" w:eastAsia="黑体" w:hAnsi="Arial" w:cs="Arial"/>
          <w:snapToGrid w:val="0"/>
          <w:szCs w:val="21"/>
        </w:rPr>
      </w:pPr>
    </w:p>
    <w:p w:rsidR="00AD5BB5" w:rsidRDefault="00F87FF6">
      <w:pPr>
        <w:pStyle w:val="af5"/>
        <w:overflowPunct w:val="0"/>
        <w:autoSpaceDE w:val="0"/>
        <w:autoSpaceDN w:val="0"/>
        <w:adjustRightInd w:val="0"/>
        <w:snapToGrid w:val="0"/>
        <w:spacing w:before="0" w:after="0"/>
        <w:ind w:left="720" w:hanging="720"/>
        <w:jc w:val="both"/>
        <w:textAlignment w:val="bottom"/>
        <w:outlineLvl w:val="3"/>
        <w:rPr>
          <w:rFonts w:ascii="Arial" w:eastAsia="黑体" w:hAnsi="Arial" w:cs="Arial" w:hint="default"/>
          <w:bCs w:val="0"/>
          <w:snapToGrid w:val="0"/>
          <w:color w:val="auto"/>
          <w:sz w:val="21"/>
          <w:szCs w:val="21"/>
        </w:rPr>
      </w:pPr>
      <w:bookmarkStart w:id="93" w:name="afsaddin_WithXu_4ca1aeadb21342f18933c16f"/>
      <w:bookmarkStart w:id="94" w:name="afsaddin_WithXu_d681f7f6c68445f58c29ea21"/>
      <w:bookmarkStart w:id="95" w:name="afsaddin_Section_b5c17b519a3d4db287cb8b9"/>
      <w:bookmarkEnd w:id="93"/>
      <w:bookmarkEnd w:id="94"/>
      <w:r>
        <w:rPr>
          <w:rFonts w:ascii="Arial" w:eastAsia="黑体" w:hAnsi="Arial" w:cs="Arial" w:hint="default"/>
          <w:bCs w:val="0"/>
          <w:snapToGrid w:val="0"/>
          <w:color w:val="auto"/>
          <w:sz w:val="21"/>
          <w:szCs w:val="21"/>
        </w:rPr>
        <w:t>6.2</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按担保方式分析</w:t>
      </w:r>
    </w:p>
    <w:bookmarkEnd w:id="95"/>
    <w:p w:rsidR="00AD5BB5" w:rsidRDefault="00AD5BB5">
      <w:pPr>
        <w:overflowPunct w:val="0"/>
        <w:autoSpaceDE w:val="0"/>
        <w:autoSpaceDN w:val="0"/>
        <w:rPr>
          <w:rFonts w:ascii="Arial" w:eastAsia="黑体" w:hAnsi="Arial" w:cs="Arial"/>
          <w:szCs w:val="21"/>
        </w:rPr>
      </w:pPr>
    </w:p>
    <w:tbl>
      <w:tblPr>
        <w:tblW w:w="0" w:type="auto"/>
        <w:tblLayout w:type="fixed"/>
        <w:tblCellMar>
          <w:left w:w="0" w:type="dxa"/>
          <w:right w:w="0" w:type="dxa"/>
        </w:tblCellMar>
        <w:tblLook w:val="04A0" w:firstRow="1" w:lastRow="0" w:firstColumn="1" w:lastColumn="0" w:noHBand="0" w:noVBand="1"/>
        <w:tblCaption w:val="edd869aa-ef47-4bb7-a9d3-59282b7562fc"/>
        <w:tblDescription w:val="{&quot;UUID&quot;:&quot;afsaddin_tabledata_2_56437_edd869aa-ef47-4bb7-a9d3-59282b7562fc&quot;,&quot;TitleRowCount&quot;:1,&quot;SplitedTable&quot;:false,&quot;FirstTableId&quot;:&quot;edd869aa-ef47-4bb7-a9d3-59282b7562fc&quot;}"/>
      </w:tblPr>
      <w:tblGrid>
        <w:gridCol w:w="3502"/>
        <w:gridCol w:w="109"/>
        <w:gridCol w:w="2317"/>
        <w:gridCol w:w="110"/>
        <w:gridCol w:w="110"/>
        <w:gridCol w:w="2168"/>
        <w:gridCol w:w="110"/>
      </w:tblGrid>
      <w:tr w:rsidR="00AD5BB5">
        <w:tc>
          <w:tcPr>
            <w:tcW w:w="3502"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当期资产负债表日</w:instrText>
            </w:r>
            <w:r>
              <w:rPr>
                <w:rFonts w:ascii="Arial" w:eastAsia="黑体" w:hAnsi="Arial" w:cs="Arial"/>
                <w:szCs w:val="21"/>
              </w:rPr>
              <w:instrText xml:space="preserve"> </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t>年</w:t>
            </w:r>
            <w:r>
              <w:rPr>
                <w:rFonts w:ascii="Arial" w:eastAsia="黑体" w:hAnsi="Arial" w:cs="Arial"/>
                <w:szCs w:val="21"/>
              </w:rPr>
              <w:t>6</w:t>
            </w:r>
            <w:r>
              <w:rPr>
                <w:rFonts w:ascii="Arial" w:eastAsia="黑体" w:hAnsi="Arial" w:cs="Arial"/>
                <w:szCs w:val="21"/>
              </w:rPr>
              <w:t>月</w:t>
            </w:r>
            <w:r>
              <w:rPr>
                <w:rFonts w:ascii="Arial" w:eastAsia="黑体" w:hAnsi="Arial" w:cs="Arial"/>
                <w:szCs w:val="21"/>
              </w:rPr>
              <w:t>30</w:t>
            </w:r>
            <w:r>
              <w:rPr>
                <w:rFonts w:ascii="Arial" w:eastAsia="黑体" w:hAnsi="Arial" w:cs="Arial"/>
                <w:szCs w:val="21"/>
              </w:rPr>
              <w:t>日</w:t>
            </w:r>
            <w:r>
              <w:rPr>
                <w:rFonts w:ascii="Arial" w:eastAsia="黑体" w:hAnsi="Arial" w:cs="Arial"/>
                <w:szCs w:val="21"/>
              </w:rPr>
              <w:fldChar w:fldCharType="end"/>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2022</w:t>
            </w:r>
            <w:r>
              <w:rPr>
                <w:rFonts w:ascii="Arial" w:eastAsia="黑体" w:hAnsi="Arial" w:cs="Arial"/>
                <w:szCs w:val="21"/>
              </w:rPr>
              <w:t>年</w:t>
            </w:r>
            <w:r>
              <w:rPr>
                <w:rFonts w:ascii="Arial" w:eastAsia="黑体" w:hAnsi="Arial" w:cs="Arial"/>
                <w:szCs w:val="21"/>
              </w:rPr>
              <w:t>12</w:t>
            </w:r>
            <w:r>
              <w:rPr>
                <w:rFonts w:ascii="Arial" w:eastAsia="黑体" w:hAnsi="Arial" w:cs="Arial"/>
                <w:szCs w:val="21"/>
              </w:rPr>
              <w:t>月</w:t>
            </w:r>
            <w:r>
              <w:rPr>
                <w:rFonts w:ascii="Arial" w:eastAsia="黑体" w:hAnsi="Arial" w:cs="Arial"/>
                <w:szCs w:val="21"/>
              </w:rPr>
              <w:t>31</w:t>
            </w:r>
            <w:r>
              <w:rPr>
                <w:rFonts w:ascii="Arial" w:eastAsia="黑体" w:hAnsi="Arial" w:cs="Arial"/>
                <w:szCs w:val="21"/>
              </w:rPr>
              <w:t>日</w:t>
            </w:r>
          </w:p>
        </w:tc>
        <w:tc>
          <w:tcPr>
            <w:tcW w:w="110"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附担保</w:t>
            </w:r>
            <w:proofErr w:type="gramStart"/>
            <w:r>
              <w:rPr>
                <w:rFonts w:ascii="Arial" w:eastAsia="黑体" w:hAnsi="Arial" w:cs="Arial"/>
                <w:szCs w:val="21"/>
              </w:rPr>
              <w:t>物贷款</w:t>
            </w:r>
            <w:proofErr w:type="gramEnd"/>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Chars="85" w:left="388" w:hangingChars="100" w:hanging="210"/>
              <w:rPr>
                <w:rFonts w:ascii="Arial" w:eastAsia="黑体" w:hAnsi="Arial" w:cs="Arial"/>
                <w:szCs w:val="21"/>
              </w:rPr>
            </w:pPr>
            <w:r>
              <w:rPr>
                <w:rFonts w:ascii="Arial" w:eastAsia="黑体" w:hAnsi="Arial" w:cs="Arial"/>
                <w:szCs w:val="21"/>
              </w:rPr>
              <w:t>质押贷款</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29,692,631,758.74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29,640,437,074.08</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Chars="85" w:left="388" w:hangingChars="100" w:hanging="210"/>
              <w:rPr>
                <w:rFonts w:ascii="Arial" w:eastAsia="黑体" w:hAnsi="Arial" w:cs="Arial"/>
                <w:szCs w:val="21"/>
              </w:rPr>
            </w:pPr>
            <w:r>
              <w:rPr>
                <w:rFonts w:ascii="Arial" w:eastAsia="黑体" w:hAnsi="Arial" w:cs="Arial"/>
                <w:szCs w:val="21"/>
              </w:rPr>
              <w:t>抵押贷款</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123,672,283,215.39</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122,541,835,762.97</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保证贷款</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30,986,274,984.80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30,227,078,553.71</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信用贷款</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16,907,363,940.76</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17,975,782,467.91</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bookmarkStart w:id="96" w:name="_Hlk135238576"/>
            <w:r>
              <w:rPr>
                <w:rFonts w:ascii="Arial" w:eastAsia="黑体" w:hAnsi="Arial" w:cs="Arial"/>
                <w:szCs w:val="21"/>
              </w:rPr>
              <w:t>合计</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201,258,553,899.69</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200,385,133,858.67</w:t>
            </w:r>
            <w:bookmarkEnd w:id="96"/>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bl>
    <w:p w:rsidR="00AD5BB5" w:rsidRDefault="00AD5BB5">
      <w:pPr>
        <w:overflowPunct w:val="0"/>
        <w:autoSpaceDE w:val="0"/>
        <w:autoSpaceDN w:val="0"/>
        <w:rPr>
          <w:rFonts w:ascii="Arial" w:eastAsia="黑体" w:hAnsi="Arial" w:cs="Arial"/>
          <w:szCs w:val="21"/>
        </w:rPr>
      </w:pPr>
    </w:p>
    <w:p w:rsidR="00AD5BB5" w:rsidRDefault="00F87FF6">
      <w:pPr>
        <w:overflowPunct w:val="0"/>
        <w:autoSpaceDE w:val="0"/>
        <w:autoSpaceDN w:val="0"/>
        <w:rPr>
          <w:rFonts w:ascii="Arial" w:hAnsi="Arial" w:cs="Arial"/>
        </w:rPr>
      </w:pPr>
      <w:r>
        <w:rPr>
          <w:rFonts w:ascii="Arial" w:eastAsia="黑体" w:hAnsi="Arial" w:cs="Arial"/>
          <w:snapToGrid w:val="0"/>
          <w:szCs w:val="21"/>
        </w:rPr>
        <w:t>于</w:t>
      </w:r>
      <w:r>
        <w:rPr>
          <w:rFonts w:ascii="Arial" w:eastAsia="黑体" w:hAnsi="Arial" w:cs="Arial"/>
          <w:snapToGrid w:val="0"/>
          <w:szCs w:val="21"/>
        </w:rPr>
        <w:t>2023</w:t>
      </w:r>
      <w:r>
        <w:rPr>
          <w:rFonts w:ascii="Arial" w:eastAsia="黑体" w:hAnsi="Arial" w:cs="Arial"/>
          <w:snapToGrid w:val="0"/>
          <w:szCs w:val="21"/>
        </w:rPr>
        <w:t>年</w:t>
      </w:r>
      <w:r>
        <w:rPr>
          <w:rFonts w:ascii="Arial" w:eastAsia="黑体" w:hAnsi="Arial" w:cs="Arial"/>
          <w:snapToGrid w:val="0"/>
          <w:szCs w:val="21"/>
        </w:rPr>
        <w:t>6</w:t>
      </w:r>
      <w:r>
        <w:rPr>
          <w:rFonts w:ascii="Arial" w:eastAsia="黑体" w:hAnsi="Arial" w:cs="Arial"/>
          <w:snapToGrid w:val="0"/>
          <w:szCs w:val="21"/>
        </w:rPr>
        <w:t>月</w:t>
      </w:r>
      <w:r>
        <w:rPr>
          <w:rFonts w:ascii="Arial" w:eastAsia="黑体" w:hAnsi="Arial" w:cs="Arial"/>
          <w:snapToGrid w:val="0"/>
          <w:szCs w:val="21"/>
        </w:rPr>
        <w:t>30</w:t>
      </w:r>
      <w:r>
        <w:rPr>
          <w:rFonts w:ascii="Arial" w:eastAsia="黑体" w:hAnsi="Arial" w:cs="Arial"/>
          <w:snapToGrid w:val="0"/>
          <w:szCs w:val="21"/>
        </w:rPr>
        <w:t>日，本集团发放贷款及垫款中有人民币</w:t>
      </w:r>
      <w:r>
        <w:rPr>
          <w:rFonts w:ascii="Arial" w:eastAsia="黑体" w:hAnsi="Arial" w:cs="Arial" w:hint="eastAsia"/>
          <w:snapToGrid w:val="0"/>
          <w:szCs w:val="21"/>
        </w:rPr>
        <w:t xml:space="preserve"> </w:t>
      </w:r>
      <w:r>
        <w:rPr>
          <w:rFonts w:ascii="Arial" w:eastAsia="黑体" w:hAnsi="Arial" w:cs="Arial"/>
          <w:snapToGrid w:val="0"/>
          <w:szCs w:val="21"/>
        </w:rPr>
        <w:t xml:space="preserve">2,696,229,652.67 </w:t>
      </w:r>
      <w:r>
        <w:rPr>
          <w:rFonts w:ascii="Arial" w:eastAsia="黑体" w:hAnsi="Arial" w:cs="Arial"/>
          <w:snapToGrid w:val="0"/>
          <w:szCs w:val="21"/>
        </w:rPr>
        <w:t>元质押于卖出回购协议（</w:t>
      </w:r>
      <w:r>
        <w:rPr>
          <w:rFonts w:ascii="Arial" w:eastAsia="黑体" w:hAnsi="Arial" w:cs="Arial"/>
          <w:snapToGrid w:val="0"/>
          <w:szCs w:val="21"/>
        </w:rPr>
        <w:t>2022</w:t>
      </w:r>
      <w:r>
        <w:rPr>
          <w:rFonts w:ascii="Arial" w:eastAsia="黑体" w:hAnsi="Arial" w:cs="Arial"/>
          <w:snapToGrid w:val="0"/>
          <w:szCs w:val="21"/>
        </w:rPr>
        <w:t>年</w:t>
      </w:r>
      <w:r>
        <w:rPr>
          <w:rFonts w:ascii="Arial" w:eastAsia="黑体" w:hAnsi="Arial" w:cs="Arial"/>
          <w:snapToGrid w:val="0"/>
          <w:szCs w:val="21"/>
        </w:rPr>
        <w:t>12</w:t>
      </w:r>
      <w:r>
        <w:rPr>
          <w:rFonts w:ascii="Arial" w:eastAsia="黑体" w:hAnsi="Arial" w:cs="Arial"/>
          <w:snapToGrid w:val="0"/>
          <w:szCs w:val="21"/>
        </w:rPr>
        <w:t>月</w:t>
      </w:r>
      <w:r>
        <w:rPr>
          <w:rFonts w:ascii="Arial" w:eastAsia="黑体" w:hAnsi="Arial" w:cs="Arial"/>
          <w:snapToGrid w:val="0"/>
          <w:szCs w:val="21"/>
        </w:rPr>
        <w:t>31</w:t>
      </w:r>
      <w:r>
        <w:rPr>
          <w:rFonts w:ascii="Arial" w:eastAsia="黑体" w:hAnsi="Arial" w:cs="Arial"/>
          <w:snapToGrid w:val="0"/>
          <w:szCs w:val="21"/>
        </w:rPr>
        <w:t>日：</w:t>
      </w:r>
      <w:r>
        <w:rPr>
          <w:rFonts w:ascii="Arial" w:eastAsia="黑体" w:hAnsi="Arial" w:cs="Arial"/>
          <w:snapToGrid w:val="0"/>
          <w:szCs w:val="21"/>
        </w:rPr>
        <w:t xml:space="preserve">6,746,956,811.41  </w:t>
      </w:r>
      <w:r>
        <w:rPr>
          <w:rFonts w:ascii="Arial" w:eastAsia="黑体" w:hAnsi="Arial" w:cs="Arial"/>
          <w:snapToGrid w:val="0"/>
          <w:szCs w:val="21"/>
        </w:rPr>
        <w:t>元）。</w:t>
      </w:r>
    </w:p>
    <w:p w:rsidR="00AD5BB5" w:rsidRDefault="00AD5BB5">
      <w:pPr>
        <w:overflowPunct w:val="0"/>
        <w:autoSpaceDE w:val="0"/>
        <w:autoSpaceDN w:val="0"/>
        <w:rPr>
          <w:rFonts w:ascii="Arial" w:eastAsia="黑体" w:hAnsi="Arial" w:cs="Arial"/>
          <w:szCs w:val="21"/>
        </w:rPr>
      </w:pPr>
    </w:p>
    <w:p w:rsidR="00AD5BB5" w:rsidRDefault="00F87FF6">
      <w:pPr>
        <w:pStyle w:val="af5"/>
        <w:overflowPunct w:val="0"/>
        <w:autoSpaceDE w:val="0"/>
        <w:autoSpaceDN w:val="0"/>
        <w:adjustRightInd w:val="0"/>
        <w:snapToGrid w:val="0"/>
        <w:spacing w:before="0" w:after="0"/>
        <w:ind w:left="720" w:hanging="720"/>
        <w:jc w:val="both"/>
        <w:textAlignment w:val="bottom"/>
        <w:outlineLvl w:val="3"/>
        <w:rPr>
          <w:rFonts w:ascii="Arial" w:eastAsia="黑体" w:hAnsi="Arial" w:cs="Arial" w:hint="default"/>
          <w:bCs w:val="0"/>
          <w:snapToGrid w:val="0"/>
          <w:color w:val="auto"/>
          <w:sz w:val="21"/>
          <w:szCs w:val="21"/>
        </w:rPr>
      </w:pPr>
      <w:bookmarkStart w:id="97" w:name="afsaddin_Section_519a147b730c4fa69fac217"/>
      <w:r>
        <w:rPr>
          <w:rFonts w:ascii="Arial" w:eastAsia="黑体" w:hAnsi="Arial" w:cs="Arial" w:hint="default"/>
          <w:bCs w:val="0"/>
          <w:snapToGrid w:val="0"/>
          <w:color w:val="auto"/>
          <w:sz w:val="21"/>
          <w:szCs w:val="21"/>
        </w:rPr>
        <w:t>6.3</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按担保方式分类的逾期贷款分析</w:t>
      </w:r>
    </w:p>
    <w:bookmarkEnd w:id="97"/>
    <w:p w:rsidR="00AD5BB5" w:rsidRDefault="00AD5BB5">
      <w:pPr>
        <w:overflowPunct w:val="0"/>
        <w:autoSpaceDE w:val="0"/>
        <w:autoSpaceDN w:val="0"/>
        <w:rPr>
          <w:rFonts w:ascii="Arial" w:eastAsia="黑体" w:hAnsi="Arial" w:cs="Arial"/>
        </w:rPr>
      </w:pPr>
    </w:p>
    <w:tbl>
      <w:tblPr>
        <w:tblW w:w="0" w:type="auto"/>
        <w:tblLayout w:type="fixed"/>
        <w:tblCellMar>
          <w:left w:w="0" w:type="dxa"/>
          <w:right w:w="0" w:type="dxa"/>
        </w:tblCellMar>
        <w:tblLook w:val="04A0" w:firstRow="1" w:lastRow="0" w:firstColumn="1" w:lastColumn="0" w:noHBand="0" w:noVBand="1"/>
        <w:tblCaption w:val="b1db744c-db04-4dd4-99bb-721a6e18d637"/>
        <w:tblDescription w:val="{&quot;UUID&quot;:&quot;afsaddin_tabledata_2_56437_b1db744c-db04-4dd4-99bb-721a6e18d637&quot;,&quot;TitleRowCount&quot;:2,&quot;SplitedTable&quot;:false,&quot;FirstTableId&quot;:&quot;b1db744c-db04-4dd4-99bb-721a6e18d637&quot;}"/>
      </w:tblPr>
      <w:tblGrid>
        <w:gridCol w:w="1065"/>
        <w:gridCol w:w="104"/>
        <w:gridCol w:w="1367"/>
        <w:gridCol w:w="20"/>
        <w:gridCol w:w="57"/>
        <w:gridCol w:w="1235"/>
        <w:gridCol w:w="103"/>
        <w:gridCol w:w="103"/>
        <w:gridCol w:w="1235"/>
        <w:gridCol w:w="103"/>
        <w:gridCol w:w="103"/>
        <w:gridCol w:w="1235"/>
        <w:gridCol w:w="103"/>
        <w:gridCol w:w="103"/>
        <w:gridCol w:w="1391"/>
        <w:gridCol w:w="103"/>
      </w:tblGrid>
      <w:tr w:rsidR="00AD5BB5">
        <w:tc>
          <w:tcPr>
            <w:tcW w:w="106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7158" w:type="dxa"/>
            <w:gridSpan w:val="13"/>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fldChar w:fldCharType="begin"/>
            </w:r>
            <w:r>
              <w:rPr>
                <w:rFonts w:ascii="Arial" w:eastAsia="黑体" w:hAnsi="Arial" w:cs="Arial"/>
                <w:sz w:val="16"/>
                <w:szCs w:val="16"/>
              </w:rPr>
              <w:instrText xml:space="preserve"> DOCPROPERTY </w:instrText>
            </w:r>
            <w:r>
              <w:rPr>
                <w:rFonts w:ascii="Arial" w:eastAsia="黑体" w:hAnsi="Arial" w:cs="Arial"/>
                <w:sz w:val="16"/>
                <w:szCs w:val="16"/>
              </w:rPr>
              <w:instrText>当期资产负债表日</w:instrText>
            </w:r>
            <w:r>
              <w:rPr>
                <w:rFonts w:ascii="Arial" w:eastAsia="黑体" w:hAnsi="Arial" w:cs="Arial"/>
                <w:sz w:val="16"/>
                <w:szCs w:val="16"/>
              </w:rPr>
              <w:instrText xml:space="preserve"> </w:instrText>
            </w:r>
            <w:r>
              <w:rPr>
                <w:rFonts w:ascii="Arial" w:eastAsia="黑体" w:hAnsi="Arial" w:cs="Arial"/>
                <w:sz w:val="16"/>
                <w:szCs w:val="16"/>
              </w:rPr>
              <w:fldChar w:fldCharType="separate"/>
            </w:r>
            <w:r>
              <w:rPr>
                <w:rFonts w:ascii="Arial" w:eastAsia="黑体" w:hAnsi="Arial" w:cs="Arial"/>
                <w:sz w:val="16"/>
                <w:szCs w:val="16"/>
              </w:rPr>
              <w:t>2023</w:t>
            </w:r>
            <w:r>
              <w:rPr>
                <w:rFonts w:ascii="Arial" w:eastAsia="黑体" w:hAnsi="Arial" w:cs="Arial"/>
                <w:sz w:val="16"/>
                <w:szCs w:val="16"/>
              </w:rPr>
              <w:t>年</w:t>
            </w:r>
            <w:r>
              <w:rPr>
                <w:rFonts w:ascii="Arial" w:eastAsia="黑体" w:hAnsi="Arial" w:cs="Arial"/>
                <w:sz w:val="16"/>
                <w:szCs w:val="16"/>
              </w:rPr>
              <w:t>6</w:t>
            </w:r>
            <w:r>
              <w:rPr>
                <w:rFonts w:ascii="Arial" w:eastAsia="黑体" w:hAnsi="Arial" w:cs="Arial"/>
                <w:sz w:val="16"/>
                <w:szCs w:val="16"/>
              </w:rPr>
              <w:t>月</w:t>
            </w:r>
            <w:r>
              <w:rPr>
                <w:rFonts w:ascii="Arial" w:eastAsia="黑体" w:hAnsi="Arial" w:cs="Arial"/>
                <w:sz w:val="16"/>
                <w:szCs w:val="16"/>
              </w:rPr>
              <w:t>30</w:t>
            </w:r>
            <w:r>
              <w:rPr>
                <w:rFonts w:ascii="Arial" w:eastAsia="黑体" w:hAnsi="Arial" w:cs="Arial"/>
                <w:sz w:val="16"/>
                <w:szCs w:val="16"/>
              </w:rPr>
              <w:t>日</w:t>
            </w:r>
            <w:r>
              <w:rPr>
                <w:rFonts w:ascii="Arial" w:eastAsia="黑体" w:hAnsi="Arial" w:cs="Arial"/>
                <w:sz w:val="16"/>
                <w:szCs w:val="16"/>
              </w:rPr>
              <w:fldChar w:fldCharType="end"/>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06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367"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逾期</w:t>
            </w:r>
            <w:r>
              <w:rPr>
                <w:rFonts w:ascii="Arial" w:eastAsia="黑体" w:hAnsi="Arial" w:cs="Arial"/>
                <w:sz w:val="16"/>
                <w:szCs w:val="16"/>
              </w:rPr>
              <w:t>1</w:t>
            </w:r>
            <w:r>
              <w:rPr>
                <w:rFonts w:ascii="Arial" w:eastAsia="黑体" w:hAnsi="Arial" w:cs="Arial"/>
                <w:sz w:val="16"/>
                <w:szCs w:val="16"/>
              </w:rPr>
              <w:t>天至</w:t>
            </w:r>
            <w:r>
              <w:rPr>
                <w:rFonts w:ascii="Arial" w:eastAsia="黑体" w:hAnsi="Arial" w:cs="Arial"/>
                <w:sz w:val="16"/>
                <w:szCs w:val="16"/>
              </w:rPr>
              <w:t>90</w:t>
            </w:r>
            <w:r>
              <w:rPr>
                <w:rFonts w:ascii="Arial" w:eastAsia="黑体" w:hAnsi="Arial" w:cs="Arial"/>
                <w:sz w:val="16"/>
                <w:szCs w:val="16"/>
              </w:rPr>
              <w:t>天</w:t>
            </w:r>
          </w:p>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（含</w:t>
            </w:r>
            <w:r>
              <w:rPr>
                <w:rFonts w:ascii="Arial" w:eastAsia="黑体" w:hAnsi="Arial" w:cs="Arial"/>
                <w:sz w:val="16"/>
                <w:szCs w:val="16"/>
              </w:rPr>
              <w:t>90</w:t>
            </w:r>
            <w:r>
              <w:rPr>
                <w:rFonts w:ascii="Arial" w:eastAsia="黑体" w:hAnsi="Arial" w:cs="Arial"/>
                <w:sz w:val="16"/>
                <w:szCs w:val="16"/>
              </w:rPr>
              <w:t>天）</w:t>
            </w:r>
          </w:p>
        </w:tc>
        <w:tc>
          <w:tcPr>
            <w:tcW w:w="2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5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235"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逾期</w:t>
            </w:r>
            <w:r>
              <w:rPr>
                <w:rFonts w:ascii="Arial" w:eastAsia="黑体" w:hAnsi="Arial" w:cs="Arial"/>
                <w:sz w:val="16"/>
                <w:szCs w:val="16"/>
              </w:rPr>
              <w:t>90</w:t>
            </w:r>
            <w:r>
              <w:rPr>
                <w:rFonts w:ascii="Arial" w:eastAsia="黑体" w:hAnsi="Arial" w:cs="Arial"/>
                <w:sz w:val="16"/>
                <w:szCs w:val="16"/>
              </w:rPr>
              <w:t>天至</w:t>
            </w:r>
            <w:r>
              <w:rPr>
                <w:rFonts w:ascii="Arial" w:eastAsia="黑体" w:hAnsi="Arial" w:cs="Arial"/>
                <w:sz w:val="16"/>
                <w:szCs w:val="16"/>
              </w:rPr>
              <w:t>1</w:t>
            </w:r>
            <w:r>
              <w:rPr>
                <w:rFonts w:ascii="Arial" w:eastAsia="黑体" w:hAnsi="Arial" w:cs="Arial"/>
                <w:sz w:val="16"/>
                <w:szCs w:val="16"/>
              </w:rPr>
              <w:t>年</w:t>
            </w:r>
          </w:p>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（含</w:t>
            </w:r>
            <w:r>
              <w:rPr>
                <w:rFonts w:ascii="Arial" w:eastAsia="黑体" w:hAnsi="Arial" w:cs="Arial"/>
                <w:sz w:val="16"/>
                <w:szCs w:val="16"/>
              </w:rPr>
              <w:t>1</w:t>
            </w:r>
            <w:r>
              <w:rPr>
                <w:rFonts w:ascii="Arial" w:eastAsia="黑体" w:hAnsi="Arial" w:cs="Arial"/>
                <w:sz w:val="16"/>
                <w:szCs w:val="16"/>
              </w:rPr>
              <w:t>年）</w:t>
            </w:r>
          </w:p>
        </w:tc>
        <w:tc>
          <w:tcPr>
            <w:tcW w:w="10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235"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逾期</w:t>
            </w:r>
            <w:r>
              <w:rPr>
                <w:rFonts w:ascii="Arial" w:eastAsia="黑体" w:hAnsi="Arial" w:cs="Arial"/>
                <w:sz w:val="16"/>
                <w:szCs w:val="16"/>
              </w:rPr>
              <w:t>1</w:t>
            </w:r>
            <w:r>
              <w:rPr>
                <w:rFonts w:ascii="Arial" w:eastAsia="黑体" w:hAnsi="Arial" w:cs="Arial"/>
                <w:sz w:val="16"/>
                <w:szCs w:val="16"/>
              </w:rPr>
              <w:t>年至</w:t>
            </w:r>
            <w:r>
              <w:rPr>
                <w:rFonts w:ascii="Arial" w:eastAsia="黑体" w:hAnsi="Arial" w:cs="Arial"/>
                <w:sz w:val="16"/>
                <w:szCs w:val="16"/>
              </w:rPr>
              <w:t>3</w:t>
            </w:r>
            <w:r>
              <w:rPr>
                <w:rFonts w:ascii="Arial" w:eastAsia="黑体" w:hAnsi="Arial" w:cs="Arial"/>
                <w:sz w:val="16"/>
                <w:szCs w:val="16"/>
              </w:rPr>
              <w:t>年</w:t>
            </w:r>
          </w:p>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（含</w:t>
            </w:r>
            <w:r>
              <w:rPr>
                <w:rFonts w:ascii="Arial" w:eastAsia="黑体" w:hAnsi="Arial" w:cs="Arial"/>
                <w:sz w:val="16"/>
                <w:szCs w:val="16"/>
              </w:rPr>
              <w:t>3</w:t>
            </w:r>
            <w:r>
              <w:rPr>
                <w:rFonts w:ascii="Arial" w:eastAsia="黑体" w:hAnsi="Arial" w:cs="Arial"/>
                <w:sz w:val="16"/>
                <w:szCs w:val="16"/>
              </w:rPr>
              <w:t>年）</w:t>
            </w:r>
          </w:p>
        </w:tc>
        <w:tc>
          <w:tcPr>
            <w:tcW w:w="10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235"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逾期</w:t>
            </w:r>
            <w:r>
              <w:rPr>
                <w:rFonts w:ascii="Arial" w:eastAsia="黑体" w:hAnsi="Arial" w:cs="Arial"/>
                <w:sz w:val="16"/>
                <w:szCs w:val="16"/>
              </w:rPr>
              <w:t>3</w:t>
            </w:r>
            <w:r>
              <w:rPr>
                <w:rFonts w:ascii="Arial" w:eastAsia="黑体" w:hAnsi="Arial" w:cs="Arial"/>
                <w:sz w:val="16"/>
                <w:szCs w:val="16"/>
              </w:rPr>
              <w:t>年以上</w:t>
            </w:r>
          </w:p>
        </w:tc>
        <w:tc>
          <w:tcPr>
            <w:tcW w:w="10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391"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合计</w:t>
            </w:r>
          </w:p>
        </w:tc>
        <w:tc>
          <w:tcPr>
            <w:tcW w:w="10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r>
      <w:tr w:rsidR="00AD5BB5">
        <w:tc>
          <w:tcPr>
            <w:tcW w:w="106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附担保</w:t>
            </w:r>
            <w:proofErr w:type="gramStart"/>
            <w:r>
              <w:rPr>
                <w:rFonts w:ascii="Arial" w:eastAsia="黑体" w:hAnsi="Arial" w:cs="Arial"/>
                <w:sz w:val="16"/>
                <w:szCs w:val="16"/>
              </w:rPr>
              <w:t>物贷款</w:t>
            </w:r>
            <w:proofErr w:type="gramEnd"/>
          </w:p>
        </w:tc>
        <w:tc>
          <w:tcPr>
            <w:tcW w:w="104"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36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065" w:type="dxa"/>
            <w:tcBorders>
              <w:top w:val="nil"/>
              <w:left w:val="nil"/>
              <w:bottom w:val="nil"/>
              <w:right w:val="nil"/>
            </w:tcBorders>
            <w:vAlign w:val="bottom"/>
          </w:tcPr>
          <w:p w:rsidR="00AD5BB5" w:rsidRDefault="00F87FF6">
            <w:pPr>
              <w:autoSpaceDE w:val="0"/>
              <w:autoSpaceDN w:val="0"/>
              <w:ind w:firstLineChars="96" w:firstLine="154"/>
              <w:rPr>
                <w:rFonts w:ascii="Arial" w:eastAsia="黑体" w:hAnsi="Arial" w:cs="Arial"/>
                <w:sz w:val="16"/>
                <w:szCs w:val="16"/>
              </w:rPr>
            </w:pPr>
            <w:r>
              <w:rPr>
                <w:rFonts w:ascii="Arial" w:eastAsia="黑体" w:hAnsi="Arial" w:cs="Arial"/>
                <w:sz w:val="16"/>
                <w:szCs w:val="16"/>
              </w:rPr>
              <w:t>质押贷款</w:t>
            </w:r>
          </w:p>
        </w:tc>
        <w:tc>
          <w:tcPr>
            <w:tcW w:w="104"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36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405,224,786.42</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405,224,786.42</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065" w:type="dxa"/>
            <w:tcBorders>
              <w:top w:val="nil"/>
              <w:left w:val="nil"/>
              <w:bottom w:val="nil"/>
              <w:right w:val="nil"/>
            </w:tcBorders>
            <w:vAlign w:val="bottom"/>
          </w:tcPr>
          <w:p w:rsidR="00AD5BB5" w:rsidRDefault="00F87FF6">
            <w:pPr>
              <w:autoSpaceDE w:val="0"/>
              <w:autoSpaceDN w:val="0"/>
              <w:ind w:firstLineChars="96" w:firstLine="154"/>
              <w:rPr>
                <w:rFonts w:ascii="Arial" w:eastAsia="黑体" w:hAnsi="Arial" w:cs="Arial"/>
                <w:sz w:val="16"/>
                <w:szCs w:val="16"/>
              </w:rPr>
            </w:pPr>
            <w:r>
              <w:rPr>
                <w:rFonts w:ascii="Arial" w:eastAsia="黑体" w:hAnsi="Arial" w:cs="Arial"/>
                <w:sz w:val="16"/>
                <w:szCs w:val="16"/>
              </w:rPr>
              <w:t>抵押贷款</w:t>
            </w:r>
          </w:p>
        </w:tc>
        <w:tc>
          <w:tcPr>
            <w:tcW w:w="104"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36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1,049,948,318.01</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606,018,845.79</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200,678,276.05</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3,160,997.89</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1,859,806,437.74</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06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保证贷款</w:t>
            </w:r>
          </w:p>
        </w:tc>
        <w:tc>
          <w:tcPr>
            <w:tcW w:w="104"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36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213,785,147.28</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188,930,101.95</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96,940,000.00</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29,542,500.00</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529,197,749.23</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06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信用贷款</w:t>
            </w:r>
          </w:p>
        </w:tc>
        <w:tc>
          <w:tcPr>
            <w:tcW w:w="104"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36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86,156,994.01</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128,487,749.34</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8,235,044.96</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1,016,147.17</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1"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223,895,935.48</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06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36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06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合计</w:t>
            </w:r>
          </w:p>
        </w:tc>
        <w:tc>
          <w:tcPr>
            <w:tcW w:w="104"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36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1,755,115,245.72</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923,436,697.08</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305,853,321.01</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33,719,645.06</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1"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3,018,124,908.87</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bl>
    <w:p w:rsidR="00AD5BB5" w:rsidRDefault="00AD5BB5">
      <w:pPr>
        <w:overflowPunct w:val="0"/>
        <w:autoSpaceDE w:val="0"/>
        <w:autoSpaceDN w:val="0"/>
        <w:rPr>
          <w:rFonts w:ascii="Arial" w:eastAsia="黑体" w:hAnsi="Arial" w:cs="Arial"/>
        </w:rPr>
      </w:pPr>
    </w:p>
    <w:tbl>
      <w:tblPr>
        <w:tblW w:w="0" w:type="auto"/>
        <w:tblLayout w:type="fixed"/>
        <w:tblCellMar>
          <w:left w:w="0" w:type="dxa"/>
          <w:right w:w="0" w:type="dxa"/>
        </w:tblCellMar>
        <w:tblLook w:val="04A0" w:firstRow="1" w:lastRow="0" w:firstColumn="1" w:lastColumn="0" w:noHBand="0" w:noVBand="1"/>
        <w:tblCaption w:val="164a8b39-40c4-42da-b761-f3aa8441c42d"/>
        <w:tblDescription w:val="{&quot;UUID&quot;:&quot;afsaddin_tabledata_2_56437_164a8b39-40c4-42da-b761-f3aa8441c42d&quot;,&quot;TitleRowCount&quot;:2,&quot;SplitedTable&quot;:false,&quot;FirstTableId&quot;:&quot;164a8b39-40c4-42da-b761-f3aa8441c42d&quot;}"/>
      </w:tblPr>
      <w:tblGrid>
        <w:gridCol w:w="1065"/>
        <w:gridCol w:w="104"/>
        <w:gridCol w:w="1367"/>
        <w:gridCol w:w="20"/>
        <w:gridCol w:w="57"/>
        <w:gridCol w:w="1235"/>
        <w:gridCol w:w="103"/>
        <w:gridCol w:w="103"/>
        <w:gridCol w:w="1235"/>
        <w:gridCol w:w="103"/>
        <w:gridCol w:w="103"/>
        <w:gridCol w:w="1235"/>
        <w:gridCol w:w="103"/>
        <w:gridCol w:w="103"/>
        <w:gridCol w:w="1391"/>
        <w:gridCol w:w="103"/>
      </w:tblGrid>
      <w:tr w:rsidR="00AD5BB5">
        <w:tc>
          <w:tcPr>
            <w:tcW w:w="106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7158" w:type="dxa"/>
            <w:gridSpan w:val="13"/>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2022</w:t>
            </w:r>
            <w:r>
              <w:rPr>
                <w:rFonts w:ascii="Arial" w:eastAsia="黑体" w:hAnsi="Arial" w:cs="Arial"/>
                <w:sz w:val="16"/>
                <w:szCs w:val="16"/>
              </w:rPr>
              <w:t>年</w:t>
            </w:r>
            <w:r>
              <w:rPr>
                <w:rFonts w:ascii="Arial" w:eastAsia="黑体" w:hAnsi="Arial" w:cs="Arial"/>
                <w:sz w:val="16"/>
                <w:szCs w:val="16"/>
              </w:rPr>
              <w:t>12</w:t>
            </w:r>
            <w:r>
              <w:rPr>
                <w:rFonts w:ascii="Arial" w:eastAsia="黑体" w:hAnsi="Arial" w:cs="Arial"/>
                <w:sz w:val="16"/>
                <w:szCs w:val="16"/>
              </w:rPr>
              <w:t>月</w:t>
            </w:r>
            <w:r>
              <w:rPr>
                <w:rFonts w:ascii="Arial" w:eastAsia="黑体" w:hAnsi="Arial" w:cs="Arial"/>
                <w:sz w:val="16"/>
                <w:szCs w:val="16"/>
              </w:rPr>
              <w:t>31</w:t>
            </w:r>
            <w:r>
              <w:rPr>
                <w:rFonts w:ascii="Arial" w:eastAsia="黑体" w:hAnsi="Arial" w:cs="Arial"/>
                <w:sz w:val="16"/>
                <w:szCs w:val="16"/>
              </w:rPr>
              <w:t>日</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06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367"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逾期</w:t>
            </w:r>
            <w:r>
              <w:rPr>
                <w:rFonts w:ascii="Arial" w:eastAsia="黑体" w:hAnsi="Arial" w:cs="Arial"/>
                <w:sz w:val="16"/>
                <w:szCs w:val="16"/>
              </w:rPr>
              <w:t>1</w:t>
            </w:r>
            <w:r>
              <w:rPr>
                <w:rFonts w:ascii="Arial" w:eastAsia="黑体" w:hAnsi="Arial" w:cs="Arial"/>
                <w:sz w:val="16"/>
                <w:szCs w:val="16"/>
              </w:rPr>
              <w:t>天至</w:t>
            </w:r>
            <w:r>
              <w:rPr>
                <w:rFonts w:ascii="Arial" w:eastAsia="黑体" w:hAnsi="Arial" w:cs="Arial"/>
                <w:sz w:val="16"/>
                <w:szCs w:val="16"/>
              </w:rPr>
              <w:t>90</w:t>
            </w:r>
            <w:r>
              <w:rPr>
                <w:rFonts w:ascii="Arial" w:eastAsia="黑体" w:hAnsi="Arial" w:cs="Arial"/>
                <w:sz w:val="16"/>
                <w:szCs w:val="16"/>
              </w:rPr>
              <w:t>天</w:t>
            </w:r>
          </w:p>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（含</w:t>
            </w:r>
            <w:r>
              <w:rPr>
                <w:rFonts w:ascii="Arial" w:eastAsia="黑体" w:hAnsi="Arial" w:cs="Arial"/>
                <w:sz w:val="16"/>
                <w:szCs w:val="16"/>
              </w:rPr>
              <w:t>90</w:t>
            </w:r>
            <w:r>
              <w:rPr>
                <w:rFonts w:ascii="Arial" w:eastAsia="黑体" w:hAnsi="Arial" w:cs="Arial"/>
                <w:sz w:val="16"/>
                <w:szCs w:val="16"/>
              </w:rPr>
              <w:t>天）</w:t>
            </w:r>
          </w:p>
        </w:tc>
        <w:tc>
          <w:tcPr>
            <w:tcW w:w="2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5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235"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逾期</w:t>
            </w:r>
            <w:r>
              <w:rPr>
                <w:rFonts w:ascii="Arial" w:eastAsia="黑体" w:hAnsi="Arial" w:cs="Arial"/>
                <w:sz w:val="16"/>
                <w:szCs w:val="16"/>
              </w:rPr>
              <w:t>90</w:t>
            </w:r>
            <w:r>
              <w:rPr>
                <w:rFonts w:ascii="Arial" w:eastAsia="黑体" w:hAnsi="Arial" w:cs="Arial"/>
                <w:sz w:val="16"/>
                <w:szCs w:val="16"/>
              </w:rPr>
              <w:t>天至</w:t>
            </w:r>
            <w:r>
              <w:rPr>
                <w:rFonts w:ascii="Arial" w:eastAsia="黑体" w:hAnsi="Arial" w:cs="Arial"/>
                <w:sz w:val="16"/>
                <w:szCs w:val="16"/>
              </w:rPr>
              <w:t>1</w:t>
            </w:r>
            <w:r>
              <w:rPr>
                <w:rFonts w:ascii="Arial" w:eastAsia="黑体" w:hAnsi="Arial" w:cs="Arial"/>
                <w:sz w:val="16"/>
                <w:szCs w:val="16"/>
              </w:rPr>
              <w:t>年</w:t>
            </w:r>
          </w:p>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（含</w:t>
            </w:r>
            <w:r>
              <w:rPr>
                <w:rFonts w:ascii="Arial" w:eastAsia="黑体" w:hAnsi="Arial" w:cs="Arial"/>
                <w:sz w:val="16"/>
                <w:szCs w:val="16"/>
              </w:rPr>
              <w:t>1</w:t>
            </w:r>
            <w:r>
              <w:rPr>
                <w:rFonts w:ascii="Arial" w:eastAsia="黑体" w:hAnsi="Arial" w:cs="Arial"/>
                <w:sz w:val="16"/>
                <w:szCs w:val="16"/>
              </w:rPr>
              <w:t>年）</w:t>
            </w:r>
          </w:p>
        </w:tc>
        <w:tc>
          <w:tcPr>
            <w:tcW w:w="10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235"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逾期</w:t>
            </w:r>
            <w:r>
              <w:rPr>
                <w:rFonts w:ascii="Arial" w:eastAsia="黑体" w:hAnsi="Arial" w:cs="Arial"/>
                <w:sz w:val="16"/>
                <w:szCs w:val="16"/>
              </w:rPr>
              <w:t>1</w:t>
            </w:r>
            <w:r>
              <w:rPr>
                <w:rFonts w:ascii="Arial" w:eastAsia="黑体" w:hAnsi="Arial" w:cs="Arial"/>
                <w:sz w:val="16"/>
                <w:szCs w:val="16"/>
              </w:rPr>
              <w:t>年至</w:t>
            </w:r>
            <w:r>
              <w:rPr>
                <w:rFonts w:ascii="Arial" w:eastAsia="黑体" w:hAnsi="Arial" w:cs="Arial"/>
                <w:sz w:val="16"/>
                <w:szCs w:val="16"/>
              </w:rPr>
              <w:t>3</w:t>
            </w:r>
            <w:r>
              <w:rPr>
                <w:rFonts w:ascii="Arial" w:eastAsia="黑体" w:hAnsi="Arial" w:cs="Arial"/>
                <w:sz w:val="16"/>
                <w:szCs w:val="16"/>
              </w:rPr>
              <w:t>年</w:t>
            </w:r>
          </w:p>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（含</w:t>
            </w:r>
            <w:r>
              <w:rPr>
                <w:rFonts w:ascii="Arial" w:eastAsia="黑体" w:hAnsi="Arial" w:cs="Arial"/>
                <w:sz w:val="16"/>
                <w:szCs w:val="16"/>
              </w:rPr>
              <w:t>3</w:t>
            </w:r>
            <w:r>
              <w:rPr>
                <w:rFonts w:ascii="Arial" w:eastAsia="黑体" w:hAnsi="Arial" w:cs="Arial"/>
                <w:sz w:val="16"/>
                <w:szCs w:val="16"/>
              </w:rPr>
              <w:t>年）</w:t>
            </w:r>
          </w:p>
        </w:tc>
        <w:tc>
          <w:tcPr>
            <w:tcW w:w="10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235"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逾期</w:t>
            </w:r>
            <w:r>
              <w:rPr>
                <w:rFonts w:ascii="Arial" w:eastAsia="黑体" w:hAnsi="Arial" w:cs="Arial"/>
                <w:sz w:val="16"/>
                <w:szCs w:val="16"/>
              </w:rPr>
              <w:t>3</w:t>
            </w:r>
            <w:r>
              <w:rPr>
                <w:rFonts w:ascii="Arial" w:eastAsia="黑体" w:hAnsi="Arial" w:cs="Arial"/>
                <w:sz w:val="16"/>
                <w:szCs w:val="16"/>
              </w:rPr>
              <w:t>年以上</w:t>
            </w:r>
          </w:p>
        </w:tc>
        <w:tc>
          <w:tcPr>
            <w:tcW w:w="10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391"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合计</w:t>
            </w:r>
          </w:p>
        </w:tc>
        <w:tc>
          <w:tcPr>
            <w:tcW w:w="103"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r>
      <w:tr w:rsidR="00AD5BB5">
        <w:tc>
          <w:tcPr>
            <w:tcW w:w="106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附担保</w:t>
            </w:r>
            <w:proofErr w:type="gramStart"/>
            <w:r>
              <w:rPr>
                <w:rFonts w:ascii="Arial" w:eastAsia="黑体" w:hAnsi="Arial" w:cs="Arial"/>
                <w:sz w:val="16"/>
                <w:szCs w:val="16"/>
              </w:rPr>
              <w:t>物贷款</w:t>
            </w:r>
            <w:proofErr w:type="gramEnd"/>
          </w:p>
        </w:tc>
        <w:tc>
          <w:tcPr>
            <w:tcW w:w="104"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36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065" w:type="dxa"/>
            <w:tcBorders>
              <w:top w:val="nil"/>
              <w:left w:val="nil"/>
              <w:bottom w:val="nil"/>
              <w:right w:val="nil"/>
            </w:tcBorders>
            <w:vAlign w:val="bottom"/>
          </w:tcPr>
          <w:p w:rsidR="00AD5BB5" w:rsidRDefault="00F87FF6">
            <w:pPr>
              <w:autoSpaceDE w:val="0"/>
              <w:autoSpaceDN w:val="0"/>
              <w:ind w:firstLineChars="105" w:firstLine="168"/>
              <w:rPr>
                <w:rFonts w:ascii="Arial" w:eastAsia="黑体" w:hAnsi="Arial" w:cs="Arial"/>
                <w:sz w:val="16"/>
                <w:szCs w:val="16"/>
              </w:rPr>
            </w:pPr>
            <w:r>
              <w:rPr>
                <w:rFonts w:ascii="Arial" w:eastAsia="黑体" w:hAnsi="Arial" w:cs="Arial"/>
                <w:sz w:val="16"/>
                <w:szCs w:val="16"/>
              </w:rPr>
              <w:t>质押贷款</w:t>
            </w:r>
          </w:p>
        </w:tc>
        <w:tc>
          <w:tcPr>
            <w:tcW w:w="104"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36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424,767,420.48</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249,641,845.92</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674,409,266.40</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065" w:type="dxa"/>
            <w:tcBorders>
              <w:top w:val="nil"/>
              <w:left w:val="nil"/>
              <w:bottom w:val="nil"/>
              <w:right w:val="nil"/>
            </w:tcBorders>
            <w:vAlign w:val="bottom"/>
          </w:tcPr>
          <w:p w:rsidR="00AD5BB5" w:rsidRDefault="00F87FF6">
            <w:pPr>
              <w:autoSpaceDE w:val="0"/>
              <w:autoSpaceDN w:val="0"/>
              <w:ind w:firstLineChars="105" w:firstLine="168"/>
              <w:rPr>
                <w:rFonts w:ascii="Arial" w:eastAsia="黑体" w:hAnsi="Arial" w:cs="Arial"/>
                <w:sz w:val="16"/>
                <w:szCs w:val="16"/>
              </w:rPr>
            </w:pPr>
            <w:r>
              <w:rPr>
                <w:rFonts w:ascii="Arial" w:eastAsia="黑体" w:hAnsi="Arial" w:cs="Arial"/>
                <w:sz w:val="16"/>
                <w:szCs w:val="16"/>
              </w:rPr>
              <w:t>抵押贷款</w:t>
            </w:r>
          </w:p>
        </w:tc>
        <w:tc>
          <w:tcPr>
            <w:tcW w:w="104"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36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431,373,453.09</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237,013,455.80</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301,194,805.23</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2,407,474.36</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971,989,188.48</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06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保证贷款</w:t>
            </w:r>
          </w:p>
        </w:tc>
        <w:tc>
          <w:tcPr>
            <w:tcW w:w="104"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36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306,311,670.17</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162,623,439.19</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92,150,000.00</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32,272,051.69</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593,357,161.05</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06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信用贷款</w:t>
            </w:r>
          </w:p>
        </w:tc>
        <w:tc>
          <w:tcPr>
            <w:tcW w:w="104"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36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73,895,314.16</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70,276,610.86</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7,770,287.62</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400,764.32</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1"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152,342,976.96</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06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36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06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合计</w:t>
            </w:r>
          </w:p>
        </w:tc>
        <w:tc>
          <w:tcPr>
            <w:tcW w:w="104"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36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1,236,347,857.90</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469,913,505.85</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401,115,092.85</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284,722,136.29</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1"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2,392,098,592.89</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bl>
    <w:p w:rsidR="00AD5BB5" w:rsidRDefault="00F87FF6">
      <w:pPr>
        <w:rPr>
          <w:rFonts w:ascii="Arial" w:eastAsia="黑体" w:hAnsi="Arial" w:cs="Arial"/>
          <w:bCs/>
          <w:snapToGrid w:val="0"/>
        </w:rPr>
      </w:pPr>
      <w:r>
        <w:rPr>
          <w:rFonts w:ascii="Arial" w:eastAsia="黑体" w:hAnsi="Arial" w:cs="Arial"/>
          <w:bCs/>
          <w:snapToGrid w:val="0"/>
        </w:rPr>
        <w:br w:type="page"/>
      </w:r>
    </w:p>
    <w:p w:rsidR="00AD5BB5" w:rsidRDefault="00AD5BB5">
      <w:pPr>
        <w:overflowPunct w:val="0"/>
        <w:autoSpaceDE w:val="0"/>
        <w:autoSpaceDN w:val="0"/>
        <w:adjustRightInd w:val="0"/>
        <w:snapToGrid w:val="0"/>
        <w:textAlignment w:val="bottom"/>
        <w:rPr>
          <w:rFonts w:ascii="Arial" w:eastAsia="黑体" w:hAnsi="Arial" w:cs="Arial"/>
          <w:bCs/>
          <w:snapToGrid w:val="0"/>
        </w:rPr>
      </w:pPr>
    </w:p>
    <w:p w:rsidR="00AD5BB5" w:rsidRDefault="00AD5BB5">
      <w:pPr>
        <w:overflowPunct w:val="0"/>
        <w:autoSpaceDE w:val="0"/>
        <w:autoSpaceDN w:val="0"/>
        <w:adjustRightInd w:val="0"/>
        <w:snapToGrid w:val="0"/>
        <w:textAlignment w:val="bottom"/>
        <w:rPr>
          <w:rFonts w:ascii="Arial" w:eastAsia="黑体" w:hAnsi="Arial" w:cs="Arial"/>
          <w:bCs/>
          <w:snapToGrid w:val="0"/>
        </w:rPr>
      </w:pPr>
    </w:p>
    <w:p w:rsidR="00AD5BB5" w:rsidRDefault="00F87FF6">
      <w:pPr>
        <w:overflowPunct w:val="0"/>
        <w:autoSpaceDE w:val="0"/>
        <w:autoSpaceDN w:val="0"/>
        <w:adjustRightInd w:val="0"/>
        <w:snapToGrid w:val="0"/>
        <w:textAlignment w:val="bottom"/>
        <w:rPr>
          <w:rFonts w:ascii="Arial" w:eastAsia="黑体" w:hAnsi="Arial" w:cs="Arial"/>
          <w:b/>
          <w:bCs/>
          <w:snapToGrid w:val="0"/>
        </w:rPr>
      </w:pPr>
      <w:bookmarkStart w:id="98" w:name="afsaddin_WithXu_b86eb5c7a1b545689465b805"/>
      <w:r>
        <w:rPr>
          <w:rFonts w:ascii="Arial" w:eastAsia="黑体" w:hAnsi="Arial" w:cs="Arial"/>
          <w:b/>
          <w:bCs/>
          <w:snapToGrid w:val="0"/>
        </w:rPr>
        <w:t>五、</w:t>
      </w:r>
      <w:r>
        <w:rPr>
          <w:rFonts w:ascii="Arial" w:eastAsia="黑体" w:hAnsi="Arial" w:cs="Arial"/>
          <w:b/>
          <w:bCs/>
          <w:snapToGrid w:val="0"/>
        </w:rPr>
        <w:tab/>
      </w:r>
      <w:r>
        <w:rPr>
          <w:rFonts w:ascii="Arial" w:eastAsia="黑体" w:hAnsi="Arial" w:cs="Arial"/>
          <w:b/>
          <w:bCs/>
          <w:snapToGrid w:val="0"/>
        </w:rPr>
        <w:t>合并财务报表主要项目注释（续）</w:t>
      </w:r>
      <w:bookmarkEnd w:id="98"/>
    </w:p>
    <w:p w:rsidR="00AD5BB5" w:rsidRDefault="00AD5BB5">
      <w:pPr>
        <w:overflowPunct w:val="0"/>
        <w:autoSpaceDE w:val="0"/>
        <w:autoSpaceDN w:val="0"/>
        <w:adjustRightInd w:val="0"/>
        <w:snapToGrid w:val="0"/>
        <w:textAlignment w:val="bottom"/>
        <w:rPr>
          <w:rFonts w:ascii="Arial" w:eastAsia="黑体" w:hAnsi="Arial" w:cs="Arial"/>
          <w:bCs/>
          <w:snapToGrid w:val="0"/>
        </w:rPr>
      </w:pPr>
    </w:p>
    <w:p w:rsidR="00AD5BB5" w:rsidRDefault="00F87FF6">
      <w:pPr>
        <w:overflowPunct w:val="0"/>
        <w:autoSpaceDE w:val="0"/>
        <w:autoSpaceDN w:val="0"/>
        <w:adjustRightInd w:val="0"/>
        <w:snapToGrid w:val="0"/>
        <w:ind w:left="720" w:hanging="720"/>
        <w:textAlignment w:val="bottom"/>
        <w:rPr>
          <w:rFonts w:ascii="Arial" w:eastAsia="黑体" w:hAnsi="Arial" w:cs="Arial"/>
          <w:b/>
          <w:bCs/>
          <w:snapToGrid w:val="0"/>
        </w:rPr>
      </w:pPr>
      <w:bookmarkStart w:id="99" w:name="afsaddin_WithXu_19f5252d516c47b4b120dc38"/>
      <w:r>
        <w:rPr>
          <w:rFonts w:ascii="Arial" w:eastAsia="黑体" w:hAnsi="Arial" w:cs="Arial"/>
          <w:b/>
          <w:bCs/>
          <w:snapToGrid w:val="0"/>
        </w:rPr>
        <w:t>6.</w:t>
      </w:r>
      <w:r>
        <w:rPr>
          <w:rFonts w:ascii="Arial" w:eastAsia="黑体" w:hAnsi="Arial" w:cs="Arial"/>
          <w:b/>
          <w:bCs/>
          <w:snapToGrid w:val="0"/>
        </w:rPr>
        <w:tab/>
      </w:r>
      <w:r>
        <w:rPr>
          <w:rFonts w:ascii="Arial" w:eastAsia="黑体" w:hAnsi="Arial" w:cs="Arial"/>
          <w:b/>
          <w:bCs/>
          <w:snapToGrid w:val="0"/>
        </w:rPr>
        <w:t>发放贷款及垫款（续）</w:t>
      </w:r>
      <w:bookmarkEnd w:id="99"/>
    </w:p>
    <w:p w:rsidR="00AD5BB5" w:rsidRDefault="00AD5BB5">
      <w:pPr>
        <w:overflowPunct w:val="0"/>
        <w:autoSpaceDE w:val="0"/>
        <w:autoSpaceDN w:val="0"/>
        <w:adjustRightInd w:val="0"/>
        <w:snapToGrid w:val="0"/>
        <w:textAlignment w:val="bottom"/>
        <w:rPr>
          <w:rFonts w:ascii="Arial" w:eastAsia="黑体" w:hAnsi="Arial" w:cs="Arial"/>
          <w:bCs/>
          <w:snapToGrid w:val="0"/>
        </w:rPr>
      </w:pPr>
    </w:p>
    <w:p w:rsidR="00AD5BB5" w:rsidRDefault="00F87FF6">
      <w:pPr>
        <w:pStyle w:val="af5"/>
        <w:overflowPunct w:val="0"/>
        <w:autoSpaceDE w:val="0"/>
        <w:autoSpaceDN w:val="0"/>
        <w:adjustRightInd w:val="0"/>
        <w:snapToGrid w:val="0"/>
        <w:spacing w:before="0" w:after="0"/>
        <w:ind w:left="720" w:hanging="720"/>
        <w:jc w:val="both"/>
        <w:textAlignment w:val="bottom"/>
        <w:outlineLvl w:val="3"/>
        <w:rPr>
          <w:rFonts w:ascii="Arial" w:eastAsia="黑体" w:hAnsi="Arial" w:cs="Arial" w:hint="default"/>
          <w:bCs w:val="0"/>
          <w:snapToGrid w:val="0"/>
          <w:color w:val="auto"/>
          <w:sz w:val="21"/>
          <w:szCs w:val="21"/>
        </w:rPr>
      </w:pPr>
      <w:bookmarkStart w:id="100" w:name="afsaddin_WithXu_a42dd38194e14af5a31656a4"/>
      <w:bookmarkStart w:id="101" w:name="afsaddin_WithXu_dc86ed2048ab4fe7b3dade83"/>
      <w:bookmarkStart w:id="102" w:name="afsaddin_Section_fc34fc7d329e4291b967ed8"/>
      <w:bookmarkEnd w:id="100"/>
      <w:bookmarkEnd w:id="101"/>
      <w:r>
        <w:rPr>
          <w:rFonts w:ascii="Arial" w:eastAsia="黑体" w:hAnsi="Arial" w:cs="Arial" w:hint="default"/>
          <w:bCs w:val="0"/>
          <w:snapToGrid w:val="0"/>
          <w:color w:val="auto"/>
          <w:sz w:val="21"/>
          <w:szCs w:val="21"/>
        </w:rPr>
        <w:t>6.4</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贷款损失准备</w:t>
      </w:r>
    </w:p>
    <w:bookmarkEnd w:id="102"/>
    <w:p w:rsidR="00AD5BB5" w:rsidRDefault="00AD5BB5">
      <w:pPr>
        <w:pStyle w:val="af5"/>
        <w:keepNext w:val="0"/>
        <w:keepLines w:val="0"/>
        <w:outlineLvl w:val="9"/>
        <w:rPr>
          <w:rFonts w:hint="default"/>
          <w:sz w:val="21"/>
          <w:szCs w:val="21"/>
        </w:rPr>
      </w:pPr>
    </w:p>
    <w:p w:rsidR="00AD5BB5" w:rsidRDefault="00F87FF6">
      <w:pPr>
        <w:pStyle w:val="aff2"/>
        <w:numPr>
          <w:ilvl w:val="0"/>
          <w:numId w:val="32"/>
        </w:numPr>
        <w:overflowPunct w:val="0"/>
        <w:autoSpaceDE w:val="0"/>
        <w:autoSpaceDN w:val="0"/>
        <w:adjustRightInd w:val="0"/>
        <w:snapToGrid w:val="0"/>
        <w:ind w:left="720" w:firstLine="420"/>
        <w:textAlignment w:val="bottom"/>
        <w:outlineLvl w:val="4"/>
        <w:rPr>
          <w:rFonts w:ascii="Arial" w:eastAsia="黑体" w:hAnsi="Arial" w:cs="Arial"/>
          <w:bCs/>
          <w:szCs w:val="21"/>
          <w:lang w:val="en-GB"/>
        </w:rPr>
      </w:pPr>
      <w:bookmarkStart w:id="103" w:name="afsaddin_Section_b19b3e0555354c5fbbb1842"/>
      <w:r>
        <w:rPr>
          <w:rFonts w:ascii="Arial" w:eastAsia="黑体" w:hAnsi="Arial" w:cs="Arial"/>
          <w:bCs/>
          <w:szCs w:val="21"/>
          <w:lang w:val="en-GB"/>
        </w:rPr>
        <w:t>以摊</w:t>
      </w:r>
      <w:proofErr w:type="gramStart"/>
      <w:r>
        <w:rPr>
          <w:rFonts w:ascii="Arial" w:eastAsia="黑体" w:hAnsi="Arial" w:cs="Arial"/>
          <w:bCs/>
          <w:szCs w:val="21"/>
          <w:lang w:val="en-GB"/>
        </w:rPr>
        <w:t>余成本</w:t>
      </w:r>
      <w:proofErr w:type="gramEnd"/>
      <w:r>
        <w:rPr>
          <w:rFonts w:ascii="Arial" w:eastAsia="黑体" w:hAnsi="Arial" w:cs="Arial"/>
          <w:bCs/>
          <w:szCs w:val="21"/>
          <w:lang w:val="en-GB"/>
        </w:rPr>
        <w:t>计量的发放贷款及垫款：</w:t>
      </w:r>
    </w:p>
    <w:bookmarkEnd w:id="103"/>
    <w:p w:rsidR="00AD5BB5" w:rsidRDefault="00AD5BB5">
      <w:pPr>
        <w:pStyle w:val="aff2"/>
        <w:tabs>
          <w:tab w:val="left" w:pos="720"/>
        </w:tabs>
        <w:overflowPunct w:val="0"/>
        <w:autoSpaceDE w:val="0"/>
        <w:autoSpaceDN w:val="0"/>
        <w:snapToGrid w:val="0"/>
        <w:ind w:left="1447" w:firstLine="320"/>
        <w:rPr>
          <w:rFonts w:ascii="Arial" w:eastAsia="黑体" w:hAnsi="Arial" w:cs="Arial"/>
          <w:sz w:val="16"/>
        </w:rPr>
      </w:pPr>
    </w:p>
    <w:tbl>
      <w:tblPr>
        <w:tblW w:w="0" w:type="auto"/>
        <w:tblLayout w:type="fixed"/>
        <w:tblCellMar>
          <w:left w:w="0" w:type="dxa"/>
          <w:right w:w="0" w:type="dxa"/>
        </w:tblCellMar>
        <w:tblLook w:val="04A0" w:firstRow="1" w:lastRow="0" w:firstColumn="1" w:lastColumn="0" w:noHBand="0" w:noVBand="1"/>
        <w:tblCaption w:val="3ef37a72-1fc5-4e01-bec3-3d6dc96d7b7f"/>
        <w:tblDescription w:val="{&quot;UUID&quot;:&quot;afsaddin_tabledata_2_56437_3ef37a72-1fc5-4e01-bec3-3d6dc96d7b7f&quot;,&quot;TitleRowCount&quot;:4,&quot;SplitedTable&quot;:false,&quot;FirstTableId&quot;:&quot;3ef37a72-1fc5-4e01-bec3-3d6dc96d7b7f&quot;}"/>
      </w:tblPr>
      <w:tblGrid>
        <w:gridCol w:w="1837"/>
        <w:gridCol w:w="107"/>
        <w:gridCol w:w="1673"/>
        <w:gridCol w:w="108"/>
        <w:gridCol w:w="108"/>
        <w:gridCol w:w="1280"/>
        <w:gridCol w:w="108"/>
        <w:gridCol w:w="108"/>
        <w:gridCol w:w="1339"/>
        <w:gridCol w:w="108"/>
        <w:gridCol w:w="108"/>
        <w:gridCol w:w="1434"/>
        <w:gridCol w:w="108"/>
      </w:tblGrid>
      <w:tr w:rsidR="00AD5BB5">
        <w:tc>
          <w:tcPr>
            <w:tcW w:w="1837" w:type="dxa"/>
            <w:tcBorders>
              <w:top w:val="nil"/>
              <w:left w:val="nil"/>
              <w:bottom w:val="nil"/>
              <w:right w:val="nil"/>
            </w:tcBorders>
            <w:shd w:val="clear" w:color="auto" w:fill="auto"/>
            <w:vAlign w:val="bottom"/>
          </w:tcPr>
          <w:p w:rsidR="00AD5BB5" w:rsidRDefault="00AD5BB5">
            <w:pPr>
              <w:autoSpaceDE w:val="0"/>
              <w:autoSpaceDN w:val="0"/>
              <w:ind w:left="240" w:hangingChars="150" w:hanging="240"/>
              <w:rPr>
                <w:rFonts w:ascii="Arial" w:eastAsia="黑体" w:hAnsi="Arial" w:cs="Arial"/>
                <w:sz w:val="16"/>
                <w:szCs w:val="16"/>
              </w:rPr>
            </w:pPr>
          </w:p>
        </w:tc>
        <w:tc>
          <w:tcPr>
            <w:tcW w:w="107"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6374" w:type="dxa"/>
            <w:gridSpan w:val="10"/>
            <w:tcBorders>
              <w:top w:val="nil"/>
              <w:left w:val="nil"/>
              <w:bottom w:val="single" w:sz="4" w:space="0" w:color="auto"/>
              <w:right w:val="nil"/>
            </w:tcBorders>
            <w:shd w:val="clear" w:color="auto" w:fill="auto"/>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fldChar w:fldCharType="begin"/>
            </w:r>
            <w:r>
              <w:rPr>
                <w:rFonts w:ascii="Arial" w:eastAsia="黑体" w:hAnsi="Arial" w:cs="Arial"/>
                <w:sz w:val="16"/>
                <w:szCs w:val="16"/>
              </w:rPr>
              <w:instrText xml:space="preserve"> DOCPROPERTY </w:instrText>
            </w:r>
            <w:r>
              <w:rPr>
                <w:rFonts w:ascii="Arial" w:eastAsia="黑体" w:hAnsi="Arial" w:cs="Arial"/>
                <w:sz w:val="16"/>
                <w:szCs w:val="16"/>
              </w:rPr>
              <w:instrText>自定义</w:instrText>
            </w:r>
            <w:r>
              <w:rPr>
                <w:rFonts w:ascii="Arial" w:eastAsia="黑体" w:hAnsi="Arial" w:cs="Arial"/>
                <w:sz w:val="16"/>
                <w:szCs w:val="16"/>
              </w:rPr>
              <w:instrText xml:space="preserve">1 </w:instrText>
            </w:r>
            <w:r>
              <w:rPr>
                <w:rFonts w:ascii="Arial" w:eastAsia="黑体" w:hAnsi="Arial" w:cs="Arial"/>
                <w:sz w:val="16"/>
                <w:szCs w:val="16"/>
              </w:rPr>
              <w:fldChar w:fldCharType="separate"/>
            </w:r>
            <w:r>
              <w:rPr>
                <w:rFonts w:ascii="Arial" w:eastAsia="黑体" w:hAnsi="Arial" w:cs="Arial"/>
                <w:sz w:val="16"/>
                <w:szCs w:val="16"/>
              </w:rPr>
              <w:t>2023</w:t>
            </w:r>
            <w:r>
              <w:rPr>
                <w:rFonts w:ascii="Arial" w:eastAsia="黑体" w:hAnsi="Arial" w:cs="Arial"/>
                <w:sz w:val="16"/>
                <w:szCs w:val="16"/>
              </w:rPr>
              <w:t>年</w:t>
            </w:r>
            <w:r>
              <w:rPr>
                <w:rFonts w:ascii="Arial" w:eastAsia="黑体" w:hAnsi="Arial" w:cs="Arial"/>
                <w:sz w:val="16"/>
                <w:szCs w:val="16"/>
              </w:rPr>
              <w:t>1-6</w:t>
            </w:r>
            <w:r>
              <w:rPr>
                <w:rFonts w:ascii="Arial" w:eastAsia="黑体" w:hAnsi="Arial" w:cs="Arial"/>
                <w:sz w:val="16"/>
                <w:szCs w:val="16"/>
              </w:rPr>
              <w:t>月</w:t>
            </w:r>
            <w:r>
              <w:rPr>
                <w:rFonts w:ascii="Arial" w:eastAsia="黑体" w:hAnsi="Arial" w:cs="Arial"/>
                <w:sz w:val="16"/>
                <w:szCs w:val="16"/>
              </w:rPr>
              <w:fldChar w:fldCharType="end"/>
            </w: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1837" w:type="dxa"/>
            <w:tcBorders>
              <w:top w:val="nil"/>
              <w:left w:val="nil"/>
              <w:bottom w:val="nil"/>
              <w:right w:val="nil"/>
            </w:tcBorders>
            <w:shd w:val="clear" w:color="auto" w:fill="auto"/>
            <w:vAlign w:val="bottom"/>
          </w:tcPr>
          <w:p w:rsidR="00AD5BB5" w:rsidRDefault="00AD5BB5">
            <w:pPr>
              <w:autoSpaceDE w:val="0"/>
              <w:autoSpaceDN w:val="0"/>
              <w:ind w:left="240" w:hangingChars="150" w:hanging="240"/>
              <w:rPr>
                <w:rFonts w:ascii="Arial" w:eastAsia="黑体" w:hAnsi="Arial" w:cs="Arial"/>
                <w:sz w:val="16"/>
                <w:szCs w:val="16"/>
              </w:rPr>
            </w:pPr>
          </w:p>
        </w:tc>
        <w:tc>
          <w:tcPr>
            <w:tcW w:w="107"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673" w:type="dxa"/>
            <w:tcBorders>
              <w:top w:val="single" w:sz="4" w:space="0" w:color="auto"/>
              <w:left w:val="nil"/>
              <w:bottom w:val="single" w:sz="4" w:space="0" w:color="auto"/>
              <w:right w:val="nil"/>
            </w:tcBorders>
            <w:shd w:val="clear" w:color="auto" w:fill="auto"/>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12</w:t>
            </w:r>
            <w:r>
              <w:rPr>
                <w:rFonts w:ascii="Arial" w:eastAsia="黑体" w:hAnsi="Arial" w:cs="Arial"/>
                <w:sz w:val="16"/>
                <w:szCs w:val="16"/>
              </w:rPr>
              <w:t>个月预期信用损失</w:t>
            </w:r>
          </w:p>
        </w:tc>
        <w:tc>
          <w:tcPr>
            <w:tcW w:w="108" w:type="dxa"/>
            <w:tcBorders>
              <w:top w:val="single" w:sz="4" w:space="0" w:color="auto"/>
              <w:left w:val="nil"/>
              <w:bottom w:val="nil"/>
              <w:right w:val="nil"/>
            </w:tcBorders>
            <w:shd w:val="clear" w:color="auto" w:fill="auto"/>
            <w:vAlign w:val="bottom"/>
          </w:tcPr>
          <w:p w:rsidR="00AD5BB5" w:rsidRDefault="00AD5BB5">
            <w:pPr>
              <w:autoSpaceDE w:val="0"/>
              <w:autoSpaceDN w:val="0"/>
              <w:jc w:val="center"/>
              <w:rPr>
                <w:rFonts w:ascii="Arial" w:eastAsia="黑体" w:hAnsi="Arial" w:cs="Arial"/>
                <w:sz w:val="16"/>
                <w:szCs w:val="16"/>
              </w:rPr>
            </w:pPr>
          </w:p>
        </w:tc>
        <w:tc>
          <w:tcPr>
            <w:tcW w:w="108" w:type="dxa"/>
            <w:tcBorders>
              <w:top w:val="single" w:sz="4" w:space="0" w:color="auto"/>
              <w:left w:val="nil"/>
              <w:bottom w:val="nil"/>
              <w:right w:val="nil"/>
            </w:tcBorders>
            <w:shd w:val="clear" w:color="auto" w:fill="auto"/>
            <w:vAlign w:val="bottom"/>
          </w:tcPr>
          <w:p w:rsidR="00AD5BB5" w:rsidRDefault="00AD5BB5">
            <w:pPr>
              <w:autoSpaceDE w:val="0"/>
              <w:autoSpaceDN w:val="0"/>
              <w:jc w:val="center"/>
              <w:rPr>
                <w:rFonts w:ascii="Arial" w:eastAsia="黑体" w:hAnsi="Arial" w:cs="Arial"/>
                <w:sz w:val="16"/>
                <w:szCs w:val="16"/>
              </w:rPr>
            </w:pPr>
          </w:p>
        </w:tc>
        <w:tc>
          <w:tcPr>
            <w:tcW w:w="2835" w:type="dxa"/>
            <w:gridSpan w:val="4"/>
            <w:tcBorders>
              <w:top w:val="single" w:sz="4" w:space="0" w:color="auto"/>
              <w:left w:val="nil"/>
              <w:bottom w:val="single" w:sz="4" w:space="0" w:color="auto"/>
              <w:right w:val="nil"/>
            </w:tcBorders>
            <w:shd w:val="clear" w:color="auto" w:fill="auto"/>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整个存续期预期信用损失</w:t>
            </w:r>
          </w:p>
        </w:tc>
        <w:tc>
          <w:tcPr>
            <w:tcW w:w="108" w:type="dxa"/>
            <w:tcBorders>
              <w:top w:val="single" w:sz="4" w:space="0" w:color="auto"/>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8" w:type="dxa"/>
            <w:tcBorders>
              <w:top w:val="single" w:sz="4" w:space="0" w:color="auto"/>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34" w:type="dxa"/>
            <w:tcBorders>
              <w:top w:val="single" w:sz="4" w:space="0" w:color="auto"/>
              <w:left w:val="nil"/>
              <w:bottom w:val="nil"/>
              <w:right w:val="nil"/>
            </w:tcBorders>
            <w:shd w:val="clear" w:color="auto" w:fill="auto"/>
            <w:vAlign w:val="bottom"/>
          </w:tcPr>
          <w:p w:rsidR="00AD5BB5" w:rsidRDefault="00AD5BB5">
            <w:pPr>
              <w:autoSpaceDE w:val="0"/>
              <w:autoSpaceDN w:val="0"/>
              <w:jc w:val="center"/>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jc w:val="center"/>
              <w:rPr>
                <w:rFonts w:ascii="Arial" w:eastAsia="黑体" w:hAnsi="Arial" w:cs="Arial"/>
                <w:sz w:val="16"/>
                <w:szCs w:val="16"/>
              </w:rPr>
            </w:pPr>
          </w:p>
        </w:tc>
      </w:tr>
      <w:tr w:rsidR="00AD5BB5">
        <w:tc>
          <w:tcPr>
            <w:tcW w:w="1837" w:type="dxa"/>
            <w:tcBorders>
              <w:top w:val="nil"/>
              <w:left w:val="nil"/>
              <w:bottom w:val="nil"/>
              <w:right w:val="nil"/>
            </w:tcBorders>
            <w:shd w:val="clear" w:color="auto" w:fill="auto"/>
            <w:vAlign w:val="bottom"/>
          </w:tcPr>
          <w:p w:rsidR="00AD5BB5" w:rsidRDefault="00AD5BB5">
            <w:pPr>
              <w:autoSpaceDE w:val="0"/>
              <w:autoSpaceDN w:val="0"/>
              <w:ind w:left="240" w:hangingChars="150" w:hanging="240"/>
              <w:rPr>
                <w:rFonts w:ascii="Arial" w:eastAsia="黑体" w:hAnsi="Arial" w:cs="Arial"/>
                <w:sz w:val="16"/>
                <w:szCs w:val="16"/>
              </w:rPr>
            </w:pPr>
          </w:p>
        </w:tc>
        <w:tc>
          <w:tcPr>
            <w:tcW w:w="107"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673" w:type="dxa"/>
            <w:tcBorders>
              <w:top w:val="single" w:sz="4" w:space="0" w:color="auto"/>
              <w:left w:val="nil"/>
              <w:bottom w:val="nil"/>
              <w:right w:val="nil"/>
            </w:tcBorders>
            <w:shd w:val="clear" w:color="auto" w:fill="auto"/>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阶段</w:t>
            </w:r>
            <w:proofErr w:type="gramStart"/>
            <w:r>
              <w:rPr>
                <w:rFonts w:ascii="Arial" w:eastAsia="黑体" w:hAnsi="Arial" w:cs="Arial"/>
                <w:sz w:val="16"/>
                <w:szCs w:val="16"/>
              </w:rPr>
              <w:t>一</w:t>
            </w:r>
            <w:proofErr w:type="gramEnd"/>
          </w:p>
        </w:tc>
        <w:tc>
          <w:tcPr>
            <w:tcW w:w="108" w:type="dxa"/>
            <w:tcBorders>
              <w:top w:val="nil"/>
              <w:left w:val="nil"/>
              <w:bottom w:val="nil"/>
              <w:right w:val="nil"/>
            </w:tcBorders>
            <w:shd w:val="clear" w:color="auto" w:fill="auto"/>
            <w:vAlign w:val="bottom"/>
          </w:tcPr>
          <w:p w:rsidR="00AD5BB5" w:rsidRDefault="00AD5BB5">
            <w:pPr>
              <w:autoSpaceDE w:val="0"/>
              <w:autoSpaceDN w:val="0"/>
              <w:jc w:val="center"/>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jc w:val="center"/>
              <w:rPr>
                <w:rFonts w:ascii="Arial" w:eastAsia="黑体" w:hAnsi="Arial" w:cs="Arial"/>
                <w:sz w:val="16"/>
                <w:szCs w:val="16"/>
              </w:rPr>
            </w:pPr>
          </w:p>
        </w:tc>
        <w:tc>
          <w:tcPr>
            <w:tcW w:w="1280" w:type="dxa"/>
            <w:tcBorders>
              <w:top w:val="single" w:sz="4" w:space="0" w:color="auto"/>
              <w:left w:val="nil"/>
              <w:bottom w:val="nil"/>
              <w:right w:val="nil"/>
            </w:tcBorders>
            <w:shd w:val="clear" w:color="auto" w:fill="auto"/>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阶段二</w:t>
            </w:r>
          </w:p>
        </w:tc>
        <w:tc>
          <w:tcPr>
            <w:tcW w:w="108" w:type="dxa"/>
            <w:tcBorders>
              <w:top w:val="single" w:sz="4" w:space="0" w:color="auto"/>
              <w:left w:val="nil"/>
              <w:bottom w:val="nil"/>
              <w:right w:val="nil"/>
            </w:tcBorders>
            <w:shd w:val="clear" w:color="auto" w:fill="auto"/>
            <w:vAlign w:val="bottom"/>
          </w:tcPr>
          <w:p w:rsidR="00AD5BB5" w:rsidRDefault="00AD5BB5">
            <w:pPr>
              <w:autoSpaceDE w:val="0"/>
              <w:autoSpaceDN w:val="0"/>
              <w:jc w:val="center"/>
              <w:rPr>
                <w:rFonts w:ascii="Arial" w:eastAsia="黑体" w:hAnsi="Arial" w:cs="Arial"/>
                <w:sz w:val="16"/>
                <w:szCs w:val="16"/>
              </w:rPr>
            </w:pPr>
          </w:p>
        </w:tc>
        <w:tc>
          <w:tcPr>
            <w:tcW w:w="108" w:type="dxa"/>
            <w:tcBorders>
              <w:top w:val="single" w:sz="4" w:space="0" w:color="auto"/>
              <w:left w:val="nil"/>
              <w:bottom w:val="nil"/>
              <w:right w:val="nil"/>
            </w:tcBorders>
            <w:shd w:val="clear" w:color="auto" w:fill="auto"/>
            <w:vAlign w:val="bottom"/>
          </w:tcPr>
          <w:p w:rsidR="00AD5BB5" w:rsidRDefault="00AD5BB5">
            <w:pPr>
              <w:autoSpaceDE w:val="0"/>
              <w:autoSpaceDN w:val="0"/>
              <w:jc w:val="center"/>
              <w:rPr>
                <w:rFonts w:ascii="Arial" w:eastAsia="黑体" w:hAnsi="Arial" w:cs="Arial"/>
                <w:sz w:val="16"/>
                <w:szCs w:val="16"/>
              </w:rPr>
            </w:pPr>
          </w:p>
        </w:tc>
        <w:tc>
          <w:tcPr>
            <w:tcW w:w="1339" w:type="dxa"/>
            <w:tcBorders>
              <w:top w:val="single" w:sz="4" w:space="0" w:color="auto"/>
              <w:left w:val="nil"/>
              <w:bottom w:val="nil"/>
              <w:right w:val="nil"/>
            </w:tcBorders>
            <w:shd w:val="clear" w:color="auto" w:fill="auto"/>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阶段三</w:t>
            </w:r>
          </w:p>
        </w:tc>
        <w:tc>
          <w:tcPr>
            <w:tcW w:w="108" w:type="dxa"/>
            <w:tcBorders>
              <w:top w:val="nil"/>
              <w:left w:val="nil"/>
              <w:bottom w:val="nil"/>
              <w:right w:val="nil"/>
            </w:tcBorders>
            <w:shd w:val="clear" w:color="auto" w:fill="auto"/>
            <w:vAlign w:val="bottom"/>
          </w:tcPr>
          <w:p w:rsidR="00AD5BB5" w:rsidRDefault="00AD5BB5">
            <w:pPr>
              <w:autoSpaceDE w:val="0"/>
              <w:autoSpaceDN w:val="0"/>
              <w:jc w:val="center"/>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jc w:val="center"/>
              <w:rPr>
                <w:rFonts w:ascii="Arial" w:eastAsia="黑体" w:hAnsi="Arial" w:cs="Arial"/>
                <w:sz w:val="16"/>
                <w:szCs w:val="16"/>
              </w:rPr>
            </w:pPr>
          </w:p>
        </w:tc>
        <w:tc>
          <w:tcPr>
            <w:tcW w:w="1434" w:type="dxa"/>
            <w:tcBorders>
              <w:top w:val="nil"/>
              <w:left w:val="nil"/>
              <w:bottom w:val="nil"/>
              <w:right w:val="nil"/>
            </w:tcBorders>
            <w:shd w:val="clear" w:color="auto" w:fill="auto"/>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合计</w:t>
            </w:r>
          </w:p>
        </w:tc>
        <w:tc>
          <w:tcPr>
            <w:tcW w:w="108" w:type="dxa"/>
            <w:tcBorders>
              <w:top w:val="nil"/>
              <w:left w:val="nil"/>
              <w:bottom w:val="nil"/>
              <w:right w:val="nil"/>
            </w:tcBorders>
            <w:shd w:val="clear" w:color="auto" w:fill="auto"/>
            <w:vAlign w:val="bottom"/>
          </w:tcPr>
          <w:p w:rsidR="00AD5BB5" w:rsidRDefault="00AD5BB5">
            <w:pPr>
              <w:autoSpaceDE w:val="0"/>
              <w:autoSpaceDN w:val="0"/>
              <w:jc w:val="center"/>
              <w:rPr>
                <w:rFonts w:ascii="Arial" w:eastAsia="黑体" w:hAnsi="Arial" w:cs="Arial"/>
                <w:sz w:val="16"/>
                <w:szCs w:val="16"/>
              </w:rPr>
            </w:pPr>
          </w:p>
        </w:tc>
      </w:tr>
      <w:tr w:rsidR="00AD5BB5">
        <w:tc>
          <w:tcPr>
            <w:tcW w:w="1837" w:type="dxa"/>
            <w:tcBorders>
              <w:top w:val="nil"/>
              <w:left w:val="nil"/>
              <w:bottom w:val="nil"/>
              <w:right w:val="nil"/>
            </w:tcBorders>
            <w:shd w:val="clear" w:color="auto" w:fill="auto"/>
            <w:vAlign w:val="bottom"/>
          </w:tcPr>
          <w:p w:rsidR="00AD5BB5" w:rsidRDefault="00AD5BB5">
            <w:pPr>
              <w:autoSpaceDE w:val="0"/>
              <w:autoSpaceDN w:val="0"/>
              <w:ind w:left="240" w:hangingChars="150" w:hanging="240"/>
              <w:rPr>
                <w:rFonts w:ascii="Arial" w:eastAsia="黑体" w:hAnsi="Arial" w:cs="Arial"/>
                <w:sz w:val="16"/>
                <w:szCs w:val="16"/>
              </w:rPr>
            </w:pPr>
          </w:p>
        </w:tc>
        <w:tc>
          <w:tcPr>
            <w:tcW w:w="107"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673"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280"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339"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434"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r>
      <w:tr w:rsidR="00AD5BB5">
        <w:tc>
          <w:tcPr>
            <w:tcW w:w="1837" w:type="dxa"/>
            <w:tcBorders>
              <w:top w:val="nil"/>
              <w:left w:val="nil"/>
              <w:bottom w:val="nil"/>
              <w:right w:val="nil"/>
            </w:tcBorders>
            <w:shd w:val="clear" w:color="auto" w:fill="auto"/>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fldChar w:fldCharType="begin"/>
            </w:r>
            <w:r>
              <w:rPr>
                <w:rFonts w:ascii="Arial" w:eastAsia="黑体" w:hAnsi="Arial" w:cs="Arial"/>
                <w:sz w:val="16"/>
                <w:szCs w:val="16"/>
              </w:rPr>
              <w:instrText xml:space="preserve"> DOCPROPERTY </w:instrText>
            </w:r>
            <w:r>
              <w:rPr>
                <w:rFonts w:ascii="Arial" w:eastAsia="黑体" w:hAnsi="Arial" w:cs="Arial"/>
                <w:sz w:val="16"/>
                <w:szCs w:val="16"/>
              </w:rPr>
              <w:instrText>当期会计期间</w:instrText>
            </w:r>
            <w:r>
              <w:rPr>
                <w:rFonts w:ascii="Arial" w:eastAsia="黑体" w:hAnsi="Arial" w:cs="Arial"/>
                <w:sz w:val="16"/>
                <w:szCs w:val="16"/>
              </w:rPr>
              <w:instrText xml:space="preserve"> </w:instrText>
            </w:r>
            <w:r>
              <w:rPr>
                <w:rFonts w:ascii="Arial" w:eastAsia="黑体" w:hAnsi="Arial" w:cs="Arial"/>
                <w:sz w:val="16"/>
                <w:szCs w:val="16"/>
              </w:rPr>
              <w:fldChar w:fldCharType="separate"/>
            </w:r>
            <w:r>
              <w:rPr>
                <w:rFonts w:ascii="Arial" w:eastAsia="黑体" w:hAnsi="Arial" w:cs="Arial"/>
                <w:sz w:val="16"/>
                <w:szCs w:val="16"/>
              </w:rPr>
              <w:t>2023</w:t>
            </w:r>
            <w:r>
              <w:rPr>
                <w:rFonts w:ascii="Arial" w:eastAsia="黑体" w:hAnsi="Arial" w:cs="Arial"/>
                <w:sz w:val="16"/>
                <w:szCs w:val="16"/>
              </w:rPr>
              <w:fldChar w:fldCharType="end"/>
            </w:r>
            <w:r>
              <w:rPr>
                <w:rFonts w:ascii="Arial" w:eastAsia="黑体" w:hAnsi="Arial" w:cs="Arial"/>
                <w:sz w:val="16"/>
                <w:szCs w:val="16"/>
              </w:rPr>
              <w:t>年</w:t>
            </w:r>
            <w:r>
              <w:rPr>
                <w:rFonts w:ascii="Arial" w:eastAsia="黑体" w:hAnsi="Arial" w:cs="Arial"/>
                <w:sz w:val="16"/>
                <w:szCs w:val="16"/>
              </w:rPr>
              <w:t>1</w:t>
            </w:r>
            <w:r>
              <w:rPr>
                <w:rFonts w:ascii="Arial" w:eastAsia="黑体" w:hAnsi="Arial" w:cs="Arial"/>
                <w:sz w:val="16"/>
                <w:szCs w:val="16"/>
              </w:rPr>
              <w:t>月</w:t>
            </w:r>
            <w:r>
              <w:rPr>
                <w:rFonts w:ascii="Arial" w:eastAsia="黑体" w:hAnsi="Arial" w:cs="Arial"/>
                <w:sz w:val="16"/>
                <w:szCs w:val="16"/>
              </w:rPr>
              <w:t>1</w:t>
            </w:r>
            <w:r>
              <w:rPr>
                <w:rFonts w:ascii="Arial" w:eastAsia="黑体" w:hAnsi="Arial" w:cs="Arial"/>
                <w:sz w:val="16"/>
                <w:szCs w:val="16"/>
              </w:rPr>
              <w:t>日</w:t>
            </w:r>
          </w:p>
        </w:tc>
        <w:tc>
          <w:tcPr>
            <w:tcW w:w="107"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673"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4,809,928,591.97</w:t>
            </w: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280"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444,167,864.76</w:t>
            </w: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3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1,380,460,815.85</w:t>
            </w: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3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6,634,557,272.58</w:t>
            </w: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1837" w:type="dxa"/>
            <w:tcBorders>
              <w:top w:val="nil"/>
              <w:left w:val="nil"/>
              <w:bottom w:val="nil"/>
              <w:right w:val="nil"/>
            </w:tcBorders>
            <w:shd w:val="clear" w:color="auto" w:fill="auto"/>
            <w:vAlign w:val="bottom"/>
          </w:tcPr>
          <w:p w:rsidR="00AD5BB5" w:rsidRDefault="00AD5BB5">
            <w:pPr>
              <w:autoSpaceDE w:val="0"/>
              <w:autoSpaceDN w:val="0"/>
              <w:ind w:left="240" w:hangingChars="150" w:hanging="240"/>
              <w:rPr>
                <w:rFonts w:ascii="Arial" w:eastAsia="黑体" w:hAnsi="Arial" w:cs="Arial"/>
                <w:sz w:val="16"/>
                <w:szCs w:val="16"/>
              </w:rPr>
            </w:pPr>
          </w:p>
        </w:tc>
        <w:tc>
          <w:tcPr>
            <w:tcW w:w="107"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673"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280"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39"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34"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1837" w:type="dxa"/>
            <w:tcBorders>
              <w:top w:val="nil"/>
              <w:left w:val="nil"/>
              <w:bottom w:val="nil"/>
              <w:right w:val="nil"/>
            </w:tcBorders>
            <w:shd w:val="clear" w:color="auto" w:fill="auto"/>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期初余额在本期</w:t>
            </w:r>
          </w:p>
          <w:p w:rsidR="00AD5BB5" w:rsidRDefault="00F87FF6">
            <w:pPr>
              <w:autoSpaceDE w:val="0"/>
              <w:autoSpaceDN w:val="0"/>
              <w:ind w:left="320" w:hangingChars="200" w:hanging="320"/>
              <w:rPr>
                <w:rFonts w:ascii="Arial" w:eastAsia="黑体" w:hAnsi="Arial" w:cs="Arial"/>
                <w:sz w:val="16"/>
                <w:szCs w:val="16"/>
              </w:rPr>
            </w:pPr>
            <w:r>
              <w:rPr>
                <w:rFonts w:ascii="Arial" w:eastAsia="黑体" w:hAnsi="Arial" w:cs="Arial"/>
                <w:sz w:val="16"/>
                <w:szCs w:val="16"/>
              </w:rPr>
              <w:t xml:space="preserve">  </w:t>
            </w:r>
            <w:r>
              <w:rPr>
                <w:rFonts w:ascii="Arial" w:eastAsia="黑体" w:hAnsi="Arial" w:cs="Arial"/>
                <w:sz w:val="16"/>
                <w:szCs w:val="16"/>
              </w:rPr>
              <w:t>阶段转换</w:t>
            </w:r>
          </w:p>
        </w:tc>
        <w:tc>
          <w:tcPr>
            <w:tcW w:w="107"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673"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(37,397,145.23</w:t>
            </w:r>
          </w:p>
        </w:tc>
        <w:tc>
          <w:tcPr>
            <w:tcW w:w="108" w:type="dxa"/>
            <w:tcBorders>
              <w:top w:val="nil"/>
              <w:left w:val="nil"/>
              <w:bottom w:val="nil"/>
              <w:right w:val="nil"/>
            </w:tcBorders>
            <w:shd w:val="clear" w:color="auto" w:fill="auto"/>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280"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27,610,576.25</w:t>
            </w: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3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9,786,568.98</w:t>
            </w: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3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1837" w:type="dxa"/>
            <w:tcBorders>
              <w:top w:val="nil"/>
              <w:left w:val="nil"/>
              <w:bottom w:val="nil"/>
              <w:right w:val="nil"/>
            </w:tcBorders>
            <w:shd w:val="clear" w:color="auto" w:fill="auto"/>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本期计提</w:t>
            </w:r>
            <w:r>
              <w:rPr>
                <w:rFonts w:ascii="Arial" w:eastAsia="黑体" w:hAnsi="Arial" w:cs="Arial"/>
                <w:sz w:val="16"/>
                <w:szCs w:val="16"/>
              </w:rPr>
              <w:t>(i)</w:t>
            </w:r>
          </w:p>
        </w:tc>
        <w:tc>
          <w:tcPr>
            <w:tcW w:w="107"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673"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(234,223,759.17</w:t>
            </w:r>
          </w:p>
        </w:tc>
        <w:tc>
          <w:tcPr>
            <w:tcW w:w="108" w:type="dxa"/>
            <w:tcBorders>
              <w:top w:val="nil"/>
              <w:left w:val="nil"/>
              <w:bottom w:val="nil"/>
              <w:right w:val="nil"/>
            </w:tcBorders>
            <w:shd w:val="clear" w:color="auto" w:fill="auto"/>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280"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86,254,802.27</w:t>
            </w: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3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498,766,591.03</w:t>
            </w: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3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350,797,634.13</w:t>
            </w: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1837" w:type="dxa"/>
            <w:tcBorders>
              <w:top w:val="nil"/>
              <w:left w:val="nil"/>
              <w:bottom w:val="nil"/>
              <w:right w:val="nil"/>
            </w:tcBorders>
            <w:shd w:val="clear" w:color="auto" w:fill="auto"/>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核销及转出</w:t>
            </w:r>
          </w:p>
        </w:tc>
        <w:tc>
          <w:tcPr>
            <w:tcW w:w="107"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673"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280"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3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(776,547,119.99</w:t>
            </w:r>
          </w:p>
        </w:tc>
        <w:tc>
          <w:tcPr>
            <w:tcW w:w="108" w:type="dxa"/>
            <w:tcBorders>
              <w:top w:val="nil"/>
              <w:left w:val="nil"/>
              <w:bottom w:val="nil"/>
              <w:right w:val="nil"/>
            </w:tcBorders>
            <w:shd w:val="clear" w:color="auto" w:fill="auto"/>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3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(776,547,119.99</w:t>
            </w:r>
          </w:p>
        </w:tc>
        <w:tc>
          <w:tcPr>
            <w:tcW w:w="108" w:type="dxa"/>
            <w:tcBorders>
              <w:top w:val="nil"/>
              <w:left w:val="nil"/>
              <w:bottom w:val="nil"/>
              <w:right w:val="nil"/>
            </w:tcBorders>
            <w:shd w:val="clear" w:color="auto" w:fill="auto"/>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1837" w:type="dxa"/>
            <w:tcBorders>
              <w:top w:val="nil"/>
              <w:left w:val="nil"/>
              <w:bottom w:val="nil"/>
              <w:right w:val="nil"/>
            </w:tcBorders>
            <w:shd w:val="clear" w:color="auto" w:fill="auto"/>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收回已核销贷款而转回</w:t>
            </w:r>
          </w:p>
        </w:tc>
        <w:tc>
          <w:tcPr>
            <w:tcW w:w="107"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673"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280"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3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110,716,273.76</w:t>
            </w: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3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110,716,273.76</w:t>
            </w: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1837" w:type="dxa"/>
            <w:tcBorders>
              <w:top w:val="nil"/>
              <w:left w:val="nil"/>
              <w:bottom w:val="nil"/>
              <w:right w:val="nil"/>
            </w:tcBorders>
            <w:shd w:val="clear" w:color="auto" w:fill="auto"/>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已减值贷款利息回拨</w:t>
            </w:r>
          </w:p>
        </w:tc>
        <w:tc>
          <w:tcPr>
            <w:tcW w:w="107"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673"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280"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3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(13,914,103.10</w:t>
            </w:r>
          </w:p>
        </w:tc>
        <w:tc>
          <w:tcPr>
            <w:tcW w:w="108" w:type="dxa"/>
            <w:tcBorders>
              <w:top w:val="nil"/>
              <w:left w:val="nil"/>
              <w:bottom w:val="nil"/>
              <w:right w:val="nil"/>
            </w:tcBorders>
            <w:shd w:val="clear" w:color="auto" w:fill="auto"/>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3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(13,914,103.10</w:t>
            </w:r>
          </w:p>
        </w:tc>
        <w:tc>
          <w:tcPr>
            <w:tcW w:w="108" w:type="dxa"/>
            <w:tcBorders>
              <w:top w:val="nil"/>
              <w:left w:val="nil"/>
              <w:bottom w:val="nil"/>
              <w:right w:val="nil"/>
            </w:tcBorders>
            <w:shd w:val="clear" w:color="auto" w:fill="auto"/>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1837" w:type="dxa"/>
            <w:tcBorders>
              <w:top w:val="nil"/>
              <w:left w:val="nil"/>
              <w:bottom w:val="nil"/>
              <w:right w:val="nil"/>
            </w:tcBorders>
            <w:shd w:val="clear" w:color="auto" w:fill="auto"/>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其他</w:t>
            </w:r>
          </w:p>
        </w:tc>
        <w:tc>
          <w:tcPr>
            <w:tcW w:w="107"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673"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4,348,876.51</w:t>
            </w: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280"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39"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34"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4,348,876.51</w:t>
            </w: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1837" w:type="dxa"/>
            <w:tcBorders>
              <w:top w:val="nil"/>
              <w:left w:val="nil"/>
              <w:bottom w:val="nil"/>
              <w:right w:val="nil"/>
            </w:tcBorders>
            <w:shd w:val="clear" w:color="auto" w:fill="auto"/>
            <w:vAlign w:val="bottom"/>
          </w:tcPr>
          <w:p w:rsidR="00AD5BB5" w:rsidRDefault="00AD5BB5">
            <w:pPr>
              <w:autoSpaceDE w:val="0"/>
              <w:autoSpaceDN w:val="0"/>
              <w:ind w:left="240" w:hangingChars="150" w:hanging="240"/>
              <w:rPr>
                <w:rFonts w:ascii="Arial" w:eastAsia="黑体" w:hAnsi="Arial" w:cs="Arial"/>
                <w:sz w:val="16"/>
                <w:szCs w:val="16"/>
              </w:rPr>
            </w:pPr>
          </w:p>
        </w:tc>
        <w:tc>
          <w:tcPr>
            <w:tcW w:w="107"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673"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280"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39"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34"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1837" w:type="dxa"/>
            <w:tcBorders>
              <w:top w:val="nil"/>
              <w:left w:val="nil"/>
              <w:bottom w:val="nil"/>
              <w:right w:val="nil"/>
            </w:tcBorders>
            <w:shd w:val="clear" w:color="auto" w:fill="auto"/>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期末余额</w:t>
            </w:r>
          </w:p>
        </w:tc>
        <w:tc>
          <w:tcPr>
            <w:tcW w:w="107"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673" w:type="dxa"/>
            <w:tcBorders>
              <w:top w:val="nil"/>
              <w:left w:val="nil"/>
              <w:bottom w:val="doub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4,542,656,564.08</w:t>
            </w: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280" w:type="dxa"/>
            <w:tcBorders>
              <w:top w:val="nil"/>
              <w:left w:val="nil"/>
              <w:bottom w:val="doub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558,033,243.28</w:t>
            </w: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39" w:type="dxa"/>
            <w:tcBorders>
              <w:top w:val="nil"/>
              <w:left w:val="nil"/>
              <w:bottom w:val="doub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1,209,269,026.53</w:t>
            </w: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34" w:type="dxa"/>
            <w:tcBorders>
              <w:top w:val="nil"/>
              <w:left w:val="nil"/>
              <w:bottom w:val="doub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6,309,958,833.89</w:t>
            </w:r>
          </w:p>
        </w:tc>
        <w:tc>
          <w:tcPr>
            <w:tcW w:w="10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bl>
    <w:p w:rsidR="00AD5BB5" w:rsidRDefault="00AD5BB5">
      <w:pPr>
        <w:overflowPunct w:val="0"/>
        <w:autoSpaceDE w:val="0"/>
        <w:autoSpaceDN w:val="0"/>
        <w:rPr>
          <w:rFonts w:ascii="Arial" w:eastAsia="黑体" w:hAnsi="Arial" w:cs="Arial"/>
          <w:szCs w:val="21"/>
        </w:rPr>
      </w:pPr>
    </w:p>
    <w:tbl>
      <w:tblPr>
        <w:tblW w:w="0" w:type="auto"/>
        <w:tblLayout w:type="fixed"/>
        <w:tblCellMar>
          <w:left w:w="0" w:type="dxa"/>
          <w:right w:w="0" w:type="dxa"/>
        </w:tblCellMar>
        <w:tblLook w:val="04A0" w:firstRow="1" w:lastRow="0" w:firstColumn="1" w:lastColumn="0" w:noHBand="0" w:noVBand="1"/>
        <w:tblCaption w:val="41e8ee00-7d21-4f21-9ed3-e7294abf02c7"/>
        <w:tblDescription w:val="{&quot;UUID&quot;:&quot;afsaddin_tabledata_2_56437_41e8ee00-7d21-4f21-9ed3-e7294abf02c7&quot;,&quot;TitleRowCount&quot;:4,&quot;SplitedTable&quot;:false,&quot;FirstTableId&quot;:&quot;41e8ee00-7d21-4f21-9ed3-e7294abf02c7&quot;}"/>
      </w:tblPr>
      <w:tblGrid>
        <w:gridCol w:w="1837"/>
        <w:gridCol w:w="107"/>
        <w:gridCol w:w="1673"/>
        <w:gridCol w:w="108"/>
        <w:gridCol w:w="108"/>
        <w:gridCol w:w="1280"/>
        <w:gridCol w:w="108"/>
        <w:gridCol w:w="108"/>
        <w:gridCol w:w="1339"/>
        <w:gridCol w:w="108"/>
        <w:gridCol w:w="108"/>
        <w:gridCol w:w="1434"/>
        <w:gridCol w:w="108"/>
      </w:tblGrid>
      <w:tr w:rsidR="00AD5BB5">
        <w:tc>
          <w:tcPr>
            <w:tcW w:w="1837"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6374" w:type="dxa"/>
            <w:gridSpan w:val="10"/>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fldChar w:fldCharType="begin"/>
            </w:r>
            <w:r>
              <w:rPr>
                <w:rFonts w:ascii="Arial" w:eastAsia="黑体" w:hAnsi="Arial" w:cs="Arial"/>
                <w:sz w:val="16"/>
                <w:szCs w:val="16"/>
              </w:rPr>
              <w:instrText xml:space="preserve"> DOCPROPERTY </w:instrText>
            </w:r>
            <w:r>
              <w:rPr>
                <w:rFonts w:ascii="Arial" w:eastAsia="黑体" w:hAnsi="Arial" w:cs="Arial"/>
                <w:sz w:val="16"/>
                <w:szCs w:val="16"/>
              </w:rPr>
              <w:instrText>自定义</w:instrText>
            </w:r>
            <w:r>
              <w:rPr>
                <w:rFonts w:ascii="Arial" w:eastAsia="黑体" w:hAnsi="Arial" w:cs="Arial"/>
                <w:sz w:val="16"/>
                <w:szCs w:val="16"/>
              </w:rPr>
              <w:instrText xml:space="preserve">3 </w:instrText>
            </w:r>
            <w:r>
              <w:rPr>
                <w:rFonts w:ascii="Arial" w:eastAsia="黑体" w:hAnsi="Arial" w:cs="Arial"/>
                <w:sz w:val="16"/>
                <w:szCs w:val="16"/>
              </w:rPr>
              <w:fldChar w:fldCharType="separate"/>
            </w:r>
            <w:r>
              <w:rPr>
                <w:rFonts w:ascii="Arial" w:eastAsia="黑体" w:hAnsi="Arial" w:cs="Arial"/>
                <w:sz w:val="16"/>
                <w:szCs w:val="16"/>
              </w:rPr>
              <w:t>2022</w:t>
            </w:r>
            <w:r>
              <w:rPr>
                <w:rFonts w:ascii="Arial" w:eastAsia="黑体" w:hAnsi="Arial" w:cs="Arial"/>
                <w:sz w:val="16"/>
                <w:szCs w:val="16"/>
              </w:rPr>
              <w:t>年度</w:t>
            </w:r>
            <w:r>
              <w:rPr>
                <w:rFonts w:ascii="Arial" w:eastAsia="黑体" w:hAnsi="Arial" w:cs="Arial"/>
                <w:sz w:val="16"/>
                <w:szCs w:val="16"/>
              </w:rPr>
              <w:fldChar w:fldCharType="end"/>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837"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73" w:type="dxa"/>
            <w:tcBorders>
              <w:top w:val="single" w:sz="4" w:space="0" w:color="auto"/>
              <w:left w:val="nil"/>
              <w:bottom w:val="single" w:sz="4" w:space="0" w:color="auto"/>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12</w:t>
            </w:r>
            <w:r>
              <w:rPr>
                <w:rFonts w:ascii="Arial" w:eastAsia="黑体" w:hAnsi="Arial" w:cs="Arial"/>
                <w:sz w:val="16"/>
                <w:szCs w:val="16"/>
              </w:rPr>
              <w:t>个月预期信用损失</w:t>
            </w:r>
          </w:p>
        </w:tc>
        <w:tc>
          <w:tcPr>
            <w:tcW w:w="108"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8"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2835" w:type="dxa"/>
            <w:gridSpan w:val="4"/>
            <w:tcBorders>
              <w:top w:val="single" w:sz="4" w:space="0" w:color="auto"/>
              <w:left w:val="nil"/>
              <w:bottom w:val="single" w:sz="4" w:space="0" w:color="auto"/>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整个存续期预期信用损失</w:t>
            </w:r>
          </w:p>
        </w:tc>
        <w:tc>
          <w:tcPr>
            <w:tcW w:w="108"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34"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r>
      <w:tr w:rsidR="00AD5BB5">
        <w:tc>
          <w:tcPr>
            <w:tcW w:w="1837"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73"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阶段</w:t>
            </w:r>
            <w:proofErr w:type="gramStart"/>
            <w:r>
              <w:rPr>
                <w:rFonts w:ascii="Arial" w:eastAsia="黑体" w:hAnsi="Arial" w:cs="Arial"/>
                <w:sz w:val="16"/>
                <w:szCs w:val="16"/>
              </w:rPr>
              <w:t>一</w:t>
            </w:r>
            <w:proofErr w:type="gramEnd"/>
          </w:p>
        </w:tc>
        <w:tc>
          <w:tcPr>
            <w:tcW w:w="108"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280"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阶段二</w:t>
            </w:r>
          </w:p>
        </w:tc>
        <w:tc>
          <w:tcPr>
            <w:tcW w:w="108"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8"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339"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阶段三</w:t>
            </w:r>
          </w:p>
        </w:tc>
        <w:tc>
          <w:tcPr>
            <w:tcW w:w="108"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434"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合计</w:t>
            </w:r>
          </w:p>
        </w:tc>
        <w:tc>
          <w:tcPr>
            <w:tcW w:w="108"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r>
      <w:tr w:rsidR="00AD5BB5">
        <w:tc>
          <w:tcPr>
            <w:tcW w:w="1837"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7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28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33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43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r>
      <w:tr w:rsidR="00AD5BB5">
        <w:tc>
          <w:tcPr>
            <w:tcW w:w="1837"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fldChar w:fldCharType="begin"/>
            </w:r>
            <w:r>
              <w:rPr>
                <w:rFonts w:ascii="Arial" w:eastAsia="黑体" w:hAnsi="Arial" w:cs="Arial"/>
                <w:sz w:val="16"/>
                <w:szCs w:val="16"/>
              </w:rPr>
              <w:instrText xml:space="preserve"> DOCPROPERTY </w:instrText>
            </w:r>
            <w:r>
              <w:rPr>
                <w:rFonts w:ascii="Arial" w:eastAsia="黑体" w:hAnsi="Arial" w:cs="Arial"/>
                <w:sz w:val="16"/>
                <w:szCs w:val="16"/>
              </w:rPr>
              <w:instrText>对比会计期间</w:instrText>
            </w:r>
            <w:r>
              <w:rPr>
                <w:rFonts w:ascii="Arial" w:eastAsia="黑体" w:hAnsi="Arial" w:cs="Arial"/>
                <w:sz w:val="16"/>
                <w:szCs w:val="16"/>
              </w:rPr>
              <w:instrText xml:space="preserve"> </w:instrText>
            </w:r>
            <w:r>
              <w:rPr>
                <w:rFonts w:ascii="Arial" w:eastAsia="黑体" w:hAnsi="Arial" w:cs="Arial"/>
                <w:sz w:val="16"/>
                <w:szCs w:val="16"/>
              </w:rPr>
              <w:fldChar w:fldCharType="separate"/>
            </w:r>
            <w:r>
              <w:rPr>
                <w:rFonts w:ascii="Arial" w:eastAsia="黑体" w:hAnsi="Arial" w:cs="Arial"/>
                <w:sz w:val="16"/>
                <w:szCs w:val="16"/>
              </w:rPr>
              <w:t>2022</w:t>
            </w:r>
            <w:r>
              <w:rPr>
                <w:rFonts w:ascii="Arial" w:eastAsia="黑体" w:hAnsi="Arial" w:cs="Arial"/>
                <w:sz w:val="16"/>
                <w:szCs w:val="16"/>
              </w:rPr>
              <w:fldChar w:fldCharType="end"/>
            </w:r>
            <w:r>
              <w:rPr>
                <w:rFonts w:ascii="Arial" w:eastAsia="黑体" w:hAnsi="Arial" w:cs="Arial"/>
                <w:sz w:val="16"/>
                <w:szCs w:val="16"/>
              </w:rPr>
              <w:t>年</w:t>
            </w:r>
            <w:r>
              <w:rPr>
                <w:rFonts w:ascii="Arial" w:eastAsia="黑体" w:hAnsi="Arial" w:cs="Arial"/>
                <w:sz w:val="16"/>
                <w:szCs w:val="16"/>
              </w:rPr>
              <w:t>1</w:t>
            </w:r>
            <w:r>
              <w:rPr>
                <w:rFonts w:ascii="Arial" w:eastAsia="黑体" w:hAnsi="Arial" w:cs="Arial"/>
                <w:sz w:val="16"/>
                <w:szCs w:val="16"/>
              </w:rPr>
              <w:t>月</w:t>
            </w:r>
            <w:r>
              <w:rPr>
                <w:rFonts w:ascii="Arial" w:eastAsia="黑体" w:hAnsi="Arial" w:cs="Arial"/>
                <w:sz w:val="16"/>
                <w:szCs w:val="16"/>
              </w:rPr>
              <w:t>1</w:t>
            </w:r>
            <w:r>
              <w:rPr>
                <w:rFonts w:ascii="Arial" w:eastAsia="黑体" w:hAnsi="Arial" w:cs="Arial"/>
                <w:sz w:val="16"/>
                <w:szCs w:val="16"/>
              </w:rPr>
              <w:t>日</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7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4,653,367,356.51</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8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284,807,201.13</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920,549,813.63</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5,858,724,371.27</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837"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7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8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3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837"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年初余额在本年</w:t>
            </w:r>
          </w:p>
          <w:p w:rsidR="00AD5BB5" w:rsidRDefault="00F87FF6">
            <w:pPr>
              <w:autoSpaceDE w:val="0"/>
              <w:autoSpaceDN w:val="0"/>
              <w:ind w:left="320" w:hangingChars="200" w:hanging="320"/>
              <w:rPr>
                <w:rFonts w:ascii="Arial" w:eastAsia="黑体" w:hAnsi="Arial" w:cs="Arial"/>
                <w:sz w:val="16"/>
                <w:szCs w:val="16"/>
              </w:rPr>
            </w:pPr>
            <w:r>
              <w:rPr>
                <w:rFonts w:ascii="Arial" w:eastAsia="黑体" w:hAnsi="Arial" w:cs="Arial"/>
                <w:sz w:val="16"/>
                <w:szCs w:val="16"/>
              </w:rPr>
              <w:t xml:space="preserve">  </w:t>
            </w:r>
            <w:r>
              <w:rPr>
                <w:rFonts w:ascii="Arial" w:eastAsia="黑体" w:hAnsi="Arial" w:cs="Arial"/>
                <w:sz w:val="16"/>
                <w:szCs w:val="16"/>
              </w:rPr>
              <w:t>阶段转换</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7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(83,455,272.02</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8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(18,943,519.08</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102,398,791.10</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837"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本年计提</w:t>
            </w:r>
            <w:r>
              <w:rPr>
                <w:rFonts w:ascii="Arial" w:eastAsia="黑体" w:hAnsi="Arial" w:cs="Arial"/>
                <w:sz w:val="16"/>
                <w:szCs w:val="16"/>
              </w:rPr>
              <w:t>(i)</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7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221,367,374.54</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8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178,304,182.71</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959,736,675.73</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1,359,408,232.98</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837"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核销及转出</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7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8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(793,984,451.69</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(793,984,451.69</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1837"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收回已核销贷款而转回</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7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8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224,384,991.78</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224,384,991.78</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837"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已减值贷款利息回拨</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7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8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(32,625,004.70</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(32,625,004.70</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1837"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其他</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7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18,649,132.94</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8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3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18,649,132.94</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837"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7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8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3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837"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年末余额</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7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4,809,928,591.97</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80"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444,167,864.76</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1,380,460,815.85</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3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6,634,557,272.58</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bl>
    <w:p w:rsidR="00AD5BB5" w:rsidRDefault="00AD5BB5">
      <w:pPr>
        <w:overflowPunct w:val="0"/>
        <w:autoSpaceDE w:val="0"/>
        <w:autoSpaceDN w:val="0"/>
        <w:rPr>
          <w:rFonts w:ascii="Arial" w:eastAsia="黑体" w:hAnsi="Arial" w:cs="Arial"/>
          <w:szCs w:val="21"/>
        </w:rPr>
      </w:pPr>
    </w:p>
    <w:p w:rsidR="00AD5BB5" w:rsidRDefault="00F87FF6">
      <w:pPr>
        <w:overflowPunct w:val="0"/>
        <w:autoSpaceDE w:val="0"/>
        <w:autoSpaceDN w:val="0"/>
        <w:adjustRightInd w:val="0"/>
        <w:snapToGrid w:val="0"/>
        <w:ind w:leftChars="-6" w:left="182" w:hangingChars="93" w:hanging="195"/>
        <w:textAlignment w:val="bottom"/>
        <w:rPr>
          <w:rFonts w:ascii="Arial" w:eastAsia="黑体" w:hAnsi="Arial" w:cs="Arial"/>
          <w:szCs w:val="21"/>
        </w:rPr>
      </w:pPr>
      <w:r>
        <w:rPr>
          <w:rFonts w:ascii="Arial" w:eastAsia="黑体" w:hAnsi="Arial" w:cs="Arial"/>
          <w:szCs w:val="21"/>
        </w:rPr>
        <w:t>(i)</w:t>
      </w:r>
      <w:r>
        <w:rPr>
          <w:rFonts w:ascii="Arial" w:eastAsia="黑体" w:hAnsi="Arial" w:cs="Arial"/>
          <w:szCs w:val="21"/>
        </w:rPr>
        <w:t>本期计提包括新发放贷款、未发生阶段转换存量贷款、模型</w:t>
      </w:r>
      <w:r>
        <w:rPr>
          <w:rFonts w:ascii="Arial" w:eastAsia="黑体" w:hAnsi="Arial" w:cs="Arial"/>
          <w:szCs w:val="21"/>
        </w:rPr>
        <w:t>/</w:t>
      </w:r>
      <w:r>
        <w:rPr>
          <w:rFonts w:ascii="Arial" w:eastAsia="黑体" w:hAnsi="Arial" w:cs="Arial"/>
          <w:szCs w:val="21"/>
        </w:rPr>
        <w:t>风险参数调整等导致的计提。</w:t>
      </w:r>
    </w:p>
    <w:p w:rsidR="00AD5BB5" w:rsidRDefault="00AD5BB5">
      <w:pPr>
        <w:overflowPunct w:val="0"/>
        <w:autoSpaceDE w:val="0"/>
        <w:autoSpaceDN w:val="0"/>
        <w:rPr>
          <w:rFonts w:ascii="Arial" w:eastAsia="黑体" w:hAnsi="Arial" w:cs="Arial"/>
          <w:szCs w:val="21"/>
        </w:rPr>
      </w:pPr>
    </w:p>
    <w:p w:rsidR="00AD5BB5" w:rsidRDefault="00F87FF6">
      <w:pPr>
        <w:pStyle w:val="aff2"/>
        <w:numPr>
          <w:ilvl w:val="0"/>
          <w:numId w:val="32"/>
        </w:numPr>
        <w:overflowPunct w:val="0"/>
        <w:autoSpaceDE w:val="0"/>
        <w:autoSpaceDN w:val="0"/>
        <w:adjustRightInd w:val="0"/>
        <w:snapToGrid w:val="0"/>
        <w:ind w:left="720" w:firstLine="420"/>
        <w:textAlignment w:val="bottom"/>
        <w:outlineLvl w:val="4"/>
        <w:rPr>
          <w:rFonts w:ascii="Arial" w:eastAsia="黑体" w:hAnsi="Arial" w:cs="Arial"/>
          <w:bCs/>
          <w:szCs w:val="21"/>
          <w:lang w:val="en-GB"/>
        </w:rPr>
      </w:pPr>
      <w:bookmarkStart w:id="104" w:name="afsaddin_Section_1a5491c57adc438a803ba72"/>
      <w:r>
        <w:rPr>
          <w:rFonts w:ascii="Arial" w:eastAsia="黑体" w:hAnsi="Arial" w:cs="Arial"/>
          <w:bCs/>
          <w:szCs w:val="21"/>
          <w:lang w:val="en-GB"/>
        </w:rPr>
        <w:t>以公允价值计量且其变动计入其他综合收益的发放贷款及垫款：</w:t>
      </w:r>
    </w:p>
    <w:bookmarkEnd w:id="104"/>
    <w:p w:rsidR="00AD5BB5" w:rsidRDefault="00AD5BB5">
      <w:pPr>
        <w:overflowPunct w:val="0"/>
        <w:autoSpaceDE w:val="0"/>
        <w:autoSpaceDN w:val="0"/>
        <w:rPr>
          <w:rFonts w:ascii="Arial" w:eastAsia="黑体" w:hAnsi="Arial" w:cs="Arial"/>
          <w:lang w:val="en-GB"/>
        </w:rPr>
      </w:pPr>
    </w:p>
    <w:tbl>
      <w:tblPr>
        <w:tblW w:w="0" w:type="auto"/>
        <w:tblLayout w:type="fixed"/>
        <w:tblCellMar>
          <w:left w:w="0" w:type="dxa"/>
          <w:right w:w="0" w:type="dxa"/>
        </w:tblCellMar>
        <w:tblLook w:val="04A0" w:firstRow="1" w:lastRow="0" w:firstColumn="1" w:lastColumn="0" w:noHBand="0" w:noVBand="1"/>
        <w:tblCaption w:val="0cf2c689-328f-4148-a511-88415b8e58e3"/>
        <w:tblDescription w:val="{&quot;UUID&quot;:&quot;afsaddin_tabledata_2_56437_0cf2c689-328f-4148-a511-88415b8e58e3&quot;,&quot;TitleRowCount&quot;:4,&quot;SplitedTable&quot;:false,&quot;FirstTableId&quot;:&quot;0cf2c689-328f-4148-a511-88415b8e58e3&quot;}"/>
      </w:tblPr>
      <w:tblGrid>
        <w:gridCol w:w="1468"/>
        <w:gridCol w:w="105"/>
        <w:gridCol w:w="2111"/>
        <w:gridCol w:w="105"/>
        <w:gridCol w:w="105"/>
        <w:gridCol w:w="1260"/>
        <w:gridCol w:w="106"/>
        <w:gridCol w:w="106"/>
        <w:gridCol w:w="1260"/>
        <w:gridCol w:w="106"/>
        <w:gridCol w:w="106"/>
        <w:gridCol w:w="1482"/>
        <w:gridCol w:w="106"/>
      </w:tblGrid>
      <w:tr w:rsidR="00AD5BB5">
        <w:tc>
          <w:tcPr>
            <w:tcW w:w="1468" w:type="dxa"/>
            <w:tcBorders>
              <w:top w:val="nil"/>
              <w:left w:val="nil"/>
              <w:bottom w:val="nil"/>
              <w:right w:val="nil"/>
            </w:tcBorders>
            <w:shd w:val="clear" w:color="auto" w:fill="auto"/>
            <w:vAlign w:val="bottom"/>
          </w:tcPr>
          <w:p w:rsidR="00AD5BB5" w:rsidRDefault="00AD5BB5">
            <w:pPr>
              <w:autoSpaceDE w:val="0"/>
              <w:autoSpaceDN w:val="0"/>
              <w:ind w:left="240" w:hangingChars="150" w:hanging="240"/>
              <w:rPr>
                <w:rFonts w:ascii="Arial" w:eastAsia="黑体" w:hAnsi="Arial" w:cs="Arial"/>
                <w:sz w:val="16"/>
                <w:szCs w:val="16"/>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6747" w:type="dxa"/>
            <w:gridSpan w:val="10"/>
            <w:tcBorders>
              <w:top w:val="nil"/>
              <w:left w:val="nil"/>
              <w:bottom w:val="single" w:sz="4" w:space="0" w:color="auto"/>
              <w:right w:val="nil"/>
            </w:tcBorders>
            <w:shd w:val="clear" w:color="auto" w:fill="auto"/>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fldChar w:fldCharType="begin"/>
            </w:r>
            <w:r>
              <w:rPr>
                <w:rFonts w:ascii="Arial" w:eastAsia="黑体" w:hAnsi="Arial" w:cs="Arial"/>
                <w:sz w:val="16"/>
                <w:szCs w:val="16"/>
              </w:rPr>
              <w:instrText xml:space="preserve"> DOCPROPERTY </w:instrText>
            </w:r>
            <w:r>
              <w:rPr>
                <w:rFonts w:ascii="Arial" w:eastAsia="黑体" w:hAnsi="Arial" w:cs="Arial"/>
                <w:sz w:val="16"/>
                <w:szCs w:val="16"/>
              </w:rPr>
              <w:instrText>自定义</w:instrText>
            </w:r>
            <w:r>
              <w:rPr>
                <w:rFonts w:ascii="Arial" w:eastAsia="黑体" w:hAnsi="Arial" w:cs="Arial"/>
                <w:sz w:val="16"/>
                <w:szCs w:val="16"/>
              </w:rPr>
              <w:instrText xml:space="preserve">1 </w:instrText>
            </w:r>
            <w:r>
              <w:rPr>
                <w:rFonts w:ascii="Arial" w:eastAsia="黑体" w:hAnsi="Arial" w:cs="Arial"/>
                <w:sz w:val="16"/>
                <w:szCs w:val="16"/>
              </w:rPr>
              <w:fldChar w:fldCharType="separate"/>
            </w:r>
            <w:r>
              <w:rPr>
                <w:rFonts w:ascii="Arial" w:eastAsia="黑体" w:hAnsi="Arial" w:cs="Arial"/>
                <w:sz w:val="16"/>
                <w:szCs w:val="16"/>
              </w:rPr>
              <w:t>2023</w:t>
            </w:r>
            <w:r>
              <w:rPr>
                <w:rFonts w:ascii="Arial" w:eastAsia="黑体" w:hAnsi="Arial" w:cs="Arial"/>
                <w:sz w:val="16"/>
                <w:szCs w:val="16"/>
              </w:rPr>
              <w:t>年</w:t>
            </w:r>
            <w:r>
              <w:rPr>
                <w:rFonts w:ascii="Arial" w:eastAsia="黑体" w:hAnsi="Arial" w:cs="Arial"/>
                <w:sz w:val="16"/>
                <w:szCs w:val="16"/>
              </w:rPr>
              <w:t>1-6</w:t>
            </w:r>
            <w:r>
              <w:rPr>
                <w:rFonts w:ascii="Arial" w:eastAsia="黑体" w:hAnsi="Arial" w:cs="Arial"/>
                <w:sz w:val="16"/>
                <w:szCs w:val="16"/>
              </w:rPr>
              <w:t>月</w:t>
            </w:r>
            <w:r>
              <w:rPr>
                <w:rFonts w:ascii="Arial" w:eastAsia="黑体" w:hAnsi="Arial" w:cs="Arial"/>
                <w:sz w:val="16"/>
                <w:szCs w:val="16"/>
              </w:rPr>
              <w:fldChar w:fldCharType="end"/>
            </w: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1468" w:type="dxa"/>
            <w:tcBorders>
              <w:top w:val="nil"/>
              <w:left w:val="nil"/>
              <w:bottom w:val="nil"/>
              <w:right w:val="nil"/>
            </w:tcBorders>
            <w:shd w:val="clear" w:color="auto" w:fill="auto"/>
            <w:vAlign w:val="bottom"/>
          </w:tcPr>
          <w:p w:rsidR="00AD5BB5" w:rsidRDefault="00AD5BB5">
            <w:pPr>
              <w:autoSpaceDE w:val="0"/>
              <w:autoSpaceDN w:val="0"/>
              <w:ind w:left="240" w:hangingChars="150" w:hanging="240"/>
              <w:rPr>
                <w:rFonts w:ascii="Arial" w:eastAsia="黑体" w:hAnsi="Arial" w:cs="Arial"/>
                <w:sz w:val="16"/>
                <w:szCs w:val="16"/>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2111" w:type="dxa"/>
            <w:tcBorders>
              <w:top w:val="single" w:sz="4" w:space="0" w:color="auto"/>
              <w:left w:val="nil"/>
              <w:bottom w:val="single" w:sz="4" w:space="0" w:color="auto"/>
              <w:right w:val="nil"/>
            </w:tcBorders>
            <w:shd w:val="clear" w:color="auto" w:fill="auto"/>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12</w:t>
            </w:r>
            <w:r>
              <w:rPr>
                <w:rFonts w:ascii="Arial" w:eastAsia="黑体" w:hAnsi="Arial" w:cs="Arial"/>
                <w:sz w:val="16"/>
                <w:szCs w:val="16"/>
              </w:rPr>
              <w:t>个月预期信用损失</w:t>
            </w:r>
          </w:p>
        </w:tc>
        <w:tc>
          <w:tcPr>
            <w:tcW w:w="105" w:type="dxa"/>
            <w:tcBorders>
              <w:top w:val="single" w:sz="4" w:space="0" w:color="auto"/>
              <w:left w:val="nil"/>
              <w:bottom w:val="nil"/>
              <w:right w:val="nil"/>
            </w:tcBorders>
            <w:shd w:val="clear" w:color="auto" w:fill="auto"/>
            <w:vAlign w:val="bottom"/>
          </w:tcPr>
          <w:p w:rsidR="00AD5BB5" w:rsidRDefault="00AD5BB5">
            <w:pPr>
              <w:autoSpaceDE w:val="0"/>
              <w:autoSpaceDN w:val="0"/>
              <w:jc w:val="center"/>
              <w:rPr>
                <w:rFonts w:ascii="Arial" w:eastAsia="黑体" w:hAnsi="Arial" w:cs="Arial"/>
                <w:sz w:val="16"/>
                <w:szCs w:val="16"/>
              </w:rPr>
            </w:pPr>
          </w:p>
        </w:tc>
        <w:tc>
          <w:tcPr>
            <w:tcW w:w="105" w:type="dxa"/>
            <w:tcBorders>
              <w:top w:val="single" w:sz="4" w:space="0" w:color="auto"/>
              <w:left w:val="nil"/>
              <w:bottom w:val="nil"/>
              <w:right w:val="nil"/>
            </w:tcBorders>
            <w:shd w:val="clear" w:color="auto" w:fill="auto"/>
            <w:vAlign w:val="bottom"/>
          </w:tcPr>
          <w:p w:rsidR="00AD5BB5" w:rsidRDefault="00AD5BB5">
            <w:pPr>
              <w:autoSpaceDE w:val="0"/>
              <w:autoSpaceDN w:val="0"/>
              <w:jc w:val="center"/>
              <w:rPr>
                <w:rFonts w:ascii="Arial" w:eastAsia="黑体" w:hAnsi="Arial" w:cs="Arial"/>
                <w:sz w:val="16"/>
                <w:szCs w:val="16"/>
              </w:rPr>
            </w:pPr>
          </w:p>
        </w:tc>
        <w:tc>
          <w:tcPr>
            <w:tcW w:w="2732" w:type="dxa"/>
            <w:gridSpan w:val="4"/>
            <w:tcBorders>
              <w:top w:val="single" w:sz="4" w:space="0" w:color="auto"/>
              <w:left w:val="nil"/>
              <w:bottom w:val="single" w:sz="4" w:space="0" w:color="auto"/>
              <w:right w:val="nil"/>
            </w:tcBorders>
            <w:shd w:val="clear" w:color="auto" w:fill="auto"/>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整个存续期预期信用损失</w:t>
            </w:r>
          </w:p>
        </w:tc>
        <w:tc>
          <w:tcPr>
            <w:tcW w:w="106" w:type="dxa"/>
            <w:tcBorders>
              <w:top w:val="single" w:sz="4" w:space="0" w:color="auto"/>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6" w:type="dxa"/>
            <w:tcBorders>
              <w:top w:val="single" w:sz="4" w:space="0" w:color="auto"/>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82" w:type="dxa"/>
            <w:tcBorders>
              <w:top w:val="single" w:sz="4" w:space="0" w:color="auto"/>
              <w:left w:val="nil"/>
              <w:bottom w:val="nil"/>
              <w:right w:val="nil"/>
            </w:tcBorders>
            <w:shd w:val="clear" w:color="auto" w:fill="auto"/>
            <w:vAlign w:val="bottom"/>
          </w:tcPr>
          <w:p w:rsidR="00AD5BB5" w:rsidRDefault="00AD5BB5">
            <w:pPr>
              <w:autoSpaceDE w:val="0"/>
              <w:autoSpaceDN w:val="0"/>
              <w:jc w:val="center"/>
              <w:rPr>
                <w:rFonts w:ascii="Arial" w:eastAsia="黑体" w:hAnsi="Arial" w:cs="Arial"/>
                <w:sz w:val="16"/>
                <w:szCs w:val="16"/>
              </w:rPr>
            </w:pPr>
          </w:p>
        </w:tc>
        <w:tc>
          <w:tcPr>
            <w:tcW w:w="106" w:type="dxa"/>
            <w:tcBorders>
              <w:top w:val="nil"/>
              <w:left w:val="nil"/>
              <w:bottom w:val="nil"/>
              <w:right w:val="nil"/>
            </w:tcBorders>
            <w:shd w:val="clear" w:color="auto" w:fill="auto"/>
            <w:vAlign w:val="bottom"/>
          </w:tcPr>
          <w:p w:rsidR="00AD5BB5" w:rsidRDefault="00AD5BB5">
            <w:pPr>
              <w:autoSpaceDE w:val="0"/>
              <w:autoSpaceDN w:val="0"/>
              <w:jc w:val="center"/>
              <w:rPr>
                <w:rFonts w:ascii="Arial" w:eastAsia="黑体" w:hAnsi="Arial" w:cs="Arial"/>
                <w:sz w:val="16"/>
                <w:szCs w:val="16"/>
              </w:rPr>
            </w:pPr>
          </w:p>
        </w:tc>
      </w:tr>
      <w:tr w:rsidR="00AD5BB5">
        <w:tc>
          <w:tcPr>
            <w:tcW w:w="1468" w:type="dxa"/>
            <w:tcBorders>
              <w:top w:val="nil"/>
              <w:left w:val="nil"/>
              <w:bottom w:val="nil"/>
              <w:right w:val="nil"/>
            </w:tcBorders>
            <w:shd w:val="clear" w:color="auto" w:fill="auto"/>
            <w:vAlign w:val="bottom"/>
          </w:tcPr>
          <w:p w:rsidR="00AD5BB5" w:rsidRDefault="00AD5BB5">
            <w:pPr>
              <w:autoSpaceDE w:val="0"/>
              <w:autoSpaceDN w:val="0"/>
              <w:ind w:left="240" w:hangingChars="150" w:hanging="240"/>
              <w:rPr>
                <w:rFonts w:ascii="Arial" w:eastAsia="黑体" w:hAnsi="Arial" w:cs="Arial"/>
                <w:sz w:val="16"/>
                <w:szCs w:val="16"/>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2111" w:type="dxa"/>
            <w:tcBorders>
              <w:top w:val="single" w:sz="4" w:space="0" w:color="auto"/>
              <w:left w:val="nil"/>
              <w:bottom w:val="nil"/>
              <w:right w:val="nil"/>
            </w:tcBorders>
            <w:shd w:val="clear" w:color="auto" w:fill="auto"/>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阶段</w:t>
            </w:r>
            <w:proofErr w:type="gramStart"/>
            <w:r>
              <w:rPr>
                <w:rFonts w:ascii="Arial" w:eastAsia="黑体" w:hAnsi="Arial" w:cs="Arial"/>
                <w:sz w:val="16"/>
                <w:szCs w:val="16"/>
              </w:rPr>
              <w:t>一</w:t>
            </w:r>
            <w:proofErr w:type="gramEnd"/>
          </w:p>
        </w:tc>
        <w:tc>
          <w:tcPr>
            <w:tcW w:w="105" w:type="dxa"/>
            <w:tcBorders>
              <w:top w:val="nil"/>
              <w:left w:val="nil"/>
              <w:bottom w:val="nil"/>
              <w:right w:val="nil"/>
            </w:tcBorders>
            <w:shd w:val="clear" w:color="auto" w:fill="auto"/>
            <w:vAlign w:val="bottom"/>
          </w:tcPr>
          <w:p w:rsidR="00AD5BB5" w:rsidRDefault="00AD5BB5">
            <w:pPr>
              <w:autoSpaceDE w:val="0"/>
              <w:autoSpaceDN w:val="0"/>
              <w:jc w:val="center"/>
              <w:rPr>
                <w:rFonts w:ascii="Arial" w:eastAsia="黑体" w:hAnsi="Arial" w:cs="Arial"/>
                <w:sz w:val="16"/>
                <w:szCs w:val="16"/>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center"/>
              <w:rPr>
                <w:rFonts w:ascii="Arial" w:eastAsia="黑体" w:hAnsi="Arial" w:cs="Arial"/>
                <w:sz w:val="16"/>
                <w:szCs w:val="16"/>
              </w:rPr>
            </w:pPr>
          </w:p>
        </w:tc>
        <w:tc>
          <w:tcPr>
            <w:tcW w:w="1260" w:type="dxa"/>
            <w:tcBorders>
              <w:top w:val="single" w:sz="4" w:space="0" w:color="auto"/>
              <w:left w:val="nil"/>
              <w:bottom w:val="nil"/>
              <w:right w:val="nil"/>
            </w:tcBorders>
            <w:shd w:val="clear" w:color="auto" w:fill="auto"/>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阶段二</w:t>
            </w:r>
          </w:p>
        </w:tc>
        <w:tc>
          <w:tcPr>
            <w:tcW w:w="106" w:type="dxa"/>
            <w:tcBorders>
              <w:top w:val="single" w:sz="4" w:space="0" w:color="auto"/>
              <w:left w:val="nil"/>
              <w:bottom w:val="nil"/>
              <w:right w:val="nil"/>
            </w:tcBorders>
            <w:shd w:val="clear" w:color="auto" w:fill="auto"/>
            <w:vAlign w:val="bottom"/>
          </w:tcPr>
          <w:p w:rsidR="00AD5BB5" w:rsidRDefault="00AD5BB5">
            <w:pPr>
              <w:autoSpaceDE w:val="0"/>
              <w:autoSpaceDN w:val="0"/>
              <w:jc w:val="center"/>
              <w:rPr>
                <w:rFonts w:ascii="Arial" w:eastAsia="黑体" w:hAnsi="Arial" w:cs="Arial"/>
                <w:sz w:val="16"/>
                <w:szCs w:val="16"/>
              </w:rPr>
            </w:pPr>
          </w:p>
        </w:tc>
        <w:tc>
          <w:tcPr>
            <w:tcW w:w="106" w:type="dxa"/>
            <w:tcBorders>
              <w:top w:val="single" w:sz="4" w:space="0" w:color="auto"/>
              <w:left w:val="nil"/>
              <w:bottom w:val="nil"/>
              <w:right w:val="nil"/>
            </w:tcBorders>
            <w:shd w:val="clear" w:color="auto" w:fill="auto"/>
            <w:vAlign w:val="bottom"/>
          </w:tcPr>
          <w:p w:rsidR="00AD5BB5" w:rsidRDefault="00AD5BB5">
            <w:pPr>
              <w:autoSpaceDE w:val="0"/>
              <w:autoSpaceDN w:val="0"/>
              <w:jc w:val="center"/>
              <w:rPr>
                <w:rFonts w:ascii="Arial" w:eastAsia="黑体" w:hAnsi="Arial" w:cs="Arial"/>
                <w:sz w:val="16"/>
                <w:szCs w:val="16"/>
              </w:rPr>
            </w:pPr>
          </w:p>
        </w:tc>
        <w:tc>
          <w:tcPr>
            <w:tcW w:w="1260" w:type="dxa"/>
            <w:tcBorders>
              <w:top w:val="single" w:sz="4" w:space="0" w:color="auto"/>
              <w:left w:val="nil"/>
              <w:bottom w:val="nil"/>
              <w:right w:val="nil"/>
            </w:tcBorders>
            <w:shd w:val="clear" w:color="auto" w:fill="auto"/>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阶段三</w:t>
            </w:r>
          </w:p>
        </w:tc>
        <w:tc>
          <w:tcPr>
            <w:tcW w:w="106" w:type="dxa"/>
            <w:tcBorders>
              <w:top w:val="nil"/>
              <w:left w:val="nil"/>
              <w:bottom w:val="nil"/>
              <w:right w:val="nil"/>
            </w:tcBorders>
            <w:shd w:val="clear" w:color="auto" w:fill="auto"/>
            <w:vAlign w:val="bottom"/>
          </w:tcPr>
          <w:p w:rsidR="00AD5BB5" w:rsidRDefault="00AD5BB5">
            <w:pPr>
              <w:autoSpaceDE w:val="0"/>
              <w:autoSpaceDN w:val="0"/>
              <w:jc w:val="center"/>
              <w:rPr>
                <w:rFonts w:ascii="Arial" w:eastAsia="黑体" w:hAnsi="Arial" w:cs="Arial"/>
                <w:sz w:val="16"/>
                <w:szCs w:val="16"/>
              </w:rPr>
            </w:pPr>
          </w:p>
        </w:tc>
        <w:tc>
          <w:tcPr>
            <w:tcW w:w="106" w:type="dxa"/>
            <w:tcBorders>
              <w:top w:val="nil"/>
              <w:left w:val="nil"/>
              <w:bottom w:val="nil"/>
              <w:right w:val="nil"/>
            </w:tcBorders>
            <w:shd w:val="clear" w:color="auto" w:fill="auto"/>
            <w:vAlign w:val="bottom"/>
          </w:tcPr>
          <w:p w:rsidR="00AD5BB5" w:rsidRDefault="00AD5BB5">
            <w:pPr>
              <w:autoSpaceDE w:val="0"/>
              <w:autoSpaceDN w:val="0"/>
              <w:jc w:val="center"/>
              <w:rPr>
                <w:rFonts w:ascii="Arial" w:eastAsia="黑体" w:hAnsi="Arial" w:cs="Arial"/>
                <w:sz w:val="16"/>
                <w:szCs w:val="16"/>
              </w:rPr>
            </w:pPr>
          </w:p>
        </w:tc>
        <w:tc>
          <w:tcPr>
            <w:tcW w:w="1482" w:type="dxa"/>
            <w:tcBorders>
              <w:top w:val="nil"/>
              <w:left w:val="nil"/>
              <w:bottom w:val="nil"/>
              <w:right w:val="nil"/>
            </w:tcBorders>
            <w:shd w:val="clear" w:color="auto" w:fill="auto"/>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合计</w:t>
            </w:r>
          </w:p>
        </w:tc>
        <w:tc>
          <w:tcPr>
            <w:tcW w:w="106" w:type="dxa"/>
            <w:tcBorders>
              <w:top w:val="nil"/>
              <w:left w:val="nil"/>
              <w:bottom w:val="nil"/>
              <w:right w:val="nil"/>
            </w:tcBorders>
            <w:shd w:val="clear" w:color="auto" w:fill="auto"/>
            <w:vAlign w:val="bottom"/>
          </w:tcPr>
          <w:p w:rsidR="00AD5BB5" w:rsidRDefault="00AD5BB5">
            <w:pPr>
              <w:autoSpaceDE w:val="0"/>
              <w:autoSpaceDN w:val="0"/>
              <w:jc w:val="center"/>
              <w:rPr>
                <w:rFonts w:ascii="Arial" w:eastAsia="黑体" w:hAnsi="Arial" w:cs="Arial"/>
                <w:sz w:val="16"/>
                <w:szCs w:val="16"/>
              </w:rPr>
            </w:pPr>
          </w:p>
        </w:tc>
      </w:tr>
      <w:tr w:rsidR="00AD5BB5">
        <w:tc>
          <w:tcPr>
            <w:tcW w:w="1468" w:type="dxa"/>
            <w:tcBorders>
              <w:top w:val="nil"/>
              <w:left w:val="nil"/>
              <w:bottom w:val="nil"/>
              <w:right w:val="nil"/>
            </w:tcBorders>
            <w:shd w:val="clear" w:color="auto" w:fill="auto"/>
            <w:vAlign w:val="bottom"/>
          </w:tcPr>
          <w:p w:rsidR="00AD5BB5" w:rsidRDefault="00AD5BB5">
            <w:pPr>
              <w:autoSpaceDE w:val="0"/>
              <w:autoSpaceDN w:val="0"/>
              <w:ind w:left="240" w:hangingChars="150" w:hanging="240"/>
              <w:rPr>
                <w:rFonts w:ascii="Arial" w:eastAsia="黑体" w:hAnsi="Arial" w:cs="Arial"/>
                <w:sz w:val="16"/>
                <w:szCs w:val="16"/>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211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260"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260"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482"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r>
      <w:tr w:rsidR="00AD5BB5">
        <w:tc>
          <w:tcPr>
            <w:tcW w:w="1468" w:type="dxa"/>
            <w:tcBorders>
              <w:top w:val="nil"/>
              <w:left w:val="nil"/>
              <w:bottom w:val="nil"/>
              <w:right w:val="nil"/>
            </w:tcBorders>
            <w:shd w:val="clear" w:color="auto" w:fill="auto"/>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fldChar w:fldCharType="begin"/>
            </w:r>
            <w:r>
              <w:rPr>
                <w:rFonts w:ascii="Arial" w:eastAsia="黑体" w:hAnsi="Arial" w:cs="Arial"/>
                <w:sz w:val="16"/>
                <w:szCs w:val="16"/>
              </w:rPr>
              <w:instrText xml:space="preserve"> DOCPROPERTY </w:instrText>
            </w:r>
            <w:r>
              <w:rPr>
                <w:rFonts w:ascii="Arial" w:eastAsia="黑体" w:hAnsi="Arial" w:cs="Arial"/>
                <w:sz w:val="16"/>
                <w:szCs w:val="16"/>
              </w:rPr>
              <w:instrText>当期会计期间</w:instrText>
            </w:r>
            <w:r>
              <w:rPr>
                <w:rFonts w:ascii="Arial" w:eastAsia="黑体" w:hAnsi="Arial" w:cs="Arial"/>
                <w:sz w:val="16"/>
                <w:szCs w:val="16"/>
              </w:rPr>
              <w:instrText xml:space="preserve"> </w:instrText>
            </w:r>
            <w:r>
              <w:rPr>
                <w:rFonts w:ascii="Arial" w:eastAsia="黑体" w:hAnsi="Arial" w:cs="Arial"/>
                <w:sz w:val="16"/>
                <w:szCs w:val="16"/>
              </w:rPr>
              <w:fldChar w:fldCharType="separate"/>
            </w:r>
            <w:r>
              <w:rPr>
                <w:rFonts w:ascii="Arial" w:eastAsia="黑体" w:hAnsi="Arial" w:cs="Arial"/>
                <w:sz w:val="16"/>
                <w:szCs w:val="16"/>
              </w:rPr>
              <w:t>2023</w:t>
            </w:r>
            <w:r>
              <w:rPr>
                <w:rFonts w:ascii="Arial" w:eastAsia="黑体" w:hAnsi="Arial" w:cs="Arial"/>
                <w:sz w:val="16"/>
                <w:szCs w:val="16"/>
              </w:rPr>
              <w:fldChar w:fldCharType="end"/>
            </w:r>
            <w:r>
              <w:rPr>
                <w:rFonts w:ascii="Arial" w:eastAsia="黑体" w:hAnsi="Arial" w:cs="Arial"/>
                <w:sz w:val="16"/>
                <w:szCs w:val="16"/>
              </w:rPr>
              <w:t>年</w:t>
            </w:r>
            <w:r>
              <w:rPr>
                <w:rFonts w:ascii="Arial" w:eastAsia="黑体" w:hAnsi="Arial" w:cs="Arial"/>
                <w:sz w:val="16"/>
                <w:szCs w:val="16"/>
              </w:rPr>
              <w:t>1</w:t>
            </w:r>
            <w:r>
              <w:rPr>
                <w:rFonts w:ascii="Arial" w:eastAsia="黑体" w:hAnsi="Arial" w:cs="Arial"/>
                <w:sz w:val="16"/>
                <w:szCs w:val="16"/>
              </w:rPr>
              <w:t>月</w:t>
            </w:r>
            <w:r>
              <w:rPr>
                <w:rFonts w:ascii="Arial" w:eastAsia="黑体" w:hAnsi="Arial" w:cs="Arial"/>
                <w:sz w:val="16"/>
                <w:szCs w:val="16"/>
              </w:rPr>
              <w:t>1</w:t>
            </w:r>
            <w:r>
              <w:rPr>
                <w:rFonts w:ascii="Arial" w:eastAsia="黑体" w:hAnsi="Arial" w:cs="Arial"/>
                <w:sz w:val="16"/>
                <w:szCs w:val="16"/>
              </w:rPr>
              <w:t>日</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211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51,370,759.82</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260"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260"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82"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51,370,759.82</w:t>
            </w: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1468" w:type="dxa"/>
            <w:tcBorders>
              <w:top w:val="nil"/>
              <w:left w:val="nil"/>
              <w:bottom w:val="nil"/>
              <w:right w:val="nil"/>
            </w:tcBorders>
            <w:shd w:val="clear" w:color="auto" w:fill="auto"/>
            <w:vAlign w:val="bottom"/>
          </w:tcPr>
          <w:p w:rsidR="00AD5BB5" w:rsidRDefault="00AD5BB5">
            <w:pPr>
              <w:autoSpaceDE w:val="0"/>
              <w:autoSpaceDN w:val="0"/>
              <w:ind w:left="240" w:hangingChars="150" w:hanging="240"/>
              <w:rPr>
                <w:rFonts w:ascii="Arial" w:eastAsia="黑体" w:hAnsi="Arial" w:cs="Arial"/>
                <w:sz w:val="16"/>
                <w:szCs w:val="16"/>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211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260"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260"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82"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1468" w:type="dxa"/>
            <w:tcBorders>
              <w:top w:val="nil"/>
              <w:left w:val="nil"/>
              <w:bottom w:val="nil"/>
              <w:right w:val="nil"/>
            </w:tcBorders>
            <w:shd w:val="clear" w:color="auto" w:fill="auto"/>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本期回拨</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2111"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(6,973,584.04</w:t>
            </w:r>
          </w:p>
        </w:tc>
        <w:tc>
          <w:tcPr>
            <w:tcW w:w="105" w:type="dxa"/>
            <w:tcBorders>
              <w:top w:val="nil"/>
              <w:left w:val="nil"/>
              <w:bottom w:val="nil"/>
              <w:right w:val="nil"/>
            </w:tcBorders>
            <w:shd w:val="clear" w:color="auto" w:fill="auto"/>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260"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260"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82"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(6,973,584.04</w:t>
            </w:r>
          </w:p>
        </w:tc>
        <w:tc>
          <w:tcPr>
            <w:tcW w:w="106" w:type="dxa"/>
            <w:tcBorders>
              <w:top w:val="nil"/>
              <w:left w:val="nil"/>
              <w:bottom w:val="nil"/>
              <w:right w:val="nil"/>
            </w:tcBorders>
            <w:shd w:val="clear" w:color="auto" w:fill="auto"/>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1468" w:type="dxa"/>
            <w:tcBorders>
              <w:top w:val="nil"/>
              <w:left w:val="nil"/>
              <w:bottom w:val="nil"/>
              <w:right w:val="nil"/>
            </w:tcBorders>
            <w:shd w:val="clear" w:color="auto" w:fill="auto"/>
            <w:vAlign w:val="bottom"/>
          </w:tcPr>
          <w:p w:rsidR="00AD5BB5" w:rsidRDefault="00AD5BB5">
            <w:pPr>
              <w:autoSpaceDE w:val="0"/>
              <w:autoSpaceDN w:val="0"/>
              <w:ind w:left="240" w:hangingChars="150" w:hanging="240"/>
              <w:rPr>
                <w:rFonts w:ascii="Arial" w:eastAsia="黑体" w:hAnsi="Arial" w:cs="Arial"/>
                <w:sz w:val="16"/>
                <w:szCs w:val="16"/>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2111"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260"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260"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82"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1468" w:type="dxa"/>
            <w:tcBorders>
              <w:top w:val="nil"/>
              <w:left w:val="nil"/>
              <w:bottom w:val="nil"/>
              <w:right w:val="nil"/>
            </w:tcBorders>
            <w:shd w:val="clear" w:color="auto" w:fill="auto"/>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期末余额</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2111" w:type="dxa"/>
            <w:tcBorders>
              <w:top w:val="nil"/>
              <w:left w:val="nil"/>
              <w:bottom w:val="doub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44,397,175.78</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260" w:type="dxa"/>
            <w:tcBorders>
              <w:top w:val="nil"/>
              <w:left w:val="nil"/>
              <w:bottom w:val="doub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260" w:type="dxa"/>
            <w:tcBorders>
              <w:top w:val="nil"/>
              <w:left w:val="nil"/>
              <w:bottom w:val="doub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82" w:type="dxa"/>
            <w:tcBorders>
              <w:top w:val="nil"/>
              <w:left w:val="nil"/>
              <w:bottom w:val="doub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44,397,175.78</w:t>
            </w: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bl>
    <w:p w:rsidR="00AD5BB5" w:rsidRDefault="00F87FF6">
      <w:pPr>
        <w:rPr>
          <w:rFonts w:ascii="Arial" w:eastAsia="黑体" w:hAnsi="Arial" w:cs="Arial"/>
          <w:szCs w:val="21"/>
          <w:lang w:val="en-GB"/>
        </w:rPr>
      </w:pPr>
      <w:r>
        <w:rPr>
          <w:rFonts w:ascii="Arial" w:eastAsia="黑体" w:hAnsi="Arial" w:cs="Arial"/>
          <w:szCs w:val="21"/>
          <w:lang w:val="en-GB"/>
        </w:rPr>
        <w:br w:type="page"/>
      </w:r>
    </w:p>
    <w:p w:rsidR="00AD5BB5" w:rsidRDefault="00AD5BB5">
      <w:pPr>
        <w:overflowPunct w:val="0"/>
        <w:autoSpaceDE w:val="0"/>
        <w:autoSpaceDN w:val="0"/>
        <w:rPr>
          <w:rFonts w:ascii="Arial" w:eastAsia="黑体" w:hAnsi="Arial" w:cs="Arial"/>
          <w:szCs w:val="21"/>
          <w:lang w:val="en-GB"/>
        </w:rPr>
      </w:pPr>
    </w:p>
    <w:p w:rsidR="00AD5BB5" w:rsidRDefault="00AD5BB5">
      <w:pPr>
        <w:overflowPunct w:val="0"/>
        <w:autoSpaceDE w:val="0"/>
        <w:autoSpaceDN w:val="0"/>
        <w:rPr>
          <w:rFonts w:ascii="Arial" w:eastAsia="黑体" w:hAnsi="Arial" w:cs="Arial"/>
          <w:szCs w:val="21"/>
          <w:lang w:val="en-GB"/>
        </w:rPr>
      </w:pPr>
    </w:p>
    <w:p w:rsidR="00AD5BB5" w:rsidRDefault="00F87FF6">
      <w:pPr>
        <w:overflowPunct w:val="0"/>
        <w:autoSpaceDE w:val="0"/>
        <w:autoSpaceDN w:val="0"/>
        <w:rPr>
          <w:rFonts w:ascii="Arial" w:eastAsia="黑体" w:hAnsi="Arial" w:cs="Arial"/>
          <w:b/>
          <w:szCs w:val="21"/>
          <w:lang w:val="en-GB"/>
        </w:rPr>
      </w:pPr>
      <w:bookmarkStart w:id="105" w:name="afsaddin_WithXu_c109f5d5672942db885365b4"/>
      <w:r>
        <w:rPr>
          <w:rFonts w:ascii="Arial" w:eastAsia="黑体" w:hAnsi="Arial" w:cs="Arial"/>
          <w:b/>
          <w:szCs w:val="21"/>
          <w:lang w:val="en-GB"/>
        </w:rPr>
        <w:t>五、</w:t>
      </w:r>
      <w:r>
        <w:rPr>
          <w:rFonts w:ascii="Arial" w:eastAsia="黑体" w:hAnsi="Arial" w:cs="Arial"/>
          <w:b/>
          <w:szCs w:val="21"/>
          <w:lang w:val="en-GB"/>
        </w:rPr>
        <w:tab/>
      </w:r>
      <w:r>
        <w:rPr>
          <w:rFonts w:ascii="Arial" w:eastAsia="黑体" w:hAnsi="Arial" w:cs="Arial"/>
          <w:b/>
          <w:szCs w:val="21"/>
          <w:lang w:val="en-GB"/>
        </w:rPr>
        <w:t>合并财务报表主要项目注释（续）</w:t>
      </w:r>
      <w:bookmarkEnd w:id="105"/>
    </w:p>
    <w:p w:rsidR="00AD5BB5" w:rsidRDefault="00AD5BB5">
      <w:pPr>
        <w:overflowPunct w:val="0"/>
        <w:autoSpaceDE w:val="0"/>
        <w:autoSpaceDN w:val="0"/>
        <w:rPr>
          <w:rFonts w:ascii="Arial" w:eastAsia="黑体" w:hAnsi="Arial" w:cs="Arial"/>
          <w:szCs w:val="21"/>
          <w:lang w:val="en-GB"/>
        </w:rPr>
      </w:pPr>
    </w:p>
    <w:p w:rsidR="00AD5BB5" w:rsidRDefault="00F87FF6">
      <w:pPr>
        <w:overflowPunct w:val="0"/>
        <w:autoSpaceDE w:val="0"/>
        <w:autoSpaceDN w:val="0"/>
        <w:ind w:left="720" w:hanging="720"/>
        <w:rPr>
          <w:rFonts w:ascii="Arial" w:eastAsia="黑体" w:hAnsi="Arial" w:cs="Arial"/>
          <w:b/>
          <w:szCs w:val="21"/>
          <w:lang w:val="en-GB"/>
        </w:rPr>
      </w:pPr>
      <w:bookmarkStart w:id="106" w:name="afsaddin_WithXu_fb7304e696c642179dcb8bd7"/>
      <w:r>
        <w:rPr>
          <w:rFonts w:ascii="Arial" w:eastAsia="黑体" w:hAnsi="Arial" w:cs="Arial"/>
          <w:b/>
          <w:szCs w:val="21"/>
          <w:lang w:val="en-GB"/>
        </w:rPr>
        <w:t>6.</w:t>
      </w:r>
      <w:r>
        <w:rPr>
          <w:rFonts w:ascii="Arial" w:eastAsia="黑体" w:hAnsi="Arial" w:cs="Arial"/>
          <w:b/>
          <w:szCs w:val="21"/>
          <w:lang w:val="en-GB"/>
        </w:rPr>
        <w:tab/>
      </w:r>
      <w:r>
        <w:rPr>
          <w:rFonts w:ascii="Arial" w:eastAsia="黑体" w:hAnsi="Arial" w:cs="Arial"/>
          <w:b/>
          <w:szCs w:val="21"/>
          <w:lang w:val="en-GB"/>
        </w:rPr>
        <w:t>发放贷款及垫款（续）</w:t>
      </w:r>
      <w:bookmarkEnd w:id="106"/>
    </w:p>
    <w:p w:rsidR="00AD5BB5" w:rsidRDefault="00AD5BB5">
      <w:pPr>
        <w:overflowPunct w:val="0"/>
        <w:autoSpaceDE w:val="0"/>
        <w:autoSpaceDN w:val="0"/>
        <w:rPr>
          <w:rFonts w:ascii="Arial" w:eastAsia="黑体" w:hAnsi="Arial" w:cs="Arial"/>
          <w:szCs w:val="21"/>
          <w:lang w:val="en-GB"/>
        </w:rPr>
      </w:pPr>
    </w:p>
    <w:p w:rsidR="00AD5BB5" w:rsidRDefault="00F87FF6">
      <w:pPr>
        <w:overflowPunct w:val="0"/>
        <w:autoSpaceDE w:val="0"/>
        <w:autoSpaceDN w:val="0"/>
        <w:ind w:left="720" w:hanging="720"/>
        <w:rPr>
          <w:rFonts w:ascii="Arial" w:eastAsia="黑体" w:hAnsi="Arial" w:cs="Arial"/>
          <w:b/>
          <w:szCs w:val="21"/>
          <w:lang w:val="en-GB"/>
        </w:rPr>
      </w:pPr>
      <w:bookmarkStart w:id="107" w:name="afsaddin_WithXu_14b39da7cbfd420e99e1e63f"/>
      <w:r>
        <w:rPr>
          <w:rFonts w:ascii="Arial" w:eastAsia="黑体" w:hAnsi="Arial" w:cs="Arial"/>
          <w:b/>
          <w:szCs w:val="21"/>
          <w:lang w:val="en-GB"/>
        </w:rPr>
        <w:t>6.4</w:t>
      </w:r>
      <w:r>
        <w:rPr>
          <w:rFonts w:ascii="Arial" w:eastAsia="黑体" w:hAnsi="Arial" w:cs="Arial"/>
          <w:b/>
          <w:szCs w:val="21"/>
          <w:lang w:val="en-GB"/>
        </w:rPr>
        <w:tab/>
      </w:r>
      <w:r>
        <w:rPr>
          <w:rFonts w:ascii="Arial" w:eastAsia="黑体" w:hAnsi="Arial" w:cs="Arial"/>
          <w:b/>
          <w:szCs w:val="21"/>
          <w:lang w:val="en-GB"/>
        </w:rPr>
        <w:t>贷款损失准备（续）</w:t>
      </w:r>
      <w:bookmarkEnd w:id="107"/>
    </w:p>
    <w:p w:rsidR="00AD5BB5" w:rsidRDefault="00AD5BB5">
      <w:pPr>
        <w:overflowPunct w:val="0"/>
        <w:autoSpaceDE w:val="0"/>
        <w:autoSpaceDN w:val="0"/>
        <w:rPr>
          <w:rFonts w:ascii="Arial" w:eastAsia="黑体" w:hAnsi="Arial" w:cs="Arial"/>
          <w:szCs w:val="21"/>
          <w:lang w:val="en-GB"/>
        </w:rPr>
      </w:pPr>
    </w:p>
    <w:p w:rsidR="00AD5BB5" w:rsidRDefault="00F87FF6">
      <w:pPr>
        <w:overflowPunct w:val="0"/>
        <w:autoSpaceDE w:val="0"/>
        <w:autoSpaceDN w:val="0"/>
        <w:ind w:left="720" w:hanging="720"/>
        <w:rPr>
          <w:rFonts w:ascii="Arial" w:eastAsia="黑体" w:hAnsi="Arial" w:cs="Arial"/>
          <w:szCs w:val="21"/>
          <w:lang w:val="en-GB"/>
        </w:rPr>
      </w:pPr>
      <w:bookmarkStart w:id="108" w:name="afsaddin_WithXu_3ca318a2f4814c74a151b019"/>
      <w:r>
        <w:rPr>
          <w:rFonts w:ascii="Arial" w:eastAsia="黑体" w:hAnsi="Arial" w:cs="Arial"/>
          <w:szCs w:val="21"/>
          <w:lang w:val="en-GB"/>
        </w:rPr>
        <w:t>(2)</w:t>
      </w:r>
      <w:r>
        <w:rPr>
          <w:rFonts w:ascii="Arial" w:eastAsia="黑体" w:hAnsi="Arial" w:cs="Arial"/>
          <w:szCs w:val="21"/>
          <w:lang w:val="en-GB"/>
        </w:rPr>
        <w:tab/>
      </w:r>
      <w:r>
        <w:rPr>
          <w:rFonts w:ascii="Arial" w:eastAsia="黑体" w:hAnsi="Arial" w:cs="Arial"/>
          <w:szCs w:val="21"/>
          <w:lang w:val="en-GB"/>
        </w:rPr>
        <w:t>以公允价值计量且其变动计入其他综合收益的发放贷款及垫款：（续）</w:t>
      </w:r>
      <w:bookmarkEnd w:id="108"/>
    </w:p>
    <w:p w:rsidR="00AD5BB5" w:rsidRDefault="00AD5BB5">
      <w:pPr>
        <w:overflowPunct w:val="0"/>
        <w:autoSpaceDE w:val="0"/>
        <w:autoSpaceDN w:val="0"/>
        <w:rPr>
          <w:rFonts w:ascii="Arial" w:eastAsia="黑体" w:hAnsi="Arial" w:cs="Arial"/>
          <w:szCs w:val="21"/>
          <w:lang w:val="en-GB"/>
        </w:rPr>
      </w:pPr>
    </w:p>
    <w:tbl>
      <w:tblPr>
        <w:tblW w:w="0" w:type="auto"/>
        <w:tblLayout w:type="fixed"/>
        <w:tblCellMar>
          <w:left w:w="0" w:type="dxa"/>
          <w:right w:w="0" w:type="dxa"/>
        </w:tblCellMar>
        <w:tblLook w:val="04A0" w:firstRow="1" w:lastRow="0" w:firstColumn="1" w:lastColumn="0" w:noHBand="0" w:noVBand="1"/>
        <w:tblCaption w:val="263fdb84-8517-46ea-aacd-4920e2b0ee67"/>
        <w:tblDescription w:val="{&quot;UUID&quot;:&quot;afsaddin_tabledata_2_56437_263fdb84-8517-46ea-aacd-4920e2b0ee67&quot;,&quot;TitleRowCount&quot;:4,&quot;SplitedTable&quot;:false,&quot;FirstTableId&quot;:&quot;263fdb84-8517-46ea-aacd-4920e2b0ee67&quot;}"/>
      </w:tblPr>
      <w:tblGrid>
        <w:gridCol w:w="1468"/>
        <w:gridCol w:w="105"/>
        <w:gridCol w:w="2111"/>
        <w:gridCol w:w="105"/>
        <w:gridCol w:w="105"/>
        <w:gridCol w:w="1260"/>
        <w:gridCol w:w="106"/>
        <w:gridCol w:w="106"/>
        <w:gridCol w:w="1260"/>
        <w:gridCol w:w="106"/>
        <w:gridCol w:w="106"/>
        <w:gridCol w:w="1482"/>
        <w:gridCol w:w="106"/>
      </w:tblGrid>
      <w:tr w:rsidR="00AD5BB5">
        <w:tc>
          <w:tcPr>
            <w:tcW w:w="146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bookmarkStart w:id="109" w:name="afsaddin_WithXu_e0bf6564666a4b05b88cabcb"/>
            <w:bookmarkStart w:id="110" w:name="afsaddin_WithXu_969bb2aa0de9493b8082d7b8"/>
            <w:bookmarkStart w:id="111" w:name="afsaddin_WithXu_2121cd9162b146369812e7c1"/>
            <w:bookmarkStart w:id="112" w:name="afsaddin_WithXu_d6b7c429d2aa424ebaf91835"/>
            <w:bookmarkEnd w:id="109"/>
            <w:bookmarkEnd w:id="110"/>
            <w:bookmarkEnd w:id="111"/>
            <w:bookmarkEnd w:id="112"/>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6747" w:type="dxa"/>
            <w:gridSpan w:val="10"/>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fldChar w:fldCharType="begin"/>
            </w:r>
            <w:r>
              <w:rPr>
                <w:rFonts w:ascii="Arial" w:eastAsia="黑体" w:hAnsi="Arial" w:cs="Arial"/>
                <w:sz w:val="16"/>
                <w:szCs w:val="16"/>
              </w:rPr>
              <w:instrText xml:space="preserve"> DOCPROPERTY </w:instrText>
            </w:r>
            <w:r>
              <w:rPr>
                <w:rFonts w:ascii="Arial" w:eastAsia="黑体" w:hAnsi="Arial" w:cs="Arial"/>
                <w:sz w:val="16"/>
                <w:szCs w:val="16"/>
              </w:rPr>
              <w:instrText>自定义</w:instrText>
            </w:r>
            <w:r>
              <w:rPr>
                <w:rFonts w:ascii="Arial" w:eastAsia="黑体" w:hAnsi="Arial" w:cs="Arial"/>
                <w:sz w:val="16"/>
                <w:szCs w:val="16"/>
              </w:rPr>
              <w:instrText xml:space="preserve">3 </w:instrText>
            </w:r>
            <w:r>
              <w:rPr>
                <w:rFonts w:ascii="Arial" w:eastAsia="黑体" w:hAnsi="Arial" w:cs="Arial"/>
                <w:sz w:val="16"/>
                <w:szCs w:val="16"/>
              </w:rPr>
              <w:fldChar w:fldCharType="separate"/>
            </w:r>
            <w:r>
              <w:rPr>
                <w:rFonts w:ascii="Arial" w:eastAsia="黑体" w:hAnsi="Arial" w:cs="Arial"/>
                <w:sz w:val="16"/>
                <w:szCs w:val="16"/>
              </w:rPr>
              <w:t>2022</w:t>
            </w:r>
            <w:r>
              <w:rPr>
                <w:rFonts w:ascii="Arial" w:eastAsia="黑体" w:hAnsi="Arial" w:cs="Arial"/>
                <w:sz w:val="16"/>
                <w:szCs w:val="16"/>
              </w:rPr>
              <w:t>年度</w:t>
            </w:r>
            <w:r>
              <w:rPr>
                <w:rFonts w:ascii="Arial" w:eastAsia="黑体" w:hAnsi="Arial" w:cs="Arial"/>
                <w:sz w:val="16"/>
                <w:szCs w:val="16"/>
              </w:rPr>
              <w:fldChar w:fldCharType="end"/>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46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111" w:type="dxa"/>
            <w:tcBorders>
              <w:top w:val="single" w:sz="4" w:space="0" w:color="auto"/>
              <w:left w:val="nil"/>
              <w:bottom w:val="single" w:sz="4" w:space="0" w:color="auto"/>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12</w:t>
            </w:r>
            <w:r>
              <w:rPr>
                <w:rFonts w:ascii="Arial" w:eastAsia="黑体" w:hAnsi="Arial" w:cs="Arial"/>
                <w:sz w:val="16"/>
                <w:szCs w:val="16"/>
              </w:rPr>
              <w:t>个月预期信用损失</w:t>
            </w:r>
          </w:p>
        </w:tc>
        <w:tc>
          <w:tcPr>
            <w:tcW w:w="105"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5"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2732" w:type="dxa"/>
            <w:gridSpan w:val="4"/>
            <w:tcBorders>
              <w:top w:val="single" w:sz="4" w:space="0" w:color="auto"/>
              <w:left w:val="nil"/>
              <w:bottom w:val="single" w:sz="4" w:space="0" w:color="auto"/>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整个存续期预期信用损失</w:t>
            </w:r>
          </w:p>
        </w:tc>
        <w:tc>
          <w:tcPr>
            <w:tcW w:w="106"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82"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r>
      <w:tr w:rsidR="00AD5BB5">
        <w:tc>
          <w:tcPr>
            <w:tcW w:w="146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111"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阶段</w:t>
            </w:r>
            <w:proofErr w:type="gramStart"/>
            <w:r>
              <w:rPr>
                <w:rFonts w:ascii="Arial" w:eastAsia="黑体" w:hAnsi="Arial" w:cs="Arial"/>
                <w:sz w:val="16"/>
                <w:szCs w:val="16"/>
              </w:rPr>
              <w:t>一</w:t>
            </w:r>
            <w:proofErr w:type="gramEnd"/>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260"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阶段二</w:t>
            </w:r>
          </w:p>
        </w:tc>
        <w:tc>
          <w:tcPr>
            <w:tcW w:w="106"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6"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260"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阶段三</w:t>
            </w:r>
          </w:p>
        </w:tc>
        <w:tc>
          <w:tcPr>
            <w:tcW w:w="106"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482"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合计</w:t>
            </w:r>
          </w:p>
        </w:tc>
        <w:tc>
          <w:tcPr>
            <w:tcW w:w="106"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r>
      <w:tr w:rsidR="00AD5BB5">
        <w:tc>
          <w:tcPr>
            <w:tcW w:w="146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11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26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26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48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r>
      <w:tr w:rsidR="00AD5BB5">
        <w:tc>
          <w:tcPr>
            <w:tcW w:w="146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fldChar w:fldCharType="begin"/>
            </w:r>
            <w:r>
              <w:rPr>
                <w:rFonts w:ascii="Arial" w:eastAsia="黑体" w:hAnsi="Arial" w:cs="Arial"/>
                <w:sz w:val="16"/>
                <w:szCs w:val="16"/>
              </w:rPr>
              <w:instrText xml:space="preserve"> DOCPROPERTY </w:instrText>
            </w:r>
            <w:r>
              <w:rPr>
                <w:rFonts w:ascii="Arial" w:eastAsia="黑体" w:hAnsi="Arial" w:cs="Arial"/>
                <w:sz w:val="16"/>
                <w:szCs w:val="16"/>
              </w:rPr>
              <w:instrText>对比会计期间</w:instrText>
            </w:r>
            <w:r>
              <w:rPr>
                <w:rFonts w:ascii="Arial" w:eastAsia="黑体" w:hAnsi="Arial" w:cs="Arial"/>
                <w:sz w:val="16"/>
                <w:szCs w:val="16"/>
              </w:rPr>
              <w:instrText xml:space="preserve"> </w:instrText>
            </w:r>
            <w:r>
              <w:rPr>
                <w:rFonts w:ascii="Arial" w:eastAsia="黑体" w:hAnsi="Arial" w:cs="Arial"/>
                <w:sz w:val="16"/>
                <w:szCs w:val="16"/>
              </w:rPr>
              <w:fldChar w:fldCharType="separate"/>
            </w:r>
            <w:r>
              <w:rPr>
                <w:rFonts w:ascii="Arial" w:eastAsia="黑体" w:hAnsi="Arial" w:cs="Arial"/>
                <w:sz w:val="16"/>
                <w:szCs w:val="16"/>
              </w:rPr>
              <w:t>2022</w:t>
            </w:r>
            <w:r>
              <w:rPr>
                <w:rFonts w:ascii="Arial" w:eastAsia="黑体" w:hAnsi="Arial" w:cs="Arial"/>
                <w:sz w:val="16"/>
                <w:szCs w:val="16"/>
              </w:rPr>
              <w:fldChar w:fldCharType="end"/>
            </w:r>
            <w:r>
              <w:rPr>
                <w:rFonts w:ascii="Arial" w:eastAsia="黑体" w:hAnsi="Arial" w:cs="Arial"/>
                <w:sz w:val="16"/>
                <w:szCs w:val="16"/>
              </w:rPr>
              <w:t>年</w:t>
            </w:r>
            <w:r>
              <w:rPr>
                <w:rFonts w:ascii="Arial" w:eastAsia="黑体" w:hAnsi="Arial" w:cs="Arial"/>
                <w:sz w:val="16"/>
                <w:szCs w:val="16"/>
              </w:rPr>
              <w:t>1</w:t>
            </w:r>
            <w:r>
              <w:rPr>
                <w:rFonts w:ascii="Arial" w:eastAsia="黑体" w:hAnsi="Arial" w:cs="Arial"/>
                <w:sz w:val="16"/>
                <w:szCs w:val="16"/>
              </w:rPr>
              <w:t>月</w:t>
            </w:r>
            <w:r>
              <w:rPr>
                <w:rFonts w:ascii="Arial" w:eastAsia="黑体" w:hAnsi="Arial" w:cs="Arial"/>
                <w:sz w:val="16"/>
                <w:szCs w:val="16"/>
              </w:rPr>
              <w:t>1</w:t>
            </w:r>
            <w:r>
              <w:rPr>
                <w:rFonts w:ascii="Arial" w:eastAsia="黑体" w:hAnsi="Arial" w:cs="Arial"/>
                <w:sz w:val="16"/>
                <w:szCs w:val="16"/>
              </w:rPr>
              <w:t>日</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11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56,336,184.38</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6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6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8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56,336,184.38</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46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11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6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6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8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46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本年回拨</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111"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(4,965,424.56</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6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6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8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(4,965,424.56</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146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11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6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6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8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46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年末余额</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111"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51,370,759.82</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60"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60"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8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51,370,759.82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bl>
    <w:p w:rsidR="00AD5BB5" w:rsidRDefault="00AD5BB5">
      <w:pPr>
        <w:pStyle w:val="af5"/>
        <w:keepNext w:val="0"/>
        <w:keepLines w:val="0"/>
        <w:outlineLvl w:val="9"/>
        <w:rPr>
          <w:rFonts w:hint="default"/>
          <w:sz w:val="21"/>
          <w:szCs w:val="21"/>
        </w:rPr>
      </w:pPr>
    </w:p>
    <w:p w:rsidR="00AD5BB5" w:rsidRDefault="00F87FF6">
      <w:pPr>
        <w:pStyle w:val="af5"/>
        <w:keepNext w:val="0"/>
        <w:keepLines w:val="0"/>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113" w:name="afsaddin_Section_04b082319b074f529bba3c0"/>
      <w:r>
        <w:rPr>
          <w:rFonts w:ascii="Arial" w:eastAsia="黑体" w:hAnsi="Arial" w:cs="Arial" w:hint="default"/>
          <w:bCs w:val="0"/>
          <w:snapToGrid w:val="0"/>
          <w:color w:val="auto"/>
          <w:sz w:val="21"/>
          <w:szCs w:val="21"/>
        </w:rPr>
        <w:t>7.</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交易性金融资产</w:t>
      </w:r>
    </w:p>
    <w:bookmarkEnd w:id="113"/>
    <w:p w:rsidR="00AD5BB5" w:rsidRDefault="00AD5BB5">
      <w:pPr>
        <w:overflowPunct w:val="0"/>
        <w:autoSpaceDE w:val="0"/>
        <w:autoSpaceDN w:val="0"/>
        <w:adjustRightInd w:val="0"/>
        <w:snapToGrid w:val="0"/>
        <w:textAlignment w:val="bottom"/>
        <w:rPr>
          <w:rFonts w:ascii="Arial" w:eastAsia="黑体" w:hAnsi="Arial" w:cs="Arial"/>
          <w:bCs/>
          <w:snapToGrid w:val="0"/>
          <w:szCs w:val="21"/>
        </w:rPr>
      </w:pPr>
    </w:p>
    <w:tbl>
      <w:tblPr>
        <w:tblW w:w="0" w:type="auto"/>
        <w:tblLayout w:type="fixed"/>
        <w:tblCellMar>
          <w:left w:w="0" w:type="dxa"/>
          <w:right w:w="0" w:type="dxa"/>
        </w:tblCellMar>
        <w:tblLook w:val="04A0" w:firstRow="1" w:lastRow="0" w:firstColumn="1" w:lastColumn="0" w:noHBand="0" w:noVBand="1"/>
        <w:tblCaption w:val="e9aa3c07-1b7c-4fd9-9d7e-89e10d822912"/>
        <w:tblDescription w:val="{&quot;UUID&quot;:&quot;afsaddin_tabledata_2_56437_e9aa3c07-1b7c-4fd9-9d7e-89e10d822912&quot;,&quot;TitleRowCount&quot;:1,&quot;SplitedTable&quot;:false,&quot;FirstTableId&quot;:&quot;e9aa3c07-1b7c-4fd9-9d7e-89e10d822912&quot;}"/>
      </w:tblPr>
      <w:tblGrid>
        <w:gridCol w:w="3502"/>
        <w:gridCol w:w="109"/>
        <w:gridCol w:w="2317"/>
        <w:gridCol w:w="110"/>
        <w:gridCol w:w="110"/>
        <w:gridCol w:w="2168"/>
        <w:gridCol w:w="110"/>
      </w:tblGrid>
      <w:tr w:rsidR="00AD5BB5">
        <w:tc>
          <w:tcPr>
            <w:tcW w:w="3502"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1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fldChar w:fldCharType="begin"/>
            </w:r>
            <w:r>
              <w:rPr>
                <w:rFonts w:ascii="Arial" w:eastAsia="黑体" w:hAnsi="Arial" w:cs="Arial"/>
                <w:color w:val="000000"/>
                <w:szCs w:val="21"/>
              </w:rPr>
              <w:instrText xml:space="preserve"> DOCPROPERTY </w:instrText>
            </w:r>
            <w:r>
              <w:rPr>
                <w:rFonts w:ascii="Arial" w:eastAsia="黑体" w:hAnsi="Arial" w:cs="Arial"/>
                <w:color w:val="000000"/>
                <w:szCs w:val="21"/>
              </w:rPr>
              <w:instrText>当期资产负债表日</w:instrText>
            </w:r>
            <w:r>
              <w:rPr>
                <w:rFonts w:ascii="Arial" w:eastAsia="黑体" w:hAnsi="Arial" w:cs="Arial"/>
                <w:color w:val="000000"/>
                <w:szCs w:val="21"/>
              </w:rPr>
              <w:instrText xml:space="preserve"> </w:instrText>
            </w:r>
            <w:r>
              <w:rPr>
                <w:rFonts w:ascii="Arial" w:eastAsia="黑体" w:hAnsi="Arial" w:cs="Arial"/>
                <w:color w:val="000000"/>
                <w:szCs w:val="21"/>
              </w:rPr>
              <w:fldChar w:fldCharType="separate"/>
            </w:r>
            <w:r>
              <w:rPr>
                <w:rFonts w:ascii="Arial" w:eastAsia="黑体" w:hAnsi="Arial" w:cs="Arial"/>
                <w:color w:val="000000"/>
                <w:szCs w:val="21"/>
              </w:rPr>
              <w:t>2023</w:t>
            </w:r>
            <w:r>
              <w:rPr>
                <w:rFonts w:ascii="Arial" w:eastAsia="黑体" w:hAnsi="Arial" w:cs="Arial"/>
                <w:color w:val="000000"/>
                <w:szCs w:val="21"/>
              </w:rPr>
              <w:t>年</w:t>
            </w:r>
            <w:r>
              <w:rPr>
                <w:rFonts w:ascii="Arial" w:eastAsia="黑体" w:hAnsi="Arial" w:cs="Arial"/>
                <w:color w:val="000000"/>
                <w:szCs w:val="21"/>
              </w:rPr>
              <w:t>6</w:t>
            </w:r>
            <w:r>
              <w:rPr>
                <w:rFonts w:ascii="Arial" w:eastAsia="黑体" w:hAnsi="Arial" w:cs="Arial"/>
                <w:color w:val="000000"/>
                <w:szCs w:val="21"/>
              </w:rPr>
              <w:t>月</w:t>
            </w:r>
            <w:r>
              <w:rPr>
                <w:rFonts w:ascii="Arial" w:eastAsia="黑体" w:hAnsi="Arial" w:cs="Arial"/>
                <w:color w:val="000000"/>
                <w:szCs w:val="21"/>
              </w:rPr>
              <w:t>30</w:t>
            </w:r>
            <w:r>
              <w:rPr>
                <w:rFonts w:ascii="Arial" w:eastAsia="黑体" w:hAnsi="Arial" w:cs="Arial"/>
                <w:color w:val="000000"/>
                <w:szCs w:val="21"/>
              </w:rPr>
              <w:t>日</w:t>
            </w:r>
            <w:r>
              <w:rPr>
                <w:rFonts w:ascii="Arial" w:eastAsia="黑体" w:hAnsi="Arial" w:cs="Arial"/>
                <w:color w:val="000000"/>
                <w:szCs w:val="21"/>
              </w:rPr>
              <w:fldChar w:fldCharType="end"/>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2022</w:t>
            </w:r>
            <w:r>
              <w:rPr>
                <w:rFonts w:ascii="Arial" w:eastAsia="黑体" w:hAnsi="Arial" w:cs="Arial"/>
                <w:color w:val="000000"/>
                <w:szCs w:val="21"/>
              </w:rPr>
              <w:t>年</w:t>
            </w:r>
            <w:r>
              <w:rPr>
                <w:rFonts w:ascii="Arial" w:eastAsia="黑体" w:hAnsi="Arial" w:cs="Arial"/>
                <w:color w:val="000000"/>
                <w:szCs w:val="21"/>
              </w:rPr>
              <w:t>12</w:t>
            </w:r>
            <w:r>
              <w:rPr>
                <w:rFonts w:ascii="Arial" w:eastAsia="黑体" w:hAnsi="Arial" w:cs="Arial"/>
                <w:color w:val="000000"/>
                <w:szCs w:val="21"/>
              </w:rPr>
              <w:t>月</w:t>
            </w:r>
            <w:r>
              <w:rPr>
                <w:rFonts w:ascii="Arial" w:eastAsia="黑体" w:hAnsi="Arial" w:cs="Arial"/>
                <w:color w:val="000000"/>
                <w:szCs w:val="21"/>
              </w:rPr>
              <w:t>31</w:t>
            </w:r>
            <w:r>
              <w:rPr>
                <w:rFonts w:ascii="Arial" w:eastAsia="黑体" w:hAnsi="Arial" w:cs="Arial"/>
                <w:color w:val="000000"/>
                <w:szCs w:val="21"/>
              </w:rPr>
              <w:t>日</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r>
      <w:tr w:rsidR="00AD5BB5">
        <w:tc>
          <w:tcPr>
            <w:tcW w:w="3502" w:type="dxa"/>
            <w:tcBorders>
              <w:top w:val="nil"/>
              <w:left w:val="nil"/>
              <w:bottom w:val="nil"/>
              <w:right w:val="nil"/>
            </w:tcBorders>
            <w:shd w:val="clear" w:color="auto" w:fill="auto"/>
          </w:tcPr>
          <w:p w:rsidR="00AD5BB5" w:rsidRDefault="00F87FF6">
            <w:pPr>
              <w:tabs>
                <w:tab w:val="left" w:pos="452"/>
                <w:tab w:val="left" w:pos="599"/>
              </w:tabs>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napToGrid w:val="0"/>
                <w:szCs w:val="21"/>
              </w:rPr>
              <w:t>以公允价值计量且其变动计入当期损益的金融资产</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1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r>
      <w:tr w:rsidR="00AD5BB5">
        <w:tc>
          <w:tcPr>
            <w:tcW w:w="3502" w:type="dxa"/>
            <w:tcBorders>
              <w:top w:val="nil"/>
              <w:left w:val="nil"/>
              <w:bottom w:val="nil"/>
              <w:right w:val="nil"/>
            </w:tcBorders>
            <w:shd w:val="clear" w:color="auto" w:fill="auto"/>
            <w:vAlign w:val="bottom"/>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color w:val="000000"/>
                <w:szCs w:val="21"/>
              </w:rPr>
            </w:pPr>
            <w:r>
              <w:rPr>
                <w:rFonts w:ascii="Arial" w:eastAsia="黑体" w:hAnsi="Arial" w:cs="Arial"/>
                <w:color w:val="000000"/>
                <w:szCs w:val="21"/>
              </w:rPr>
              <w:t>政府债券</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9,978,239.51</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225,741,738.65</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502" w:type="dxa"/>
            <w:tcBorders>
              <w:top w:val="nil"/>
              <w:left w:val="nil"/>
              <w:bottom w:val="nil"/>
              <w:right w:val="nil"/>
            </w:tcBorders>
            <w:shd w:val="clear" w:color="auto" w:fill="auto"/>
            <w:vAlign w:val="bottom"/>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color w:val="000000"/>
                <w:szCs w:val="21"/>
              </w:rPr>
            </w:pPr>
            <w:r>
              <w:rPr>
                <w:rFonts w:ascii="Arial" w:eastAsia="黑体" w:hAnsi="Arial" w:cs="Arial"/>
                <w:color w:val="000000"/>
                <w:szCs w:val="21"/>
              </w:rPr>
              <w:t>政策性金融债券</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309,122,965.58</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360,463,186.42</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502" w:type="dxa"/>
            <w:tcBorders>
              <w:top w:val="nil"/>
              <w:left w:val="nil"/>
              <w:bottom w:val="nil"/>
              <w:right w:val="nil"/>
            </w:tcBorders>
            <w:shd w:val="clear" w:color="000000" w:fill="auto"/>
            <w:vAlign w:val="bottom"/>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color w:val="000000"/>
                <w:szCs w:val="21"/>
              </w:rPr>
            </w:pPr>
            <w:r>
              <w:rPr>
                <w:rFonts w:ascii="Arial" w:eastAsia="黑体" w:hAnsi="Arial" w:cs="Arial"/>
                <w:color w:val="000000"/>
                <w:szCs w:val="21"/>
              </w:rPr>
              <w:t>同业及其他金融机构债券</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20,264,665.21</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572,466,225.49</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502" w:type="dxa"/>
            <w:tcBorders>
              <w:top w:val="nil"/>
              <w:left w:val="nil"/>
              <w:bottom w:val="nil"/>
              <w:right w:val="nil"/>
            </w:tcBorders>
            <w:shd w:val="clear" w:color="000000" w:fill="auto"/>
            <w:vAlign w:val="bottom"/>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color w:val="000000"/>
                <w:szCs w:val="21"/>
              </w:rPr>
            </w:pPr>
            <w:r>
              <w:rPr>
                <w:rFonts w:ascii="Arial" w:eastAsia="黑体" w:hAnsi="Arial" w:cs="Arial"/>
                <w:color w:val="000000"/>
                <w:szCs w:val="21"/>
              </w:rPr>
              <w:t>企业债券</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1,422,105,751.83</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875,511,618.22</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502" w:type="dxa"/>
            <w:tcBorders>
              <w:top w:val="nil"/>
              <w:left w:val="nil"/>
              <w:bottom w:val="nil"/>
              <w:right w:val="nil"/>
            </w:tcBorders>
            <w:shd w:val="clear" w:color="000000" w:fill="auto"/>
            <w:vAlign w:val="bottom"/>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color w:val="000000"/>
                <w:szCs w:val="21"/>
              </w:rPr>
            </w:pPr>
            <w:r>
              <w:rPr>
                <w:rFonts w:ascii="Arial" w:eastAsia="黑体" w:hAnsi="Arial" w:cs="Arial"/>
                <w:color w:val="000000"/>
                <w:szCs w:val="21"/>
              </w:rPr>
              <w:t>基金及其他</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12,755,451,682.18</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13,715,549,677.36</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50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jc w:val="right"/>
              <w:rPr>
                <w:rFonts w:ascii="Arial" w:eastAsia="黑体" w:hAnsi="Arial" w:cs="Arial"/>
                <w:color w:val="000000"/>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502"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合计</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17"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14,516,923,304.31</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15,749,732,446.14</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bl>
    <w:p w:rsidR="00AD5BB5" w:rsidRDefault="00AD5BB5">
      <w:pPr>
        <w:overflowPunct w:val="0"/>
        <w:autoSpaceDE w:val="0"/>
        <w:autoSpaceDN w:val="0"/>
        <w:adjustRightInd w:val="0"/>
        <w:snapToGrid w:val="0"/>
        <w:textAlignment w:val="bottom"/>
        <w:rPr>
          <w:rFonts w:ascii="Arial" w:eastAsia="黑体" w:hAnsi="Arial" w:cs="Arial"/>
          <w:snapToGrid w:val="0"/>
        </w:rPr>
      </w:pPr>
    </w:p>
    <w:p w:rsidR="00AD5BB5" w:rsidRDefault="00F87FF6">
      <w:pPr>
        <w:overflowPunct w:val="0"/>
        <w:autoSpaceDE w:val="0"/>
        <w:autoSpaceDN w:val="0"/>
        <w:adjustRightInd w:val="0"/>
        <w:snapToGrid w:val="0"/>
        <w:textAlignment w:val="bottom"/>
        <w:rPr>
          <w:rFonts w:ascii="Arial" w:eastAsia="黑体" w:hAnsi="Arial" w:cs="Arial"/>
          <w:snapToGrid w:val="0"/>
          <w:szCs w:val="21"/>
        </w:rPr>
      </w:pPr>
      <w:r>
        <w:rPr>
          <w:rFonts w:ascii="Arial" w:eastAsia="黑体" w:hAnsi="Arial" w:cs="Arial"/>
          <w:snapToGrid w:val="0"/>
          <w:szCs w:val="21"/>
        </w:rPr>
        <w:t>于</w:t>
      </w: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当期资产负债表日</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2023</w:t>
      </w:r>
      <w:r>
        <w:rPr>
          <w:rFonts w:ascii="Arial" w:eastAsia="黑体" w:hAnsi="Arial" w:cs="Arial"/>
          <w:snapToGrid w:val="0"/>
          <w:szCs w:val="21"/>
        </w:rPr>
        <w:t>年</w:t>
      </w:r>
      <w:r>
        <w:rPr>
          <w:rFonts w:ascii="Arial" w:eastAsia="黑体" w:hAnsi="Arial" w:cs="Arial"/>
          <w:snapToGrid w:val="0"/>
          <w:szCs w:val="21"/>
        </w:rPr>
        <w:t>6</w:t>
      </w:r>
      <w:r>
        <w:rPr>
          <w:rFonts w:ascii="Arial" w:eastAsia="黑体" w:hAnsi="Arial" w:cs="Arial"/>
          <w:snapToGrid w:val="0"/>
          <w:szCs w:val="21"/>
        </w:rPr>
        <w:t>月</w:t>
      </w:r>
      <w:r>
        <w:rPr>
          <w:rFonts w:ascii="Arial" w:eastAsia="黑体" w:hAnsi="Arial" w:cs="Arial"/>
          <w:snapToGrid w:val="0"/>
          <w:szCs w:val="21"/>
        </w:rPr>
        <w:t>30</w:t>
      </w:r>
      <w:r>
        <w:rPr>
          <w:rFonts w:ascii="Arial" w:eastAsia="黑体" w:hAnsi="Arial" w:cs="Arial"/>
          <w:snapToGrid w:val="0"/>
          <w:szCs w:val="21"/>
        </w:rPr>
        <w:t>日</w:t>
      </w:r>
      <w:r>
        <w:rPr>
          <w:rFonts w:ascii="Arial" w:eastAsia="黑体" w:hAnsi="Arial" w:cs="Arial"/>
          <w:snapToGrid w:val="0"/>
          <w:szCs w:val="21"/>
        </w:rPr>
        <w:fldChar w:fldCharType="end"/>
      </w:r>
      <w:r>
        <w:rPr>
          <w:rFonts w:ascii="Arial" w:eastAsia="黑体" w:hAnsi="Arial" w:cs="Arial"/>
          <w:snapToGrid w:val="0"/>
          <w:szCs w:val="21"/>
        </w:rPr>
        <w:t>和</w:t>
      </w: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上期资产负债表日</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2022</w:t>
      </w:r>
      <w:r>
        <w:rPr>
          <w:rFonts w:ascii="Arial" w:eastAsia="黑体" w:hAnsi="Arial" w:cs="Arial"/>
          <w:snapToGrid w:val="0"/>
          <w:szCs w:val="21"/>
        </w:rPr>
        <w:t>年</w:t>
      </w:r>
      <w:r>
        <w:rPr>
          <w:rFonts w:ascii="Arial" w:eastAsia="黑体" w:hAnsi="Arial" w:cs="Arial"/>
          <w:snapToGrid w:val="0"/>
          <w:szCs w:val="21"/>
        </w:rPr>
        <w:t>12</w:t>
      </w:r>
      <w:r>
        <w:rPr>
          <w:rFonts w:ascii="Arial" w:eastAsia="黑体" w:hAnsi="Arial" w:cs="Arial"/>
          <w:snapToGrid w:val="0"/>
          <w:szCs w:val="21"/>
        </w:rPr>
        <w:t>月</w:t>
      </w:r>
      <w:r>
        <w:rPr>
          <w:rFonts w:ascii="Arial" w:eastAsia="黑体" w:hAnsi="Arial" w:cs="Arial"/>
          <w:snapToGrid w:val="0"/>
          <w:szCs w:val="21"/>
        </w:rPr>
        <w:t>31</w:t>
      </w:r>
      <w:r>
        <w:rPr>
          <w:rFonts w:ascii="Arial" w:eastAsia="黑体" w:hAnsi="Arial" w:cs="Arial"/>
          <w:snapToGrid w:val="0"/>
          <w:szCs w:val="21"/>
        </w:rPr>
        <w:t>日</w:t>
      </w:r>
      <w:r>
        <w:rPr>
          <w:rFonts w:ascii="Arial" w:eastAsia="黑体" w:hAnsi="Arial" w:cs="Arial"/>
          <w:snapToGrid w:val="0"/>
          <w:szCs w:val="21"/>
        </w:rPr>
        <w:fldChar w:fldCharType="end"/>
      </w:r>
      <w:r>
        <w:rPr>
          <w:rFonts w:ascii="Arial" w:eastAsia="黑体" w:hAnsi="Arial" w:cs="Arial"/>
          <w:snapToGrid w:val="0"/>
          <w:szCs w:val="21"/>
        </w:rPr>
        <w:t>，本集团无指定为以公允价值计量且其变动计入当期损益的信用风险敞口。</w:t>
      </w:r>
      <w:r>
        <w:rPr>
          <w:rFonts w:ascii="Arial" w:eastAsia="黑体" w:hAnsi="Arial" w:cs="Arial"/>
          <w:szCs w:val="21"/>
        </w:rPr>
        <w:br w:type="page"/>
      </w:r>
    </w:p>
    <w:p w:rsidR="00AD5BB5" w:rsidRDefault="00AD5BB5">
      <w:pPr>
        <w:pStyle w:val="aff2"/>
        <w:overflowPunct w:val="0"/>
        <w:autoSpaceDE w:val="0"/>
        <w:autoSpaceDN w:val="0"/>
        <w:rPr>
          <w:rFonts w:ascii="Arial" w:eastAsia="黑体" w:hAnsi="Arial" w:cs="Arial"/>
          <w:szCs w:val="21"/>
        </w:rPr>
      </w:pPr>
    </w:p>
    <w:p w:rsidR="00AD5BB5" w:rsidRDefault="00AD5BB5">
      <w:pPr>
        <w:pStyle w:val="aff2"/>
        <w:overflowPunct w:val="0"/>
        <w:autoSpaceDE w:val="0"/>
        <w:autoSpaceDN w:val="0"/>
        <w:rPr>
          <w:rFonts w:ascii="Arial" w:eastAsia="黑体" w:hAnsi="Arial" w:cs="Arial"/>
          <w:szCs w:val="21"/>
        </w:rPr>
      </w:pPr>
    </w:p>
    <w:p w:rsidR="00AD5BB5" w:rsidRDefault="00F87FF6">
      <w:pPr>
        <w:pStyle w:val="aff2"/>
        <w:overflowPunct w:val="0"/>
        <w:autoSpaceDE w:val="0"/>
        <w:autoSpaceDN w:val="0"/>
        <w:ind w:firstLine="422"/>
        <w:rPr>
          <w:rFonts w:ascii="Arial" w:eastAsia="黑体" w:hAnsi="Arial" w:cs="Arial"/>
          <w:b/>
          <w:szCs w:val="21"/>
        </w:rPr>
      </w:pPr>
      <w:bookmarkStart w:id="114" w:name="afsaddin_WithXu_dae4bbd94c484d4c83f411a8"/>
      <w:r>
        <w:rPr>
          <w:rFonts w:ascii="Arial" w:eastAsia="黑体" w:hAnsi="Arial" w:cs="Arial"/>
          <w:b/>
          <w:szCs w:val="21"/>
        </w:rPr>
        <w:t>五、</w:t>
      </w:r>
      <w:r>
        <w:rPr>
          <w:rFonts w:ascii="Arial" w:eastAsia="黑体" w:hAnsi="Arial" w:cs="Arial"/>
          <w:b/>
          <w:szCs w:val="21"/>
        </w:rPr>
        <w:tab/>
      </w:r>
      <w:r>
        <w:rPr>
          <w:rFonts w:ascii="Arial" w:eastAsia="黑体" w:hAnsi="Arial" w:cs="Arial"/>
          <w:b/>
          <w:szCs w:val="21"/>
        </w:rPr>
        <w:t>合并财务报表主要项目注释（续）</w:t>
      </w:r>
      <w:bookmarkEnd w:id="114"/>
    </w:p>
    <w:p w:rsidR="00AD5BB5" w:rsidRDefault="00AD5BB5">
      <w:pPr>
        <w:pStyle w:val="aff2"/>
        <w:overflowPunct w:val="0"/>
        <w:autoSpaceDE w:val="0"/>
        <w:autoSpaceDN w:val="0"/>
        <w:rPr>
          <w:rFonts w:ascii="Arial" w:eastAsia="黑体" w:hAnsi="Arial" w:cs="Arial"/>
          <w:szCs w:val="21"/>
        </w:rPr>
      </w:pPr>
    </w:p>
    <w:p w:rsidR="00AD5BB5" w:rsidRDefault="00F87FF6">
      <w:pPr>
        <w:pStyle w:val="af5"/>
        <w:keepNext w:val="0"/>
        <w:keepLines w:val="0"/>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115" w:name="afsaddin_WithXu_57678e1f7f63432e8536e068"/>
      <w:bookmarkStart w:id="116" w:name="afsaddin_Section_d9a065a0c9b94c9392b402a"/>
      <w:bookmarkEnd w:id="115"/>
      <w:r>
        <w:rPr>
          <w:rFonts w:ascii="Arial" w:eastAsia="黑体" w:hAnsi="Arial" w:cs="Arial" w:hint="default"/>
          <w:bCs w:val="0"/>
          <w:snapToGrid w:val="0"/>
          <w:color w:val="auto"/>
          <w:sz w:val="21"/>
          <w:szCs w:val="21"/>
        </w:rPr>
        <w:t>8.</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债权投资</w:t>
      </w:r>
    </w:p>
    <w:bookmarkEnd w:id="116"/>
    <w:p w:rsidR="00AD5BB5" w:rsidRDefault="00AD5BB5">
      <w:pPr>
        <w:tabs>
          <w:tab w:val="right" w:pos="6240"/>
          <w:tab w:val="right" w:pos="8280"/>
        </w:tabs>
        <w:overflowPunct w:val="0"/>
        <w:autoSpaceDE w:val="0"/>
        <w:autoSpaceDN w:val="0"/>
        <w:adjustRightInd w:val="0"/>
        <w:snapToGrid w:val="0"/>
        <w:textAlignment w:val="bottom"/>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42002245-819f-4850-9eb4-aa35ad3692eb"/>
        <w:tblDescription w:val="{&quot;UUID&quot;:&quot;afsaddin_tabledata_2_56437_42002245-819f-4850-9eb4-aa35ad3692eb&quot;,&quot;TitleRowCount&quot;:2,&quot;SplitedTable&quot;:false,&quot;FirstTableId&quot;:&quot;42002245-819f-4850-9eb4-aa35ad3692eb&quot;}"/>
      </w:tblPr>
      <w:tblGrid>
        <w:gridCol w:w="3502"/>
        <w:gridCol w:w="109"/>
        <w:gridCol w:w="2317"/>
        <w:gridCol w:w="110"/>
        <w:gridCol w:w="110"/>
        <w:gridCol w:w="2168"/>
        <w:gridCol w:w="110"/>
      </w:tblGrid>
      <w:tr w:rsidR="00AD5BB5">
        <w:tc>
          <w:tcPr>
            <w:tcW w:w="3502"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1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fldChar w:fldCharType="begin"/>
            </w:r>
            <w:r>
              <w:rPr>
                <w:rFonts w:ascii="Arial" w:eastAsia="黑体" w:hAnsi="Arial" w:cs="Arial"/>
                <w:color w:val="000000"/>
                <w:szCs w:val="21"/>
              </w:rPr>
              <w:instrText xml:space="preserve"> DOCPROPERTY </w:instrText>
            </w:r>
            <w:r>
              <w:rPr>
                <w:rFonts w:ascii="Arial" w:eastAsia="黑体" w:hAnsi="Arial" w:cs="Arial"/>
                <w:color w:val="000000"/>
                <w:szCs w:val="21"/>
              </w:rPr>
              <w:instrText>当期资产负债表日</w:instrText>
            </w:r>
            <w:r>
              <w:rPr>
                <w:rFonts w:ascii="Arial" w:eastAsia="黑体" w:hAnsi="Arial" w:cs="Arial"/>
                <w:color w:val="000000"/>
                <w:szCs w:val="21"/>
              </w:rPr>
              <w:instrText xml:space="preserve"> </w:instrText>
            </w:r>
            <w:r>
              <w:rPr>
                <w:rFonts w:ascii="Arial" w:eastAsia="黑体" w:hAnsi="Arial" w:cs="Arial"/>
                <w:color w:val="000000"/>
                <w:szCs w:val="21"/>
              </w:rPr>
              <w:fldChar w:fldCharType="separate"/>
            </w:r>
            <w:r>
              <w:rPr>
                <w:rFonts w:ascii="Arial" w:eastAsia="黑体" w:hAnsi="Arial" w:cs="Arial"/>
                <w:color w:val="000000"/>
                <w:szCs w:val="21"/>
              </w:rPr>
              <w:t>2023</w:t>
            </w:r>
            <w:r>
              <w:rPr>
                <w:rFonts w:ascii="Arial" w:eastAsia="黑体" w:hAnsi="Arial" w:cs="Arial"/>
                <w:color w:val="000000"/>
                <w:szCs w:val="21"/>
              </w:rPr>
              <w:t>年</w:t>
            </w:r>
            <w:r>
              <w:rPr>
                <w:rFonts w:ascii="Arial" w:eastAsia="黑体" w:hAnsi="Arial" w:cs="Arial"/>
                <w:color w:val="000000"/>
                <w:szCs w:val="21"/>
              </w:rPr>
              <w:t>6</w:t>
            </w:r>
            <w:r>
              <w:rPr>
                <w:rFonts w:ascii="Arial" w:eastAsia="黑体" w:hAnsi="Arial" w:cs="Arial"/>
                <w:color w:val="000000"/>
                <w:szCs w:val="21"/>
              </w:rPr>
              <w:t>月</w:t>
            </w:r>
            <w:r>
              <w:rPr>
                <w:rFonts w:ascii="Arial" w:eastAsia="黑体" w:hAnsi="Arial" w:cs="Arial"/>
                <w:color w:val="000000"/>
                <w:szCs w:val="21"/>
              </w:rPr>
              <w:t>30</w:t>
            </w:r>
            <w:r>
              <w:rPr>
                <w:rFonts w:ascii="Arial" w:eastAsia="黑体" w:hAnsi="Arial" w:cs="Arial"/>
                <w:color w:val="000000"/>
                <w:szCs w:val="21"/>
              </w:rPr>
              <w:t>日</w:t>
            </w:r>
            <w:r>
              <w:rPr>
                <w:rFonts w:ascii="Arial" w:eastAsia="黑体" w:hAnsi="Arial" w:cs="Arial"/>
                <w:color w:val="000000"/>
                <w:szCs w:val="21"/>
              </w:rPr>
              <w:fldChar w:fldCharType="end"/>
            </w:r>
          </w:p>
        </w:tc>
        <w:tc>
          <w:tcPr>
            <w:tcW w:w="110" w:type="dxa"/>
            <w:tcBorders>
              <w:top w:val="nil"/>
              <w:left w:val="nil"/>
              <w:bottom w:val="nil"/>
              <w:right w:val="nil"/>
            </w:tcBorders>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216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2022</w:t>
            </w:r>
            <w:r>
              <w:rPr>
                <w:rFonts w:ascii="Arial" w:eastAsia="黑体" w:hAnsi="Arial" w:cs="Arial"/>
                <w:color w:val="000000"/>
                <w:szCs w:val="21"/>
              </w:rPr>
              <w:t>年</w:t>
            </w:r>
            <w:r>
              <w:rPr>
                <w:rFonts w:ascii="Arial" w:eastAsia="黑体" w:hAnsi="Arial" w:cs="Arial"/>
                <w:color w:val="000000"/>
                <w:szCs w:val="21"/>
              </w:rPr>
              <w:t>12</w:t>
            </w:r>
            <w:r>
              <w:rPr>
                <w:rFonts w:ascii="Arial" w:eastAsia="黑体" w:hAnsi="Arial" w:cs="Arial"/>
                <w:color w:val="000000"/>
                <w:szCs w:val="21"/>
              </w:rPr>
              <w:t>月</w:t>
            </w:r>
            <w:r>
              <w:rPr>
                <w:rFonts w:ascii="Arial" w:eastAsia="黑体" w:hAnsi="Arial" w:cs="Arial"/>
                <w:color w:val="000000"/>
                <w:szCs w:val="21"/>
              </w:rPr>
              <w:t>31</w:t>
            </w:r>
            <w:r>
              <w:rPr>
                <w:rFonts w:ascii="Arial" w:eastAsia="黑体" w:hAnsi="Arial" w:cs="Arial"/>
                <w:color w:val="000000"/>
                <w:szCs w:val="21"/>
              </w:rPr>
              <w:t>日</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r>
      <w:tr w:rsidR="00AD5BB5">
        <w:tc>
          <w:tcPr>
            <w:tcW w:w="3502"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left="195" w:hangingChars="150" w:hanging="195"/>
              <w:rPr>
                <w:rFonts w:ascii="Arial" w:eastAsia="黑体" w:hAnsi="Arial" w:cs="Arial"/>
                <w:sz w:val="13"/>
                <w:szCs w:val="13"/>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13"/>
                <w:szCs w:val="13"/>
              </w:rPr>
            </w:pPr>
          </w:p>
        </w:tc>
        <w:tc>
          <w:tcPr>
            <w:tcW w:w="2317"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rightChars="29" w:right="61"/>
              <w:jc w:val="right"/>
              <w:rPr>
                <w:rFonts w:ascii="Arial" w:eastAsia="黑体" w:hAnsi="Arial" w:cs="Arial"/>
                <w:color w:val="000000"/>
                <w:sz w:val="13"/>
                <w:szCs w:val="13"/>
              </w:rPr>
            </w:pPr>
          </w:p>
        </w:tc>
        <w:tc>
          <w:tcPr>
            <w:tcW w:w="110" w:type="dxa"/>
            <w:tcBorders>
              <w:top w:val="nil"/>
              <w:left w:val="nil"/>
              <w:bottom w:val="nil"/>
              <w:right w:val="nil"/>
            </w:tcBorders>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3"/>
                <w:szCs w:val="13"/>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3"/>
                <w:szCs w:val="13"/>
              </w:rPr>
            </w:pPr>
          </w:p>
        </w:tc>
        <w:tc>
          <w:tcPr>
            <w:tcW w:w="2168"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rightChars="29" w:right="61"/>
              <w:jc w:val="right"/>
              <w:rPr>
                <w:rFonts w:ascii="Arial" w:eastAsia="黑体" w:hAnsi="Arial" w:cs="Arial"/>
                <w:color w:val="000000"/>
                <w:sz w:val="13"/>
                <w:szCs w:val="13"/>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3"/>
                <w:szCs w:val="13"/>
              </w:rPr>
            </w:pPr>
          </w:p>
        </w:tc>
      </w:tr>
      <w:tr w:rsidR="00AD5BB5">
        <w:tc>
          <w:tcPr>
            <w:tcW w:w="350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债券</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0" w:type="dxa"/>
            <w:tcBorders>
              <w:top w:val="nil"/>
              <w:left w:val="nil"/>
              <w:bottom w:val="nil"/>
              <w:right w:val="nil"/>
            </w:tcBorders>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50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Chars="81" w:left="380" w:hangingChars="100" w:hanging="210"/>
              <w:rPr>
                <w:rFonts w:ascii="Arial" w:eastAsia="黑体" w:hAnsi="Arial" w:cs="Arial"/>
                <w:color w:val="000000"/>
                <w:szCs w:val="21"/>
              </w:rPr>
            </w:pPr>
            <w:r>
              <w:rPr>
                <w:rFonts w:ascii="Arial" w:eastAsia="黑体" w:hAnsi="Arial" w:cs="Arial"/>
                <w:color w:val="000000"/>
                <w:szCs w:val="21"/>
              </w:rPr>
              <w:t>政府债券</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1" w:right="2"/>
              <w:jc w:val="right"/>
              <w:rPr>
                <w:rFonts w:ascii="Arial" w:eastAsia="黑体" w:hAnsi="Arial" w:cs="Arial"/>
                <w:color w:val="000000"/>
                <w:szCs w:val="21"/>
              </w:rPr>
            </w:pPr>
            <w:r>
              <w:rPr>
                <w:rFonts w:ascii="Arial" w:eastAsia="黑体" w:hAnsi="Arial" w:cs="Arial"/>
                <w:color w:val="000000"/>
                <w:szCs w:val="21"/>
              </w:rPr>
              <w:t>45,186,731,663.12</w:t>
            </w:r>
          </w:p>
        </w:tc>
        <w:tc>
          <w:tcPr>
            <w:tcW w:w="110" w:type="dxa"/>
            <w:tcBorders>
              <w:top w:val="nil"/>
              <w:left w:val="nil"/>
              <w:bottom w:val="nil"/>
              <w:right w:val="nil"/>
            </w:tcBorders>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4" w:right="8"/>
              <w:jc w:val="right"/>
              <w:rPr>
                <w:rFonts w:ascii="Arial" w:eastAsia="黑体" w:hAnsi="Arial" w:cs="Arial"/>
                <w:color w:val="000000"/>
                <w:szCs w:val="21"/>
              </w:rPr>
            </w:pPr>
            <w:r>
              <w:rPr>
                <w:rFonts w:ascii="Arial" w:eastAsia="黑体" w:hAnsi="Arial" w:cs="Arial"/>
                <w:color w:val="000000"/>
                <w:szCs w:val="21"/>
              </w:rPr>
              <w:t>38,804,428,054.05</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50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Chars="81" w:left="380" w:hangingChars="100" w:hanging="210"/>
              <w:rPr>
                <w:rFonts w:ascii="Arial" w:eastAsia="黑体" w:hAnsi="Arial" w:cs="Arial"/>
                <w:color w:val="000000"/>
                <w:szCs w:val="21"/>
              </w:rPr>
            </w:pPr>
            <w:r>
              <w:rPr>
                <w:rFonts w:ascii="Arial" w:eastAsia="黑体" w:hAnsi="Arial" w:cs="Arial"/>
                <w:color w:val="000000"/>
                <w:szCs w:val="21"/>
              </w:rPr>
              <w:t>政策性金融债券</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1" w:right="2"/>
              <w:jc w:val="right"/>
              <w:rPr>
                <w:rFonts w:ascii="Arial" w:eastAsia="黑体" w:hAnsi="Arial" w:cs="Arial"/>
                <w:color w:val="000000"/>
                <w:szCs w:val="21"/>
              </w:rPr>
            </w:pPr>
            <w:r>
              <w:rPr>
                <w:rFonts w:ascii="Arial" w:eastAsia="黑体" w:hAnsi="Arial" w:cs="Arial"/>
                <w:color w:val="000000"/>
                <w:szCs w:val="21"/>
              </w:rPr>
              <w:t>1,990,458,658.01</w:t>
            </w:r>
          </w:p>
        </w:tc>
        <w:tc>
          <w:tcPr>
            <w:tcW w:w="110" w:type="dxa"/>
            <w:tcBorders>
              <w:top w:val="nil"/>
              <w:left w:val="nil"/>
              <w:bottom w:val="nil"/>
              <w:right w:val="nil"/>
            </w:tcBorders>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4" w:right="8"/>
              <w:jc w:val="right"/>
              <w:rPr>
                <w:rFonts w:ascii="Arial" w:eastAsia="黑体" w:hAnsi="Arial" w:cs="Arial"/>
                <w:color w:val="000000"/>
                <w:szCs w:val="21"/>
              </w:rPr>
            </w:pPr>
            <w:r>
              <w:rPr>
                <w:rFonts w:ascii="Arial" w:eastAsia="黑体" w:hAnsi="Arial" w:cs="Arial"/>
                <w:color w:val="000000"/>
                <w:szCs w:val="21"/>
              </w:rPr>
              <w:t>1,990,245,950.28</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50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Chars="81" w:left="380" w:hangingChars="100" w:hanging="210"/>
              <w:rPr>
                <w:rFonts w:ascii="Arial" w:eastAsia="黑体" w:hAnsi="Arial" w:cs="Arial"/>
                <w:color w:val="000000"/>
                <w:szCs w:val="21"/>
              </w:rPr>
            </w:pPr>
            <w:r>
              <w:rPr>
                <w:rFonts w:ascii="Arial" w:eastAsia="黑体" w:hAnsi="Arial" w:cs="Arial"/>
                <w:color w:val="000000"/>
                <w:szCs w:val="21"/>
              </w:rPr>
              <w:t>企业债券</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1" w:right="2"/>
              <w:jc w:val="right"/>
              <w:rPr>
                <w:rFonts w:ascii="Arial" w:eastAsia="黑体" w:hAnsi="Arial" w:cs="Arial"/>
                <w:color w:val="000000"/>
                <w:szCs w:val="21"/>
              </w:rPr>
            </w:pPr>
            <w:r>
              <w:rPr>
                <w:rFonts w:ascii="Arial" w:eastAsia="黑体" w:hAnsi="Arial" w:cs="Arial"/>
                <w:color w:val="000000"/>
                <w:szCs w:val="21"/>
              </w:rPr>
              <w:t>1,445,276,349.59</w:t>
            </w:r>
          </w:p>
        </w:tc>
        <w:tc>
          <w:tcPr>
            <w:tcW w:w="110" w:type="dxa"/>
            <w:tcBorders>
              <w:top w:val="nil"/>
              <w:left w:val="nil"/>
              <w:bottom w:val="nil"/>
              <w:right w:val="nil"/>
            </w:tcBorders>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4" w:right="8"/>
              <w:jc w:val="right"/>
              <w:rPr>
                <w:rFonts w:ascii="Arial" w:eastAsia="黑体" w:hAnsi="Arial" w:cs="Arial"/>
                <w:color w:val="000000"/>
                <w:szCs w:val="21"/>
              </w:rPr>
            </w:pPr>
            <w:r>
              <w:rPr>
                <w:rFonts w:ascii="Arial" w:eastAsia="黑体" w:hAnsi="Arial" w:cs="Arial"/>
                <w:color w:val="000000"/>
                <w:szCs w:val="21"/>
              </w:rPr>
              <w:t>2,060,835,546.93</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502"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Chars="81" w:left="485" w:hangingChars="150" w:hanging="315"/>
              <w:rPr>
                <w:rFonts w:ascii="Arial" w:eastAsia="黑体" w:hAnsi="Arial" w:cs="Arial"/>
                <w:color w:val="000000"/>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rightChars="1" w:right="2"/>
              <w:jc w:val="right"/>
              <w:rPr>
                <w:rFonts w:ascii="Arial" w:eastAsia="黑体" w:hAnsi="Arial" w:cs="Arial"/>
                <w:color w:val="000000"/>
                <w:szCs w:val="21"/>
              </w:rPr>
            </w:pPr>
          </w:p>
        </w:tc>
        <w:tc>
          <w:tcPr>
            <w:tcW w:w="110" w:type="dxa"/>
            <w:tcBorders>
              <w:top w:val="nil"/>
              <w:left w:val="nil"/>
              <w:bottom w:val="nil"/>
              <w:right w:val="nil"/>
            </w:tcBorders>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rightChars="4" w:right="8"/>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50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信贷资产</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1" w:right="2"/>
              <w:jc w:val="right"/>
              <w:rPr>
                <w:rFonts w:ascii="Arial" w:eastAsia="黑体" w:hAnsi="Arial" w:cs="Arial"/>
                <w:color w:val="000000"/>
                <w:szCs w:val="21"/>
              </w:rPr>
            </w:pPr>
            <w:r>
              <w:rPr>
                <w:rFonts w:ascii="Arial" w:eastAsia="黑体" w:hAnsi="Arial" w:cs="Arial"/>
                <w:color w:val="000000"/>
                <w:szCs w:val="21"/>
              </w:rPr>
              <w:t>454,059,323.30</w:t>
            </w:r>
          </w:p>
        </w:tc>
        <w:tc>
          <w:tcPr>
            <w:tcW w:w="110" w:type="dxa"/>
            <w:tcBorders>
              <w:top w:val="nil"/>
              <w:left w:val="nil"/>
              <w:bottom w:val="nil"/>
              <w:right w:val="nil"/>
            </w:tcBorders>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4" w:right="8"/>
              <w:jc w:val="right"/>
              <w:rPr>
                <w:rFonts w:ascii="Arial" w:eastAsia="黑体" w:hAnsi="Arial" w:cs="Arial"/>
                <w:color w:val="000000"/>
                <w:szCs w:val="21"/>
              </w:rPr>
            </w:pPr>
            <w:r>
              <w:rPr>
                <w:rFonts w:ascii="Arial" w:eastAsia="黑体" w:hAnsi="Arial" w:cs="Arial"/>
                <w:color w:val="000000"/>
                <w:szCs w:val="21"/>
              </w:rPr>
              <w:t>1,221,350,285.15</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502"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Chars="81" w:left="485" w:hangingChars="150" w:hanging="315"/>
              <w:rPr>
                <w:rFonts w:ascii="Arial" w:eastAsia="黑体" w:hAnsi="Arial" w:cs="Arial"/>
                <w:color w:val="000000"/>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rightChars="1" w:right="2"/>
              <w:jc w:val="right"/>
              <w:rPr>
                <w:rFonts w:ascii="Arial" w:eastAsia="黑体" w:hAnsi="Arial" w:cs="Arial"/>
                <w:color w:val="000000"/>
                <w:szCs w:val="21"/>
              </w:rPr>
            </w:pPr>
          </w:p>
        </w:tc>
        <w:tc>
          <w:tcPr>
            <w:tcW w:w="110" w:type="dxa"/>
            <w:tcBorders>
              <w:top w:val="nil"/>
              <w:left w:val="nil"/>
              <w:bottom w:val="nil"/>
              <w:right w:val="nil"/>
            </w:tcBorders>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rightChars="4" w:right="8"/>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50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债权融资计划</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rightChars="1" w:right="2"/>
              <w:jc w:val="right"/>
              <w:rPr>
                <w:rFonts w:ascii="Arial" w:eastAsia="黑体" w:hAnsi="Arial" w:cs="Arial"/>
                <w:color w:val="000000"/>
                <w:szCs w:val="21"/>
              </w:rPr>
            </w:pPr>
            <w:r>
              <w:rPr>
                <w:rFonts w:ascii="Arial" w:eastAsia="黑体" w:hAnsi="Arial" w:cs="Arial"/>
                <w:color w:val="000000"/>
                <w:szCs w:val="21"/>
              </w:rPr>
              <w:t>330,000,000.00</w:t>
            </w:r>
          </w:p>
        </w:tc>
        <w:tc>
          <w:tcPr>
            <w:tcW w:w="110" w:type="dxa"/>
            <w:tcBorders>
              <w:top w:val="nil"/>
              <w:left w:val="nil"/>
              <w:bottom w:val="nil"/>
              <w:right w:val="nil"/>
            </w:tcBorders>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rightChars="4" w:right="8"/>
              <w:jc w:val="right"/>
              <w:rPr>
                <w:rFonts w:ascii="Arial" w:eastAsia="黑体" w:hAnsi="Arial" w:cs="Arial"/>
                <w:color w:val="000000"/>
                <w:szCs w:val="21"/>
              </w:rPr>
            </w:pPr>
            <w:r>
              <w:rPr>
                <w:rFonts w:ascii="Arial" w:eastAsia="黑体" w:hAnsi="Arial" w:cs="Arial"/>
                <w:color w:val="000000"/>
                <w:szCs w:val="21"/>
              </w:rPr>
              <w:t>575,000,000.00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502"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color w:val="000000"/>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rightChars="1" w:right="2"/>
              <w:jc w:val="right"/>
              <w:rPr>
                <w:rFonts w:ascii="Arial" w:eastAsia="黑体" w:hAnsi="Arial" w:cs="Arial"/>
                <w:color w:val="000000"/>
                <w:szCs w:val="21"/>
              </w:rPr>
            </w:pPr>
          </w:p>
        </w:tc>
        <w:tc>
          <w:tcPr>
            <w:tcW w:w="110" w:type="dxa"/>
            <w:tcBorders>
              <w:top w:val="nil"/>
              <w:left w:val="nil"/>
              <w:bottom w:val="nil"/>
              <w:right w:val="nil"/>
            </w:tcBorders>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rightChars="4" w:right="8"/>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502"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小计</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1" w:right="2"/>
              <w:jc w:val="right"/>
              <w:rPr>
                <w:rFonts w:ascii="Arial" w:eastAsia="黑体" w:hAnsi="Arial" w:cs="Arial"/>
                <w:color w:val="000000"/>
                <w:szCs w:val="21"/>
              </w:rPr>
            </w:pPr>
            <w:r>
              <w:rPr>
                <w:rFonts w:ascii="Arial" w:eastAsia="黑体" w:hAnsi="Arial" w:cs="Arial"/>
                <w:color w:val="000000"/>
                <w:szCs w:val="21"/>
              </w:rPr>
              <w:t>49,406,525,994.02</w:t>
            </w:r>
          </w:p>
        </w:tc>
        <w:tc>
          <w:tcPr>
            <w:tcW w:w="110" w:type="dxa"/>
            <w:tcBorders>
              <w:top w:val="nil"/>
              <w:left w:val="nil"/>
              <w:bottom w:val="nil"/>
              <w:right w:val="nil"/>
            </w:tcBorders>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4" w:right="8"/>
              <w:jc w:val="right"/>
              <w:rPr>
                <w:rFonts w:ascii="Arial" w:eastAsia="黑体" w:hAnsi="Arial" w:cs="Arial"/>
                <w:color w:val="000000"/>
                <w:szCs w:val="21"/>
              </w:rPr>
            </w:pPr>
            <w:r>
              <w:rPr>
                <w:rFonts w:ascii="Arial" w:eastAsia="黑体" w:hAnsi="Arial" w:cs="Arial"/>
                <w:color w:val="000000"/>
                <w:szCs w:val="21"/>
              </w:rPr>
              <w:t>44,651,859,836.41</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502"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1" w:right="2"/>
              <w:jc w:val="right"/>
              <w:rPr>
                <w:rFonts w:ascii="Arial" w:eastAsia="黑体" w:hAnsi="Arial" w:cs="Arial"/>
                <w:color w:val="000000"/>
                <w:szCs w:val="21"/>
              </w:rPr>
            </w:pPr>
          </w:p>
        </w:tc>
        <w:tc>
          <w:tcPr>
            <w:tcW w:w="110" w:type="dxa"/>
            <w:tcBorders>
              <w:top w:val="nil"/>
              <w:left w:val="nil"/>
              <w:bottom w:val="nil"/>
              <w:right w:val="nil"/>
            </w:tcBorders>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4" w:right="8"/>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502"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应计利息</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1" w:right="2"/>
              <w:jc w:val="right"/>
              <w:rPr>
                <w:rFonts w:ascii="Arial" w:eastAsia="黑体" w:hAnsi="Arial" w:cs="Arial"/>
                <w:color w:val="000000"/>
                <w:szCs w:val="21"/>
              </w:rPr>
            </w:pPr>
            <w:r>
              <w:rPr>
                <w:rFonts w:ascii="Arial" w:eastAsia="黑体" w:hAnsi="Arial" w:cs="Arial"/>
                <w:color w:val="000000"/>
                <w:szCs w:val="21"/>
              </w:rPr>
              <w:t>642,029,771.96</w:t>
            </w:r>
          </w:p>
        </w:tc>
        <w:tc>
          <w:tcPr>
            <w:tcW w:w="110" w:type="dxa"/>
            <w:tcBorders>
              <w:top w:val="nil"/>
              <w:left w:val="nil"/>
              <w:bottom w:val="nil"/>
              <w:right w:val="nil"/>
            </w:tcBorders>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4" w:right="8"/>
              <w:jc w:val="right"/>
              <w:rPr>
                <w:rFonts w:ascii="Arial" w:eastAsia="黑体" w:hAnsi="Arial" w:cs="Arial"/>
                <w:color w:val="000000"/>
                <w:szCs w:val="21"/>
              </w:rPr>
            </w:pPr>
            <w:r>
              <w:rPr>
                <w:rFonts w:ascii="Arial" w:eastAsia="黑体" w:hAnsi="Arial" w:cs="Arial"/>
                <w:color w:val="000000"/>
                <w:szCs w:val="21"/>
              </w:rPr>
              <w:t>560,190,677.51</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502"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single" w:sz="4" w:space="0" w:color="auto"/>
              <w:left w:val="nil"/>
              <w:bottom w:val="nil"/>
              <w:right w:val="nil"/>
            </w:tcBorders>
            <w:shd w:val="clear" w:color="auto" w:fill="auto"/>
            <w:noWrap/>
            <w:vAlign w:val="bottom"/>
          </w:tcPr>
          <w:p w:rsidR="00AD5BB5" w:rsidRDefault="00AD5BB5">
            <w:pPr>
              <w:tabs>
                <w:tab w:val="left" w:pos="1999"/>
              </w:tabs>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502"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630" w:hangingChars="300" w:hanging="630"/>
              <w:rPr>
                <w:rFonts w:ascii="Arial" w:eastAsia="黑体" w:hAnsi="Arial" w:cs="Arial"/>
                <w:szCs w:val="21"/>
              </w:rPr>
            </w:pPr>
            <w:r>
              <w:rPr>
                <w:rFonts w:ascii="Arial" w:eastAsia="黑体" w:hAnsi="Arial" w:cs="Arial"/>
                <w:szCs w:val="21"/>
              </w:rPr>
              <w:t>减：减值准备（附注五、</w:t>
            </w:r>
            <w:r>
              <w:rPr>
                <w:rFonts w:ascii="Arial" w:eastAsia="黑体" w:hAnsi="Arial" w:cs="Arial"/>
                <w:szCs w:val="21"/>
              </w:rPr>
              <w:t>17</w:t>
            </w:r>
            <w:r>
              <w:rPr>
                <w:rFonts w:ascii="Arial" w:eastAsia="黑体" w:hAnsi="Arial" w:cs="Arial"/>
                <w:szCs w:val="21"/>
              </w:rPr>
              <w:t>）</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(130,904,326.66</w:t>
            </w:r>
          </w:p>
        </w:tc>
        <w:tc>
          <w:tcPr>
            <w:tcW w:w="110" w:type="dxa"/>
            <w:tcBorders>
              <w:top w:val="nil"/>
              <w:left w:val="nil"/>
              <w:bottom w:val="nil"/>
              <w:right w:val="nil"/>
            </w:tcBorders>
            <w:vAlign w:val="bottom"/>
          </w:tcPr>
          <w:p w:rsidR="00AD5BB5" w:rsidRDefault="00F87FF6">
            <w:pPr>
              <w:kinsoku w:val="0"/>
              <w:overflowPunct w:val="0"/>
              <w:autoSpaceDE w:val="0"/>
              <w:autoSpaceDN w:val="0"/>
              <w:adjustRightInd w:val="0"/>
              <w:snapToGrid w:val="0"/>
              <w:rPr>
                <w:rFonts w:ascii="Arial" w:eastAsia="黑体" w:hAnsi="Arial" w:cs="Arial"/>
                <w:szCs w:val="21"/>
              </w:rPr>
            </w:pPr>
            <w:r>
              <w:rPr>
                <w:rFonts w:ascii="Arial" w:eastAsia="黑体" w:hAnsi="Arial" w:cs="Arial"/>
                <w:szCs w:val="21"/>
              </w:rPr>
              <w:t>)</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(167,887,380.73</w:t>
            </w:r>
          </w:p>
        </w:tc>
        <w:tc>
          <w:tcPr>
            <w:tcW w:w="110"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Cs w:val="21"/>
              </w:rPr>
            </w:pPr>
            <w:r>
              <w:rPr>
                <w:rFonts w:ascii="Arial" w:eastAsia="黑体" w:hAnsi="Arial" w:cs="Arial"/>
                <w:color w:val="000000"/>
                <w:szCs w:val="21"/>
              </w:rPr>
              <w:t>)</w:t>
            </w:r>
          </w:p>
        </w:tc>
      </w:tr>
      <w:tr w:rsidR="00AD5BB5">
        <w:tc>
          <w:tcPr>
            <w:tcW w:w="3502"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single" w:sz="4" w:space="0" w:color="auto"/>
              <w:left w:val="nil"/>
              <w:bottom w:val="nil"/>
              <w:right w:val="nil"/>
            </w:tcBorders>
            <w:shd w:val="clear" w:color="auto" w:fill="auto"/>
            <w:noWrap/>
            <w:vAlign w:val="bottom"/>
          </w:tcPr>
          <w:p w:rsidR="00AD5BB5" w:rsidRDefault="00AD5BB5">
            <w:pPr>
              <w:tabs>
                <w:tab w:val="left" w:pos="1999"/>
              </w:tabs>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502"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合计</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17"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rightChars="7" w:right="15"/>
              <w:jc w:val="right"/>
              <w:rPr>
                <w:rFonts w:ascii="Arial" w:eastAsia="黑体" w:hAnsi="Arial" w:cs="Arial"/>
                <w:color w:val="000000"/>
                <w:szCs w:val="21"/>
              </w:rPr>
            </w:pPr>
            <w:r>
              <w:rPr>
                <w:rFonts w:ascii="Arial" w:eastAsia="黑体" w:hAnsi="Arial" w:cs="Arial"/>
                <w:color w:val="000000"/>
                <w:szCs w:val="21"/>
              </w:rPr>
              <w:t>49,917,651,439.32</w:t>
            </w:r>
          </w:p>
        </w:tc>
        <w:tc>
          <w:tcPr>
            <w:tcW w:w="110" w:type="dxa"/>
            <w:tcBorders>
              <w:top w:val="nil"/>
              <w:left w:val="nil"/>
              <w:bottom w:val="nil"/>
              <w:right w:val="nil"/>
            </w:tcBorders>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rightChars="4" w:right="8"/>
              <w:jc w:val="right"/>
              <w:rPr>
                <w:rFonts w:ascii="Arial" w:eastAsia="黑体" w:hAnsi="Arial" w:cs="Arial"/>
                <w:color w:val="000000"/>
                <w:szCs w:val="21"/>
              </w:rPr>
            </w:pPr>
            <w:r>
              <w:rPr>
                <w:rFonts w:ascii="Arial" w:eastAsia="黑体" w:hAnsi="Arial" w:cs="Arial"/>
                <w:color w:val="000000"/>
                <w:szCs w:val="21"/>
              </w:rPr>
              <w:t>45,044,163,133.19</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bl>
    <w:p w:rsidR="00AD5BB5" w:rsidRDefault="00AD5BB5">
      <w:pPr>
        <w:overflowPunct w:val="0"/>
        <w:autoSpaceDE w:val="0"/>
        <w:autoSpaceDN w:val="0"/>
        <w:rPr>
          <w:rFonts w:ascii="Arial" w:eastAsia="黑体" w:hAnsi="Arial" w:cs="Arial"/>
          <w:sz w:val="20"/>
        </w:rPr>
      </w:pPr>
    </w:p>
    <w:p w:rsidR="00AD5BB5" w:rsidRDefault="00F87FF6">
      <w:pPr>
        <w:overflowPunct w:val="0"/>
        <w:autoSpaceDE w:val="0"/>
        <w:autoSpaceDN w:val="0"/>
        <w:rPr>
          <w:rFonts w:ascii="Arial" w:eastAsia="黑体" w:hAnsi="Arial" w:cs="Arial"/>
          <w:szCs w:val="21"/>
        </w:rPr>
      </w:pPr>
      <w:r>
        <w:rPr>
          <w:rFonts w:ascii="Arial" w:eastAsia="黑体" w:hAnsi="Arial" w:cs="Arial"/>
          <w:szCs w:val="21"/>
        </w:rPr>
        <w:t>于</w:t>
      </w:r>
      <w:r>
        <w:rPr>
          <w:rFonts w:ascii="Arial" w:eastAsia="黑体" w:hAnsi="Arial" w:cs="Arial"/>
          <w:szCs w:val="21"/>
        </w:rPr>
        <w:t>2023</w:t>
      </w:r>
      <w:r>
        <w:rPr>
          <w:rFonts w:ascii="Arial" w:eastAsia="黑体" w:hAnsi="Arial" w:cs="Arial"/>
          <w:szCs w:val="21"/>
        </w:rPr>
        <w:t>年</w:t>
      </w:r>
      <w:r>
        <w:rPr>
          <w:rFonts w:ascii="Arial" w:eastAsia="黑体" w:hAnsi="Arial" w:cs="Arial"/>
          <w:szCs w:val="21"/>
        </w:rPr>
        <w:t>6</w:t>
      </w:r>
      <w:r>
        <w:rPr>
          <w:rFonts w:ascii="Arial" w:eastAsia="黑体" w:hAnsi="Arial" w:cs="Arial"/>
          <w:szCs w:val="21"/>
        </w:rPr>
        <w:t>月</w:t>
      </w:r>
      <w:r>
        <w:rPr>
          <w:rFonts w:ascii="Arial" w:eastAsia="黑体" w:hAnsi="Arial" w:cs="Arial"/>
          <w:szCs w:val="21"/>
        </w:rPr>
        <w:t>30</w:t>
      </w:r>
      <w:r>
        <w:rPr>
          <w:rFonts w:ascii="Arial" w:eastAsia="黑体" w:hAnsi="Arial" w:cs="Arial"/>
          <w:szCs w:val="21"/>
        </w:rPr>
        <w:t>日，本集团投资的债券中有人民币</w:t>
      </w:r>
      <w:r>
        <w:rPr>
          <w:rFonts w:ascii="Arial" w:eastAsia="黑体" w:hAnsi="Arial" w:cs="Arial"/>
          <w:szCs w:val="21"/>
        </w:rPr>
        <w:t>7,452,589,148.90</w:t>
      </w:r>
      <w:r>
        <w:rPr>
          <w:rFonts w:ascii="Arial" w:eastAsia="黑体" w:hAnsi="Arial" w:cs="Arial"/>
          <w:szCs w:val="21"/>
        </w:rPr>
        <w:t>元质押于卖出回购协议（</w:t>
      </w:r>
      <w:r>
        <w:rPr>
          <w:rFonts w:ascii="Arial" w:eastAsia="黑体" w:hAnsi="Arial" w:cs="Arial"/>
          <w:szCs w:val="21"/>
        </w:rPr>
        <w:t>2022</w:t>
      </w:r>
      <w:r>
        <w:rPr>
          <w:rFonts w:ascii="Arial" w:eastAsia="黑体" w:hAnsi="Arial" w:cs="Arial"/>
          <w:szCs w:val="21"/>
        </w:rPr>
        <w:t>年</w:t>
      </w:r>
      <w:r>
        <w:rPr>
          <w:rFonts w:ascii="Arial" w:eastAsia="黑体" w:hAnsi="Arial" w:cs="Arial"/>
          <w:szCs w:val="21"/>
        </w:rPr>
        <w:t>12</w:t>
      </w:r>
      <w:r>
        <w:rPr>
          <w:rFonts w:ascii="Arial" w:eastAsia="黑体" w:hAnsi="Arial" w:cs="Arial"/>
          <w:szCs w:val="21"/>
        </w:rPr>
        <w:t>月</w:t>
      </w:r>
      <w:r>
        <w:rPr>
          <w:rFonts w:ascii="Arial" w:eastAsia="黑体" w:hAnsi="Arial" w:cs="Arial"/>
          <w:szCs w:val="21"/>
        </w:rPr>
        <w:t>31</w:t>
      </w:r>
      <w:r>
        <w:rPr>
          <w:rFonts w:ascii="Arial" w:eastAsia="黑体" w:hAnsi="Arial" w:cs="Arial"/>
          <w:szCs w:val="21"/>
        </w:rPr>
        <w:t>日：人民币</w:t>
      </w:r>
      <w:r>
        <w:rPr>
          <w:rFonts w:ascii="Arial" w:eastAsia="黑体" w:hAnsi="Arial" w:cs="Arial"/>
          <w:szCs w:val="21"/>
        </w:rPr>
        <w:t>5,343,104,571.18</w:t>
      </w:r>
      <w:r>
        <w:rPr>
          <w:rFonts w:ascii="Arial" w:eastAsia="黑体" w:hAnsi="Arial" w:cs="Arial"/>
          <w:szCs w:val="21"/>
        </w:rPr>
        <w:t>元）；本集团投资的债券中有人民币</w:t>
      </w:r>
      <w:r>
        <w:rPr>
          <w:rFonts w:ascii="Arial" w:eastAsia="黑体" w:hAnsi="Arial" w:cs="Arial"/>
          <w:szCs w:val="21"/>
        </w:rPr>
        <w:t>5,141,792,284.09</w:t>
      </w:r>
      <w:r>
        <w:rPr>
          <w:rFonts w:ascii="Arial" w:eastAsia="黑体" w:hAnsi="Arial" w:cs="Arial"/>
          <w:szCs w:val="21"/>
        </w:rPr>
        <w:t>元质押于国库定期存款（</w:t>
      </w:r>
      <w:r>
        <w:rPr>
          <w:rFonts w:ascii="Arial" w:eastAsia="黑体" w:hAnsi="Arial" w:cs="Arial"/>
          <w:szCs w:val="21"/>
        </w:rPr>
        <w:t>2022</w:t>
      </w:r>
      <w:r>
        <w:rPr>
          <w:rFonts w:ascii="Arial" w:eastAsia="黑体" w:hAnsi="Arial" w:cs="Arial"/>
          <w:szCs w:val="21"/>
        </w:rPr>
        <w:t>年</w:t>
      </w:r>
      <w:r>
        <w:rPr>
          <w:rFonts w:ascii="Arial" w:eastAsia="黑体" w:hAnsi="Arial" w:cs="Arial"/>
          <w:szCs w:val="21"/>
        </w:rPr>
        <w:t>12</w:t>
      </w:r>
      <w:r>
        <w:rPr>
          <w:rFonts w:ascii="Arial" w:eastAsia="黑体" w:hAnsi="Arial" w:cs="Arial"/>
          <w:szCs w:val="21"/>
        </w:rPr>
        <w:t>月</w:t>
      </w:r>
      <w:r>
        <w:rPr>
          <w:rFonts w:ascii="Arial" w:eastAsia="黑体" w:hAnsi="Arial" w:cs="Arial"/>
          <w:szCs w:val="21"/>
        </w:rPr>
        <w:t>31</w:t>
      </w:r>
      <w:r>
        <w:rPr>
          <w:rFonts w:ascii="Arial" w:eastAsia="黑体" w:hAnsi="Arial" w:cs="Arial"/>
          <w:szCs w:val="21"/>
        </w:rPr>
        <w:t>日：人民币</w:t>
      </w:r>
      <w:r>
        <w:rPr>
          <w:rFonts w:ascii="Arial" w:eastAsia="黑体" w:hAnsi="Arial" w:cs="Arial"/>
          <w:szCs w:val="21"/>
        </w:rPr>
        <w:t>3,430,846,116.51</w:t>
      </w:r>
      <w:r>
        <w:rPr>
          <w:rFonts w:ascii="Arial" w:eastAsia="黑体" w:hAnsi="Arial" w:cs="Arial"/>
          <w:szCs w:val="21"/>
        </w:rPr>
        <w:t>元</w:t>
      </w:r>
      <w:r>
        <w:rPr>
          <w:rFonts w:ascii="Arial" w:eastAsia="黑体" w:hAnsi="Arial" w:cs="Arial"/>
          <w:szCs w:val="21"/>
        </w:rPr>
        <w:t>)</w:t>
      </w:r>
      <w:r>
        <w:rPr>
          <w:rFonts w:ascii="Arial" w:eastAsia="黑体" w:hAnsi="Arial" w:cs="Arial"/>
          <w:szCs w:val="21"/>
        </w:rPr>
        <w:t>；本集团投资的债券中有人民币</w:t>
      </w:r>
      <w:r>
        <w:rPr>
          <w:rFonts w:ascii="Arial" w:eastAsia="黑体" w:hAnsi="Arial" w:cs="Arial"/>
          <w:szCs w:val="21"/>
        </w:rPr>
        <w:t>9,521,012,705.90</w:t>
      </w:r>
      <w:r>
        <w:rPr>
          <w:rFonts w:ascii="Arial" w:eastAsia="黑体" w:hAnsi="Arial" w:cs="Arial"/>
          <w:szCs w:val="21"/>
        </w:rPr>
        <w:t>元质押于向中央银行借款协议（</w:t>
      </w:r>
      <w:r>
        <w:rPr>
          <w:rFonts w:ascii="Arial" w:eastAsia="黑体" w:hAnsi="Arial" w:cs="Arial"/>
          <w:szCs w:val="21"/>
        </w:rPr>
        <w:t>2022</w:t>
      </w:r>
      <w:r>
        <w:rPr>
          <w:rFonts w:ascii="Arial" w:eastAsia="黑体" w:hAnsi="Arial" w:cs="Arial"/>
          <w:szCs w:val="21"/>
        </w:rPr>
        <w:t>年</w:t>
      </w:r>
      <w:r>
        <w:rPr>
          <w:rFonts w:ascii="Arial" w:eastAsia="黑体" w:hAnsi="Arial" w:cs="Arial"/>
          <w:szCs w:val="21"/>
        </w:rPr>
        <w:t>12</w:t>
      </w:r>
      <w:r>
        <w:rPr>
          <w:rFonts w:ascii="Arial" w:eastAsia="黑体" w:hAnsi="Arial" w:cs="Arial"/>
          <w:szCs w:val="21"/>
        </w:rPr>
        <w:t>月</w:t>
      </w:r>
      <w:r>
        <w:rPr>
          <w:rFonts w:ascii="Arial" w:eastAsia="黑体" w:hAnsi="Arial" w:cs="Arial"/>
          <w:szCs w:val="21"/>
        </w:rPr>
        <w:t>31</w:t>
      </w:r>
      <w:r>
        <w:rPr>
          <w:rFonts w:ascii="Arial" w:eastAsia="黑体" w:hAnsi="Arial" w:cs="Arial"/>
          <w:szCs w:val="21"/>
        </w:rPr>
        <w:t>日：人民币</w:t>
      </w:r>
      <w:r>
        <w:rPr>
          <w:rFonts w:ascii="Arial" w:eastAsia="黑体" w:hAnsi="Arial" w:cs="Arial"/>
          <w:szCs w:val="21"/>
        </w:rPr>
        <w:t>9,964,976,372.19</w:t>
      </w:r>
      <w:r>
        <w:rPr>
          <w:rFonts w:ascii="Arial" w:eastAsia="黑体" w:hAnsi="Arial" w:cs="Arial"/>
          <w:szCs w:val="21"/>
        </w:rPr>
        <w:t>元）。</w:t>
      </w:r>
    </w:p>
    <w:p w:rsidR="00AD5BB5" w:rsidRDefault="00AD5BB5">
      <w:pPr>
        <w:overflowPunct w:val="0"/>
        <w:autoSpaceDE w:val="0"/>
        <w:autoSpaceDN w:val="0"/>
        <w:rPr>
          <w:rFonts w:ascii="Arial" w:eastAsia="黑体" w:hAnsi="Arial" w:cs="Arial"/>
          <w:sz w:val="20"/>
        </w:rPr>
      </w:pPr>
    </w:p>
    <w:p w:rsidR="00AD5BB5" w:rsidRDefault="00F87FF6">
      <w:pPr>
        <w:overflowPunct w:val="0"/>
        <w:autoSpaceDE w:val="0"/>
        <w:autoSpaceDN w:val="0"/>
        <w:adjustRightInd w:val="0"/>
        <w:snapToGrid w:val="0"/>
        <w:textAlignment w:val="bottom"/>
        <w:rPr>
          <w:rFonts w:ascii="Arial" w:eastAsia="黑体" w:hAnsi="Arial" w:cs="Arial"/>
          <w:snapToGrid w:val="0"/>
          <w:szCs w:val="21"/>
        </w:rPr>
      </w:pPr>
      <w:r>
        <w:rPr>
          <w:rFonts w:ascii="Arial" w:eastAsia="黑体" w:hAnsi="Arial" w:cs="Arial"/>
          <w:snapToGrid w:val="0"/>
          <w:szCs w:val="21"/>
        </w:rPr>
        <w:t>债权投资减值准备变动情况列示如下：</w:t>
      </w:r>
    </w:p>
    <w:tbl>
      <w:tblPr>
        <w:tblW w:w="8426" w:type="dxa"/>
        <w:tblLayout w:type="fixed"/>
        <w:tblCellMar>
          <w:left w:w="0" w:type="dxa"/>
          <w:right w:w="0" w:type="dxa"/>
        </w:tblCellMar>
        <w:tblLook w:val="04A0" w:firstRow="1" w:lastRow="0" w:firstColumn="1" w:lastColumn="0" w:noHBand="0" w:noVBand="1"/>
        <w:tblCaption w:val="0b7d2152-9d97-49b6-aaf9-df9228ed0b3f"/>
        <w:tblDescription w:val="{&quot;UUID&quot;:&quot;afsaddin_tabledata_2_56437_0b7d2152-9d97-49b6-aaf9-df9228ed0b3f&quot;,&quot;TitleRowCount&quot;:3,&quot;SplitedTable&quot;:false,&quot;FirstTableId&quot;:&quot;0b7d2152-9d97-49b6-aaf9-df9228ed0b3f&quot;}"/>
      </w:tblPr>
      <w:tblGrid>
        <w:gridCol w:w="2083"/>
        <w:gridCol w:w="107"/>
        <w:gridCol w:w="1708"/>
        <w:gridCol w:w="108"/>
        <w:gridCol w:w="108"/>
        <w:gridCol w:w="1263"/>
        <w:gridCol w:w="108"/>
        <w:gridCol w:w="108"/>
        <w:gridCol w:w="1202"/>
        <w:gridCol w:w="108"/>
        <w:gridCol w:w="108"/>
        <w:gridCol w:w="1307"/>
        <w:gridCol w:w="108"/>
      </w:tblGrid>
      <w:tr w:rsidR="00AD5BB5">
        <w:tc>
          <w:tcPr>
            <w:tcW w:w="2083"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6128" w:type="dxa"/>
            <w:gridSpan w:val="10"/>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fldChar w:fldCharType="begin"/>
            </w:r>
            <w:r>
              <w:rPr>
                <w:rFonts w:ascii="Arial" w:eastAsia="黑体" w:hAnsi="Arial" w:cs="Arial"/>
                <w:sz w:val="16"/>
                <w:szCs w:val="16"/>
              </w:rPr>
              <w:instrText xml:space="preserve"> DOCPROPERTY </w:instrText>
            </w:r>
            <w:r>
              <w:rPr>
                <w:rFonts w:ascii="Arial" w:eastAsia="黑体" w:hAnsi="Arial" w:cs="Arial"/>
                <w:sz w:val="16"/>
                <w:szCs w:val="16"/>
              </w:rPr>
              <w:instrText>自定义</w:instrText>
            </w:r>
            <w:r>
              <w:rPr>
                <w:rFonts w:ascii="Arial" w:eastAsia="黑体" w:hAnsi="Arial" w:cs="Arial"/>
                <w:sz w:val="16"/>
                <w:szCs w:val="16"/>
              </w:rPr>
              <w:instrText xml:space="preserve">1 </w:instrText>
            </w:r>
            <w:r>
              <w:rPr>
                <w:rFonts w:ascii="Arial" w:eastAsia="黑体" w:hAnsi="Arial" w:cs="Arial"/>
                <w:sz w:val="16"/>
                <w:szCs w:val="16"/>
              </w:rPr>
              <w:fldChar w:fldCharType="separate"/>
            </w:r>
            <w:r>
              <w:rPr>
                <w:rFonts w:ascii="Arial" w:eastAsia="黑体" w:hAnsi="Arial" w:cs="Arial"/>
                <w:sz w:val="16"/>
                <w:szCs w:val="16"/>
              </w:rPr>
              <w:t>2023</w:t>
            </w:r>
            <w:r>
              <w:rPr>
                <w:rFonts w:ascii="Arial" w:eastAsia="黑体" w:hAnsi="Arial" w:cs="Arial"/>
                <w:sz w:val="16"/>
                <w:szCs w:val="16"/>
              </w:rPr>
              <w:t>年</w:t>
            </w:r>
            <w:r>
              <w:rPr>
                <w:rFonts w:ascii="Arial" w:eastAsia="黑体" w:hAnsi="Arial" w:cs="Arial"/>
                <w:sz w:val="16"/>
                <w:szCs w:val="16"/>
              </w:rPr>
              <w:t>1-6</w:t>
            </w:r>
            <w:r>
              <w:rPr>
                <w:rFonts w:ascii="Arial" w:eastAsia="黑体" w:hAnsi="Arial" w:cs="Arial"/>
                <w:sz w:val="16"/>
                <w:szCs w:val="16"/>
              </w:rPr>
              <w:t>月</w:t>
            </w:r>
            <w:r>
              <w:rPr>
                <w:rFonts w:ascii="Arial" w:eastAsia="黑体" w:hAnsi="Arial" w:cs="Arial"/>
                <w:sz w:val="16"/>
                <w:szCs w:val="16"/>
              </w:rPr>
              <w:fldChar w:fldCharType="end"/>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083" w:type="dxa"/>
            <w:tcBorders>
              <w:top w:val="nil"/>
              <w:left w:val="nil"/>
              <w:bottom w:val="nil"/>
              <w:right w:val="nil"/>
            </w:tcBorders>
            <w:vAlign w:val="bottom"/>
          </w:tcPr>
          <w:p w:rsidR="00AD5BB5" w:rsidRDefault="00AD5BB5">
            <w:pPr>
              <w:autoSpaceDE w:val="0"/>
              <w:autoSpaceDN w:val="0"/>
              <w:ind w:left="240" w:hangingChars="150" w:hanging="240"/>
              <w:jc w:val="center"/>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708" w:type="dxa"/>
            <w:tcBorders>
              <w:top w:val="single" w:sz="4" w:space="0" w:color="auto"/>
              <w:left w:val="nil"/>
              <w:bottom w:val="single" w:sz="4" w:space="0" w:color="auto"/>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12</w:t>
            </w:r>
            <w:r>
              <w:rPr>
                <w:rFonts w:ascii="Arial" w:eastAsia="黑体" w:hAnsi="Arial" w:cs="Arial"/>
                <w:sz w:val="16"/>
                <w:szCs w:val="16"/>
              </w:rPr>
              <w:t>个月预期信用损失</w:t>
            </w:r>
          </w:p>
        </w:tc>
        <w:tc>
          <w:tcPr>
            <w:tcW w:w="108"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8"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2681" w:type="dxa"/>
            <w:gridSpan w:val="4"/>
            <w:tcBorders>
              <w:top w:val="single" w:sz="4" w:space="0" w:color="auto"/>
              <w:left w:val="nil"/>
              <w:bottom w:val="single" w:sz="4" w:space="0" w:color="auto"/>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整个存续期预期信用损失</w:t>
            </w:r>
          </w:p>
        </w:tc>
        <w:tc>
          <w:tcPr>
            <w:tcW w:w="108"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7" w:type="dxa"/>
            <w:vMerge w:val="restart"/>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合计</w:t>
            </w:r>
          </w:p>
        </w:tc>
        <w:tc>
          <w:tcPr>
            <w:tcW w:w="10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r>
      <w:tr w:rsidR="00AD5BB5">
        <w:tc>
          <w:tcPr>
            <w:tcW w:w="2083" w:type="dxa"/>
            <w:tcBorders>
              <w:top w:val="nil"/>
              <w:left w:val="nil"/>
              <w:bottom w:val="nil"/>
              <w:right w:val="nil"/>
            </w:tcBorders>
            <w:vAlign w:val="bottom"/>
          </w:tcPr>
          <w:p w:rsidR="00AD5BB5" w:rsidRDefault="00AD5BB5">
            <w:pPr>
              <w:autoSpaceDE w:val="0"/>
              <w:autoSpaceDN w:val="0"/>
              <w:ind w:left="240" w:hangingChars="150" w:hanging="24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708"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阶段</w:t>
            </w:r>
            <w:proofErr w:type="gramStart"/>
            <w:r>
              <w:rPr>
                <w:rFonts w:ascii="Arial" w:eastAsia="黑体" w:hAnsi="Arial" w:cs="Arial"/>
                <w:sz w:val="16"/>
                <w:szCs w:val="16"/>
              </w:rPr>
              <w:t>一</w:t>
            </w:r>
            <w:proofErr w:type="gramEnd"/>
          </w:p>
        </w:tc>
        <w:tc>
          <w:tcPr>
            <w:tcW w:w="108"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263"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阶段二</w:t>
            </w:r>
          </w:p>
        </w:tc>
        <w:tc>
          <w:tcPr>
            <w:tcW w:w="108"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8"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202"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阶段三</w:t>
            </w:r>
          </w:p>
        </w:tc>
        <w:tc>
          <w:tcPr>
            <w:tcW w:w="108"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307" w:type="dxa"/>
            <w:vMerge/>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083"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fldChar w:fldCharType="begin"/>
            </w:r>
            <w:r>
              <w:rPr>
                <w:rFonts w:ascii="Arial" w:eastAsia="黑体" w:hAnsi="Arial" w:cs="Arial"/>
                <w:sz w:val="16"/>
                <w:szCs w:val="16"/>
              </w:rPr>
              <w:instrText xml:space="preserve"> DOCPROPERTY </w:instrText>
            </w:r>
            <w:r>
              <w:rPr>
                <w:rFonts w:ascii="Arial" w:eastAsia="黑体" w:hAnsi="Arial" w:cs="Arial"/>
                <w:sz w:val="16"/>
                <w:szCs w:val="16"/>
              </w:rPr>
              <w:instrText>当期会计期间</w:instrText>
            </w:r>
            <w:r>
              <w:rPr>
                <w:rFonts w:ascii="Arial" w:eastAsia="黑体" w:hAnsi="Arial" w:cs="Arial"/>
                <w:sz w:val="16"/>
                <w:szCs w:val="16"/>
              </w:rPr>
              <w:instrText xml:space="preserve"> </w:instrText>
            </w:r>
            <w:r>
              <w:rPr>
                <w:rFonts w:ascii="Arial" w:eastAsia="黑体" w:hAnsi="Arial" w:cs="Arial"/>
                <w:sz w:val="16"/>
                <w:szCs w:val="16"/>
              </w:rPr>
              <w:fldChar w:fldCharType="separate"/>
            </w:r>
            <w:r>
              <w:rPr>
                <w:rFonts w:ascii="Arial" w:eastAsia="黑体" w:hAnsi="Arial" w:cs="Arial"/>
                <w:sz w:val="16"/>
                <w:szCs w:val="16"/>
              </w:rPr>
              <w:t>2023</w:t>
            </w:r>
            <w:r>
              <w:rPr>
                <w:rFonts w:ascii="Arial" w:eastAsia="黑体" w:hAnsi="Arial" w:cs="Arial"/>
                <w:sz w:val="16"/>
                <w:szCs w:val="16"/>
              </w:rPr>
              <w:fldChar w:fldCharType="end"/>
            </w:r>
            <w:r>
              <w:rPr>
                <w:rFonts w:ascii="Arial" w:eastAsia="黑体" w:hAnsi="Arial" w:cs="Arial"/>
                <w:sz w:val="16"/>
                <w:szCs w:val="16"/>
              </w:rPr>
              <w:t>年</w:t>
            </w:r>
            <w:r>
              <w:rPr>
                <w:rFonts w:ascii="Arial" w:eastAsia="黑体" w:hAnsi="Arial" w:cs="Arial"/>
                <w:sz w:val="16"/>
                <w:szCs w:val="16"/>
              </w:rPr>
              <w:t>1</w:t>
            </w:r>
            <w:r>
              <w:rPr>
                <w:rFonts w:ascii="Arial" w:eastAsia="黑体" w:hAnsi="Arial" w:cs="Arial"/>
                <w:sz w:val="16"/>
                <w:szCs w:val="16"/>
              </w:rPr>
              <w:t>月</w:t>
            </w:r>
            <w:r>
              <w:rPr>
                <w:rFonts w:ascii="Arial" w:eastAsia="黑体" w:hAnsi="Arial" w:cs="Arial"/>
                <w:sz w:val="16"/>
                <w:szCs w:val="16"/>
              </w:rPr>
              <w:t>1</w:t>
            </w:r>
            <w:r>
              <w:rPr>
                <w:rFonts w:ascii="Arial" w:eastAsia="黑体" w:hAnsi="Arial" w:cs="Arial"/>
                <w:sz w:val="16"/>
                <w:szCs w:val="16"/>
              </w:rPr>
              <w:t>日</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70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85,910,837.54</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6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728,712.15</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81,247,831.04</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167,887,380.73</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083"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70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6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083"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本期计提</w:t>
            </w:r>
            <w:r>
              <w:rPr>
                <w:rFonts w:ascii="Arial" w:eastAsia="黑体" w:hAnsi="Arial" w:cs="Arial"/>
                <w:sz w:val="16"/>
                <w:szCs w:val="16"/>
              </w:rPr>
              <w:t>/</w:t>
            </w:r>
            <w:r>
              <w:rPr>
                <w:rFonts w:ascii="Arial" w:eastAsia="黑体" w:hAnsi="Arial" w:cs="Arial"/>
                <w:sz w:val="16"/>
                <w:szCs w:val="16"/>
              </w:rPr>
              <w:t>（回拨）</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70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44,444,795.88</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6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(728,712.15</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49,452,168.96</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93,168,252.69</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083"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核销</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70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6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(130,700,000.00</w:t>
            </w:r>
          </w:p>
        </w:tc>
        <w:tc>
          <w:tcPr>
            <w:tcW w:w="108" w:type="dxa"/>
            <w:tcBorders>
              <w:top w:val="nil"/>
              <w:left w:val="nil"/>
              <w:bottom w:val="nil"/>
              <w:right w:val="nil"/>
            </w:tcBorders>
            <w:vAlign w:val="bottom"/>
          </w:tcPr>
          <w:p w:rsidR="00AD5BB5" w:rsidRDefault="00F87FF6">
            <w:pPr>
              <w:autoSpaceDE w:val="0"/>
              <w:autoSpaceDN w:val="0"/>
              <w:ind w:right="160"/>
              <w:rPr>
                <w:rFonts w:ascii="Arial" w:eastAsia="黑体" w:hAnsi="Arial" w:cs="Arial"/>
                <w:sz w:val="16"/>
                <w:szCs w:val="16"/>
              </w:rPr>
            </w:pPr>
            <w:r>
              <w:rPr>
                <w:rFonts w:ascii="Arial" w:eastAsia="黑体" w:hAnsi="Arial" w:cs="Arial"/>
                <w:sz w:val="16"/>
                <w:szCs w:val="16"/>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(130,700,000.00</w:t>
            </w:r>
          </w:p>
        </w:tc>
        <w:tc>
          <w:tcPr>
            <w:tcW w:w="108" w:type="dxa"/>
            <w:tcBorders>
              <w:top w:val="nil"/>
              <w:left w:val="nil"/>
              <w:bottom w:val="nil"/>
              <w:right w:val="nil"/>
            </w:tcBorders>
            <w:vAlign w:val="bottom"/>
          </w:tcPr>
          <w:p w:rsidR="00AD5BB5" w:rsidRDefault="00F87FF6">
            <w:pPr>
              <w:autoSpaceDE w:val="0"/>
              <w:autoSpaceDN w:val="0"/>
              <w:ind w:right="160"/>
              <w:rPr>
                <w:rFonts w:ascii="Arial" w:eastAsia="黑体" w:hAnsi="Arial" w:cs="Arial"/>
                <w:sz w:val="16"/>
                <w:szCs w:val="16"/>
              </w:rPr>
            </w:pPr>
            <w:r>
              <w:rPr>
                <w:rFonts w:ascii="Arial" w:eastAsia="黑体" w:hAnsi="Arial" w:cs="Arial"/>
                <w:sz w:val="16"/>
                <w:szCs w:val="16"/>
              </w:rPr>
              <w:t>)</w:t>
            </w:r>
          </w:p>
        </w:tc>
      </w:tr>
      <w:tr w:rsidR="00AD5BB5">
        <w:tc>
          <w:tcPr>
            <w:tcW w:w="2083"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其他</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70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548,693.24</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6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548,693.24</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083"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70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6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083"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期末余额（附注五、</w:t>
            </w:r>
            <w:r>
              <w:rPr>
                <w:rFonts w:ascii="Arial" w:eastAsia="黑体" w:hAnsi="Arial" w:cs="Arial"/>
                <w:sz w:val="16"/>
                <w:szCs w:val="16"/>
              </w:rPr>
              <w:t>17</w:t>
            </w: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70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130,904,326.66</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6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130,904,326.66</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bl>
    <w:p w:rsidR="00AD5BB5" w:rsidRDefault="00F87FF6">
      <w:pPr>
        <w:rPr>
          <w:rFonts w:ascii="Arial" w:eastAsia="黑体" w:hAnsi="Arial" w:cs="Arial"/>
          <w:snapToGrid w:val="0"/>
          <w:szCs w:val="21"/>
        </w:rPr>
      </w:pPr>
      <w:r>
        <w:rPr>
          <w:rFonts w:ascii="Arial" w:eastAsia="黑体" w:hAnsi="Arial" w:cs="Arial"/>
          <w:snapToGrid w:val="0"/>
          <w:szCs w:val="21"/>
        </w:rPr>
        <w:br w:type="page"/>
      </w:r>
    </w:p>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b/>
          <w:snapToGrid w:val="0"/>
          <w:szCs w:val="21"/>
        </w:rPr>
      </w:pPr>
      <w:bookmarkStart w:id="117" w:name="afsaddin_WithXu_2e9fd098823a4c5086f12cfc"/>
      <w:r>
        <w:rPr>
          <w:rFonts w:ascii="Arial" w:eastAsia="黑体" w:hAnsi="Arial" w:cs="Arial"/>
          <w:b/>
          <w:snapToGrid w:val="0"/>
          <w:szCs w:val="21"/>
        </w:rPr>
        <w:t>五、</w:t>
      </w:r>
      <w:r>
        <w:rPr>
          <w:rFonts w:ascii="Arial" w:eastAsia="黑体" w:hAnsi="Arial" w:cs="Arial"/>
          <w:b/>
          <w:snapToGrid w:val="0"/>
          <w:szCs w:val="21"/>
        </w:rPr>
        <w:tab/>
      </w:r>
      <w:r>
        <w:rPr>
          <w:rFonts w:ascii="Arial" w:eastAsia="黑体" w:hAnsi="Arial" w:cs="Arial"/>
          <w:b/>
          <w:snapToGrid w:val="0"/>
          <w:szCs w:val="21"/>
        </w:rPr>
        <w:t>合并财务报表主要项目注释（续）</w:t>
      </w:r>
      <w:bookmarkEnd w:id="117"/>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118" w:name="afsaddin_WithXu_eb7604c7ab0e4361b24fe615"/>
      <w:r>
        <w:rPr>
          <w:rFonts w:ascii="Arial" w:eastAsia="黑体" w:hAnsi="Arial" w:cs="Arial"/>
          <w:b/>
          <w:snapToGrid w:val="0"/>
          <w:szCs w:val="21"/>
        </w:rPr>
        <w:t>8.</w:t>
      </w:r>
      <w:r>
        <w:rPr>
          <w:rFonts w:ascii="Arial" w:eastAsia="黑体" w:hAnsi="Arial" w:cs="Arial"/>
          <w:b/>
          <w:snapToGrid w:val="0"/>
          <w:szCs w:val="21"/>
        </w:rPr>
        <w:tab/>
      </w:r>
      <w:r>
        <w:rPr>
          <w:rFonts w:ascii="Arial" w:eastAsia="黑体" w:hAnsi="Arial" w:cs="Arial"/>
          <w:b/>
          <w:snapToGrid w:val="0"/>
          <w:szCs w:val="21"/>
        </w:rPr>
        <w:t>债权投资（续）</w:t>
      </w:r>
      <w:bookmarkEnd w:id="118"/>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57b0ee14-1058-4582-a675-05dc7cfc3b25"/>
        <w:tblDescription w:val="{&quot;UUID&quot;:&quot;afsaddin_tabledata_2_56437_57b0ee14-1058-4582-a675-05dc7cfc3b25&quot;,&quot;TitleRowCount&quot;:3,&quot;SplitedTable&quot;:false,&quot;FirstTableId&quot;:&quot;57b0ee14-1058-4582-a675-05dc7cfc3b25&quot;}"/>
      </w:tblPr>
      <w:tblGrid>
        <w:gridCol w:w="2041"/>
        <w:gridCol w:w="107"/>
        <w:gridCol w:w="1675"/>
        <w:gridCol w:w="107"/>
        <w:gridCol w:w="107"/>
        <w:gridCol w:w="1176"/>
        <w:gridCol w:w="107"/>
        <w:gridCol w:w="107"/>
        <w:gridCol w:w="1340"/>
        <w:gridCol w:w="107"/>
        <w:gridCol w:w="107"/>
        <w:gridCol w:w="1338"/>
        <w:gridCol w:w="107"/>
      </w:tblGrid>
      <w:tr w:rsidR="00AD5BB5">
        <w:tc>
          <w:tcPr>
            <w:tcW w:w="2041"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bookmarkStart w:id="119" w:name="afsaddin_WithXu_b7825ed2d35b4418a8318b3a"/>
            <w:bookmarkStart w:id="120" w:name="afsaddin_WithXu_31d5003cc2b64f548cd588a2"/>
            <w:bookmarkEnd w:id="119"/>
            <w:bookmarkEnd w:id="120"/>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6171" w:type="dxa"/>
            <w:gridSpan w:val="10"/>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fldChar w:fldCharType="begin"/>
            </w:r>
            <w:r>
              <w:rPr>
                <w:rFonts w:ascii="Arial" w:eastAsia="黑体" w:hAnsi="Arial" w:cs="Arial"/>
                <w:sz w:val="16"/>
                <w:szCs w:val="16"/>
              </w:rPr>
              <w:instrText xml:space="preserve"> DOCPROPERTY </w:instrText>
            </w:r>
            <w:r>
              <w:rPr>
                <w:rFonts w:ascii="Arial" w:eastAsia="黑体" w:hAnsi="Arial" w:cs="Arial"/>
                <w:sz w:val="16"/>
                <w:szCs w:val="16"/>
              </w:rPr>
              <w:instrText>自定义</w:instrText>
            </w:r>
            <w:r>
              <w:rPr>
                <w:rFonts w:ascii="Arial" w:eastAsia="黑体" w:hAnsi="Arial" w:cs="Arial"/>
                <w:sz w:val="16"/>
                <w:szCs w:val="16"/>
              </w:rPr>
              <w:instrText xml:space="preserve">3 </w:instrText>
            </w:r>
            <w:r>
              <w:rPr>
                <w:rFonts w:ascii="Arial" w:eastAsia="黑体" w:hAnsi="Arial" w:cs="Arial"/>
                <w:sz w:val="16"/>
                <w:szCs w:val="16"/>
              </w:rPr>
              <w:fldChar w:fldCharType="separate"/>
            </w:r>
            <w:r>
              <w:rPr>
                <w:rFonts w:ascii="Arial" w:eastAsia="黑体" w:hAnsi="Arial" w:cs="Arial"/>
                <w:sz w:val="16"/>
                <w:szCs w:val="16"/>
              </w:rPr>
              <w:t>2022</w:t>
            </w:r>
            <w:r>
              <w:rPr>
                <w:rFonts w:ascii="Arial" w:eastAsia="黑体" w:hAnsi="Arial" w:cs="Arial"/>
                <w:sz w:val="16"/>
                <w:szCs w:val="16"/>
              </w:rPr>
              <w:t>年度</w:t>
            </w:r>
            <w:r>
              <w:rPr>
                <w:rFonts w:ascii="Arial" w:eastAsia="黑体" w:hAnsi="Arial" w:cs="Arial"/>
                <w:sz w:val="16"/>
                <w:szCs w:val="16"/>
              </w:rPr>
              <w:fldChar w:fldCharType="end"/>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041" w:type="dxa"/>
            <w:tcBorders>
              <w:top w:val="nil"/>
              <w:left w:val="nil"/>
              <w:bottom w:val="nil"/>
              <w:right w:val="nil"/>
            </w:tcBorders>
            <w:vAlign w:val="bottom"/>
          </w:tcPr>
          <w:p w:rsidR="00AD5BB5" w:rsidRDefault="00AD5BB5">
            <w:pPr>
              <w:autoSpaceDE w:val="0"/>
              <w:autoSpaceDN w:val="0"/>
              <w:ind w:left="240" w:hangingChars="150" w:hanging="240"/>
              <w:jc w:val="center"/>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675" w:type="dxa"/>
            <w:tcBorders>
              <w:top w:val="single" w:sz="4" w:space="0" w:color="auto"/>
              <w:left w:val="nil"/>
              <w:bottom w:val="single" w:sz="4" w:space="0" w:color="auto"/>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12</w:t>
            </w:r>
            <w:r>
              <w:rPr>
                <w:rFonts w:ascii="Arial" w:eastAsia="黑体" w:hAnsi="Arial" w:cs="Arial"/>
                <w:sz w:val="16"/>
                <w:szCs w:val="16"/>
              </w:rPr>
              <w:t>个月预期信用损失</w:t>
            </w:r>
          </w:p>
        </w:tc>
        <w:tc>
          <w:tcPr>
            <w:tcW w:w="107"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7"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2730" w:type="dxa"/>
            <w:gridSpan w:val="4"/>
            <w:tcBorders>
              <w:top w:val="single" w:sz="4" w:space="0" w:color="auto"/>
              <w:left w:val="nil"/>
              <w:bottom w:val="single" w:sz="4" w:space="0" w:color="auto"/>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整个存续期预期信用损失</w:t>
            </w:r>
          </w:p>
        </w:tc>
        <w:tc>
          <w:tcPr>
            <w:tcW w:w="107"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8" w:type="dxa"/>
            <w:vMerge w:val="restart"/>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合计</w:t>
            </w:r>
          </w:p>
        </w:tc>
        <w:tc>
          <w:tcPr>
            <w:tcW w:w="10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r>
      <w:tr w:rsidR="00AD5BB5">
        <w:tc>
          <w:tcPr>
            <w:tcW w:w="2041" w:type="dxa"/>
            <w:tcBorders>
              <w:top w:val="nil"/>
              <w:left w:val="nil"/>
              <w:bottom w:val="nil"/>
              <w:right w:val="nil"/>
            </w:tcBorders>
            <w:vAlign w:val="bottom"/>
          </w:tcPr>
          <w:p w:rsidR="00AD5BB5" w:rsidRDefault="00AD5BB5">
            <w:pPr>
              <w:autoSpaceDE w:val="0"/>
              <w:autoSpaceDN w:val="0"/>
              <w:ind w:left="240" w:hangingChars="150" w:hanging="24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675"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阶段</w:t>
            </w:r>
            <w:proofErr w:type="gramStart"/>
            <w:r>
              <w:rPr>
                <w:rFonts w:ascii="Arial" w:eastAsia="黑体" w:hAnsi="Arial" w:cs="Arial"/>
                <w:sz w:val="16"/>
                <w:szCs w:val="16"/>
              </w:rPr>
              <w:t>一</w:t>
            </w:r>
            <w:proofErr w:type="gramEnd"/>
          </w:p>
        </w:tc>
        <w:tc>
          <w:tcPr>
            <w:tcW w:w="107"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76"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阶段二</w:t>
            </w:r>
          </w:p>
        </w:tc>
        <w:tc>
          <w:tcPr>
            <w:tcW w:w="107"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7"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340"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阶段三</w:t>
            </w:r>
          </w:p>
        </w:tc>
        <w:tc>
          <w:tcPr>
            <w:tcW w:w="107"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338" w:type="dxa"/>
            <w:vMerge/>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041"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fldChar w:fldCharType="begin"/>
            </w:r>
            <w:r>
              <w:rPr>
                <w:rFonts w:ascii="Arial" w:eastAsia="黑体" w:hAnsi="Arial" w:cs="Arial"/>
                <w:sz w:val="16"/>
                <w:szCs w:val="16"/>
              </w:rPr>
              <w:instrText xml:space="preserve"> DOCPROPERTY </w:instrText>
            </w:r>
            <w:r>
              <w:rPr>
                <w:rFonts w:ascii="Arial" w:eastAsia="黑体" w:hAnsi="Arial" w:cs="Arial"/>
                <w:sz w:val="16"/>
                <w:szCs w:val="16"/>
              </w:rPr>
              <w:instrText>对比会计期间</w:instrText>
            </w:r>
            <w:r>
              <w:rPr>
                <w:rFonts w:ascii="Arial" w:eastAsia="黑体" w:hAnsi="Arial" w:cs="Arial"/>
                <w:sz w:val="16"/>
                <w:szCs w:val="16"/>
              </w:rPr>
              <w:instrText xml:space="preserve"> </w:instrText>
            </w:r>
            <w:r>
              <w:rPr>
                <w:rFonts w:ascii="Arial" w:eastAsia="黑体" w:hAnsi="Arial" w:cs="Arial"/>
                <w:sz w:val="16"/>
                <w:szCs w:val="16"/>
              </w:rPr>
              <w:fldChar w:fldCharType="separate"/>
            </w:r>
            <w:r>
              <w:rPr>
                <w:rFonts w:ascii="Arial" w:eastAsia="黑体" w:hAnsi="Arial" w:cs="Arial"/>
                <w:sz w:val="16"/>
                <w:szCs w:val="16"/>
              </w:rPr>
              <w:t>2022</w:t>
            </w:r>
            <w:r>
              <w:rPr>
                <w:rFonts w:ascii="Arial" w:eastAsia="黑体" w:hAnsi="Arial" w:cs="Arial"/>
                <w:sz w:val="16"/>
                <w:szCs w:val="16"/>
              </w:rPr>
              <w:fldChar w:fldCharType="end"/>
            </w:r>
            <w:r>
              <w:rPr>
                <w:rFonts w:ascii="Arial" w:eastAsia="黑体" w:hAnsi="Arial" w:cs="Arial"/>
                <w:sz w:val="16"/>
                <w:szCs w:val="16"/>
              </w:rPr>
              <w:t>年</w:t>
            </w:r>
            <w:r>
              <w:rPr>
                <w:rFonts w:ascii="Arial" w:eastAsia="黑体" w:hAnsi="Arial" w:cs="Arial"/>
                <w:sz w:val="16"/>
                <w:szCs w:val="16"/>
              </w:rPr>
              <w:t>1</w:t>
            </w:r>
            <w:r>
              <w:rPr>
                <w:rFonts w:ascii="Arial" w:eastAsia="黑体" w:hAnsi="Arial" w:cs="Arial"/>
                <w:sz w:val="16"/>
                <w:szCs w:val="16"/>
              </w:rPr>
              <w:t>月</w:t>
            </w:r>
            <w:r>
              <w:rPr>
                <w:rFonts w:ascii="Arial" w:eastAsia="黑体" w:hAnsi="Arial" w:cs="Arial"/>
                <w:sz w:val="16"/>
                <w:szCs w:val="16"/>
              </w:rPr>
              <w:t>1</w:t>
            </w:r>
            <w:r>
              <w:rPr>
                <w:rFonts w:ascii="Arial" w:eastAsia="黑体" w:hAnsi="Arial" w:cs="Arial"/>
                <w:sz w:val="16"/>
                <w:szCs w:val="16"/>
              </w:rPr>
              <w:t>日</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7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69,637,112.61</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32,000,000.00</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84,495,489.24</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186,132,601.85</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041"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7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041"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rPr>
              <w:t>本期计提</w:t>
            </w:r>
            <w:r>
              <w:rPr>
                <w:rFonts w:ascii="Arial" w:eastAsia="黑体" w:hAnsi="Arial" w:cs="Arial"/>
                <w:sz w:val="16"/>
              </w:rPr>
              <w:t>/(</w:t>
            </w:r>
            <w:r>
              <w:rPr>
                <w:rFonts w:ascii="Arial" w:eastAsia="黑体" w:hAnsi="Arial" w:cs="Arial"/>
                <w:sz w:val="16"/>
              </w:rPr>
              <w:t>回拨</w:t>
            </w:r>
            <w:r>
              <w:rPr>
                <w:rFonts w:ascii="Arial" w:eastAsia="黑体" w:hAnsi="Arial" w:cs="Arial"/>
                <w:sz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7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10,389,784.78</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(31,271,287.85</w:t>
            </w:r>
          </w:p>
        </w:tc>
        <w:tc>
          <w:tcPr>
            <w:tcW w:w="107"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(65,357,022.08</w:t>
            </w:r>
          </w:p>
        </w:tc>
        <w:tc>
          <w:tcPr>
            <w:tcW w:w="107"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(86,238,525.15</w:t>
            </w:r>
          </w:p>
        </w:tc>
        <w:tc>
          <w:tcPr>
            <w:tcW w:w="107"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2041"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收回已核销类贷款而转回</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7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65,472,636.23</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65,472,636.23</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041"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已减值贷款利息回拨</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7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(3,363,272.35</w:t>
            </w:r>
          </w:p>
        </w:tc>
        <w:tc>
          <w:tcPr>
            <w:tcW w:w="107"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(3,363,272.35</w:t>
            </w:r>
          </w:p>
        </w:tc>
        <w:tc>
          <w:tcPr>
            <w:tcW w:w="107"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rPr>
              <w:t>)</w:t>
            </w:r>
          </w:p>
        </w:tc>
      </w:tr>
      <w:tr w:rsidR="00AD5BB5">
        <w:tc>
          <w:tcPr>
            <w:tcW w:w="2041"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color w:val="000000"/>
                <w:sz w:val="16"/>
                <w:szCs w:val="16"/>
              </w:rPr>
            </w:pPr>
            <w:r>
              <w:rPr>
                <w:rFonts w:ascii="Arial" w:eastAsia="黑体" w:hAnsi="Arial" w:cs="Arial"/>
                <w:sz w:val="16"/>
              </w:rPr>
              <w:t>其他</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6"/>
                <w:szCs w:val="16"/>
              </w:rPr>
            </w:pPr>
          </w:p>
        </w:tc>
        <w:tc>
          <w:tcPr>
            <w:tcW w:w="1675" w:type="dxa"/>
            <w:tcBorders>
              <w:top w:val="nil"/>
              <w:left w:val="nil"/>
              <w:bottom w:val="single" w:sz="2" w:space="0" w:color="auto"/>
              <w:right w:val="nil"/>
            </w:tcBorders>
            <w:vAlign w:val="bottom"/>
          </w:tcPr>
          <w:p w:rsidR="00AD5BB5" w:rsidRDefault="00F87FF6">
            <w:pPr>
              <w:autoSpaceDE w:val="0"/>
              <w:autoSpaceDN w:val="0"/>
              <w:jc w:val="right"/>
              <w:rPr>
                <w:rFonts w:ascii="Arial" w:eastAsia="黑体" w:hAnsi="Arial" w:cs="Arial"/>
                <w:color w:val="000000"/>
                <w:sz w:val="16"/>
                <w:szCs w:val="16"/>
              </w:rPr>
            </w:pPr>
            <w:r>
              <w:rPr>
                <w:rFonts w:ascii="Arial" w:eastAsia="黑体" w:hAnsi="Arial" w:cs="Arial"/>
                <w:sz w:val="16"/>
              </w:rPr>
              <w:t>5,883,940.15</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6"/>
                <w:szCs w:val="16"/>
              </w:rPr>
            </w:pPr>
          </w:p>
        </w:tc>
        <w:tc>
          <w:tcPr>
            <w:tcW w:w="1176" w:type="dxa"/>
            <w:tcBorders>
              <w:top w:val="nil"/>
              <w:left w:val="nil"/>
              <w:bottom w:val="single" w:sz="2" w:space="0" w:color="auto"/>
              <w:right w:val="nil"/>
            </w:tcBorders>
            <w:vAlign w:val="bottom"/>
          </w:tcPr>
          <w:p w:rsidR="00AD5BB5" w:rsidRDefault="00F87FF6">
            <w:pPr>
              <w:autoSpaceDE w:val="0"/>
              <w:autoSpaceDN w:val="0"/>
              <w:jc w:val="right"/>
              <w:rPr>
                <w:rFonts w:ascii="Arial" w:eastAsia="黑体" w:hAnsi="Arial" w:cs="Arial"/>
                <w:color w:val="000000"/>
                <w:sz w:val="16"/>
                <w:szCs w:val="16"/>
              </w:rPr>
            </w:pPr>
            <w:r>
              <w:rPr>
                <w:rFonts w:ascii="Arial" w:eastAsia="黑体" w:hAnsi="Arial" w:cs="Arial"/>
                <w:sz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6"/>
                <w:szCs w:val="16"/>
              </w:rPr>
            </w:pPr>
          </w:p>
        </w:tc>
        <w:tc>
          <w:tcPr>
            <w:tcW w:w="1340" w:type="dxa"/>
            <w:tcBorders>
              <w:top w:val="nil"/>
              <w:left w:val="nil"/>
              <w:bottom w:val="single" w:sz="2" w:space="0" w:color="auto"/>
              <w:right w:val="nil"/>
            </w:tcBorders>
            <w:vAlign w:val="bottom"/>
          </w:tcPr>
          <w:p w:rsidR="00AD5BB5" w:rsidRDefault="00F87FF6">
            <w:pPr>
              <w:autoSpaceDE w:val="0"/>
              <w:autoSpaceDN w:val="0"/>
              <w:jc w:val="right"/>
              <w:rPr>
                <w:rFonts w:ascii="Arial" w:eastAsia="黑体" w:hAnsi="Arial" w:cs="Arial"/>
                <w:color w:val="000000"/>
                <w:sz w:val="16"/>
                <w:szCs w:val="16"/>
              </w:rPr>
            </w:pPr>
            <w:r>
              <w:rPr>
                <w:rFonts w:ascii="Arial" w:eastAsia="黑体" w:hAnsi="Arial" w:cs="Arial"/>
                <w:sz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6"/>
                <w:szCs w:val="16"/>
              </w:rPr>
            </w:pPr>
          </w:p>
        </w:tc>
        <w:tc>
          <w:tcPr>
            <w:tcW w:w="1338" w:type="dxa"/>
            <w:tcBorders>
              <w:top w:val="nil"/>
              <w:left w:val="nil"/>
              <w:bottom w:val="single" w:sz="2" w:space="0" w:color="auto"/>
              <w:right w:val="nil"/>
            </w:tcBorders>
            <w:vAlign w:val="bottom"/>
          </w:tcPr>
          <w:p w:rsidR="00AD5BB5" w:rsidRDefault="00F87FF6">
            <w:pPr>
              <w:autoSpaceDE w:val="0"/>
              <w:autoSpaceDN w:val="0"/>
              <w:jc w:val="right"/>
              <w:rPr>
                <w:rFonts w:ascii="Arial" w:eastAsia="黑体" w:hAnsi="Arial" w:cs="Arial"/>
                <w:color w:val="000000"/>
                <w:sz w:val="16"/>
                <w:szCs w:val="16"/>
              </w:rPr>
            </w:pPr>
            <w:r>
              <w:rPr>
                <w:rFonts w:ascii="Arial" w:eastAsia="黑体" w:hAnsi="Arial" w:cs="Arial"/>
                <w:sz w:val="16"/>
              </w:rPr>
              <w:t>5,883,940.15</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6"/>
                <w:szCs w:val="16"/>
              </w:rPr>
            </w:pPr>
          </w:p>
        </w:tc>
      </w:tr>
      <w:tr w:rsidR="00AD5BB5">
        <w:tc>
          <w:tcPr>
            <w:tcW w:w="2041"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7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041"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年末余额（附注五、</w:t>
            </w:r>
            <w:r>
              <w:rPr>
                <w:rFonts w:ascii="Arial" w:eastAsia="黑体" w:hAnsi="Arial" w:cs="Arial"/>
                <w:sz w:val="16"/>
                <w:szCs w:val="16"/>
              </w:rPr>
              <w:t>17</w:t>
            </w: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7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85,910,837.54</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728,712.15</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0"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81,247,831.04</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167,887,380.73</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bl>
    <w:p w:rsidR="00AD5BB5" w:rsidRDefault="00AD5BB5">
      <w:pPr>
        <w:overflowPunct w:val="0"/>
        <w:autoSpaceDE w:val="0"/>
        <w:autoSpaceDN w:val="0"/>
        <w:rPr>
          <w:rFonts w:ascii="Arial" w:eastAsia="黑体" w:hAnsi="Arial" w:cs="Arial"/>
          <w:b/>
          <w:bCs/>
          <w:snapToGrid w:val="0"/>
          <w:szCs w:val="21"/>
        </w:rPr>
      </w:pPr>
    </w:p>
    <w:p w:rsidR="00AD5BB5" w:rsidRDefault="00F87FF6">
      <w:pPr>
        <w:pStyle w:val="af5"/>
        <w:keepNext w:val="0"/>
        <w:keepLines w:val="0"/>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121" w:name="afsaddin_Section_344f631239dd47109557252"/>
      <w:r>
        <w:rPr>
          <w:rFonts w:ascii="Arial" w:eastAsia="黑体" w:hAnsi="Arial" w:cs="Arial" w:hint="default"/>
          <w:bCs w:val="0"/>
          <w:snapToGrid w:val="0"/>
          <w:color w:val="auto"/>
          <w:sz w:val="21"/>
          <w:szCs w:val="21"/>
        </w:rPr>
        <w:t>9.</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其他债权投资</w:t>
      </w:r>
    </w:p>
    <w:bookmarkEnd w:id="121"/>
    <w:p w:rsidR="00AD5BB5" w:rsidRDefault="00AD5BB5">
      <w:pPr>
        <w:tabs>
          <w:tab w:val="right" w:pos="2552"/>
          <w:tab w:val="right" w:pos="3402"/>
          <w:tab w:val="right" w:pos="3544"/>
          <w:tab w:val="right" w:pos="4395"/>
          <w:tab w:val="right" w:pos="4536"/>
          <w:tab w:val="right" w:pos="5387"/>
          <w:tab w:val="right" w:pos="5529"/>
          <w:tab w:val="right" w:pos="6379"/>
          <w:tab w:val="right" w:pos="6521"/>
          <w:tab w:val="right" w:pos="7371"/>
          <w:tab w:val="right" w:pos="7513"/>
          <w:tab w:val="right" w:pos="8313"/>
        </w:tabs>
        <w:overflowPunct w:val="0"/>
        <w:autoSpaceDE w:val="0"/>
        <w:autoSpaceDN w:val="0"/>
        <w:adjustRightInd w:val="0"/>
        <w:snapToGrid w:val="0"/>
        <w:textAlignment w:val="bottom"/>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edb9c2ff-9de6-45dd-a287-2585b392f24f"/>
        <w:tblDescription w:val="{&quot;UUID&quot;:&quot;afsaddin_tabledata_2_56437_edb9c2ff-9de6-45dd-a287-2585b392f24f&quot;,&quot;TitleRowCount&quot;:2,&quot;SplitedTable&quot;:false,&quot;FirstTableId&quot;:&quot;edb9c2ff-9de6-45dd-a287-2585b392f24f&quot;}"/>
      </w:tblPr>
      <w:tblGrid>
        <w:gridCol w:w="3502"/>
        <w:gridCol w:w="109"/>
        <w:gridCol w:w="2317"/>
        <w:gridCol w:w="110"/>
        <w:gridCol w:w="110"/>
        <w:gridCol w:w="2168"/>
        <w:gridCol w:w="110"/>
      </w:tblGrid>
      <w:tr w:rsidR="00AD5BB5">
        <w:tc>
          <w:tcPr>
            <w:tcW w:w="3502"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1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当期资产负债表日</w:instrText>
            </w:r>
            <w:r>
              <w:rPr>
                <w:rFonts w:ascii="Arial" w:eastAsia="黑体" w:hAnsi="Arial" w:cs="Arial"/>
                <w:szCs w:val="21"/>
              </w:rPr>
              <w:instrText xml:space="preserve"> </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t>年</w:t>
            </w:r>
            <w:r>
              <w:rPr>
                <w:rFonts w:ascii="Arial" w:eastAsia="黑体" w:hAnsi="Arial" w:cs="Arial"/>
                <w:szCs w:val="21"/>
              </w:rPr>
              <w:t>6</w:t>
            </w:r>
            <w:r>
              <w:rPr>
                <w:rFonts w:ascii="Arial" w:eastAsia="黑体" w:hAnsi="Arial" w:cs="Arial"/>
                <w:szCs w:val="21"/>
              </w:rPr>
              <w:t>月</w:t>
            </w:r>
            <w:r>
              <w:rPr>
                <w:rFonts w:ascii="Arial" w:eastAsia="黑体" w:hAnsi="Arial" w:cs="Arial"/>
                <w:szCs w:val="21"/>
              </w:rPr>
              <w:t>30</w:t>
            </w:r>
            <w:r>
              <w:rPr>
                <w:rFonts w:ascii="Arial" w:eastAsia="黑体" w:hAnsi="Arial" w:cs="Arial"/>
                <w:szCs w:val="21"/>
              </w:rPr>
              <w:t>日</w:t>
            </w:r>
            <w:r>
              <w:rPr>
                <w:rFonts w:ascii="Arial" w:eastAsia="黑体" w:hAnsi="Arial" w:cs="Arial"/>
                <w:szCs w:val="21"/>
              </w:rPr>
              <w:fldChar w:fldCharType="end"/>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216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10" w:right="21"/>
              <w:jc w:val="right"/>
              <w:rPr>
                <w:rFonts w:ascii="Arial" w:eastAsia="黑体" w:hAnsi="Arial" w:cs="Arial"/>
                <w:szCs w:val="21"/>
              </w:rPr>
            </w:pPr>
            <w:r>
              <w:rPr>
                <w:rFonts w:ascii="Arial" w:eastAsia="黑体" w:hAnsi="Arial" w:cs="Arial"/>
                <w:szCs w:val="21"/>
              </w:rPr>
              <w:t>2022</w:t>
            </w:r>
            <w:r>
              <w:rPr>
                <w:rFonts w:ascii="Arial" w:eastAsia="黑体" w:hAnsi="Arial" w:cs="Arial"/>
                <w:szCs w:val="21"/>
              </w:rPr>
              <w:t>年</w:t>
            </w:r>
            <w:r>
              <w:rPr>
                <w:rFonts w:ascii="Arial" w:eastAsia="黑体" w:hAnsi="Arial" w:cs="Arial"/>
                <w:szCs w:val="21"/>
              </w:rPr>
              <w:t>12</w:t>
            </w:r>
            <w:r>
              <w:rPr>
                <w:rFonts w:ascii="Arial" w:eastAsia="黑体" w:hAnsi="Arial" w:cs="Arial"/>
                <w:szCs w:val="21"/>
              </w:rPr>
              <w:t>月</w:t>
            </w:r>
            <w:r>
              <w:rPr>
                <w:rFonts w:ascii="Arial" w:eastAsia="黑体" w:hAnsi="Arial" w:cs="Arial"/>
                <w:szCs w:val="21"/>
              </w:rPr>
              <w:t>31</w:t>
            </w:r>
            <w:r>
              <w:rPr>
                <w:rFonts w:ascii="Arial" w:eastAsia="黑体" w:hAnsi="Arial" w:cs="Arial"/>
                <w:szCs w:val="21"/>
              </w:rPr>
              <w:t>日</w:t>
            </w:r>
          </w:p>
        </w:tc>
        <w:tc>
          <w:tcPr>
            <w:tcW w:w="110" w:type="dxa"/>
            <w:tcBorders>
              <w:top w:val="nil"/>
              <w:left w:val="nil"/>
              <w:bottom w:val="nil"/>
              <w:right w:val="nil"/>
            </w:tcBorders>
            <w:shd w:val="clear" w:color="000000" w:fill="auto"/>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r>
      <w:tr w:rsidR="00AD5BB5">
        <w:tc>
          <w:tcPr>
            <w:tcW w:w="3502"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17"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2168"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rightChars="10" w:right="21"/>
              <w:jc w:val="right"/>
              <w:rPr>
                <w:rFonts w:ascii="Arial" w:eastAsia="黑体" w:hAnsi="Arial" w:cs="Arial"/>
                <w:szCs w:val="21"/>
              </w:rPr>
            </w:pPr>
          </w:p>
        </w:tc>
        <w:tc>
          <w:tcPr>
            <w:tcW w:w="110" w:type="dxa"/>
            <w:tcBorders>
              <w:top w:val="nil"/>
              <w:left w:val="nil"/>
              <w:bottom w:val="nil"/>
              <w:right w:val="nil"/>
            </w:tcBorders>
            <w:shd w:val="clear" w:color="000000" w:fill="auto"/>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r>
      <w:tr w:rsidR="00AD5BB5">
        <w:tc>
          <w:tcPr>
            <w:tcW w:w="350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债务工具</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rightChars="10" w:right="21"/>
              <w:jc w:val="right"/>
              <w:rPr>
                <w:rFonts w:ascii="Arial" w:eastAsia="黑体" w:hAnsi="Arial" w:cs="Arial"/>
                <w:color w:val="000000"/>
                <w:szCs w:val="21"/>
              </w:rPr>
            </w:pPr>
          </w:p>
        </w:tc>
        <w:tc>
          <w:tcPr>
            <w:tcW w:w="110" w:type="dxa"/>
            <w:tcBorders>
              <w:top w:val="nil"/>
              <w:left w:val="nil"/>
              <w:bottom w:val="nil"/>
              <w:right w:val="nil"/>
            </w:tcBorders>
            <w:shd w:val="clear" w:color="000000"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50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按公允价值计量</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rightChars="10" w:right="21"/>
              <w:jc w:val="right"/>
              <w:rPr>
                <w:rFonts w:ascii="Arial" w:eastAsia="黑体" w:hAnsi="Arial" w:cs="Arial"/>
                <w:color w:val="000000"/>
                <w:szCs w:val="21"/>
              </w:rPr>
            </w:pPr>
          </w:p>
        </w:tc>
        <w:tc>
          <w:tcPr>
            <w:tcW w:w="110" w:type="dxa"/>
            <w:tcBorders>
              <w:top w:val="nil"/>
              <w:left w:val="nil"/>
              <w:bottom w:val="nil"/>
              <w:right w:val="nil"/>
            </w:tcBorders>
            <w:shd w:val="clear" w:color="000000"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50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Chars="81" w:left="380" w:hangingChars="100" w:hanging="210"/>
              <w:rPr>
                <w:rFonts w:ascii="Arial" w:eastAsia="黑体" w:hAnsi="Arial" w:cs="Arial"/>
                <w:color w:val="000000"/>
                <w:szCs w:val="21"/>
              </w:rPr>
            </w:pPr>
            <w:r>
              <w:rPr>
                <w:rFonts w:ascii="Arial" w:eastAsia="黑体" w:hAnsi="Arial" w:cs="Arial"/>
                <w:color w:val="000000"/>
                <w:szCs w:val="21"/>
              </w:rPr>
              <w:t>政府债券</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24,506,160,172.82</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10" w:right="21"/>
              <w:jc w:val="right"/>
              <w:rPr>
                <w:rFonts w:ascii="Arial" w:eastAsia="黑体" w:hAnsi="Arial" w:cs="Arial"/>
                <w:bCs/>
                <w:szCs w:val="21"/>
                <w:lang w:val="en-GB"/>
              </w:rPr>
            </w:pPr>
            <w:r>
              <w:rPr>
                <w:rFonts w:ascii="Arial" w:eastAsia="黑体" w:hAnsi="Arial" w:cs="Arial"/>
                <w:bCs/>
                <w:szCs w:val="21"/>
                <w:lang w:val="en-GB"/>
              </w:rPr>
              <w:t>26,687,828,031.43</w:t>
            </w:r>
          </w:p>
        </w:tc>
        <w:tc>
          <w:tcPr>
            <w:tcW w:w="110" w:type="dxa"/>
            <w:tcBorders>
              <w:top w:val="nil"/>
              <w:left w:val="nil"/>
              <w:bottom w:val="nil"/>
              <w:right w:val="nil"/>
            </w:tcBorders>
            <w:shd w:val="clear" w:color="000000"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50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Chars="81" w:left="380" w:hangingChars="100" w:hanging="210"/>
              <w:rPr>
                <w:rFonts w:ascii="Arial" w:eastAsia="黑体" w:hAnsi="Arial" w:cs="Arial"/>
                <w:color w:val="000000"/>
                <w:szCs w:val="21"/>
              </w:rPr>
            </w:pPr>
            <w:r>
              <w:rPr>
                <w:rFonts w:ascii="Arial" w:eastAsia="黑体" w:hAnsi="Arial" w:cs="Arial"/>
                <w:color w:val="000000"/>
                <w:szCs w:val="21"/>
              </w:rPr>
              <w:t>政策性金融债券</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1,389,460,278.03</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10" w:right="21"/>
              <w:jc w:val="right"/>
              <w:rPr>
                <w:rFonts w:ascii="Arial" w:eastAsia="黑体" w:hAnsi="Arial" w:cs="Arial"/>
                <w:bCs/>
                <w:szCs w:val="21"/>
                <w:lang w:val="en-GB"/>
              </w:rPr>
            </w:pPr>
            <w:r>
              <w:rPr>
                <w:rFonts w:ascii="Arial" w:eastAsia="黑体" w:hAnsi="Arial" w:cs="Arial"/>
                <w:bCs/>
                <w:szCs w:val="21"/>
                <w:lang w:val="en-GB"/>
              </w:rPr>
              <w:t>2,322,901,826.03</w:t>
            </w:r>
          </w:p>
        </w:tc>
        <w:tc>
          <w:tcPr>
            <w:tcW w:w="110" w:type="dxa"/>
            <w:tcBorders>
              <w:top w:val="nil"/>
              <w:left w:val="nil"/>
              <w:bottom w:val="nil"/>
              <w:right w:val="nil"/>
            </w:tcBorders>
            <w:shd w:val="clear" w:color="000000"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50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Chars="81" w:left="380" w:hangingChars="100" w:hanging="210"/>
              <w:rPr>
                <w:rFonts w:ascii="Arial" w:eastAsia="黑体" w:hAnsi="Arial" w:cs="Arial"/>
                <w:color w:val="000000"/>
                <w:szCs w:val="21"/>
              </w:rPr>
            </w:pPr>
            <w:r>
              <w:rPr>
                <w:rFonts w:ascii="Arial" w:eastAsia="黑体" w:hAnsi="Arial" w:cs="Arial"/>
                <w:color w:val="000000"/>
                <w:szCs w:val="21"/>
              </w:rPr>
              <w:t>同业及其他金融机构债券</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278,900,115.31</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10" w:right="21"/>
              <w:jc w:val="right"/>
              <w:rPr>
                <w:rFonts w:ascii="Arial" w:eastAsia="黑体" w:hAnsi="Arial" w:cs="Arial"/>
                <w:bCs/>
                <w:szCs w:val="21"/>
                <w:lang w:val="en-GB"/>
              </w:rPr>
            </w:pPr>
            <w:r>
              <w:rPr>
                <w:rFonts w:ascii="Arial" w:eastAsia="黑体" w:hAnsi="Arial" w:cs="Arial"/>
                <w:bCs/>
                <w:szCs w:val="21"/>
                <w:lang w:val="en-GB"/>
              </w:rPr>
              <w:t>272,554,327.56</w:t>
            </w:r>
          </w:p>
        </w:tc>
        <w:tc>
          <w:tcPr>
            <w:tcW w:w="110" w:type="dxa"/>
            <w:tcBorders>
              <w:top w:val="nil"/>
              <w:left w:val="nil"/>
              <w:bottom w:val="nil"/>
              <w:right w:val="nil"/>
            </w:tcBorders>
            <w:shd w:val="clear" w:color="000000"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50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Chars="81" w:left="380" w:hangingChars="100" w:hanging="210"/>
              <w:rPr>
                <w:rFonts w:ascii="Arial" w:eastAsia="黑体" w:hAnsi="Arial" w:cs="Arial"/>
                <w:color w:val="000000"/>
                <w:szCs w:val="21"/>
              </w:rPr>
            </w:pPr>
            <w:r>
              <w:rPr>
                <w:rFonts w:ascii="Arial" w:eastAsia="黑体" w:hAnsi="Arial" w:cs="Arial"/>
                <w:color w:val="000000"/>
                <w:szCs w:val="21"/>
              </w:rPr>
              <w:t>企业债券</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12,523,506,213.04</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10" w:right="21"/>
              <w:jc w:val="right"/>
              <w:rPr>
                <w:rFonts w:ascii="Arial" w:eastAsia="黑体" w:hAnsi="Arial" w:cs="Arial"/>
                <w:bCs/>
                <w:szCs w:val="21"/>
                <w:lang w:val="en-GB"/>
              </w:rPr>
            </w:pPr>
            <w:r>
              <w:rPr>
                <w:rFonts w:ascii="Arial" w:eastAsia="黑体" w:hAnsi="Arial" w:cs="Arial"/>
                <w:bCs/>
                <w:szCs w:val="21"/>
                <w:lang w:val="en-GB"/>
              </w:rPr>
              <w:t>9,915,670,289.35</w:t>
            </w:r>
          </w:p>
        </w:tc>
        <w:tc>
          <w:tcPr>
            <w:tcW w:w="110" w:type="dxa"/>
            <w:tcBorders>
              <w:top w:val="nil"/>
              <w:left w:val="nil"/>
              <w:bottom w:val="nil"/>
              <w:right w:val="nil"/>
            </w:tcBorders>
            <w:shd w:val="clear" w:color="000000"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50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Chars="81" w:left="380" w:hangingChars="100" w:hanging="210"/>
              <w:rPr>
                <w:rFonts w:ascii="Arial" w:eastAsia="黑体" w:hAnsi="Arial" w:cs="Arial"/>
                <w:color w:val="000000"/>
                <w:szCs w:val="21"/>
              </w:rPr>
            </w:pPr>
            <w:r>
              <w:rPr>
                <w:rFonts w:ascii="Arial" w:eastAsia="黑体" w:hAnsi="Arial" w:cs="Arial"/>
                <w:color w:val="000000"/>
                <w:szCs w:val="21"/>
              </w:rPr>
              <w:t>其他</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rightChars="10" w:right="21"/>
              <w:jc w:val="right"/>
              <w:rPr>
                <w:rFonts w:ascii="Arial" w:eastAsia="黑体" w:hAnsi="Arial" w:cs="Arial"/>
                <w:color w:val="000000"/>
                <w:szCs w:val="21"/>
              </w:rPr>
            </w:pPr>
            <w:r>
              <w:rPr>
                <w:rFonts w:ascii="Arial" w:eastAsia="黑体" w:hAnsi="Arial" w:cs="Arial"/>
                <w:color w:val="000000"/>
                <w:szCs w:val="21"/>
              </w:rPr>
              <w:t>-</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rightChars="10" w:right="21"/>
              <w:jc w:val="right"/>
              <w:rPr>
                <w:rFonts w:ascii="Arial" w:eastAsia="黑体" w:hAnsi="Arial" w:cs="Arial"/>
                <w:bCs/>
                <w:szCs w:val="21"/>
                <w:lang w:val="en-GB"/>
              </w:rPr>
            </w:pPr>
            <w:r>
              <w:rPr>
                <w:rFonts w:ascii="Arial" w:eastAsia="黑体" w:hAnsi="Arial" w:cs="Arial"/>
                <w:bCs/>
                <w:szCs w:val="21"/>
                <w:lang w:val="en-GB"/>
              </w:rPr>
              <w:t>100,391,679.45</w:t>
            </w:r>
          </w:p>
        </w:tc>
        <w:tc>
          <w:tcPr>
            <w:tcW w:w="110" w:type="dxa"/>
            <w:tcBorders>
              <w:top w:val="nil"/>
              <w:left w:val="nil"/>
              <w:bottom w:val="nil"/>
              <w:right w:val="nil"/>
            </w:tcBorders>
            <w:shd w:val="clear" w:color="000000"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502"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10" w:right="21"/>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10" w:right="21"/>
              <w:jc w:val="right"/>
              <w:rPr>
                <w:rFonts w:ascii="Arial" w:eastAsia="黑体" w:hAnsi="Arial" w:cs="Arial"/>
                <w:bCs/>
                <w:szCs w:val="21"/>
                <w:lang w:val="en-GB"/>
              </w:rPr>
            </w:pPr>
          </w:p>
        </w:tc>
        <w:tc>
          <w:tcPr>
            <w:tcW w:w="110" w:type="dxa"/>
            <w:tcBorders>
              <w:top w:val="nil"/>
              <w:left w:val="nil"/>
              <w:bottom w:val="nil"/>
              <w:right w:val="nil"/>
            </w:tcBorders>
            <w:vAlign w:val="bottom"/>
          </w:tcPr>
          <w:p w:rsidR="00AD5BB5" w:rsidRDefault="00AD5BB5">
            <w:pPr>
              <w:kinsoku w:val="0"/>
              <w:overflowPunct w:val="0"/>
              <w:autoSpaceDE w:val="0"/>
              <w:autoSpaceDN w:val="0"/>
              <w:adjustRightInd w:val="0"/>
              <w:snapToGrid w:val="0"/>
              <w:rPr>
                <w:rFonts w:ascii="Arial" w:eastAsia="黑体" w:hAnsi="Arial" w:cs="Arial"/>
                <w:bCs/>
                <w:szCs w:val="21"/>
                <w:lang w:val="en-GB"/>
              </w:rPr>
            </w:pPr>
          </w:p>
        </w:tc>
      </w:tr>
      <w:tr w:rsidR="00AD5BB5">
        <w:tc>
          <w:tcPr>
            <w:tcW w:w="3502"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合计</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17"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rightChars="10" w:right="21"/>
              <w:jc w:val="right"/>
              <w:rPr>
                <w:rFonts w:ascii="Arial" w:eastAsia="黑体" w:hAnsi="Arial" w:cs="Arial"/>
                <w:color w:val="000000"/>
                <w:szCs w:val="21"/>
              </w:rPr>
            </w:pPr>
            <w:r>
              <w:rPr>
                <w:rFonts w:ascii="Arial" w:eastAsia="黑体" w:hAnsi="Arial" w:cs="Arial"/>
                <w:color w:val="000000"/>
                <w:szCs w:val="21"/>
              </w:rPr>
              <w:t>38,698,026,779.20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rightChars="10" w:right="21"/>
              <w:jc w:val="right"/>
              <w:rPr>
                <w:rFonts w:ascii="Arial" w:eastAsia="黑体" w:hAnsi="Arial" w:cs="Arial"/>
                <w:bCs/>
                <w:szCs w:val="21"/>
                <w:lang w:val="en-GB"/>
              </w:rPr>
            </w:pPr>
            <w:r>
              <w:rPr>
                <w:rFonts w:ascii="Arial" w:eastAsia="黑体" w:hAnsi="Arial" w:cs="Arial"/>
                <w:bCs/>
                <w:szCs w:val="21"/>
                <w:lang w:val="en-GB"/>
              </w:rPr>
              <w:t>39,299,346,153.82</w:t>
            </w:r>
          </w:p>
        </w:tc>
        <w:tc>
          <w:tcPr>
            <w:tcW w:w="110" w:type="dxa"/>
            <w:tcBorders>
              <w:top w:val="nil"/>
              <w:left w:val="nil"/>
              <w:bottom w:val="nil"/>
              <w:right w:val="nil"/>
            </w:tcBorders>
            <w:shd w:val="clear" w:color="000000"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bl>
    <w:p w:rsidR="00AD5BB5" w:rsidRDefault="00AD5BB5">
      <w:pPr>
        <w:overflowPunct w:val="0"/>
        <w:autoSpaceDE w:val="0"/>
        <w:autoSpaceDN w:val="0"/>
        <w:rPr>
          <w:rFonts w:ascii="Arial" w:eastAsia="黑体" w:hAnsi="Arial" w:cs="Arial"/>
          <w:bCs/>
          <w:snapToGrid w:val="0"/>
          <w:szCs w:val="21"/>
        </w:rPr>
      </w:pPr>
    </w:p>
    <w:p w:rsidR="00AD5BB5" w:rsidRDefault="00F87FF6">
      <w:pPr>
        <w:overflowPunct w:val="0"/>
        <w:autoSpaceDE w:val="0"/>
        <w:autoSpaceDN w:val="0"/>
        <w:rPr>
          <w:rFonts w:ascii="Arial" w:eastAsia="黑体" w:hAnsi="Arial" w:cs="Arial"/>
          <w:szCs w:val="21"/>
        </w:rPr>
      </w:pPr>
      <w:r>
        <w:rPr>
          <w:rFonts w:ascii="Arial" w:eastAsia="黑体" w:hAnsi="Arial" w:cs="Arial"/>
          <w:szCs w:val="21"/>
        </w:rPr>
        <w:t>于</w:t>
      </w:r>
      <w:r>
        <w:rPr>
          <w:rFonts w:ascii="Arial" w:eastAsia="黑体" w:hAnsi="Arial" w:cs="Arial"/>
          <w:szCs w:val="21"/>
        </w:rPr>
        <w:t>2023</w:t>
      </w:r>
      <w:r>
        <w:rPr>
          <w:rFonts w:ascii="Arial" w:eastAsia="黑体" w:hAnsi="Arial" w:cs="Arial"/>
          <w:szCs w:val="21"/>
        </w:rPr>
        <w:t>年</w:t>
      </w:r>
      <w:r>
        <w:rPr>
          <w:rFonts w:ascii="Arial" w:eastAsia="黑体" w:hAnsi="Arial" w:cs="Arial"/>
          <w:szCs w:val="21"/>
        </w:rPr>
        <w:t>6</w:t>
      </w:r>
      <w:r>
        <w:rPr>
          <w:rFonts w:ascii="Arial" w:eastAsia="黑体" w:hAnsi="Arial" w:cs="Arial"/>
          <w:szCs w:val="21"/>
        </w:rPr>
        <w:t>月</w:t>
      </w:r>
      <w:r>
        <w:rPr>
          <w:rFonts w:ascii="Arial" w:eastAsia="黑体" w:hAnsi="Arial" w:cs="Arial"/>
          <w:szCs w:val="21"/>
        </w:rPr>
        <w:t>30</w:t>
      </w:r>
      <w:r>
        <w:rPr>
          <w:rFonts w:ascii="Arial" w:eastAsia="黑体" w:hAnsi="Arial" w:cs="Arial"/>
          <w:szCs w:val="21"/>
        </w:rPr>
        <w:t>日，本集团投资的债券中有人民币</w:t>
      </w:r>
      <w:r>
        <w:rPr>
          <w:rFonts w:ascii="Arial" w:eastAsia="黑体" w:hAnsi="Arial" w:cs="Arial"/>
          <w:szCs w:val="21"/>
        </w:rPr>
        <w:t>3,732,622,040.64</w:t>
      </w:r>
      <w:r>
        <w:rPr>
          <w:rFonts w:ascii="Arial" w:eastAsia="黑体" w:hAnsi="Arial" w:cs="Arial"/>
          <w:szCs w:val="21"/>
        </w:rPr>
        <w:t>元质押于卖出回购协议（</w:t>
      </w:r>
      <w:r>
        <w:rPr>
          <w:rFonts w:ascii="Arial" w:eastAsia="黑体" w:hAnsi="Arial" w:cs="Arial"/>
          <w:szCs w:val="21"/>
        </w:rPr>
        <w:t>2022</w:t>
      </w:r>
      <w:r>
        <w:rPr>
          <w:rFonts w:ascii="Arial" w:eastAsia="黑体" w:hAnsi="Arial" w:cs="Arial"/>
          <w:szCs w:val="21"/>
        </w:rPr>
        <w:t>年</w:t>
      </w:r>
      <w:r>
        <w:rPr>
          <w:rFonts w:ascii="Arial" w:eastAsia="黑体" w:hAnsi="Arial" w:cs="Arial"/>
          <w:szCs w:val="21"/>
        </w:rPr>
        <w:t>12</w:t>
      </w:r>
      <w:r>
        <w:rPr>
          <w:rFonts w:ascii="Arial" w:eastAsia="黑体" w:hAnsi="Arial" w:cs="Arial"/>
          <w:szCs w:val="21"/>
        </w:rPr>
        <w:t>月</w:t>
      </w:r>
      <w:r>
        <w:rPr>
          <w:rFonts w:ascii="Arial" w:eastAsia="黑体" w:hAnsi="Arial" w:cs="Arial"/>
          <w:szCs w:val="21"/>
        </w:rPr>
        <w:t>31</w:t>
      </w:r>
      <w:r>
        <w:rPr>
          <w:rFonts w:ascii="Arial" w:eastAsia="黑体" w:hAnsi="Arial" w:cs="Arial"/>
          <w:szCs w:val="21"/>
        </w:rPr>
        <w:t>日：人民币</w:t>
      </w:r>
      <w:r>
        <w:rPr>
          <w:rFonts w:ascii="Arial" w:eastAsia="黑体" w:hAnsi="Arial" w:cs="Arial"/>
          <w:szCs w:val="21"/>
        </w:rPr>
        <w:t>4,126,314,096.36</w:t>
      </w:r>
      <w:r>
        <w:rPr>
          <w:rFonts w:ascii="Arial" w:eastAsia="黑体" w:hAnsi="Arial" w:cs="Arial"/>
          <w:szCs w:val="21"/>
        </w:rPr>
        <w:t>元）；本集团投资的债券中有人民币</w:t>
      </w:r>
      <w:r>
        <w:rPr>
          <w:rFonts w:ascii="Arial" w:eastAsia="黑体" w:hAnsi="Arial" w:cs="Arial"/>
          <w:szCs w:val="21"/>
        </w:rPr>
        <w:t>688,823,575.67</w:t>
      </w:r>
      <w:r>
        <w:rPr>
          <w:rFonts w:ascii="Arial" w:eastAsia="黑体" w:hAnsi="Arial" w:cs="Arial"/>
          <w:szCs w:val="21"/>
        </w:rPr>
        <w:t>元质押于国库定期存款（</w:t>
      </w:r>
      <w:r>
        <w:rPr>
          <w:rFonts w:ascii="Arial" w:eastAsia="黑体" w:hAnsi="Arial" w:cs="Arial"/>
          <w:szCs w:val="21"/>
        </w:rPr>
        <w:t>2022</w:t>
      </w:r>
      <w:r>
        <w:rPr>
          <w:rFonts w:ascii="Arial" w:eastAsia="黑体" w:hAnsi="Arial" w:cs="Arial"/>
          <w:szCs w:val="21"/>
        </w:rPr>
        <w:t>年</w:t>
      </w:r>
      <w:r>
        <w:rPr>
          <w:rFonts w:ascii="Arial" w:eastAsia="黑体" w:hAnsi="Arial" w:cs="Arial"/>
          <w:szCs w:val="21"/>
        </w:rPr>
        <w:t>12</w:t>
      </w:r>
      <w:r>
        <w:rPr>
          <w:rFonts w:ascii="Arial" w:eastAsia="黑体" w:hAnsi="Arial" w:cs="Arial"/>
          <w:szCs w:val="21"/>
        </w:rPr>
        <w:t>月</w:t>
      </w:r>
      <w:r>
        <w:rPr>
          <w:rFonts w:ascii="Arial" w:eastAsia="黑体" w:hAnsi="Arial" w:cs="Arial"/>
          <w:szCs w:val="21"/>
        </w:rPr>
        <w:t>31</w:t>
      </w:r>
      <w:r>
        <w:rPr>
          <w:rFonts w:ascii="Arial" w:eastAsia="黑体" w:hAnsi="Arial" w:cs="Arial"/>
          <w:szCs w:val="21"/>
        </w:rPr>
        <w:t>日：</w:t>
      </w:r>
      <w:r>
        <w:rPr>
          <w:rFonts w:ascii="Arial" w:eastAsia="黑体" w:hAnsi="Arial" w:cs="Arial"/>
          <w:szCs w:val="21"/>
        </w:rPr>
        <w:t>679,494,481.00</w:t>
      </w:r>
      <w:r>
        <w:rPr>
          <w:rFonts w:ascii="Arial" w:eastAsia="黑体" w:hAnsi="Arial" w:cs="Arial"/>
          <w:szCs w:val="21"/>
        </w:rPr>
        <w:t>元</w:t>
      </w:r>
      <w:r>
        <w:rPr>
          <w:rFonts w:ascii="Arial" w:eastAsia="黑体" w:hAnsi="Arial" w:cs="Arial"/>
          <w:szCs w:val="21"/>
        </w:rPr>
        <w:t>)</w:t>
      </w:r>
      <w:r>
        <w:rPr>
          <w:rFonts w:ascii="Arial" w:eastAsia="黑体" w:hAnsi="Arial" w:cs="Arial"/>
          <w:szCs w:val="21"/>
        </w:rPr>
        <w:t>；本集团投资的债券中有人民币</w:t>
      </w:r>
      <w:r>
        <w:rPr>
          <w:rFonts w:ascii="Arial" w:eastAsia="黑体" w:hAnsi="Arial" w:cs="Arial"/>
          <w:szCs w:val="21"/>
        </w:rPr>
        <w:t>138,529,191.37</w:t>
      </w:r>
      <w:r>
        <w:rPr>
          <w:rFonts w:ascii="Arial" w:eastAsia="黑体" w:hAnsi="Arial" w:cs="Arial"/>
          <w:szCs w:val="21"/>
        </w:rPr>
        <w:t>元质押于向中央银行借款协议（</w:t>
      </w:r>
      <w:r>
        <w:rPr>
          <w:rFonts w:ascii="Arial" w:eastAsia="黑体" w:hAnsi="Arial" w:cs="Arial"/>
          <w:szCs w:val="21"/>
        </w:rPr>
        <w:t>2022</w:t>
      </w:r>
      <w:r>
        <w:rPr>
          <w:rFonts w:ascii="Arial" w:eastAsia="黑体" w:hAnsi="Arial" w:cs="Arial"/>
          <w:szCs w:val="21"/>
        </w:rPr>
        <w:t>年</w:t>
      </w:r>
      <w:r>
        <w:rPr>
          <w:rFonts w:ascii="Arial" w:eastAsia="黑体" w:hAnsi="Arial" w:cs="Arial"/>
          <w:szCs w:val="21"/>
        </w:rPr>
        <w:t>12</w:t>
      </w:r>
      <w:r>
        <w:rPr>
          <w:rFonts w:ascii="Arial" w:eastAsia="黑体" w:hAnsi="Arial" w:cs="Arial"/>
          <w:szCs w:val="21"/>
        </w:rPr>
        <w:t>月</w:t>
      </w:r>
      <w:r>
        <w:rPr>
          <w:rFonts w:ascii="Arial" w:eastAsia="黑体" w:hAnsi="Arial" w:cs="Arial"/>
          <w:szCs w:val="21"/>
        </w:rPr>
        <w:t>31</w:t>
      </w:r>
      <w:r>
        <w:rPr>
          <w:rFonts w:ascii="Arial" w:eastAsia="黑体" w:hAnsi="Arial" w:cs="Arial"/>
          <w:szCs w:val="21"/>
        </w:rPr>
        <w:t>日：</w:t>
      </w:r>
      <w:r>
        <w:rPr>
          <w:rFonts w:ascii="Arial" w:eastAsia="黑体" w:hAnsi="Arial" w:cs="Arial"/>
          <w:szCs w:val="21"/>
        </w:rPr>
        <w:t>135,815,078.08</w:t>
      </w:r>
      <w:r>
        <w:rPr>
          <w:rFonts w:ascii="Arial" w:eastAsia="黑体" w:hAnsi="Arial" w:cs="Arial"/>
          <w:szCs w:val="21"/>
        </w:rPr>
        <w:t>元）。</w:t>
      </w:r>
    </w:p>
    <w:p w:rsidR="00AD5BB5" w:rsidRDefault="00AD5BB5">
      <w:pPr>
        <w:overflowPunct w:val="0"/>
        <w:autoSpaceDE w:val="0"/>
        <w:autoSpaceDN w:val="0"/>
        <w:rPr>
          <w:rFonts w:ascii="Arial" w:eastAsia="黑体" w:hAnsi="Arial" w:cs="Arial"/>
          <w:bCs/>
          <w:snapToGrid w:val="0"/>
          <w:szCs w:val="21"/>
        </w:rPr>
      </w:pPr>
    </w:p>
    <w:tbl>
      <w:tblPr>
        <w:tblW w:w="0" w:type="auto"/>
        <w:tblLayout w:type="fixed"/>
        <w:tblCellMar>
          <w:left w:w="0" w:type="dxa"/>
          <w:right w:w="0" w:type="dxa"/>
        </w:tblCellMar>
        <w:tblLook w:val="04A0" w:firstRow="1" w:lastRow="0" w:firstColumn="1" w:lastColumn="0" w:noHBand="0" w:noVBand="1"/>
        <w:tblCaption w:val="8f0a7b34-4824-4291-a284-a308b653f6fe"/>
        <w:tblDescription w:val="{&quot;UUID&quot;:&quot;afsaddin_tabledata_2_56437_8f0a7b34-4824-4291-a284-a308b653f6fe&quot;,&quot;TitleRowCount&quot;:3,&quot;SplitedTable&quot;:false,&quot;FirstTableId&quot;:&quot;8f0a7b34-4824-4291-a284-a308b653f6fe&quot;}"/>
      </w:tblPr>
      <w:tblGrid>
        <w:gridCol w:w="1276"/>
        <w:gridCol w:w="107"/>
        <w:gridCol w:w="1619"/>
        <w:gridCol w:w="106"/>
        <w:gridCol w:w="106"/>
        <w:gridCol w:w="1546"/>
        <w:gridCol w:w="106"/>
        <w:gridCol w:w="106"/>
        <w:gridCol w:w="1606"/>
        <w:gridCol w:w="106"/>
        <w:gridCol w:w="106"/>
        <w:gridCol w:w="1455"/>
        <w:gridCol w:w="106"/>
      </w:tblGrid>
      <w:tr w:rsidR="00AD5BB5">
        <w:tc>
          <w:tcPr>
            <w:tcW w:w="1276"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6862" w:type="dxa"/>
            <w:gridSpan w:val="10"/>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fldChar w:fldCharType="begin"/>
            </w:r>
            <w:r>
              <w:rPr>
                <w:rFonts w:ascii="Arial" w:eastAsia="黑体" w:hAnsi="Arial" w:cs="Arial"/>
                <w:sz w:val="16"/>
                <w:szCs w:val="16"/>
              </w:rPr>
              <w:instrText xml:space="preserve"> DOCPROPERTY </w:instrText>
            </w:r>
            <w:r>
              <w:rPr>
                <w:rFonts w:ascii="Arial" w:eastAsia="黑体" w:hAnsi="Arial" w:cs="Arial"/>
                <w:sz w:val="16"/>
                <w:szCs w:val="16"/>
              </w:rPr>
              <w:instrText>自定义</w:instrText>
            </w:r>
            <w:r>
              <w:rPr>
                <w:rFonts w:ascii="Arial" w:eastAsia="黑体" w:hAnsi="Arial" w:cs="Arial"/>
                <w:sz w:val="16"/>
                <w:szCs w:val="16"/>
              </w:rPr>
              <w:instrText xml:space="preserve">1 </w:instrText>
            </w:r>
            <w:r>
              <w:rPr>
                <w:rFonts w:ascii="Arial" w:eastAsia="黑体" w:hAnsi="Arial" w:cs="Arial"/>
                <w:sz w:val="16"/>
                <w:szCs w:val="16"/>
              </w:rPr>
              <w:fldChar w:fldCharType="separate"/>
            </w:r>
            <w:r>
              <w:rPr>
                <w:rFonts w:ascii="Arial" w:eastAsia="黑体" w:hAnsi="Arial" w:cs="Arial"/>
                <w:sz w:val="16"/>
                <w:szCs w:val="16"/>
              </w:rPr>
              <w:t>2023</w:t>
            </w:r>
            <w:r>
              <w:rPr>
                <w:rFonts w:ascii="Arial" w:eastAsia="黑体" w:hAnsi="Arial" w:cs="Arial"/>
                <w:sz w:val="16"/>
                <w:szCs w:val="16"/>
              </w:rPr>
              <w:t>年</w:t>
            </w:r>
            <w:r>
              <w:rPr>
                <w:rFonts w:ascii="Arial" w:eastAsia="黑体" w:hAnsi="Arial" w:cs="Arial"/>
                <w:sz w:val="16"/>
                <w:szCs w:val="16"/>
              </w:rPr>
              <w:t>1-6</w:t>
            </w:r>
            <w:r>
              <w:rPr>
                <w:rFonts w:ascii="Arial" w:eastAsia="黑体" w:hAnsi="Arial" w:cs="Arial"/>
                <w:sz w:val="16"/>
                <w:szCs w:val="16"/>
              </w:rPr>
              <w:t>月</w:t>
            </w:r>
            <w:r>
              <w:rPr>
                <w:rFonts w:ascii="Arial" w:eastAsia="黑体" w:hAnsi="Arial" w:cs="Arial"/>
                <w:sz w:val="16"/>
                <w:szCs w:val="16"/>
              </w:rPr>
              <w:fldChar w:fldCharType="end"/>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276"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19"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摊</w:t>
            </w:r>
            <w:proofErr w:type="gramStart"/>
            <w:r>
              <w:rPr>
                <w:rFonts w:ascii="Arial" w:eastAsia="黑体" w:hAnsi="Arial" w:cs="Arial"/>
                <w:sz w:val="16"/>
                <w:szCs w:val="16"/>
              </w:rPr>
              <w:t>余成本</w:t>
            </w:r>
            <w:proofErr w:type="gramEnd"/>
          </w:p>
        </w:tc>
        <w:tc>
          <w:tcPr>
            <w:tcW w:w="106"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6"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546"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公允价值</w:t>
            </w:r>
          </w:p>
        </w:tc>
        <w:tc>
          <w:tcPr>
            <w:tcW w:w="106"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6"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606"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累计计入其他综合收益的公允价值变动金额</w:t>
            </w:r>
          </w:p>
        </w:tc>
        <w:tc>
          <w:tcPr>
            <w:tcW w:w="106"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6"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455"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累计已计提</w:t>
            </w:r>
          </w:p>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减值金额</w:t>
            </w:r>
          </w:p>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（附注五、</w:t>
            </w:r>
            <w:r>
              <w:rPr>
                <w:rFonts w:ascii="Arial" w:eastAsia="黑体" w:hAnsi="Arial" w:cs="Arial"/>
                <w:sz w:val="16"/>
                <w:szCs w:val="16"/>
              </w:rPr>
              <w:t>17</w:t>
            </w: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r>
      <w:tr w:rsidR="00AD5BB5">
        <w:tc>
          <w:tcPr>
            <w:tcW w:w="1276"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1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54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6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45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r>
      <w:tr w:rsidR="00AD5BB5">
        <w:tc>
          <w:tcPr>
            <w:tcW w:w="1276"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其他债权投资</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1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38,608,372,133.72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54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38,698,026,779.20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0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89,654,645.48</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5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(219,198,835.99</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bl>
    <w:p w:rsidR="00AD5BB5" w:rsidRDefault="00AD5BB5">
      <w:pPr>
        <w:tabs>
          <w:tab w:val="right" w:pos="2552"/>
          <w:tab w:val="right" w:pos="3402"/>
          <w:tab w:val="right" w:pos="3544"/>
          <w:tab w:val="right" w:pos="4395"/>
          <w:tab w:val="right" w:pos="4536"/>
          <w:tab w:val="right" w:pos="5387"/>
          <w:tab w:val="right" w:pos="5529"/>
          <w:tab w:val="right" w:pos="6379"/>
          <w:tab w:val="right" w:pos="6521"/>
          <w:tab w:val="right" w:pos="7371"/>
          <w:tab w:val="right" w:pos="7513"/>
          <w:tab w:val="right" w:pos="8313"/>
        </w:tabs>
        <w:overflowPunct w:val="0"/>
        <w:autoSpaceDE w:val="0"/>
        <w:autoSpaceDN w:val="0"/>
        <w:adjustRightInd w:val="0"/>
        <w:snapToGrid w:val="0"/>
        <w:textAlignment w:val="bottom"/>
        <w:rPr>
          <w:rFonts w:ascii="Arial" w:eastAsia="黑体" w:hAnsi="Arial" w:cs="Arial"/>
          <w:snapToGrid w:val="0"/>
          <w:sz w:val="18"/>
          <w:szCs w:val="10"/>
        </w:rPr>
      </w:pPr>
    </w:p>
    <w:tbl>
      <w:tblPr>
        <w:tblW w:w="0" w:type="auto"/>
        <w:tblLayout w:type="fixed"/>
        <w:tblCellMar>
          <w:left w:w="0" w:type="dxa"/>
          <w:right w:w="0" w:type="dxa"/>
        </w:tblCellMar>
        <w:tblLook w:val="04A0" w:firstRow="1" w:lastRow="0" w:firstColumn="1" w:lastColumn="0" w:noHBand="0" w:noVBand="1"/>
        <w:tblCaption w:val="e2932a0f-fd96-42a0-923a-b11444ffaef8"/>
        <w:tblDescription w:val="{&quot;UUID&quot;:&quot;afsaddin_tabledata_2_56437_e2932a0f-fd96-42a0-923a-b11444ffaef8&quot;,&quot;TitleRowCount&quot;:3,&quot;SplitedTable&quot;:false,&quot;FirstTableId&quot;:&quot;e2932a0f-fd96-42a0-923a-b11444ffaef8&quot;}"/>
      </w:tblPr>
      <w:tblGrid>
        <w:gridCol w:w="1276"/>
        <w:gridCol w:w="107"/>
        <w:gridCol w:w="1619"/>
        <w:gridCol w:w="106"/>
        <w:gridCol w:w="106"/>
        <w:gridCol w:w="1546"/>
        <w:gridCol w:w="106"/>
        <w:gridCol w:w="106"/>
        <w:gridCol w:w="1606"/>
        <w:gridCol w:w="106"/>
        <w:gridCol w:w="106"/>
        <w:gridCol w:w="1455"/>
        <w:gridCol w:w="106"/>
      </w:tblGrid>
      <w:tr w:rsidR="00AD5BB5">
        <w:tc>
          <w:tcPr>
            <w:tcW w:w="1276"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6862" w:type="dxa"/>
            <w:gridSpan w:val="10"/>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fldChar w:fldCharType="begin"/>
            </w:r>
            <w:r>
              <w:rPr>
                <w:rFonts w:ascii="Arial" w:eastAsia="黑体" w:hAnsi="Arial" w:cs="Arial"/>
                <w:sz w:val="16"/>
                <w:szCs w:val="16"/>
              </w:rPr>
              <w:instrText xml:space="preserve"> DOCPROPERTY </w:instrText>
            </w:r>
            <w:r>
              <w:rPr>
                <w:rFonts w:ascii="Arial" w:eastAsia="黑体" w:hAnsi="Arial" w:cs="Arial"/>
                <w:sz w:val="16"/>
                <w:szCs w:val="16"/>
              </w:rPr>
              <w:instrText>自定义</w:instrText>
            </w:r>
            <w:r>
              <w:rPr>
                <w:rFonts w:ascii="Arial" w:eastAsia="黑体" w:hAnsi="Arial" w:cs="Arial"/>
                <w:sz w:val="16"/>
                <w:szCs w:val="16"/>
              </w:rPr>
              <w:instrText xml:space="preserve">3 </w:instrText>
            </w:r>
            <w:r>
              <w:rPr>
                <w:rFonts w:ascii="Arial" w:eastAsia="黑体" w:hAnsi="Arial" w:cs="Arial"/>
                <w:sz w:val="16"/>
                <w:szCs w:val="16"/>
              </w:rPr>
              <w:fldChar w:fldCharType="separate"/>
            </w:r>
            <w:r>
              <w:rPr>
                <w:rFonts w:ascii="Arial" w:eastAsia="黑体" w:hAnsi="Arial" w:cs="Arial"/>
                <w:sz w:val="16"/>
                <w:szCs w:val="16"/>
              </w:rPr>
              <w:t>2022</w:t>
            </w:r>
            <w:r>
              <w:rPr>
                <w:rFonts w:ascii="Arial" w:eastAsia="黑体" w:hAnsi="Arial" w:cs="Arial"/>
                <w:sz w:val="16"/>
                <w:szCs w:val="16"/>
              </w:rPr>
              <w:t>年度</w:t>
            </w:r>
            <w:r>
              <w:rPr>
                <w:rFonts w:ascii="Arial" w:eastAsia="黑体" w:hAnsi="Arial" w:cs="Arial"/>
                <w:sz w:val="16"/>
                <w:szCs w:val="16"/>
              </w:rPr>
              <w:fldChar w:fldCharType="end"/>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276"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19"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摊</w:t>
            </w:r>
            <w:proofErr w:type="gramStart"/>
            <w:r>
              <w:rPr>
                <w:rFonts w:ascii="Arial" w:eastAsia="黑体" w:hAnsi="Arial" w:cs="Arial"/>
                <w:sz w:val="16"/>
                <w:szCs w:val="16"/>
              </w:rPr>
              <w:t>余成本</w:t>
            </w:r>
            <w:proofErr w:type="gramEnd"/>
          </w:p>
        </w:tc>
        <w:tc>
          <w:tcPr>
            <w:tcW w:w="106"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6"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546"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公允价值</w:t>
            </w:r>
          </w:p>
        </w:tc>
        <w:tc>
          <w:tcPr>
            <w:tcW w:w="106"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6"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606"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累计计入其他综合收益的公允价值变动金额</w:t>
            </w:r>
          </w:p>
        </w:tc>
        <w:tc>
          <w:tcPr>
            <w:tcW w:w="106"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6"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455"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累计已计提</w:t>
            </w:r>
          </w:p>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减值金额</w:t>
            </w:r>
          </w:p>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（附注五、</w:t>
            </w:r>
            <w:r>
              <w:rPr>
                <w:rFonts w:ascii="Arial" w:eastAsia="黑体" w:hAnsi="Arial" w:cs="Arial"/>
                <w:sz w:val="16"/>
                <w:szCs w:val="16"/>
              </w:rPr>
              <w:t>17</w:t>
            </w: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r>
      <w:tr w:rsidR="00AD5BB5">
        <w:tc>
          <w:tcPr>
            <w:tcW w:w="1276"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1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54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6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45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r>
      <w:tr w:rsidR="00AD5BB5">
        <w:tc>
          <w:tcPr>
            <w:tcW w:w="1276"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其他债权投资</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1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39,565,084,947.50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54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39,299,346,153.82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60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(265,738,793.68</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5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(166,089,810.10</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bl>
    <w:p w:rsidR="00AD5BB5" w:rsidRDefault="00F87FF6">
      <w:pPr>
        <w:rPr>
          <w:rFonts w:ascii="Arial" w:eastAsia="黑体" w:hAnsi="Arial" w:cs="Arial"/>
          <w:snapToGrid w:val="0"/>
          <w:szCs w:val="15"/>
        </w:rPr>
      </w:pPr>
      <w:r>
        <w:rPr>
          <w:rFonts w:ascii="Arial" w:eastAsia="黑体" w:hAnsi="Arial" w:cs="Arial"/>
          <w:snapToGrid w:val="0"/>
          <w:szCs w:val="15"/>
        </w:rPr>
        <w:br w:type="page"/>
      </w:r>
    </w:p>
    <w:p w:rsidR="00AD5BB5" w:rsidRDefault="00AD5BB5">
      <w:pPr>
        <w:overflowPunct w:val="0"/>
        <w:autoSpaceDE w:val="0"/>
        <w:autoSpaceDN w:val="0"/>
        <w:adjustRightInd w:val="0"/>
        <w:snapToGrid w:val="0"/>
        <w:textAlignment w:val="bottom"/>
        <w:rPr>
          <w:rFonts w:ascii="Arial" w:eastAsia="黑体" w:hAnsi="Arial" w:cs="Arial"/>
          <w:snapToGrid w:val="0"/>
          <w:szCs w:val="15"/>
        </w:rPr>
      </w:pPr>
    </w:p>
    <w:p w:rsidR="00AD5BB5" w:rsidRDefault="00AD5BB5">
      <w:pPr>
        <w:overflowPunct w:val="0"/>
        <w:autoSpaceDE w:val="0"/>
        <w:autoSpaceDN w:val="0"/>
        <w:adjustRightInd w:val="0"/>
        <w:snapToGrid w:val="0"/>
        <w:textAlignment w:val="bottom"/>
        <w:rPr>
          <w:rFonts w:ascii="Arial" w:eastAsia="黑体" w:hAnsi="Arial" w:cs="Arial"/>
          <w:snapToGrid w:val="0"/>
          <w:szCs w:val="15"/>
        </w:rPr>
      </w:pPr>
    </w:p>
    <w:p w:rsidR="00AD5BB5" w:rsidRDefault="00F87FF6">
      <w:pPr>
        <w:overflowPunct w:val="0"/>
        <w:autoSpaceDE w:val="0"/>
        <w:autoSpaceDN w:val="0"/>
        <w:adjustRightInd w:val="0"/>
        <w:snapToGrid w:val="0"/>
        <w:textAlignment w:val="bottom"/>
        <w:rPr>
          <w:rFonts w:ascii="Arial" w:eastAsia="黑体" w:hAnsi="Arial" w:cs="Arial"/>
          <w:b/>
          <w:snapToGrid w:val="0"/>
          <w:szCs w:val="15"/>
        </w:rPr>
      </w:pPr>
      <w:bookmarkStart w:id="122" w:name="afsaddin_WithXu_c411091714394f05b577ff1a"/>
      <w:r>
        <w:rPr>
          <w:rFonts w:ascii="Arial" w:eastAsia="黑体" w:hAnsi="Arial" w:cs="Arial"/>
          <w:b/>
          <w:snapToGrid w:val="0"/>
          <w:szCs w:val="15"/>
        </w:rPr>
        <w:t>五、</w:t>
      </w:r>
      <w:r>
        <w:rPr>
          <w:rFonts w:ascii="Arial" w:eastAsia="黑体" w:hAnsi="Arial" w:cs="Arial"/>
          <w:b/>
          <w:snapToGrid w:val="0"/>
          <w:szCs w:val="15"/>
        </w:rPr>
        <w:tab/>
      </w:r>
      <w:r>
        <w:rPr>
          <w:rFonts w:ascii="Arial" w:eastAsia="黑体" w:hAnsi="Arial" w:cs="Arial"/>
          <w:b/>
          <w:snapToGrid w:val="0"/>
          <w:szCs w:val="15"/>
        </w:rPr>
        <w:t>合并财务报表主要项目注释（续）</w:t>
      </w:r>
      <w:bookmarkEnd w:id="122"/>
    </w:p>
    <w:p w:rsidR="00AD5BB5" w:rsidRDefault="00AD5BB5">
      <w:pPr>
        <w:overflowPunct w:val="0"/>
        <w:autoSpaceDE w:val="0"/>
        <w:autoSpaceDN w:val="0"/>
        <w:adjustRightInd w:val="0"/>
        <w:snapToGrid w:val="0"/>
        <w:textAlignment w:val="bottom"/>
        <w:rPr>
          <w:rFonts w:ascii="Arial" w:eastAsia="黑体" w:hAnsi="Arial" w:cs="Arial"/>
          <w:snapToGrid w:val="0"/>
          <w:szCs w:val="15"/>
        </w:rPr>
      </w:pPr>
    </w:p>
    <w:p w:rsidR="00AD5BB5" w:rsidRDefault="00F87FF6">
      <w:pPr>
        <w:overflowPunct w:val="0"/>
        <w:autoSpaceDE w:val="0"/>
        <w:autoSpaceDN w:val="0"/>
        <w:adjustRightInd w:val="0"/>
        <w:snapToGrid w:val="0"/>
        <w:ind w:left="720" w:hanging="720"/>
        <w:textAlignment w:val="bottom"/>
        <w:rPr>
          <w:rFonts w:ascii="Arial" w:eastAsia="黑体" w:hAnsi="Arial" w:cs="Arial"/>
          <w:b/>
          <w:snapToGrid w:val="0"/>
          <w:szCs w:val="15"/>
        </w:rPr>
      </w:pPr>
      <w:bookmarkStart w:id="123" w:name="afsaddin_WithXu_3631649307064b3fae94c325"/>
      <w:r>
        <w:rPr>
          <w:rFonts w:ascii="Arial" w:eastAsia="黑体" w:hAnsi="Arial" w:cs="Arial"/>
          <w:b/>
          <w:snapToGrid w:val="0"/>
          <w:szCs w:val="15"/>
        </w:rPr>
        <w:t>9.</w:t>
      </w:r>
      <w:r>
        <w:rPr>
          <w:rFonts w:ascii="Arial" w:eastAsia="黑体" w:hAnsi="Arial" w:cs="Arial"/>
          <w:b/>
          <w:snapToGrid w:val="0"/>
          <w:szCs w:val="15"/>
        </w:rPr>
        <w:tab/>
      </w:r>
      <w:r>
        <w:rPr>
          <w:rFonts w:ascii="Arial" w:eastAsia="黑体" w:hAnsi="Arial" w:cs="Arial"/>
          <w:b/>
          <w:snapToGrid w:val="0"/>
          <w:szCs w:val="15"/>
        </w:rPr>
        <w:t>其他债权投资（续）</w:t>
      </w:r>
      <w:bookmarkEnd w:id="123"/>
    </w:p>
    <w:p w:rsidR="00AD5BB5" w:rsidRDefault="00AD5BB5">
      <w:pPr>
        <w:overflowPunct w:val="0"/>
        <w:autoSpaceDE w:val="0"/>
        <w:autoSpaceDN w:val="0"/>
        <w:adjustRightInd w:val="0"/>
        <w:snapToGrid w:val="0"/>
        <w:textAlignment w:val="bottom"/>
        <w:rPr>
          <w:rFonts w:ascii="Arial" w:eastAsia="黑体" w:hAnsi="Arial" w:cs="Arial"/>
          <w:snapToGrid w:val="0"/>
          <w:szCs w:val="15"/>
        </w:rPr>
      </w:pPr>
    </w:p>
    <w:p w:rsidR="00AD5BB5" w:rsidRDefault="00F87FF6">
      <w:pPr>
        <w:overflowPunct w:val="0"/>
        <w:autoSpaceDE w:val="0"/>
        <w:autoSpaceDN w:val="0"/>
        <w:adjustRightInd w:val="0"/>
        <w:snapToGrid w:val="0"/>
        <w:textAlignment w:val="bottom"/>
        <w:rPr>
          <w:rFonts w:ascii="Arial" w:eastAsia="黑体" w:hAnsi="Arial" w:cs="Arial"/>
          <w:snapToGrid w:val="0"/>
          <w:szCs w:val="21"/>
        </w:rPr>
      </w:pPr>
      <w:bookmarkStart w:id="124" w:name="afsaddin_WithXu_4a6f8af57e794c3eab571d4f"/>
      <w:bookmarkStart w:id="125" w:name="afsaddin_WithXu_805667105a6646b5b5d45ce7"/>
      <w:bookmarkEnd w:id="124"/>
      <w:bookmarkEnd w:id="125"/>
      <w:r>
        <w:rPr>
          <w:rFonts w:ascii="Arial" w:eastAsia="黑体" w:hAnsi="Arial" w:cs="Arial"/>
          <w:snapToGrid w:val="0"/>
          <w:szCs w:val="21"/>
        </w:rPr>
        <w:t>其他债权投资减值准备变动情况列示如下：</w:t>
      </w:r>
    </w:p>
    <w:tbl>
      <w:tblPr>
        <w:tblW w:w="0" w:type="auto"/>
        <w:tblLayout w:type="fixed"/>
        <w:tblCellMar>
          <w:left w:w="0" w:type="dxa"/>
          <w:right w:w="0" w:type="dxa"/>
        </w:tblCellMar>
        <w:tblLook w:val="04A0" w:firstRow="1" w:lastRow="0" w:firstColumn="1" w:lastColumn="0" w:noHBand="0" w:noVBand="1"/>
        <w:tblCaption w:val="53e2238f-bc28-4689-94fc-6515ba36f4c6"/>
        <w:tblDescription w:val="{&quot;UUID&quot;:&quot;afsaddin_tabledata_2_56437_53e2238f-bc28-4689-94fc-6515ba36f4c6&quot;,&quot;TitleRowCount&quot;:3,&quot;SplitedTable&quot;:false,&quot;FirstTableId&quot;:&quot;53e2238f-bc28-4689-94fc-6515ba36f4c6&quot;}"/>
      </w:tblPr>
      <w:tblGrid>
        <w:gridCol w:w="2214"/>
        <w:gridCol w:w="106"/>
        <w:gridCol w:w="1816"/>
        <w:gridCol w:w="105"/>
        <w:gridCol w:w="105"/>
        <w:gridCol w:w="1083"/>
        <w:gridCol w:w="105"/>
        <w:gridCol w:w="105"/>
        <w:gridCol w:w="1085"/>
        <w:gridCol w:w="105"/>
        <w:gridCol w:w="105"/>
        <w:gridCol w:w="1430"/>
        <w:gridCol w:w="62"/>
      </w:tblGrid>
      <w:tr w:rsidR="00AD5BB5">
        <w:tc>
          <w:tcPr>
            <w:tcW w:w="2214"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6044" w:type="dxa"/>
            <w:gridSpan w:val="10"/>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fldChar w:fldCharType="begin"/>
            </w:r>
            <w:r>
              <w:rPr>
                <w:rFonts w:ascii="Arial" w:eastAsia="黑体" w:hAnsi="Arial" w:cs="Arial"/>
                <w:sz w:val="16"/>
                <w:szCs w:val="16"/>
              </w:rPr>
              <w:instrText xml:space="preserve"> DOCPROPERTY </w:instrText>
            </w:r>
            <w:r>
              <w:rPr>
                <w:rFonts w:ascii="Arial" w:eastAsia="黑体" w:hAnsi="Arial" w:cs="Arial"/>
                <w:sz w:val="16"/>
                <w:szCs w:val="16"/>
              </w:rPr>
              <w:instrText>自定义</w:instrText>
            </w:r>
            <w:r>
              <w:rPr>
                <w:rFonts w:ascii="Arial" w:eastAsia="黑体" w:hAnsi="Arial" w:cs="Arial"/>
                <w:sz w:val="16"/>
                <w:szCs w:val="16"/>
              </w:rPr>
              <w:instrText xml:space="preserve">1 </w:instrText>
            </w:r>
            <w:r>
              <w:rPr>
                <w:rFonts w:ascii="Arial" w:eastAsia="黑体" w:hAnsi="Arial" w:cs="Arial"/>
                <w:sz w:val="16"/>
                <w:szCs w:val="16"/>
              </w:rPr>
              <w:fldChar w:fldCharType="separate"/>
            </w:r>
            <w:r>
              <w:rPr>
                <w:rFonts w:ascii="Arial" w:eastAsia="黑体" w:hAnsi="Arial" w:cs="Arial"/>
                <w:sz w:val="16"/>
                <w:szCs w:val="16"/>
              </w:rPr>
              <w:t>2023</w:t>
            </w:r>
            <w:r>
              <w:rPr>
                <w:rFonts w:ascii="Arial" w:eastAsia="黑体" w:hAnsi="Arial" w:cs="Arial"/>
                <w:sz w:val="16"/>
                <w:szCs w:val="16"/>
              </w:rPr>
              <w:t>年</w:t>
            </w:r>
            <w:r>
              <w:rPr>
                <w:rFonts w:ascii="Arial" w:eastAsia="黑体" w:hAnsi="Arial" w:cs="Arial"/>
                <w:sz w:val="16"/>
                <w:szCs w:val="16"/>
              </w:rPr>
              <w:t>1-6</w:t>
            </w:r>
            <w:r>
              <w:rPr>
                <w:rFonts w:ascii="Arial" w:eastAsia="黑体" w:hAnsi="Arial" w:cs="Arial"/>
                <w:sz w:val="16"/>
                <w:szCs w:val="16"/>
              </w:rPr>
              <w:t>月</w:t>
            </w:r>
            <w:r>
              <w:rPr>
                <w:rFonts w:ascii="Arial" w:eastAsia="黑体" w:hAnsi="Arial" w:cs="Arial"/>
                <w:sz w:val="16"/>
                <w:szCs w:val="16"/>
              </w:rPr>
              <w:fldChar w:fldCharType="end"/>
            </w:r>
          </w:p>
        </w:tc>
        <w:tc>
          <w:tcPr>
            <w:tcW w:w="6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214" w:type="dxa"/>
            <w:tcBorders>
              <w:top w:val="nil"/>
              <w:left w:val="nil"/>
              <w:bottom w:val="nil"/>
              <w:right w:val="nil"/>
            </w:tcBorders>
            <w:vAlign w:val="bottom"/>
          </w:tcPr>
          <w:p w:rsidR="00AD5BB5" w:rsidRDefault="00AD5BB5">
            <w:pPr>
              <w:autoSpaceDE w:val="0"/>
              <w:autoSpaceDN w:val="0"/>
              <w:ind w:left="240" w:hangingChars="150" w:hanging="240"/>
              <w:jc w:val="center"/>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816"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12</w:t>
            </w:r>
            <w:r>
              <w:rPr>
                <w:rFonts w:ascii="Arial" w:eastAsia="黑体" w:hAnsi="Arial" w:cs="Arial"/>
                <w:sz w:val="16"/>
                <w:szCs w:val="16"/>
              </w:rPr>
              <w:t>个月预期信用损失</w:t>
            </w:r>
          </w:p>
        </w:tc>
        <w:tc>
          <w:tcPr>
            <w:tcW w:w="10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2378" w:type="dxa"/>
            <w:gridSpan w:val="4"/>
            <w:tcBorders>
              <w:top w:val="single" w:sz="4" w:space="0" w:color="auto"/>
              <w:left w:val="nil"/>
              <w:bottom w:val="single" w:sz="4" w:space="0" w:color="auto"/>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整个存续期预期信用损失</w:t>
            </w:r>
          </w:p>
        </w:tc>
        <w:tc>
          <w:tcPr>
            <w:tcW w:w="10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30" w:type="dxa"/>
            <w:vMerge w:val="restart"/>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合计</w:t>
            </w:r>
          </w:p>
        </w:tc>
        <w:tc>
          <w:tcPr>
            <w:tcW w:w="6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214" w:type="dxa"/>
            <w:tcBorders>
              <w:top w:val="nil"/>
              <w:left w:val="nil"/>
              <w:bottom w:val="nil"/>
              <w:right w:val="nil"/>
            </w:tcBorders>
            <w:vAlign w:val="bottom"/>
          </w:tcPr>
          <w:p w:rsidR="00AD5BB5" w:rsidRDefault="00AD5BB5">
            <w:pPr>
              <w:autoSpaceDE w:val="0"/>
              <w:autoSpaceDN w:val="0"/>
              <w:ind w:left="240" w:hangingChars="150" w:hanging="24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816"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阶段</w:t>
            </w:r>
            <w:proofErr w:type="gramStart"/>
            <w:r>
              <w:rPr>
                <w:rFonts w:ascii="Arial" w:eastAsia="黑体" w:hAnsi="Arial" w:cs="Arial"/>
                <w:sz w:val="16"/>
                <w:szCs w:val="16"/>
              </w:rPr>
              <w:t>一</w:t>
            </w:r>
            <w:proofErr w:type="gramEnd"/>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83"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阶段二</w:t>
            </w:r>
          </w:p>
        </w:tc>
        <w:tc>
          <w:tcPr>
            <w:tcW w:w="105"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5"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85"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阶段三</w:t>
            </w: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430" w:type="dxa"/>
            <w:vMerge/>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62"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r>
      <w:tr w:rsidR="00AD5BB5">
        <w:tc>
          <w:tcPr>
            <w:tcW w:w="2214"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fldChar w:fldCharType="begin"/>
            </w:r>
            <w:r>
              <w:rPr>
                <w:rFonts w:ascii="Arial" w:eastAsia="黑体" w:hAnsi="Arial" w:cs="Arial"/>
                <w:sz w:val="16"/>
                <w:szCs w:val="16"/>
              </w:rPr>
              <w:instrText xml:space="preserve"> DOCPROPERTY </w:instrText>
            </w:r>
            <w:r>
              <w:rPr>
                <w:rFonts w:ascii="Arial" w:eastAsia="黑体" w:hAnsi="Arial" w:cs="Arial"/>
                <w:sz w:val="16"/>
                <w:szCs w:val="16"/>
              </w:rPr>
              <w:instrText>当期会计期间</w:instrText>
            </w:r>
            <w:r>
              <w:rPr>
                <w:rFonts w:ascii="Arial" w:eastAsia="黑体" w:hAnsi="Arial" w:cs="Arial"/>
                <w:sz w:val="16"/>
                <w:szCs w:val="16"/>
              </w:rPr>
              <w:instrText xml:space="preserve"> </w:instrText>
            </w:r>
            <w:r>
              <w:rPr>
                <w:rFonts w:ascii="Arial" w:eastAsia="黑体" w:hAnsi="Arial" w:cs="Arial"/>
                <w:sz w:val="16"/>
                <w:szCs w:val="16"/>
              </w:rPr>
              <w:fldChar w:fldCharType="separate"/>
            </w:r>
            <w:r>
              <w:rPr>
                <w:rFonts w:ascii="Arial" w:eastAsia="黑体" w:hAnsi="Arial" w:cs="Arial"/>
                <w:sz w:val="16"/>
                <w:szCs w:val="16"/>
              </w:rPr>
              <w:t>2023</w:t>
            </w:r>
            <w:r>
              <w:rPr>
                <w:rFonts w:ascii="Arial" w:eastAsia="黑体" w:hAnsi="Arial" w:cs="Arial"/>
                <w:sz w:val="16"/>
                <w:szCs w:val="16"/>
              </w:rPr>
              <w:fldChar w:fldCharType="end"/>
            </w:r>
            <w:r>
              <w:rPr>
                <w:rFonts w:ascii="Arial" w:eastAsia="黑体" w:hAnsi="Arial" w:cs="Arial"/>
                <w:sz w:val="16"/>
                <w:szCs w:val="16"/>
              </w:rPr>
              <w:t>年</w:t>
            </w:r>
            <w:r>
              <w:rPr>
                <w:rFonts w:ascii="Arial" w:eastAsia="黑体" w:hAnsi="Arial" w:cs="Arial"/>
                <w:sz w:val="16"/>
                <w:szCs w:val="16"/>
              </w:rPr>
              <w:t>1</w:t>
            </w:r>
            <w:r>
              <w:rPr>
                <w:rFonts w:ascii="Arial" w:eastAsia="黑体" w:hAnsi="Arial" w:cs="Arial"/>
                <w:sz w:val="16"/>
                <w:szCs w:val="16"/>
              </w:rPr>
              <w:t>月</w:t>
            </w:r>
            <w:r>
              <w:rPr>
                <w:rFonts w:ascii="Arial" w:eastAsia="黑体" w:hAnsi="Arial" w:cs="Arial"/>
                <w:sz w:val="16"/>
                <w:szCs w:val="16"/>
              </w:rPr>
              <w:t>1</w:t>
            </w:r>
            <w:r>
              <w:rPr>
                <w:rFonts w:ascii="Arial" w:eastAsia="黑体" w:hAnsi="Arial" w:cs="Arial"/>
                <w:sz w:val="16"/>
                <w:szCs w:val="16"/>
              </w:rPr>
              <w:t>日</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81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166,089,810.10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3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166,089,810.10</w:t>
            </w:r>
          </w:p>
        </w:tc>
        <w:tc>
          <w:tcPr>
            <w:tcW w:w="6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214"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81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3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6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214"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本期计提</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81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51,657,976.82</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3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51,657,976.82</w:t>
            </w:r>
          </w:p>
        </w:tc>
        <w:tc>
          <w:tcPr>
            <w:tcW w:w="6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214"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其他</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81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1,451,049.07</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3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1,451,049.07</w:t>
            </w:r>
          </w:p>
        </w:tc>
        <w:tc>
          <w:tcPr>
            <w:tcW w:w="6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214"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81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3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6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214"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期末余额（附注五、</w:t>
            </w:r>
            <w:r>
              <w:rPr>
                <w:rFonts w:ascii="Arial" w:eastAsia="黑体" w:hAnsi="Arial" w:cs="Arial"/>
                <w:sz w:val="16"/>
                <w:szCs w:val="16"/>
              </w:rPr>
              <w:t>17</w:t>
            </w: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81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219,198,835.99</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30"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219,198,835.99</w:t>
            </w:r>
          </w:p>
        </w:tc>
        <w:tc>
          <w:tcPr>
            <w:tcW w:w="6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bl>
    <w:p w:rsidR="00AD5BB5" w:rsidRDefault="00AD5BB5">
      <w:pPr>
        <w:overflowPunct w:val="0"/>
        <w:autoSpaceDE w:val="0"/>
        <w:autoSpaceDN w:val="0"/>
        <w:adjustRightInd w:val="0"/>
        <w:snapToGrid w:val="0"/>
        <w:textAlignment w:val="bottom"/>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f85d5264-cb33-42c7-9702-05518b5e1817"/>
        <w:tblDescription w:val="{&quot;UUID&quot;:&quot;afsaddin_tabledata_2_56437_f85d5264-cb33-42c7-9702-05518b5e1817&quot;,&quot;TitleRowCount&quot;:3,&quot;SplitedTable&quot;:false,&quot;FirstTableId&quot;:&quot;f85d5264-cb33-42c7-9702-05518b5e1817&quot;}"/>
      </w:tblPr>
      <w:tblGrid>
        <w:gridCol w:w="2214"/>
        <w:gridCol w:w="106"/>
        <w:gridCol w:w="1816"/>
        <w:gridCol w:w="105"/>
        <w:gridCol w:w="105"/>
        <w:gridCol w:w="1083"/>
        <w:gridCol w:w="105"/>
        <w:gridCol w:w="105"/>
        <w:gridCol w:w="1085"/>
        <w:gridCol w:w="105"/>
        <w:gridCol w:w="105"/>
        <w:gridCol w:w="1430"/>
        <w:gridCol w:w="62"/>
      </w:tblGrid>
      <w:tr w:rsidR="00AD5BB5">
        <w:tc>
          <w:tcPr>
            <w:tcW w:w="2214"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6044" w:type="dxa"/>
            <w:gridSpan w:val="10"/>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fldChar w:fldCharType="begin"/>
            </w:r>
            <w:r>
              <w:rPr>
                <w:rFonts w:ascii="Arial" w:eastAsia="黑体" w:hAnsi="Arial" w:cs="Arial"/>
                <w:sz w:val="16"/>
                <w:szCs w:val="16"/>
              </w:rPr>
              <w:instrText xml:space="preserve"> DOCPROPERTY </w:instrText>
            </w:r>
            <w:r>
              <w:rPr>
                <w:rFonts w:ascii="Arial" w:eastAsia="黑体" w:hAnsi="Arial" w:cs="Arial"/>
                <w:sz w:val="16"/>
                <w:szCs w:val="16"/>
              </w:rPr>
              <w:instrText>自定义</w:instrText>
            </w:r>
            <w:r>
              <w:rPr>
                <w:rFonts w:ascii="Arial" w:eastAsia="黑体" w:hAnsi="Arial" w:cs="Arial"/>
                <w:sz w:val="16"/>
                <w:szCs w:val="16"/>
              </w:rPr>
              <w:instrText xml:space="preserve">3 </w:instrText>
            </w:r>
            <w:r>
              <w:rPr>
                <w:rFonts w:ascii="Arial" w:eastAsia="黑体" w:hAnsi="Arial" w:cs="Arial"/>
                <w:sz w:val="16"/>
                <w:szCs w:val="16"/>
              </w:rPr>
              <w:fldChar w:fldCharType="separate"/>
            </w:r>
            <w:r>
              <w:rPr>
                <w:rFonts w:ascii="Arial" w:eastAsia="黑体" w:hAnsi="Arial" w:cs="Arial"/>
                <w:sz w:val="16"/>
                <w:szCs w:val="16"/>
              </w:rPr>
              <w:t>2022</w:t>
            </w:r>
            <w:r>
              <w:rPr>
                <w:rFonts w:ascii="Arial" w:eastAsia="黑体" w:hAnsi="Arial" w:cs="Arial"/>
                <w:sz w:val="16"/>
                <w:szCs w:val="16"/>
              </w:rPr>
              <w:t>年度</w:t>
            </w:r>
            <w:r>
              <w:rPr>
                <w:rFonts w:ascii="Arial" w:eastAsia="黑体" w:hAnsi="Arial" w:cs="Arial"/>
                <w:sz w:val="16"/>
                <w:szCs w:val="16"/>
              </w:rPr>
              <w:fldChar w:fldCharType="end"/>
            </w:r>
          </w:p>
        </w:tc>
        <w:tc>
          <w:tcPr>
            <w:tcW w:w="6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214" w:type="dxa"/>
            <w:tcBorders>
              <w:top w:val="nil"/>
              <w:left w:val="nil"/>
              <w:bottom w:val="nil"/>
              <w:right w:val="nil"/>
            </w:tcBorders>
            <w:vAlign w:val="bottom"/>
          </w:tcPr>
          <w:p w:rsidR="00AD5BB5" w:rsidRDefault="00AD5BB5">
            <w:pPr>
              <w:autoSpaceDE w:val="0"/>
              <w:autoSpaceDN w:val="0"/>
              <w:ind w:left="240" w:hangingChars="150" w:hanging="240"/>
              <w:jc w:val="center"/>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816"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12</w:t>
            </w:r>
            <w:r>
              <w:rPr>
                <w:rFonts w:ascii="Arial" w:eastAsia="黑体" w:hAnsi="Arial" w:cs="Arial"/>
                <w:sz w:val="16"/>
                <w:szCs w:val="16"/>
              </w:rPr>
              <w:t>个月预期信用损失</w:t>
            </w:r>
          </w:p>
        </w:tc>
        <w:tc>
          <w:tcPr>
            <w:tcW w:w="10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2378" w:type="dxa"/>
            <w:gridSpan w:val="4"/>
            <w:tcBorders>
              <w:top w:val="single" w:sz="4" w:space="0" w:color="auto"/>
              <w:left w:val="nil"/>
              <w:bottom w:val="single" w:sz="4" w:space="0" w:color="auto"/>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整个存续期预期信用损失</w:t>
            </w:r>
          </w:p>
        </w:tc>
        <w:tc>
          <w:tcPr>
            <w:tcW w:w="10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30" w:type="dxa"/>
            <w:vMerge w:val="restart"/>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合计</w:t>
            </w:r>
          </w:p>
        </w:tc>
        <w:tc>
          <w:tcPr>
            <w:tcW w:w="6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214" w:type="dxa"/>
            <w:tcBorders>
              <w:top w:val="nil"/>
              <w:left w:val="nil"/>
              <w:bottom w:val="nil"/>
              <w:right w:val="nil"/>
            </w:tcBorders>
            <w:vAlign w:val="bottom"/>
          </w:tcPr>
          <w:p w:rsidR="00AD5BB5" w:rsidRDefault="00AD5BB5">
            <w:pPr>
              <w:autoSpaceDE w:val="0"/>
              <w:autoSpaceDN w:val="0"/>
              <w:ind w:left="240" w:hangingChars="150" w:hanging="24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816"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阶段</w:t>
            </w:r>
            <w:proofErr w:type="gramStart"/>
            <w:r>
              <w:rPr>
                <w:rFonts w:ascii="Arial" w:eastAsia="黑体" w:hAnsi="Arial" w:cs="Arial"/>
                <w:sz w:val="16"/>
                <w:szCs w:val="16"/>
              </w:rPr>
              <w:t>一</w:t>
            </w:r>
            <w:proofErr w:type="gramEnd"/>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83"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阶段二</w:t>
            </w:r>
          </w:p>
        </w:tc>
        <w:tc>
          <w:tcPr>
            <w:tcW w:w="105"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5"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85"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阶段三</w:t>
            </w: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430" w:type="dxa"/>
            <w:vMerge/>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62"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r>
      <w:tr w:rsidR="00AD5BB5">
        <w:tc>
          <w:tcPr>
            <w:tcW w:w="2214"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fldChar w:fldCharType="begin"/>
            </w:r>
            <w:r>
              <w:rPr>
                <w:rFonts w:ascii="Arial" w:eastAsia="黑体" w:hAnsi="Arial" w:cs="Arial"/>
                <w:sz w:val="16"/>
                <w:szCs w:val="16"/>
              </w:rPr>
              <w:instrText xml:space="preserve"> DOCPROPERTY </w:instrText>
            </w:r>
            <w:r>
              <w:rPr>
                <w:rFonts w:ascii="Arial" w:eastAsia="黑体" w:hAnsi="Arial" w:cs="Arial"/>
                <w:sz w:val="16"/>
                <w:szCs w:val="16"/>
              </w:rPr>
              <w:instrText>对比会计期间</w:instrText>
            </w:r>
            <w:r>
              <w:rPr>
                <w:rFonts w:ascii="Arial" w:eastAsia="黑体" w:hAnsi="Arial" w:cs="Arial"/>
                <w:sz w:val="16"/>
                <w:szCs w:val="16"/>
              </w:rPr>
              <w:instrText xml:space="preserve"> </w:instrText>
            </w:r>
            <w:r>
              <w:rPr>
                <w:rFonts w:ascii="Arial" w:eastAsia="黑体" w:hAnsi="Arial" w:cs="Arial"/>
                <w:sz w:val="16"/>
                <w:szCs w:val="16"/>
              </w:rPr>
              <w:fldChar w:fldCharType="separate"/>
            </w:r>
            <w:r>
              <w:rPr>
                <w:rFonts w:ascii="Arial" w:eastAsia="黑体" w:hAnsi="Arial" w:cs="Arial"/>
                <w:sz w:val="16"/>
                <w:szCs w:val="16"/>
              </w:rPr>
              <w:t>2022</w:t>
            </w:r>
            <w:r>
              <w:rPr>
                <w:rFonts w:ascii="Arial" w:eastAsia="黑体" w:hAnsi="Arial" w:cs="Arial"/>
                <w:sz w:val="16"/>
                <w:szCs w:val="16"/>
              </w:rPr>
              <w:fldChar w:fldCharType="end"/>
            </w:r>
            <w:r>
              <w:rPr>
                <w:rFonts w:ascii="Arial" w:eastAsia="黑体" w:hAnsi="Arial" w:cs="Arial"/>
                <w:sz w:val="16"/>
                <w:szCs w:val="16"/>
              </w:rPr>
              <w:t>年</w:t>
            </w:r>
            <w:r>
              <w:rPr>
                <w:rFonts w:ascii="Arial" w:eastAsia="黑体" w:hAnsi="Arial" w:cs="Arial"/>
                <w:sz w:val="16"/>
                <w:szCs w:val="16"/>
              </w:rPr>
              <w:t>1</w:t>
            </w:r>
            <w:r>
              <w:rPr>
                <w:rFonts w:ascii="Arial" w:eastAsia="黑体" w:hAnsi="Arial" w:cs="Arial"/>
                <w:sz w:val="16"/>
                <w:szCs w:val="16"/>
              </w:rPr>
              <w:t>月</w:t>
            </w:r>
            <w:r>
              <w:rPr>
                <w:rFonts w:ascii="Arial" w:eastAsia="黑体" w:hAnsi="Arial" w:cs="Arial"/>
                <w:sz w:val="16"/>
                <w:szCs w:val="16"/>
              </w:rPr>
              <w:t>1</w:t>
            </w:r>
            <w:r>
              <w:rPr>
                <w:rFonts w:ascii="Arial" w:eastAsia="黑体" w:hAnsi="Arial" w:cs="Arial"/>
                <w:sz w:val="16"/>
                <w:szCs w:val="16"/>
              </w:rPr>
              <w:t>日</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81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148,029,628.00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3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148,029,628.00</w:t>
            </w:r>
          </w:p>
        </w:tc>
        <w:tc>
          <w:tcPr>
            <w:tcW w:w="6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214"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81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3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6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214"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本年计提</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81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7,848,489.75</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3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7,848,489.75</w:t>
            </w:r>
          </w:p>
        </w:tc>
        <w:tc>
          <w:tcPr>
            <w:tcW w:w="6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214"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其他</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81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10,211,692.35</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3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10,211,692.35</w:t>
            </w:r>
          </w:p>
        </w:tc>
        <w:tc>
          <w:tcPr>
            <w:tcW w:w="6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214"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81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3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6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214"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年末余额（附注五、</w:t>
            </w:r>
            <w:r>
              <w:rPr>
                <w:rFonts w:ascii="Arial" w:eastAsia="黑体" w:hAnsi="Arial" w:cs="Arial"/>
                <w:sz w:val="16"/>
                <w:szCs w:val="16"/>
              </w:rPr>
              <w:t>17</w:t>
            </w: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81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166,089,810.10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30"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166,089,810.10</w:t>
            </w:r>
          </w:p>
        </w:tc>
        <w:tc>
          <w:tcPr>
            <w:tcW w:w="6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bl>
    <w:p w:rsidR="00AD5BB5" w:rsidRDefault="00AD5BB5">
      <w:pPr>
        <w:overflowPunct w:val="0"/>
        <w:autoSpaceDE w:val="0"/>
        <w:autoSpaceDN w:val="0"/>
        <w:rPr>
          <w:rFonts w:ascii="Arial" w:eastAsia="黑体" w:hAnsi="Arial" w:cs="Arial"/>
          <w:snapToGrid w:val="0"/>
        </w:rPr>
      </w:pPr>
    </w:p>
    <w:p w:rsidR="00AD5BB5" w:rsidRDefault="00F87FF6">
      <w:pPr>
        <w:pStyle w:val="af5"/>
        <w:keepNext w:val="0"/>
        <w:keepLines w:val="0"/>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r>
        <w:rPr>
          <w:rFonts w:ascii="Arial" w:eastAsia="黑体" w:hAnsi="Arial" w:cs="Arial" w:hint="default"/>
          <w:bCs w:val="0"/>
          <w:snapToGrid w:val="0"/>
          <w:color w:val="auto"/>
          <w:sz w:val="21"/>
          <w:szCs w:val="21"/>
        </w:rPr>
        <w:t>10.</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其他权益工具投资</w:t>
      </w:r>
    </w:p>
    <w:p w:rsidR="00AD5BB5" w:rsidRDefault="00AD5BB5">
      <w:pPr>
        <w:overflowPunct w:val="0"/>
        <w:autoSpaceDE w:val="0"/>
        <w:autoSpaceDN w:val="0"/>
        <w:adjustRightInd w:val="0"/>
        <w:snapToGrid w:val="0"/>
        <w:textAlignment w:val="bottom"/>
        <w:rPr>
          <w:rFonts w:ascii="Arial" w:eastAsia="黑体" w:hAnsi="Arial" w:cs="Arial"/>
          <w:snapToGrid w:val="0"/>
        </w:rPr>
      </w:pPr>
    </w:p>
    <w:tbl>
      <w:tblPr>
        <w:tblW w:w="0" w:type="auto"/>
        <w:tblLayout w:type="fixed"/>
        <w:tblCellMar>
          <w:left w:w="0" w:type="dxa"/>
          <w:right w:w="0" w:type="dxa"/>
        </w:tblCellMar>
        <w:tblLook w:val="04A0" w:firstRow="1" w:lastRow="0" w:firstColumn="1" w:lastColumn="0" w:noHBand="0" w:noVBand="1"/>
        <w:tblCaption w:val="1acef253-dab8-4957-97dd-5a1000a84a1b"/>
        <w:tblDescription w:val="{&quot;UUID&quot;:&quot;afsaddin_tabledata_2_56437_1acef253-dab8-4957-97dd-5a1000a84a1b&quot;,&quot;TitleRowCount&quot;:3,&quot;SplitedTable&quot;:false,&quot;FirstTableId&quot;:&quot;1acef253-dab8-4957-97dd-5a1000a84a1b&quot;}"/>
      </w:tblPr>
      <w:tblGrid>
        <w:gridCol w:w="980"/>
        <w:gridCol w:w="70"/>
        <w:gridCol w:w="1074"/>
        <w:gridCol w:w="68"/>
        <w:gridCol w:w="68"/>
        <w:gridCol w:w="1635"/>
        <w:gridCol w:w="65"/>
        <w:gridCol w:w="65"/>
        <w:gridCol w:w="1217"/>
        <w:gridCol w:w="65"/>
        <w:gridCol w:w="65"/>
        <w:gridCol w:w="1217"/>
        <w:gridCol w:w="65"/>
        <w:gridCol w:w="65"/>
        <w:gridCol w:w="1526"/>
        <w:gridCol w:w="56"/>
      </w:tblGrid>
      <w:tr w:rsidR="00AD5BB5">
        <w:tc>
          <w:tcPr>
            <w:tcW w:w="980"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70"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7195" w:type="dxa"/>
            <w:gridSpan w:val="13"/>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 DOCPROPERTY </w:instrText>
            </w:r>
            <w:r>
              <w:rPr>
                <w:rFonts w:ascii="Arial" w:eastAsia="黑体" w:hAnsi="Arial" w:cs="Arial"/>
                <w:sz w:val="18"/>
                <w:szCs w:val="18"/>
              </w:rPr>
              <w:instrText>自定义</w:instrText>
            </w:r>
            <w:r>
              <w:rPr>
                <w:rFonts w:ascii="Arial" w:eastAsia="黑体" w:hAnsi="Arial" w:cs="Arial"/>
                <w:sz w:val="18"/>
                <w:szCs w:val="18"/>
              </w:rPr>
              <w:instrText xml:space="preserve">1 </w:instrText>
            </w:r>
            <w:r>
              <w:rPr>
                <w:rFonts w:ascii="Arial" w:eastAsia="黑体" w:hAnsi="Arial" w:cs="Arial"/>
                <w:sz w:val="18"/>
                <w:szCs w:val="18"/>
              </w:rPr>
              <w:fldChar w:fldCharType="separate"/>
            </w:r>
            <w:r>
              <w:rPr>
                <w:rFonts w:ascii="Arial" w:eastAsia="黑体" w:hAnsi="Arial" w:cs="Arial"/>
                <w:sz w:val="18"/>
                <w:szCs w:val="18"/>
              </w:rPr>
              <w:t>2023</w:t>
            </w:r>
            <w:r>
              <w:rPr>
                <w:rFonts w:ascii="Arial" w:eastAsia="黑体" w:hAnsi="Arial" w:cs="Arial"/>
                <w:sz w:val="18"/>
                <w:szCs w:val="18"/>
              </w:rPr>
              <w:t>年</w:t>
            </w:r>
            <w:r>
              <w:rPr>
                <w:rFonts w:ascii="Arial" w:eastAsia="黑体" w:hAnsi="Arial" w:cs="Arial"/>
                <w:sz w:val="18"/>
                <w:szCs w:val="18"/>
              </w:rPr>
              <w:t>1-6</w:t>
            </w:r>
            <w:r>
              <w:rPr>
                <w:rFonts w:ascii="Arial" w:eastAsia="黑体" w:hAnsi="Arial" w:cs="Arial"/>
                <w:sz w:val="18"/>
                <w:szCs w:val="18"/>
              </w:rPr>
              <w:t>月</w:t>
            </w:r>
            <w:r>
              <w:rPr>
                <w:rFonts w:ascii="Arial" w:eastAsia="黑体" w:hAnsi="Arial" w:cs="Arial"/>
                <w:sz w:val="18"/>
                <w:szCs w:val="18"/>
              </w:rPr>
              <w:fldChar w:fldCharType="end"/>
            </w:r>
          </w:p>
        </w:tc>
        <w:tc>
          <w:tcPr>
            <w:tcW w:w="5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980"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70"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4" w:type="dxa"/>
            <w:vMerge w:val="restart"/>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成本</w:t>
            </w:r>
          </w:p>
        </w:tc>
        <w:tc>
          <w:tcPr>
            <w:tcW w:w="68"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68"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5" w:type="dxa"/>
            <w:vMerge w:val="restart"/>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累计计入其他综合收益的公允价值变动</w:t>
            </w:r>
          </w:p>
        </w:tc>
        <w:tc>
          <w:tcPr>
            <w:tcW w:w="6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6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217" w:type="dxa"/>
            <w:vMerge w:val="restart"/>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期末公允价值</w:t>
            </w:r>
          </w:p>
        </w:tc>
        <w:tc>
          <w:tcPr>
            <w:tcW w:w="6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6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217" w:type="dxa"/>
            <w:vMerge w:val="restart"/>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本期现金红利</w:t>
            </w:r>
          </w:p>
        </w:tc>
        <w:tc>
          <w:tcPr>
            <w:tcW w:w="6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6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26" w:type="dxa"/>
            <w:vMerge w:val="restart"/>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指定以公允价值计量且其变动计入其他综合收益的原因</w:t>
            </w:r>
          </w:p>
        </w:tc>
        <w:tc>
          <w:tcPr>
            <w:tcW w:w="5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980"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70"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4" w:type="dxa"/>
            <w:vMerge/>
            <w:tcBorders>
              <w:top w:val="nil"/>
              <w:left w:val="nil"/>
              <w:bottom w:val="nil"/>
              <w:right w:val="nil"/>
            </w:tcBorders>
            <w:vAlign w:val="bottom"/>
          </w:tcPr>
          <w:p w:rsidR="00AD5BB5" w:rsidRDefault="00AD5BB5">
            <w:pPr>
              <w:rPr>
                <w:rFonts w:ascii="Arial" w:eastAsia="黑体" w:hAnsi="Arial" w:cs="Arial"/>
                <w:sz w:val="18"/>
                <w:szCs w:val="18"/>
              </w:rPr>
            </w:pPr>
          </w:p>
        </w:tc>
        <w:tc>
          <w:tcPr>
            <w:tcW w:w="6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6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5" w:type="dxa"/>
            <w:vMerge/>
            <w:tcBorders>
              <w:top w:val="nil"/>
              <w:left w:val="nil"/>
              <w:bottom w:val="nil"/>
              <w:right w:val="nil"/>
            </w:tcBorders>
            <w:vAlign w:val="bottom"/>
          </w:tcPr>
          <w:p w:rsidR="00AD5BB5" w:rsidRDefault="00AD5BB5">
            <w:pPr>
              <w:rPr>
                <w:rFonts w:ascii="Arial" w:eastAsia="黑体" w:hAnsi="Arial" w:cs="Arial"/>
                <w:sz w:val="18"/>
                <w:szCs w:val="18"/>
              </w:rPr>
            </w:pPr>
          </w:p>
        </w:tc>
        <w:tc>
          <w:tcPr>
            <w:tcW w:w="6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6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217" w:type="dxa"/>
            <w:vMerge/>
            <w:tcBorders>
              <w:top w:val="nil"/>
              <w:left w:val="nil"/>
              <w:bottom w:val="nil"/>
              <w:right w:val="nil"/>
            </w:tcBorders>
            <w:vAlign w:val="bottom"/>
          </w:tcPr>
          <w:p w:rsidR="00AD5BB5" w:rsidRDefault="00AD5BB5">
            <w:pPr>
              <w:rPr>
                <w:rFonts w:ascii="Arial" w:eastAsia="黑体" w:hAnsi="Arial" w:cs="Arial"/>
                <w:sz w:val="18"/>
                <w:szCs w:val="18"/>
              </w:rPr>
            </w:pPr>
          </w:p>
        </w:tc>
        <w:tc>
          <w:tcPr>
            <w:tcW w:w="6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6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217" w:type="dxa"/>
            <w:vMerge/>
            <w:tcBorders>
              <w:top w:val="nil"/>
              <w:left w:val="nil"/>
              <w:bottom w:val="nil"/>
              <w:right w:val="nil"/>
            </w:tcBorders>
            <w:vAlign w:val="bottom"/>
          </w:tcPr>
          <w:p w:rsidR="00AD5BB5" w:rsidRDefault="00AD5BB5">
            <w:pPr>
              <w:rPr>
                <w:rFonts w:ascii="Arial" w:eastAsia="黑体" w:hAnsi="Arial" w:cs="Arial"/>
                <w:sz w:val="18"/>
                <w:szCs w:val="18"/>
              </w:rPr>
            </w:pPr>
          </w:p>
        </w:tc>
        <w:tc>
          <w:tcPr>
            <w:tcW w:w="6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6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26" w:type="dxa"/>
            <w:vMerge/>
            <w:tcBorders>
              <w:top w:val="nil"/>
              <w:left w:val="nil"/>
              <w:bottom w:val="nil"/>
              <w:right w:val="nil"/>
            </w:tcBorders>
            <w:vAlign w:val="bottom"/>
          </w:tcPr>
          <w:p w:rsidR="00AD5BB5" w:rsidRDefault="00AD5BB5">
            <w:pPr>
              <w:rPr>
                <w:rFonts w:ascii="Arial" w:eastAsia="黑体" w:hAnsi="Arial" w:cs="Arial"/>
                <w:sz w:val="18"/>
                <w:szCs w:val="18"/>
              </w:rPr>
            </w:pPr>
          </w:p>
        </w:tc>
        <w:tc>
          <w:tcPr>
            <w:tcW w:w="5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980"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70"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6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6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6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6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21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6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6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21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6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6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2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5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980"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非上市股权</w:t>
            </w:r>
          </w:p>
        </w:tc>
        <w:tc>
          <w:tcPr>
            <w:tcW w:w="70"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8,250,000.00</w:t>
            </w:r>
          </w:p>
        </w:tc>
        <w:tc>
          <w:tcPr>
            <w:tcW w:w="6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6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87,811,014.21</w:t>
            </w:r>
          </w:p>
        </w:tc>
        <w:tc>
          <w:tcPr>
            <w:tcW w:w="6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6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21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96,061,014.21</w:t>
            </w:r>
          </w:p>
        </w:tc>
        <w:tc>
          <w:tcPr>
            <w:tcW w:w="6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6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21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6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6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2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proofErr w:type="gramStart"/>
            <w:r>
              <w:rPr>
                <w:rFonts w:ascii="Arial" w:eastAsia="黑体" w:hAnsi="Arial" w:cs="Arial"/>
                <w:sz w:val="18"/>
                <w:szCs w:val="18"/>
              </w:rPr>
              <w:t>非交易</w:t>
            </w:r>
            <w:proofErr w:type="gramEnd"/>
            <w:r>
              <w:rPr>
                <w:rFonts w:ascii="Arial" w:eastAsia="黑体" w:hAnsi="Arial" w:cs="Arial"/>
                <w:sz w:val="18"/>
                <w:szCs w:val="18"/>
              </w:rPr>
              <w:t>性</w:t>
            </w:r>
          </w:p>
        </w:tc>
        <w:tc>
          <w:tcPr>
            <w:tcW w:w="5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bl>
    <w:p w:rsidR="00AD5BB5" w:rsidRDefault="00AD5BB5">
      <w:pPr>
        <w:overflowPunct w:val="0"/>
        <w:autoSpaceDE w:val="0"/>
        <w:autoSpaceDN w:val="0"/>
        <w:adjustRightInd w:val="0"/>
        <w:snapToGrid w:val="0"/>
        <w:textAlignment w:val="bottom"/>
        <w:rPr>
          <w:rFonts w:ascii="Arial" w:eastAsia="黑体" w:hAnsi="Arial" w:cs="Arial"/>
          <w:sz w:val="16"/>
          <w:szCs w:val="16"/>
        </w:rPr>
      </w:pPr>
    </w:p>
    <w:tbl>
      <w:tblPr>
        <w:tblW w:w="0" w:type="auto"/>
        <w:tblLayout w:type="fixed"/>
        <w:tblCellMar>
          <w:left w:w="0" w:type="dxa"/>
          <w:right w:w="0" w:type="dxa"/>
        </w:tblCellMar>
        <w:tblLook w:val="04A0" w:firstRow="1" w:lastRow="0" w:firstColumn="1" w:lastColumn="0" w:noHBand="0" w:noVBand="1"/>
        <w:tblCaption w:val="eb9752df-8683-4241-adcc-098751b5c473"/>
        <w:tblDescription w:val="{&quot;UUID&quot;:&quot;afsaddin_tabledata_2_56437_eb9752df-8683-4241-adcc-098751b5c473&quot;,&quot;TitleRowCount&quot;:3,&quot;SplitedTable&quot;:false,&quot;FirstTableId&quot;:&quot;eb9752df-8683-4241-adcc-098751b5c473&quot;}"/>
      </w:tblPr>
      <w:tblGrid>
        <w:gridCol w:w="990"/>
        <w:gridCol w:w="80"/>
        <w:gridCol w:w="1080"/>
        <w:gridCol w:w="57"/>
        <w:gridCol w:w="68"/>
        <w:gridCol w:w="1631"/>
        <w:gridCol w:w="62"/>
        <w:gridCol w:w="62"/>
        <w:gridCol w:w="1213"/>
        <w:gridCol w:w="68"/>
        <w:gridCol w:w="68"/>
        <w:gridCol w:w="1213"/>
        <w:gridCol w:w="68"/>
        <w:gridCol w:w="68"/>
        <w:gridCol w:w="1526"/>
        <w:gridCol w:w="57"/>
      </w:tblGrid>
      <w:tr w:rsidR="00AD5BB5">
        <w:tc>
          <w:tcPr>
            <w:tcW w:w="990"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80"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7184" w:type="dxa"/>
            <w:gridSpan w:val="13"/>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 DOCPROPERTY </w:instrText>
            </w:r>
            <w:r>
              <w:rPr>
                <w:rFonts w:ascii="Arial" w:eastAsia="黑体" w:hAnsi="Arial" w:cs="Arial"/>
                <w:sz w:val="18"/>
                <w:szCs w:val="18"/>
              </w:rPr>
              <w:instrText>自定义</w:instrText>
            </w:r>
            <w:r>
              <w:rPr>
                <w:rFonts w:ascii="Arial" w:eastAsia="黑体" w:hAnsi="Arial" w:cs="Arial"/>
                <w:sz w:val="18"/>
                <w:szCs w:val="18"/>
              </w:rPr>
              <w:instrText xml:space="preserve">3 </w:instrText>
            </w:r>
            <w:r>
              <w:rPr>
                <w:rFonts w:ascii="Arial" w:eastAsia="黑体" w:hAnsi="Arial" w:cs="Arial"/>
                <w:sz w:val="18"/>
                <w:szCs w:val="18"/>
              </w:rPr>
              <w:fldChar w:fldCharType="separate"/>
            </w:r>
            <w:r>
              <w:rPr>
                <w:rFonts w:ascii="Arial" w:eastAsia="黑体" w:hAnsi="Arial" w:cs="Arial"/>
                <w:sz w:val="18"/>
                <w:szCs w:val="18"/>
              </w:rPr>
              <w:t>2022</w:t>
            </w:r>
            <w:r>
              <w:rPr>
                <w:rFonts w:ascii="Arial" w:eastAsia="黑体" w:hAnsi="Arial" w:cs="Arial"/>
                <w:sz w:val="18"/>
                <w:szCs w:val="18"/>
              </w:rPr>
              <w:t>年度</w:t>
            </w:r>
            <w:r>
              <w:rPr>
                <w:rFonts w:ascii="Arial" w:eastAsia="黑体" w:hAnsi="Arial" w:cs="Arial"/>
                <w:sz w:val="18"/>
                <w:szCs w:val="18"/>
              </w:rPr>
              <w:fldChar w:fldCharType="end"/>
            </w: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990"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80"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80" w:type="dxa"/>
            <w:vMerge w:val="restart"/>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成本</w:t>
            </w:r>
          </w:p>
        </w:tc>
        <w:tc>
          <w:tcPr>
            <w:tcW w:w="57"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68"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1" w:type="dxa"/>
            <w:vMerge w:val="restart"/>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累计计入其他综合收益的公允价值变动</w:t>
            </w:r>
          </w:p>
        </w:tc>
        <w:tc>
          <w:tcPr>
            <w:tcW w:w="62"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62"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213" w:type="dxa"/>
            <w:vMerge w:val="restart"/>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年末公允价值</w:t>
            </w:r>
          </w:p>
        </w:tc>
        <w:tc>
          <w:tcPr>
            <w:tcW w:w="68"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68"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213" w:type="dxa"/>
            <w:vMerge w:val="restart"/>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本年现金红利</w:t>
            </w:r>
          </w:p>
        </w:tc>
        <w:tc>
          <w:tcPr>
            <w:tcW w:w="68"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68"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26" w:type="dxa"/>
            <w:vMerge w:val="restart"/>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指定以公允价值计量且其变动计入其他综合收益的原因</w:t>
            </w: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990"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80"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80" w:type="dxa"/>
            <w:vMerge/>
            <w:tcBorders>
              <w:top w:val="nil"/>
              <w:left w:val="nil"/>
              <w:bottom w:val="nil"/>
              <w:right w:val="nil"/>
            </w:tcBorders>
            <w:vAlign w:val="bottom"/>
          </w:tcPr>
          <w:p w:rsidR="00AD5BB5" w:rsidRDefault="00AD5BB5">
            <w:pPr>
              <w:rPr>
                <w:rFonts w:ascii="Arial" w:eastAsia="黑体" w:hAnsi="Arial" w:cs="Arial"/>
                <w:sz w:val="18"/>
                <w:szCs w:val="18"/>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6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1" w:type="dxa"/>
            <w:vMerge/>
            <w:tcBorders>
              <w:top w:val="nil"/>
              <w:left w:val="nil"/>
              <w:bottom w:val="nil"/>
              <w:right w:val="nil"/>
            </w:tcBorders>
            <w:vAlign w:val="bottom"/>
          </w:tcPr>
          <w:p w:rsidR="00AD5BB5" w:rsidRDefault="00AD5BB5">
            <w:pPr>
              <w:rPr>
                <w:rFonts w:ascii="Arial" w:eastAsia="黑体" w:hAnsi="Arial" w:cs="Arial"/>
                <w:sz w:val="18"/>
                <w:szCs w:val="18"/>
              </w:rPr>
            </w:pPr>
          </w:p>
        </w:tc>
        <w:tc>
          <w:tcPr>
            <w:tcW w:w="6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6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213" w:type="dxa"/>
            <w:vMerge/>
            <w:tcBorders>
              <w:top w:val="nil"/>
              <w:left w:val="nil"/>
              <w:bottom w:val="nil"/>
              <w:right w:val="nil"/>
            </w:tcBorders>
            <w:vAlign w:val="bottom"/>
          </w:tcPr>
          <w:p w:rsidR="00AD5BB5" w:rsidRDefault="00AD5BB5">
            <w:pPr>
              <w:rPr>
                <w:rFonts w:ascii="Arial" w:eastAsia="黑体" w:hAnsi="Arial" w:cs="Arial"/>
                <w:sz w:val="18"/>
                <w:szCs w:val="18"/>
              </w:rPr>
            </w:pPr>
          </w:p>
        </w:tc>
        <w:tc>
          <w:tcPr>
            <w:tcW w:w="6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6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213" w:type="dxa"/>
            <w:vMerge/>
            <w:tcBorders>
              <w:top w:val="nil"/>
              <w:left w:val="nil"/>
              <w:bottom w:val="nil"/>
              <w:right w:val="nil"/>
            </w:tcBorders>
            <w:vAlign w:val="bottom"/>
          </w:tcPr>
          <w:p w:rsidR="00AD5BB5" w:rsidRDefault="00AD5BB5">
            <w:pPr>
              <w:rPr>
                <w:rFonts w:ascii="Arial" w:eastAsia="黑体" w:hAnsi="Arial" w:cs="Arial"/>
                <w:sz w:val="18"/>
                <w:szCs w:val="18"/>
              </w:rPr>
            </w:pPr>
          </w:p>
        </w:tc>
        <w:tc>
          <w:tcPr>
            <w:tcW w:w="6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6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26" w:type="dxa"/>
            <w:vMerge/>
            <w:tcBorders>
              <w:top w:val="nil"/>
              <w:left w:val="nil"/>
              <w:bottom w:val="nil"/>
              <w:right w:val="nil"/>
            </w:tcBorders>
            <w:vAlign w:val="bottom"/>
          </w:tcPr>
          <w:p w:rsidR="00AD5BB5" w:rsidRDefault="00AD5BB5">
            <w:pPr>
              <w:rPr>
                <w:rFonts w:ascii="Arial" w:eastAsia="黑体" w:hAnsi="Arial" w:cs="Arial"/>
                <w:sz w:val="18"/>
                <w:szCs w:val="18"/>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990"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80"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8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6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6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6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21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6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6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21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6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6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2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990"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非上市股权</w:t>
            </w:r>
          </w:p>
        </w:tc>
        <w:tc>
          <w:tcPr>
            <w:tcW w:w="80"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80"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8,250,000.00</w:t>
            </w: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6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1"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69,037,780.74</w:t>
            </w:r>
          </w:p>
        </w:tc>
        <w:tc>
          <w:tcPr>
            <w:tcW w:w="6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6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21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77,287,780.74</w:t>
            </w:r>
          </w:p>
        </w:tc>
        <w:tc>
          <w:tcPr>
            <w:tcW w:w="6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6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21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6,400,000.00</w:t>
            </w:r>
          </w:p>
        </w:tc>
        <w:tc>
          <w:tcPr>
            <w:tcW w:w="6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6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2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proofErr w:type="gramStart"/>
            <w:r>
              <w:rPr>
                <w:rFonts w:ascii="Arial" w:eastAsia="黑体" w:hAnsi="Arial" w:cs="Arial"/>
                <w:sz w:val="18"/>
                <w:szCs w:val="18"/>
              </w:rPr>
              <w:t>非交易</w:t>
            </w:r>
            <w:proofErr w:type="gramEnd"/>
            <w:r>
              <w:rPr>
                <w:rFonts w:ascii="Arial" w:eastAsia="黑体" w:hAnsi="Arial" w:cs="Arial"/>
                <w:sz w:val="18"/>
                <w:szCs w:val="18"/>
              </w:rPr>
              <w:t>性</w:t>
            </w: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bl>
    <w:p w:rsidR="00AD5BB5" w:rsidRDefault="00AD5BB5">
      <w:pPr>
        <w:overflowPunct w:val="0"/>
        <w:autoSpaceDE w:val="0"/>
        <w:autoSpaceDN w:val="0"/>
        <w:adjustRightInd w:val="0"/>
        <w:snapToGrid w:val="0"/>
        <w:textAlignment w:val="bottom"/>
        <w:rPr>
          <w:rFonts w:ascii="Arial" w:eastAsia="黑体" w:hAnsi="Arial" w:cs="Arial"/>
          <w:snapToGrid w:val="0"/>
        </w:rPr>
      </w:pPr>
    </w:p>
    <w:p w:rsidR="00AD5BB5" w:rsidRDefault="00F87FF6">
      <w:pPr>
        <w:overflowPunct w:val="0"/>
        <w:autoSpaceDE w:val="0"/>
        <w:autoSpaceDN w:val="0"/>
        <w:adjustRightInd w:val="0"/>
        <w:snapToGrid w:val="0"/>
        <w:textAlignment w:val="bottom"/>
        <w:rPr>
          <w:rFonts w:ascii="Arial" w:eastAsia="黑体" w:hAnsi="Arial" w:cs="Arial"/>
          <w:snapToGrid w:val="0"/>
          <w:szCs w:val="21"/>
        </w:rPr>
      </w:pPr>
      <w:r>
        <w:rPr>
          <w:rFonts w:ascii="Arial" w:eastAsia="黑体" w:hAnsi="Arial" w:cs="Arial"/>
          <w:snapToGrid w:val="0"/>
          <w:szCs w:val="21"/>
        </w:rPr>
        <w:t>本集团将</w:t>
      </w:r>
      <w:proofErr w:type="gramStart"/>
      <w:r>
        <w:rPr>
          <w:rFonts w:ascii="Arial" w:eastAsia="黑体" w:hAnsi="Arial" w:cs="Arial"/>
          <w:snapToGrid w:val="0"/>
          <w:szCs w:val="21"/>
        </w:rPr>
        <w:t>非交易</w:t>
      </w:r>
      <w:proofErr w:type="gramEnd"/>
      <w:r>
        <w:rPr>
          <w:rFonts w:ascii="Arial" w:eastAsia="黑体" w:hAnsi="Arial" w:cs="Arial"/>
          <w:snapToGrid w:val="0"/>
          <w:szCs w:val="21"/>
        </w:rPr>
        <w:t>性权益投资指定为以公允价值计量且其变动计入其他综合收益的金融投资。本集团于报告期间未处置该类权益投资，无从其他综合收益转入留存收益的累计利得或损失。</w:t>
      </w:r>
    </w:p>
    <w:p w:rsidR="00AD5BB5" w:rsidRDefault="00AD5BB5">
      <w:pPr>
        <w:overflowPunct w:val="0"/>
        <w:autoSpaceDE w:val="0"/>
        <w:autoSpaceDN w:val="0"/>
        <w:rPr>
          <w:rFonts w:ascii="Arial" w:eastAsia="黑体" w:hAnsi="Arial" w:cs="Arial"/>
          <w:snapToGrid w:val="0"/>
        </w:rPr>
      </w:pPr>
    </w:p>
    <w:p w:rsidR="00AD5BB5" w:rsidRDefault="00AD5BB5">
      <w:pPr>
        <w:overflowPunct w:val="0"/>
        <w:autoSpaceDE w:val="0"/>
        <w:autoSpaceDN w:val="0"/>
        <w:rPr>
          <w:rFonts w:ascii="Arial" w:eastAsia="黑体" w:hAnsi="Arial" w:cs="Arial"/>
          <w:snapToGrid w:val="0"/>
        </w:rPr>
      </w:pPr>
    </w:p>
    <w:p w:rsidR="00AD5BB5" w:rsidRDefault="00AD5BB5">
      <w:pPr>
        <w:overflowPunct w:val="0"/>
        <w:autoSpaceDE w:val="0"/>
        <w:autoSpaceDN w:val="0"/>
        <w:rPr>
          <w:rFonts w:ascii="Arial" w:eastAsia="黑体" w:hAnsi="Arial" w:cs="Arial"/>
          <w:snapToGrid w:val="0"/>
        </w:rPr>
      </w:pPr>
    </w:p>
    <w:p w:rsidR="00AD5BB5" w:rsidRDefault="00AD5BB5">
      <w:pPr>
        <w:overflowPunct w:val="0"/>
        <w:autoSpaceDE w:val="0"/>
        <w:autoSpaceDN w:val="0"/>
        <w:rPr>
          <w:rFonts w:ascii="Arial" w:eastAsia="黑体" w:hAnsi="Arial" w:cs="Arial"/>
          <w:snapToGrid w:val="0"/>
        </w:rPr>
        <w:sectPr w:rsidR="00AD5BB5">
          <w:headerReference w:type="even" r:id="rId43"/>
          <w:headerReference w:type="default" r:id="rId44"/>
          <w:headerReference w:type="first" r:id="rId45"/>
          <w:pgSz w:w="11907" w:h="16840"/>
          <w:pgMar w:top="1440" w:right="1797" w:bottom="1440" w:left="1797" w:header="720" w:footer="720" w:gutter="0"/>
          <w:cols w:space="720"/>
          <w:titlePg/>
          <w:docGrid w:linePitch="360"/>
        </w:sectPr>
      </w:pPr>
    </w:p>
    <w:p w:rsidR="00AD5BB5" w:rsidRDefault="00AD5BB5">
      <w:pPr>
        <w:overflowPunct w:val="0"/>
        <w:autoSpaceDE w:val="0"/>
        <w:autoSpaceDN w:val="0"/>
        <w:rPr>
          <w:rFonts w:ascii="Arial" w:eastAsia="黑体" w:hAnsi="Arial" w:cs="Arial"/>
          <w:snapToGrid w:val="0"/>
        </w:rPr>
      </w:pPr>
    </w:p>
    <w:p w:rsidR="00AD5BB5" w:rsidRDefault="00AD5BB5">
      <w:pPr>
        <w:overflowPunct w:val="0"/>
        <w:autoSpaceDE w:val="0"/>
        <w:autoSpaceDN w:val="0"/>
        <w:rPr>
          <w:rFonts w:ascii="Arial" w:eastAsia="黑体" w:hAnsi="Arial" w:cs="Arial"/>
          <w:snapToGrid w:val="0"/>
        </w:rPr>
      </w:pPr>
    </w:p>
    <w:p w:rsidR="00AD5BB5" w:rsidRDefault="00F87FF6">
      <w:pPr>
        <w:overflowPunct w:val="0"/>
        <w:autoSpaceDE w:val="0"/>
        <w:autoSpaceDN w:val="0"/>
        <w:rPr>
          <w:rFonts w:ascii="Arial" w:eastAsia="黑体" w:hAnsi="Arial" w:cs="Arial"/>
          <w:b/>
          <w:snapToGrid w:val="0"/>
        </w:rPr>
      </w:pPr>
      <w:bookmarkStart w:id="130" w:name="afsaddin_WithXu_94277b35b5614d2e911235f2"/>
      <w:r>
        <w:rPr>
          <w:rFonts w:ascii="Arial" w:eastAsia="黑体" w:hAnsi="Arial" w:cs="Arial"/>
          <w:b/>
          <w:snapToGrid w:val="0"/>
        </w:rPr>
        <w:t>五、</w:t>
      </w:r>
      <w:r>
        <w:rPr>
          <w:rFonts w:ascii="Arial" w:eastAsia="黑体" w:hAnsi="Arial" w:cs="Arial"/>
          <w:b/>
          <w:snapToGrid w:val="0"/>
        </w:rPr>
        <w:tab/>
      </w:r>
      <w:r>
        <w:rPr>
          <w:rFonts w:ascii="Arial" w:eastAsia="黑体" w:hAnsi="Arial" w:cs="Arial"/>
          <w:b/>
          <w:snapToGrid w:val="0"/>
        </w:rPr>
        <w:t>合并财务报表主要项目注释（续）</w:t>
      </w:r>
      <w:bookmarkEnd w:id="130"/>
    </w:p>
    <w:p w:rsidR="00AD5BB5" w:rsidRDefault="00AD5BB5">
      <w:pPr>
        <w:overflowPunct w:val="0"/>
        <w:autoSpaceDE w:val="0"/>
        <w:autoSpaceDN w:val="0"/>
        <w:rPr>
          <w:rFonts w:ascii="Arial" w:eastAsia="黑体" w:hAnsi="Arial" w:cs="Arial"/>
          <w:snapToGrid w:val="0"/>
        </w:rPr>
      </w:pPr>
    </w:p>
    <w:p w:rsidR="00AD5BB5" w:rsidRDefault="00F87FF6">
      <w:pPr>
        <w:pStyle w:val="af5"/>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131" w:name="afsaddin_WithXu_278cb01d346d47a3907d3082"/>
      <w:bookmarkStart w:id="132" w:name="afsaddin_Section_af673746e46a4464957c62d"/>
      <w:bookmarkEnd w:id="131"/>
      <w:r>
        <w:rPr>
          <w:rFonts w:ascii="Arial" w:eastAsia="黑体" w:hAnsi="Arial" w:cs="Arial" w:hint="default"/>
          <w:bCs w:val="0"/>
          <w:snapToGrid w:val="0"/>
          <w:color w:val="auto"/>
          <w:sz w:val="21"/>
          <w:szCs w:val="21"/>
        </w:rPr>
        <w:t>11.</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投资性房地产</w:t>
      </w:r>
    </w:p>
    <w:bookmarkEnd w:id="132"/>
    <w:p w:rsidR="00AD5BB5" w:rsidRDefault="00AD5BB5">
      <w:pPr>
        <w:overflowPunct w:val="0"/>
        <w:autoSpaceDE w:val="0"/>
        <w:autoSpaceDN w:val="0"/>
        <w:adjustRightInd w:val="0"/>
        <w:snapToGrid w:val="0"/>
        <w:textAlignment w:val="bottom"/>
        <w:rPr>
          <w:rFonts w:ascii="Arial" w:eastAsia="黑体" w:hAnsi="Arial" w:cs="Arial"/>
          <w:snapToGrid w:val="0"/>
          <w:szCs w:val="21"/>
        </w:rPr>
      </w:pPr>
    </w:p>
    <w:p w:rsidR="00AD5BB5" w:rsidRDefault="00F87FF6">
      <w:pPr>
        <w:overflowPunct w:val="0"/>
        <w:autoSpaceDE w:val="0"/>
        <w:autoSpaceDN w:val="0"/>
        <w:adjustRightInd w:val="0"/>
        <w:snapToGrid w:val="0"/>
        <w:textAlignment w:val="bottom"/>
        <w:rPr>
          <w:rFonts w:ascii="Arial" w:eastAsia="黑体" w:hAnsi="Arial" w:cs="Arial"/>
          <w:snapToGrid w:val="0"/>
          <w:szCs w:val="21"/>
        </w:rPr>
      </w:pPr>
      <w:r>
        <w:rPr>
          <w:rFonts w:ascii="Arial" w:eastAsia="黑体" w:hAnsi="Arial" w:cs="Arial"/>
          <w:snapToGrid w:val="0"/>
          <w:szCs w:val="21"/>
        </w:rPr>
        <w:t>采用成本模式进行后续计量：</w:t>
      </w:r>
    </w:p>
    <w:p w:rsidR="00AD5BB5" w:rsidRDefault="00AD5BB5">
      <w:pPr>
        <w:overflowPunct w:val="0"/>
        <w:autoSpaceDE w:val="0"/>
        <w:autoSpaceDN w:val="0"/>
        <w:adjustRightInd w:val="0"/>
        <w:snapToGrid w:val="0"/>
        <w:textAlignment w:val="bottom"/>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a78c1665-fdec-4ea3-a079-9cafe67bc408"/>
        <w:tblDescription w:val="{&quot;UUID&quot;:&quot;afsaddin_tabledata_2_56437_a78c1665-fdec-4ea3-a079-9cafe67bc408&quot;,&quot;TitleRowCount&quot;:2,&quot;SplitedTable&quot;:false,&quot;FirstTableId&quot;:&quot;a78c1665-fdec-4ea3-a079-9cafe67bc408&quot;}"/>
      </w:tblPr>
      <w:tblGrid>
        <w:gridCol w:w="3502"/>
        <w:gridCol w:w="109"/>
        <w:gridCol w:w="2317"/>
        <w:gridCol w:w="110"/>
        <w:gridCol w:w="110"/>
        <w:gridCol w:w="2168"/>
        <w:gridCol w:w="110"/>
      </w:tblGrid>
      <w:tr w:rsidR="00AD5BB5">
        <w:trPr>
          <w:trHeight w:val="170"/>
        </w:trPr>
        <w:tc>
          <w:tcPr>
            <w:tcW w:w="3502"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1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fldChar w:fldCharType="begin"/>
            </w:r>
            <w:r>
              <w:rPr>
                <w:rFonts w:ascii="Arial" w:eastAsia="黑体" w:hAnsi="Arial" w:cs="Arial"/>
                <w:color w:val="000000"/>
                <w:szCs w:val="21"/>
              </w:rPr>
              <w:instrText xml:space="preserve"> DOCPROPERTY </w:instrText>
            </w:r>
            <w:r>
              <w:rPr>
                <w:rFonts w:ascii="Arial" w:eastAsia="黑体" w:hAnsi="Arial" w:cs="Arial"/>
                <w:color w:val="000000"/>
                <w:szCs w:val="21"/>
              </w:rPr>
              <w:instrText>当期会计期间</w:instrText>
            </w:r>
            <w:r>
              <w:rPr>
                <w:rFonts w:ascii="Arial" w:eastAsia="黑体" w:hAnsi="Arial" w:cs="Arial"/>
                <w:color w:val="000000"/>
                <w:szCs w:val="21"/>
              </w:rPr>
              <w:instrText xml:space="preserve"> </w:instrText>
            </w:r>
            <w:r>
              <w:rPr>
                <w:rFonts w:ascii="Arial" w:eastAsia="黑体" w:hAnsi="Arial" w:cs="Arial"/>
                <w:color w:val="000000"/>
                <w:szCs w:val="21"/>
              </w:rPr>
              <w:fldChar w:fldCharType="separate"/>
            </w:r>
            <w:r>
              <w:rPr>
                <w:rFonts w:ascii="Arial" w:eastAsia="黑体" w:hAnsi="Arial" w:cs="Arial"/>
                <w:color w:val="000000"/>
                <w:szCs w:val="21"/>
              </w:rPr>
              <w:t>2023</w:t>
            </w:r>
            <w:r>
              <w:rPr>
                <w:rFonts w:ascii="Arial" w:eastAsia="黑体" w:hAnsi="Arial" w:cs="Arial"/>
                <w:color w:val="000000"/>
                <w:szCs w:val="21"/>
              </w:rPr>
              <w:fldChar w:fldCharType="end"/>
            </w:r>
            <w:r>
              <w:rPr>
                <w:rFonts w:ascii="Arial" w:eastAsia="黑体" w:hAnsi="Arial" w:cs="Arial"/>
                <w:color w:val="000000"/>
                <w:szCs w:val="21"/>
              </w:rPr>
              <w:t>年</w:t>
            </w:r>
            <w:r>
              <w:rPr>
                <w:rFonts w:ascii="Arial" w:eastAsia="黑体" w:hAnsi="Arial" w:cs="Arial"/>
                <w:color w:val="000000"/>
                <w:szCs w:val="21"/>
              </w:rPr>
              <w:t>1-6</w:t>
            </w:r>
            <w:r>
              <w:rPr>
                <w:rFonts w:ascii="Arial" w:eastAsia="黑体" w:hAnsi="Arial" w:cs="Arial"/>
                <w:color w:val="000000"/>
                <w:szCs w:val="21"/>
              </w:rPr>
              <w:t>月</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对比会计期间</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2022</w:t>
            </w:r>
            <w:r>
              <w:rPr>
                <w:rFonts w:ascii="Arial" w:eastAsia="黑体" w:hAnsi="Arial" w:cs="Arial"/>
                <w:snapToGrid w:val="0"/>
                <w:szCs w:val="21"/>
              </w:rPr>
              <w:fldChar w:fldCharType="end"/>
            </w:r>
            <w:r>
              <w:rPr>
                <w:rFonts w:ascii="Arial" w:eastAsia="黑体" w:hAnsi="Arial" w:cs="Arial"/>
                <w:snapToGrid w:val="0"/>
                <w:szCs w:val="21"/>
              </w:rPr>
              <w:t>年度</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17"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2168"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r>
      <w:tr w:rsidR="00AD5BB5">
        <w:trPr>
          <w:trHeight w:val="170"/>
        </w:trPr>
        <w:tc>
          <w:tcPr>
            <w:tcW w:w="3502" w:type="dxa"/>
            <w:tcBorders>
              <w:top w:val="nil"/>
              <w:left w:val="nil"/>
              <w:bottom w:val="nil"/>
              <w:right w:val="nil"/>
            </w:tcBorders>
            <w:shd w:val="clear" w:color="000000" w:fill="auto"/>
            <w:noWrap/>
            <w:vAlign w:val="center"/>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原值：</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vAlign w:val="center"/>
          </w:tcPr>
          <w:p w:rsidR="00AD5BB5" w:rsidRDefault="00F87FF6">
            <w:pPr>
              <w:kinsoku w:val="0"/>
              <w:overflowPunct w:val="0"/>
              <w:autoSpaceDE w:val="0"/>
              <w:autoSpaceDN w:val="0"/>
              <w:adjustRightInd w:val="0"/>
              <w:snapToGrid w:val="0"/>
              <w:ind w:leftChars="82" w:left="382" w:hangingChars="100" w:hanging="210"/>
              <w:rPr>
                <w:rFonts w:ascii="Arial" w:eastAsia="黑体" w:hAnsi="Arial" w:cs="Arial"/>
                <w:color w:val="000000"/>
                <w:szCs w:val="21"/>
              </w:rPr>
            </w:pPr>
            <w:r>
              <w:rPr>
                <w:rFonts w:ascii="Arial" w:eastAsia="黑体" w:hAnsi="Arial" w:cs="Arial"/>
              </w:rPr>
              <w:t>期</w:t>
            </w:r>
            <w:r>
              <w:rPr>
                <w:rFonts w:ascii="Arial" w:eastAsia="黑体" w:hAnsi="Arial" w:cs="Arial"/>
              </w:rPr>
              <w:t>/</w:t>
            </w:r>
            <w:r>
              <w:rPr>
                <w:rFonts w:ascii="Arial" w:eastAsia="黑体" w:hAnsi="Arial" w:cs="Arial"/>
              </w:rPr>
              <w:t>年初余额</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single" w:sz="4" w:space="0" w:color="auto"/>
              <w:right w:val="nil"/>
            </w:tcBorders>
            <w:shd w:val="clear" w:color="000000" w:fill="auto"/>
            <w:noWrap/>
            <w:vAlign w:val="bottom"/>
          </w:tcPr>
          <w:p w:rsidR="00AD5BB5" w:rsidRDefault="00F87FF6">
            <w:pPr>
              <w:tabs>
                <w:tab w:val="left" w:pos="1867"/>
              </w:tabs>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13,063,440.69</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13,063,440.69</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vAlign w:val="center"/>
          </w:tcPr>
          <w:p w:rsidR="00AD5BB5" w:rsidRDefault="00AD5BB5">
            <w:pPr>
              <w:kinsoku w:val="0"/>
              <w:overflowPunct w:val="0"/>
              <w:autoSpaceDE w:val="0"/>
              <w:autoSpaceDN w:val="0"/>
              <w:adjustRightInd w:val="0"/>
              <w:snapToGrid w:val="0"/>
              <w:ind w:left="315" w:hangingChars="150" w:hanging="315"/>
              <w:rPr>
                <w:rFonts w:ascii="Arial" w:eastAsia="黑体" w:hAnsi="Arial" w:cs="Arial"/>
                <w:color w:val="000000"/>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single" w:sz="4" w:space="0" w:color="auto"/>
              <w:left w:val="nil"/>
              <w:bottom w:val="nil"/>
              <w:right w:val="nil"/>
            </w:tcBorders>
            <w:shd w:val="clear" w:color="000000" w:fill="auto"/>
            <w:noWrap/>
            <w:vAlign w:val="bottom"/>
          </w:tcPr>
          <w:p w:rsidR="00AD5BB5" w:rsidRDefault="00AD5BB5">
            <w:pPr>
              <w:tabs>
                <w:tab w:val="left" w:pos="1867"/>
              </w:tabs>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color w:val="000000"/>
                <w:szCs w:val="21"/>
              </w:rPr>
            </w:pPr>
            <w:r>
              <w:rPr>
                <w:rFonts w:ascii="Arial" w:eastAsia="黑体" w:hAnsi="Arial" w:cs="Arial"/>
              </w:rPr>
              <w:t>期</w:t>
            </w:r>
            <w:r>
              <w:rPr>
                <w:rFonts w:ascii="Arial" w:eastAsia="黑体" w:hAnsi="Arial" w:cs="Arial"/>
              </w:rPr>
              <w:t>/</w:t>
            </w:r>
            <w:r>
              <w:rPr>
                <w:rFonts w:ascii="Arial" w:eastAsia="黑体" w:hAnsi="Arial" w:cs="Arial"/>
              </w:rPr>
              <w:t>年末余额</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single" w:sz="4" w:space="0" w:color="auto"/>
              <w:right w:val="nil"/>
            </w:tcBorders>
            <w:shd w:val="clear" w:color="000000" w:fill="auto"/>
            <w:noWrap/>
            <w:vAlign w:val="bottom"/>
          </w:tcPr>
          <w:p w:rsidR="00AD5BB5" w:rsidRDefault="00F87FF6">
            <w:pPr>
              <w:tabs>
                <w:tab w:val="left" w:pos="1867"/>
              </w:tabs>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13,063,440.69</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single" w:sz="4" w:space="0" w:color="auto"/>
              <w:right w:val="nil"/>
            </w:tcBorders>
            <w:shd w:val="clear" w:color="000000" w:fill="auto"/>
            <w:noWrap/>
            <w:vAlign w:val="bottom"/>
          </w:tcPr>
          <w:p w:rsidR="00AD5BB5" w:rsidRDefault="00F87FF6">
            <w:pPr>
              <w:tabs>
                <w:tab w:val="left" w:pos="1867"/>
              </w:tabs>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13,063,440.69</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vAlign w:val="center"/>
          </w:tcPr>
          <w:p w:rsidR="00AD5BB5" w:rsidRDefault="00AD5BB5">
            <w:pPr>
              <w:kinsoku w:val="0"/>
              <w:overflowPunct w:val="0"/>
              <w:autoSpaceDE w:val="0"/>
              <w:autoSpaceDN w:val="0"/>
              <w:adjustRightInd w:val="0"/>
              <w:snapToGrid w:val="0"/>
              <w:ind w:left="315" w:hangingChars="150" w:hanging="315"/>
              <w:rPr>
                <w:rFonts w:ascii="Arial" w:eastAsia="黑体" w:hAnsi="Arial" w:cs="Arial"/>
                <w:color w:val="000000"/>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single" w:sz="4" w:space="0" w:color="auto"/>
              <w:left w:val="nil"/>
              <w:bottom w:val="nil"/>
              <w:right w:val="nil"/>
            </w:tcBorders>
            <w:shd w:val="clear" w:color="000000" w:fill="auto"/>
            <w:noWrap/>
            <w:vAlign w:val="bottom"/>
          </w:tcPr>
          <w:p w:rsidR="00AD5BB5" w:rsidRDefault="00AD5BB5">
            <w:pPr>
              <w:tabs>
                <w:tab w:val="left" w:pos="1867"/>
              </w:tabs>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vAlign w:val="center"/>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累计折旧和摊销：</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nil"/>
              <w:right w:val="nil"/>
            </w:tcBorders>
            <w:shd w:val="clear" w:color="000000" w:fill="auto"/>
            <w:noWrap/>
            <w:vAlign w:val="bottom"/>
          </w:tcPr>
          <w:p w:rsidR="00AD5BB5" w:rsidRDefault="00AD5BB5">
            <w:pPr>
              <w:tabs>
                <w:tab w:val="left" w:pos="1867"/>
              </w:tabs>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vAlign w:val="center"/>
          </w:tcPr>
          <w:p w:rsidR="00AD5BB5" w:rsidRDefault="00F87FF6">
            <w:pPr>
              <w:kinsoku w:val="0"/>
              <w:overflowPunct w:val="0"/>
              <w:autoSpaceDE w:val="0"/>
              <w:autoSpaceDN w:val="0"/>
              <w:adjustRightInd w:val="0"/>
              <w:snapToGrid w:val="0"/>
              <w:ind w:leftChars="82" w:left="382" w:hangingChars="100" w:hanging="210"/>
              <w:rPr>
                <w:rFonts w:ascii="Arial" w:eastAsia="黑体" w:hAnsi="Arial" w:cs="Arial"/>
                <w:snapToGrid w:val="0"/>
                <w:szCs w:val="21"/>
              </w:rPr>
            </w:pPr>
            <w:r>
              <w:rPr>
                <w:rFonts w:ascii="Arial" w:eastAsia="黑体" w:hAnsi="Arial" w:cs="Arial"/>
              </w:rPr>
              <w:t>期</w:t>
            </w:r>
            <w:r>
              <w:rPr>
                <w:rFonts w:ascii="Arial" w:eastAsia="黑体" w:hAnsi="Arial" w:cs="Arial"/>
              </w:rPr>
              <w:t>/</w:t>
            </w:r>
            <w:r>
              <w:rPr>
                <w:rFonts w:ascii="Arial" w:eastAsia="黑体" w:hAnsi="Arial" w:cs="Arial"/>
              </w:rPr>
              <w:t>年初余额</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000000" w:fill="auto"/>
            <w:noWrap/>
            <w:vAlign w:val="bottom"/>
          </w:tcPr>
          <w:p w:rsidR="00AD5BB5" w:rsidRDefault="00F87FF6">
            <w:pPr>
              <w:tabs>
                <w:tab w:val="left" w:pos="1867"/>
              </w:tabs>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10,496,397.83</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nil"/>
              <w:right w:val="nil"/>
            </w:tcBorders>
            <w:shd w:val="clear" w:color="000000" w:fill="auto"/>
            <w:noWrap/>
            <w:vAlign w:val="bottom"/>
          </w:tcPr>
          <w:p w:rsidR="00AD5BB5" w:rsidRDefault="00F87FF6">
            <w:pPr>
              <w:tabs>
                <w:tab w:val="left" w:pos="1867"/>
              </w:tabs>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10,018,832.09</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vAlign w:val="center"/>
          </w:tcPr>
          <w:p w:rsidR="00AD5BB5" w:rsidRDefault="00F87FF6">
            <w:pPr>
              <w:kinsoku w:val="0"/>
              <w:overflowPunct w:val="0"/>
              <w:autoSpaceDE w:val="0"/>
              <w:autoSpaceDN w:val="0"/>
              <w:adjustRightInd w:val="0"/>
              <w:snapToGrid w:val="0"/>
              <w:ind w:leftChars="82" w:left="382" w:hangingChars="100" w:hanging="210"/>
              <w:rPr>
                <w:rFonts w:ascii="Arial" w:eastAsia="黑体" w:hAnsi="Arial" w:cs="Arial"/>
                <w:snapToGrid w:val="0"/>
                <w:szCs w:val="21"/>
              </w:rPr>
            </w:pPr>
            <w:r>
              <w:rPr>
                <w:rFonts w:ascii="Arial" w:eastAsia="黑体" w:hAnsi="Arial" w:cs="Arial"/>
              </w:rPr>
              <w:t>本期</w:t>
            </w:r>
            <w:r>
              <w:rPr>
                <w:rFonts w:ascii="Arial" w:eastAsia="黑体" w:hAnsi="Arial" w:cs="Arial"/>
              </w:rPr>
              <w:t>/</w:t>
            </w:r>
            <w:r>
              <w:rPr>
                <w:rFonts w:ascii="Arial" w:eastAsia="黑体" w:hAnsi="Arial" w:cs="Arial"/>
              </w:rPr>
              <w:t>年计提</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single" w:sz="4" w:space="0" w:color="auto"/>
              <w:right w:val="nil"/>
            </w:tcBorders>
            <w:shd w:val="clear" w:color="000000" w:fill="auto"/>
            <w:noWrap/>
            <w:vAlign w:val="bottom"/>
          </w:tcPr>
          <w:p w:rsidR="00AD5BB5" w:rsidRDefault="00F87FF6">
            <w:pPr>
              <w:tabs>
                <w:tab w:val="left" w:pos="1867"/>
              </w:tabs>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238,782.87</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single" w:sz="4" w:space="0" w:color="auto"/>
              <w:right w:val="nil"/>
            </w:tcBorders>
            <w:shd w:val="clear" w:color="000000" w:fill="auto"/>
            <w:noWrap/>
            <w:vAlign w:val="bottom"/>
          </w:tcPr>
          <w:p w:rsidR="00AD5BB5" w:rsidRDefault="00F87FF6">
            <w:pPr>
              <w:tabs>
                <w:tab w:val="left" w:pos="1867"/>
              </w:tabs>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477,565.74</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vAlign w:val="center"/>
          </w:tcPr>
          <w:p w:rsidR="00AD5BB5" w:rsidRDefault="00AD5BB5">
            <w:pPr>
              <w:kinsoku w:val="0"/>
              <w:overflowPunct w:val="0"/>
              <w:autoSpaceDE w:val="0"/>
              <w:autoSpaceDN w:val="0"/>
              <w:adjustRightInd w:val="0"/>
              <w:snapToGrid w:val="0"/>
              <w:ind w:left="315" w:hangingChars="150" w:hanging="315"/>
              <w:rPr>
                <w:rFonts w:ascii="Arial" w:eastAsia="黑体" w:hAnsi="Arial" w:cs="Arial"/>
                <w:color w:val="000000"/>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single" w:sz="4" w:space="0" w:color="auto"/>
              <w:left w:val="nil"/>
              <w:bottom w:val="nil"/>
              <w:right w:val="nil"/>
            </w:tcBorders>
            <w:shd w:val="clear" w:color="000000" w:fill="auto"/>
            <w:noWrap/>
            <w:vAlign w:val="bottom"/>
          </w:tcPr>
          <w:p w:rsidR="00AD5BB5" w:rsidRDefault="00AD5BB5">
            <w:pPr>
              <w:tabs>
                <w:tab w:val="left" w:pos="1867"/>
              </w:tabs>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vAlign w:val="center"/>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color w:val="000000"/>
                <w:szCs w:val="21"/>
              </w:rPr>
            </w:pPr>
            <w:r>
              <w:rPr>
                <w:rFonts w:ascii="Arial" w:eastAsia="黑体" w:hAnsi="Arial" w:cs="Arial"/>
              </w:rPr>
              <w:t>期</w:t>
            </w:r>
            <w:r>
              <w:rPr>
                <w:rFonts w:ascii="Arial" w:eastAsia="黑体" w:hAnsi="Arial" w:cs="Arial"/>
              </w:rPr>
              <w:t>/</w:t>
            </w:r>
            <w:r>
              <w:rPr>
                <w:rFonts w:ascii="Arial" w:eastAsia="黑体" w:hAnsi="Arial" w:cs="Arial"/>
              </w:rPr>
              <w:t>年末余额</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single" w:sz="4" w:space="0" w:color="auto"/>
              <w:right w:val="nil"/>
            </w:tcBorders>
            <w:shd w:val="clear" w:color="000000" w:fill="auto"/>
            <w:noWrap/>
            <w:vAlign w:val="bottom"/>
          </w:tcPr>
          <w:p w:rsidR="00AD5BB5" w:rsidRDefault="00F87FF6">
            <w:pPr>
              <w:tabs>
                <w:tab w:val="left" w:pos="1867"/>
              </w:tabs>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10,735,180.70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single" w:sz="4" w:space="0" w:color="auto"/>
              <w:right w:val="nil"/>
            </w:tcBorders>
            <w:shd w:val="clear" w:color="000000" w:fill="auto"/>
            <w:noWrap/>
            <w:vAlign w:val="bottom"/>
          </w:tcPr>
          <w:p w:rsidR="00AD5BB5" w:rsidRDefault="00F87FF6">
            <w:pPr>
              <w:tabs>
                <w:tab w:val="left" w:pos="1867"/>
              </w:tabs>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10,496,397.83</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vAlign w:val="center"/>
          </w:tcPr>
          <w:p w:rsidR="00AD5BB5" w:rsidRDefault="00AD5BB5">
            <w:pPr>
              <w:kinsoku w:val="0"/>
              <w:overflowPunct w:val="0"/>
              <w:autoSpaceDE w:val="0"/>
              <w:autoSpaceDN w:val="0"/>
              <w:adjustRightInd w:val="0"/>
              <w:snapToGrid w:val="0"/>
              <w:ind w:leftChars="82" w:left="487" w:hangingChars="150" w:hanging="315"/>
              <w:rPr>
                <w:rFonts w:ascii="Arial" w:eastAsia="黑体" w:hAnsi="Arial" w:cs="Arial"/>
                <w:snapToGrid w:val="0"/>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single" w:sz="4" w:space="0" w:color="auto"/>
              <w:left w:val="nil"/>
              <w:bottom w:val="nil"/>
              <w:right w:val="nil"/>
            </w:tcBorders>
            <w:shd w:val="clear" w:color="000000" w:fill="auto"/>
            <w:noWrap/>
            <w:vAlign w:val="bottom"/>
          </w:tcPr>
          <w:p w:rsidR="00AD5BB5" w:rsidRDefault="00AD5BB5">
            <w:pPr>
              <w:tabs>
                <w:tab w:val="left" w:pos="1867"/>
              </w:tabs>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single" w:sz="4" w:space="0" w:color="auto"/>
              <w:left w:val="nil"/>
              <w:bottom w:val="nil"/>
              <w:right w:val="nil"/>
            </w:tcBorders>
            <w:shd w:val="clear" w:color="000000" w:fill="auto"/>
            <w:noWrap/>
            <w:vAlign w:val="bottom"/>
          </w:tcPr>
          <w:p w:rsidR="00AD5BB5" w:rsidRDefault="00AD5BB5">
            <w:pPr>
              <w:tabs>
                <w:tab w:val="left" w:pos="1867"/>
              </w:tabs>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vAlign w:val="center"/>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账面价值：</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000000" w:fill="auto"/>
            <w:noWrap/>
            <w:vAlign w:val="bottom"/>
          </w:tcPr>
          <w:p w:rsidR="00AD5BB5" w:rsidRDefault="00AD5BB5">
            <w:pPr>
              <w:tabs>
                <w:tab w:val="left" w:pos="1867"/>
              </w:tabs>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nil"/>
              <w:right w:val="nil"/>
            </w:tcBorders>
            <w:shd w:val="clear" w:color="000000" w:fill="auto"/>
            <w:noWrap/>
            <w:vAlign w:val="bottom"/>
          </w:tcPr>
          <w:p w:rsidR="00AD5BB5" w:rsidRDefault="00AD5BB5">
            <w:pPr>
              <w:tabs>
                <w:tab w:val="left" w:pos="1867"/>
              </w:tabs>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color w:val="000000"/>
                <w:szCs w:val="21"/>
              </w:rPr>
            </w:pPr>
            <w:r>
              <w:rPr>
                <w:rFonts w:ascii="Arial" w:eastAsia="黑体" w:hAnsi="Arial" w:cs="Arial"/>
              </w:rPr>
              <w:t>期</w:t>
            </w:r>
            <w:r>
              <w:rPr>
                <w:rFonts w:ascii="Arial" w:eastAsia="黑体" w:hAnsi="Arial" w:cs="Arial"/>
              </w:rPr>
              <w:t>/</w:t>
            </w:r>
            <w:r>
              <w:rPr>
                <w:rFonts w:ascii="Arial" w:eastAsia="黑体" w:hAnsi="Arial" w:cs="Arial"/>
              </w:rPr>
              <w:t>年末余额</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double" w:sz="4" w:space="0" w:color="auto"/>
              <w:right w:val="nil"/>
            </w:tcBorders>
            <w:shd w:val="clear" w:color="000000" w:fill="auto"/>
            <w:noWrap/>
            <w:vAlign w:val="bottom"/>
          </w:tcPr>
          <w:p w:rsidR="00AD5BB5" w:rsidRDefault="00F87FF6">
            <w:pPr>
              <w:overflowPunct w:val="0"/>
              <w:autoSpaceDE w:val="0"/>
              <w:autoSpaceDN w:val="0"/>
              <w:jc w:val="right"/>
              <w:rPr>
                <w:rFonts w:ascii="Arial" w:eastAsia="黑体" w:hAnsi="Arial" w:cs="Arial"/>
                <w:szCs w:val="21"/>
              </w:rPr>
            </w:pPr>
            <w:r>
              <w:rPr>
                <w:rFonts w:ascii="Arial" w:eastAsia="黑体" w:hAnsi="Arial" w:cs="Arial"/>
                <w:szCs w:val="21"/>
              </w:rPr>
              <w:t>2,328,259.99</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double" w:sz="4" w:space="0" w:color="auto"/>
              <w:right w:val="nil"/>
            </w:tcBorders>
            <w:shd w:val="clear" w:color="000000" w:fill="auto"/>
            <w:noWrap/>
            <w:vAlign w:val="bottom"/>
          </w:tcPr>
          <w:p w:rsidR="00AD5BB5" w:rsidRDefault="00F87FF6">
            <w:pPr>
              <w:tabs>
                <w:tab w:val="left" w:pos="1867"/>
              </w:tabs>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2,567,042.86</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color w:val="000000"/>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double" w:sz="4" w:space="0" w:color="auto"/>
              <w:left w:val="nil"/>
              <w:bottom w:val="nil"/>
              <w:right w:val="nil"/>
            </w:tcBorders>
            <w:shd w:val="clear" w:color="000000" w:fill="auto"/>
            <w:noWrap/>
            <w:vAlign w:val="bottom"/>
          </w:tcPr>
          <w:p w:rsidR="00AD5BB5" w:rsidRDefault="00AD5BB5">
            <w:pPr>
              <w:tabs>
                <w:tab w:val="left" w:pos="1867"/>
              </w:tabs>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double" w:sz="4" w:space="0" w:color="auto"/>
              <w:left w:val="nil"/>
              <w:bottom w:val="nil"/>
              <w:right w:val="nil"/>
            </w:tcBorders>
            <w:shd w:val="clear" w:color="000000" w:fill="auto"/>
            <w:noWrap/>
            <w:vAlign w:val="bottom"/>
          </w:tcPr>
          <w:p w:rsidR="00AD5BB5" w:rsidRDefault="00AD5BB5">
            <w:pPr>
              <w:tabs>
                <w:tab w:val="left" w:pos="1867"/>
              </w:tabs>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color w:val="000000"/>
                <w:szCs w:val="21"/>
              </w:rPr>
            </w:pPr>
            <w:r>
              <w:rPr>
                <w:rFonts w:ascii="Arial" w:eastAsia="黑体" w:hAnsi="Arial" w:cs="Arial"/>
              </w:rPr>
              <w:t>期</w:t>
            </w:r>
            <w:r>
              <w:rPr>
                <w:rFonts w:ascii="Arial" w:eastAsia="黑体" w:hAnsi="Arial" w:cs="Arial"/>
              </w:rPr>
              <w:t>/</w:t>
            </w:r>
            <w:r>
              <w:rPr>
                <w:rFonts w:ascii="Arial" w:eastAsia="黑体" w:hAnsi="Arial" w:cs="Arial"/>
              </w:rPr>
              <w:t>年初余额</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double" w:sz="4" w:space="0" w:color="auto"/>
              <w:right w:val="nil"/>
            </w:tcBorders>
            <w:shd w:val="clear" w:color="000000" w:fill="auto"/>
            <w:noWrap/>
            <w:vAlign w:val="bottom"/>
          </w:tcPr>
          <w:p w:rsidR="00AD5BB5" w:rsidRDefault="00F87FF6">
            <w:pPr>
              <w:tabs>
                <w:tab w:val="left" w:pos="1867"/>
              </w:tabs>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2,567,042.86</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double" w:sz="4" w:space="0" w:color="auto"/>
              <w:right w:val="nil"/>
            </w:tcBorders>
            <w:shd w:val="clear" w:color="000000" w:fill="auto"/>
            <w:noWrap/>
            <w:vAlign w:val="bottom"/>
          </w:tcPr>
          <w:p w:rsidR="00AD5BB5" w:rsidRDefault="00F87FF6">
            <w:pPr>
              <w:tabs>
                <w:tab w:val="left" w:pos="1867"/>
              </w:tabs>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3,044,608.60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bl>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snapToGrid w:val="0"/>
        <w:contextualSpacing/>
        <w:rPr>
          <w:rFonts w:ascii="Arial" w:eastAsia="黑体" w:hAnsi="Arial" w:cs="Arial"/>
          <w:snapToGrid w:val="0"/>
          <w:szCs w:val="21"/>
        </w:rPr>
      </w:pPr>
      <w:r>
        <w:rPr>
          <w:rFonts w:ascii="Arial" w:eastAsia="黑体" w:hAnsi="Arial" w:cs="Arial"/>
          <w:snapToGrid w:val="0"/>
          <w:szCs w:val="21"/>
        </w:rPr>
        <w:t>于</w:t>
      </w: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当期资产负债表日</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2023</w:t>
      </w:r>
      <w:r>
        <w:rPr>
          <w:rFonts w:ascii="Arial" w:eastAsia="黑体" w:hAnsi="Arial" w:cs="Arial"/>
          <w:snapToGrid w:val="0"/>
          <w:szCs w:val="21"/>
        </w:rPr>
        <w:t>年</w:t>
      </w:r>
      <w:r>
        <w:rPr>
          <w:rFonts w:ascii="Arial" w:eastAsia="黑体" w:hAnsi="Arial" w:cs="Arial"/>
          <w:snapToGrid w:val="0"/>
          <w:szCs w:val="21"/>
        </w:rPr>
        <w:t>6</w:t>
      </w:r>
      <w:r>
        <w:rPr>
          <w:rFonts w:ascii="Arial" w:eastAsia="黑体" w:hAnsi="Arial" w:cs="Arial"/>
          <w:snapToGrid w:val="0"/>
          <w:szCs w:val="21"/>
        </w:rPr>
        <w:t>月</w:t>
      </w:r>
      <w:r>
        <w:rPr>
          <w:rFonts w:ascii="Arial" w:eastAsia="黑体" w:hAnsi="Arial" w:cs="Arial"/>
          <w:snapToGrid w:val="0"/>
          <w:szCs w:val="21"/>
        </w:rPr>
        <w:t>30</w:t>
      </w:r>
      <w:r>
        <w:rPr>
          <w:rFonts w:ascii="Arial" w:eastAsia="黑体" w:hAnsi="Arial" w:cs="Arial"/>
          <w:snapToGrid w:val="0"/>
          <w:szCs w:val="21"/>
        </w:rPr>
        <w:t>日</w:t>
      </w:r>
      <w:r>
        <w:rPr>
          <w:rFonts w:ascii="Arial" w:eastAsia="黑体" w:hAnsi="Arial" w:cs="Arial"/>
          <w:snapToGrid w:val="0"/>
          <w:szCs w:val="21"/>
        </w:rPr>
        <w:fldChar w:fldCharType="end"/>
      </w:r>
      <w:r>
        <w:rPr>
          <w:rFonts w:ascii="Arial" w:eastAsia="黑体" w:hAnsi="Arial" w:cs="Arial"/>
          <w:snapToGrid w:val="0"/>
          <w:szCs w:val="21"/>
        </w:rPr>
        <w:t>，本集团尚未取得产权登记证明的投资性房地产的原值为人民币</w:t>
      </w:r>
      <w:r>
        <w:rPr>
          <w:rFonts w:ascii="Arial" w:eastAsia="黑体" w:hAnsi="Arial" w:cs="Arial"/>
          <w:snapToGrid w:val="0"/>
          <w:szCs w:val="21"/>
        </w:rPr>
        <w:t>2,840,279.00</w:t>
      </w:r>
      <w:r>
        <w:rPr>
          <w:rFonts w:ascii="Arial" w:eastAsia="黑体" w:hAnsi="Arial" w:cs="Arial"/>
          <w:snapToGrid w:val="0"/>
          <w:szCs w:val="21"/>
        </w:rPr>
        <w:t>元（</w:t>
      </w: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上期资产负债表日</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2022</w:t>
      </w:r>
      <w:r>
        <w:rPr>
          <w:rFonts w:ascii="Arial" w:eastAsia="黑体" w:hAnsi="Arial" w:cs="Arial"/>
          <w:snapToGrid w:val="0"/>
          <w:szCs w:val="21"/>
        </w:rPr>
        <w:t>年</w:t>
      </w:r>
      <w:r>
        <w:rPr>
          <w:rFonts w:ascii="Arial" w:eastAsia="黑体" w:hAnsi="Arial" w:cs="Arial"/>
          <w:snapToGrid w:val="0"/>
          <w:szCs w:val="21"/>
        </w:rPr>
        <w:t>12</w:t>
      </w:r>
      <w:r>
        <w:rPr>
          <w:rFonts w:ascii="Arial" w:eastAsia="黑体" w:hAnsi="Arial" w:cs="Arial"/>
          <w:snapToGrid w:val="0"/>
          <w:szCs w:val="21"/>
        </w:rPr>
        <w:t>月</w:t>
      </w:r>
      <w:r>
        <w:rPr>
          <w:rFonts w:ascii="Arial" w:eastAsia="黑体" w:hAnsi="Arial" w:cs="Arial"/>
          <w:snapToGrid w:val="0"/>
          <w:szCs w:val="21"/>
        </w:rPr>
        <w:t>31</w:t>
      </w:r>
      <w:r>
        <w:rPr>
          <w:rFonts w:ascii="Arial" w:eastAsia="黑体" w:hAnsi="Arial" w:cs="Arial"/>
          <w:snapToGrid w:val="0"/>
          <w:szCs w:val="21"/>
        </w:rPr>
        <w:t>日</w:t>
      </w:r>
      <w:r>
        <w:rPr>
          <w:rFonts w:ascii="Arial" w:eastAsia="黑体" w:hAnsi="Arial" w:cs="Arial"/>
          <w:snapToGrid w:val="0"/>
          <w:szCs w:val="21"/>
        </w:rPr>
        <w:fldChar w:fldCharType="end"/>
      </w:r>
      <w:r>
        <w:rPr>
          <w:rFonts w:ascii="Arial" w:eastAsia="黑体" w:hAnsi="Arial" w:cs="Arial"/>
          <w:snapToGrid w:val="0"/>
          <w:szCs w:val="21"/>
        </w:rPr>
        <w:t>：人民币</w:t>
      </w:r>
      <w:r>
        <w:rPr>
          <w:rFonts w:ascii="Arial" w:eastAsia="黑体" w:hAnsi="Arial" w:cs="Arial"/>
          <w:snapToGrid w:val="0"/>
          <w:szCs w:val="21"/>
        </w:rPr>
        <w:t>2,840,279.00</w:t>
      </w:r>
      <w:r>
        <w:rPr>
          <w:rFonts w:ascii="Arial" w:eastAsia="黑体" w:hAnsi="Arial" w:cs="Arial"/>
          <w:snapToGrid w:val="0"/>
          <w:szCs w:val="21"/>
        </w:rPr>
        <w:t>元），净值为人民币</w:t>
      </w:r>
      <w:r>
        <w:rPr>
          <w:rFonts w:ascii="Arial" w:eastAsia="黑体" w:hAnsi="Arial" w:cs="Arial"/>
          <w:snapToGrid w:val="0"/>
          <w:szCs w:val="21"/>
        </w:rPr>
        <w:t>142,013.95</w:t>
      </w:r>
      <w:r>
        <w:rPr>
          <w:rFonts w:ascii="Arial" w:eastAsia="黑体" w:hAnsi="Arial" w:cs="Arial"/>
          <w:snapToGrid w:val="0"/>
          <w:szCs w:val="21"/>
        </w:rPr>
        <w:t>元（</w:t>
      </w: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当期资产负债表日</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2022</w:t>
      </w:r>
      <w:r>
        <w:rPr>
          <w:rFonts w:ascii="Arial" w:eastAsia="黑体" w:hAnsi="Arial" w:cs="Arial"/>
          <w:snapToGrid w:val="0"/>
          <w:szCs w:val="21"/>
        </w:rPr>
        <w:t>年</w:t>
      </w:r>
      <w:r>
        <w:rPr>
          <w:rFonts w:ascii="Arial" w:eastAsia="黑体" w:hAnsi="Arial" w:cs="Arial"/>
          <w:snapToGrid w:val="0"/>
          <w:szCs w:val="21"/>
        </w:rPr>
        <w:t>12</w:t>
      </w:r>
      <w:r>
        <w:rPr>
          <w:rFonts w:ascii="Arial" w:eastAsia="黑体" w:hAnsi="Arial" w:cs="Arial"/>
          <w:snapToGrid w:val="0"/>
          <w:szCs w:val="21"/>
        </w:rPr>
        <w:t>月</w:t>
      </w:r>
      <w:r>
        <w:rPr>
          <w:rFonts w:ascii="Arial" w:eastAsia="黑体" w:hAnsi="Arial" w:cs="Arial"/>
          <w:snapToGrid w:val="0"/>
          <w:szCs w:val="21"/>
        </w:rPr>
        <w:t>31</w:t>
      </w:r>
      <w:r>
        <w:rPr>
          <w:rFonts w:ascii="Arial" w:eastAsia="黑体" w:hAnsi="Arial" w:cs="Arial"/>
          <w:snapToGrid w:val="0"/>
          <w:szCs w:val="21"/>
        </w:rPr>
        <w:t>日</w:t>
      </w:r>
      <w:r>
        <w:rPr>
          <w:rFonts w:ascii="Arial" w:eastAsia="黑体" w:hAnsi="Arial" w:cs="Arial"/>
          <w:snapToGrid w:val="0"/>
          <w:szCs w:val="21"/>
        </w:rPr>
        <w:fldChar w:fldCharType="end"/>
      </w:r>
      <w:r>
        <w:rPr>
          <w:rFonts w:ascii="Arial" w:eastAsia="黑体" w:hAnsi="Arial" w:cs="Arial"/>
          <w:snapToGrid w:val="0"/>
          <w:szCs w:val="21"/>
        </w:rPr>
        <w:t>：人民币</w:t>
      </w:r>
      <w:r>
        <w:rPr>
          <w:rFonts w:ascii="Arial" w:eastAsia="黑体" w:hAnsi="Arial" w:cs="Arial"/>
          <w:snapToGrid w:val="0"/>
          <w:szCs w:val="21"/>
        </w:rPr>
        <w:t>142,013.95</w:t>
      </w:r>
      <w:r>
        <w:rPr>
          <w:rFonts w:ascii="Arial" w:eastAsia="黑体" w:hAnsi="Arial" w:cs="Arial"/>
          <w:snapToGrid w:val="0"/>
          <w:szCs w:val="21"/>
        </w:rPr>
        <w:t>元）。管理层认为本集团取得上述投资性房地产的产权证不存在重大障碍，上述事项不会对本集团的整体财务状况构成任何重大不利影响。</w:t>
      </w:r>
      <w:r>
        <w:rPr>
          <w:rFonts w:ascii="Arial" w:eastAsia="黑体" w:hAnsi="Arial" w:cs="Arial"/>
          <w:snapToGrid w:val="0"/>
        </w:rPr>
        <w:br w:type="page"/>
      </w:r>
    </w:p>
    <w:p w:rsidR="00AD5BB5" w:rsidRDefault="00AD5BB5">
      <w:pPr>
        <w:overflowPunct w:val="0"/>
        <w:autoSpaceDE w:val="0"/>
        <w:autoSpaceDN w:val="0"/>
        <w:adjustRightInd w:val="0"/>
        <w:snapToGrid w:val="0"/>
        <w:textAlignment w:val="bottom"/>
        <w:rPr>
          <w:rFonts w:ascii="Arial" w:eastAsia="黑体" w:hAnsi="Arial" w:cs="Arial"/>
          <w:snapToGrid w:val="0"/>
        </w:rPr>
      </w:pPr>
    </w:p>
    <w:p w:rsidR="00AD5BB5" w:rsidRDefault="00F87FF6">
      <w:pPr>
        <w:overflowPunct w:val="0"/>
        <w:autoSpaceDE w:val="0"/>
        <w:autoSpaceDN w:val="0"/>
        <w:adjustRightInd w:val="0"/>
        <w:snapToGrid w:val="0"/>
        <w:textAlignment w:val="bottom"/>
        <w:rPr>
          <w:rFonts w:ascii="Arial" w:eastAsia="黑体" w:hAnsi="Arial" w:cs="Arial"/>
          <w:b/>
          <w:snapToGrid w:val="0"/>
        </w:rPr>
      </w:pPr>
      <w:bookmarkStart w:id="133" w:name="afsaddin_WithXu_863600f9f4e34a5d91a1bfa8"/>
      <w:r>
        <w:rPr>
          <w:rFonts w:ascii="Arial" w:eastAsia="黑体" w:hAnsi="Arial" w:cs="Arial"/>
          <w:b/>
          <w:snapToGrid w:val="0"/>
        </w:rPr>
        <w:t>五、</w:t>
      </w:r>
      <w:r>
        <w:rPr>
          <w:rFonts w:ascii="Arial" w:eastAsia="黑体" w:hAnsi="Arial" w:cs="Arial"/>
          <w:b/>
          <w:snapToGrid w:val="0"/>
        </w:rPr>
        <w:tab/>
      </w:r>
      <w:r>
        <w:rPr>
          <w:rFonts w:ascii="Arial" w:eastAsia="黑体" w:hAnsi="Arial" w:cs="Arial"/>
          <w:b/>
          <w:snapToGrid w:val="0"/>
        </w:rPr>
        <w:t>合并财务报表主要项目注释（续）</w:t>
      </w:r>
      <w:bookmarkEnd w:id="133"/>
    </w:p>
    <w:p w:rsidR="00AD5BB5" w:rsidRDefault="00AD5BB5">
      <w:pPr>
        <w:overflowPunct w:val="0"/>
        <w:autoSpaceDE w:val="0"/>
        <w:autoSpaceDN w:val="0"/>
        <w:adjustRightInd w:val="0"/>
        <w:snapToGrid w:val="0"/>
        <w:textAlignment w:val="bottom"/>
        <w:rPr>
          <w:rFonts w:ascii="Arial" w:eastAsia="黑体" w:hAnsi="Arial" w:cs="Arial"/>
          <w:snapToGrid w:val="0"/>
        </w:rPr>
      </w:pPr>
    </w:p>
    <w:p w:rsidR="00AD5BB5" w:rsidRDefault="00F87FF6">
      <w:pPr>
        <w:pStyle w:val="af5"/>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134" w:name="afsaddin_WithXu_dcdc0076c53e4815ac2a01cb"/>
      <w:bookmarkStart w:id="135" w:name="afsaddin_Section_120aec8e27c342eea96075f"/>
      <w:bookmarkEnd w:id="134"/>
      <w:r>
        <w:rPr>
          <w:rFonts w:ascii="Arial" w:eastAsia="黑体" w:hAnsi="Arial" w:cs="Arial" w:hint="default"/>
          <w:bCs w:val="0"/>
          <w:snapToGrid w:val="0"/>
          <w:color w:val="auto"/>
          <w:sz w:val="21"/>
          <w:szCs w:val="21"/>
        </w:rPr>
        <w:t>12.</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固定资产</w:t>
      </w:r>
    </w:p>
    <w:bookmarkEnd w:id="135"/>
    <w:p w:rsidR="00AD5BB5" w:rsidRDefault="00AD5BB5">
      <w:pPr>
        <w:overflowPunct w:val="0"/>
        <w:autoSpaceDE w:val="0"/>
        <w:autoSpaceDN w:val="0"/>
        <w:rPr>
          <w:rFonts w:ascii="Arial" w:eastAsia="黑体" w:hAnsi="Arial" w:cs="Arial"/>
        </w:rPr>
      </w:pPr>
    </w:p>
    <w:tbl>
      <w:tblPr>
        <w:tblW w:w="0" w:type="auto"/>
        <w:tblLayout w:type="fixed"/>
        <w:tblCellMar>
          <w:left w:w="0" w:type="dxa"/>
          <w:right w:w="0" w:type="dxa"/>
        </w:tblCellMar>
        <w:tblLook w:val="04A0" w:firstRow="1" w:lastRow="0" w:firstColumn="1" w:lastColumn="0" w:noHBand="0" w:noVBand="1"/>
        <w:tblCaption w:val="86d63a13-36fa-4531-91eb-7bf5f463451b"/>
        <w:tblDescription w:val="{&quot;UUID&quot;:&quot;afsaddin_tabledata_2_56437_86d63a13-36fa-4531-91eb-7bf5f463451b&quot;,&quot;TitleRowCount&quot;:2,&quot;SplitedTable&quot;:false,&quot;FirstTableId&quot;:&quot;86d63a13-36fa-4531-91eb-7bf5f463451b&quot;}"/>
      </w:tblPr>
      <w:tblGrid>
        <w:gridCol w:w="1624"/>
        <w:gridCol w:w="106"/>
        <w:gridCol w:w="1177"/>
        <w:gridCol w:w="106"/>
        <w:gridCol w:w="106"/>
        <w:gridCol w:w="1185"/>
        <w:gridCol w:w="106"/>
        <w:gridCol w:w="106"/>
        <w:gridCol w:w="1083"/>
        <w:gridCol w:w="106"/>
        <w:gridCol w:w="106"/>
        <w:gridCol w:w="1083"/>
        <w:gridCol w:w="106"/>
        <w:gridCol w:w="106"/>
        <w:gridCol w:w="1251"/>
        <w:gridCol w:w="106"/>
      </w:tblGrid>
      <w:tr w:rsidR="00AD5BB5">
        <w:tc>
          <w:tcPr>
            <w:tcW w:w="1624"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fldChar w:fldCharType="begin"/>
            </w:r>
            <w:r>
              <w:rPr>
                <w:rFonts w:ascii="Arial" w:eastAsia="黑体" w:hAnsi="Arial" w:cs="Arial"/>
                <w:sz w:val="16"/>
                <w:szCs w:val="16"/>
              </w:rPr>
              <w:instrText xml:space="preserve"> DOCPROPERTY </w:instrText>
            </w:r>
            <w:r>
              <w:rPr>
                <w:rFonts w:ascii="Arial" w:eastAsia="黑体" w:hAnsi="Arial" w:cs="Arial"/>
                <w:sz w:val="16"/>
                <w:szCs w:val="16"/>
              </w:rPr>
              <w:instrText>当期会计期间</w:instrText>
            </w:r>
            <w:r>
              <w:rPr>
                <w:rFonts w:ascii="Arial" w:eastAsia="黑体" w:hAnsi="Arial" w:cs="Arial"/>
                <w:sz w:val="16"/>
                <w:szCs w:val="16"/>
              </w:rPr>
              <w:instrText xml:space="preserve"> </w:instrText>
            </w:r>
            <w:r>
              <w:rPr>
                <w:rFonts w:ascii="Arial" w:eastAsia="黑体" w:hAnsi="Arial" w:cs="Arial"/>
                <w:sz w:val="16"/>
                <w:szCs w:val="16"/>
              </w:rPr>
              <w:fldChar w:fldCharType="separate"/>
            </w:r>
            <w:r>
              <w:rPr>
                <w:rFonts w:ascii="Arial" w:eastAsia="黑体" w:hAnsi="Arial" w:cs="Arial"/>
                <w:sz w:val="16"/>
                <w:szCs w:val="16"/>
              </w:rPr>
              <w:t>2023</w:t>
            </w:r>
            <w:r>
              <w:rPr>
                <w:rFonts w:ascii="Arial" w:eastAsia="黑体" w:hAnsi="Arial" w:cs="Arial"/>
                <w:sz w:val="16"/>
                <w:szCs w:val="16"/>
              </w:rPr>
              <w:fldChar w:fldCharType="end"/>
            </w:r>
            <w:r>
              <w:rPr>
                <w:rFonts w:ascii="Arial" w:eastAsia="黑体" w:hAnsi="Arial" w:cs="Arial"/>
                <w:sz w:val="16"/>
                <w:szCs w:val="16"/>
              </w:rPr>
              <w:t>年</w:t>
            </w:r>
            <w:r>
              <w:rPr>
                <w:rFonts w:ascii="Arial" w:eastAsia="黑体" w:hAnsi="Arial" w:cs="Arial"/>
                <w:sz w:val="16"/>
                <w:szCs w:val="16"/>
              </w:rPr>
              <w:t>1-6</w:t>
            </w:r>
            <w:r>
              <w:rPr>
                <w:rFonts w:ascii="Arial" w:eastAsia="黑体" w:hAnsi="Arial" w:cs="Arial"/>
                <w:sz w:val="16"/>
                <w:szCs w:val="16"/>
              </w:rPr>
              <w:t>月</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房屋及建筑物</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办公及电子设备</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运输工具</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自有房屋装修</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合计</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4"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4"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原值：</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4" w:type="dxa"/>
            <w:tcBorders>
              <w:top w:val="nil"/>
              <w:left w:val="nil"/>
              <w:bottom w:val="nil"/>
              <w:right w:val="nil"/>
            </w:tcBorders>
            <w:vAlign w:val="bottom"/>
          </w:tcPr>
          <w:p w:rsidR="00AD5BB5" w:rsidRDefault="00F87FF6">
            <w:pPr>
              <w:autoSpaceDE w:val="0"/>
              <w:autoSpaceDN w:val="0"/>
              <w:ind w:leftChars="59" w:left="284" w:hangingChars="100" w:hanging="160"/>
              <w:rPr>
                <w:rFonts w:ascii="Arial" w:eastAsia="黑体" w:hAnsi="Arial" w:cs="Arial"/>
                <w:sz w:val="16"/>
                <w:szCs w:val="16"/>
              </w:rPr>
            </w:pPr>
            <w:r>
              <w:rPr>
                <w:rFonts w:ascii="Arial" w:eastAsia="黑体" w:hAnsi="Arial" w:cs="Arial"/>
                <w:sz w:val="16"/>
                <w:szCs w:val="16"/>
              </w:rPr>
              <w:t>期初余额</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809,179,291.38</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548,099,999.15</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27,964,563.52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31,127,721.47</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1,416,371,575.52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4" w:type="dxa"/>
            <w:tcBorders>
              <w:top w:val="nil"/>
              <w:left w:val="nil"/>
              <w:bottom w:val="nil"/>
              <w:right w:val="nil"/>
            </w:tcBorders>
            <w:vAlign w:val="bottom"/>
          </w:tcPr>
          <w:p w:rsidR="00AD5BB5" w:rsidRDefault="00F87FF6">
            <w:pPr>
              <w:autoSpaceDE w:val="0"/>
              <w:autoSpaceDN w:val="0"/>
              <w:ind w:leftChars="59" w:left="284" w:hangingChars="100" w:hanging="160"/>
              <w:rPr>
                <w:rFonts w:ascii="Arial" w:eastAsia="黑体" w:hAnsi="Arial" w:cs="Arial"/>
                <w:sz w:val="16"/>
                <w:szCs w:val="16"/>
              </w:rPr>
            </w:pPr>
            <w:r>
              <w:rPr>
                <w:rFonts w:ascii="Arial" w:eastAsia="黑体" w:hAnsi="Arial" w:cs="Arial"/>
                <w:sz w:val="16"/>
                <w:szCs w:val="16"/>
              </w:rPr>
              <w:t>本期购置或原值增加</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1,084,427.56</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19,485,984.41</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14,010,876.64</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34,581,288.61</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4" w:type="dxa"/>
            <w:tcBorders>
              <w:top w:val="nil"/>
              <w:left w:val="nil"/>
              <w:bottom w:val="nil"/>
              <w:right w:val="nil"/>
            </w:tcBorders>
            <w:vAlign w:val="bottom"/>
          </w:tcPr>
          <w:p w:rsidR="00AD5BB5" w:rsidRDefault="00F87FF6">
            <w:pPr>
              <w:autoSpaceDE w:val="0"/>
              <w:autoSpaceDN w:val="0"/>
              <w:ind w:leftChars="59" w:left="284" w:hangingChars="100" w:hanging="160"/>
              <w:rPr>
                <w:rFonts w:ascii="Arial" w:eastAsia="黑体" w:hAnsi="Arial" w:cs="Arial"/>
                <w:sz w:val="16"/>
                <w:szCs w:val="16"/>
              </w:rPr>
            </w:pPr>
            <w:r>
              <w:rPr>
                <w:rFonts w:ascii="Arial" w:eastAsia="黑体" w:hAnsi="Arial" w:cs="Arial"/>
                <w:sz w:val="16"/>
                <w:szCs w:val="16"/>
              </w:rPr>
              <w:t>处置或报废</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(14,469,558.15</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(14,919,842.77</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(29,389,400.92</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1624" w:type="dxa"/>
            <w:tcBorders>
              <w:top w:val="nil"/>
              <w:left w:val="nil"/>
              <w:bottom w:val="nil"/>
              <w:right w:val="nil"/>
            </w:tcBorders>
            <w:vAlign w:val="bottom"/>
          </w:tcPr>
          <w:p w:rsidR="00AD5BB5" w:rsidRDefault="00F87FF6">
            <w:pPr>
              <w:autoSpaceDE w:val="0"/>
              <w:autoSpaceDN w:val="0"/>
              <w:ind w:leftChars="59" w:left="284" w:hangingChars="100" w:hanging="160"/>
              <w:rPr>
                <w:rFonts w:ascii="Arial" w:eastAsia="黑体" w:hAnsi="Arial" w:cs="Arial"/>
                <w:sz w:val="16"/>
                <w:szCs w:val="16"/>
              </w:rPr>
            </w:pPr>
            <w:r>
              <w:rPr>
                <w:rFonts w:ascii="Arial" w:eastAsia="黑体" w:hAnsi="Arial" w:cs="Arial"/>
                <w:sz w:val="16"/>
                <w:szCs w:val="16"/>
              </w:rPr>
              <w:t>期末余额</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795,794,160.79</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552,666,140.79</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27,964,563.52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45,138,598.11</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1,421,563,463.21</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4"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4"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累计折旧：</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4" w:type="dxa"/>
            <w:tcBorders>
              <w:top w:val="nil"/>
              <w:left w:val="nil"/>
              <w:bottom w:val="nil"/>
              <w:right w:val="nil"/>
            </w:tcBorders>
            <w:vAlign w:val="bottom"/>
          </w:tcPr>
          <w:p w:rsidR="00AD5BB5" w:rsidRDefault="00F87FF6">
            <w:pPr>
              <w:autoSpaceDE w:val="0"/>
              <w:autoSpaceDN w:val="0"/>
              <w:ind w:leftChars="59" w:left="284" w:hangingChars="100" w:hanging="160"/>
              <w:rPr>
                <w:rFonts w:ascii="Arial" w:eastAsia="黑体" w:hAnsi="Arial" w:cs="Arial"/>
                <w:sz w:val="16"/>
                <w:szCs w:val="16"/>
              </w:rPr>
            </w:pPr>
            <w:r>
              <w:rPr>
                <w:rFonts w:ascii="Arial" w:eastAsia="黑体" w:hAnsi="Arial" w:cs="Arial"/>
                <w:sz w:val="16"/>
                <w:szCs w:val="16"/>
              </w:rPr>
              <w:t>期初余额</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205,511,082.26</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366,324,547.03</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22,349,827.43</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20,215,701.56</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614,401,158.28</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4" w:type="dxa"/>
            <w:tcBorders>
              <w:top w:val="nil"/>
              <w:left w:val="nil"/>
              <w:bottom w:val="nil"/>
              <w:right w:val="nil"/>
            </w:tcBorders>
            <w:vAlign w:val="bottom"/>
          </w:tcPr>
          <w:p w:rsidR="00AD5BB5" w:rsidRDefault="00F87FF6">
            <w:pPr>
              <w:autoSpaceDE w:val="0"/>
              <w:autoSpaceDN w:val="0"/>
              <w:ind w:leftChars="59" w:left="284" w:hangingChars="100" w:hanging="160"/>
              <w:rPr>
                <w:rFonts w:ascii="Arial" w:eastAsia="黑体" w:hAnsi="Arial" w:cs="Arial"/>
                <w:sz w:val="16"/>
                <w:szCs w:val="16"/>
              </w:rPr>
            </w:pPr>
            <w:r>
              <w:rPr>
                <w:rFonts w:ascii="Arial" w:eastAsia="黑体" w:hAnsi="Arial" w:cs="Arial"/>
                <w:sz w:val="16"/>
                <w:szCs w:val="16"/>
              </w:rPr>
              <w:t>本期计提</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18,990,566.70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30,018,134.86</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756,804.23</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1,624,088.36</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51,389,594.15</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4" w:type="dxa"/>
            <w:tcBorders>
              <w:top w:val="nil"/>
              <w:left w:val="nil"/>
              <w:bottom w:val="nil"/>
              <w:right w:val="nil"/>
            </w:tcBorders>
            <w:vAlign w:val="bottom"/>
          </w:tcPr>
          <w:p w:rsidR="00AD5BB5" w:rsidRDefault="00F87FF6">
            <w:pPr>
              <w:autoSpaceDE w:val="0"/>
              <w:autoSpaceDN w:val="0"/>
              <w:ind w:leftChars="59" w:left="284" w:hangingChars="100" w:hanging="160"/>
              <w:rPr>
                <w:rFonts w:ascii="Arial" w:eastAsia="黑体" w:hAnsi="Arial" w:cs="Arial"/>
                <w:sz w:val="16"/>
                <w:szCs w:val="16"/>
              </w:rPr>
            </w:pPr>
            <w:r>
              <w:rPr>
                <w:rFonts w:ascii="Arial" w:eastAsia="黑体" w:hAnsi="Arial" w:cs="Arial"/>
                <w:sz w:val="16"/>
                <w:szCs w:val="16"/>
              </w:rPr>
              <w:t>处置或报废</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(9,805,931.44</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(14,292,774.02</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(24,098,705.46</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1624" w:type="dxa"/>
            <w:tcBorders>
              <w:top w:val="nil"/>
              <w:left w:val="nil"/>
              <w:bottom w:val="nil"/>
              <w:right w:val="nil"/>
            </w:tcBorders>
            <w:vAlign w:val="bottom"/>
          </w:tcPr>
          <w:p w:rsidR="00AD5BB5" w:rsidRDefault="00F87FF6">
            <w:pPr>
              <w:autoSpaceDE w:val="0"/>
              <w:autoSpaceDN w:val="0"/>
              <w:ind w:leftChars="59" w:left="284" w:hangingChars="100" w:hanging="160"/>
              <w:rPr>
                <w:rFonts w:ascii="Arial" w:eastAsia="黑体" w:hAnsi="Arial" w:cs="Arial"/>
                <w:sz w:val="16"/>
                <w:szCs w:val="16"/>
              </w:rPr>
            </w:pPr>
            <w:r>
              <w:rPr>
                <w:rFonts w:ascii="Arial" w:eastAsia="黑体" w:hAnsi="Arial" w:cs="Arial"/>
                <w:sz w:val="16"/>
                <w:szCs w:val="16"/>
              </w:rPr>
              <w:t>期末余额</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214,695,717.52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382,049,907.87</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23,106,631.66</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21,839,789.92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641,692,046.97</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4"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4"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账面价值：</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4" w:type="dxa"/>
            <w:tcBorders>
              <w:top w:val="nil"/>
              <w:left w:val="nil"/>
              <w:bottom w:val="nil"/>
              <w:right w:val="nil"/>
            </w:tcBorders>
            <w:vAlign w:val="bottom"/>
          </w:tcPr>
          <w:p w:rsidR="00AD5BB5" w:rsidRDefault="00F87FF6">
            <w:pPr>
              <w:autoSpaceDE w:val="0"/>
              <w:autoSpaceDN w:val="0"/>
              <w:ind w:leftChars="59" w:left="284" w:hangingChars="100" w:hanging="160"/>
              <w:rPr>
                <w:rFonts w:ascii="Arial" w:eastAsia="黑体" w:hAnsi="Arial" w:cs="Arial"/>
                <w:sz w:val="16"/>
                <w:szCs w:val="16"/>
              </w:rPr>
            </w:pPr>
            <w:r>
              <w:rPr>
                <w:rFonts w:ascii="Arial" w:eastAsia="黑体" w:hAnsi="Arial" w:cs="Arial"/>
                <w:sz w:val="16"/>
                <w:szCs w:val="16"/>
              </w:rPr>
              <w:t>期末余额</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581,098,443.27</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170,616,232.92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4,857,931.86</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23,298,808.19</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779,871,416.24</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4" w:type="dxa"/>
            <w:tcBorders>
              <w:top w:val="nil"/>
              <w:left w:val="nil"/>
              <w:bottom w:val="nil"/>
              <w:right w:val="nil"/>
            </w:tcBorders>
            <w:vAlign w:val="bottom"/>
          </w:tcPr>
          <w:p w:rsidR="00AD5BB5" w:rsidRDefault="00AD5BB5">
            <w:pPr>
              <w:autoSpaceDE w:val="0"/>
              <w:autoSpaceDN w:val="0"/>
              <w:ind w:leftChars="59" w:left="364" w:hangingChars="150" w:hanging="24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4" w:type="dxa"/>
            <w:tcBorders>
              <w:top w:val="nil"/>
              <w:left w:val="nil"/>
              <w:bottom w:val="nil"/>
              <w:right w:val="nil"/>
            </w:tcBorders>
            <w:vAlign w:val="bottom"/>
          </w:tcPr>
          <w:p w:rsidR="00AD5BB5" w:rsidRDefault="00F87FF6">
            <w:pPr>
              <w:autoSpaceDE w:val="0"/>
              <w:autoSpaceDN w:val="0"/>
              <w:ind w:leftChars="59" w:left="284" w:hangingChars="100" w:hanging="160"/>
              <w:rPr>
                <w:rFonts w:ascii="Arial" w:eastAsia="黑体" w:hAnsi="Arial" w:cs="Arial"/>
                <w:sz w:val="16"/>
                <w:szCs w:val="16"/>
              </w:rPr>
            </w:pPr>
            <w:r>
              <w:rPr>
                <w:rFonts w:ascii="Arial" w:eastAsia="黑体" w:hAnsi="Arial" w:cs="Arial"/>
                <w:sz w:val="16"/>
                <w:szCs w:val="16"/>
              </w:rPr>
              <w:t>期初余额</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603,668,209.12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181,775,452.12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5,614,736.09</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10,912,019.91</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801,970,417.24</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bl>
    <w:p w:rsidR="00AD5BB5" w:rsidRDefault="00AD5BB5">
      <w:pPr>
        <w:overflowPunct w:val="0"/>
        <w:autoSpaceDE w:val="0"/>
        <w:autoSpaceDN w:val="0"/>
        <w:adjustRightInd w:val="0"/>
        <w:snapToGrid w:val="0"/>
        <w:textAlignment w:val="bottom"/>
        <w:rPr>
          <w:rFonts w:ascii="Arial" w:eastAsia="黑体" w:hAnsi="Arial" w:cs="Arial"/>
          <w:snapToGrid w:val="0"/>
        </w:rPr>
      </w:pPr>
    </w:p>
    <w:tbl>
      <w:tblPr>
        <w:tblW w:w="0" w:type="auto"/>
        <w:tblLayout w:type="fixed"/>
        <w:tblCellMar>
          <w:left w:w="0" w:type="dxa"/>
          <w:right w:w="0" w:type="dxa"/>
        </w:tblCellMar>
        <w:tblLook w:val="04A0" w:firstRow="1" w:lastRow="0" w:firstColumn="1" w:lastColumn="0" w:noHBand="0" w:noVBand="1"/>
        <w:tblCaption w:val="13745899-bb73-423d-9ed7-3dafaacb4b00"/>
        <w:tblDescription w:val="{&quot;UUID&quot;:&quot;afsaddin_tabledata_2_56437_13745899-bb73-423d-9ed7-3dafaacb4b00&quot;,&quot;TitleRowCount&quot;:2,&quot;SplitedTable&quot;:false,&quot;FirstTableId&quot;:&quot;13745899-bb73-423d-9ed7-3dafaacb4b00&quot;}"/>
      </w:tblPr>
      <w:tblGrid>
        <w:gridCol w:w="1624"/>
        <w:gridCol w:w="106"/>
        <w:gridCol w:w="1177"/>
        <w:gridCol w:w="106"/>
        <w:gridCol w:w="106"/>
        <w:gridCol w:w="1185"/>
        <w:gridCol w:w="106"/>
        <w:gridCol w:w="106"/>
        <w:gridCol w:w="1083"/>
        <w:gridCol w:w="106"/>
        <w:gridCol w:w="106"/>
        <w:gridCol w:w="1083"/>
        <w:gridCol w:w="106"/>
        <w:gridCol w:w="106"/>
        <w:gridCol w:w="1251"/>
        <w:gridCol w:w="106"/>
      </w:tblGrid>
      <w:tr w:rsidR="00AD5BB5">
        <w:tc>
          <w:tcPr>
            <w:tcW w:w="1624"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fldChar w:fldCharType="begin"/>
            </w:r>
            <w:r>
              <w:rPr>
                <w:rFonts w:ascii="Arial" w:eastAsia="黑体" w:hAnsi="Arial" w:cs="Arial"/>
                <w:sz w:val="16"/>
                <w:szCs w:val="16"/>
              </w:rPr>
              <w:instrText xml:space="preserve"> DOCPROPERTY </w:instrText>
            </w:r>
            <w:r>
              <w:rPr>
                <w:rFonts w:ascii="Arial" w:eastAsia="黑体" w:hAnsi="Arial" w:cs="Arial"/>
                <w:sz w:val="16"/>
                <w:szCs w:val="16"/>
              </w:rPr>
              <w:instrText>对比会计期间</w:instrText>
            </w:r>
            <w:r>
              <w:rPr>
                <w:rFonts w:ascii="Arial" w:eastAsia="黑体" w:hAnsi="Arial" w:cs="Arial"/>
                <w:sz w:val="16"/>
                <w:szCs w:val="16"/>
              </w:rPr>
              <w:instrText xml:space="preserve"> </w:instrText>
            </w:r>
            <w:r>
              <w:rPr>
                <w:rFonts w:ascii="Arial" w:eastAsia="黑体" w:hAnsi="Arial" w:cs="Arial"/>
                <w:sz w:val="16"/>
                <w:szCs w:val="16"/>
              </w:rPr>
              <w:fldChar w:fldCharType="separate"/>
            </w:r>
            <w:r>
              <w:rPr>
                <w:rFonts w:ascii="Arial" w:eastAsia="黑体" w:hAnsi="Arial" w:cs="Arial"/>
                <w:sz w:val="16"/>
                <w:szCs w:val="16"/>
              </w:rPr>
              <w:t>2022</w:t>
            </w:r>
            <w:r>
              <w:rPr>
                <w:rFonts w:ascii="Arial" w:eastAsia="黑体" w:hAnsi="Arial" w:cs="Arial"/>
                <w:sz w:val="16"/>
                <w:szCs w:val="16"/>
              </w:rPr>
              <w:fldChar w:fldCharType="end"/>
            </w:r>
            <w:r>
              <w:rPr>
                <w:rFonts w:ascii="Arial" w:eastAsia="黑体" w:hAnsi="Arial" w:cs="Arial"/>
                <w:sz w:val="16"/>
                <w:szCs w:val="16"/>
              </w:rPr>
              <w:t>年度</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房屋及建筑物</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办公及电子设备</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运输工具</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自有房屋装修</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合计</w:t>
            </w: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r>
      <w:tr w:rsidR="00AD5BB5">
        <w:tc>
          <w:tcPr>
            <w:tcW w:w="1624"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r>
      <w:tr w:rsidR="00AD5BB5">
        <w:tc>
          <w:tcPr>
            <w:tcW w:w="1624"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原值：</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4" w:type="dxa"/>
            <w:tcBorders>
              <w:top w:val="nil"/>
              <w:left w:val="nil"/>
              <w:bottom w:val="nil"/>
              <w:right w:val="nil"/>
            </w:tcBorders>
            <w:vAlign w:val="bottom"/>
          </w:tcPr>
          <w:p w:rsidR="00AD5BB5" w:rsidRDefault="00F87FF6">
            <w:pPr>
              <w:autoSpaceDE w:val="0"/>
              <w:autoSpaceDN w:val="0"/>
              <w:ind w:leftChars="63" w:left="292" w:hangingChars="100" w:hanging="160"/>
              <w:rPr>
                <w:rFonts w:ascii="Arial" w:eastAsia="黑体" w:hAnsi="Arial" w:cs="Arial"/>
                <w:sz w:val="16"/>
                <w:szCs w:val="16"/>
              </w:rPr>
            </w:pPr>
            <w:r>
              <w:rPr>
                <w:rFonts w:ascii="Arial" w:eastAsia="黑体" w:hAnsi="Arial" w:cs="Arial"/>
                <w:sz w:val="16"/>
                <w:szCs w:val="16"/>
              </w:rPr>
              <w:t>年初余额</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452,479,573.09</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508,217,821.24</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26,938,199.80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31,635,972.37</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1,019,271,566.50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4" w:type="dxa"/>
            <w:tcBorders>
              <w:top w:val="nil"/>
              <w:left w:val="nil"/>
              <w:bottom w:val="nil"/>
              <w:right w:val="nil"/>
            </w:tcBorders>
            <w:vAlign w:val="bottom"/>
          </w:tcPr>
          <w:p w:rsidR="00AD5BB5" w:rsidRDefault="00F87FF6">
            <w:pPr>
              <w:autoSpaceDE w:val="0"/>
              <w:autoSpaceDN w:val="0"/>
              <w:ind w:leftChars="63" w:left="292" w:hangingChars="100" w:hanging="160"/>
              <w:rPr>
                <w:rFonts w:ascii="Arial" w:eastAsia="黑体" w:hAnsi="Arial" w:cs="Arial"/>
                <w:sz w:val="16"/>
                <w:szCs w:val="16"/>
              </w:rPr>
            </w:pPr>
            <w:r>
              <w:rPr>
                <w:rFonts w:ascii="Arial" w:eastAsia="黑体" w:hAnsi="Arial" w:cs="Arial"/>
                <w:sz w:val="16"/>
                <w:szCs w:val="16"/>
              </w:rPr>
              <w:t>本年购置或原值增加</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11,065,602.13</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97,514,975.29</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3,039,687.92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1,945,138.47</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113,565,403.81</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4" w:type="dxa"/>
            <w:tcBorders>
              <w:top w:val="nil"/>
              <w:left w:val="nil"/>
              <w:bottom w:val="nil"/>
              <w:right w:val="nil"/>
            </w:tcBorders>
            <w:vAlign w:val="bottom"/>
          </w:tcPr>
          <w:p w:rsidR="00AD5BB5" w:rsidRDefault="00F87FF6">
            <w:pPr>
              <w:autoSpaceDE w:val="0"/>
              <w:autoSpaceDN w:val="0"/>
              <w:ind w:leftChars="63" w:left="292" w:hangingChars="100" w:hanging="160"/>
              <w:rPr>
                <w:rFonts w:ascii="Arial" w:eastAsia="黑体" w:hAnsi="Arial" w:cs="Arial"/>
                <w:sz w:val="16"/>
                <w:szCs w:val="16"/>
              </w:rPr>
            </w:pPr>
            <w:r>
              <w:rPr>
                <w:rFonts w:ascii="Arial" w:eastAsia="黑体" w:hAnsi="Arial" w:cs="Arial"/>
                <w:sz w:val="16"/>
                <w:szCs w:val="16"/>
              </w:rPr>
              <w:t>在建工程转入</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420,081,756.61</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420,081,756.61</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4" w:type="dxa"/>
            <w:tcBorders>
              <w:top w:val="nil"/>
              <w:left w:val="nil"/>
              <w:bottom w:val="nil"/>
              <w:right w:val="nil"/>
            </w:tcBorders>
            <w:vAlign w:val="bottom"/>
          </w:tcPr>
          <w:p w:rsidR="00AD5BB5" w:rsidRDefault="00F87FF6">
            <w:pPr>
              <w:autoSpaceDE w:val="0"/>
              <w:autoSpaceDN w:val="0"/>
              <w:ind w:leftChars="63" w:left="292" w:hangingChars="100" w:hanging="160"/>
              <w:rPr>
                <w:rFonts w:ascii="Arial" w:eastAsia="黑体" w:hAnsi="Arial" w:cs="Arial"/>
                <w:sz w:val="16"/>
                <w:szCs w:val="16"/>
              </w:rPr>
            </w:pPr>
            <w:r>
              <w:rPr>
                <w:rFonts w:ascii="Arial" w:eastAsia="黑体" w:hAnsi="Arial" w:cs="Arial"/>
                <w:sz w:val="16"/>
                <w:szCs w:val="16"/>
              </w:rPr>
              <w:t>处置或报废</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(74,447,640.45</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(57,632,797.38</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(2,013,324.20</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(2,453,389.37</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(136,547,151.40</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1624" w:type="dxa"/>
            <w:tcBorders>
              <w:top w:val="nil"/>
              <w:left w:val="nil"/>
              <w:bottom w:val="nil"/>
              <w:right w:val="nil"/>
            </w:tcBorders>
            <w:vAlign w:val="bottom"/>
          </w:tcPr>
          <w:p w:rsidR="00AD5BB5" w:rsidRDefault="00F87FF6">
            <w:pPr>
              <w:autoSpaceDE w:val="0"/>
              <w:autoSpaceDN w:val="0"/>
              <w:ind w:leftChars="63" w:left="292" w:hangingChars="100" w:hanging="160"/>
              <w:rPr>
                <w:rFonts w:ascii="Arial" w:eastAsia="黑体" w:hAnsi="Arial" w:cs="Arial"/>
                <w:sz w:val="16"/>
                <w:szCs w:val="16"/>
              </w:rPr>
            </w:pPr>
            <w:r>
              <w:rPr>
                <w:rFonts w:ascii="Arial" w:eastAsia="黑体" w:hAnsi="Arial" w:cs="Arial"/>
                <w:sz w:val="16"/>
                <w:szCs w:val="16"/>
              </w:rPr>
              <w:t>年末余额</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809,179,291.38</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548,099,999.15</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27,964,563.52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31,127,721.47</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1,416,371,575.52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4"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4"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累计折旧：</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4" w:type="dxa"/>
            <w:tcBorders>
              <w:top w:val="nil"/>
              <w:left w:val="nil"/>
              <w:bottom w:val="nil"/>
              <w:right w:val="nil"/>
            </w:tcBorders>
            <w:vAlign w:val="bottom"/>
          </w:tcPr>
          <w:p w:rsidR="00AD5BB5" w:rsidRDefault="00F87FF6">
            <w:pPr>
              <w:autoSpaceDE w:val="0"/>
              <w:autoSpaceDN w:val="0"/>
              <w:ind w:leftChars="63" w:left="292" w:hangingChars="100" w:hanging="160"/>
              <w:rPr>
                <w:rFonts w:ascii="Arial" w:eastAsia="黑体" w:hAnsi="Arial" w:cs="Arial"/>
                <w:sz w:val="16"/>
                <w:szCs w:val="16"/>
              </w:rPr>
            </w:pPr>
            <w:r>
              <w:rPr>
                <w:rFonts w:ascii="Arial" w:eastAsia="黑体" w:hAnsi="Arial" w:cs="Arial"/>
                <w:sz w:val="16"/>
                <w:szCs w:val="16"/>
              </w:rPr>
              <w:t>年初余额</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205,549,838.44</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372,029,793.77</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23,084,713.74</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20,267,341.66</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620,931,687.61</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4" w:type="dxa"/>
            <w:tcBorders>
              <w:top w:val="nil"/>
              <w:left w:val="nil"/>
              <w:bottom w:val="nil"/>
              <w:right w:val="nil"/>
            </w:tcBorders>
            <w:vAlign w:val="bottom"/>
          </w:tcPr>
          <w:p w:rsidR="00AD5BB5" w:rsidRDefault="00F87FF6">
            <w:pPr>
              <w:autoSpaceDE w:val="0"/>
              <w:autoSpaceDN w:val="0"/>
              <w:ind w:leftChars="63" w:left="292" w:hangingChars="100" w:hanging="160"/>
              <w:rPr>
                <w:rFonts w:ascii="Arial" w:eastAsia="黑体" w:hAnsi="Arial" w:cs="Arial"/>
                <w:sz w:val="16"/>
                <w:szCs w:val="16"/>
              </w:rPr>
            </w:pPr>
            <w:r>
              <w:rPr>
                <w:rFonts w:ascii="Arial" w:eastAsia="黑体" w:hAnsi="Arial" w:cs="Arial"/>
                <w:sz w:val="16"/>
                <w:szCs w:val="16"/>
              </w:rPr>
              <w:t>本年计提</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25,684,612.59</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49,823,809.49</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1,177,771.67</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1,881,723.52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78,567,917.27</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4" w:type="dxa"/>
            <w:tcBorders>
              <w:top w:val="nil"/>
              <w:left w:val="nil"/>
              <w:bottom w:val="nil"/>
              <w:right w:val="nil"/>
            </w:tcBorders>
            <w:vAlign w:val="bottom"/>
          </w:tcPr>
          <w:p w:rsidR="00AD5BB5" w:rsidRDefault="00F87FF6">
            <w:pPr>
              <w:autoSpaceDE w:val="0"/>
              <w:autoSpaceDN w:val="0"/>
              <w:ind w:leftChars="63" w:left="292" w:hangingChars="100" w:hanging="160"/>
              <w:rPr>
                <w:rFonts w:ascii="Arial" w:eastAsia="黑体" w:hAnsi="Arial" w:cs="Arial"/>
                <w:sz w:val="16"/>
                <w:szCs w:val="16"/>
              </w:rPr>
            </w:pPr>
            <w:r>
              <w:rPr>
                <w:rFonts w:ascii="Arial" w:eastAsia="黑体" w:hAnsi="Arial" w:cs="Arial"/>
                <w:sz w:val="16"/>
                <w:szCs w:val="16"/>
              </w:rPr>
              <w:t>处置或报废</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(25,723,368.77</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(55,529,056.23</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(1,912,657.98</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(1,933,363.62</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(85,098,446.60</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1624" w:type="dxa"/>
            <w:tcBorders>
              <w:top w:val="nil"/>
              <w:left w:val="nil"/>
              <w:bottom w:val="nil"/>
              <w:right w:val="nil"/>
            </w:tcBorders>
            <w:vAlign w:val="bottom"/>
          </w:tcPr>
          <w:p w:rsidR="00AD5BB5" w:rsidRDefault="00F87FF6">
            <w:pPr>
              <w:autoSpaceDE w:val="0"/>
              <w:autoSpaceDN w:val="0"/>
              <w:ind w:leftChars="63" w:left="292" w:hangingChars="100" w:hanging="160"/>
              <w:rPr>
                <w:rFonts w:ascii="Arial" w:eastAsia="黑体" w:hAnsi="Arial" w:cs="Arial"/>
                <w:sz w:val="16"/>
                <w:szCs w:val="16"/>
              </w:rPr>
            </w:pPr>
            <w:r>
              <w:rPr>
                <w:rFonts w:ascii="Arial" w:eastAsia="黑体" w:hAnsi="Arial" w:cs="Arial"/>
                <w:sz w:val="16"/>
                <w:szCs w:val="16"/>
              </w:rPr>
              <w:t>年末余额</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205,511,082.26</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366,324,547.03</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22,349,827.43</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20,215,701.56</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614,401,158.28</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4"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4"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减值准备</w:t>
            </w:r>
          </w:p>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（附注五、</w:t>
            </w:r>
            <w:r>
              <w:rPr>
                <w:rFonts w:ascii="Arial" w:eastAsia="黑体" w:hAnsi="Arial" w:cs="Arial"/>
                <w:sz w:val="16"/>
                <w:szCs w:val="16"/>
              </w:rPr>
              <w:t>17</w:t>
            </w: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4" w:type="dxa"/>
            <w:tcBorders>
              <w:top w:val="nil"/>
              <w:left w:val="nil"/>
              <w:bottom w:val="nil"/>
              <w:right w:val="nil"/>
            </w:tcBorders>
            <w:vAlign w:val="bottom"/>
          </w:tcPr>
          <w:p w:rsidR="00AD5BB5" w:rsidRDefault="00F87FF6">
            <w:pPr>
              <w:autoSpaceDE w:val="0"/>
              <w:autoSpaceDN w:val="0"/>
              <w:ind w:leftChars="63" w:left="292" w:hangingChars="100" w:hanging="160"/>
              <w:rPr>
                <w:rFonts w:ascii="Arial" w:eastAsia="黑体" w:hAnsi="Arial" w:cs="Arial"/>
                <w:sz w:val="16"/>
                <w:szCs w:val="16"/>
              </w:rPr>
            </w:pPr>
            <w:r>
              <w:rPr>
                <w:rFonts w:ascii="Arial" w:eastAsia="黑体" w:hAnsi="Arial" w:cs="Arial"/>
                <w:sz w:val="16"/>
                <w:szCs w:val="16"/>
              </w:rPr>
              <w:t>年初余额</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12,711,408.24</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12,711,408.24</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4" w:type="dxa"/>
            <w:tcBorders>
              <w:top w:val="nil"/>
              <w:left w:val="nil"/>
              <w:bottom w:val="nil"/>
              <w:right w:val="nil"/>
            </w:tcBorders>
            <w:vAlign w:val="bottom"/>
          </w:tcPr>
          <w:p w:rsidR="00AD5BB5" w:rsidRDefault="00F87FF6">
            <w:pPr>
              <w:autoSpaceDE w:val="0"/>
              <w:autoSpaceDN w:val="0"/>
              <w:ind w:leftChars="63" w:left="292" w:hangingChars="100" w:hanging="160"/>
              <w:rPr>
                <w:rFonts w:ascii="Arial" w:eastAsia="黑体" w:hAnsi="Arial" w:cs="Arial"/>
                <w:sz w:val="16"/>
                <w:szCs w:val="16"/>
              </w:rPr>
            </w:pPr>
            <w:r>
              <w:rPr>
                <w:rFonts w:ascii="Arial" w:eastAsia="黑体" w:hAnsi="Arial" w:cs="Arial"/>
                <w:sz w:val="16"/>
                <w:szCs w:val="16"/>
              </w:rPr>
              <w:t>本年处置</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(12,711,408.24</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hint="eastAsia"/>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(12,711,408.24</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hint="eastAsia"/>
                <w:sz w:val="16"/>
                <w:szCs w:val="16"/>
              </w:rPr>
              <w:t>)</w:t>
            </w:r>
          </w:p>
        </w:tc>
      </w:tr>
      <w:tr w:rsidR="00AD5BB5">
        <w:tc>
          <w:tcPr>
            <w:tcW w:w="1624" w:type="dxa"/>
            <w:tcBorders>
              <w:top w:val="nil"/>
              <w:left w:val="nil"/>
              <w:bottom w:val="nil"/>
              <w:right w:val="nil"/>
            </w:tcBorders>
            <w:vAlign w:val="bottom"/>
          </w:tcPr>
          <w:p w:rsidR="00AD5BB5" w:rsidRDefault="00F87FF6">
            <w:pPr>
              <w:autoSpaceDE w:val="0"/>
              <w:autoSpaceDN w:val="0"/>
              <w:ind w:leftChars="63" w:left="292" w:hangingChars="100" w:hanging="160"/>
              <w:rPr>
                <w:rFonts w:ascii="Arial" w:eastAsia="黑体" w:hAnsi="Arial" w:cs="Arial"/>
                <w:sz w:val="16"/>
                <w:szCs w:val="16"/>
              </w:rPr>
            </w:pPr>
            <w:r>
              <w:rPr>
                <w:rFonts w:ascii="Arial" w:eastAsia="黑体" w:hAnsi="Arial" w:cs="Arial"/>
                <w:sz w:val="16"/>
                <w:szCs w:val="16"/>
              </w:rPr>
              <w:t>年末余额</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4"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4"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账面价值：</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4" w:type="dxa"/>
            <w:tcBorders>
              <w:top w:val="nil"/>
              <w:left w:val="nil"/>
              <w:bottom w:val="nil"/>
              <w:right w:val="nil"/>
            </w:tcBorders>
            <w:vAlign w:val="bottom"/>
          </w:tcPr>
          <w:p w:rsidR="00AD5BB5" w:rsidRDefault="00F87FF6">
            <w:pPr>
              <w:autoSpaceDE w:val="0"/>
              <w:autoSpaceDN w:val="0"/>
              <w:ind w:leftChars="63" w:left="292" w:hangingChars="100" w:hanging="160"/>
              <w:rPr>
                <w:rFonts w:ascii="Arial" w:eastAsia="黑体" w:hAnsi="Arial" w:cs="Arial"/>
                <w:sz w:val="16"/>
                <w:szCs w:val="16"/>
              </w:rPr>
            </w:pPr>
            <w:r>
              <w:rPr>
                <w:rFonts w:ascii="Arial" w:eastAsia="黑体" w:hAnsi="Arial" w:cs="Arial"/>
                <w:sz w:val="16"/>
                <w:szCs w:val="16"/>
              </w:rPr>
              <w:t>年末余额</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603,668,209.12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181,775,452.12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5,614,736.09</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10,912,019.91</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801,970,417.24</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4" w:type="dxa"/>
            <w:tcBorders>
              <w:top w:val="nil"/>
              <w:left w:val="nil"/>
              <w:bottom w:val="nil"/>
              <w:right w:val="nil"/>
            </w:tcBorders>
            <w:vAlign w:val="bottom"/>
          </w:tcPr>
          <w:p w:rsidR="00AD5BB5" w:rsidRDefault="00AD5BB5">
            <w:pPr>
              <w:autoSpaceDE w:val="0"/>
              <w:autoSpaceDN w:val="0"/>
              <w:ind w:leftChars="63" w:left="372" w:hangingChars="150" w:hanging="24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4" w:type="dxa"/>
            <w:tcBorders>
              <w:top w:val="nil"/>
              <w:left w:val="nil"/>
              <w:bottom w:val="nil"/>
              <w:right w:val="nil"/>
            </w:tcBorders>
            <w:vAlign w:val="bottom"/>
          </w:tcPr>
          <w:p w:rsidR="00AD5BB5" w:rsidRDefault="00F87FF6">
            <w:pPr>
              <w:autoSpaceDE w:val="0"/>
              <w:autoSpaceDN w:val="0"/>
              <w:ind w:leftChars="63" w:left="292" w:hangingChars="100" w:hanging="160"/>
              <w:rPr>
                <w:rFonts w:ascii="Arial" w:eastAsia="黑体" w:hAnsi="Arial" w:cs="Arial"/>
                <w:sz w:val="16"/>
                <w:szCs w:val="16"/>
              </w:rPr>
            </w:pPr>
            <w:r>
              <w:rPr>
                <w:rFonts w:ascii="Arial" w:eastAsia="黑体" w:hAnsi="Arial" w:cs="Arial"/>
                <w:sz w:val="16"/>
                <w:szCs w:val="16"/>
              </w:rPr>
              <w:t>年初余额</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234,218,326.41</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8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136,188,027.47</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3,853,486.06</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8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11,368,630.71</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1"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385,628,470.65</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bl>
    <w:p w:rsidR="00AD5BB5" w:rsidRDefault="00AD5BB5">
      <w:pPr>
        <w:overflowPunct w:val="0"/>
        <w:autoSpaceDE w:val="0"/>
        <w:autoSpaceDN w:val="0"/>
        <w:adjustRightInd w:val="0"/>
        <w:snapToGrid w:val="0"/>
        <w:textAlignment w:val="bottom"/>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bookmarkStart w:id="136" w:name="afsaddin_WithXu_fb541b8155b944b98ae16272"/>
      <w:bookmarkStart w:id="137" w:name="afsaddin_WithXu_59aa2411de0143f19e0175fb"/>
      <w:bookmarkEnd w:id="136"/>
      <w:bookmarkEnd w:id="137"/>
      <w:r>
        <w:rPr>
          <w:rFonts w:ascii="Arial" w:eastAsia="黑体" w:hAnsi="Arial" w:cs="Arial"/>
          <w:snapToGrid w:val="0"/>
          <w:szCs w:val="21"/>
        </w:rPr>
        <w:t>于</w:t>
      </w: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当期资产负债表日</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2023</w:t>
      </w:r>
      <w:r>
        <w:rPr>
          <w:rFonts w:ascii="Arial" w:eastAsia="黑体" w:hAnsi="Arial" w:cs="Arial"/>
          <w:snapToGrid w:val="0"/>
          <w:szCs w:val="21"/>
        </w:rPr>
        <w:t>年</w:t>
      </w:r>
      <w:r>
        <w:rPr>
          <w:rFonts w:ascii="Arial" w:eastAsia="黑体" w:hAnsi="Arial" w:cs="Arial"/>
          <w:snapToGrid w:val="0"/>
          <w:szCs w:val="21"/>
        </w:rPr>
        <w:t>6</w:t>
      </w:r>
      <w:r>
        <w:rPr>
          <w:rFonts w:ascii="Arial" w:eastAsia="黑体" w:hAnsi="Arial" w:cs="Arial"/>
          <w:snapToGrid w:val="0"/>
          <w:szCs w:val="21"/>
        </w:rPr>
        <w:t>月</w:t>
      </w:r>
      <w:r>
        <w:rPr>
          <w:rFonts w:ascii="Arial" w:eastAsia="黑体" w:hAnsi="Arial" w:cs="Arial"/>
          <w:snapToGrid w:val="0"/>
          <w:szCs w:val="21"/>
        </w:rPr>
        <w:t>30</w:t>
      </w:r>
      <w:r>
        <w:rPr>
          <w:rFonts w:ascii="Arial" w:eastAsia="黑体" w:hAnsi="Arial" w:cs="Arial"/>
          <w:snapToGrid w:val="0"/>
          <w:szCs w:val="21"/>
        </w:rPr>
        <w:t>日</w:t>
      </w:r>
      <w:r>
        <w:rPr>
          <w:rFonts w:ascii="Arial" w:eastAsia="黑体" w:hAnsi="Arial" w:cs="Arial"/>
          <w:snapToGrid w:val="0"/>
          <w:szCs w:val="21"/>
        </w:rPr>
        <w:fldChar w:fldCharType="end"/>
      </w:r>
      <w:r>
        <w:rPr>
          <w:rFonts w:ascii="Arial" w:eastAsia="黑体" w:hAnsi="Arial" w:cs="Arial"/>
          <w:snapToGrid w:val="0"/>
          <w:szCs w:val="21"/>
        </w:rPr>
        <w:t>，本集团已在使用但未取得产权登记证明的房屋及建筑物的原值为人民币</w:t>
      </w:r>
      <w:r>
        <w:rPr>
          <w:rFonts w:ascii="Arial" w:eastAsia="黑体" w:hAnsi="Arial" w:cs="Arial"/>
          <w:snapToGrid w:val="0"/>
          <w:szCs w:val="21"/>
        </w:rPr>
        <w:t>10,812,130.82</w:t>
      </w:r>
      <w:r>
        <w:rPr>
          <w:rFonts w:ascii="Arial" w:eastAsia="黑体" w:hAnsi="Arial" w:cs="Arial"/>
          <w:snapToGrid w:val="0"/>
          <w:szCs w:val="21"/>
        </w:rPr>
        <w:t>元（</w:t>
      </w: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上期资产负债表日</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2022</w:t>
      </w:r>
      <w:r>
        <w:rPr>
          <w:rFonts w:ascii="Arial" w:eastAsia="黑体" w:hAnsi="Arial" w:cs="Arial"/>
          <w:snapToGrid w:val="0"/>
          <w:szCs w:val="21"/>
        </w:rPr>
        <w:t>年</w:t>
      </w:r>
      <w:r>
        <w:rPr>
          <w:rFonts w:ascii="Arial" w:eastAsia="黑体" w:hAnsi="Arial" w:cs="Arial"/>
          <w:snapToGrid w:val="0"/>
          <w:szCs w:val="21"/>
        </w:rPr>
        <w:t>12</w:t>
      </w:r>
      <w:r>
        <w:rPr>
          <w:rFonts w:ascii="Arial" w:eastAsia="黑体" w:hAnsi="Arial" w:cs="Arial"/>
          <w:snapToGrid w:val="0"/>
          <w:szCs w:val="21"/>
        </w:rPr>
        <w:t>月</w:t>
      </w:r>
      <w:r>
        <w:rPr>
          <w:rFonts w:ascii="Arial" w:eastAsia="黑体" w:hAnsi="Arial" w:cs="Arial"/>
          <w:snapToGrid w:val="0"/>
          <w:szCs w:val="21"/>
        </w:rPr>
        <w:t>31</w:t>
      </w:r>
      <w:r>
        <w:rPr>
          <w:rFonts w:ascii="Arial" w:eastAsia="黑体" w:hAnsi="Arial" w:cs="Arial"/>
          <w:snapToGrid w:val="0"/>
          <w:szCs w:val="21"/>
        </w:rPr>
        <w:t>日</w:t>
      </w:r>
      <w:r>
        <w:rPr>
          <w:rFonts w:ascii="Arial" w:eastAsia="黑体" w:hAnsi="Arial" w:cs="Arial"/>
          <w:snapToGrid w:val="0"/>
          <w:szCs w:val="21"/>
        </w:rPr>
        <w:fldChar w:fldCharType="end"/>
      </w:r>
      <w:r>
        <w:rPr>
          <w:rFonts w:ascii="Arial" w:eastAsia="黑体" w:hAnsi="Arial" w:cs="Arial"/>
          <w:snapToGrid w:val="0"/>
          <w:szCs w:val="21"/>
        </w:rPr>
        <w:t>：人民币</w:t>
      </w:r>
      <w:r>
        <w:rPr>
          <w:rFonts w:ascii="Arial" w:eastAsia="黑体" w:hAnsi="Arial" w:cs="Arial"/>
          <w:snapToGrid w:val="0"/>
          <w:szCs w:val="21"/>
        </w:rPr>
        <w:t>430,893,887.43</w:t>
      </w:r>
      <w:r>
        <w:rPr>
          <w:rFonts w:ascii="Arial" w:eastAsia="黑体" w:hAnsi="Arial" w:cs="Arial"/>
          <w:snapToGrid w:val="0"/>
          <w:szCs w:val="21"/>
        </w:rPr>
        <w:t>元），净值为人民币</w:t>
      </w:r>
      <w:r>
        <w:rPr>
          <w:rFonts w:ascii="Arial" w:eastAsia="黑体" w:hAnsi="Arial" w:cs="Arial"/>
          <w:snapToGrid w:val="0"/>
          <w:szCs w:val="21"/>
        </w:rPr>
        <w:t>540,606.55</w:t>
      </w:r>
      <w:r>
        <w:rPr>
          <w:rFonts w:ascii="Arial" w:eastAsia="黑体" w:hAnsi="Arial" w:cs="Arial"/>
          <w:snapToGrid w:val="0"/>
          <w:szCs w:val="21"/>
        </w:rPr>
        <w:t>元（</w:t>
      </w: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上期资产负债表日</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2022</w:t>
      </w:r>
      <w:r>
        <w:rPr>
          <w:rFonts w:ascii="Arial" w:eastAsia="黑体" w:hAnsi="Arial" w:cs="Arial"/>
          <w:snapToGrid w:val="0"/>
          <w:szCs w:val="21"/>
        </w:rPr>
        <w:t>年</w:t>
      </w:r>
      <w:r>
        <w:rPr>
          <w:rFonts w:ascii="Arial" w:eastAsia="黑体" w:hAnsi="Arial" w:cs="Arial"/>
          <w:snapToGrid w:val="0"/>
          <w:szCs w:val="21"/>
        </w:rPr>
        <w:t>12</w:t>
      </w:r>
      <w:r>
        <w:rPr>
          <w:rFonts w:ascii="Arial" w:eastAsia="黑体" w:hAnsi="Arial" w:cs="Arial"/>
          <w:snapToGrid w:val="0"/>
          <w:szCs w:val="21"/>
        </w:rPr>
        <w:t>月</w:t>
      </w:r>
      <w:r>
        <w:rPr>
          <w:rFonts w:ascii="Arial" w:eastAsia="黑体" w:hAnsi="Arial" w:cs="Arial"/>
          <w:snapToGrid w:val="0"/>
          <w:szCs w:val="21"/>
        </w:rPr>
        <w:t>31</w:t>
      </w:r>
      <w:r>
        <w:rPr>
          <w:rFonts w:ascii="Arial" w:eastAsia="黑体" w:hAnsi="Arial" w:cs="Arial"/>
          <w:snapToGrid w:val="0"/>
          <w:szCs w:val="21"/>
        </w:rPr>
        <w:t>日</w:t>
      </w:r>
      <w:r>
        <w:rPr>
          <w:rFonts w:ascii="Arial" w:eastAsia="黑体" w:hAnsi="Arial" w:cs="Arial"/>
          <w:snapToGrid w:val="0"/>
          <w:szCs w:val="21"/>
        </w:rPr>
        <w:fldChar w:fldCharType="end"/>
      </w:r>
      <w:r>
        <w:rPr>
          <w:rFonts w:ascii="Arial" w:eastAsia="黑体" w:hAnsi="Arial" w:cs="Arial"/>
          <w:snapToGrid w:val="0"/>
          <w:szCs w:val="21"/>
        </w:rPr>
        <w:t>：人民币</w:t>
      </w:r>
      <w:r>
        <w:rPr>
          <w:rFonts w:ascii="Arial" w:eastAsia="黑体" w:hAnsi="Arial" w:cs="Arial"/>
          <w:snapToGrid w:val="0"/>
          <w:szCs w:val="21"/>
        </w:rPr>
        <w:t>415,633,892.30</w:t>
      </w:r>
      <w:r>
        <w:rPr>
          <w:rFonts w:ascii="Arial" w:eastAsia="黑体" w:hAnsi="Arial" w:cs="Arial"/>
          <w:snapToGrid w:val="0"/>
          <w:szCs w:val="21"/>
        </w:rPr>
        <w:t>元）。管理层认为本集团取得上述房屋及建筑物的产权证不存在重大障碍，上述事项不会对本集团的整体财务状况构成任何重大不利影响。</w:t>
      </w: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于</w:t>
      </w: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当期资产负债表日</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2023</w:t>
      </w:r>
      <w:r>
        <w:rPr>
          <w:rFonts w:ascii="Arial" w:eastAsia="黑体" w:hAnsi="Arial" w:cs="Arial"/>
          <w:snapToGrid w:val="0"/>
          <w:szCs w:val="21"/>
        </w:rPr>
        <w:t>年</w:t>
      </w:r>
      <w:r>
        <w:rPr>
          <w:rFonts w:ascii="Arial" w:eastAsia="黑体" w:hAnsi="Arial" w:cs="Arial"/>
          <w:snapToGrid w:val="0"/>
          <w:szCs w:val="21"/>
        </w:rPr>
        <w:t>6</w:t>
      </w:r>
      <w:r>
        <w:rPr>
          <w:rFonts w:ascii="Arial" w:eastAsia="黑体" w:hAnsi="Arial" w:cs="Arial"/>
          <w:snapToGrid w:val="0"/>
          <w:szCs w:val="21"/>
        </w:rPr>
        <w:t>月</w:t>
      </w:r>
      <w:r>
        <w:rPr>
          <w:rFonts w:ascii="Arial" w:eastAsia="黑体" w:hAnsi="Arial" w:cs="Arial"/>
          <w:snapToGrid w:val="0"/>
          <w:szCs w:val="21"/>
        </w:rPr>
        <w:t>30</w:t>
      </w:r>
      <w:r>
        <w:rPr>
          <w:rFonts w:ascii="Arial" w:eastAsia="黑体" w:hAnsi="Arial" w:cs="Arial"/>
          <w:snapToGrid w:val="0"/>
          <w:szCs w:val="21"/>
        </w:rPr>
        <w:t>日</w:t>
      </w:r>
      <w:r>
        <w:rPr>
          <w:rFonts w:ascii="Arial" w:eastAsia="黑体" w:hAnsi="Arial" w:cs="Arial"/>
          <w:snapToGrid w:val="0"/>
          <w:szCs w:val="21"/>
        </w:rPr>
        <w:fldChar w:fldCharType="end"/>
      </w:r>
      <w:r>
        <w:rPr>
          <w:rFonts w:ascii="Arial" w:eastAsia="黑体" w:hAnsi="Arial" w:cs="Arial"/>
          <w:snapToGrid w:val="0"/>
          <w:szCs w:val="21"/>
        </w:rPr>
        <w:t>，本集团已提足折旧尚在使用的固定资产的原值为人民币</w:t>
      </w:r>
      <w:r>
        <w:rPr>
          <w:rFonts w:ascii="Arial" w:eastAsia="黑体" w:hAnsi="Arial" w:cs="Arial"/>
          <w:snapToGrid w:val="0"/>
          <w:szCs w:val="21"/>
        </w:rPr>
        <w:t>346,232,345.07</w:t>
      </w:r>
      <w:r>
        <w:rPr>
          <w:rFonts w:ascii="Arial" w:eastAsia="黑体" w:hAnsi="Arial" w:cs="Arial"/>
          <w:snapToGrid w:val="0"/>
          <w:szCs w:val="21"/>
        </w:rPr>
        <w:t>元（</w:t>
      </w: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上期资产负债表日</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2022</w:t>
      </w:r>
      <w:r>
        <w:rPr>
          <w:rFonts w:ascii="Arial" w:eastAsia="黑体" w:hAnsi="Arial" w:cs="Arial"/>
          <w:snapToGrid w:val="0"/>
          <w:szCs w:val="21"/>
        </w:rPr>
        <w:t>年</w:t>
      </w:r>
      <w:r>
        <w:rPr>
          <w:rFonts w:ascii="Arial" w:eastAsia="黑体" w:hAnsi="Arial" w:cs="Arial"/>
          <w:snapToGrid w:val="0"/>
          <w:szCs w:val="21"/>
        </w:rPr>
        <w:t>12</w:t>
      </w:r>
      <w:r>
        <w:rPr>
          <w:rFonts w:ascii="Arial" w:eastAsia="黑体" w:hAnsi="Arial" w:cs="Arial"/>
          <w:snapToGrid w:val="0"/>
          <w:szCs w:val="21"/>
        </w:rPr>
        <w:t>月</w:t>
      </w:r>
      <w:r>
        <w:rPr>
          <w:rFonts w:ascii="Arial" w:eastAsia="黑体" w:hAnsi="Arial" w:cs="Arial"/>
          <w:snapToGrid w:val="0"/>
          <w:szCs w:val="21"/>
        </w:rPr>
        <w:t>31</w:t>
      </w:r>
      <w:r>
        <w:rPr>
          <w:rFonts w:ascii="Arial" w:eastAsia="黑体" w:hAnsi="Arial" w:cs="Arial"/>
          <w:snapToGrid w:val="0"/>
          <w:szCs w:val="21"/>
        </w:rPr>
        <w:t>日</w:t>
      </w:r>
      <w:r>
        <w:rPr>
          <w:rFonts w:ascii="Arial" w:eastAsia="黑体" w:hAnsi="Arial" w:cs="Arial"/>
          <w:snapToGrid w:val="0"/>
          <w:szCs w:val="21"/>
        </w:rPr>
        <w:fldChar w:fldCharType="end"/>
      </w:r>
      <w:r>
        <w:rPr>
          <w:rFonts w:ascii="Arial" w:eastAsia="黑体" w:hAnsi="Arial" w:cs="Arial"/>
          <w:snapToGrid w:val="0"/>
          <w:szCs w:val="21"/>
        </w:rPr>
        <w:t>：人民币</w:t>
      </w:r>
      <w:r>
        <w:rPr>
          <w:rFonts w:ascii="Arial" w:eastAsia="黑体" w:hAnsi="Arial" w:cs="Arial"/>
          <w:snapToGrid w:val="0"/>
          <w:szCs w:val="21"/>
        </w:rPr>
        <w:t>339,185,428.97</w:t>
      </w:r>
      <w:r>
        <w:rPr>
          <w:rFonts w:ascii="Arial" w:eastAsia="黑体" w:hAnsi="Arial" w:cs="Arial"/>
          <w:snapToGrid w:val="0"/>
          <w:szCs w:val="21"/>
        </w:rPr>
        <w:t>元）。</w:t>
      </w:r>
      <w:r>
        <w:rPr>
          <w:rFonts w:ascii="Arial" w:eastAsia="黑体" w:hAnsi="Arial" w:cs="Arial"/>
          <w:snapToGrid w:val="0"/>
          <w:szCs w:val="21"/>
        </w:rPr>
        <w:br w:type="page"/>
      </w: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b/>
          <w:snapToGrid w:val="0"/>
          <w:szCs w:val="21"/>
        </w:rPr>
      </w:pPr>
      <w:bookmarkStart w:id="138" w:name="afsaddin_WithXu_701579a6dd274f32bc814c7d"/>
      <w:r>
        <w:rPr>
          <w:rFonts w:ascii="Arial" w:eastAsia="黑体" w:hAnsi="Arial" w:cs="Arial"/>
          <w:b/>
          <w:snapToGrid w:val="0"/>
          <w:szCs w:val="21"/>
        </w:rPr>
        <w:t>五、</w:t>
      </w:r>
      <w:r>
        <w:rPr>
          <w:rFonts w:ascii="Arial" w:eastAsia="黑体" w:hAnsi="Arial" w:cs="Arial"/>
          <w:b/>
          <w:snapToGrid w:val="0"/>
          <w:szCs w:val="21"/>
        </w:rPr>
        <w:tab/>
      </w:r>
      <w:r>
        <w:rPr>
          <w:rFonts w:ascii="Arial" w:eastAsia="黑体" w:hAnsi="Arial" w:cs="Arial"/>
          <w:b/>
          <w:snapToGrid w:val="0"/>
          <w:szCs w:val="21"/>
        </w:rPr>
        <w:t>合并财务报表主要项目注释（续）</w:t>
      </w:r>
      <w:bookmarkEnd w:id="138"/>
    </w:p>
    <w:p w:rsidR="00AD5BB5" w:rsidRDefault="00AD5BB5">
      <w:pPr>
        <w:overflowPunct w:val="0"/>
        <w:autoSpaceDE w:val="0"/>
        <w:autoSpaceDN w:val="0"/>
        <w:rPr>
          <w:rFonts w:ascii="Arial" w:eastAsia="黑体" w:hAnsi="Arial" w:cs="Arial"/>
          <w:snapToGrid w:val="0"/>
          <w:szCs w:val="21"/>
        </w:rPr>
      </w:pPr>
    </w:p>
    <w:p w:rsidR="00AD5BB5" w:rsidRDefault="00F87FF6">
      <w:pPr>
        <w:pStyle w:val="af5"/>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139" w:name="afsaddin_Section_63c4b2d85723458aadefae2"/>
      <w:r>
        <w:rPr>
          <w:rFonts w:ascii="Arial" w:eastAsia="黑体" w:hAnsi="Arial" w:cs="Arial" w:hint="default"/>
          <w:bCs w:val="0"/>
          <w:snapToGrid w:val="0"/>
          <w:color w:val="auto"/>
          <w:sz w:val="21"/>
          <w:szCs w:val="21"/>
        </w:rPr>
        <w:t>13.</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在建工程</w:t>
      </w:r>
    </w:p>
    <w:bookmarkEnd w:id="139"/>
    <w:p w:rsidR="00AD5BB5" w:rsidRDefault="00AD5BB5">
      <w:pPr>
        <w:overflowPunct w:val="0"/>
        <w:autoSpaceDE w:val="0"/>
        <w:autoSpaceDN w:val="0"/>
        <w:adjustRightInd w:val="0"/>
        <w:snapToGrid w:val="0"/>
        <w:textAlignment w:val="bottom"/>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06de1198-a93b-48b8-aa33-cf2f7f6941df"/>
        <w:tblDescription w:val="{&quot;UUID&quot;:&quot;afsaddin_tabledata_2_56437_06de1198-a93b-48b8-aa33-cf2f7f6941df&quot;,&quot;TitleRowCount&quot;:2,&quot;SplitedTable&quot;:false,&quot;FirstTableId&quot;:&quot;06de1198-a93b-48b8-aa33-cf2f7f6941df&quot;}"/>
      </w:tblPr>
      <w:tblGrid>
        <w:gridCol w:w="3502"/>
        <w:gridCol w:w="109"/>
        <w:gridCol w:w="2317"/>
        <w:gridCol w:w="110"/>
        <w:gridCol w:w="110"/>
        <w:gridCol w:w="2168"/>
        <w:gridCol w:w="110"/>
      </w:tblGrid>
      <w:tr w:rsidR="00AD5BB5">
        <w:tc>
          <w:tcPr>
            <w:tcW w:w="3502" w:type="dxa"/>
            <w:tcBorders>
              <w:top w:val="nil"/>
              <w:left w:val="nil"/>
              <w:bottom w:val="nil"/>
              <w:right w:val="nil"/>
            </w:tcBorders>
            <w:vAlign w:val="bottom"/>
          </w:tcPr>
          <w:p w:rsidR="00AD5BB5" w:rsidRDefault="00AD5BB5">
            <w:pPr>
              <w:autoSpaceDE w:val="0"/>
              <w:autoSpaceDN w:val="0"/>
              <w:ind w:left="315" w:hangingChars="150" w:hanging="315"/>
              <w:jc w:val="center"/>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jc w:val="center"/>
              <w:rPr>
                <w:rFonts w:ascii="Arial" w:eastAsia="黑体" w:hAnsi="Arial" w:cs="Arial"/>
                <w:szCs w:val="21"/>
              </w:rPr>
            </w:pPr>
          </w:p>
        </w:tc>
        <w:tc>
          <w:tcPr>
            <w:tcW w:w="231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当期会计期间</w:instrText>
            </w:r>
            <w:r>
              <w:rPr>
                <w:rFonts w:ascii="Arial" w:eastAsia="黑体" w:hAnsi="Arial" w:cs="Arial"/>
                <w:szCs w:val="21"/>
              </w:rPr>
              <w:instrText xml:space="preserve"> </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fldChar w:fldCharType="end"/>
            </w:r>
            <w:r>
              <w:rPr>
                <w:rFonts w:ascii="Arial" w:eastAsia="黑体" w:hAnsi="Arial" w:cs="Arial"/>
                <w:szCs w:val="21"/>
              </w:rPr>
              <w:t>年</w:t>
            </w:r>
            <w:r>
              <w:rPr>
                <w:rFonts w:ascii="Arial" w:eastAsia="黑体" w:hAnsi="Arial" w:cs="Arial"/>
                <w:szCs w:val="21"/>
              </w:rPr>
              <w:t>1-6</w:t>
            </w:r>
            <w:r>
              <w:rPr>
                <w:rFonts w:ascii="Arial" w:eastAsia="黑体" w:hAnsi="Arial" w:cs="Arial"/>
                <w:szCs w:val="21"/>
              </w:rPr>
              <w:t>月</w:t>
            </w:r>
          </w:p>
        </w:tc>
        <w:tc>
          <w:tcPr>
            <w:tcW w:w="110" w:type="dxa"/>
            <w:tcBorders>
              <w:top w:val="nil"/>
              <w:left w:val="nil"/>
              <w:bottom w:val="nil"/>
              <w:right w:val="nil"/>
            </w:tcBorders>
            <w:vAlign w:val="bottom"/>
          </w:tcPr>
          <w:p w:rsidR="00AD5BB5" w:rsidRDefault="00AD5BB5">
            <w:pPr>
              <w:autoSpaceDE w:val="0"/>
              <w:autoSpaceDN w:val="0"/>
              <w:jc w:val="center"/>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jc w:val="center"/>
              <w:rPr>
                <w:rFonts w:ascii="Arial" w:eastAsia="黑体" w:hAnsi="Arial" w:cs="Arial"/>
                <w:szCs w:val="21"/>
              </w:rPr>
            </w:pPr>
          </w:p>
        </w:tc>
        <w:tc>
          <w:tcPr>
            <w:tcW w:w="216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对比会计期间</w:instrText>
            </w:r>
            <w:r>
              <w:rPr>
                <w:rFonts w:ascii="Arial" w:eastAsia="黑体" w:hAnsi="Arial" w:cs="Arial"/>
                <w:szCs w:val="21"/>
              </w:rPr>
              <w:instrText xml:space="preserve"> </w:instrText>
            </w:r>
            <w:r>
              <w:rPr>
                <w:rFonts w:ascii="Arial" w:eastAsia="黑体" w:hAnsi="Arial" w:cs="Arial"/>
                <w:szCs w:val="21"/>
              </w:rPr>
              <w:fldChar w:fldCharType="separate"/>
            </w:r>
            <w:r>
              <w:rPr>
                <w:rFonts w:ascii="Arial" w:eastAsia="黑体" w:hAnsi="Arial" w:cs="Arial"/>
                <w:szCs w:val="21"/>
              </w:rPr>
              <w:t>2022</w:t>
            </w:r>
            <w:r>
              <w:rPr>
                <w:rFonts w:ascii="Arial" w:eastAsia="黑体" w:hAnsi="Arial" w:cs="Arial"/>
                <w:szCs w:val="21"/>
              </w:rPr>
              <w:fldChar w:fldCharType="end"/>
            </w:r>
            <w:r>
              <w:rPr>
                <w:rFonts w:ascii="Arial" w:eastAsia="黑体" w:hAnsi="Arial" w:cs="Arial"/>
                <w:szCs w:val="21"/>
              </w:rPr>
              <w:t>年度</w:t>
            </w:r>
          </w:p>
        </w:tc>
        <w:tc>
          <w:tcPr>
            <w:tcW w:w="110" w:type="dxa"/>
            <w:tcBorders>
              <w:top w:val="nil"/>
              <w:left w:val="nil"/>
              <w:bottom w:val="nil"/>
              <w:right w:val="nil"/>
            </w:tcBorders>
            <w:vAlign w:val="bottom"/>
          </w:tcPr>
          <w:p w:rsidR="00AD5BB5" w:rsidRDefault="00AD5BB5">
            <w:pPr>
              <w:autoSpaceDE w:val="0"/>
              <w:autoSpaceDN w:val="0"/>
              <w:jc w:val="center"/>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原值：</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Chars="84" w:left="386" w:hangingChars="100" w:hanging="210"/>
              <w:rPr>
                <w:rFonts w:ascii="Arial" w:eastAsia="黑体" w:hAnsi="Arial" w:cs="Arial"/>
                <w:szCs w:val="21"/>
              </w:rPr>
            </w:pPr>
            <w:r>
              <w:rPr>
                <w:rFonts w:ascii="Arial" w:eastAsia="黑体" w:hAnsi="Arial" w:cs="Arial"/>
              </w:rPr>
              <w:t>期</w:t>
            </w:r>
            <w:r>
              <w:rPr>
                <w:rFonts w:ascii="Arial" w:eastAsia="黑体" w:hAnsi="Arial" w:cs="Arial"/>
              </w:rPr>
              <w:t>/</w:t>
            </w:r>
            <w:r>
              <w:rPr>
                <w:rFonts w:ascii="Arial" w:eastAsia="黑体" w:hAnsi="Arial" w:cs="Arial"/>
              </w:rPr>
              <w:t>年初余额</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313,156,629.12</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607,075,878.24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Chars="84" w:left="386" w:hangingChars="100" w:hanging="210"/>
              <w:rPr>
                <w:rFonts w:ascii="Arial" w:eastAsia="黑体" w:hAnsi="Arial" w:cs="Arial"/>
                <w:szCs w:val="21"/>
              </w:rPr>
            </w:pPr>
            <w:r>
              <w:rPr>
                <w:rFonts w:ascii="Arial" w:eastAsia="黑体" w:hAnsi="Arial" w:cs="Arial"/>
              </w:rPr>
              <w:t>本期</w:t>
            </w:r>
            <w:r>
              <w:rPr>
                <w:rFonts w:ascii="Arial" w:eastAsia="黑体" w:hAnsi="Arial" w:cs="Arial"/>
              </w:rPr>
              <w:t>/</w:t>
            </w:r>
            <w:r>
              <w:rPr>
                <w:rFonts w:ascii="Arial" w:eastAsia="黑体" w:hAnsi="Arial" w:cs="Arial"/>
              </w:rPr>
              <w:t>年增加</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75,129,604.92</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126,162,507.49</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Chars="84" w:left="386" w:hangingChars="100" w:hanging="210"/>
              <w:rPr>
                <w:rFonts w:ascii="Arial" w:eastAsia="黑体" w:hAnsi="Arial" w:cs="Arial"/>
                <w:szCs w:val="21"/>
              </w:rPr>
            </w:pPr>
            <w:r>
              <w:rPr>
                <w:rFonts w:ascii="Arial" w:eastAsia="黑体" w:hAnsi="Arial" w:cs="Arial"/>
                <w:szCs w:val="21"/>
              </w:rPr>
              <w:t>转入固定资产</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(420,081,756.61</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r>
      <w:tr w:rsidR="00AD5BB5">
        <w:tc>
          <w:tcPr>
            <w:tcW w:w="3502" w:type="dxa"/>
            <w:tcBorders>
              <w:top w:val="nil"/>
              <w:left w:val="nil"/>
              <w:bottom w:val="nil"/>
              <w:right w:val="nil"/>
            </w:tcBorders>
            <w:vAlign w:val="bottom"/>
          </w:tcPr>
          <w:p w:rsidR="00AD5BB5" w:rsidRDefault="00AD5BB5">
            <w:pPr>
              <w:autoSpaceDE w:val="0"/>
              <w:autoSpaceDN w:val="0"/>
              <w:ind w:left="315" w:hangingChars="150" w:hanging="315"/>
              <w:jc w:val="right"/>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Chars="88" w:left="395" w:hangingChars="100" w:hanging="210"/>
              <w:rPr>
                <w:rFonts w:ascii="Arial" w:eastAsia="黑体" w:hAnsi="Arial" w:cs="Arial"/>
                <w:szCs w:val="21"/>
              </w:rPr>
            </w:pPr>
            <w:r>
              <w:rPr>
                <w:rFonts w:ascii="Arial" w:eastAsia="黑体" w:hAnsi="Arial" w:cs="Arial"/>
              </w:rPr>
              <w:t>期</w:t>
            </w:r>
            <w:r>
              <w:rPr>
                <w:rFonts w:ascii="Arial" w:eastAsia="黑体" w:hAnsi="Arial" w:cs="Arial"/>
              </w:rPr>
              <w:t>/</w:t>
            </w:r>
            <w:r>
              <w:rPr>
                <w:rFonts w:ascii="Arial" w:eastAsia="黑体" w:hAnsi="Arial" w:cs="Arial"/>
              </w:rPr>
              <w:t>年末余额</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388,286,234.04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313,156,629.12</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减值准备（附注五、</w:t>
            </w:r>
            <w:r>
              <w:rPr>
                <w:rFonts w:ascii="Arial" w:eastAsia="黑体" w:hAnsi="Arial" w:cs="Arial"/>
                <w:szCs w:val="21"/>
              </w:rPr>
              <w:t>17</w:t>
            </w:r>
            <w:r>
              <w:rPr>
                <w:rFonts w:ascii="Arial" w:eastAsia="黑体" w:hAnsi="Arial" w:cs="Arial"/>
                <w:szCs w:val="21"/>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Chars="89" w:left="397" w:hangingChars="100" w:hanging="210"/>
              <w:rPr>
                <w:rFonts w:ascii="Arial" w:eastAsia="黑体" w:hAnsi="Arial" w:cs="Arial"/>
                <w:szCs w:val="21"/>
              </w:rPr>
            </w:pPr>
            <w:r>
              <w:rPr>
                <w:rFonts w:ascii="Arial" w:eastAsia="黑体" w:hAnsi="Arial" w:cs="Arial"/>
              </w:rPr>
              <w:t>期</w:t>
            </w:r>
            <w:r>
              <w:rPr>
                <w:rFonts w:ascii="Arial" w:eastAsia="黑体" w:hAnsi="Arial" w:cs="Arial"/>
              </w:rPr>
              <w:t>/</w:t>
            </w:r>
            <w:r>
              <w:rPr>
                <w:rFonts w:ascii="Arial" w:eastAsia="黑体" w:hAnsi="Arial" w:cs="Arial"/>
              </w:rPr>
              <w:t>年初余额</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(139,017,142.08</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(134,047,172.08</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r>
      <w:tr w:rsidR="00AD5BB5">
        <w:tc>
          <w:tcPr>
            <w:tcW w:w="3502" w:type="dxa"/>
            <w:tcBorders>
              <w:top w:val="nil"/>
              <w:left w:val="nil"/>
              <w:bottom w:val="nil"/>
              <w:right w:val="nil"/>
            </w:tcBorders>
            <w:vAlign w:val="bottom"/>
          </w:tcPr>
          <w:p w:rsidR="00AD5BB5" w:rsidRDefault="00F87FF6">
            <w:pPr>
              <w:autoSpaceDE w:val="0"/>
              <w:autoSpaceDN w:val="0"/>
              <w:ind w:leftChars="89" w:left="397" w:hangingChars="100" w:hanging="210"/>
              <w:rPr>
                <w:rFonts w:ascii="Arial" w:eastAsia="黑体" w:hAnsi="Arial" w:cs="Arial"/>
                <w:szCs w:val="21"/>
              </w:rPr>
            </w:pPr>
            <w:r>
              <w:rPr>
                <w:rFonts w:ascii="Arial" w:eastAsia="黑体" w:hAnsi="Arial" w:cs="Arial"/>
              </w:rPr>
              <w:t>本期</w:t>
            </w:r>
            <w:r>
              <w:rPr>
                <w:rFonts w:ascii="Arial" w:eastAsia="黑体" w:hAnsi="Arial" w:cs="Arial"/>
              </w:rPr>
              <w:t>/</w:t>
            </w:r>
            <w:r>
              <w:rPr>
                <w:rFonts w:ascii="Arial" w:eastAsia="黑体" w:hAnsi="Arial" w:cs="Arial"/>
              </w:rPr>
              <w:t>年计提</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(4,969,970.00</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r>
      <w:tr w:rsidR="00AD5BB5">
        <w:tc>
          <w:tcPr>
            <w:tcW w:w="3502" w:type="dxa"/>
            <w:tcBorders>
              <w:top w:val="nil"/>
              <w:left w:val="nil"/>
              <w:bottom w:val="nil"/>
              <w:right w:val="nil"/>
            </w:tcBorders>
            <w:vAlign w:val="bottom"/>
          </w:tcPr>
          <w:p w:rsidR="00AD5BB5" w:rsidRDefault="00AD5BB5">
            <w:pPr>
              <w:autoSpaceDE w:val="0"/>
              <w:autoSpaceDN w:val="0"/>
              <w:ind w:leftChars="89" w:left="502"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Chars="89" w:left="397" w:hangingChars="100" w:hanging="210"/>
              <w:rPr>
                <w:rFonts w:ascii="Arial" w:eastAsia="黑体" w:hAnsi="Arial" w:cs="Arial"/>
                <w:szCs w:val="21"/>
              </w:rPr>
            </w:pPr>
            <w:r>
              <w:rPr>
                <w:rFonts w:ascii="Arial" w:eastAsia="黑体" w:hAnsi="Arial" w:cs="Arial"/>
              </w:rPr>
              <w:t>期</w:t>
            </w:r>
            <w:r>
              <w:rPr>
                <w:rFonts w:ascii="Arial" w:eastAsia="黑体" w:hAnsi="Arial" w:cs="Arial"/>
              </w:rPr>
              <w:t>/</w:t>
            </w:r>
            <w:r>
              <w:rPr>
                <w:rFonts w:ascii="Arial" w:eastAsia="黑体" w:hAnsi="Arial" w:cs="Arial"/>
              </w:rPr>
              <w:t>年末余额</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(139,017,142.08</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(139,017,142.08</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r>
      <w:tr w:rsidR="00AD5BB5">
        <w:tc>
          <w:tcPr>
            <w:tcW w:w="3502"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账面价值：</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Chars="100" w:left="420" w:hangingChars="100" w:hanging="210"/>
              <w:rPr>
                <w:rFonts w:ascii="Arial" w:eastAsia="黑体" w:hAnsi="Arial" w:cs="Arial"/>
                <w:szCs w:val="21"/>
              </w:rPr>
            </w:pPr>
            <w:r>
              <w:rPr>
                <w:rFonts w:ascii="Arial" w:eastAsia="黑体" w:hAnsi="Arial" w:cs="Arial"/>
              </w:rPr>
              <w:t>期</w:t>
            </w:r>
            <w:r>
              <w:rPr>
                <w:rFonts w:ascii="Arial" w:eastAsia="黑体" w:hAnsi="Arial" w:cs="Arial"/>
              </w:rPr>
              <w:t>/</w:t>
            </w:r>
            <w:r>
              <w:rPr>
                <w:rFonts w:ascii="Arial" w:eastAsia="黑体" w:hAnsi="Arial" w:cs="Arial"/>
              </w:rPr>
              <w:t>年末余额</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249,269,091.96</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174,139,487.04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AD5BB5">
            <w:pPr>
              <w:autoSpaceDE w:val="0"/>
              <w:autoSpaceDN w:val="0"/>
              <w:ind w:leftChars="100" w:left="52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Chars="100" w:left="420" w:hangingChars="100" w:hanging="210"/>
              <w:rPr>
                <w:rFonts w:ascii="Arial" w:eastAsia="黑体" w:hAnsi="Arial" w:cs="Arial"/>
                <w:szCs w:val="21"/>
              </w:rPr>
            </w:pPr>
            <w:r>
              <w:rPr>
                <w:rFonts w:ascii="Arial" w:eastAsia="黑体" w:hAnsi="Arial" w:cs="Arial"/>
              </w:rPr>
              <w:t>期</w:t>
            </w:r>
            <w:r>
              <w:rPr>
                <w:rFonts w:ascii="Arial" w:eastAsia="黑体" w:hAnsi="Arial" w:cs="Arial"/>
              </w:rPr>
              <w:t>/</w:t>
            </w:r>
            <w:r>
              <w:rPr>
                <w:rFonts w:ascii="Arial" w:eastAsia="黑体" w:hAnsi="Arial" w:cs="Arial"/>
              </w:rPr>
              <w:t>年初余额</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174,139,487.04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473,028,706.16</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bl>
    <w:p w:rsidR="00AD5BB5" w:rsidRDefault="00AD5BB5">
      <w:pPr>
        <w:overflowPunct w:val="0"/>
        <w:autoSpaceDE w:val="0"/>
        <w:autoSpaceDN w:val="0"/>
        <w:adjustRightInd w:val="0"/>
        <w:snapToGrid w:val="0"/>
        <w:textAlignment w:val="bottom"/>
        <w:rPr>
          <w:rFonts w:ascii="Arial" w:eastAsia="黑体" w:hAnsi="Arial" w:cs="Arial"/>
          <w:snapToGrid w:val="0"/>
          <w:szCs w:val="21"/>
        </w:rPr>
      </w:pPr>
    </w:p>
    <w:p w:rsidR="00AD5BB5" w:rsidRDefault="00F87FF6">
      <w:pPr>
        <w:overflowPunct w:val="0"/>
        <w:autoSpaceDE w:val="0"/>
        <w:autoSpaceDN w:val="0"/>
        <w:adjustRightInd w:val="0"/>
        <w:snapToGrid w:val="0"/>
        <w:textAlignment w:val="bottom"/>
        <w:rPr>
          <w:rFonts w:ascii="Arial" w:eastAsia="黑体" w:hAnsi="Arial" w:cs="Arial"/>
          <w:snapToGrid w:val="0"/>
          <w:szCs w:val="21"/>
        </w:rPr>
      </w:pPr>
      <w:r>
        <w:rPr>
          <w:rFonts w:ascii="Arial" w:eastAsia="黑体" w:hAnsi="Arial" w:cs="Arial"/>
          <w:snapToGrid w:val="0"/>
          <w:szCs w:val="21"/>
        </w:rPr>
        <w:t>上述在建工程资金来源均属自有资金，在建工程余额中无资本化利息支出。</w:t>
      </w:r>
    </w:p>
    <w:p w:rsidR="00AD5BB5" w:rsidRDefault="00AD5BB5">
      <w:pPr>
        <w:overflowPunct w:val="0"/>
        <w:autoSpaceDE w:val="0"/>
        <w:autoSpaceDN w:val="0"/>
        <w:adjustRightInd w:val="0"/>
        <w:snapToGrid w:val="0"/>
        <w:textAlignment w:val="bottom"/>
        <w:rPr>
          <w:rFonts w:ascii="Arial" w:eastAsia="黑体" w:hAnsi="Arial" w:cs="Arial"/>
          <w:snapToGrid w:val="0"/>
          <w:szCs w:val="21"/>
        </w:rPr>
      </w:pPr>
    </w:p>
    <w:p w:rsidR="00AD5BB5" w:rsidRDefault="00F87FF6">
      <w:pPr>
        <w:overflowPunct w:val="0"/>
        <w:autoSpaceDE w:val="0"/>
        <w:autoSpaceDN w:val="0"/>
        <w:adjustRightInd w:val="0"/>
        <w:snapToGrid w:val="0"/>
        <w:textAlignment w:val="bottom"/>
        <w:rPr>
          <w:rFonts w:ascii="Arial" w:eastAsia="黑体" w:hAnsi="Arial" w:cs="Arial"/>
          <w:snapToGrid w:val="0"/>
          <w:szCs w:val="21"/>
        </w:rPr>
      </w:pPr>
      <w:r>
        <w:rPr>
          <w:rFonts w:ascii="Arial" w:eastAsia="黑体" w:hAnsi="Arial" w:cs="Arial"/>
          <w:snapToGrid w:val="0"/>
          <w:szCs w:val="21"/>
        </w:rPr>
        <w:t>重要在建工程变动如下：</w:t>
      </w:r>
    </w:p>
    <w:p w:rsidR="00AD5BB5" w:rsidRDefault="00AD5BB5">
      <w:pPr>
        <w:overflowPunct w:val="0"/>
        <w:autoSpaceDE w:val="0"/>
        <w:autoSpaceDN w:val="0"/>
        <w:adjustRightInd w:val="0"/>
        <w:snapToGrid w:val="0"/>
        <w:textAlignment w:val="bottom"/>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bdbf42d5-1e03-4cb2-a824-21c91eba5c5f"/>
        <w:tblDescription w:val="{&quot;UUID&quot;:&quot;afsaddin_tabledata_2_56437_bdbf42d5-1e03-4cb2-a824-21c91eba5c5f&quot;,&quot;TitleRowCount&quot;:2,&quot;SplitedTable&quot;:false,&quot;FirstTableId&quot;:&quot;bdbf42d5-1e03-4cb2-a824-21c91eba5c5f&quot;}"/>
      </w:tblPr>
      <w:tblGrid>
        <w:gridCol w:w="1085"/>
        <w:gridCol w:w="105"/>
        <w:gridCol w:w="1258"/>
        <w:gridCol w:w="105"/>
        <w:gridCol w:w="104"/>
        <w:gridCol w:w="1258"/>
        <w:gridCol w:w="104"/>
        <w:gridCol w:w="104"/>
        <w:gridCol w:w="1264"/>
        <w:gridCol w:w="137"/>
        <w:gridCol w:w="25"/>
        <w:gridCol w:w="1218"/>
        <w:gridCol w:w="104"/>
        <w:gridCol w:w="104"/>
        <w:gridCol w:w="1347"/>
        <w:gridCol w:w="104"/>
      </w:tblGrid>
      <w:tr w:rsidR="00AD5BB5">
        <w:tc>
          <w:tcPr>
            <w:tcW w:w="108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25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fldChar w:fldCharType="begin"/>
            </w:r>
            <w:r>
              <w:rPr>
                <w:rFonts w:ascii="Arial" w:eastAsia="黑体" w:hAnsi="Arial" w:cs="Arial"/>
                <w:sz w:val="16"/>
                <w:szCs w:val="16"/>
              </w:rPr>
              <w:instrText xml:space="preserve"> DOCPROPERTY </w:instrText>
            </w:r>
            <w:r>
              <w:rPr>
                <w:rFonts w:ascii="Arial" w:eastAsia="黑体" w:hAnsi="Arial" w:cs="Arial"/>
                <w:sz w:val="16"/>
                <w:szCs w:val="16"/>
              </w:rPr>
              <w:instrText>当期会计期间</w:instrText>
            </w:r>
            <w:r>
              <w:rPr>
                <w:rFonts w:ascii="Arial" w:eastAsia="黑体" w:hAnsi="Arial" w:cs="Arial"/>
                <w:sz w:val="16"/>
                <w:szCs w:val="16"/>
              </w:rPr>
              <w:instrText xml:space="preserve"> </w:instrText>
            </w:r>
            <w:r>
              <w:rPr>
                <w:rFonts w:ascii="Arial" w:eastAsia="黑体" w:hAnsi="Arial" w:cs="Arial"/>
                <w:sz w:val="16"/>
                <w:szCs w:val="16"/>
              </w:rPr>
              <w:fldChar w:fldCharType="separate"/>
            </w:r>
            <w:r>
              <w:rPr>
                <w:rFonts w:ascii="Arial" w:eastAsia="黑体" w:hAnsi="Arial" w:cs="Arial"/>
                <w:sz w:val="16"/>
                <w:szCs w:val="16"/>
              </w:rPr>
              <w:t>2023</w:t>
            </w:r>
            <w:r>
              <w:rPr>
                <w:rFonts w:ascii="Arial" w:eastAsia="黑体" w:hAnsi="Arial" w:cs="Arial"/>
                <w:sz w:val="16"/>
                <w:szCs w:val="16"/>
              </w:rPr>
              <w:fldChar w:fldCharType="end"/>
            </w:r>
            <w:r>
              <w:rPr>
                <w:rFonts w:ascii="Arial" w:eastAsia="黑体" w:hAnsi="Arial" w:cs="Arial"/>
                <w:sz w:val="16"/>
                <w:szCs w:val="16"/>
              </w:rPr>
              <w:t>年</w:t>
            </w:r>
            <w:r>
              <w:rPr>
                <w:rFonts w:ascii="Arial" w:eastAsia="黑体" w:hAnsi="Arial" w:cs="Arial"/>
                <w:sz w:val="16"/>
                <w:szCs w:val="16"/>
              </w:rPr>
              <w:t>1</w:t>
            </w:r>
            <w:r>
              <w:rPr>
                <w:rFonts w:ascii="Arial" w:eastAsia="黑体" w:hAnsi="Arial" w:cs="Arial"/>
                <w:sz w:val="16"/>
                <w:szCs w:val="16"/>
              </w:rPr>
              <w:t>月</w:t>
            </w:r>
            <w:r>
              <w:rPr>
                <w:rFonts w:ascii="Arial" w:eastAsia="黑体" w:hAnsi="Arial" w:cs="Arial"/>
                <w:sz w:val="16"/>
                <w:szCs w:val="16"/>
              </w:rPr>
              <w:t>1</w:t>
            </w:r>
            <w:r>
              <w:rPr>
                <w:rFonts w:ascii="Arial" w:eastAsia="黑体" w:hAnsi="Arial" w:cs="Arial"/>
                <w:sz w:val="16"/>
                <w:szCs w:val="16"/>
              </w:rPr>
              <w:t>日</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8" w:type="dxa"/>
            <w:tcBorders>
              <w:top w:val="nil"/>
              <w:left w:val="nil"/>
              <w:bottom w:val="nil"/>
              <w:right w:val="nil"/>
            </w:tcBorders>
            <w:vAlign w:val="bottom"/>
          </w:tcPr>
          <w:p w:rsidR="00AD5BB5" w:rsidRDefault="00F87FF6">
            <w:pPr>
              <w:autoSpaceDE w:val="0"/>
              <w:autoSpaceDN w:val="0"/>
              <w:ind w:rightChars="18" w:right="38"/>
              <w:jc w:val="right"/>
              <w:rPr>
                <w:rFonts w:ascii="Arial" w:eastAsia="黑体" w:hAnsi="Arial" w:cs="Arial"/>
                <w:sz w:val="16"/>
                <w:szCs w:val="16"/>
              </w:rPr>
            </w:pPr>
            <w:r>
              <w:rPr>
                <w:rFonts w:ascii="Arial" w:eastAsia="黑体" w:hAnsi="Arial" w:cs="Arial"/>
                <w:sz w:val="16"/>
                <w:szCs w:val="16"/>
              </w:rPr>
              <w:t>本期增加</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6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本期转出</w:t>
            </w:r>
          </w:p>
        </w:tc>
        <w:tc>
          <w:tcPr>
            <w:tcW w:w="13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1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本期计提减值</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7" w:type="dxa"/>
            <w:tcBorders>
              <w:top w:val="nil"/>
              <w:left w:val="nil"/>
              <w:bottom w:val="nil"/>
              <w:right w:val="nil"/>
            </w:tcBorders>
            <w:vAlign w:val="bottom"/>
          </w:tcPr>
          <w:p w:rsidR="00AD5BB5" w:rsidRDefault="00F87FF6">
            <w:pPr>
              <w:autoSpaceDE w:val="0"/>
              <w:autoSpaceDN w:val="0"/>
              <w:ind w:leftChars="-76" w:left="3" w:hangingChars="102" w:hanging="163"/>
              <w:jc w:val="right"/>
              <w:rPr>
                <w:rFonts w:ascii="Arial" w:eastAsia="黑体" w:hAnsi="Arial" w:cs="Arial"/>
                <w:sz w:val="16"/>
                <w:szCs w:val="16"/>
              </w:rPr>
            </w:pPr>
            <w:r>
              <w:rPr>
                <w:rFonts w:ascii="Arial" w:eastAsia="黑体" w:hAnsi="Arial" w:cs="Arial"/>
                <w:sz w:val="16"/>
                <w:szCs w:val="16"/>
              </w:rPr>
              <w:fldChar w:fldCharType="begin"/>
            </w:r>
            <w:r>
              <w:rPr>
                <w:rFonts w:ascii="Arial" w:eastAsia="黑体" w:hAnsi="Arial" w:cs="Arial"/>
                <w:sz w:val="16"/>
                <w:szCs w:val="16"/>
              </w:rPr>
              <w:instrText xml:space="preserve"> DOCPROPERTY </w:instrText>
            </w:r>
            <w:r>
              <w:rPr>
                <w:rFonts w:ascii="Arial" w:eastAsia="黑体" w:hAnsi="Arial" w:cs="Arial"/>
                <w:sz w:val="16"/>
                <w:szCs w:val="16"/>
              </w:rPr>
              <w:instrText>当期资产负债表日</w:instrText>
            </w:r>
            <w:r>
              <w:rPr>
                <w:rFonts w:ascii="Arial" w:eastAsia="黑体" w:hAnsi="Arial" w:cs="Arial"/>
                <w:sz w:val="16"/>
                <w:szCs w:val="16"/>
              </w:rPr>
              <w:instrText xml:space="preserve"> </w:instrText>
            </w:r>
            <w:r>
              <w:rPr>
                <w:rFonts w:ascii="Arial" w:eastAsia="黑体" w:hAnsi="Arial" w:cs="Arial"/>
                <w:sz w:val="16"/>
                <w:szCs w:val="16"/>
              </w:rPr>
              <w:fldChar w:fldCharType="separate"/>
            </w:r>
            <w:r>
              <w:rPr>
                <w:rFonts w:ascii="Arial" w:eastAsia="黑体" w:hAnsi="Arial" w:cs="Arial"/>
                <w:sz w:val="16"/>
                <w:szCs w:val="16"/>
              </w:rPr>
              <w:t>2023</w:t>
            </w:r>
            <w:r>
              <w:rPr>
                <w:rFonts w:ascii="Arial" w:eastAsia="黑体" w:hAnsi="Arial" w:cs="Arial"/>
                <w:sz w:val="16"/>
                <w:szCs w:val="16"/>
              </w:rPr>
              <w:t>年</w:t>
            </w:r>
            <w:r>
              <w:rPr>
                <w:rFonts w:ascii="Arial" w:eastAsia="黑体" w:hAnsi="Arial" w:cs="Arial"/>
                <w:sz w:val="16"/>
                <w:szCs w:val="16"/>
              </w:rPr>
              <w:t>6</w:t>
            </w:r>
            <w:r>
              <w:rPr>
                <w:rFonts w:ascii="Arial" w:eastAsia="黑体" w:hAnsi="Arial" w:cs="Arial"/>
                <w:sz w:val="16"/>
                <w:szCs w:val="16"/>
              </w:rPr>
              <w:t>月</w:t>
            </w:r>
            <w:r>
              <w:rPr>
                <w:rFonts w:ascii="Arial" w:eastAsia="黑体" w:hAnsi="Arial" w:cs="Arial"/>
                <w:sz w:val="16"/>
                <w:szCs w:val="16"/>
              </w:rPr>
              <w:t>30</w:t>
            </w:r>
            <w:r>
              <w:rPr>
                <w:rFonts w:ascii="Arial" w:eastAsia="黑体" w:hAnsi="Arial" w:cs="Arial"/>
                <w:sz w:val="16"/>
                <w:szCs w:val="16"/>
              </w:rPr>
              <w:t>日</w:t>
            </w:r>
            <w:r>
              <w:rPr>
                <w:rFonts w:ascii="Arial" w:eastAsia="黑体" w:hAnsi="Arial" w:cs="Arial"/>
                <w:sz w:val="16"/>
                <w:szCs w:val="16"/>
              </w:rPr>
              <w:fldChar w:fldCharType="end"/>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08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25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6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3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1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08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25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6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3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1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08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总行大厦工程</w:t>
            </w:r>
          </w:p>
        </w:tc>
        <w:tc>
          <w:tcPr>
            <w:tcW w:w="105"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25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108,639,687.04</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8" w:type="dxa"/>
            <w:tcBorders>
              <w:top w:val="nil"/>
              <w:left w:val="nil"/>
              <w:bottom w:val="nil"/>
              <w:right w:val="nil"/>
            </w:tcBorders>
            <w:vAlign w:val="bottom"/>
          </w:tcPr>
          <w:p w:rsidR="00AD5BB5" w:rsidRDefault="00F87FF6">
            <w:pPr>
              <w:autoSpaceDE w:val="0"/>
              <w:autoSpaceDN w:val="0"/>
              <w:ind w:rightChars="18" w:right="38"/>
              <w:jc w:val="right"/>
              <w:rPr>
                <w:rFonts w:ascii="Arial" w:eastAsia="黑体" w:hAnsi="Arial" w:cs="Arial"/>
                <w:sz w:val="16"/>
                <w:szCs w:val="16"/>
              </w:rPr>
            </w:pPr>
            <w:r>
              <w:rPr>
                <w:rFonts w:ascii="Arial" w:eastAsia="黑体" w:hAnsi="Arial" w:cs="Arial"/>
                <w:sz w:val="16"/>
                <w:szCs w:val="16"/>
              </w:rPr>
              <w:t>75,129,604.92</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6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3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1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7" w:type="dxa"/>
            <w:tcBorders>
              <w:top w:val="nil"/>
              <w:left w:val="nil"/>
              <w:bottom w:val="nil"/>
              <w:right w:val="nil"/>
            </w:tcBorders>
            <w:vAlign w:val="bottom"/>
          </w:tcPr>
          <w:p w:rsidR="00AD5BB5" w:rsidRDefault="00F87FF6">
            <w:pPr>
              <w:autoSpaceDE w:val="0"/>
              <w:autoSpaceDN w:val="0"/>
              <w:ind w:rightChars="18" w:right="38"/>
              <w:jc w:val="right"/>
              <w:rPr>
                <w:rFonts w:ascii="Arial" w:eastAsia="黑体" w:hAnsi="Arial" w:cs="Arial"/>
                <w:sz w:val="16"/>
                <w:szCs w:val="16"/>
              </w:rPr>
            </w:pPr>
            <w:r>
              <w:rPr>
                <w:rFonts w:ascii="Arial" w:eastAsia="黑体" w:hAnsi="Arial" w:cs="Arial"/>
                <w:sz w:val="16"/>
                <w:szCs w:val="16"/>
              </w:rPr>
              <w:t>183,769,291.96</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08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南昌大楼</w:t>
            </w:r>
          </w:p>
        </w:tc>
        <w:tc>
          <w:tcPr>
            <w:tcW w:w="105"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25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65,499,800.00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8" w:type="dxa"/>
            <w:tcBorders>
              <w:top w:val="nil"/>
              <w:left w:val="nil"/>
              <w:bottom w:val="single" w:sz="4" w:space="0" w:color="auto"/>
              <w:right w:val="nil"/>
            </w:tcBorders>
            <w:vAlign w:val="bottom"/>
          </w:tcPr>
          <w:p w:rsidR="00AD5BB5" w:rsidRDefault="00F87FF6">
            <w:pPr>
              <w:autoSpaceDE w:val="0"/>
              <w:autoSpaceDN w:val="0"/>
              <w:ind w:rightChars="18" w:right="38"/>
              <w:jc w:val="right"/>
              <w:rPr>
                <w:rFonts w:ascii="Arial" w:eastAsia="黑体" w:hAnsi="Arial" w:cs="Arial"/>
                <w:sz w:val="16"/>
                <w:szCs w:val="16"/>
              </w:rPr>
            </w:pPr>
            <w:r>
              <w:rPr>
                <w:rFonts w:ascii="Arial" w:eastAsia="黑体" w:hAnsi="Arial" w:cs="Arial"/>
                <w:sz w:val="16"/>
                <w:szCs w:val="16"/>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6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3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1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7" w:type="dxa"/>
            <w:tcBorders>
              <w:top w:val="nil"/>
              <w:left w:val="nil"/>
              <w:bottom w:val="single" w:sz="4" w:space="0" w:color="auto"/>
              <w:right w:val="nil"/>
            </w:tcBorders>
            <w:vAlign w:val="bottom"/>
          </w:tcPr>
          <w:p w:rsidR="00AD5BB5" w:rsidRDefault="00F87FF6">
            <w:pPr>
              <w:autoSpaceDE w:val="0"/>
              <w:autoSpaceDN w:val="0"/>
              <w:ind w:rightChars="18" w:right="38"/>
              <w:jc w:val="right"/>
              <w:rPr>
                <w:rFonts w:ascii="Arial" w:eastAsia="黑体" w:hAnsi="Arial" w:cs="Arial"/>
                <w:sz w:val="16"/>
                <w:szCs w:val="16"/>
              </w:rPr>
            </w:pPr>
            <w:r>
              <w:rPr>
                <w:rFonts w:ascii="Arial" w:eastAsia="黑体" w:hAnsi="Arial" w:cs="Arial"/>
                <w:sz w:val="16"/>
                <w:szCs w:val="16"/>
              </w:rPr>
              <w:t>65,499,800.00</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08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25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8" w:type="dxa"/>
            <w:tcBorders>
              <w:top w:val="single" w:sz="4" w:space="0" w:color="auto"/>
              <w:left w:val="nil"/>
              <w:bottom w:val="nil"/>
              <w:right w:val="nil"/>
            </w:tcBorders>
            <w:vAlign w:val="bottom"/>
          </w:tcPr>
          <w:p w:rsidR="00AD5BB5" w:rsidRDefault="00AD5BB5">
            <w:pPr>
              <w:autoSpaceDE w:val="0"/>
              <w:autoSpaceDN w:val="0"/>
              <w:ind w:rightChars="18" w:right="38"/>
              <w:jc w:val="right"/>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6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3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1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7" w:type="dxa"/>
            <w:tcBorders>
              <w:top w:val="single" w:sz="4" w:space="0" w:color="auto"/>
              <w:left w:val="nil"/>
              <w:bottom w:val="nil"/>
              <w:right w:val="nil"/>
            </w:tcBorders>
            <w:vAlign w:val="bottom"/>
          </w:tcPr>
          <w:p w:rsidR="00AD5BB5" w:rsidRDefault="00AD5BB5">
            <w:pPr>
              <w:autoSpaceDE w:val="0"/>
              <w:autoSpaceDN w:val="0"/>
              <w:ind w:rightChars="18" w:right="38"/>
              <w:jc w:val="right"/>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08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合计</w:t>
            </w:r>
          </w:p>
        </w:tc>
        <w:tc>
          <w:tcPr>
            <w:tcW w:w="105"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25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174,139,487.04</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8" w:type="dxa"/>
            <w:tcBorders>
              <w:top w:val="nil"/>
              <w:left w:val="nil"/>
              <w:bottom w:val="double" w:sz="4" w:space="0" w:color="auto"/>
              <w:right w:val="nil"/>
            </w:tcBorders>
            <w:vAlign w:val="bottom"/>
          </w:tcPr>
          <w:p w:rsidR="00AD5BB5" w:rsidRDefault="00F87FF6">
            <w:pPr>
              <w:autoSpaceDE w:val="0"/>
              <w:autoSpaceDN w:val="0"/>
              <w:ind w:rightChars="18" w:right="38"/>
              <w:jc w:val="right"/>
              <w:rPr>
                <w:rFonts w:ascii="Arial" w:eastAsia="黑体" w:hAnsi="Arial" w:cs="Arial"/>
                <w:sz w:val="16"/>
                <w:szCs w:val="16"/>
              </w:rPr>
            </w:pPr>
            <w:r>
              <w:rPr>
                <w:rFonts w:ascii="Arial" w:eastAsia="黑体" w:hAnsi="Arial" w:cs="Arial"/>
                <w:sz w:val="16"/>
                <w:szCs w:val="16"/>
              </w:rPr>
              <w:t>75,129,604.92</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6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3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1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7" w:type="dxa"/>
            <w:tcBorders>
              <w:top w:val="nil"/>
              <w:left w:val="nil"/>
              <w:bottom w:val="double" w:sz="4" w:space="0" w:color="auto"/>
              <w:right w:val="nil"/>
            </w:tcBorders>
            <w:vAlign w:val="bottom"/>
          </w:tcPr>
          <w:p w:rsidR="00AD5BB5" w:rsidRDefault="00F87FF6">
            <w:pPr>
              <w:autoSpaceDE w:val="0"/>
              <w:autoSpaceDN w:val="0"/>
              <w:ind w:rightChars="18" w:right="38"/>
              <w:jc w:val="right"/>
              <w:rPr>
                <w:rFonts w:ascii="Arial" w:eastAsia="黑体" w:hAnsi="Arial" w:cs="Arial"/>
                <w:sz w:val="16"/>
                <w:szCs w:val="16"/>
              </w:rPr>
            </w:pPr>
            <w:r>
              <w:rPr>
                <w:rFonts w:ascii="Arial" w:eastAsia="黑体" w:hAnsi="Arial" w:cs="Arial"/>
                <w:sz w:val="16"/>
                <w:szCs w:val="16"/>
              </w:rPr>
              <w:t>249,269,091.96</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bl>
    <w:p w:rsidR="00AD5BB5" w:rsidRDefault="00AD5BB5">
      <w:pPr>
        <w:overflowPunct w:val="0"/>
        <w:autoSpaceDE w:val="0"/>
        <w:autoSpaceDN w:val="0"/>
        <w:adjustRightInd w:val="0"/>
        <w:snapToGrid w:val="0"/>
        <w:textAlignment w:val="bottom"/>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d0e185ff-8b21-4d14-ba42-b17d388c6bf8"/>
        <w:tblDescription w:val="{&quot;UUID&quot;:&quot;afsaddin_tabledata_2_56437_d0e185ff-8b21-4d14-ba42-b17d388c6bf8&quot;,&quot;TitleRowCount&quot;:2,&quot;SplitedTable&quot;:false,&quot;FirstTableId&quot;:&quot;d0e185ff-8b21-4d14-ba42-b17d388c6bf8&quot;}"/>
      </w:tblPr>
      <w:tblGrid>
        <w:gridCol w:w="1085"/>
        <w:gridCol w:w="105"/>
        <w:gridCol w:w="1258"/>
        <w:gridCol w:w="105"/>
        <w:gridCol w:w="104"/>
        <w:gridCol w:w="1258"/>
        <w:gridCol w:w="104"/>
        <w:gridCol w:w="104"/>
        <w:gridCol w:w="1264"/>
        <w:gridCol w:w="137"/>
        <w:gridCol w:w="25"/>
        <w:gridCol w:w="1218"/>
        <w:gridCol w:w="104"/>
        <w:gridCol w:w="104"/>
        <w:gridCol w:w="1347"/>
        <w:gridCol w:w="104"/>
      </w:tblGrid>
      <w:tr w:rsidR="00AD5BB5">
        <w:tc>
          <w:tcPr>
            <w:tcW w:w="108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bookmarkStart w:id="140" w:name="afsaddin_WithXu_4b3a38aff5b24353ae0875a7"/>
            <w:bookmarkStart w:id="141" w:name="afsaddin_WithXu_ce21d761969344f783b7d83e"/>
            <w:bookmarkEnd w:id="140"/>
            <w:bookmarkEnd w:id="141"/>
          </w:p>
        </w:tc>
        <w:tc>
          <w:tcPr>
            <w:tcW w:w="105" w:type="dxa"/>
            <w:tcBorders>
              <w:top w:val="nil"/>
              <w:left w:val="nil"/>
              <w:bottom w:val="nil"/>
              <w:right w:val="nil"/>
            </w:tcBorders>
            <w:vAlign w:val="bottom"/>
          </w:tcPr>
          <w:p w:rsidR="00AD5BB5" w:rsidRDefault="00AD5BB5">
            <w:pPr>
              <w:autoSpaceDE w:val="0"/>
              <w:autoSpaceDN w:val="0"/>
              <w:ind w:left="240" w:hangingChars="150" w:hanging="240"/>
              <w:jc w:val="center"/>
              <w:rPr>
                <w:rFonts w:ascii="Arial" w:eastAsia="黑体" w:hAnsi="Arial" w:cs="Arial"/>
                <w:sz w:val="16"/>
                <w:szCs w:val="16"/>
              </w:rPr>
            </w:pPr>
          </w:p>
        </w:tc>
        <w:tc>
          <w:tcPr>
            <w:tcW w:w="125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fldChar w:fldCharType="begin"/>
            </w:r>
            <w:r>
              <w:rPr>
                <w:rFonts w:ascii="Arial" w:eastAsia="黑体" w:hAnsi="Arial" w:cs="Arial"/>
                <w:sz w:val="16"/>
                <w:szCs w:val="16"/>
              </w:rPr>
              <w:instrText xml:space="preserve"> DOCPROPERTY </w:instrText>
            </w:r>
            <w:r>
              <w:rPr>
                <w:rFonts w:ascii="Arial" w:eastAsia="黑体" w:hAnsi="Arial" w:cs="Arial"/>
                <w:sz w:val="16"/>
                <w:szCs w:val="16"/>
              </w:rPr>
              <w:instrText>对比会计期间</w:instrText>
            </w:r>
            <w:r>
              <w:rPr>
                <w:rFonts w:ascii="Arial" w:eastAsia="黑体" w:hAnsi="Arial" w:cs="Arial"/>
                <w:sz w:val="16"/>
                <w:szCs w:val="16"/>
              </w:rPr>
              <w:instrText xml:space="preserve"> </w:instrText>
            </w:r>
            <w:r>
              <w:rPr>
                <w:rFonts w:ascii="Arial" w:eastAsia="黑体" w:hAnsi="Arial" w:cs="Arial"/>
                <w:sz w:val="16"/>
                <w:szCs w:val="16"/>
              </w:rPr>
              <w:fldChar w:fldCharType="separate"/>
            </w:r>
            <w:r>
              <w:rPr>
                <w:rFonts w:ascii="Arial" w:eastAsia="黑体" w:hAnsi="Arial" w:cs="Arial"/>
                <w:sz w:val="16"/>
                <w:szCs w:val="16"/>
              </w:rPr>
              <w:t>2022</w:t>
            </w:r>
            <w:r>
              <w:rPr>
                <w:rFonts w:ascii="Arial" w:eastAsia="黑体" w:hAnsi="Arial" w:cs="Arial"/>
                <w:sz w:val="16"/>
                <w:szCs w:val="16"/>
              </w:rPr>
              <w:fldChar w:fldCharType="end"/>
            </w:r>
            <w:r>
              <w:rPr>
                <w:rFonts w:ascii="Arial" w:eastAsia="黑体" w:hAnsi="Arial" w:cs="Arial"/>
                <w:sz w:val="16"/>
                <w:szCs w:val="16"/>
              </w:rPr>
              <w:t>年</w:t>
            </w:r>
            <w:r>
              <w:rPr>
                <w:rFonts w:ascii="Arial" w:eastAsia="黑体" w:hAnsi="Arial" w:cs="Arial"/>
                <w:sz w:val="16"/>
                <w:szCs w:val="16"/>
              </w:rPr>
              <w:t>1</w:t>
            </w:r>
            <w:r>
              <w:rPr>
                <w:rFonts w:ascii="Arial" w:eastAsia="黑体" w:hAnsi="Arial" w:cs="Arial"/>
                <w:sz w:val="16"/>
                <w:szCs w:val="16"/>
              </w:rPr>
              <w:t>月</w:t>
            </w:r>
            <w:r>
              <w:rPr>
                <w:rFonts w:ascii="Arial" w:eastAsia="黑体" w:hAnsi="Arial" w:cs="Arial"/>
                <w:sz w:val="16"/>
                <w:szCs w:val="16"/>
              </w:rPr>
              <w:t>1</w:t>
            </w:r>
            <w:r>
              <w:rPr>
                <w:rFonts w:ascii="Arial" w:eastAsia="黑体" w:hAnsi="Arial" w:cs="Arial"/>
                <w:sz w:val="16"/>
                <w:szCs w:val="16"/>
              </w:rPr>
              <w:t>日</w:t>
            </w: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258" w:type="dxa"/>
            <w:tcBorders>
              <w:top w:val="nil"/>
              <w:left w:val="nil"/>
              <w:bottom w:val="nil"/>
              <w:right w:val="nil"/>
            </w:tcBorders>
            <w:vAlign w:val="bottom"/>
          </w:tcPr>
          <w:p w:rsidR="00AD5BB5" w:rsidRDefault="00F87FF6">
            <w:pPr>
              <w:autoSpaceDE w:val="0"/>
              <w:autoSpaceDN w:val="0"/>
              <w:ind w:rightChars="18" w:right="38"/>
              <w:jc w:val="right"/>
              <w:rPr>
                <w:rFonts w:ascii="Arial" w:eastAsia="黑体" w:hAnsi="Arial" w:cs="Arial"/>
                <w:sz w:val="16"/>
                <w:szCs w:val="16"/>
              </w:rPr>
            </w:pPr>
            <w:r>
              <w:rPr>
                <w:rFonts w:ascii="Arial" w:eastAsia="黑体" w:hAnsi="Arial" w:cs="Arial"/>
                <w:sz w:val="16"/>
                <w:szCs w:val="16"/>
              </w:rPr>
              <w:t>本年增加</w:t>
            </w:r>
          </w:p>
        </w:tc>
        <w:tc>
          <w:tcPr>
            <w:tcW w:w="10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26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本年转出</w:t>
            </w:r>
          </w:p>
        </w:tc>
        <w:tc>
          <w:tcPr>
            <w:tcW w:w="137"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2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21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本年计提减值</w:t>
            </w:r>
          </w:p>
        </w:tc>
        <w:tc>
          <w:tcPr>
            <w:tcW w:w="10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34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2022</w:t>
            </w:r>
            <w:r>
              <w:rPr>
                <w:rFonts w:ascii="Arial" w:eastAsia="黑体" w:hAnsi="Arial" w:cs="Arial"/>
                <w:sz w:val="16"/>
                <w:szCs w:val="16"/>
              </w:rPr>
              <w:t>年</w:t>
            </w:r>
            <w:r>
              <w:rPr>
                <w:rFonts w:ascii="Arial" w:eastAsia="黑体" w:hAnsi="Arial" w:cs="Arial"/>
                <w:sz w:val="16"/>
                <w:szCs w:val="16"/>
              </w:rPr>
              <w:t>12</w:t>
            </w:r>
            <w:r>
              <w:rPr>
                <w:rFonts w:ascii="Arial" w:eastAsia="黑体" w:hAnsi="Arial" w:cs="Arial"/>
                <w:sz w:val="16"/>
                <w:szCs w:val="16"/>
              </w:rPr>
              <w:t>月</w:t>
            </w:r>
            <w:r>
              <w:rPr>
                <w:rFonts w:ascii="Arial" w:eastAsia="黑体" w:hAnsi="Arial" w:cs="Arial"/>
                <w:sz w:val="16"/>
                <w:szCs w:val="16"/>
              </w:rPr>
              <w:t>31</w:t>
            </w:r>
            <w:r>
              <w:rPr>
                <w:rFonts w:ascii="Arial" w:eastAsia="黑体" w:hAnsi="Arial" w:cs="Arial"/>
                <w:sz w:val="16"/>
                <w:szCs w:val="16"/>
              </w:rPr>
              <w:t>日</w:t>
            </w:r>
          </w:p>
        </w:tc>
        <w:tc>
          <w:tcPr>
            <w:tcW w:w="10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r>
      <w:tr w:rsidR="00AD5BB5">
        <w:tc>
          <w:tcPr>
            <w:tcW w:w="108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25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6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3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1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08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25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6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3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1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08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总行大厦工程</w:t>
            </w:r>
          </w:p>
        </w:tc>
        <w:tc>
          <w:tcPr>
            <w:tcW w:w="105"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25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23,366,734.01</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85,272,953.03</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6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3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1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7" w:type="dxa"/>
            <w:tcBorders>
              <w:top w:val="nil"/>
              <w:left w:val="nil"/>
              <w:bottom w:val="nil"/>
              <w:right w:val="nil"/>
            </w:tcBorders>
            <w:vAlign w:val="bottom"/>
          </w:tcPr>
          <w:p w:rsidR="00AD5BB5" w:rsidRDefault="00F87FF6">
            <w:pPr>
              <w:autoSpaceDE w:val="0"/>
              <w:autoSpaceDN w:val="0"/>
              <w:ind w:rightChars="12" w:right="25"/>
              <w:jc w:val="right"/>
              <w:rPr>
                <w:rFonts w:ascii="Arial" w:eastAsia="黑体" w:hAnsi="Arial" w:cs="Arial"/>
                <w:sz w:val="16"/>
                <w:szCs w:val="16"/>
              </w:rPr>
            </w:pPr>
            <w:r>
              <w:rPr>
                <w:rFonts w:ascii="Arial" w:eastAsia="黑体" w:hAnsi="Arial" w:cs="Arial"/>
                <w:sz w:val="16"/>
                <w:szCs w:val="16"/>
              </w:rPr>
              <w:t>108,639,687.04</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08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泉州分行大楼</w:t>
            </w:r>
          </w:p>
        </w:tc>
        <w:tc>
          <w:tcPr>
            <w:tcW w:w="105"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25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379,192,202.15</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40,889,554.46</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26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(420,081,756.61</w:t>
            </w:r>
          </w:p>
        </w:tc>
        <w:tc>
          <w:tcPr>
            <w:tcW w:w="137"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rPr>
              <w:t>)</w:t>
            </w:r>
          </w:p>
        </w:tc>
        <w:tc>
          <w:tcPr>
            <w:tcW w:w="2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1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7" w:type="dxa"/>
            <w:tcBorders>
              <w:top w:val="nil"/>
              <w:left w:val="nil"/>
              <w:bottom w:val="nil"/>
              <w:right w:val="nil"/>
            </w:tcBorders>
            <w:vAlign w:val="bottom"/>
          </w:tcPr>
          <w:p w:rsidR="00AD5BB5" w:rsidRDefault="00F87FF6">
            <w:pPr>
              <w:autoSpaceDE w:val="0"/>
              <w:autoSpaceDN w:val="0"/>
              <w:ind w:rightChars="12" w:right="25"/>
              <w:jc w:val="right"/>
              <w:rPr>
                <w:rFonts w:ascii="Arial" w:eastAsia="黑体" w:hAnsi="Arial" w:cs="Arial"/>
                <w:sz w:val="16"/>
                <w:szCs w:val="16"/>
              </w:rPr>
            </w:pPr>
            <w:r>
              <w:rPr>
                <w:rFonts w:ascii="Arial" w:eastAsia="黑体" w:hAnsi="Arial" w:cs="Arial"/>
                <w:sz w:val="16"/>
                <w:szCs w:val="16"/>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08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南昌大楼</w:t>
            </w:r>
          </w:p>
        </w:tc>
        <w:tc>
          <w:tcPr>
            <w:tcW w:w="105"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25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70,469,770.00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6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3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1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(4,969,970.00</w:t>
            </w:r>
          </w:p>
        </w:tc>
        <w:tc>
          <w:tcPr>
            <w:tcW w:w="104"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7" w:type="dxa"/>
            <w:tcBorders>
              <w:top w:val="nil"/>
              <w:left w:val="nil"/>
              <w:bottom w:val="single" w:sz="4" w:space="0" w:color="auto"/>
              <w:right w:val="nil"/>
            </w:tcBorders>
            <w:vAlign w:val="bottom"/>
          </w:tcPr>
          <w:p w:rsidR="00AD5BB5" w:rsidRDefault="00F87FF6">
            <w:pPr>
              <w:autoSpaceDE w:val="0"/>
              <w:autoSpaceDN w:val="0"/>
              <w:ind w:rightChars="12" w:right="25"/>
              <w:jc w:val="right"/>
              <w:rPr>
                <w:rFonts w:ascii="Arial" w:eastAsia="黑体" w:hAnsi="Arial" w:cs="Arial"/>
                <w:sz w:val="16"/>
                <w:szCs w:val="16"/>
              </w:rPr>
            </w:pPr>
            <w:r>
              <w:rPr>
                <w:rFonts w:ascii="Arial" w:eastAsia="黑体" w:hAnsi="Arial" w:cs="Arial"/>
                <w:sz w:val="16"/>
                <w:szCs w:val="16"/>
              </w:rPr>
              <w:t>65,499,800.00</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08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25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6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3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1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7" w:type="dxa"/>
            <w:tcBorders>
              <w:top w:val="single" w:sz="4" w:space="0" w:color="auto"/>
              <w:left w:val="nil"/>
              <w:bottom w:val="nil"/>
              <w:right w:val="nil"/>
            </w:tcBorders>
            <w:vAlign w:val="bottom"/>
          </w:tcPr>
          <w:p w:rsidR="00AD5BB5" w:rsidRDefault="00AD5BB5">
            <w:pPr>
              <w:autoSpaceDE w:val="0"/>
              <w:autoSpaceDN w:val="0"/>
              <w:ind w:rightChars="12" w:right="25"/>
              <w:jc w:val="right"/>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08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合计</w:t>
            </w:r>
          </w:p>
        </w:tc>
        <w:tc>
          <w:tcPr>
            <w:tcW w:w="105"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25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473,028,706.16</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126,162,507.49</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6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(420,081,756.61</w:t>
            </w:r>
          </w:p>
        </w:tc>
        <w:tc>
          <w:tcPr>
            <w:tcW w:w="137"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rPr>
              <w:t>)</w:t>
            </w:r>
          </w:p>
        </w:tc>
        <w:tc>
          <w:tcPr>
            <w:tcW w:w="2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1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(4,969,970.00</w:t>
            </w:r>
          </w:p>
        </w:tc>
        <w:tc>
          <w:tcPr>
            <w:tcW w:w="104"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7" w:type="dxa"/>
            <w:tcBorders>
              <w:top w:val="nil"/>
              <w:left w:val="nil"/>
              <w:bottom w:val="double" w:sz="4" w:space="0" w:color="auto"/>
              <w:right w:val="nil"/>
            </w:tcBorders>
            <w:vAlign w:val="bottom"/>
          </w:tcPr>
          <w:p w:rsidR="00AD5BB5" w:rsidRDefault="00F87FF6">
            <w:pPr>
              <w:autoSpaceDE w:val="0"/>
              <w:autoSpaceDN w:val="0"/>
              <w:ind w:rightChars="12" w:right="25"/>
              <w:jc w:val="right"/>
              <w:rPr>
                <w:rFonts w:ascii="Arial" w:eastAsia="黑体" w:hAnsi="Arial" w:cs="Arial"/>
                <w:sz w:val="16"/>
                <w:szCs w:val="16"/>
              </w:rPr>
            </w:pPr>
            <w:r>
              <w:rPr>
                <w:rFonts w:ascii="Arial" w:eastAsia="黑体" w:hAnsi="Arial" w:cs="Arial"/>
                <w:sz w:val="16"/>
                <w:szCs w:val="16"/>
              </w:rPr>
              <w:t>174,139,487.04</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bl>
    <w:p w:rsidR="00AD5BB5" w:rsidRDefault="00F87FF6">
      <w:pPr>
        <w:rPr>
          <w:rFonts w:ascii="Arial" w:eastAsia="黑体" w:hAnsi="Arial" w:cs="Arial"/>
          <w:snapToGrid w:val="0"/>
          <w:szCs w:val="21"/>
        </w:rPr>
      </w:pPr>
      <w:r>
        <w:rPr>
          <w:rFonts w:ascii="Arial" w:eastAsia="黑体" w:hAnsi="Arial" w:cs="Arial"/>
          <w:snapToGrid w:val="0"/>
          <w:szCs w:val="21"/>
        </w:rPr>
        <w:br w:type="page"/>
      </w:r>
    </w:p>
    <w:p w:rsidR="00AD5BB5" w:rsidRDefault="00AD5BB5">
      <w:pPr>
        <w:overflowPunct w:val="0"/>
        <w:autoSpaceDE w:val="0"/>
        <w:autoSpaceDN w:val="0"/>
        <w:adjustRightInd w:val="0"/>
        <w:snapToGrid w:val="0"/>
        <w:textAlignment w:val="bottom"/>
        <w:rPr>
          <w:rFonts w:ascii="Arial" w:eastAsia="黑体" w:hAnsi="Arial" w:cs="Arial"/>
          <w:snapToGrid w:val="0"/>
          <w:szCs w:val="21"/>
        </w:rPr>
      </w:pPr>
    </w:p>
    <w:p w:rsidR="00AD5BB5" w:rsidRDefault="00F87FF6">
      <w:pPr>
        <w:overflowPunct w:val="0"/>
        <w:autoSpaceDE w:val="0"/>
        <w:autoSpaceDN w:val="0"/>
        <w:adjustRightInd w:val="0"/>
        <w:snapToGrid w:val="0"/>
        <w:textAlignment w:val="bottom"/>
        <w:rPr>
          <w:rFonts w:ascii="Arial" w:eastAsia="黑体" w:hAnsi="Arial" w:cs="Arial"/>
          <w:b/>
          <w:snapToGrid w:val="0"/>
          <w:szCs w:val="21"/>
        </w:rPr>
      </w:pPr>
      <w:bookmarkStart w:id="142" w:name="afsaddin_WithXu_a54e250fd54c4d81af9139e5"/>
      <w:r>
        <w:rPr>
          <w:rFonts w:ascii="Arial" w:eastAsia="黑体" w:hAnsi="Arial" w:cs="Arial"/>
          <w:b/>
          <w:snapToGrid w:val="0"/>
          <w:szCs w:val="21"/>
        </w:rPr>
        <w:t>五、</w:t>
      </w:r>
      <w:r>
        <w:rPr>
          <w:rFonts w:ascii="Arial" w:eastAsia="黑体" w:hAnsi="Arial" w:cs="Arial"/>
          <w:b/>
          <w:snapToGrid w:val="0"/>
          <w:szCs w:val="21"/>
        </w:rPr>
        <w:tab/>
      </w:r>
      <w:r>
        <w:rPr>
          <w:rFonts w:ascii="Arial" w:eastAsia="黑体" w:hAnsi="Arial" w:cs="Arial"/>
          <w:b/>
          <w:snapToGrid w:val="0"/>
          <w:szCs w:val="21"/>
        </w:rPr>
        <w:t>合并财务报表主要项目注释（续）</w:t>
      </w:r>
      <w:bookmarkEnd w:id="142"/>
    </w:p>
    <w:p w:rsidR="00AD5BB5" w:rsidRDefault="00AD5BB5">
      <w:pPr>
        <w:overflowPunct w:val="0"/>
        <w:autoSpaceDE w:val="0"/>
        <w:autoSpaceDN w:val="0"/>
        <w:adjustRightInd w:val="0"/>
        <w:snapToGrid w:val="0"/>
        <w:textAlignment w:val="bottom"/>
        <w:rPr>
          <w:rFonts w:ascii="Arial" w:eastAsia="黑体" w:hAnsi="Arial" w:cs="Arial"/>
          <w:snapToGrid w:val="0"/>
          <w:szCs w:val="21"/>
        </w:rPr>
      </w:pPr>
    </w:p>
    <w:p w:rsidR="00AD5BB5" w:rsidRDefault="00F87FF6">
      <w:pPr>
        <w:pStyle w:val="af5"/>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143" w:name="afsaddin_Section_5deb58ff7b5f473eafa6275"/>
      <w:r>
        <w:rPr>
          <w:rFonts w:ascii="Arial" w:eastAsia="黑体" w:hAnsi="Arial" w:cs="Arial" w:hint="default"/>
          <w:bCs w:val="0"/>
          <w:snapToGrid w:val="0"/>
          <w:color w:val="auto"/>
          <w:sz w:val="21"/>
          <w:szCs w:val="21"/>
        </w:rPr>
        <w:t>14.</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无形资产</w:t>
      </w:r>
    </w:p>
    <w:bookmarkEnd w:id="143"/>
    <w:p w:rsidR="00AD5BB5" w:rsidRDefault="00AD5BB5">
      <w:pPr>
        <w:overflowPunct w:val="0"/>
        <w:autoSpaceDE w:val="0"/>
        <w:autoSpaceDN w:val="0"/>
        <w:adjustRightInd w:val="0"/>
        <w:snapToGrid w:val="0"/>
        <w:textAlignment w:val="bottom"/>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776bcb3d-9cd5-4de2-bb32-7fdf48cf9943"/>
        <w:tblDescription w:val="{&quot;UUID&quot;:&quot;afsaddin_tabledata_2_56437_776bcb3d-9cd5-4de2-bb32-7fdf48cf9943&quot;,&quot;TitleRowCount&quot;:3,&quot;SplitedTable&quot;:false,&quot;FirstTableId&quot;:&quot;776bcb3d-9cd5-4de2-bb32-7fdf48cf9943&quot;}"/>
      </w:tblPr>
      <w:tblGrid>
        <w:gridCol w:w="2617"/>
        <w:gridCol w:w="109"/>
        <w:gridCol w:w="1636"/>
        <w:gridCol w:w="109"/>
        <w:gridCol w:w="109"/>
        <w:gridCol w:w="1881"/>
        <w:gridCol w:w="109"/>
        <w:gridCol w:w="109"/>
        <w:gridCol w:w="1638"/>
        <w:gridCol w:w="109"/>
      </w:tblGrid>
      <w:tr w:rsidR="00AD5BB5">
        <w:tc>
          <w:tcPr>
            <w:tcW w:w="2617" w:type="dxa"/>
            <w:tcBorders>
              <w:top w:val="nil"/>
              <w:left w:val="nil"/>
              <w:bottom w:val="nil"/>
              <w:right w:val="nil"/>
            </w:tcBorders>
            <w:shd w:val="clear" w:color="auto" w:fill="auto"/>
            <w:vAlign w:val="bottom"/>
          </w:tcPr>
          <w:p w:rsidR="00AD5BB5" w:rsidRDefault="00AD5BB5">
            <w:pPr>
              <w:autoSpaceDE w:val="0"/>
              <w:autoSpaceDN w:val="0"/>
              <w:ind w:left="270" w:hangingChars="150" w:hanging="270"/>
              <w:jc w:val="center"/>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jc w:val="center"/>
              <w:rPr>
                <w:rFonts w:ascii="Arial" w:eastAsia="黑体" w:hAnsi="Arial" w:cs="Arial"/>
                <w:sz w:val="18"/>
                <w:szCs w:val="18"/>
              </w:rPr>
            </w:pPr>
          </w:p>
        </w:tc>
        <w:tc>
          <w:tcPr>
            <w:tcW w:w="5591" w:type="dxa"/>
            <w:gridSpan w:val="7"/>
            <w:tcBorders>
              <w:top w:val="nil"/>
              <w:left w:val="nil"/>
              <w:bottom w:val="single" w:sz="4" w:space="0" w:color="auto"/>
              <w:right w:val="nil"/>
            </w:tcBorders>
            <w:shd w:val="clear" w:color="auto" w:fill="auto"/>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 DOCPROPERTY </w:instrText>
            </w:r>
            <w:r>
              <w:rPr>
                <w:rFonts w:ascii="Arial" w:eastAsia="黑体" w:hAnsi="Arial" w:cs="Arial"/>
                <w:sz w:val="18"/>
                <w:szCs w:val="18"/>
              </w:rPr>
              <w:instrText>自定义</w:instrText>
            </w:r>
            <w:r>
              <w:rPr>
                <w:rFonts w:ascii="Arial" w:eastAsia="黑体" w:hAnsi="Arial" w:cs="Arial"/>
                <w:sz w:val="18"/>
                <w:szCs w:val="18"/>
              </w:rPr>
              <w:instrText xml:space="preserve">1 </w:instrText>
            </w:r>
            <w:r>
              <w:rPr>
                <w:rFonts w:ascii="Arial" w:eastAsia="黑体" w:hAnsi="Arial" w:cs="Arial"/>
                <w:sz w:val="18"/>
                <w:szCs w:val="18"/>
              </w:rPr>
              <w:fldChar w:fldCharType="separate"/>
            </w:r>
            <w:r>
              <w:rPr>
                <w:rFonts w:ascii="Arial" w:eastAsia="黑体" w:hAnsi="Arial" w:cs="Arial"/>
                <w:sz w:val="18"/>
                <w:szCs w:val="18"/>
              </w:rPr>
              <w:t>2023</w:t>
            </w:r>
            <w:r>
              <w:rPr>
                <w:rFonts w:ascii="Arial" w:eastAsia="黑体" w:hAnsi="Arial" w:cs="Arial"/>
                <w:sz w:val="18"/>
                <w:szCs w:val="18"/>
              </w:rPr>
              <w:t>年</w:t>
            </w:r>
            <w:r>
              <w:rPr>
                <w:rFonts w:ascii="Arial" w:eastAsia="黑体" w:hAnsi="Arial" w:cs="Arial"/>
                <w:sz w:val="18"/>
                <w:szCs w:val="18"/>
              </w:rPr>
              <w:t>1-6</w:t>
            </w:r>
            <w:r>
              <w:rPr>
                <w:rFonts w:ascii="Arial" w:eastAsia="黑体" w:hAnsi="Arial" w:cs="Arial"/>
                <w:sz w:val="18"/>
                <w:szCs w:val="18"/>
              </w:rPr>
              <w:t>月</w:t>
            </w:r>
            <w:r>
              <w:rPr>
                <w:rFonts w:ascii="Arial" w:eastAsia="黑体" w:hAnsi="Arial" w:cs="Arial"/>
                <w:sz w:val="18"/>
                <w:szCs w:val="18"/>
              </w:rPr>
              <w:fldChar w:fldCharType="end"/>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shd w:val="clear" w:color="auto" w:fill="auto"/>
            <w:vAlign w:val="bottom"/>
          </w:tcPr>
          <w:p w:rsidR="00AD5BB5" w:rsidRDefault="00AD5BB5">
            <w:pPr>
              <w:autoSpaceDE w:val="0"/>
              <w:autoSpaceDN w:val="0"/>
              <w:ind w:left="270" w:hangingChars="150" w:hanging="270"/>
              <w:jc w:val="center"/>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jc w:val="center"/>
              <w:rPr>
                <w:rFonts w:ascii="Arial" w:eastAsia="黑体" w:hAnsi="Arial" w:cs="Arial"/>
                <w:sz w:val="18"/>
                <w:szCs w:val="18"/>
              </w:rPr>
            </w:pPr>
          </w:p>
        </w:tc>
        <w:tc>
          <w:tcPr>
            <w:tcW w:w="1636" w:type="dxa"/>
            <w:tcBorders>
              <w:top w:val="single" w:sz="4" w:space="0" w:color="auto"/>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土地使用权</w:t>
            </w:r>
          </w:p>
        </w:tc>
        <w:tc>
          <w:tcPr>
            <w:tcW w:w="109" w:type="dxa"/>
            <w:tcBorders>
              <w:top w:val="single" w:sz="4" w:space="0" w:color="auto"/>
              <w:left w:val="nil"/>
              <w:bottom w:val="nil"/>
              <w:right w:val="nil"/>
            </w:tcBorders>
            <w:shd w:val="clear" w:color="auto" w:fill="auto"/>
            <w:vAlign w:val="bottom"/>
          </w:tcPr>
          <w:p w:rsidR="00AD5BB5" w:rsidRDefault="00AD5BB5">
            <w:pPr>
              <w:autoSpaceDE w:val="0"/>
              <w:autoSpaceDN w:val="0"/>
              <w:jc w:val="center"/>
              <w:rPr>
                <w:rFonts w:ascii="Arial" w:eastAsia="黑体" w:hAnsi="Arial" w:cs="Arial"/>
                <w:sz w:val="18"/>
                <w:szCs w:val="18"/>
              </w:rPr>
            </w:pPr>
          </w:p>
        </w:tc>
        <w:tc>
          <w:tcPr>
            <w:tcW w:w="109" w:type="dxa"/>
            <w:tcBorders>
              <w:top w:val="single" w:sz="4" w:space="0" w:color="auto"/>
              <w:left w:val="nil"/>
              <w:bottom w:val="nil"/>
              <w:right w:val="nil"/>
            </w:tcBorders>
            <w:shd w:val="clear" w:color="auto" w:fill="auto"/>
            <w:vAlign w:val="bottom"/>
          </w:tcPr>
          <w:p w:rsidR="00AD5BB5" w:rsidRDefault="00AD5BB5">
            <w:pPr>
              <w:autoSpaceDE w:val="0"/>
              <w:autoSpaceDN w:val="0"/>
              <w:jc w:val="center"/>
              <w:rPr>
                <w:rFonts w:ascii="Arial" w:eastAsia="黑体" w:hAnsi="Arial" w:cs="Arial"/>
                <w:sz w:val="18"/>
                <w:szCs w:val="18"/>
              </w:rPr>
            </w:pPr>
          </w:p>
        </w:tc>
        <w:tc>
          <w:tcPr>
            <w:tcW w:w="1881" w:type="dxa"/>
            <w:tcBorders>
              <w:top w:val="single" w:sz="4" w:space="0" w:color="auto"/>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计算机软件及其他</w:t>
            </w:r>
          </w:p>
        </w:tc>
        <w:tc>
          <w:tcPr>
            <w:tcW w:w="109" w:type="dxa"/>
            <w:tcBorders>
              <w:top w:val="single" w:sz="4" w:space="0" w:color="auto"/>
              <w:left w:val="nil"/>
              <w:bottom w:val="nil"/>
              <w:right w:val="nil"/>
            </w:tcBorders>
            <w:shd w:val="clear" w:color="auto" w:fill="auto"/>
            <w:vAlign w:val="bottom"/>
          </w:tcPr>
          <w:p w:rsidR="00AD5BB5" w:rsidRDefault="00AD5BB5">
            <w:pPr>
              <w:autoSpaceDE w:val="0"/>
              <w:autoSpaceDN w:val="0"/>
              <w:jc w:val="center"/>
              <w:rPr>
                <w:rFonts w:ascii="Arial" w:eastAsia="黑体" w:hAnsi="Arial" w:cs="Arial"/>
                <w:sz w:val="18"/>
                <w:szCs w:val="18"/>
              </w:rPr>
            </w:pPr>
          </w:p>
        </w:tc>
        <w:tc>
          <w:tcPr>
            <w:tcW w:w="109" w:type="dxa"/>
            <w:tcBorders>
              <w:top w:val="single" w:sz="4" w:space="0" w:color="auto"/>
              <w:left w:val="nil"/>
              <w:bottom w:val="nil"/>
              <w:right w:val="nil"/>
            </w:tcBorders>
            <w:shd w:val="clear" w:color="auto" w:fill="auto"/>
            <w:vAlign w:val="bottom"/>
          </w:tcPr>
          <w:p w:rsidR="00AD5BB5" w:rsidRDefault="00AD5BB5">
            <w:pPr>
              <w:autoSpaceDE w:val="0"/>
              <w:autoSpaceDN w:val="0"/>
              <w:jc w:val="center"/>
              <w:rPr>
                <w:rFonts w:ascii="Arial" w:eastAsia="黑体" w:hAnsi="Arial" w:cs="Arial"/>
                <w:sz w:val="18"/>
                <w:szCs w:val="18"/>
              </w:rPr>
            </w:pPr>
          </w:p>
        </w:tc>
        <w:tc>
          <w:tcPr>
            <w:tcW w:w="1638" w:type="dxa"/>
            <w:tcBorders>
              <w:top w:val="single" w:sz="4" w:space="0" w:color="auto"/>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合计</w:t>
            </w:r>
          </w:p>
        </w:tc>
        <w:tc>
          <w:tcPr>
            <w:tcW w:w="109" w:type="dxa"/>
            <w:tcBorders>
              <w:top w:val="nil"/>
              <w:left w:val="nil"/>
              <w:bottom w:val="nil"/>
              <w:right w:val="nil"/>
            </w:tcBorders>
            <w:shd w:val="clear" w:color="auto" w:fill="auto"/>
            <w:vAlign w:val="bottom"/>
          </w:tcPr>
          <w:p w:rsidR="00AD5BB5" w:rsidRDefault="00AD5BB5">
            <w:pPr>
              <w:autoSpaceDE w:val="0"/>
              <w:autoSpaceDN w:val="0"/>
              <w:jc w:val="center"/>
              <w:rPr>
                <w:rFonts w:ascii="Arial" w:eastAsia="黑体" w:hAnsi="Arial" w:cs="Arial"/>
                <w:sz w:val="18"/>
                <w:szCs w:val="18"/>
              </w:rPr>
            </w:pPr>
          </w:p>
        </w:tc>
      </w:tr>
      <w:tr w:rsidR="00AD5BB5">
        <w:tc>
          <w:tcPr>
            <w:tcW w:w="2617" w:type="dxa"/>
            <w:tcBorders>
              <w:top w:val="nil"/>
              <w:left w:val="nil"/>
              <w:bottom w:val="nil"/>
              <w:right w:val="nil"/>
            </w:tcBorders>
            <w:shd w:val="clear" w:color="auto" w:fill="auto"/>
            <w:vAlign w:val="bottom"/>
          </w:tcPr>
          <w:p w:rsidR="00AD5BB5" w:rsidRDefault="00AD5BB5">
            <w:pPr>
              <w:autoSpaceDE w:val="0"/>
              <w:autoSpaceDN w:val="0"/>
              <w:ind w:left="270" w:hangingChars="150" w:hanging="27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6"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88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8"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shd w:val="clear" w:color="auto" w:fill="auto"/>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原值：</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6"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88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8"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shd w:val="clear" w:color="auto" w:fill="auto"/>
            <w:vAlign w:val="bottom"/>
          </w:tcPr>
          <w:p w:rsidR="00AD5BB5" w:rsidRDefault="00F87FF6">
            <w:pPr>
              <w:autoSpaceDE w:val="0"/>
              <w:autoSpaceDN w:val="0"/>
              <w:ind w:leftChars="59" w:left="304" w:hangingChars="100" w:hanging="180"/>
              <w:rPr>
                <w:rFonts w:ascii="Arial" w:eastAsia="黑体" w:hAnsi="Arial" w:cs="Arial"/>
                <w:sz w:val="18"/>
                <w:szCs w:val="18"/>
              </w:rPr>
            </w:pPr>
            <w:r>
              <w:rPr>
                <w:rFonts w:ascii="Arial" w:eastAsia="黑体" w:hAnsi="Arial" w:cs="Arial"/>
                <w:sz w:val="18"/>
                <w:szCs w:val="18"/>
              </w:rPr>
              <w:t>期初余额</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6"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405,634,702.50</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88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313,914,214.10</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8"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719,548,916.60</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shd w:val="clear" w:color="auto" w:fill="auto"/>
            <w:vAlign w:val="bottom"/>
          </w:tcPr>
          <w:p w:rsidR="00AD5BB5" w:rsidRDefault="00F87FF6">
            <w:pPr>
              <w:autoSpaceDE w:val="0"/>
              <w:autoSpaceDN w:val="0"/>
              <w:ind w:leftChars="59" w:left="304" w:hangingChars="100" w:hanging="180"/>
              <w:rPr>
                <w:rFonts w:ascii="Arial" w:eastAsia="黑体" w:hAnsi="Arial" w:cs="Arial"/>
                <w:sz w:val="18"/>
                <w:szCs w:val="18"/>
              </w:rPr>
            </w:pPr>
            <w:r>
              <w:rPr>
                <w:rFonts w:ascii="Arial" w:eastAsia="黑体" w:hAnsi="Arial" w:cs="Arial"/>
                <w:sz w:val="18"/>
                <w:szCs w:val="18"/>
              </w:rPr>
              <w:t>本期购置</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6" w:type="dxa"/>
            <w:tcBorders>
              <w:top w:val="nil"/>
              <w:left w:val="nil"/>
              <w:bottom w:val="single" w:sz="2"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881" w:type="dxa"/>
            <w:tcBorders>
              <w:top w:val="nil"/>
              <w:left w:val="nil"/>
              <w:bottom w:val="single" w:sz="2"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40,583,317.15</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8" w:type="dxa"/>
            <w:tcBorders>
              <w:top w:val="nil"/>
              <w:left w:val="nil"/>
              <w:bottom w:val="single" w:sz="2"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40,583,317.15</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shd w:val="clear" w:color="auto" w:fill="auto"/>
            <w:vAlign w:val="bottom"/>
          </w:tcPr>
          <w:p w:rsidR="00AD5BB5" w:rsidRDefault="00AD5BB5">
            <w:pPr>
              <w:autoSpaceDE w:val="0"/>
              <w:autoSpaceDN w:val="0"/>
              <w:ind w:leftChars="59" w:left="394" w:hangingChars="150" w:hanging="27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6"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881"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8"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shd w:val="clear" w:color="auto" w:fill="auto"/>
            <w:vAlign w:val="bottom"/>
          </w:tcPr>
          <w:p w:rsidR="00AD5BB5" w:rsidRDefault="00F87FF6">
            <w:pPr>
              <w:autoSpaceDE w:val="0"/>
              <w:autoSpaceDN w:val="0"/>
              <w:ind w:leftChars="59" w:left="304" w:hangingChars="100" w:hanging="180"/>
              <w:rPr>
                <w:rFonts w:ascii="Arial" w:eastAsia="黑体" w:hAnsi="Arial" w:cs="Arial"/>
                <w:sz w:val="18"/>
                <w:szCs w:val="18"/>
              </w:rPr>
            </w:pPr>
            <w:r>
              <w:rPr>
                <w:rFonts w:ascii="Arial" w:eastAsia="黑体" w:hAnsi="Arial" w:cs="Arial"/>
                <w:sz w:val="18"/>
                <w:szCs w:val="18"/>
              </w:rPr>
              <w:t>期末余额</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6"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405,634,702.50</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881"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354,497,531.25</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8"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760,132,233.75</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shd w:val="clear" w:color="auto" w:fill="auto"/>
            <w:vAlign w:val="bottom"/>
          </w:tcPr>
          <w:p w:rsidR="00AD5BB5" w:rsidRDefault="00AD5BB5">
            <w:pPr>
              <w:autoSpaceDE w:val="0"/>
              <w:autoSpaceDN w:val="0"/>
              <w:ind w:left="270" w:hangingChars="150" w:hanging="27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6"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881"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8"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shd w:val="clear" w:color="auto" w:fill="auto"/>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累计摊销：</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6"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88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8"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shd w:val="clear" w:color="auto" w:fill="auto"/>
            <w:vAlign w:val="bottom"/>
          </w:tcPr>
          <w:p w:rsidR="00AD5BB5" w:rsidRDefault="00F87FF6">
            <w:pPr>
              <w:autoSpaceDE w:val="0"/>
              <w:autoSpaceDN w:val="0"/>
              <w:ind w:leftChars="59" w:left="304" w:hangingChars="100" w:hanging="180"/>
              <w:rPr>
                <w:rFonts w:ascii="Arial" w:eastAsia="黑体" w:hAnsi="Arial" w:cs="Arial"/>
                <w:sz w:val="18"/>
                <w:szCs w:val="18"/>
              </w:rPr>
            </w:pPr>
            <w:r>
              <w:rPr>
                <w:rFonts w:ascii="Arial" w:eastAsia="黑体" w:hAnsi="Arial" w:cs="Arial"/>
                <w:sz w:val="18"/>
                <w:szCs w:val="18"/>
              </w:rPr>
              <w:t>期初余额</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6"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37,393,707.97</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88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220,039,257.68</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8"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257,432,965.65</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shd w:val="clear" w:color="auto" w:fill="auto"/>
            <w:vAlign w:val="bottom"/>
          </w:tcPr>
          <w:p w:rsidR="00AD5BB5" w:rsidRDefault="00F87FF6">
            <w:pPr>
              <w:autoSpaceDE w:val="0"/>
              <w:autoSpaceDN w:val="0"/>
              <w:ind w:leftChars="59" w:left="304" w:hangingChars="100" w:hanging="180"/>
              <w:rPr>
                <w:rFonts w:ascii="Arial" w:eastAsia="黑体" w:hAnsi="Arial" w:cs="Arial"/>
                <w:sz w:val="18"/>
                <w:szCs w:val="18"/>
              </w:rPr>
            </w:pPr>
            <w:r>
              <w:rPr>
                <w:rFonts w:ascii="Arial" w:eastAsia="黑体" w:hAnsi="Arial" w:cs="Arial"/>
                <w:sz w:val="18"/>
                <w:szCs w:val="18"/>
              </w:rPr>
              <w:t>本期计提</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6" w:type="dxa"/>
            <w:tcBorders>
              <w:top w:val="nil"/>
              <w:left w:val="nil"/>
              <w:bottom w:val="single" w:sz="2"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5,180,870.37</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881" w:type="dxa"/>
            <w:tcBorders>
              <w:top w:val="nil"/>
              <w:left w:val="nil"/>
              <w:bottom w:val="single" w:sz="2"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18,180,708.95</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8" w:type="dxa"/>
            <w:tcBorders>
              <w:top w:val="nil"/>
              <w:left w:val="nil"/>
              <w:bottom w:val="single" w:sz="2"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23,361,579.32</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shd w:val="clear" w:color="auto" w:fill="auto"/>
            <w:vAlign w:val="bottom"/>
          </w:tcPr>
          <w:p w:rsidR="00AD5BB5" w:rsidRDefault="00AD5BB5">
            <w:pPr>
              <w:autoSpaceDE w:val="0"/>
              <w:autoSpaceDN w:val="0"/>
              <w:ind w:leftChars="59" w:left="394" w:hangingChars="150" w:hanging="27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6"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881"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8"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shd w:val="clear" w:color="auto" w:fill="auto"/>
            <w:vAlign w:val="bottom"/>
          </w:tcPr>
          <w:p w:rsidR="00AD5BB5" w:rsidRDefault="00F87FF6">
            <w:pPr>
              <w:autoSpaceDE w:val="0"/>
              <w:autoSpaceDN w:val="0"/>
              <w:ind w:leftChars="59" w:left="304" w:hangingChars="100" w:hanging="180"/>
              <w:rPr>
                <w:rFonts w:ascii="Arial" w:eastAsia="黑体" w:hAnsi="Arial" w:cs="Arial"/>
                <w:sz w:val="18"/>
                <w:szCs w:val="18"/>
              </w:rPr>
            </w:pPr>
            <w:r>
              <w:rPr>
                <w:rFonts w:ascii="Arial" w:eastAsia="黑体" w:hAnsi="Arial" w:cs="Arial"/>
                <w:sz w:val="18"/>
                <w:szCs w:val="18"/>
              </w:rPr>
              <w:t>期末余额</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6"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42,574,578.34</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881"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238,219,966.63</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8"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280,794,544.97</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shd w:val="clear" w:color="auto" w:fill="auto"/>
            <w:vAlign w:val="bottom"/>
          </w:tcPr>
          <w:p w:rsidR="00AD5BB5" w:rsidRDefault="00AD5BB5">
            <w:pPr>
              <w:autoSpaceDE w:val="0"/>
              <w:autoSpaceDN w:val="0"/>
              <w:ind w:left="270" w:hangingChars="150" w:hanging="27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6"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881"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8"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shd w:val="clear" w:color="auto" w:fill="auto"/>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净值：</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6"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88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8"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shd w:val="clear" w:color="auto" w:fill="auto"/>
            <w:vAlign w:val="bottom"/>
          </w:tcPr>
          <w:p w:rsidR="00AD5BB5" w:rsidRDefault="00F87FF6">
            <w:pPr>
              <w:autoSpaceDE w:val="0"/>
              <w:autoSpaceDN w:val="0"/>
              <w:ind w:leftChars="59" w:left="304" w:hangingChars="100" w:hanging="180"/>
              <w:rPr>
                <w:rFonts w:ascii="Arial" w:eastAsia="黑体" w:hAnsi="Arial" w:cs="Arial"/>
                <w:sz w:val="18"/>
                <w:szCs w:val="18"/>
              </w:rPr>
            </w:pPr>
            <w:r>
              <w:rPr>
                <w:rFonts w:ascii="Arial" w:eastAsia="黑体" w:hAnsi="Arial" w:cs="Arial"/>
                <w:sz w:val="18"/>
                <w:szCs w:val="18"/>
              </w:rPr>
              <w:t>期末余额</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6" w:type="dxa"/>
            <w:tcBorders>
              <w:top w:val="nil"/>
              <w:left w:val="nil"/>
              <w:bottom w:val="doub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363,060,124.16</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881" w:type="dxa"/>
            <w:tcBorders>
              <w:top w:val="nil"/>
              <w:left w:val="nil"/>
              <w:bottom w:val="doub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116,277,564.62</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8" w:type="dxa"/>
            <w:tcBorders>
              <w:top w:val="nil"/>
              <w:left w:val="nil"/>
              <w:bottom w:val="doub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479,337,688.78</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shd w:val="clear" w:color="auto" w:fill="auto"/>
            <w:vAlign w:val="bottom"/>
          </w:tcPr>
          <w:p w:rsidR="00AD5BB5" w:rsidRDefault="00AD5BB5">
            <w:pPr>
              <w:autoSpaceDE w:val="0"/>
              <w:autoSpaceDN w:val="0"/>
              <w:ind w:leftChars="59" w:left="394" w:hangingChars="150" w:hanging="27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6" w:type="dxa"/>
            <w:tcBorders>
              <w:top w:val="doub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881" w:type="dxa"/>
            <w:tcBorders>
              <w:top w:val="doub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8" w:type="dxa"/>
            <w:tcBorders>
              <w:top w:val="doub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shd w:val="clear" w:color="auto" w:fill="auto"/>
            <w:vAlign w:val="bottom"/>
          </w:tcPr>
          <w:p w:rsidR="00AD5BB5" w:rsidRDefault="00F87FF6">
            <w:pPr>
              <w:autoSpaceDE w:val="0"/>
              <w:autoSpaceDN w:val="0"/>
              <w:ind w:leftChars="59" w:left="304" w:hangingChars="100" w:hanging="180"/>
              <w:rPr>
                <w:rFonts w:ascii="Arial" w:eastAsia="黑体" w:hAnsi="Arial" w:cs="Arial"/>
                <w:sz w:val="18"/>
                <w:szCs w:val="18"/>
              </w:rPr>
            </w:pPr>
            <w:r>
              <w:rPr>
                <w:rFonts w:ascii="Arial" w:eastAsia="黑体" w:hAnsi="Arial" w:cs="Arial"/>
                <w:sz w:val="18"/>
                <w:szCs w:val="18"/>
              </w:rPr>
              <w:t>期初余额</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6" w:type="dxa"/>
            <w:tcBorders>
              <w:top w:val="nil"/>
              <w:left w:val="nil"/>
              <w:bottom w:val="doub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368,240,994.53</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881" w:type="dxa"/>
            <w:tcBorders>
              <w:top w:val="nil"/>
              <w:left w:val="nil"/>
              <w:bottom w:val="doub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93,874,956.42</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8" w:type="dxa"/>
            <w:tcBorders>
              <w:top w:val="nil"/>
              <w:left w:val="nil"/>
              <w:bottom w:val="doub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462,115,950.95</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bl>
    <w:p w:rsidR="00AD5BB5" w:rsidRDefault="00AD5BB5">
      <w:pPr>
        <w:overflowPunct w:val="0"/>
        <w:autoSpaceDE w:val="0"/>
        <w:autoSpaceDN w:val="0"/>
        <w:adjustRightInd w:val="0"/>
        <w:snapToGrid w:val="0"/>
        <w:ind w:left="720" w:hanging="720"/>
        <w:textAlignment w:val="bottom"/>
        <w:rPr>
          <w:rFonts w:ascii="Arial" w:eastAsia="黑体" w:hAnsi="Arial" w:cs="Arial"/>
          <w:b/>
          <w:bCs/>
          <w:snapToGrid w:val="0"/>
          <w:szCs w:val="18"/>
        </w:rPr>
      </w:pPr>
    </w:p>
    <w:tbl>
      <w:tblPr>
        <w:tblW w:w="0" w:type="auto"/>
        <w:tblLayout w:type="fixed"/>
        <w:tblCellMar>
          <w:left w:w="0" w:type="dxa"/>
          <w:right w:w="0" w:type="dxa"/>
        </w:tblCellMar>
        <w:tblLook w:val="04A0" w:firstRow="1" w:lastRow="0" w:firstColumn="1" w:lastColumn="0" w:noHBand="0" w:noVBand="1"/>
        <w:tblCaption w:val="6b501ef7-d421-46c4-a7dd-d2ad37b37116"/>
        <w:tblDescription w:val="{&quot;UUID&quot;:&quot;afsaddin_tabledata_2_56437_6b501ef7-d421-46c4-a7dd-d2ad37b37116&quot;,&quot;TitleRowCount&quot;:3,&quot;SplitedTable&quot;:false,&quot;FirstTableId&quot;:&quot;6b501ef7-d421-46c4-a7dd-d2ad37b37116&quot;}"/>
      </w:tblPr>
      <w:tblGrid>
        <w:gridCol w:w="2617"/>
        <w:gridCol w:w="109"/>
        <w:gridCol w:w="1636"/>
        <w:gridCol w:w="109"/>
        <w:gridCol w:w="109"/>
        <w:gridCol w:w="1881"/>
        <w:gridCol w:w="109"/>
        <w:gridCol w:w="109"/>
        <w:gridCol w:w="1638"/>
        <w:gridCol w:w="109"/>
      </w:tblGrid>
      <w:tr w:rsidR="00AD5BB5">
        <w:tc>
          <w:tcPr>
            <w:tcW w:w="2617" w:type="dxa"/>
            <w:tcBorders>
              <w:top w:val="nil"/>
              <w:left w:val="nil"/>
              <w:bottom w:val="nil"/>
              <w:right w:val="nil"/>
            </w:tcBorders>
            <w:vAlign w:val="bottom"/>
          </w:tcPr>
          <w:p w:rsidR="00AD5BB5" w:rsidRDefault="00AD5BB5">
            <w:pPr>
              <w:autoSpaceDE w:val="0"/>
              <w:autoSpaceDN w:val="0"/>
              <w:ind w:left="270" w:hangingChars="150" w:hanging="270"/>
              <w:jc w:val="center"/>
              <w:rPr>
                <w:rFonts w:ascii="Arial" w:eastAsia="黑体" w:hAnsi="Arial" w:cs="Arial"/>
                <w:sz w:val="18"/>
                <w:szCs w:val="18"/>
              </w:rPr>
            </w:pPr>
            <w:bookmarkStart w:id="144" w:name="afsaddin_WithXu_7f424c5941184c8ca26aebd6"/>
            <w:bookmarkStart w:id="145" w:name="afsaddin_WithXu_049fa195a7a342f08c72503c"/>
            <w:bookmarkEnd w:id="144"/>
            <w:bookmarkEnd w:id="145"/>
          </w:p>
        </w:tc>
        <w:tc>
          <w:tcPr>
            <w:tcW w:w="109"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5591" w:type="dxa"/>
            <w:gridSpan w:val="7"/>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 DOCPROPERTY </w:instrText>
            </w:r>
            <w:r>
              <w:rPr>
                <w:rFonts w:ascii="Arial" w:eastAsia="黑体" w:hAnsi="Arial" w:cs="Arial"/>
                <w:sz w:val="18"/>
                <w:szCs w:val="18"/>
              </w:rPr>
              <w:instrText>自定义</w:instrText>
            </w:r>
            <w:r>
              <w:rPr>
                <w:rFonts w:ascii="Arial" w:eastAsia="黑体" w:hAnsi="Arial" w:cs="Arial"/>
                <w:sz w:val="18"/>
                <w:szCs w:val="18"/>
              </w:rPr>
              <w:instrText xml:space="preserve">3 </w:instrText>
            </w:r>
            <w:r>
              <w:rPr>
                <w:rFonts w:ascii="Arial" w:eastAsia="黑体" w:hAnsi="Arial" w:cs="Arial"/>
                <w:sz w:val="18"/>
                <w:szCs w:val="18"/>
              </w:rPr>
              <w:fldChar w:fldCharType="separate"/>
            </w:r>
            <w:r>
              <w:rPr>
                <w:rFonts w:ascii="Arial" w:eastAsia="黑体" w:hAnsi="Arial" w:cs="Arial"/>
                <w:sz w:val="18"/>
                <w:szCs w:val="18"/>
              </w:rPr>
              <w:t>2022</w:t>
            </w:r>
            <w:r>
              <w:rPr>
                <w:rFonts w:ascii="Arial" w:eastAsia="黑体" w:hAnsi="Arial" w:cs="Arial"/>
                <w:sz w:val="18"/>
                <w:szCs w:val="18"/>
              </w:rPr>
              <w:t>年度</w:t>
            </w:r>
            <w:r>
              <w:rPr>
                <w:rFonts w:ascii="Arial" w:eastAsia="黑体" w:hAnsi="Arial" w:cs="Arial"/>
                <w:sz w:val="18"/>
                <w:szCs w:val="18"/>
              </w:rPr>
              <w:fldChar w:fldCharType="end"/>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vAlign w:val="bottom"/>
          </w:tcPr>
          <w:p w:rsidR="00AD5BB5" w:rsidRDefault="00AD5BB5">
            <w:pPr>
              <w:autoSpaceDE w:val="0"/>
              <w:autoSpaceDN w:val="0"/>
              <w:ind w:left="270" w:hangingChars="150" w:hanging="270"/>
              <w:jc w:val="center"/>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636"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土地使用权</w:t>
            </w:r>
          </w:p>
        </w:tc>
        <w:tc>
          <w:tcPr>
            <w:tcW w:w="109"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09"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881"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计算机软件及其他</w:t>
            </w:r>
          </w:p>
        </w:tc>
        <w:tc>
          <w:tcPr>
            <w:tcW w:w="109"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09"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638"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合计</w:t>
            </w:r>
          </w:p>
        </w:tc>
        <w:tc>
          <w:tcPr>
            <w:tcW w:w="109"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r>
      <w:tr w:rsidR="00AD5BB5">
        <w:tc>
          <w:tcPr>
            <w:tcW w:w="2617"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原值：</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vAlign w:val="bottom"/>
          </w:tcPr>
          <w:p w:rsidR="00AD5BB5" w:rsidRDefault="00F87FF6">
            <w:pPr>
              <w:autoSpaceDE w:val="0"/>
              <w:autoSpaceDN w:val="0"/>
              <w:ind w:leftChars="59" w:left="304" w:hangingChars="100" w:hanging="180"/>
              <w:rPr>
                <w:rFonts w:ascii="Arial" w:eastAsia="黑体" w:hAnsi="Arial" w:cs="Arial"/>
                <w:sz w:val="18"/>
                <w:szCs w:val="18"/>
              </w:rPr>
            </w:pPr>
            <w:r>
              <w:rPr>
                <w:rFonts w:ascii="Arial" w:eastAsia="黑体" w:hAnsi="Arial" w:cs="Arial"/>
                <w:sz w:val="18"/>
                <w:szCs w:val="18"/>
              </w:rPr>
              <w:t>年初余额</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472,617,419.01</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266,686,399.60</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739,303,818.61</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vAlign w:val="bottom"/>
          </w:tcPr>
          <w:p w:rsidR="00AD5BB5" w:rsidRDefault="00F87FF6">
            <w:pPr>
              <w:autoSpaceDE w:val="0"/>
              <w:autoSpaceDN w:val="0"/>
              <w:ind w:leftChars="59" w:left="304" w:hangingChars="100" w:hanging="180"/>
              <w:rPr>
                <w:rFonts w:ascii="Arial" w:eastAsia="黑体" w:hAnsi="Arial" w:cs="Arial"/>
                <w:sz w:val="18"/>
                <w:szCs w:val="18"/>
              </w:rPr>
            </w:pPr>
            <w:r>
              <w:rPr>
                <w:rFonts w:ascii="Arial" w:eastAsia="黑体" w:hAnsi="Arial" w:cs="Arial"/>
                <w:sz w:val="18"/>
                <w:szCs w:val="18"/>
              </w:rPr>
              <w:t>本年购置</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6" w:type="dxa"/>
            <w:tcBorders>
              <w:top w:val="nil"/>
              <w:left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10,680,483.49</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1" w:type="dxa"/>
            <w:tcBorders>
              <w:top w:val="nil"/>
              <w:left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47,244,314.50</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8" w:type="dxa"/>
            <w:tcBorders>
              <w:top w:val="nil"/>
              <w:left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57,924,797.99</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vAlign w:val="bottom"/>
          </w:tcPr>
          <w:p w:rsidR="00AD5BB5" w:rsidRDefault="00F87FF6">
            <w:pPr>
              <w:autoSpaceDE w:val="0"/>
              <w:autoSpaceDN w:val="0"/>
              <w:ind w:leftChars="59" w:left="304" w:hangingChars="100" w:hanging="180"/>
              <w:rPr>
                <w:rFonts w:ascii="Arial" w:eastAsia="黑体" w:hAnsi="Arial" w:cs="Arial"/>
                <w:sz w:val="18"/>
                <w:szCs w:val="18"/>
              </w:rPr>
            </w:pPr>
            <w:r>
              <w:rPr>
                <w:rFonts w:ascii="Arial" w:eastAsia="黑体" w:hAnsi="Arial" w:cs="Arial"/>
                <w:sz w:val="18"/>
                <w:szCs w:val="18"/>
              </w:rPr>
              <w:t>处置或报废</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(77,663,200.00</w:t>
            </w:r>
          </w:p>
        </w:tc>
        <w:tc>
          <w:tcPr>
            <w:tcW w:w="109"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1"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(16,500.00</w:t>
            </w:r>
          </w:p>
        </w:tc>
        <w:tc>
          <w:tcPr>
            <w:tcW w:w="109"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(77,679,700.00</w:t>
            </w:r>
          </w:p>
        </w:tc>
        <w:tc>
          <w:tcPr>
            <w:tcW w:w="109"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w:t>
            </w:r>
          </w:p>
        </w:tc>
      </w:tr>
      <w:tr w:rsidR="00AD5BB5">
        <w:tc>
          <w:tcPr>
            <w:tcW w:w="2617" w:type="dxa"/>
            <w:tcBorders>
              <w:top w:val="nil"/>
              <w:left w:val="nil"/>
              <w:bottom w:val="nil"/>
              <w:right w:val="nil"/>
            </w:tcBorders>
            <w:vAlign w:val="bottom"/>
          </w:tcPr>
          <w:p w:rsidR="00AD5BB5" w:rsidRDefault="00AD5BB5">
            <w:pPr>
              <w:autoSpaceDE w:val="0"/>
              <w:autoSpaceDN w:val="0"/>
              <w:ind w:leftChars="59" w:left="394" w:hangingChars="150" w:hanging="27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6" w:type="dxa"/>
            <w:tcBorders>
              <w:top w:val="single" w:sz="4" w:space="0" w:color="auto"/>
              <w:left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1" w:type="dxa"/>
            <w:tcBorders>
              <w:top w:val="single" w:sz="4" w:space="0" w:color="auto"/>
              <w:left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8" w:type="dxa"/>
            <w:tcBorders>
              <w:top w:val="single" w:sz="4" w:space="0" w:color="auto"/>
              <w:left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vAlign w:val="bottom"/>
          </w:tcPr>
          <w:p w:rsidR="00AD5BB5" w:rsidRDefault="00F87FF6">
            <w:pPr>
              <w:autoSpaceDE w:val="0"/>
              <w:autoSpaceDN w:val="0"/>
              <w:ind w:firstLineChars="78" w:firstLine="140"/>
              <w:rPr>
                <w:rFonts w:ascii="Arial" w:eastAsia="黑体" w:hAnsi="Arial" w:cs="Arial"/>
                <w:sz w:val="18"/>
                <w:szCs w:val="18"/>
              </w:rPr>
            </w:pPr>
            <w:r>
              <w:rPr>
                <w:rFonts w:ascii="Arial" w:eastAsia="黑体" w:hAnsi="Arial" w:cs="Arial"/>
                <w:sz w:val="18"/>
                <w:szCs w:val="18"/>
              </w:rPr>
              <w:t>年末余额</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405,634,702.50</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1"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313,914,214.10</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719,548,916.60</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累计摊销：</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vAlign w:val="bottom"/>
          </w:tcPr>
          <w:p w:rsidR="00AD5BB5" w:rsidRDefault="00F87FF6">
            <w:pPr>
              <w:autoSpaceDE w:val="0"/>
              <w:autoSpaceDN w:val="0"/>
              <w:ind w:leftChars="59" w:left="304" w:hangingChars="100" w:hanging="180"/>
              <w:rPr>
                <w:rFonts w:ascii="Arial" w:eastAsia="黑体" w:hAnsi="Arial" w:cs="Arial"/>
                <w:sz w:val="18"/>
                <w:szCs w:val="18"/>
              </w:rPr>
            </w:pPr>
            <w:r>
              <w:rPr>
                <w:rFonts w:ascii="Arial" w:eastAsia="黑体" w:hAnsi="Arial" w:cs="Arial"/>
                <w:sz w:val="18"/>
                <w:szCs w:val="18"/>
              </w:rPr>
              <w:t>年初余额</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36,196,444.21</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187,833,868.61</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224,030,312.82</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vAlign w:val="bottom"/>
          </w:tcPr>
          <w:p w:rsidR="00AD5BB5" w:rsidRDefault="00F87FF6">
            <w:pPr>
              <w:autoSpaceDE w:val="0"/>
              <w:autoSpaceDN w:val="0"/>
              <w:ind w:leftChars="59" w:left="304" w:hangingChars="100" w:hanging="180"/>
              <w:rPr>
                <w:rFonts w:ascii="Arial" w:eastAsia="黑体" w:hAnsi="Arial" w:cs="Arial"/>
                <w:sz w:val="18"/>
                <w:szCs w:val="18"/>
              </w:rPr>
            </w:pPr>
            <w:r>
              <w:rPr>
                <w:rFonts w:ascii="Arial" w:eastAsia="黑体" w:hAnsi="Arial" w:cs="Arial"/>
                <w:sz w:val="18"/>
                <w:szCs w:val="18"/>
              </w:rPr>
              <w:t>本年计提</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6" w:type="dxa"/>
            <w:tcBorders>
              <w:top w:val="nil"/>
              <w:left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11,274,279.14</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1" w:type="dxa"/>
            <w:tcBorders>
              <w:top w:val="nil"/>
              <w:left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32,221,889.07</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8" w:type="dxa"/>
            <w:tcBorders>
              <w:top w:val="nil"/>
              <w:left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43,496,168.21</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vAlign w:val="bottom"/>
          </w:tcPr>
          <w:p w:rsidR="00AD5BB5" w:rsidRDefault="00F87FF6">
            <w:pPr>
              <w:autoSpaceDE w:val="0"/>
              <w:autoSpaceDN w:val="0"/>
              <w:ind w:leftChars="59" w:left="304" w:hangingChars="100" w:hanging="180"/>
              <w:rPr>
                <w:rFonts w:ascii="Arial" w:eastAsia="黑体" w:hAnsi="Arial" w:cs="Arial"/>
                <w:sz w:val="18"/>
                <w:szCs w:val="18"/>
              </w:rPr>
            </w:pPr>
            <w:r>
              <w:rPr>
                <w:rFonts w:ascii="Arial" w:eastAsia="黑体" w:hAnsi="Arial" w:cs="Arial"/>
                <w:sz w:val="18"/>
                <w:szCs w:val="18"/>
              </w:rPr>
              <w:t>处置或报废</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(10,077,015.38</w:t>
            </w:r>
          </w:p>
        </w:tc>
        <w:tc>
          <w:tcPr>
            <w:tcW w:w="109"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1"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(16,500.00</w:t>
            </w:r>
          </w:p>
        </w:tc>
        <w:tc>
          <w:tcPr>
            <w:tcW w:w="109"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(10,093,515.38</w:t>
            </w:r>
          </w:p>
        </w:tc>
        <w:tc>
          <w:tcPr>
            <w:tcW w:w="109"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w:t>
            </w:r>
          </w:p>
        </w:tc>
      </w:tr>
      <w:tr w:rsidR="00AD5BB5">
        <w:tc>
          <w:tcPr>
            <w:tcW w:w="2617" w:type="dxa"/>
            <w:tcBorders>
              <w:top w:val="nil"/>
              <w:left w:val="nil"/>
              <w:bottom w:val="nil"/>
              <w:right w:val="nil"/>
            </w:tcBorders>
            <w:shd w:val="clear" w:color="auto" w:fill="auto"/>
            <w:vAlign w:val="bottom"/>
          </w:tcPr>
          <w:p w:rsidR="00AD5BB5" w:rsidRDefault="00AD5BB5">
            <w:pPr>
              <w:autoSpaceDE w:val="0"/>
              <w:autoSpaceDN w:val="0"/>
              <w:ind w:left="270" w:hangingChars="150" w:hanging="27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6" w:type="dxa"/>
            <w:tcBorders>
              <w:top w:val="single" w:sz="4" w:space="0" w:color="auto"/>
              <w:left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881" w:type="dxa"/>
            <w:tcBorders>
              <w:top w:val="single" w:sz="4" w:space="0" w:color="auto"/>
              <w:left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8" w:type="dxa"/>
            <w:tcBorders>
              <w:top w:val="single" w:sz="4" w:space="0" w:color="auto"/>
              <w:left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shd w:val="clear" w:color="auto" w:fill="auto"/>
            <w:vAlign w:val="bottom"/>
          </w:tcPr>
          <w:p w:rsidR="00AD5BB5" w:rsidRDefault="00F87FF6">
            <w:pPr>
              <w:autoSpaceDE w:val="0"/>
              <w:autoSpaceDN w:val="0"/>
              <w:ind w:firstLineChars="78" w:firstLine="140"/>
              <w:rPr>
                <w:rFonts w:ascii="Arial" w:eastAsia="黑体" w:hAnsi="Arial" w:cs="Arial"/>
                <w:sz w:val="18"/>
                <w:szCs w:val="18"/>
              </w:rPr>
            </w:pPr>
            <w:r>
              <w:rPr>
                <w:rFonts w:ascii="Arial" w:eastAsia="黑体" w:hAnsi="Arial" w:cs="Arial"/>
                <w:sz w:val="18"/>
                <w:szCs w:val="18"/>
              </w:rPr>
              <w:t>年末余额</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6"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37,393,707.97</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881"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220,039,257.68</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8"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257,432,965.65</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shd w:val="clear" w:color="auto" w:fill="auto"/>
            <w:vAlign w:val="bottom"/>
          </w:tcPr>
          <w:p w:rsidR="00AD5BB5" w:rsidRDefault="00AD5BB5">
            <w:pPr>
              <w:autoSpaceDE w:val="0"/>
              <w:autoSpaceDN w:val="0"/>
              <w:ind w:leftChars="59" w:left="394" w:hangingChars="150" w:hanging="27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6"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881"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8"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shd w:val="clear" w:color="auto" w:fill="auto"/>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减值准备</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6"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88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8"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shd w:val="clear" w:color="auto" w:fill="auto"/>
            <w:vAlign w:val="bottom"/>
          </w:tcPr>
          <w:p w:rsidR="00AD5BB5" w:rsidRDefault="00F87FF6">
            <w:pPr>
              <w:autoSpaceDE w:val="0"/>
              <w:autoSpaceDN w:val="0"/>
              <w:ind w:leftChars="59" w:left="304" w:hangingChars="100" w:hanging="180"/>
              <w:rPr>
                <w:rFonts w:ascii="Arial" w:eastAsia="黑体" w:hAnsi="Arial" w:cs="Arial"/>
                <w:sz w:val="18"/>
                <w:szCs w:val="18"/>
              </w:rPr>
            </w:pPr>
            <w:r>
              <w:rPr>
                <w:rFonts w:ascii="Arial" w:eastAsia="黑体" w:hAnsi="Arial" w:cs="Arial"/>
                <w:sz w:val="18"/>
                <w:szCs w:val="18"/>
              </w:rPr>
              <w:t>年初余额</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6"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35,389,370.40</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88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8"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35,389,370.40</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shd w:val="clear" w:color="auto" w:fill="auto"/>
            <w:vAlign w:val="bottom"/>
          </w:tcPr>
          <w:p w:rsidR="00AD5BB5" w:rsidRDefault="00F87FF6">
            <w:pPr>
              <w:autoSpaceDE w:val="0"/>
              <w:autoSpaceDN w:val="0"/>
              <w:ind w:leftChars="59" w:left="304" w:hangingChars="100" w:hanging="180"/>
              <w:rPr>
                <w:rFonts w:ascii="Arial" w:eastAsia="黑体" w:hAnsi="Arial" w:cs="Arial"/>
                <w:sz w:val="18"/>
                <w:szCs w:val="18"/>
              </w:rPr>
            </w:pPr>
            <w:r>
              <w:rPr>
                <w:rFonts w:ascii="Arial" w:eastAsia="黑体" w:hAnsi="Arial" w:cs="Arial"/>
                <w:sz w:val="18"/>
                <w:szCs w:val="18"/>
              </w:rPr>
              <w:t>本年处置</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6"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(35,389,370.40</w:t>
            </w:r>
          </w:p>
        </w:tc>
        <w:tc>
          <w:tcPr>
            <w:tcW w:w="109" w:type="dxa"/>
            <w:tcBorders>
              <w:top w:val="nil"/>
              <w:left w:val="nil"/>
              <w:bottom w:val="nil"/>
              <w:right w:val="nil"/>
            </w:tcBorders>
            <w:shd w:val="clear" w:color="auto" w:fill="auto"/>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881"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638"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(35,389,370.40</w:t>
            </w:r>
          </w:p>
        </w:tc>
        <w:tc>
          <w:tcPr>
            <w:tcW w:w="109" w:type="dxa"/>
            <w:tcBorders>
              <w:top w:val="nil"/>
              <w:left w:val="nil"/>
              <w:bottom w:val="nil"/>
              <w:right w:val="nil"/>
            </w:tcBorders>
            <w:shd w:val="clear" w:color="auto" w:fill="auto"/>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w:t>
            </w:r>
          </w:p>
        </w:tc>
      </w:tr>
      <w:tr w:rsidR="00AD5BB5">
        <w:tc>
          <w:tcPr>
            <w:tcW w:w="2617"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6" w:type="dxa"/>
            <w:tcBorders>
              <w:top w:val="single" w:sz="4" w:space="0" w:color="auto"/>
              <w:left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1" w:type="dxa"/>
            <w:tcBorders>
              <w:top w:val="single" w:sz="4" w:space="0" w:color="auto"/>
              <w:left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8" w:type="dxa"/>
            <w:tcBorders>
              <w:top w:val="single" w:sz="4" w:space="0" w:color="auto"/>
              <w:left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vAlign w:val="bottom"/>
          </w:tcPr>
          <w:p w:rsidR="00AD5BB5" w:rsidRDefault="00F87FF6">
            <w:pPr>
              <w:autoSpaceDE w:val="0"/>
              <w:autoSpaceDN w:val="0"/>
              <w:ind w:firstLineChars="78" w:firstLine="140"/>
              <w:rPr>
                <w:rFonts w:ascii="Arial" w:eastAsia="黑体" w:hAnsi="Arial" w:cs="Arial"/>
                <w:sz w:val="18"/>
                <w:szCs w:val="18"/>
              </w:rPr>
            </w:pPr>
            <w:r>
              <w:rPr>
                <w:rFonts w:ascii="Arial" w:eastAsia="黑体" w:hAnsi="Arial" w:cs="Arial"/>
                <w:sz w:val="18"/>
                <w:szCs w:val="18"/>
              </w:rPr>
              <w:t>年末余额</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1"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vAlign w:val="bottom"/>
          </w:tcPr>
          <w:p w:rsidR="00AD5BB5" w:rsidRDefault="00AD5BB5">
            <w:pPr>
              <w:autoSpaceDE w:val="0"/>
              <w:autoSpaceDN w:val="0"/>
              <w:ind w:leftChars="59" w:left="394" w:hangingChars="150" w:hanging="27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净值：</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vAlign w:val="bottom"/>
          </w:tcPr>
          <w:p w:rsidR="00AD5BB5" w:rsidRDefault="00F87FF6">
            <w:pPr>
              <w:autoSpaceDE w:val="0"/>
              <w:autoSpaceDN w:val="0"/>
              <w:ind w:leftChars="59" w:left="304" w:hangingChars="100" w:hanging="180"/>
              <w:rPr>
                <w:rFonts w:ascii="Arial" w:eastAsia="黑体" w:hAnsi="Arial" w:cs="Arial"/>
                <w:sz w:val="18"/>
                <w:szCs w:val="18"/>
              </w:rPr>
            </w:pPr>
            <w:r>
              <w:rPr>
                <w:rFonts w:ascii="Arial" w:eastAsia="黑体" w:hAnsi="Arial" w:cs="Arial"/>
                <w:sz w:val="18"/>
                <w:szCs w:val="18"/>
              </w:rPr>
              <w:t>年末余额</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368,240,994.53</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1"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93,874,956.42</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462,115,950.95</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vAlign w:val="bottom"/>
          </w:tcPr>
          <w:p w:rsidR="00AD5BB5" w:rsidRDefault="00AD5BB5">
            <w:pPr>
              <w:autoSpaceDE w:val="0"/>
              <w:autoSpaceDN w:val="0"/>
              <w:ind w:leftChars="59" w:left="394" w:hangingChars="150" w:hanging="27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6"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1"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8"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617" w:type="dxa"/>
            <w:tcBorders>
              <w:top w:val="nil"/>
              <w:left w:val="nil"/>
              <w:bottom w:val="nil"/>
              <w:right w:val="nil"/>
            </w:tcBorders>
            <w:vAlign w:val="bottom"/>
          </w:tcPr>
          <w:p w:rsidR="00AD5BB5" w:rsidRDefault="00F87FF6">
            <w:pPr>
              <w:autoSpaceDE w:val="0"/>
              <w:autoSpaceDN w:val="0"/>
              <w:ind w:leftChars="59" w:left="304" w:hangingChars="100" w:hanging="180"/>
              <w:rPr>
                <w:rFonts w:ascii="Arial" w:eastAsia="黑体" w:hAnsi="Arial" w:cs="Arial"/>
                <w:sz w:val="18"/>
                <w:szCs w:val="18"/>
              </w:rPr>
            </w:pPr>
            <w:r>
              <w:rPr>
                <w:rFonts w:ascii="Arial" w:eastAsia="黑体" w:hAnsi="Arial" w:cs="Arial"/>
                <w:sz w:val="18"/>
                <w:szCs w:val="18"/>
              </w:rPr>
              <w:t>年初余额</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401,031,604.40</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1"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78,852,530.99</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479,884,135.39</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bl>
    <w:p w:rsidR="00AD5BB5" w:rsidRDefault="00AD5BB5">
      <w:pPr>
        <w:overflowPunct w:val="0"/>
        <w:autoSpaceDE w:val="0"/>
        <w:autoSpaceDN w:val="0"/>
        <w:adjustRightInd w:val="0"/>
        <w:snapToGrid w:val="0"/>
        <w:textAlignment w:val="bottom"/>
        <w:rPr>
          <w:rFonts w:ascii="Arial" w:eastAsia="黑体" w:hAnsi="Arial" w:cs="Arial"/>
          <w:b/>
          <w:bCs/>
          <w:snapToGrid w:val="0"/>
          <w:szCs w:val="21"/>
        </w:rPr>
      </w:pPr>
    </w:p>
    <w:p w:rsidR="00AD5BB5" w:rsidRDefault="00F87FF6">
      <w:pPr>
        <w:overflowPunct w:val="0"/>
        <w:autoSpaceDE w:val="0"/>
        <w:autoSpaceDN w:val="0"/>
        <w:adjustRightInd w:val="0"/>
        <w:snapToGrid w:val="0"/>
        <w:textAlignment w:val="bottom"/>
        <w:rPr>
          <w:rFonts w:ascii="Arial" w:eastAsia="黑体" w:hAnsi="Arial" w:cs="Arial"/>
          <w:snapToGrid w:val="0"/>
          <w:szCs w:val="21"/>
        </w:rPr>
      </w:pPr>
      <w:r>
        <w:rPr>
          <w:rFonts w:ascii="Arial" w:eastAsia="黑体" w:hAnsi="Arial" w:cs="Arial"/>
          <w:snapToGrid w:val="0"/>
          <w:szCs w:val="21"/>
        </w:rPr>
        <w:t>于</w:t>
      </w: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当期资产负债表日</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2023</w:t>
      </w:r>
      <w:r>
        <w:rPr>
          <w:rFonts w:ascii="Arial" w:eastAsia="黑体" w:hAnsi="Arial" w:cs="Arial"/>
          <w:snapToGrid w:val="0"/>
          <w:szCs w:val="21"/>
        </w:rPr>
        <w:t>年</w:t>
      </w:r>
      <w:r>
        <w:rPr>
          <w:rFonts w:ascii="Arial" w:eastAsia="黑体" w:hAnsi="Arial" w:cs="Arial"/>
          <w:snapToGrid w:val="0"/>
          <w:szCs w:val="21"/>
        </w:rPr>
        <w:t>6</w:t>
      </w:r>
      <w:r>
        <w:rPr>
          <w:rFonts w:ascii="Arial" w:eastAsia="黑体" w:hAnsi="Arial" w:cs="Arial"/>
          <w:snapToGrid w:val="0"/>
          <w:szCs w:val="21"/>
        </w:rPr>
        <w:t>月</w:t>
      </w:r>
      <w:r>
        <w:rPr>
          <w:rFonts w:ascii="Arial" w:eastAsia="黑体" w:hAnsi="Arial" w:cs="Arial"/>
          <w:snapToGrid w:val="0"/>
          <w:szCs w:val="21"/>
        </w:rPr>
        <w:t>30</w:t>
      </w:r>
      <w:r>
        <w:rPr>
          <w:rFonts w:ascii="Arial" w:eastAsia="黑体" w:hAnsi="Arial" w:cs="Arial"/>
          <w:snapToGrid w:val="0"/>
          <w:szCs w:val="21"/>
        </w:rPr>
        <w:t>日</w:t>
      </w:r>
      <w:r>
        <w:rPr>
          <w:rFonts w:ascii="Arial" w:eastAsia="黑体" w:hAnsi="Arial" w:cs="Arial"/>
          <w:snapToGrid w:val="0"/>
          <w:szCs w:val="21"/>
        </w:rPr>
        <w:fldChar w:fldCharType="end"/>
      </w:r>
      <w:r>
        <w:rPr>
          <w:rFonts w:ascii="Arial" w:eastAsia="黑体" w:hAnsi="Arial" w:cs="Arial"/>
          <w:snapToGrid w:val="0"/>
          <w:szCs w:val="21"/>
        </w:rPr>
        <w:t>，本集团已摊销完毕尚在使用的无形资产的原值为人民币</w:t>
      </w:r>
      <w:r>
        <w:rPr>
          <w:rFonts w:ascii="Arial" w:eastAsia="黑体" w:hAnsi="Arial" w:cs="Arial"/>
          <w:snapToGrid w:val="0"/>
          <w:szCs w:val="21"/>
        </w:rPr>
        <w:t>139,105,676.22</w:t>
      </w:r>
      <w:r>
        <w:rPr>
          <w:rFonts w:ascii="Arial" w:eastAsia="黑体" w:hAnsi="Arial" w:cs="Arial"/>
          <w:snapToGrid w:val="0"/>
          <w:szCs w:val="21"/>
        </w:rPr>
        <w:t>元（</w:t>
      </w: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上期资产负债表日</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2022</w:t>
      </w:r>
      <w:r>
        <w:rPr>
          <w:rFonts w:ascii="Arial" w:eastAsia="黑体" w:hAnsi="Arial" w:cs="Arial"/>
          <w:snapToGrid w:val="0"/>
          <w:szCs w:val="21"/>
        </w:rPr>
        <w:t>年</w:t>
      </w:r>
      <w:r>
        <w:rPr>
          <w:rFonts w:ascii="Arial" w:eastAsia="黑体" w:hAnsi="Arial" w:cs="Arial"/>
          <w:snapToGrid w:val="0"/>
          <w:szCs w:val="21"/>
        </w:rPr>
        <w:t>12</w:t>
      </w:r>
      <w:r>
        <w:rPr>
          <w:rFonts w:ascii="Arial" w:eastAsia="黑体" w:hAnsi="Arial" w:cs="Arial"/>
          <w:snapToGrid w:val="0"/>
          <w:szCs w:val="21"/>
        </w:rPr>
        <w:t>月</w:t>
      </w:r>
      <w:r>
        <w:rPr>
          <w:rFonts w:ascii="Arial" w:eastAsia="黑体" w:hAnsi="Arial" w:cs="Arial"/>
          <w:snapToGrid w:val="0"/>
          <w:szCs w:val="21"/>
        </w:rPr>
        <w:t>31</w:t>
      </w:r>
      <w:r>
        <w:rPr>
          <w:rFonts w:ascii="Arial" w:eastAsia="黑体" w:hAnsi="Arial" w:cs="Arial"/>
          <w:snapToGrid w:val="0"/>
          <w:szCs w:val="21"/>
        </w:rPr>
        <w:t>日</w:t>
      </w:r>
      <w:r>
        <w:rPr>
          <w:rFonts w:ascii="Arial" w:eastAsia="黑体" w:hAnsi="Arial" w:cs="Arial"/>
          <w:snapToGrid w:val="0"/>
          <w:szCs w:val="21"/>
        </w:rPr>
        <w:fldChar w:fldCharType="end"/>
      </w:r>
      <w:r>
        <w:rPr>
          <w:rFonts w:ascii="Arial" w:eastAsia="黑体" w:hAnsi="Arial" w:cs="Arial"/>
          <w:snapToGrid w:val="0"/>
          <w:szCs w:val="21"/>
        </w:rPr>
        <w:t>：人民币</w:t>
      </w:r>
      <w:r>
        <w:rPr>
          <w:rFonts w:ascii="Arial" w:eastAsia="黑体" w:hAnsi="Arial" w:cs="Arial"/>
          <w:snapToGrid w:val="0"/>
          <w:szCs w:val="21"/>
        </w:rPr>
        <w:t>139,105,676.22</w:t>
      </w:r>
      <w:r>
        <w:rPr>
          <w:rFonts w:ascii="Arial" w:eastAsia="黑体" w:hAnsi="Arial" w:cs="Arial"/>
          <w:snapToGrid w:val="0"/>
          <w:szCs w:val="21"/>
        </w:rPr>
        <w:t>元）。</w:t>
      </w:r>
      <w:r>
        <w:rPr>
          <w:rFonts w:ascii="Arial" w:eastAsia="黑体" w:hAnsi="Arial" w:cs="Arial"/>
          <w:snapToGrid w:val="0"/>
        </w:rPr>
        <w:br w:type="page"/>
      </w:r>
    </w:p>
    <w:p w:rsidR="00AD5BB5" w:rsidRDefault="00AD5BB5">
      <w:pPr>
        <w:overflowPunct w:val="0"/>
        <w:autoSpaceDE w:val="0"/>
        <w:autoSpaceDN w:val="0"/>
        <w:adjustRightInd w:val="0"/>
        <w:snapToGrid w:val="0"/>
        <w:textAlignment w:val="bottom"/>
        <w:rPr>
          <w:rFonts w:ascii="Arial" w:eastAsia="黑体" w:hAnsi="Arial" w:cs="Arial"/>
          <w:snapToGrid w:val="0"/>
        </w:rPr>
      </w:pPr>
    </w:p>
    <w:p w:rsidR="00AD5BB5" w:rsidRDefault="00F87FF6">
      <w:pPr>
        <w:overflowPunct w:val="0"/>
        <w:autoSpaceDE w:val="0"/>
        <w:autoSpaceDN w:val="0"/>
        <w:adjustRightInd w:val="0"/>
        <w:snapToGrid w:val="0"/>
        <w:textAlignment w:val="bottom"/>
        <w:rPr>
          <w:rFonts w:ascii="Arial" w:eastAsia="黑体" w:hAnsi="Arial" w:cs="Arial"/>
          <w:b/>
          <w:snapToGrid w:val="0"/>
        </w:rPr>
      </w:pPr>
      <w:bookmarkStart w:id="146" w:name="afsaddin_WithXu_0df3f76b474d4e7295264379"/>
      <w:r>
        <w:rPr>
          <w:rFonts w:ascii="Arial" w:eastAsia="黑体" w:hAnsi="Arial" w:cs="Arial"/>
          <w:b/>
          <w:snapToGrid w:val="0"/>
        </w:rPr>
        <w:t>五、</w:t>
      </w:r>
      <w:r>
        <w:rPr>
          <w:rFonts w:ascii="Arial" w:eastAsia="黑体" w:hAnsi="Arial" w:cs="Arial"/>
          <w:b/>
          <w:snapToGrid w:val="0"/>
        </w:rPr>
        <w:tab/>
      </w:r>
      <w:r>
        <w:rPr>
          <w:rFonts w:ascii="Arial" w:eastAsia="黑体" w:hAnsi="Arial" w:cs="Arial"/>
          <w:b/>
          <w:snapToGrid w:val="0"/>
        </w:rPr>
        <w:t>合并财务报表主要项目注释（续）</w:t>
      </w:r>
      <w:bookmarkEnd w:id="146"/>
    </w:p>
    <w:p w:rsidR="00AD5BB5" w:rsidRDefault="00AD5BB5">
      <w:pPr>
        <w:overflowPunct w:val="0"/>
        <w:autoSpaceDE w:val="0"/>
        <w:autoSpaceDN w:val="0"/>
        <w:adjustRightInd w:val="0"/>
        <w:snapToGrid w:val="0"/>
        <w:textAlignment w:val="bottom"/>
        <w:rPr>
          <w:rFonts w:ascii="Arial" w:eastAsia="黑体" w:hAnsi="Arial" w:cs="Arial"/>
          <w:snapToGrid w:val="0"/>
        </w:rPr>
      </w:pPr>
    </w:p>
    <w:p w:rsidR="00AD5BB5" w:rsidRDefault="00F87FF6">
      <w:pPr>
        <w:pStyle w:val="af5"/>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147" w:name="afsaddin_WithXu_feb4a9ee63fe4ae283506973"/>
      <w:bookmarkStart w:id="148" w:name="afsaddin_Section_9f4c798c42e7427a8081510"/>
      <w:bookmarkEnd w:id="147"/>
      <w:r>
        <w:rPr>
          <w:rFonts w:ascii="Arial" w:eastAsia="黑体" w:hAnsi="Arial" w:cs="Arial" w:hint="default"/>
          <w:bCs w:val="0"/>
          <w:snapToGrid w:val="0"/>
          <w:color w:val="auto"/>
          <w:sz w:val="21"/>
          <w:szCs w:val="21"/>
        </w:rPr>
        <w:t>15.</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递延所得税资产</w:t>
      </w:r>
      <w:r>
        <w:rPr>
          <w:rFonts w:ascii="Arial" w:eastAsia="黑体" w:hAnsi="Arial" w:cs="Arial" w:hint="default"/>
          <w:bCs w:val="0"/>
          <w:snapToGrid w:val="0"/>
          <w:color w:val="auto"/>
          <w:sz w:val="21"/>
          <w:szCs w:val="21"/>
        </w:rPr>
        <w:t>/</w:t>
      </w:r>
      <w:r>
        <w:rPr>
          <w:rFonts w:ascii="Arial" w:eastAsia="黑体" w:hAnsi="Arial" w:cs="Arial" w:hint="default"/>
          <w:bCs w:val="0"/>
          <w:snapToGrid w:val="0"/>
          <w:color w:val="auto"/>
          <w:sz w:val="21"/>
          <w:szCs w:val="21"/>
        </w:rPr>
        <w:t>负债</w:t>
      </w:r>
    </w:p>
    <w:bookmarkEnd w:id="148"/>
    <w:p w:rsidR="00AD5BB5" w:rsidRDefault="00AD5BB5">
      <w:pPr>
        <w:overflowPunct w:val="0"/>
        <w:autoSpaceDE w:val="0"/>
        <w:autoSpaceDN w:val="0"/>
        <w:adjustRightInd w:val="0"/>
        <w:snapToGrid w:val="0"/>
        <w:textAlignment w:val="bottom"/>
        <w:rPr>
          <w:rFonts w:ascii="Arial" w:eastAsia="黑体" w:hAnsi="Arial" w:cs="Arial"/>
          <w:snapToGrid w:val="0"/>
          <w:szCs w:val="21"/>
        </w:rPr>
      </w:pPr>
    </w:p>
    <w:p w:rsidR="00AD5BB5" w:rsidRDefault="00F87FF6">
      <w:pPr>
        <w:overflowPunct w:val="0"/>
        <w:autoSpaceDE w:val="0"/>
        <w:autoSpaceDN w:val="0"/>
        <w:adjustRightInd w:val="0"/>
        <w:snapToGrid w:val="0"/>
        <w:textAlignment w:val="bottom"/>
        <w:rPr>
          <w:rFonts w:ascii="Arial" w:eastAsia="黑体" w:hAnsi="Arial" w:cs="Arial"/>
          <w:snapToGrid w:val="0"/>
          <w:szCs w:val="21"/>
        </w:rPr>
      </w:pPr>
      <w:r>
        <w:rPr>
          <w:rFonts w:ascii="Arial" w:eastAsia="黑体" w:hAnsi="Arial" w:cs="Arial"/>
          <w:snapToGrid w:val="0"/>
          <w:szCs w:val="21"/>
        </w:rPr>
        <w:t>(1)</w:t>
      </w:r>
      <w:r>
        <w:rPr>
          <w:rFonts w:ascii="Arial" w:eastAsia="黑体" w:hAnsi="Arial" w:cs="Arial"/>
          <w:snapToGrid w:val="0"/>
          <w:szCs w:val="21"/>
        </w:rPr>
        <w:tab/>
      </w:r>
      <w:r>
        <w:rPr>
          <w:rFonts w:ascii="Arial" w:eastAsia="黑体" w:hAnsi="Arial" w:cs="Arial"/>
          <w:snapToGrid w:val="0"/>
          <w:szCs w:val="21"/>
        </w:rPr>
        <w:t>按性质分析</w:t>
      </w:r>
    </w:p>
    <w:p w:rsidR="00AD5BB5" w:rsidRDefault="00AD5BB5">
      <w:pPr>
        <w:overflowPunct w:val="0"/>
        <w:autoSpaceDE w:val="0"/>
        <w:autoSpaceDN w:val="0"/>
        <w:adjustRightInd w:val="0"/>
        <w:snapToGrid w:val="0"/>
        <w:textAlignment w:val="bottom"/>
        <w:rPr>
          <w:rFonts w:ascii="Arial" w:eastAsia="黑体" w:hAnsi="Arial" w:cs="Arial"/>
          <w:snapToGrid w:val="0"/>
          <w:szCs w:val="21"/>
        </w:rPr>
      </w:pPr>
    </w:p>
    <w:tbl>
      <w:tblPr>
        <w:tblW w:w="8405" w:type="dxa"/>
        <w:tblLayout w:type="fixed"/>
        <w:tblCellMar>
          <w:left w:w="0" w:type="dxa"/>
          <w:right w:w="0" w:type="dxa"/>
        </w:tblCellMar>
        <w:tblLook w:val="04A0" w:firstRow="1" w:lastRow="0" w:firstColumn="1" w:lastColumn="0" w:noHBand="0" w:noVBand="1"/>
        <w:tblCaption w:val="49794232-05a2-4f5a-9ea5-71d75158e867"/>
        <w:tblDescription w:val="{&quot;UUID&quot;:&quot;afsaddin_tabledata_2_56437_49794232-05a2-4f5a-9ea5-71d75158e867&quot;,&quot;TitleRowCount&quot;:3,&quot;SplitedTable&quot;:false,&quot;FirstTableId&quot;:&quot;49794232-05a2-4f5a-9ea5-71d75158e867&quot;}"/>
      </w:tblPr>
      <w:tblGrid>
        <w:gridCol w:w="1526"/>
        <w:gridCol w:w="103"/>
        <w:gridCol w:w="1185"/>
        <w:gridCol w:w="103"/>
        <w:gridCol w:w="103"/>
        <w:gridCol w:w="1194"/>
        <w:gridCol w:w="103"/>
        <w:gridCol w:w="103"/>
        <w:gridCol w:w="1109"/>
        <w:gridCol w:w="103"/>
        <w:gridCol w:w="103"/>
        <w:gridCol w:w="1096"/>
        <w:gridCol w:w="103"/>
        <w:gridCol w:w="103"/>
        <w:gridCol w:w="1265"/>
        <w:gridCol w:w="103"/>
      </w:tblGrid>
      <w:tr w:rsidR="00AD5BB5">
        <w:tc>
          <w:tcPr>
            <w:tcW w:w="1526" w:type="dxa"/>
            <w:tcBorders>
              <w:top w:val="nil"/>
              <w:left w:val="nil"/>
              <w:bottom w:val="nil"/>
              <w:right w:val="nil"/>
            </w:tcBorders>
            <w:vAlign w:val="bottom"/>
          </w:tcPr>
          <w:p w:rsidR="00AD5BB5" w:rsidRDefault="00AD5BB5">
            <w:pPr>
              <w:autoSpaceDE w:val="0"/>
              <w:autoSpaceDN w:val="0"/>
              <w:ind w:left="225" w:hangingChars="150" w:hanging="225"/>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6673" w:type="dxa"/>
            <w:gridSpan w:val="13"/>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sz w:val="15"/>
                <w:szCs w:val="15"/>
              </w:rPr>
            </w:pPr>
            <w:r>
              <w:rPr>
                <w:rFonts w:ascii="Arial" w:eastAsia="黑体" w:hAnsi="Arial" w:cs="Arial"/>
                <w:sz w:val="15"/>
                <w:szCs w:val="15"/>
              </w:rPr>
              <w:fldChar w:fldCharType="begin"/>
            </w:r>
            <w:r>
              <w:rPr>
                <w:rFonts w:ascii="Arial" w:eastAsia="黑体" w:hAnsi="Arial" w:cs="Arial"/>
                <w:sz w:val="15"/>
                <w:szCs w:val="15"/>
              </w:rPr>
              <w:instrText xml:space="preserve"> DOCPROPERTY </w:instrText>
            </w:r>
            <w:r>
              <w:rPr>
                <w:rFonts w:ascii="Arial" w:eastAsia="黑体" w:hAnsi="Arial" w:cs="Arial"/>
                <w:sz w:val="15"/>
                <w:szCs w:val="15"/>
              </w:rPr>
              <w:instrText>当期资产负债表日</w:instrText>
            </w:r>
            <w:r>
              <w:rPr>
                <w:rFonts w:ascii="Arial" w:eastAsia="黑体" w:hAnsi="Arial" w:cs="Arial"/>
                <w:sz w:val="15"/>
                <w:szCs w:val="15"/>
              </w:rPr>
              <w:instrText xml:space="preserve"> </w:instrText>
            </w:r>
            <w:r>
              <w:rPr>
                <w:rFonts w:ascii="Arial" w:eastAsia="黑体" w:hAnsi="Arial" w:cs="Arial"/>
                <w:sz w:val="15"/>
                <w:szCs w:val="15"/>
              </w:rPr>
              <w:fldChar w:fldCharType="separate"/>
            </w:r>
            <w:r>
              <w:rPr>
                <w:rFonts w:ascii="Arial" w:eastAsia="黑体" w:hAnsi="Arial" w:cs="Arial"/>
                <w:sz w:val="15"/>
                <w:szCs w:val="15"/>
              </w:rPr>
              <w:t>2023</w:t>
            </w:r>
            <w:r>
              <w:rPr>
                <w:rFonts w:ascii="Arial" w:eastAsia="黑体" w:hAnsi="Arial" w:cs="Arial"/>
                <w:sz w:val="15"/>
                <w:szCs w:val="15"/>
              </w:rPr>
              <w:t>年</w:t>
            </w:r>
            <w:r>
              <w:rPr>
                <w:rFonts w:ascii="Arial" w:eastAsia="黑体" w:hAnsi="Arial" w:cs="Arial"/>
                <w:sz w:val="15"/>
                <w:szCs w:val="15"/>
              </w:rPr>
              <w:t>6</w:t>
            </w:r>
            <w:r>
              <w:rPr>
                <w:rFonts w:ascii="Arial" w:eastAsia="黑体" w:hAnsi="Arial" w:cs="Arial"/>
                <w:sz w:val="15"/>
                <w:szCs w:val="15"/>
              </w:rPr>
              <w:t>月</w:t>
            </w:r>
            <w:r>
              <w:rPr>
                <w:rFonts w:ascii="Arial" w:eastAsia="黑体" w:hAnsi="Arial" w:cs="Arial"/>
                <w:sz w:val="15"/>
                <w:szCs w:val="15"/>
              </w:rPr>
              <w:t>30</w:t>
            </w:r>
            <w:r>
              <w:rPr>
                <w:rFonts w:ascii="Arial" w:eastAsia="黑体" w:hAnsi="Arial" w:cs="Arial"/>
                <w:sz w:val="15"/>
                <w:szCs w:val="15"/>
              </w:rPr>
              <w:t>日</w:t>
            </w:r>
            <w:r>
              <w:rPr>
                <w:rFonts w:ascii="Arial" w:eastAsia="黑体" w:hAnsi="Arial" w:cs="Arial"/>
                <w:sz w:val="15"/>
                <w:szCs w:val="15"/>
              </w:rPr>
              <w:fldChar w:fldCharType="end"/>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526" w:type="dxa"/>
            <w:tcBorders>
              <w:top w:val="nil"/>
              <w:left w:val="nil"/>
              <w:bottom w:val="nil"/>
              <w:right w:val="nil"/>
            </w:tcBorders>
            <w:vAlign w:val="bottom"/>
          </w:tcPr>
          <w:p w:rsidR="00AD5BB5" w:rsidRDefault="00AD5BB5">
            <w:pPr>
              <w:autoSpaceDE w:val="0"/>
              <w:autoSpaceDN w:val="0"/>
              <w:ind w:left="225" w:hangingChars="150" w:hanging="225"/>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85"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u w:val="single"/>
              </w:rPr>
              <w:t>可抵扣</w:t>
            </w:r>
          </w:p>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u w:val="single"/>
              </w:rPr>
              <w:t>暂时性差异</w:t>
            </w:r>
          </w:p>
        </w:tc>
        <w:tc>
          <w:tcPr>
            <w:tcW w:w="103"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4"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u w:val="single"/>
              </w:rPr>
              <w:t>递延</w:t>
            </w:r>
          </w:p>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u w:val="single"/>
              </w:rPr>
              <w:t>所得税资产</w:t>
            </w:r>
          </w:p>
        </w:tc>
        <w:tc>
          <w:tcPr>
            <w:tcW w:w="103"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09"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u w:val="single"/>
              </w:rPr>
              <w:t>应纳税</w:t>
            </w:r>
          </w:p>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u w:val="single"/>
              </w:rPr>
              <w:t>暂时性差异</w:t>
            </w:r>
          </w:p>
        </w:tc>
        <w:tc>
          <w:tcPr>
            <w:tcW w:w="103"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96"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u w:val="single"/>
              </w:rPr>
              <w:t>递延</w:t>
            </w:r>
          </w:p>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u w:val="single"/>
              </w:rPr>
              <w:t>所得税负债</w:t>
            </w:r>
          </w:p>
        </w:tc>
        <w:tc>
          <w:tcPr>
            <w:tcW w:w="103"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65"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u w:val="single"/>
              </w:rPr>
              <w:t>递延</w:t>
            </w:r>
          </w:p>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u w:val="single"/>
              </w:rPr>
              <w:t>税项净额</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526" w:type="dxa"/>
            <w:tcBorders>
              <w:top w:val="nil"/>
              <w:left w:val="nil"/>
              <w:bottom w:val="nil"/>
              <w:right w:val="nil"/>
            </w:tcBorders>
            <w:vAlign w:val="bottom"/>
          </w:tcPr>
          <w:p w:rsidR="00AD5BB5" w:rsidRDefault="00AD5BB5">
            <w:pPr>
              <w:autoSpaceDE w:val="0"/>
              <w:autoSpaceDN w:val="0"/>
              <w:ind w:left="225" w:hangingChars="150" w:hanging="225"/>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8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0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9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6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526" w:type="dxa"/>
            <w:tcBorders>
              <w:top w:val="nil"/>
              <w:left w:val="nil"/>
              <w:bottom w:val="nil"/>
              <w:right w:val="nil"/>
            </w:tcBorders>
            <w:vAlign w:val="bottom"/>
          </w:tcPr>
          <w:p w:rsidR="00AD5BB5" w:rsidRDefault="00F87FF6">
            <w:pPr>
              <w:autoSpaceDE w:val="0"/>
              <w:autoSpaceDN w:val="0"/>
              <w:ind w:left="139" w:hangingChars="93" w:hanging="139"/>
              <w:rPr>
                <w:rFonts w:ascii="Arial" w:eastAsia="黑体" w:hAnsi="Arial" w:cs="Arial"/>
                <w:sz w:val="15"/>
                <w:szCs w:val="15"/>
              </w:rPr>
            </w:pPr>
            <w:r>
              <w:rPr>
                <w:rFonts w:ascii="Arial" w:eastAsia="黑体" w:hAnsi="Arial" w:cs="Arial"/>
                <w:sz w:val="15"/>
                <w:szCs w:val="15"/>
              </w:rPr>
              <w:t>发放贷款及垫款和其他资产减值准备</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5,010,250,106.99</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1,252,562,526.75</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0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9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6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1,252,562,526.75</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526" w:type="dxa"/>
            <w:tcBorders>
              <w:top w:val="nil"/>
              <w:left w:val="nil"/>
              <w:bottom w:val="nil"/>
              <w:right w:val="nil"/>
            </w:tcBorders>
            <w:vAlign w:val="bottom"/>
          </w:tcPr>
          <w:p w:rsidR="00AD5BB5" w:rsidRDefault="00F87FF6">
            <w:pPr>
              <w:autoSpaceDE w:val="0"/>
              <w:autoSpaceDN w:val="0"/>
              <w:ind w:leftChars="6" w:left="181" w:rightChars="26" w:right="55" w:hangingChars="112" w:hanging="168"/>
              <w:rPr>
                <w:rFonts w:ascii="Arial" w:eastAsia="黑体" w:hAnsi="Arial" w:cs="Arial"/>
                <w:sz w:val="15"/>
                <w:szCs w:val="15"/>
              </w:rPr>
            </w:pPr>
            <w:r>
              <w:rPr>
                <w:rFonts w:ascii="Arial" w:eastAsia="黑体" w:hAnsi="Arial" w:cs="Arial"/>
                <w:sz w:val="15"/>
                <w:szCs w:val="15"/>
              </w:rPr>
              <w:t>金融工具的公允价值变动</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8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0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9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6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526" w:type="dxa"/>
            <w:tcBorders>
              <w:top w:val="nil"/>
              <w:left w:val="nil"/>
              <w:bottom w:val="nil"/>
              <w:right w:val="nil"/>
            </w:tcBorders>
            <w:vAlign w:val="bottom"/>
          </w:tcPr>
          <w:p w:rsidR="00AD5BB5" w:rsidRDefault="00F87FF6">
            <w:pPr>
              <w:autoSpaceDE w:val="0"/>
              <w:autoSpaceDN w:val="0"/>
              <w:ind w:leftChars="6" w:left="178" w:hangingChars="110" w:hanging="165"/>
              <w:rPr>
                <w:rFonts w:ascii="Arial" w:eastAsia="黑体" w:hAnsi="Arial" w:cs="Arial"/>
                <w:sz w:val="15"/>
                <w:szCs w:val="15"/>
              </w:rPr>
            </w:pPr>
            <w:r>
              <w:rPr>
                <w:rFonts w:ascii="Arial" w:eastAsia="黑体" w:hAnsi="Arial" w:cs="Arial"/>
                <w:sz w:val="15"/>
                <w:szCs w:val="15"/>
              </w:rPr>
              <w:t>—</w:t>
            </w:r>
            <w:r>
              <w:rPr>
                <w:rFonts w:ascii="Arial" w:eastAsia="黑体" w:hAnsi="Arial" w:cs="Arial"/>
                <w:sz w:val="15"/>
                <w:szCs w:val="15"/>
              </w:rPr>
              <w:t>以公允价值计量且其变动计入当期损益的金融资产的公允价值变动</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21,097,275.60</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5,274,318.90</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0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9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6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5,274,318.90</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526" w:type="dxa"/>
            <w:tcBorders>
              <w:top w:val="nil"/>
              <w:left w:val="nil"/>
              <w:bottom w:val="nil"/>
              <w:right w:val="nil"/>
            </w:tcBorders>
            <w:vAlign w:val="bottom"/>
          </w:tcPr>
          <w:p w:rsidR="00AD5BB5" w:rsidRDefault="00F87FF6">
            <w:pPr>
              <w:autoSpaceDE w:val="0"/>
              <w:autoSpaceDN w:val="0"/>
              <w:ind w:left="168" w:hangingChars="112" w:hanging="168"/>
              <w:rPr>
                <w:rFonts w:ascii="Arial" w:eastAsia="黑体" w:hAnsi="Arial" w:cs="Arial"/>
                <w:sz w:val="15"/>
                <w:szCs w:val="15"/>
              </w:rPr>
            </w:pPr>
            <w:r>
              <w:rPr>
                <w:rFonts w:ascii="Arial" w:eastAsia="黑体" w:hAnsi="Arial" w:cs="Arial"/>
                <w:sz w:val="15"/>
                <w:szCs w:val="15"/>
              </w:rPr>
              <w:t>—</w:t>
            </w:r>
            <w:r>
              <w:rPr>
                <w:rFonts w:ascii="Arial" w:eastAsia="黑体" w:hAnsi="Arial" w:cs="Arial"/>
                <w:sz w:val="15"/>
                <w:szCs w:val="15"/>
              </w:rPr>
              <w:t>以公允价值计量且其变动计入其他综合收益的金融资产的公允价值变动</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0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(158,162,976.86</w:t>
            </w:r>
          </w:p>
        </w:tc>
        <w:tc>
          <w:tcPr>
            <w:tcW w:w="103" w:type="dxa"/>
            <w:tcBorders>
              <w:top w:val="nil"/>
              <w:left w:val="nil"/>
              <w:bottom w:val="nil"/>
              <w:right w:val="nil"/>
            </w:tcBorders>
            <w:vAlign w:val="bottom"/>
          </w:tcPr>
          <w:p w:rsidR="00AD5BB5" w:rsidRDefault="00F87FF6">
            <w:pPr>
              <w:autoSpaceDE w:val="0"/>
              <w:autoSpaceDN w:val="0"/>
              <w:rPr>
                <w:rFonts w:ascii="Arial" w:eastAsia="黑体" w:hAnsi="Arial" w:cs="Arial"/>
                <w:sz w:val="15"/>
                <w:szCs w:val="15"/>
              </w:rPr>
            </w:pPr>
            <w:r>
              <w:rPr>
                <w:rFonts w:ascii="Arial" w:eastAsia="黑体" w:hAnsi="Arial" w:cs="Arial"/>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9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(39,540,744.22</w:t>
            </w:r>
          </w:p>
        </w:tc>
        <w:tc>
          <w:tcPr>
            <w:tcW w:w="103" w:type="dxa"/>
            <w:tcBorders>
              <w:top w:val="nil"/>
              <w:left w:val="nil"/>
              <w:bottom w:val="nil"/>
              <w:right w:val="nil"/>
            </w:tcBorders>
            <w:vAlign w:val="bottom"/>
          </w:tcPr>
          <w:p w:rsidR="00AD5BB5" w:rsidRDefault="00F87FF6">
            <w:pPr>
              <w:autoSpaceDE w:val="0"/>
              <w:autoSpaceDN w:val="0"/>
              <w:rPr>
                <w:rFonts w:ascii="Arial" w:eastAsia="黑体" w:hAnsi="Arial" w:cs="Arial"/>
                <w:sz w:val="15"/>
                <w:szCs w:val="15"/>
              </w:rPr>
            </w:pPr>
            <w:r>
              <w:rPr>
                <w:rFonts w:ascii="Arial" w:eastAsia="黑体" w:hAnsi="Arial" w:cs="Arial"/>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6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(39,540,744.22</w:t>
            </w:r>
          </w:p>
        </w:tc>
        <w:tc>
          <w:tcPr>
            <w:tcW w:w="103" w:type="dxa"/>
            <w:tcBorders>
              <w:top w:val="nil"/>
              <w:left w:val="nil"/>
              <w:bottom w:val="nil"/>
              <w:right w:val="nil"/>
            </w:tcBorders>
            <w:vAlign w:val="bottom"/>
          </w:tcPr>
          <w:p w:rsidR="00AD5BB5" w:rsidRDefault="00F87FF6">
            <w:pPr>
              <w:autoSpaceDE w:val="0"/>
              <w:autoSpaceDN w:val="0"/>
              <w:rPr>
                <w:rFonts w:ascii="Arial" w:eastAsia="黑体" w:hAnsi="Arial" w:cs="Arial"/>
                <w:sz w:val="15"/>
                <w:szCs w:val="15"/>
              </w:rPr>
            </w:pPr>
            <w:r>
              <w:rPr>
                <w:rFonts w:ascii="Arial" w:eastAsia="黑体" w:hAnsi="Arial" w:cs="Arial"/>
                <w:sz w:val="15"/>
                <w:szCs w:val="15"/>
              </w:rPr>
              <w:t>)</w:t>
            </w:r>
          </w:p>
        </w:tc>
      </w:tr>
      <w:tr w:rsidR="00AD5BB5">
        <w:tc>
          <w:tcPr>
            <w:tcW w:w="1526"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应付职工薪酬</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284,903,730.11</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71,225,932.53</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0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9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6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71,225,932.53</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526"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color w:val="000000"/>
                <w:sz w:val="15"/>
                <w:szCs w:val="15"/>
              </w:rPr>
            </w:pPr>
            <w:r>
              <w:rPr>
                <w:rFonts w:ascii="Arial" w:eastAsia="黑体" w:hAnsi="Arial" w:cs="Arial"/>
                <w:sz w:val="15"/>
              </w:rPr>
              <w:t>预计负债</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5"/>
                <w:szCs w:val="15"/>
              </w:rPr>
            </w:pPr>
          </w:p>
        </w:tc>
        <w:tc>
          <w:tcPr>
            <w:tcW w:w="1185" w:type="dxa"/>
            <w:tcBorders>
              <w:top w:val="nil"/>
              <w:left w:val="nil"/>
              <w:bottom w:val="nil"/>
              <w:right w:val="nil"/>
            </w:tcBorders>
            <w:vAlign w:val="bottom"/>
          </w:tcPr>
          <w:p w:rsidR="00AD5BB5" w:rsidRDefault="00F87FF6">
            <w:pPr>
              <w:autoSpaceDE w:val="0"/>
              <w:autoSpaceDN w:val="0"/>
              <w:jc w:val="right"/>
              <w:rPr>
                <w:rFonts w:ascii="Arial" w:eastAsia="黑体" w:hAnsi="Arial" w:cs="Arial"/>
                <w:color w:val="000000"/>
                <w:sz w:val="15"/>
                <w:szCs w:val="15"/>
              </w:rPr>
            </w:pPr>
            <w:r>
              <w:rPr>
                <w:rFonts w:ascii="Arial" w:eastAsia="黑体" w:hAnsi="Arial" w:cs="Arial"/>
                <w:sz w:val="15"/>
              </w:rPr>
              <w:t>312,892,259.86</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5"/>
                <w:szCs w:val="15"/>
              </w:rPr>
            </w:pPr>
          </w:p>
        </w:tc>
        <w:tc>
          <w:tcPr>
            <w:tcW w:w="1194" w:type="dxa"/>
            <w:tcBorders>
              <w:top w:val="nil"/>
              <w:left w:val="nil"/>
              <w:bottom w:val="nil"/>
              <w:right w:val="nil"/>
            </w:tcBorders>
            <w:vAlign w:val="bottom"/>
          </w:tcPr>
          <w:p w:rsidR="00AD5BB5" w:rsidRDefault="00F87FF6">
            <w:pPr>
              <w:autoSpaceDE w:val="0"/>
              <w:autoSpaceDN w:val="0"/>
              <w:jc w:val="right"/>
              <w:rPr>
                <w:rFonts w:ascii="Arial" w:eastAsia="黑体" w:hAnsi="Arial" w:cs="Arial"/>
                <w:color w:val="000000"/>
                <w:sz w:val="15"/>
                <w:szCs w:val="15"/>
              </w:rPr>
            </w:pPr>
            <w:r>
              <w:rPr>
                <w:rFonts w:ascii="Arial" w:eastAsia="黑体" w:hAnsi="Arial" w:cs="Arial"/>
                <w:sz w:val="15"/>
              </w:rPr>
              <w:t>78,223,064.97</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5"/>
                <w:szCs w:val="15"/>
              </w:rPr>
            </w:pPr>
          </w:p>
        </w:tc>
        <w:tc>
          <w:tcPr>
            <w:tcW w:w="1109" w:type="dxa"/>
            <w:tcBorders>
              <w:top w:val="nil"/>
              <w:left w:val="nil"/>
              <w:bottom w:val="nil"/>
              <w:right w:val="nil"/>
            </w:tcBorders>
            <w:vAlign w:val="bottom"/>
          </w:tcPr>
          <w:p w:rsidR="00AD5BB5" w:rsidRDefault="00F87FF6">
            <w:pPr>
              <w:autoSpaceDE w:val="0"/>
              <w:autoSpaceDN w:val="0"/>
              <w:jc w:val="right"/>
              <w:rPr>
                <w:rFonts w:ascii="Arial" w:eastAsia="黑体" w:hAnsi="Arial" w:cs="Arial"/>
                <w:color w:val="000000"/>
                <w:sz w:val="15"/>
                <w:szCs w:val="15"/>
              </w:rPr>
            </w:pPr>
            <w:r>
              <w:rPr>
                <w:rFonts w:ascii="Arial" w:eastAsia="黑体" w:hAnsi="Arial" w:cs="Arial" w:hint="eastAsia"/>
                <w:color w:val="000000"/>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5"/>
                <w:szCs w:val="15"/>
              </w:rPr>
            </w:pPr>
          </w:p>
        </w:tc>
        <w:tc>
          <w:tcPr>
            <w:tcW w:w="1096" w:type="dxa"/>
            <w:tcBorders>
              <w:top w:val="nil"/>
              <w:left w:val="nil"/>
              <w:bottom w:val="nil"/>
              <w:right w:val="nil"/>
            </w:tcBorders>
            <w:vAlign w:val="bottom"/>
          </w:tcPr>
          <w:p w:rsidR="00AD5BB5" w:rsidRDefault="00F87FF6">
            <w:pPr>
              <w:autoSpaceDE w:val="0"/>
              <w:autoSpaceDN w:val="0"/>
              <w:jc w:val="right"/>
              <w:rPr>
                <w:rFonts w:ascii="Arial" w:eastAsia="黑体" w:hAnsi="Arial" w:cs="Arial"/>
                <w:color w:val="000000"/>
                <w:sz w:val="15"/>
                <w:szCs w:val="15"/>
              </w:rPr>
            </w:pPr>
            <w:r>
              <w:rPr>
                <w:rFonts w:ascii="Arial" w:eastAsia="黑体" w:hAnsi="Arial" w:cs="Arial" w:hint="eastAsia"/>
                <w:color w:val="000000"/>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5"/>
                <w:szCs w:val="15"/>
              </w:rPr>
            </w:pPr>
          </w:p>
        </w:tc>
        <w:tc>
          <w:tcPr>
            <w:tcW w:w="1265" w:type="dxa"/>
            <w:tcBorders>
              <w:top w:val="nil"/>
              <w:left w:val="nil"/>
              <w:bottom w:val="nil"/>
              <w:right w:val="nil"/>
            </w:tcBorders>
            <w:vAlign w:val="bottom"/>
          </w:tcPr>
          <w:p w:rsidR="00AD5BB5" w:rsidRDefault="00F87FF6">
            <w:pPr>
              <w:autoSpaceDE w:val="0"/>
              <w:autoSpaceDN w:val="0"/>
              <w:jc w:val="right"/>
              <w:rPr>
                <w:rFonts w:ascii="Arial" w:eastAsia="黑体" w:hAnsi="Arial" w:cs="Arial"/>
                <w:color w:val="000000"/>
                <w:sz w:val="15"/>
                <w:szCs w:val="15"/>
              </w:rPr>
            </w:pPr>
            <w:r>
              <w:rPr>
                <w:rFonts w:ascii="Arial" w:eastAsia="黑体" w:hAnsi="Arial" w:cs="Arial"/>
                <w:sz w:val="15"/>
              </w:rPr>
              <w:t>78,223,064.97</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5"/>
                <w:szCs w:val="15"/>
              </w:rPr>
            </w:pPr>
          </w:p>
        </w:tc>
      </w:tr>
      <w:tr w:rsidR="00AD5BB5">
        <w:tc>
          <w:tcPr>
            <w:tcW w:w="1526"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可抵扣亏损</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616,630,863.29</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154,157,715.82</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0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hint="eastAsia"/>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9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hint="eastAsia"/>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6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154,157,715.82</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526"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其他</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8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134,508,169.01</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33,627,042.25</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0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9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6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33,627,042.25</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526" w:type="dxa"/>
            <w:tcBorders>
              <w:top w:val="nil"/>
              <w:left w:val="nil"/>
              <w:bottom w:val="nil"/>
              <w:right w:val="nil"/>
            </w:tcBorders>
            <w:vAlign w:val="bottom"/>
          </w:tcPr>
          <w:p w:rsidR="00AD5BB5" w:rsidRDefault="00AD5BB5">
            <w:pPr>
              <w:autoSpaceDE w:val="0"/>
              <w:autoSpaceDN w:val="0"/>
              <w:ind w:left="225" w:hangingChars="150" w:hanging="225"/>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8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0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9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6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526"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合计</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8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6,380,282,404.86</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1,595,070,601.22</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0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(158,162,976.86</w:t>
            </w:r>
          </w:p>
        </w:tc>
        <w:tc>
          <w:tcPr>
            <w:tcW w:w="103" w:type="dxa"/>
            <w:tcBorders>
              <w:top w:val="nil"/>
              <w:left w:val="nil"/>
              <w:bottom w:val="nil"/>
              <w:right w:val="nil"/>
            </w:tcBorders>
            <w:vAlign w:val="bottom"/>
          </w:tcPr>
          <w:p w:rsidR="00AD5BB5" w:rsidRDefault="00F87FF6">
            <w:pPr>
              <w:autoSpaceDE w:val="0"/>
              <w:autoSpaceDN w:val="0"/>
              <w:rPr>
                <w:rFonts w:ascii="Arial" w:eastAsia="黑体" w:hAnsi="Arial" w:cs="Arial"/>
                <w:sz w:val="15"/>
                <w:szCs w:val="15"/>
              </w:rPr>
            </w:pPr>
            <w:r>
              <w:rPr>
                <w:rFonts w:ascii="Arial" w:eastAsia="黑体" w:hAnsi="Arial" w:cs="Arial"/>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9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(39,540,744.22</w:t>
            </w:r>
          </w:p>
        </w:tc>
        <w:tc>
          <w:tcPr>
            <w:tcW w:w="103" w:type="dxa"/>
            <w:tcBorders>
              <w:top w:val="nil"/>
              <w:left w:val="nil"/>
              <w:bottom w:val="nil"/>
              <w:right w:val="nil"/>
            </w:tcBorders>
            <w:vAlign w:val="bottom"/>
          </w:tcPr>
          <w:p w:rsidR="00AD5BB5" w:rsidRDefault="00F87FF6">
            <w:pPr>
              <w:autoSpaceDE w:val="0"/>
              <w:autoSpaceDN w:val="0"/>
              <w:rPr>
                <w:rFonts w:ascii="Arial" w:eastAsia="黑体" w:hAnsi="Arial" w:cs="Arial"/>
                <w:sz w:val="15"/>
                <w:szCs w:val="15"/>
              </w:rPr>
            </w:pPr>
            <w:r>
              <w:rPr>
                <w:rFonts w:ascii="Arial" w:eastAsia="黑体" w:hAnsi="Arial" w:cs="Arial"/>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6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1,555,529,857.00</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bl>
    <w:p w:rsidR="00AD5BB5" w:rsidRDefault="00AD5BB5">
      <w:pPr>
        <w:overflowPunct w:val="0"/>
        <w:autoSpaceDE w:val="0"/>
        <w:autoSpaceDN w:val="0"/>
        <w:adjustRightInd w:val="0"/>
        <w:snapToGrid w:val="0"/>
        <w:textAlignment w:val="bottom"/>
        <w:rPr>
          <w:rFonts w:ascii="Arial" w:eastAsia="黑体" w:hAnsi="Arial" w:cs="Arial"/>
          <w:snapToGrid w:val="0"/>
          <w:sz w:val="15"/>
          <w:szCs w:val="15"/>
        </w:rPr>
      </w:pPr>
    </w:p>
    <w:tbl>
      <w:tblPr>
        <w:tblW w:w="0" w:type="auto"/>
        <w:tblLayout w:type="fixed"/>
        <w:tblCellMar>
          <w:left w:w="0" w:type="dxa"/>
          <w:right w:w="0" w:type="dxa"/>
        </w:tblCellMar>
        <w:tblLook w:val="04A0" w:firstRow="1" w:lastRow="0" w:firstColumn="1" w:lastColumn="0" w:noHBand="0" w:noVBand="1"/>
        <w:tblCaption w:val="fea97aa5-3a02-4b2d-8450-e39b4091f8ee"/>
        <w:tblDescription w:val="{&quot;UUID&quot;:&quot;afsaddin_tabledata_2_56437_fea97aa5-3a02-4b2d-8450-e39b4091f8ee&quot;,&quot;TitleRowCount&quot;:3,&quot;SplitedTable&quot;:false,&quot;FirstTableId&quot;:&quot;fea97aa5-3a02-4b2d-8450-e39b4091f8ee&quot;}"/>
      </w:tblPr>
      <w:tblGrid>
        <w:gridCol w:w="1526"/>
        <w:gridCol w:w="103"/>
        <w:gridCol w:w="1185"/>
        <w:gridCol w:w="103"/>
        <w:gridCol w:w="103"/>
        <w:gridCol w:w="1194"/>
        <w:gridCol w:w="103"/>
        <w:gridCol w:w="103"/>
        <w:gridCol w:w="1109"/>
        <w:gridCol w:w="103"/>
        <w:gridCol w:w="103"/>
        <w:gridCol w:w="1096"/>
        <w:gridCol w:w="103"/>
        <w:gridCol w:w="103"/>
        <w:gridCol w:w="1265"/>
        <w:gridCol w:w="103"/>
      </w:tblGrid>
      <w:tr w:rsidR="00AD5BB5">
        <w:tc>
          <w:tcPr>
            <w:tcW w:w="1526" w:type="dxa"/>
            <w:tcBorders>
              <w:top w:val="nil"/>
              <w:left w:val="nil"/>
              <w:bottom w:val="nil"/>
              <w:right w:val="nil"/>
            </w:tcBorders>
            <w:vAlign w:val="bottom"/>
          </w:tcPr>
          <w:p w:rsidR="00AD5BB5" w:rsidRDefault="00AD5BB5">
            <w:pPr>
              <w:autoSpaceDE w:val="0"/>
              <w:autoSpaceDN w:val="0"/>
              <w:ind w:left="225" w:hangingChars="150" w:hanging="225"/>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6673" w:type="dxa"/>
            <w:gridSpan w:val="13"/>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sz w:val="15"/>
                <w:szCs w:val="15"/>
              </w:rPr>
            </w:pPr>
            <w:r>
              <w:rPr>
                <w:rFonts w:ascii="Arial" w:eastAsia="黑体" w:hAnsi="Arial" w:cs="Arial"/>
                <w:sz w:val="15"/>
                <w:szCs w:val="15"/>
              </w:rPr>
              <w:t>2022</w:t>
            </w:r>
            <w:r>
              <w:rPr>
                <w:rFonts w:ascii="Arial" w:eastAsia="黑体" w:hAnsi="Arial" w:cs="Arial"/>
                <w:sz w:val="15"/>
                <w:szCs w:val="15"/>
              </w:rPr>
              <w:t>年</w:t>
            </w:r>
            <w:r>
              <w:rPr>
                <w:rFonts w:ascii="Arial" w:eastAsia="黑体" w:hAnsi="Arial" w:cs="Arial"/>
                <w:sz w:val="15"/>
                <w:szCs w:val="15"/>
              </w:rPr>
              <w:t>12</w:t>
            </w:r>
            <w:r>
              <w:rPr>
                <w:rFonts w:ascii="Arial" w:eastAsia="黑体" w:hAnsi="Arial" w:cs="Arial"/>
                <w:sz w:val="15"/>
                <w:szCs w:val="15"/>
              </w:rPr>
              <w:t>月</w:t>
            </w:r>
            <w:r>
              <w:rPr>
                <w:rFonts w:ascii="Arial" w:eastAsia="黑体" w:hAnsi="Arial" w:cs="Arial"/>
                <w:sz w:val="15"/>
                <w:szCs w:val="15"/>
              </w:rPr>
              <w:t>31</w:t>
            </w:r>
            <w:r>
              <w:rPr>
                <w:rFonts w:ascii="Arial" w:eastAsia="黑体" w:hAnsi="Arial" w:cs="Arial"/>
                <w:sz w:val="15"/>
                <w:szCs w:val="15"/>
              </w:rPr>
              <w:t>日</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526" w:type="dxa"/>
            <w:tcBorders>
              <w:top w:val="nil"/>
              <w:left w:val="nil"/>
              <w:bottom w:val="nil"/>
              <w:right w:val="nil"/>
            </w:tcBorders>
            <w:vAlign w:val="bottom"/>
          </w:tcPr>
          <w:p w:rsidR="00AD5BB5" w:rsidRDefault="00AD5BB5">
            <w:pPr>
              <w:autoSpaceDE w:val="0"/>
              <w:autoSpaceDN w:val="0"/>
              <w:ind w:left="225" w:hangingChars="150" w:hanging="225"/>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85"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u w:val="single"/>
              </w:rPr>
              <w:t>可抵扣</w:t>
            </w:r>
          </w:p>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u w:val="single"/>
              </w:rPr>
              <w:t>暂时性差异</w:t>
            </w:r>
          </w:p>
        </w:tc>
        <w:tc>
          <w:tcPr>
            <w:tcW w:w="103"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4"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u w:val="single"/>
              </w:rPr>
              <w:t>递延</w:t>
            </w:r>
          </w:p>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u w:val="single"/>
              </w:rPr>
              <w:t>所得税资产</w:t>
            </w:r>
          </w:p>
        </w:tc>
        <w:tc>
          <w:tcPr>
            <w:tcW w:w="103"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09"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u w:val="single"/>
              </w:rPr>
              <w:t>应纳税</w:t>
            </w:r>
          </w:p>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u w:val="single"/>
              </w:rPr>
              <w:t>暂时性差异</w:t>
            </w:r>
          </w:p>
        </w:tc>
        <w:tc>
          <w:tcPr>
            <w:tcW w:w="103"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96"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u w:val="single"/>
              </w:rPr>
              <w:t>递延</w:t>
            </w:r>
          </w:p>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u w:val="single"/>
              </w:rPr>
              <w:t>所得税负债</w:t>
            </w:r>
          </w:p>
        </w:tc>
        <w:tc>
          <w:tcPr>
            <w:tcW w:w="103"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65"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u w:val="single"/>
              </w:rPr>
              <w:t>递延</w:t>
            </w:r>
          </w:p>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u w:val="single"/>
              </w:rPr>
              <w:t>税项净额</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526" w:type="dxa"/>
            <w:tcBorders>
              <w:top w:val="nil"/>
              <w:left w:val="nil"/>
              <w:bottom w:val="nil"/>
              <w:right w:val="nil"/>
            </w:tcBorders>
            <w:vAlign w:val="bottom"/>
          </w:tcPr>
          <w:p w:rsidR="00AD5BB5" w:rsidRDefault="00AD5BB5">
            <w:pPr>
              <w:autoSpaceDE w:val="0"/>
              <w:autoSpaceDN w:val="0"/>
              <w:ind w:left="225" w:hangingChars="150" w:hanging="225"/>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8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0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9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6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526" w:type="dxa"/>
            <w:tcBorders>
              <w:top w:val="nil"/>
              <w:left w:val="nil"/>
              <w:bottom w:val="nil"/>
              <w:right w:val="nil"/>
            </w:tcBorders>
            <w:vAlign w:val="bottom"/>
          </w:tcPr>
          <w:p w:rsidR="00AD5BB5" w:rsidRDefault="00F87FF6">
            <w:pPr>
              <w:autoSpaceDE w:val="0"/>
              <w:autoSpaceDN w:val="0"/>
              <w:ind w:leftChars="1" w:left="140" w:hangingChars="92" w:hanging="138"/>
              <w:rPr>
                <w:rFonts w:ascii="Arial" w:eastAsia="黑体" w:hAnsi="Arial" w:cs="Arial"/>
                <w:sz w:val="15"/>
                <w:szCs w:val="15"/>
              </w:rPr>
            </w:pPr>
            <w:r>
              <w:rPr>
                <w:rFonts w:ascii="Arial" w:eastAsia="黑体" w:hAnsi="Arial" w:cs="Arial"/>
                <w:sz w:val="15"/>
                <w:szCs w:val="15"/>
              </w:rPr>
              <w:t>发放贷款及垫款和其他资产减值准备</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5,610,294,100.73</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1,402,573,525.18</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0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9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6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1,402,573,525.18</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526" w:type="dxa"/>
            <w:tcBorders>
              <w:top w:val="nil"/>
              <w:left w:val="nil"/>
              <w:bottom w:val="nil"/>
              <w:right w:val="nil"/>
            </w:tcBorders>
            <w:vAlign w:val="bottom"/>
          </w:tcPr>
          <w:p w:rsidR="00AD5BB5" w:rsidRDefault="00F87FF6">
            <w:pPr>
              <w:autoSpaceDE w:val="0"/>
              <w:autoSpaceDN w:val="0"/>
              <w:ind w:left="168" w:rightChars="32" w:right="67" w:hangingChars="112" w:hanging="168"/>
              <w:rPr>
                <w:rFonts w:ascii="Arial" w:eastAsia="黑体" w:hAnsi="Arial" w:cs="Arial"/>
                <w:sz w:val="15"/>
                <w:szCs w:val="15"/>
              </w:rPr>
            </w:pPr>
            <w:r>
              <w:rPr>
                <w:rFonts w:ascii="Arial" w:eastAsia="黑体" w:hAnsi="Arial" w:cs="Arial"/>
                <w:sz w:val="15"/>
                <w:szCs w:val="15"/>
              </w:rPr>
              <w:t>金融工具的公允价值变动</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8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0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9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6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526" w:type="dxa"/>
            <w:tcBorders>
              <w:top w:val="nil"/>
              <w:left w:val="nil"/>
              <w:bottom w:val="nil"/>
              <w:right w:val="nil"/>
            </w:tcBorders>
            <w:vAlign w:val="bottom"/>
          </w:tcPr>
          <w:p w:rsidR="00AD5BB5" w:rsidRDefault="00F87FF6">
            <w:pPr>
              <w:autoSpaceDE w:val="0"/>
              <w:autoSpaceDN w:val="0"/>
              <w:ind w:leftChars="12" w:left="151" w:hangingChars="84" w:hanging="126"/>
              <w:rPr>
                <w:rFonts w:ascii="Arial" w:eastAsia="黑体" w:hAnsi="Arial" w:cs="Arial"/>
                <w:sz w:val="15"/>
                <w:szCs w:val="15"/>
              </w:rPr>
            </w:pPr>
            <w:r>
              <w:rPr>
                <w:rFonts w:ascii="Arial" w:eastAsia="黑体" w:hAnsi="Arial" w:cs="Arial"/>
                <w:sz w:val="15"/>
                <w:szCs w:val="15"/>
              </w:rPr>
              <w:t>—</w:t>
            </w:r>
            <w:r>
              <w:rPr>
                <w:rFonts w:ascii="Arial" w:eastAsia="黑体" w:hAnsi="Arial" w:cs="Arial"/>
                <w:sz w:val="15"/>
                <w:szCs w:val="15"/>
              </w:rPr>
              <w:t>以公允价值计量且其变动计入当期损益的金融资产的公允价值变动</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409,120,834.49</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102,280,208.62</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0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9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6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102,280,208.62</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526" w:type="dxa"/>
            <w:tcBorders>
              <w:top w:val="nil"/>
              <w:left w:val="nil"/>
              <w:bottom w:val="nil"/>
              <w:right w:val="nil"/>
            </w:tcBorders>
            <w:vAlign w:val="bottom"/>
          </w:tcPr>
          <w:p w:rsidR="00AD5BB5" w:rsidRDefault="00F87FF6">
            <w:pPr>
              <w:autoSpaceDE w:val="0"/>
              <w:autoSpaceDN w:val="0"/>
              <w:ind w:leftChars="6" w:left="178" w:hangingChars="110" w:hanging="165"/>
              <w:rPr>
                <w:rFonts w:ascii="Arial" w:eastAsia="黑体" w:hAnsi="Arial" w:cs="Arial"/>
                <w:sz w:val="15"/>
                <w:szCs w:val="15"/>
              </w:rPr>
            </w:pPr>
            <w:r>
              <w:rPr>
                <w:rFonts w:ascii="Arial" w:eastAsia="黑体" w:hAnsi="Arial" w:cs="Arial"/>
                <w:sz w:val="15"/>
                <w:szCs w:val="15"/>
              </w:rPr>
              <w:t>—</w:t>
            </w:r>
            <w:r>
              <w:rPr>
                <w:rFonts w:ascii="Arial" w:eastAsia="黑体" w:hAnsi="Arial" w:cs="Arial"/>
                <w:sz w:val="15"/>
                <w:szCs w:val="15"/>
              </w:rPr>
              <w:t>以公允价值计量且其变动计入其他综合收益的金融资产的公允价值变动</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270,007,497.75</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67,501,874.44</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0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9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6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67,501,874.44</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526"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应付职工薪酬</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263,320,773.13</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65,830,193.28</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0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9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6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65,830,193.28</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526"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color w:val="000000"/>
                <w:sz w:val="15"/>
                <w:szCs w:val="15"/>
              </w:rPr>
            </w:pPr>
            <w:r>
              <w:rPr>
                <w:rFonts w:ascii="Arial" w:eastAsia="黑体" w:hAnsi="Arial" w:cs="Arial"/>
                <w:sz w:val="15"/>
              </w:rPr>
              <w:t>预计负债</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5"/>
                <w:szCs w:val="15"/>
              </w:rPr>
            </w:pPr>
          </w:p>
        </w:tc>
        <w:tc>
          <w:tcPr>
            <w:tcW w:w="1185" w:type="dxa"/>
            <w:tcBorders>
              <w:top w:val="nil"/>
              <w:left w:val="nil"/>
              <w:bottom w:val="nil"/>
              <w:right w:val="nil"/>
            </w:tcBorders>
            <w:vAlign w:val="bottom"/>
          </w:tcPr>
          <w:p w:rsidR="00AD5BB5" w:rsidRDefault="00F87FF6">
            <w:pPr>
              <w:autoSpaceDE w:val="0"/>
              <w:autoSpaceDN w:val="0"/>
              <w:jc w:val="right"/>
              <w:rPr>
                <w:rFonts w:ascii="Arial" w:eastAsia="黑体" w:hAnsi="Arial" w:cs="Arial"/>
                <w:color w:val="000000"/>
                <w:sz w:val="15"/>
                <w:szCs w:val="15"/>
              </w:rPr>
            </w:pPr>
            <w:r>
              <w:rPr>
                <w:rFonts w:ascii="Arial" w:eastAsia="黑体" w:hAnsi="Arial" w:cs="Arial"/>
                <w:sz w:val="15"/>
              </w:rPr>
              <w:t>473,824,172.88</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5"/>
                <w:szCs w:val="15"/>
              </w:rPr>
            </w:pPr>
          </w:p>
        </w:tc>
        <w:tc>
          <w:tcPr>
            <w:tcW w:w="1194" w:type="dxa"/>
            <w:tcBorders>
              <w:top w:val="nil"/>
              <w:left w:val="nil"/>
              <w:bottom w:val="nil"/>
              <w:right w:val="nil"/>
            </w:tcBorders>
            <w:vAlign w:val="bottom"/>
          </w:tcPr>
          <w:p w:rsidR="00AD5BB5" w:rsidRDefault="00F87FF6">
            <w:pPr>
              <w:autoSpaceDE w:val="0"/>
              <w:autoSpaceDN w:val="0"/>
              <w:jc w:val="right"/>
              <w:rPr>
                <w:rFonts w:ascii="Arial" w:eastAsia="黑体" w:hAnsi="Arial" w:cs="Arial"/>
                <w:color w:val="000000"/>
                <w:sz w:val="15"/>
                <w:szCs w:val="15"/>
              </w:rPr>
            </w:pPr>
            <w:r>
              <w:rPr>
                <w:rFonts w:ascii="Arial" w:eastAsia="黑体" w:hAnsi="Arial" w:cs="Arial"/>
                <w:sz w:val="15"/>
              </w:rPr>
              <w:t>118,456,043.22</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5"/>
                <w:szCs w:val="15"/>
              </w:rPr>
            </w:pPr>
          </w:p>
        </w:tc>
        <w:tc>
          <w:tcPr>
            <w:tcW w:w="1109" w:type="dxa"/>
            <w:tcBorders>
              <w:top w:val="nil"/>
              <w:left w:val="nil"/>
              <w:bottom w:val="nil"/>
              <w:right w:val="nil"/>
            </w:tcBorders>
            <w:vAlign w:val="bottom"/>
          </w:tcPr>
          <w:p w:rsidR="00AD5BB5" w:rsidRDefault="00F87FF6">
            <w:pPr>
              <w:autoSpaceDE w:val="0"/>
              <w:autoSpaceDN w:val="0"/>
              <w:jc w:val="right"/>
              <w:rPr>
                <w:rFonts w:ascii="Arial" w:eastAsia="黑体" w:hAnsi="Arial" w:cs="Arial"/>
                <w:color w:val="000000"/>
                <w:sz w:val="15"/>
                <w:szCs w:val="15"/>
              </w:rPr>
            </w:pPr>
            <w:r>
              <w:rPr>
                <w:rFonts w:ascii="Arial" w:eastAsia="黑体" w:hAnsi="Arial" w:cs="Arial" w:hint="eastAsia"/>
                <w:color w:val="000000"/>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5"/>
                <w:szCs w:val="15"/>
              </w:rPr>
            </w:pPr>
          </w:p>
        </w:tc>
        <w:tc>
          <w:tcPr>
            <w:tcW w:w="1096" w:type="dxa"/>
            <w:tcBorders>
              <w:top w:val="nil"/>
              <w:left w:val="nil"/>
              <w:bottom w:val="nil"/>
              <w:right w:val="nil"/>
            </w:tcBorders>
            <w:vAlign w:val="bottom"/>
          </w:tcPr>
          <w:p w:rsidR="00AD5BB5" w:rsidRDefault="00F87FF6">
            <w:pPr>
              <w:autoSpaceDE w:val="0"/>
              <w:autoSpaceDN w:val="0"/>
              <w:jc w:val="right"/>
              <w:rPr>
                <w:rFonts w:ascii="Arial" w:eastAsia="黑体" w:hAnsi="Arial" w:cs="Arial"/>
                <w:color w:val="000000"/>
                <w:sz w:val="15"/>
                <w:szCs w:val="15"/>
              </w:rPr>
            </w:pPr>
            <w:r>
              <w:rPr>
                <w:rFonts w:ascii="Arial" w:eastAsia="黑体" w:hAnsi="Arial" w:cs="Arial" w:hint="eastAsia"/>
                <w:color w:val="000000"/>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5"/>
                <w:szCs w:val="15"/>
              </w:rPr>
            </w:pPr>
          </w:p>
        </w:tc>
        <w:tc>
          <w:tcPr>
            <w:tcW w:w="1265" w:type="dxa"/>
            <w:tcBorders>
              <w:top w:val="nil"/>
              <w:left w:val="nil"/>
              <w:bottom w:val="nil"/>
              <w:right w:val="nil"/>
            </w:tcBorders>
            <w:vAlign w:val="bottom"/>
          </w:tcPr>
          <w:p w:rsidR="00AD5BB5" w:rsidRDefault="00F87FF6">
            <w:pPr>
              <w:autoSpaceDE w:val="0"/>
              <w:autoSpaceDN w:val="0"/>
              <w:jc w:val="right"/>
              <w:rPr>
                <w:rFonts w:ascii="Arial" w:eastAsia="黑体" w:hAnsi="Arial" w:cs="Arial"/>
                <w:color w:val="000000"/>
                <w:sz w:val="15"/>
                <w:szCs w:val="15"/>
              </w:rPr>
            </w:pPr>
            <w:r>
              <w:rPr>
                <w:rFonts w:ascii="Arial" w:eastAsia="黑体" w:hAnsi="Arial" w:cs="Arial"/>
                <w:sz w:val="15"/>
              </w:rPr>
              <w:t>118,456,043.22</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5"/>
                <w:szCs w:val="15"/>
              </w:rPr>
            </w:pPr>
          </w:p>
        </w:tc>
      </w:tr>
      <w:tr w:rsidR="00AD5BB5">
        <w:tc>
          <w:tcPr>
            <w:tcW w:w="1526"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其他</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8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143,250,834.15</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35,812,708.54</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0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9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6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35,812,708.54</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526" w:type="dxa"/>
            <w:tcBorders>
              <w:top w:val="nil"/>
              <w:left w:val="nil"/>
              <w:bottom w:val="nil"/>
              <w:right w:val="nil"/>
            </w:tcBorders>
            <w:vAlign w:val="bottom"/>
          </w:tcPr>
          <w:p w:rsidR="00AD5BB5" w:rsidRDefault="00AD5BB5">
            <w:pPr>
              <w:autoSpaceDE w:val="0"/>
              <w:autoSpaceDN w:val="0"/>
              <w:ind w:left="225" w:hangingChars="150" w:hanging="225"/>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8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0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9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6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526"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合计</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8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7,169,818,213.13</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1,792,454,553.28</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0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9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6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1,792,454,553.28</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bl>
    <w:p w:rsidR="00AD5BB5" w:rsidRDefault="00F87FF6">
      <w:pPr>
        <w:rPr>
          <w:rFonts w:ascii="Arial" w:eastAsia="黑体" w:hAnsi="Arial" w:cs="Arial"/>
          <w:snapToGrid w:val="0"/>
          <w:szCs w:val="21"/>
        </w:rPr>
      </w:pPr>
      <w:r>
        <w:rPr>
          <w:rFonts w:ascii="Arial" w:eastAsia="黑体" w:hAnsi="Arial" w:cs="Arial"/>
          <w:snapToGrid w:val="0"/>
          <w:szCs w:val="21"/>
        </w:rPr>
        <w:br w:type="page"/>
      </w:r>
    </w:p>
    <w:p w:rsidR="00AD5BB5" w:rsidRDefault="00AD5BB5">
      <w:pPr>
        <w:overflowPunct w:val="0"/>
        <w:autoSpaceDE w:val="0"/>
        <w:autoSpaceDN w:val="0"/>
        <w:adjustRightInd w:val="0"/>
        <w:snapToGrid w:val="0"/>
        <w:textAlignment w:val="bottom"/>
        <w:rPr>
          <w:rFonts w:ascii="Arial" w:eastAsia="黑体" w:hAnsi="Arial" w:cs="Arial"/>
          <w:snapToGrid w:val="0"/>
          <w:szCs w:val="21"/>
        </w:rPr>
      </w:pPr>
    </w:p>
    <w:p w:rsidR="00AD5BB5" w:rsidRDefault="00F87FF6">
      <w:pPr>
        <w:overflowPunct w:val="0"/>
        <w:autoSpaceDE w:val="0"/>
        <w:autoSpaceDN w:val="0"/>
        <w:adjustRightInd w:val="0"/>
        <w:snapToGrid w:val="0"/>
        <w:textAlignment w:val="bottom"/>
        <w:rPr>
          <w:rFonts w:ascii="Arial" w:eastAsia="黑体" w:hAnsi="Arial" w:cs="Arial"/>
          <w:b/>
          <w:snapToGrid w:val="0"/>
          <w:szCs w:val="21"/>
        </w:rPr>
      </w:pPr>
      <w:bookmarkStart w:id="149" w:name="afsaddin_WithXu_7cd4c44b62574fefa9bd169e"/>
      <w:r>
        <w:rPr>
          <w:rFonts w:ascii="Arial" w:eastAsia="黑体" w:hAnsi="Arial" w:cs="Arial"/>
          <w:b/>
          <w:snapToGrid w:val="0"/>
          <w:szCs w:val="21"/>
        </w:rPr>
        <w:t>五、</w:t>
      </w:r>
      <w:r>
        <w:rPr>
          <w:rFonts w:ascii="Arial" w:eastAsia="黑体" w:hAnsi="Arial" w:cs="Arial"/>
          <w:b/>
          <w:snapToGrid w:val="0"/>
          <w:szCs w:val="21"/>
        </w:rPr>
        <w:tab/>
      </w:r>
      <w:r>
        <w:rPr>
          <w:rFonts w:ascii="Arial" w:eastAsia="黑体" w:hAnsi="Arial" w:cs="Arial"/>
          <w:b/>
          <w:snapToGrid w:val="0"/>
          <w:szCs w:val="21"/>
        </w:rPr>
        <w:t>合并财务报表主要项目注释（续）</w:t>
      </w:r>
      <w:bookmarkEnd w:id="149"/>
    </w:p>
    <w:p w:rsidR="00AD5BB5" w:rsidRDefault="00AD5BB5">
      <w:pPr>
        <w:overflowPunct w:val="0"/>
        <w:autoSpaceDE w:val="0"/>
        <w:autoSpaceDN w:val="0"/>
        <w:adjustRightInd w:val="0"/>
        <w:snapToGrid w:val="0"/>
        <w:textAlignment w:val="bottom"/>
        <w:rPr>
          <w:rFonts w:ascii="Arial" w:eastAsia="黑体" w:hAnsi="Arial" w:cs="Arial"/>
          <w:snapToGrid w:val="0"/>
          <w:szCs w:val="21"/>
        </w:rPr>
      </w:pPr>
    </w:p>
    <w:p w:rsidR="00AD5BB5" w:rsidRDefault="00F87FF6">
      <w:pPr>
        <w:overflowPunct w:val="0"/>
        <w:autoSpaceDE w:val="0"/>
        <w:autoSpaceDN w:val="0"/>
        <w:adjustRightInd w:val="0"/>
        <w:snapToGrid w:val="0"/>
        <w:ind w:left="720" w:hanging="720"/>
        <w:textAlignment w:val="bottom"/>
        <w:rPr>
          <w:rFonts w:ascii="Arial" w:eastAsia="黑体" w:hAnsi="Arial" w:cs="Arial"/>
          <w:b/>
          <w:snapToGrid w:val="0"/>
          <w:szCs w:val="21"/>
        </w:rPr>
      </w:pPr>
      <w:bookmarkStart w:id="150" w:name="afsaddin_WithXu_0afd8b72aff74c28a0c1fad0"/>
      <w:r>
        <w:rPr>
          <w:rFonts w:ascii="Arial" w:eastAsia="黑体" w:hAnsi="Arial" w:cs="Arial"/>
          <w:b/>
          <w:snapToGrid w:val="0"/>
          <w:szCs w:val="21"/>
        </w:rPr>
        <w:t>15.</w:t>
      </w:r>
      <w:r>
        <w:rPr>
          <w:rFonts w:ascii="Arial" w:eastAsia="黑体" w:hAnsi="Arial" w:cs="Arial"/>
          <w:b/>
          <w:snapToGrid w:val="0"/>
          <w:szCs w:val="21"/>
        </w:rPr>
        <w:tab/>
      </w:r>
      <w:r>
        <w:rPr>
          <w:rFonts w:ascii="Arial" w:eastAsia="黑体" w:hAnsi="Arial" w:cs="Arial"/>
          <w:b/>
          <w:snapToGrid w:val="0"/>
          <w:szCs w:val="21"/>
        </w:rPr>
        <w:t>递延所得税资产</w:t>
      </w:r>
      <w:r>
        <w:rPr>
          <w:rFonts w:ascii="Arial" w:eastAsia="黑体" w:hAnsi="Arial" w:cs="Arial"/>
          <w:b/>
          <w:snapToGrid w:val="0"/>
          <w:szCs w:val="21"/>
        </w:rPr>
        <w:t>/</w:t>
      </w:r>
      <w:r>
        <w:rPr>
          <w:rFonts w:ascii="Arial" w:eastAsia="黑体" w:hAnsi="Arial" w:cs="Arial"/>
          <w:b/>
          <w:snapToGrid w:val="0"/>
          <w:szCs w:val="21"/>
        </w:rPr>
        <w:t>负债（续）</w:t>
      </w:r>
      <w:bookmarkEnd w:id="150"/>
    </w:p>
    <w:p w:rsidR="00AD5BB5" w:rsidRDefault="00AD5BB5">
      <w:pPr>
        <w:overflowPunct w:val="0"/>
        <w:autoSpaceDE w:val="0"/>
        <w:autoSpaceDN w:val="0"/>
        <w:adjustRightInd w:val="0"/>
        <w:snapToGrid w:val="0"/>
        <w:textAlignment w:val="bottom"/>
        <w:rPr>
          <w:rFonts w:ascii="Arial" w:eastAsia="黑体" w:hAnsi="Arial" w:cs="Arial"/>
          <w:snapToGrid w:val="0"/>
          <w:szCs w:val="21"/>
        </w:rPr>
      </w:pPr>
    </w:p>
    <w:p w:rsidR="00AD5BB5" w:rsidRDefault="00F87FF6">
      <w:pPr>
        <w:pStyle w:val="aff2"/>
        <w:numPr>
          <w:ilvl w:val="0"/>
          <w:numId w:val="33"/>
        </w:numPr>
        <w:overflowPunct w:val="0"/>
        <w:autoSpaceDE w:val="0"/>
        <w:autoSpaceDN w:val="0"/>
        <w:adjustRightInd w:val="0"/>
        <w:snapToGrid w:val="0"/>
        <w:ind w:firstLine="420"/>
        <w:textAlignment w:val="bottom"/>
        <w:rPr>
          <w:rFonts w:ascii="Arial" w:eastAsia="黑体" w:hAnsi="Arial" w:cs="Arial"/>
          <w:snapToGrid w:val="0"/>
          <w:szCs w:val="21"/>
        </w:rPr>
      </w:pPr>
      <w:bookmarkStart w:id="151" w:name="afsaddin_WithXu_1002e39c7b6a46ce8ea028fe"/>
      <w:bookmarkStart w:id="152" w:name="afsaddin_WithXu_dd38705cc7a64bd2a60b1244"/>
      <w:bookmarkEnd w:id="151"/>
      <w:bookmarkEnd w:id="152"/>
      <w:r>
        <w:rPr>
          <w:rFonts w:ascii="Arial" w:eastAsia="黑体" w:hAnsi="Arial" w:cs="Arial"/>
          <w:snapToGrid w:val="0"/>
          <w:szCs w:val="21"/>
        </w:rPr>
        <w:t>递延所得税变动情况</w:t>
      </w:r>
    </w:p>
    <w:p w:rsidR="00AD5BB5" w:rsidRDefault="00AD5BB5">
      <w:pPr>
        <w:pStyle w:val="aff2"/>
        <w:overflowPunct w:val="0"/>
        <w:autoSpaceDE w:val="0"/>
        <w:autoSpaceDN w:val="0"/>
        <w:adjustRightInd w:val="0"/>
        <w:snapToGrid w:val="0"/>
        <w:ind w:left="420"/>
        <w:textAlignment w:val="bottom"/>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cfc517ec-612f-4e26-aa21-b64d6a15d278"/>
        <w:tblDescription w:val="{&quot;UUID&quot;:&quot;afsaddin_tabledata_2_56437_cfc517ec-612f-4e26-aa21-b64d6a15d278&quot;,&quot;TitleRowCount&quot;:2,&quot;SplitedTable&quot;:false,&quot;FirstTableId&quot;:&quot;cfc517ec-612f-4e26-aa21-b64d6a15d278&quot;}"/>
      </w:tblPr>
      <w:tblGrid>
        <w:gridCol w:w="2410"/>
        <w:gridCol w:w="106"/>
        <w:gridCol w:w="1311"/>
        <w:gridCol w:w="106"/>
        <w:gridCol w:w="106"/>
        <w:gridCol w:w="1206"/>
        <w:gridCol w:w="106"/>
        <w:gridCol w:w="106"/>
        <w:gridCol w:w="1274"/>
        <w:gridCol w:w="106"/>
        <w:gridCol w:w="106"/>
        <w:gridCol w:w="1279"/>
        <w:gridCol w:w="106"/>
      </w:tblGrid>
      <w:tr w:rsidR="00AD5BB5">
        <w:tc>
          <w:tcPr>
            <w:tcW w:w="2410"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fldChar w:fldCharType="begin"/>
            </w:r>
            <w:r>
              <w:rPr>
                <w:rFonts w:ascii="Arial" w:eastAsia="黑体" w:hAnsi="Arial" w:cs="Arial"/>
                <w:sz w:val="16"/>
                <w:szCs w:val="16"/>
              </w:rPr>
              <w:instrText xml:space="preserve"> DOCPROPERTY </w:instrText>
            </w:r>
            <w:r>
              <w:rPr>
                <w:rFonts w:ascii="Arial" w:eastAsia="黑体" w:hAnsi="Arial" w:cs="Arial"/>
                <w:sz w:val="16"/>
                <w:szCs w:val="16"/>
              </w:rPr>
              <w:instrText>自定义</w:instrText>
            </w:r>
            <w:r>
              <w:rPr>
                <w:rFonts w:ascii="Arial" w:eastAsia="黑体" w:hAnsi="Arial" w:cs="Arial"/>
                <w:sz w:val="16"/>
                <w:szCs w:val="16"/>
              </w:rPr>
              <w:instrText xml:space="preserve">1 </w:instrText>
            </w:r>
            <w:r>
              <w:rPr>
                <w:rFonts w:ascii="Arial" w:eastAsia="黑体" w:hAnsi="Arial" w:cs="Arial"/>
                <w:sz w:val="16"/>
                <w:szCs w:val="16"/>
              </w:rPr>
              <w:fldChar w:fldCharType="separate"/>
            </w:r>
            <w:r>
              <w:rPr>
                <w:rFonts w:ascii="Arial" w:eastAsia="黑体" w:hAnsi="Arial" w:cs="Arial"/>
                <w:sz w:val="16"/>
                <w:szCs w:val="16"/>
              </w:rPr>
              <w:t>2023</w:t>
            </w:r>
            <w:r>
              <w:rPr>
                <w:rFonts w:ascii="Arial" w:eastAsia="黑体" w:hAnsi="Arial" w:cs="Arial"/>
                <w:sz w:val="16"/>
                <w:szCs w:val="16"/>
              </w:rPr>
              <w:t>年</w:t>
            </w:r>
            <w:r>
              <w:rPr>
                <w:rFonts w:ascii="Arial" w:eastAsia="黑体" w:hAnsi="Arial" w:cs="Arial"/>
                <w:sz w:val="16"/>
                <w:szCs w:val="16"/>
              </w:rPr>
              <w:t>1-6</w:t>
            </w:r>
            <w:r>
              <w:rPr>
                <w:rFonts w:ascii="Arial" w:eastAsia="黑体" w:hAnsi="Arial" w:cs="Arial"/>
                <w:sz w:val="16"/>
                <w:szCs w:val="16"/>
              </w:rPr>
              <w:t>月</w:t>
            </w:r>
            <w:r>
              <w:rPr>
                <w:rFonts w:ascii="Arial" w:eastAsia="黑体" w:hAnsi="Arial" w:cs="Arial"/>
                <w:sz w:val="16"/>
                <w:szCs w:val="16"/>
              </w:rPr>
              <w:fldChar w:fldCharType="end"/>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hint="eastAsia"/>
                <w:sz w:val="16"/>
                <w:szCs w:val="16"/>
              </w:rPr>
              <w:t>期</w:t>
            </w:r>
            <w:r>
              <w:rPr>
                <w:rFonts w:ascii="Arial" w:eastAsia="黑体" w:hAnsi="Arial" w:cs="Arial"/>
                <w:sz w:val="16"/>
                <w:szCs w:val="16"/>
              </w:rPr>
              <w:t>初余额</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计入损益</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7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计入权益</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7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hint="eastAsia"/>
                <w:sz w:val="16"/>
                <w:szCs w:val="16"/>
              </w:rPr>
              <w:t>期</w:t>
            </w:r>
            <w:r>
              <w:rPr>
                <w:rFonts w:ascii="Arial" w:eastAsia="黑体" w:hAnsi="Arial" w:cs="Arial"/>
                <w:sz w:val="16"/>
                <w:szCs w:val="16"/>
              </w:rPr>
              <w:t>末余额</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410"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7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7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410"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资产减值准备</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1,402,573,525.18</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(138,477,137.99</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7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rPr>
            </w:pPr>
            <w:r>
              <w:rPr>
                <w:rFonts w:ascii="Arial" w:eastAsia="黑体" w:hAnsi="Arial" w:cs="Arial"/>
                <w:sz w:val="16"/>
              </w:rPr>
              <w:t>(11,533,860.44</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7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1,252,562,526.75</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410"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公允价值变动</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7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7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410"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w:t>
            </w:r>
            <w:r>
              <w:rPr>
                <w:rFonts w:ascii="Arial" w:eastAsia="黑体" w:hAnsi="Arial" w:cs="Arial"/>
                <w:sz w:val="16"/>
                <w:szCs w:val="16"/>
              </w:rPr>
              <w:t>以公允价值计量且其变动计入当期损益的金融资产的公允价值变动</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102,280,208.62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(97,005,889.72</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7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7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5,274,318.90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410"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w:t>
            </w:r>
            <w:r>
              <w:rPr>
                <w:rFonts w:ascii="Arial" w:eastAsia="黑体" w:hAnsi="Arial" w:cs="Arial"/>
                <w:sz w:val="16"/>
                <w:szCs w:val="16"/>
              </w:rPr>
              <w:t>以公允价值计量且其变动计入其他综合收益的金融资产的公允价值变动</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67,501,874.44</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7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(107,042,618.66</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7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(39,540,744.22</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2410"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应付职工薪酬</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65,830,193.28</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5,395,739.25</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7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7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71,225,932.53</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410"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color w:val="000000"/>
                <w:sz w:val="16"/>
                <w:szCs w:val="16"/>
              </w:rPr>
            </w:pPr>
            <w:r>
              <w:rPr>
                <w:rFonts w:ascii="Arial" w:eastAsia="黑体" w:hAnsi="Arial" w:cs="Arial"/>
                <w:sz w:val="16"/>
              </w:rPr>
              <w:t>预计负债</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6"/>
                <w:szCs w:val="16"/>
              </w:rPr>
            </w:pPr>
          </w:p>
        </w:tc>
        <w:tc>
          <w:tcPr>
            <w:tcW w:w="1311" w:type="dxa"/>
            <w:tcBorders>
              <w:top w:val="nil"/>
              <w:left w:val="nil"/>
              <w:bottom w:val="nil"/>
              <w:right w:val="nil"/>
            </w:tcBorders>
            <w:vAlign w:val="bottom"/>
          </w:tcPr>
          <w:p w:rsidR="00AD5BB5" w:rsidRDefault="00F87FF6">
            <w:pPr>
              <w:autoSpaceDE w:val="0"/>
              <w:autoSpaceDN w:val="0"/>
              <w:jc w:val="right"/>
              <w:rPr>
                <w:rFonts w:ascii="Arial" w:eastAsia="黑体" w:hAnsi="Arial" w:cs="Arial"/>
                <w:color w:val="000000"/>
                <w:sz w:val="16"/>
                <w:szCs w:val="16"/>
              </w:rPr>
            </w:pPr>
            <w:r>
              <w:rPr>
                <w:rFonts w:ascii="Arial" w:eastAsia="黑体" w:hAnsi="Arial" w:cs="Arial"/>
                <w:sz w:val="16"/>
              </w:rPr>
              <w:t>118,456,043.22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6"/>
                <w:szCs w:val="16"/>
              </w:rPr>
            </w:pPr>
          </w:p>
        </w:tc>
        <w:tc>
          <w:tcPr>
            <w:tcW w:w="1206" w:type="dxa"/>
            <w:tcBorders>
              <w:top w:val="nil"/>
              <w:left w:val="nil"/>
              <w:bottom w:val="nil"/>
              <w:right w:val="nil"/>
            </w:tcBorders>
            <w:vAlign w:val="bottom"/>
          </w:tcPr>
          <w:p w:rsidR="00AD5BB5" w:rsidRDefault="00F87FF6">
            <w:pPr>
              <w:autoSpaceDE w:val="0"/>
              <w:autoSpaceDN w:val="0"/>
              <w:jc w:val="right"/>
              <w:rPr>
                <w:rFonts w:ascii="Arial" w:eastAsia="黑体" w:hAnsi="Arial" w:cs="Arial"/>
                <w:color w:val="000000"/>
                <w:sz w:val="16"/>
                <w:szCs w:val="16"/>
              </w:rPr>
            </w:pPr>
            <w:r>
              <w:rPr>
                <w:rFonts w:ascii="Arial" w:eastAsia="黑体" w:hAnsi="Arial" w:cs="Arial"/>
                <w:sz w:val="16"/>
              </w:rPr>
              <w:t>(40,232,978.25</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color w:val="000000"/>
                <w:sz w:val="16"/>
                <w:szCs w:val="16"/>
              </w:rPr>
            </w:pPr>
            <w:r>
              <w:rPr>
                <w:rFonts w:ascii="Arial" w:eastAsia="黑体" w:hAnsi="Arial" w:cs="Arial"/>
                <w:sz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6"/>
                <w:szCs w:val="16"/>
              </w:rPr>
            </w:pPr>
          </w:p>
        </w:tc>
        <w:tc>
          <w:tcPr>
            <w:tcW w:w="1274" w:type="dxa"/>
            <w:tcBorders>
              <w:top w:val="nil"/>
              <w:left w:val="nil"/>
              <w:bottom w:val="nil"/>
              <w:right w:val="nil"/>
            </w:tcBorders>
            <w:vAlign w:val="bottom"/>
          </w:tcPr>
          <w:p w:rsidR="00AD5BB5" w:rsidRDefault="00F87FF6">
            <w:pPr>
              <w:autoSpaceDE w:val="0"/>
              <w:autoSpaceDN w:val="0"/>
              <w:jc w:val="right"/>
              <w:rPr>
                <w:rFonts w:ascii="Arial" w:eastAsia="黑体" w:hAnsi="Arial" w:cs="Arial"/>
                <w:color w:val="000000"/>
                <w:sz w:val="16"/>
                <w:szCs w:val="16"/>
              </w:rPr>
            </w:pPr>
            <w:r>
              <w:rPr>
                <w:rFonts w:ascii="Arial" w:eastAsia="黑体" w:hAnsi="Arial" w:cs="Arial"/>
                <w:sz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6"/>
                <w:szCs w:val="16"/>
              </w:rPr>
            </w:pPr>
          </w:p>
        </w:tc>
        <w:tc>
          <w:tcPr>
            <w:tcW w:w="1279" w:type="dxa"/>
            <w:tcBorders>
              <w:top w:val="nil"/>
              <w:left w:val="nil"/>
              <w:bottom w:val="nil"/>
              <w:right w:val="nil"/>
            </w:tcBorders>
            <w:vAlign w:val="bottom"/>
          </w:tcPr>
          <w:p w:rsidR="00AD5BB5" w:rsidRDefault="00F87FF6">
            <w:pPr>
              <w:autoSpaceDE w:val="0"/>
              <w:autoSpaceDN w:val="0"/>
              <w:jc w:val="right"/>
              <w:rPr>
                <w:rFonts w:ascii="Arial" w:eastAsia="黑体" w:hAnsi="Arial" w:cs="Arial"/>
                <w:color w:val="000000"/>
                <w:sz w:val="16"/>
                <w:szCs w:val="16"/>
              </w:rPr>
            </w:pPr>
            <w:r>
              <w:rPr>
                <w:rFonts w:ascii="Arial" w:eastAsia="黑体" w:hAnsi="Arial" w:cs="Arial"/>
                <w:sz w:val="16"/>
              </w:rPr>
              <w:t>78,223,064.97</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6"/>
                <w:szCs w:val="16"/>
              </w:rPr>
            </w:pPr>
          </w:p>
        </w:tc>
      </w:tr>
      <w:tr w:rsidR="00AD5BB5">
        <w:tc>
          <w:tcPr>
            <w:tcW w:w="2410"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可抵扣亏损</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154,157,715.82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7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7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154,157,715.82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410" w:type="dxa"/>
            <w:tcBorders>
              <w:top w:val="nil"/>
              <w:left w:val="nil"/>
              <w:bottom w:val="nil"/>
              <w:right w:val="nil"/>
            </w:tcBorders>
            <w:vAlign w:val="bottom"/>
          </w:tcPr>
          <w:p w:rsidR="00AD5BB5" w:rsidRDefault="00F87FF6">
            <w:pPr>
              <w:autoSpaceDE w:val="0"/>
              <w:autoSpaceDN w:val="0"/>
              <w:ind w:left="240" w:hangingChars="150" w:hanging="240"/>
              <w:rPr>
                <w:rFonts w:ascii="Arial" w:eastAsia="黑体" w:hAnsi="Arial" w:cs="Arial"/>
                <w:sz w:val="16"/>
                <w:szCs w:val="16"/>
              </w:rPr>
            </w:pPr>
            <w:r>
              <w:rPr>
                <w:rFonts w:ascii="Arial" w:eastAsia="黑体" w:hAnsi="Arial" w:cs="Arial"/>
                <w:sz w:val="16"/>
                <w:szCs w:val="16"/>
              </w:rPr>
              <w:t>其他</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1"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35,812,708.54</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(2,185,666.29</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7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7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33,627,042.25</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410" w:type="dxa"/>
            <w:tcBorders>
              <w:top w:val="nil"/>
              <w:left w:val="nil"/>
              <w:bottom w:val="nil"/>
              <w:right w:val="nil"/>
            </w:tcBorders>
            <w:vAlign w:val="bottom"/>
          </w:tcPr>
          <w:p w:rsidR="00AD5BB5" w:rsidRDefault="00AD5BB5">
            <w:pPr>
              <w:autoSpaceDE w:val="0"/>
              <w:autoSpaceDN w:val="0"/>
              <w:ind w:left="160" w:hangingChars="100" w:hanging="16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7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7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410"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合计</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1"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1,792,454,553.28</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(118,348,217.18</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7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(118,576,479.10</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7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1,555,529,857.00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bl>
    <w:p w:rsidR="00AD5BB5" w:rsidRDefault="00AD5BB5">
      <w:pPr>
        <w:pStyle w:val="aff2"/>
        <w:overflowPunct w:val="0"/>
        <w:autoSpaceDE w:val="0"/>
        <w:autoSpaceDN w:val="0"/>
        <w:adjustRightInd w:val="0"/>
        <w:snapToGrid w:val="0"/>
        <w:ind w:left="420" w:firstLine="360"/>
        <w:textAlignment w:val="bottom"/>
        <w:rPr>
          <w:rFonts w:ascii="Arial" w:eastAsia="黑体" w:hAnsi="Arial" w:cs="Arial"/>
          <w:snapToGrid w:val="0"/>
          <w:sz w:val="18"/>
          <w:szCs w:val="18"/>
        </w:rPr>
      </w:pPr>
    </w:p>
    <w:tbl>
      <w:tblPr>
        <w:tblW w:w="0" w:type="auto"/>
        <w:tblLayout w:type="fixed"/>
        <w:tblCellMar>
          <w:left w:w="0" w:type="dxa"/>
          <w:right w:w="0" w:type="dxa"/>
        </w:tblCellMar>
        <w:tblLook w:val="04A0" w:firstRow="1" w:lastRow="0" w:firstColumn="1" w:lastColumn="0" w:noHBand="0" w:noVBand="1"/>
        <w:tblCaption w:val="31d3b2f3-a151-4a5b-a396-e1d81b00cf03"/>
        <w:tblDescription w:val="{&quot;UUID&quot;:&quot;afsaddin_tabledata_2_56437_31d3b2f3-a151-4a5b-a396-e1d81b00cf03&quot;,&quot;TitleRowCount&quot;:2,&quot;SplitedTable&quot;:false,&quot;FirstTableId&quot;:&quot;31d3b2f3-a151-4a5b-a396-e1d81b00cf03&quot;}"/>
      </w:tblPr>
      <w:tblGrid>
        <w:gridCol w:w="2410"/>
        <w:gridCol w:w="106"/>
        <w:gridCol w:w="1312"/>
        <w:gridCol w:w="107"/>
        <w:gridCol w:w="107"/>
        <w:gridCol w:w="1203"/>
        <w:gridCol w:w="107"/>
        <w:gridCol w:w="107"/>
        <w:gridCol w:w="1204"/>
        <w:gridCol w:w="107"/>
        <w:gridCol w:w="107"/>
        <w:gridCol w:w="1345"/>
        <w:gridCol w:w="107"/>
      </w:tblGrid>
      <w:tr w:rsidR="00AD5BB5">
        <w:tc>
          <w:tcPr>
            <w:tcW w:w="2410"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fldChar w:fldCharType="begin"/>
            </w:r>
            <w:r>
              <w:rPr>
                <w:rFonts w:ascii="Arial" w:eastAsia="黑体" w:hAnsi="Arial" w:cs="Arial"/>
                <w:sz w:val="16"/>
                <w:szCs w:val="16"/>
              </w:rPr>
              <w:instrText xml:space="preserve"> DOCPROPERTY </w:instrText>
            </w:r>
            <w:r>
              <w:rPr>
                <w:rFonts w:ascii="Arial" w:eastAsia="黑体" w:hAnsi="Arial" w:cs="Arial"/>
                <w:sz w:val="16"/>
                <w:szCs w:val="16"/>
              </w:rPr>
              <w:instrText>自定义</w:instrText>
            </w:r>
            <w:r>
              <w:rPr>
                <w:rFonts w:ascii="Arial" w:eastAsia="黑体" w:hAnsi="Arial" w:cs="Arial"/>
                <w:sz w:val="16"/>
                <w:szCs w:val="16"/>
              </w:rPr>
              <w:instrText xml:space="preserve">3 </w:instrText>
            </w:r>
            <w:r>
              <w:rPr>
                <w:rFonts w:ascii="Arial" w:eastAsia="黑体" w:hAnsi="Arial" w:cs="Arial"/>
                <w:sz w:val="16"/>
                <w:szCs w:val="16"/>
              </w:rPr>
              <w:fldChar w:fldCharType="separate"/>
            </w:r>
            <w:r>
              <w:rPr>
                <w:rFonts w:ascii="Arial" w:eastAsia="黑体" w:hAnsi="Arial" w:cs="Arial"/>
                <w:sz w:val="16"/>
                <w:szCs w:val="16"/>
              </w:rPr>
              <w:t>2022</w:t>
            </w:r>
            <w:r>
              <w:rPr>
                <w:rFonts w:ascii="Arial" w:eastAsia="黑体" w:hAnsi="Arial" w:cs="Arial"/>
                <w:sz w:val="16"/>
                <w:szCs w:val="16"/>
              </w:rPr>
              <w:t>年度</w:t>
            </w:r>
            <w:r>
              <w:rPr>
                <w:rFonts w:ascii="Arial" w:eastAsia="黑体" w:hAnsi="Arial" w:cs="Arial"/>
                <w:sz w:val="16"/>
                <w:szCs w:val="16"/>
              </w:rPr>
              <w:fldChar w:fldCharType="end"/>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年初余额</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计入损益</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计入权益</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年末余额</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410"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410"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资产减值准备</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1,266,398,644.72</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139,448,569.79</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(3,273,689.33</w:t>
            </w:r>
          </w:p>
        </w:tc>
        <w:tc>
          <w:tcPr>
            <w:tcW w:w="107"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1,402,573,525.18</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410"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公允价值变动</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410"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w:t>
            </w:r>
            <w:r>
              <w:rPr>
                <w:rFonts w:ascii="Arial" w:eastAsia="黑体" w:hAnsi="Arial" w:cs="Arial"/>
                <w:sz w:val="16"/>
                <w:szCs w:val="16"/>
              </w:rPr>
              <w:t>以公允价值计量且其变动计入当期损益的金融资产的公允价值变动</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(92,275.12</w:t>
            </w:r>
          </w:p>
        </w:tc>
        <w:tc>
          <w:tcPr>
            <w:tcW w:w="107"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102,372,483.74</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102,280,208.62</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410"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w:t>
            </w:r>
            <w:r>
              <w:rPr>
                <w:rFonts w:ascii="Arial" w:eastAsia="黑体" w:hAnsi="Arial" w:cs="Arial"/>
                <w:sz w:val="16"/>
                <w:szCs w:val="16"/>
              </w:rPr>
              <w:t>以公允价值计量且其变动计入其他综合收益的金融资产的公允价值变动</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(32,967,889.18</w:t>
            </w:r>
          </w:p>
        </w:tc>
        <w:tc>
          <w:tcPr>
            <w:tcW w:w="107"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100,469,763.62</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67,501,874.44</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410"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应付职工薪酬</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44,771,806.33</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21,058,386.95</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65,830,193.28</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410"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color w:val="000000"/>
                <w:sz w:val="16"/>
                <w:szCs w:val="16"/>
              </w:rPr>
            </w:pPr>
            <w:r>
              <w:rPr>
                <w:rFonts w:ascii="Arial" w:eastAsia="黑体" w:hAnsi="Arial" w:cs="Arial"/>
                <w:sz w:val="16"/>
              </w:rPr>
              <w:t>预计负债</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6"/>
                <w:szCs w:val="16"/>
              </w:rPr>
            </w:pPr>
          </w:p>
        </w:tc>
        <w:tc>
          <w:tcPr>
            <w:tcW w:w="1312" w:type="dxa"/>
            <w:tcBorders>
              <w:top w:val="nil"/>
              <w:left w:val="nil"/>
              <w:bottom w:val="nil"/>
              <w:right w:val="nil"/>
            </w:tcBorders>
            <w:vAlign w:val="bottom"/>
          </w:tcPr>
          <w:p w:rsidR="00AD5BB5" w:rsidRDefault="00F87FF6">
            <w:pPr>
              <w:autoSpaceDE w:val="0"/>
              <w:autoSpaceDN w:val="0"/>
              <w:jc w:val="right"/>
              <w:rPr>
                <w:rFonts w:ascii="Arial" w:eastAsia="黑体" w:hAnsi="Arial" w:cs="Arial"/>
                <w:color w:val="000000"/>
                <w:sz w:val="16"/>
                <w:szCs w:val="16"/>
              </w:rPr>
            </w:pPr>
            <w:r>
              <w:rPr>
                <w:rFonts w:ascii="Arial" w:eastAsia="黑体" w:hAnsi="Arial" w:cs="Arial"/>
                <w:sz w:val="16"/>
              </w:rPr>
              <w:t>121,430,627.14</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6"/>
                <w:szCs w:val="16"/>
              </w:rPr>
            </w:pPr>
          </w:p>
        </w:tc>
        <w:tc>
          <w:tcPr>
            <w:tcW w:w="1203" w:type="dxa"/>
            <w:tcBorders>
              <w:top w:val="nil"/>
              <w:left w:val="nil"/>
              <w:bottom w:val="nil"/>
              <w:right w:val="nil"/>
            </w:tcBorders>
            <w:vAlign w:val="bottom"/>
          </w:tcPr>
          <w:p w:rsidR="00AD5BB5" w:rsidRDefault="00F87FF6">
            <w:pPr>
              <w:autoSpaceDE w:val="0"/>
              <w:autoSpaceDN w:val="0"/>
              <w:jc w:val="right"/>
              <w:rPr>
                <w:rFonts w:ascii="Arial" w:eastAsia="黑体" w:hAnsi="Arial" w:cs="Arial"/>
                <w:color w:val="000000"/>
                <w:sz w:val="16"/>
                <w:szCs w:val="16"/>
              </w:rPr>
            </w:pPr>
            <w:r>
              <w:rPr>
                <w:rFonts w:ascii="Arial" w:eastAsia="黑体" w:hAnsi="Arial" w:cs="Arial"/>
                <w:sz w:val="16"/>
              </w:rPr>
              <w:t>(2,974,583.92</w:t>
            </w:r>
          </w:p>
        </w:tc>
        <w:tc>
          <w:tcPr>
            <w:tcW w:w="107" w:type="dxa"/>
            <w:tcBorders>
              <w:top w:val="nil"/>
              <w:left w:val="nil"/>
              <w:bottom w:val="nil"/>
              <w:right w:val="nil"/>
            </w:tcBorders>
            <w:vAlign w:val="bottom"/>
          </w:tcPr>
          <w:p w:rsidR="00AD5BB5" w:rsidRDefault="00F87FF6">
            <w:pPr>
              <w:autoSpaceDE w:val="0"/>
              <w:autoSpaceDN w:val="0"/>
              <w:rPr>
                <w:rFonts w:ascii="Arial" w:eastAsia="黑体" w:hAnsi="Arial" w:cs="Arial"/>
                <w:color w:val="000000"/>
                <w:sz w:val="16"/>
                <w:szCs w:val="16"/>
              </w:rPr>
            </w:pPr>
            <w:r>
              <w:rPr>
                <w:rFonts w:ascii="Arial" w:eastAsia="黑体" w:hAnsi="Arial" w:cs="Arial"/>
                <w:sz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6"/>
                <w:szCs w:val="16"/>
              </w:rPr>
            </w:pPr>
          </w:p>
        </w:tc>
        <w:tc>
          <w:tcPr>
            <w:tcW w:w="1204" w:type="dxa"/>
            <w:tcBorders>
              <w:top w:val="nil"/>
              <w:left w:val="nil"/>
              <w:bottom w:val="nil"/>
              <w:right w:val="nil"/>
            </w:tcBorders>
            <w:vAlign w:val="bottom"/>
          </w:tcPr>
          <w:p w:rsidR="00AD5BB5" w:rsidRDefault="00AD5BB5">
            <w:pPr>
              <w:autoSpaceDE w:val="0"/>
              <w:autoSpaceDN w:val="0"/>
              <w:jc w:val="right"/>
              <w:rPr>
                <w:rFonts w:ascii="Arial" w:eastAsia="黑体" w:hAnsi="Arial" w:cs="Arial"/>
                <w:color w:val="000000"/>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6"/>
                <w:szCs w:val="16"/>
              </w:rPr>
            </w:pPr>
          </w:p>
        </w:tc>
        <w:tc>
          <w:tcPr>
            <w:tcW w:w="1345" w:type="dxa"/>
            <w:tcBorders>
              <w:top w:val="nil"/>
              <w:left w:val="nil"/>
              <w:bottom w:val="nil"/>
              <w:right w:val="nil"/>
            </w:tcBorders>
            <w:vAlign w:val="bottom"/>
          </w:tcPr>
          <w:p w:rsidR="00AD5BB5" w:rsidRDefault="00F87FF6">
            <w:pPr>
              <w:autoSpaceDE w:val="0"/>
              <w:autoSpaceDN w:val="0"/>
              <w:jc w:val="right"/>
              <w:rPr>
                <w:rFonts w:ascii="Arial" w:eastAsia="黑体" w:hAnsi="Arial" w:cs="Arial"/>
                <w:color w:val="000000"/>
                <w:sz w:val="16"/>
                <w:szCs w:val="16"/>
              </w:rPr>
            </w:pPr>
            <w:r>
              <w:rPr>
                <w:rFonts w:ascii="Arial" w:eastAsia="黑体" w:hAnsi="Arial" w:cs="Arial"/>
                <w:sz w:val="16"/>
              </w:rPr>
              <w:t>118,456,043.22</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6"/>
                <w:szCs w:val="16"/>
              </w:rPr>
            </w:pPr>
          </w:p>
        </w:tc>
      </w:tr>
      <w:tr w:rsidR="00AD5BB5">
        <w:tc>
          <w:tcPr>
            <w:tcW w:w="2410"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其他</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42,927,662.21</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(7,114,953.67</w:t>
            </w:r>
          </w:p>
        </w:tc>
        <w:tc>
          <w:tcPr>
            <w:tcW w:w="107"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35,812,708.54</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410"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410"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合计</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1,442,468,576.10</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252,789,902.89</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97,196,074.29</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1,792,454,553.28</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bl>
    <w:p w:rsidR="00AD5BB5" w:rsidRDefault="00F87FF6">
      <w:pPr>
        <w:rPr>
          <w:rFonts w:ascii="Arial" w:eastAsia="黑体" w:hAnsi="Arial" w:cs="Arial"/>
          <w:snapToGrid w:val="0"/>
          <w:szCs w:val="21"/>
        </w:rPr>
      </w:pPr>
      <w:r>
        <w:rPr>
          <w:rFonts w:ascii="Arial" w:eastAsia="黑体" w:hAnsi="Arial" w:cs="Arial"/>
          <w:snapToGrid w:val="0"/>
          <w:szCs w:val="21"/>
        </w:rPr>
        <w:br w:type="page"/>
      </w:r>
    </w:p>
    <w:p w:rsidR="00AD5BB5" w:rsidRDefault="00AD5BB5">
      <w:pPr>
        <w:overflowPunct w:val="0"/>
        <w:autoSpaceDE w:val="0"/>
        <w:autoSpaceDN w:val="0"/>
        <w:adjustRightInd w:val="0"/>
        <w:snapToGrid w:val="0"/>
        <w:textAlignment w:val="bottom"/>
        <w:rPr>
          <w:rFonts w:ascii="Arial" w:eastAsia="黑体" w:hAnsi="Arial" w:cs="Arial"/>
          <w:snapToGrid w:val="0"/>
          <w:szCs w:val="21"/>
        </w:rPr>
      </w:pPr>
    </w:p>
    <w:p w:rsidR="00AD5BB5" w:rsidRDefault="00F87FF6">
      <w:pPr>
        <w:overflowPunct w:val="0"/>
        <w:autoSpaceDE w:val="0"/>
        <w:autoSpaceDN w:val="0"/>
        <w:adjustRightInd w:val="0"/>
        <w:snapToGrid w:val="0"/>
        <w:textAlignment w:val="bottom"/>
        <w:rPr>
          <w:rFonts w:ascii="Arial" w:eastAsia="黑体" w:hAnsi="Arial" w:cs="Arial"/>
          <w:b/>
          <w:snapToGrid w:val="0"/>
          <w:szCs w:val="21"/>
        </w:rPr>
      </w:pPr>
      <w:bookmarkStart w:id="153" w:name="afsaddin_WithXu_132cfa63ef8646af92b4275a"/>
      <w:r>
        <w:rPr>
          <w:rFonts w:ascii="Arial" w:eastAsia="黑体" w:hAnsi="Arial" w:cs="Arial"/>
          <w:b/>
          <w:snapToGrid w:val="0"/>
          <w:szCs w:val="21"/>
        </w:rPr>
        <w:t>五、</w:t>
      </w:r>
      <w:r>
        <w:rPr>
          <w:rFonts w:ascii="Arial" w:eastAsia="黑体" w:hAnsi="Arial" w:cs="Arial"/>
          <w:b/>
          <w:snapToGrid w:val="0"/>
          <w:szCs w:val="21"/>
        </w:rPr>
        <w:tab/>
      </w:r>
      <w:r>
        <w:rPr>
          <w:rFonts w:ascii="Arial" w:eastAsia="黑体" w:hAnsi="Arial" w:cs="Arial"/>
          <w:b/>
          <w:snapToGrid w:val="0"/>
          <w:szCs w:val="21"/>
        </w:rPr>
        <w:t>合并财务报表主要项目注释（续）</w:t>
      </w:r>
      <w:bookmarkEnd w:id="153"/>
    </w:p>
    <w:p w:rsidR="00AD5BB5" w:rsidRDefault="00AD5BB5">
      <w:pPr>
        <w:overflowPunct w:val="0"/>
        <w:autoSpaceDE w:val="0"/>
        <w:autoSpaceDN w:val="0"/>
        <w:adjustRightInd w:val="0"/>
        <w:snapToGrid w:val="0"/>
        <w:textAlignment w:val="bottom"/>
        <w:rPr>
          <w:rFonts w:ascii="Arial" w:eastAsia="黑体" w:hAnsi="Arial" w:cs="Arial"/>
          <w:snapToGrid w:val="0"/>
          <w:szCs w:val="21"/>
        </w:rPr>
      </w:pPr>
    </w:p>
    <w:p w:rsidR="00AD5BB5" w:rsidRDefault="00F87FF6">
      <w:pPr>
        <w:pStyle w:val="af5"/>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154" w:name="afsaddin_WithXu_db290e72411748839f5654d1"/>
      <w:bookmarkStart w:id="155" w:name="afsaddin_Section_f89d189cff6044a98ddabe7"/>
      <w:bookmarkEnd w:id="154"/>
      <w:r>
        <w:rPr>
          <w:rFonts w:ascii="Arial" w:eastAsia="黑体" w:hAnsi="Arial" w:cs="Arial" w:hint="default"/>
          <w:bCs w:val="0"/>
          <w:snapToGrid w:val="0"/>
          <w:color w:val="auto"/>
          <w:sz w:val="21"/>
          <w:szCs w:val="21"/>
        </w:rPr>
        <w:t>16.</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其他资产</w:t>
      </w:r>
    </w:p>
    <w:bookmarkEnd w:id="155"/>
    <w:p w:rsidR="00AD5BB5" w:rsidRDefault="00AD5BB5">
      <w:pPr>
        <w:overflowPunct w:val="0"/>
        <w:autoSpaceDE w:val="0"/>
        <w:autoSpaceDN w:val="0"/>
        <w:adjustRightInd w:val="0"/>
        <w:snapToGrid w:val="0"/>
        <w:textAlignment w:val="bottom"/>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088bb9ca-5dea-4068-a811-e2aa5cd0d377"/>
        <w:tblDescription w:val="{&quot;UUID&quot;:&quot;afsaddin_tabledata_2_56437_088bb9ca-5dea-4068-a811-e2aa5cd0d377&quot;,&quot;TitleRowCount&quot;:1,&quot;SplitedTable&quot;:false,&quot;FirstTableId&quot;:&quot;088bb9ca-5dea-4068-a811-e2aa5cd0d377&quot;}"/>
      </w:tblPr>
      <w:tblGrid>
        <w:gridCol w:w="3502"/>
        <w:gridCol w:w="109"/>
        <w:gridCol w:w="2317"/>
        <w:gridCol w:w="110"/>
        <w:gridCol w:w="110"/>
        <w:gridCol w:w="2168"/>
        <w:gridCol w:w="110"/>
      </w:tblGrid>
      <w:tr w:rsidR="00AD5BB5">
        <w:trPr>
          <w:trHeight w:val="170"/>
        </w:trPr>
        <w:tc>
          <w:tcPr>
            <w:tcW w:w="3502" w:type="dxa"/>
            <w:tcBorders>
              <w:top w:val="nil"/>
              <w:left w:val="nil"/>
              <w:bottom w:val="nil"/>
              <w:right w:val="nil"/>
            </w:tcBorders>
            <w:shd w:val="clear" w:color="000000" w:fill="auto"/>
            <w:noWrap/>
            <w:vAlign w:val="center"/>
          </w:tcPr>
          <w:p w:rsidR="00AD5BB5" w:rsidRDefault="00AD5BB5">
            <w:pPr>
              <w:kinsoku w:val="0"/>
              <w:overflowPunct w:val="0"/>
              <w:autoSpaceDE w:val="0"/>
              <w:autoSpaceDN w:val="0"/>
              <w:adjustRightInd w:val="0"/>
              <w:snapToGrid w:val="0"/>
              <w:ind w:left="315" w:hangingChars="150" w:hanging="315"/>
              <w:rPr>
                <w:rFonts w:ascii="Arial" w:eastAsia="黑体" w:hAnsi="Arial" w:cs="Arial"/>
                <w:color w:val="000000"/>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42" w:right="88"/>
              <w:jc w:val="right"/>
              <w:rPr>
                <w:rFonts w:ascii="Arial" w:eastAsia="黑体" w:hAnsi="Arial" w:cs="Arial"/>
                <w:color w:val="000000"/>
                <w:szCs w:val="21"/>
              </w:rPr>
            </w:pPr>
            <w:r>
              <w:rPr>
                <w:rFonts w:ascii="Arial" w:eastAsia="黑体" w:hAnsi="Arial" w:cs="Arial"/>
                <w:color w:val="000000"/>
                <w:szCs w:val="21"/>
              </w:rPr>
              <w:fldChar w:fldCharType="begin"/>
            </w:r>
            <w:r>
              <w:rPr>
                <w:rFonts w:ascii="Arial" w:eastAsia="黑体" w:hAnsi="Arial" w:cs="Arial"/>
                <w:color w:val="000000"/>
                <w:szCs w:val="21"/>
              </w:rPr>
              <w:instrText xml:space="preserve"> DOCPROPERTY </w:instrText>
            </w:r>
            <w:r>
              <w:rPr>
                <w:rFonts w:ascii="Arial" w:eastAsia="黑体" w:hAnsi="Arial" w:cs="Arial"/>
                <w:color w:val="000000"/>
                <w:szCs w:val="21"/>
              </w:rPr>
              <w:instrText>当期资产负债表日</w:instrText>
            </w:r>
            <w:r>
              <w:rPr>
                <w:rFonts w:ascii="Arial" w:eastAsia="黑体" w:hAnsi="Arial" w:cs="Arial"/>
                <w:color w:val="000000"/>
                <w:szCs w:val="21"/>
              </w:rPr>
              <w:instrText xml:space="preserve"> </w:instrText>
            </w:r>
            <w:r>
              <w:rPr>
                <w:rFonts w:ascii="Arial" w:eastAsia="黑体" w:hAnsi="Arial" w:cs="Arial"/>
                <w:color w:val="000000"/>
                <w:szCs w:val="21"/>
              </w:rPr>
              <w:fldChar w:fldCharType="separate"/>
            </w:r>
            <w:r>
              <w:rPr>
                <w:rFonts w:ascii="Arial" w:eastAsia="黑体" w:hAnsi="Arial" w:cs="Arial"/>
                <w:color w:val="000000"/>
                <w:szCs w:val="21"/>
              </w:rPr>
              <w:t>2023</w:t>
            </w:r>
            <w:r>
              <w:rPr>
                <w:rFonts w:ascii="Arial" w:eastAsia="黑体" w:hAnsi="Arial" w:cs="Arial"/>
                <w:color w:val="000000"/>
                <w:szCs w:val="21"/>
              </w:rPr>
              <w:t>年</w:t>
            </w:r>
            <w:r>
              <w:rPr>
                <w:rFonts w:ascii="Arial" w:eastAsia="黑体" w:hAnsi="Arial" w:cs="Arial"/>
                <w:color w:val="000000"/>
                <w:szCs w:val="21"/>
              </w:rPr>
              <w:t>6</w:t>
            </w:r>
            <w:r>
              <w:rPr>
                <w:rFonts w:ascii="Arial" w:eastAsia="黑体" w:hAnsi="Arial" w:cs="Arial"/>
                <w:color w:val="000000"/>
                <w:szCs w:val="21"/>
              </w:rPr>
              <w:t>月</w:t>
            </w:r>
            <w:r>
              <w:rPr>
                <w:rFonts w:ascii="Arial" w:eastAsia="黑体" w:hAnsi="Arial" w:cs="Arial"/>
                <w:color w:val="000000"/>
                <w:szCs w:val="21"/>
              </w:rPr>
              <w:t>30</w:t>
            </w:r>
            <w:r>
              <w:rPr>
                <w:rFonts w:ascii="Arial" w:eastAsia="黑体" w:hAnsi="Arial" w:cs="Arial"/>
                <w:color w:val="000000"/>
                <w:szCs w:val="21"/>
              </w:rPr>
              <w:t>日</w:t>
            </w:r>
            <w:r>
              <w:rPr>
                <w:rFonts w:ascii="Arial" w:eastAsia="黑体" w:hAnsi="Arial" w:cs="Arial"/>
                <w:color w:val="000000"/>
                <w:szCs w:val="21"/>
              </w:rPr>
              <w:fldChar w:fldCharType="end"/>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42" w:right="88"/>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42" w:right="88"/>
              <w:jc w:val="right"/>
              <w:rPr>
                <w:rFonts w:ascii="Arial" w:eastAsia="黑体" w:hAnsi="Arial" w:cs="Arial"/>
                <w:color w:val="000000"/>
                <w:szCs w:val="21"/>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42" w:right="88"/>
              <w:jc w:val="right"/>
              <w:rPr>
                <w:rFonts w:ascii="Arial" w:eastAsia="黑体" w:hAnsi="Arial" w:cs="Arial"/>
                <w:color w:val="000000"/>
                <w:szCs w:val="21"/>
              </w:rPr>
            </w:pPr>
            <w:r>
              <w:rPr>
                <w:rFonts w:ascii="Arial" w:eastAsia="黑体" w:hAnsi="Arial" w:cs="Arial"/>
                <w:color w:val="000000"/>
                <w:szCs w:val="21"/>
              </w:rPr>
              <w:t>2022</w:t>
            </w:r>
            <w:r>
              <w:rPr>
                <w:rFonts w:ascii="Arial" w:eastAsia="黑体" w:hAnsi="Arial" w:cs="Arial"/>
                <w:color w:val="000000"/>
                <w:szCs w:val="21"/>
              </w:rPr>
              <w:t>年</w:t>
            </w:r>
            <w:r>
              <w:rPr>
                <w:rFonts w:ascii="Arial" w:eastAsia="黑体" w:hAnsi="Arial" w:cs="Arial"/>
                <w:color w:val="000000"/>
                <w:szCs w:val="21"/>
              </w:rPr>
              <w:t>12</w:t>
            </w:r>
            <w:r>
              <w:rPr>
                <w:rFonts w:ascii="Arial" w:eastAsia="黑体" w:hAnsi="Arial" w:cs="Arial"/>
                <w:color w:val="000000"/>
                <w:szCs w:val="21"/>
              </w:rPr>
              <w:t>月</w:t>
            </w:r>
            <w:r>
              <w:rPr>
                <w:rFonts w:ascii="Arial" w:eastAsia="黑体" w:hAnsi="Arial" w:cs="Arial"/>
                <w:color w:val="000000"/>
                <w:szCs w:val="21"/>
              </w:rPr>
              <w:t>31</w:t>
            </w:r>
            <w:r>
              <w:rPr>
                <w:rFonts w:ascii="Arial" w:eastAsia="黑体" w:hAnsi="Arial" w:cs="Arial"/>
                <w:color w:val="000000"/>
                <w:szCs w:val="21"/>
              </w:rPr>
              <w:t>日</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长期待摊费用</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15" w:right="31"/>
              <w:jc w:val="right"/>
              <w:rPr>
                <w:rFonts w:ascii="Arial" w:eastAsia="黑体" w:hAnsi="Arial" w:cs="Arial"/>
                <w:szCs w:val="21"/>
              </w:rPr>
            </w:pPr>
            <w:r>
              <w:rPr>
                <w:rFonts w:ascii="Arial" w:eastAsia="黑体" w:hAnsi="Arial" w:cs="Arial"/>
                <w:szCs w:val="21"/>
              </w:rPr>
              <w:t>67,943,283.08</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12" w:right="25"/>
              <w:jc w:val="right"/>
              <w:rPr>
                <w:rFonts w:ascii="Arial" w:eastAsia="黑体" w:hAnsi="Arial" w:cs="Arial"/>
                <w:szCs w:val="21"/>
              </w:rPr>
            </w:pPr>
            <w:r>
              <w:rPr>
                <w:rFonts w:ascii="Arial" w:eastAsia="黑体" w:hAnsi="Arial" w:cs="Arial"/>
                <w:szCs w:val="21"/>
              </w:rPr>
              <w:t>70,079,967.85</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贵金属</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15" w:right="31"/>
              <w:jc w:val="right"/>
              <w:rPr>
                <w:rFonts w:ascii="Arial" w:eastAsia="黑体" w:hAnsi="Arial" w:cs="Arial"/>
                <w:color w:val="000000"/>
                <w:szCs w:val="21"/>
              </w:rPr>
            </w:pPr>
            <w:r>
              <w:rPr>
                <w:rFonts w:ascii="Arial" w:eastAsia="黑体" w:hAnsi="Arial" w:cs="Arial"/>
                <w:color w:val="000000"/>
                <w:szCs w:val="21"/>
              </w:rPr>
              <w:t>977,664.60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42" w:right="88"/>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42" w:right="88"/>
              <w:rPr>
                <w:rFonts w:ascii="Arial" w:eastAsia="黑体" w:hAnsi="Arial" w:cs="Arial"/>
                <w:color w:val="000000"/>
                <w:szCs w:val="21"/>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7" w:right="15"/>
              <w:jc w:val="right"/>
              <w:rPr>
                <w:rFonts w:ascii="Arial" w:eastAsia="黑体" w:hAnsi="Arial" w:cs="Arial"/>
                <w:color w:val="000000"/>
                <w:szCs w:val="21"/>
              </w:rPr>
            </w:pPr>
            <w:r>
              <w:rPr>
                <w:rFonts w:ascii="Arial" w:eastAsia="黑体" w:hAnsi="Arial" w:cs="Arial"/>
                <w:color w:val="000000"/>
                <w:szCs w:val="21"/>
              </w:rPr>
              <w:t>2,850,398.40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应收利息</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auto" w:fill="auto"/>
            <w:noWrap/>
            <w:vAlign w:val="bottom"/>
          </w:tcPr>
          <w:p w:rsidR="00AD5BB5" w:rsidRDefault="00F87FF6">
            <w:pPr>
              <w:tabs>
                <w:tab w:val="left" w:pos="1503"/>
              </w:tabs>
              <w:kinsoku w:val="0"/>
              <w:overflowPunct w:val="0"/>
              <w:autoSpaceDE w:val="0"/>
              <w:autoSpaceDN w:val="0"/>
              <w:adjustRightInd w:val="0"/>
              <w:snapToGrid w:val="0"/>
              <w:ind w:rightChars="15" w:right="31"/>
              <w:jc w:val="right"/>
              <w:rPr>
                <w:rFonts w:ascii="Arial" w:eastAsia="黑体" w:hAnsi="Arial" w:cs="Arial"/>
                <w:color w:val="000000"/>
                <w:szCs w:val="21"/>
              </w:rPr>
            </w:pPr>
            <w:r>
              <w:rPr>
                <w:rFonts w:ascii="Arial" w:eastAsia="黑体" w:hAnsi="Arial" w:cs="Arial"/>
                <w:color w:val="000000"/>
                <w:szCs w:val="21"/>
              </w:rPr>
              <w:t>24,496,462.86</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42" w:right="88"/>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42" w:right="88"/>
              <w:rPr>
                <w:rFonts w:ascii="Arial" w:eastAsia="黑体" w:hAnsi="Arial" w:cs="Arial"/>
                <w:color w:val="000000"/>
                <w:szCs w:val="21"/>
              </w:rPr>
            </w:pPr>
          </w:p>
        </w:tc>
        <w:tc>
          <w:tcPr>
            <w:tcW w:w="2168" w:type="dxa"/>
            <w:tcBorders>
              <w:top w:val="nil"/>
              <w:left w:val="nil"/>
              <w:bottom w:val="nil"/>
              <w:right w:val="nil"/>
            </w:tcBorders>
            <w:shd w:val="clear" w:color="auto" w:fill="auto"/>
            <w:noWrap/>
            <w:vAlign w:val="bottom"/>
          </w:tcPr>
          <w:p w:rsidR="00AD5BB5" w:rsidRDefault="00F87FF6">
            <w:pPr>
              <w:tabs>
                <w:tab w:val="left" w:pos="1473"/>
              </w:tabs>
              <w:kinsoku w:val="0"/>
              <w:overflowPunct w:val="0"/>
              <w:autoSpaceDE w:val="0"/>
              <w:autoSpaceDN w:val="0"/>
              <w:adjustRightInd w:val="0"/>
              <w:snapToGrid w:val="0"/>
              <w:ind w:rightChars="7" w:right="15"/>
              <w:jc w:val="right"/>
              <w:rPr>
                <w:rFonts w:ascii="Arial" w:eastAsia="黑体" w:hAnsi="Arial" w:cs="Arial"/>
                <w:color w:val="000000"/>
                <w:szCs w:val="21"/>
              </w:rPr>
            </w:pPr>
            <w:r>
              <w:rPr>
                <w:rFonts w:ascii="Arial" w:eastAsia="黑体" w:hAnsi="Arial" w:cs="Arial"/>
                <w:color w:val="000000"/>
                <w:szCs w:val="21"/>
              </w:rPr>
              <w:t>14,493,898.09</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待清算款项</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auto" w:fill="auto"/>
            <w:noWrap/>
            <w:vAlign w:val="bottom"/>
          </w:tcPr>
          <w:p w:rsidR="00AD5BB5" w:rsidRDefault="00F87FF6">
            <w:pPr>
              <w:tabs>
                <w:tab w:val="left" w:pos="1503"/>
              </w:tabs>
              <w:kinsoku w:val="0"/>
              <w:overflowPunct w:val="0"/>
              <w:autoSpaceDE w:val="0"/>
              <w:autoSpaceDN w:val="0"/>
              <w:adjustRightInd w:val="0"/>
              <w:snapToGrid w:val="0"/>
              <w:ind w:rightChars="15" w:right="31"/>
              <w:jc w:val="right"/>
              <w:rPr>
                <w:rFonts w:ascii="Arial" w:eastAsia="黑体" w:hAnsi="Arial" w:cs="Arial"/>
                <w:color w:val="000000"/>
                <w:szCs w:val="21"/>
              </w:rPr>
            </w:pPr>
            <w:r>
              <w:rPr>
                <w:rFonts w:ascii="Arial" w:eastAsia="黑体" w:hAnsi="Arial" w:cs="Arial"/>
                <w:color w:val="000000"/>
                <w:szCs w:val="21"/>
              </w:rPr>
              <w:t>827,279,273.76</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42" w:right="88"/>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42" w:right="88"/>
              <w:rPr>
                <w:rFonts w:ascii="Arial" w:eastAsia="黑体" w:hAnsi="Arial" w:cs="Arial"/>
                <w:color w:val="000000"/>
                <w:szCs w:val="21"/>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7" w:right="15"/>
              <w:jc w:val="right"/>
              <w:rPr>
                <w:rFonts w:ascii="Arial" w:eastAsia="黑体" w:hAnsi="Arial" w:cs="Arial"/>
                <w:color w:val="000000"/>
                <w:szCs w:val="21"/>
              </w:rPr>
            </w:pPr>
            <w:r>
              <w:rPr>
                <w:rFonts w:ascii="Arial" w:eastAsia="黑体" w:hAnsi="Arial" w:cs="Arial"/>
                <w:color w:val="000000"/>
                <w:szCs w:val="21"/>
              </w:rPr>
              <w:t>218,534,226.27</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购置长期资产预付款项</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auto" w:fill="auto"/>
            <w:noWrap/>
            <w:vAlign w:val="bottom"/>
          </w:tcPr>
          <w:p w:rsidR="00AD5BB5" w:rsidRDefault="00F87FF6">
            <w:pPr>
              <w:tabs>
                <w:tab w:val="left" w:pos="1503"/>
              </w:tabs>
              <w:kinsoku w:val="0"/>
              <w:overflowPunct w:val="0"/>
              <w:autoSpaceDE w:val="0"/>
              <w:autoSpaceDN w:val="0"/>
              <w:adjustRightInd w:val="0"/>
              <w:snapToGrid w:val="0"/>
              <w:ind w:rightChars="15" w:right="31"/>
              <w:jc w:val="right"/>
              <w:rPr>
                <w:rFonts w:ascii="Arial" w:eastAsia="黑体" w:hAnsi="Arial" w:cs="Arial"/>
                <w:color w:val="000000"/>
                <w:szCs w:val="21"/>
              </w:rPr>
            </w:pPr>
            <w:r>
              <w:rPr>
                <w:rFonts w:ascii="Arial" w:eastAsia="黑体" w:hAnsi="Arial" w:cs="Arial"/>
                <w:color w:val="000000"/>
                <w:szCs w:val="21"/>
              </w:rPr>
              <w:t>514,278,550.09</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42" w:right="88"/>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42" w:right="88"/>
              <w:rPr>
                <w:rFonts w:ascii="Arial" w:eastAsia="黑体" w:hAnsi="Arial" w:cs="Arial"/>
                <w:color w:val="000000"/>
                <w:szCs w:val="21"/>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7" w:right="15"/>
              <w:jc w:val="right"/>
              <w:rPr>
                <w:rFonts w:ascii="Arial" w:eastAsia="黑体" w:hAnsi="Arial" w:cs="Arial"/>
                <w:color w:val="000000"/>
                <w:szCs w:val="21"/>
              </w:rPr>
            </w:pPr>
            <w:r>
              <w:rPr>
                <w:rFonts w:ascii="Arial" w:eastAsia="黑体" w:hAnsi="Arial" w:cs="Arial"/>
                <w:color w:val="000000"/>
                <w:szCs w:val="21"/>
              </w:rPr>
              <w:t>504,007,913.46</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抵债资产（附注五、</w:t>
            </w:r>
            <w:r>
              <w:rPr>
                <w:rFonts w:ascii="Arial" w:eastAsia="黑体" w:hAnsi="Arial" w:cs="Arial"/>
                <w:snapToGrid w:val="0"/>
                <w:szCs w:val="21"/>
              </w:rPr>
              <w:t>16.1</w:t>
            </w:r>
            <w:r>
              <w:rPr>
                <w:rFonts w:ascii="Arial" w:eastAsia="黑体" w:hAnsi="Arial" w:cs="Arial"/>
                <w:snapToGrid w:val="0"/>
                <w:szCs w:val="21"/>
              </w:rPr>
              <w:t>）</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auto" w:fill="auto"/>
            <w:noWrap/>
            <w:vAlign w:val="bottom"/>
          </w:tcPr>
          <w:p w:rsidR="00AD5BB5" w:rsidRDefault="00F87FF6">
            <w:pPr>
              <w:tabs>
                <w:tab w:val="left" w:pos="1503"/>
              </w:tabs>
              <w:kinsoku w:val="0"/>
              <w:overflowPunct w:val="0"/>
              <w:autoSpaceDE w:val="0"/>
              <w:autoSpaceDN w:val="0"/>
              <w:adjustRightInd w:val="0"/>
              <w:snapToGrid w:val="0"/>
              <w:ind w:rightChars="15" w:right="31"/>
              <w:jc w:val="right"/>
              <w:rPr>
                <w:rFonts w:ascii="Arial" w:eastAsia="黑体" w:hAnsi="Arial" w:cs="Arial"/>
                <w:color w:val="000000"/>
                <w:szCs w:val="21"/>
              </w:rPr>
            </w:pPr>
            <w:r>
              <w:rPr>
                <w:rFonts w:ascii="Arial" w:eastAsia="黑体" w:hAnsi="Arial" w:cs="Arial"/>
                <w:color w:val="000000"/>
                <w:szCs w:val="21"/>
              </w:rPr>
              <w:t>6,029,689.56</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42" w:right="88"/>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42" w:right="88"/>
              <w:rPr>
                <w:rFonts w:ascii="Arial" w:eastAsia="黑体" w:hAnsi="Arial" w:cs="Arial"/>
                <w:color w:val="000000"/>
                <w:szCs w:val="21"/>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7" w:right="15"/>
              <w:jc w:val="right"/>
              <w:rPr>
                <w:rFonts w:ascii="Arial" w:eastAsia="黑体" w:hAnsi="Arial" w:cs="Arial"/>
                <w:color w:val="000000"/>
                <w:szCs w:val="21"/>
              </w:rPr>
            </w:pPr>
            <w:r>
              <w:rPr>
                <w:rFonts w:ascii="Arial" w:eastAsia="黑体" w:hAnsi="Arial" w:cs="Arial"/>
                <w:color w:val="000000"/>
                <w:szCs w:val="21"/>
              </w:rPr>
              <w:t>6,029,689.56</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存出保证金及押金</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auto" w:fill="auto"/>
            <w:noWrap/>
            <w:vAlign w:val="bottom"/>
          </w:tcPr>
          <w:p w:rsidR="00AD5BB5" w:rsidRDefault="00F87FF6">
            <w:pPr>
              <w:tabs>
                <w:tab w:val="left" w:pos="1503"/>
              </w:tabs>
              <w:kinsoku w:val="0"/>
              <w:overflowPunct w:val="0"/>
              <w:autoSpaceDE w:val="0"/>
              <w:autoSpaceDN w:val="0"/>
              <w:adjustRightInd w:val="0"/>
              <w:snapToGrid w:val="0"/>
              <w:ind w:rightChars="15" w:right="31"/>
              <w:jc w:val="right"/>
              <w:rPr>
                <w:rFonts w:ascii="Arial" w:eastAsia="黑体" w:hAnsi="Arial" w:cs="Arial"/>
                <w:color w:val="000000"/>
                <w:szCs w:val="21"/>
              </w:rPr>
            </w:pPr>
            <w:r>
              <w:rPr>
                <w:rFonts w:ascii="Arial" w:eastAsia="黑体" w:hAnsi="Arial" w:cs="Arial"/>
                <w:color w:val="000000"/>
                <w:szCs w:val="21"/>
              </w:rPr>
              <w:t>15,008,017.91</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42" w:right="88"/>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42" w:right="88"/>
              <w:rPr>
                <w:rFonts w:ascii="Arial" w:eastAsia="黑体" w:hAnsi="Arial" w:cs="Arial"/>
                <w:color w:val="000000"/>
                <w:szCs w:val="21"/>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7" w:right="15"/>
              <w:jc w:val="right"/>
              <w:rPr>
                <w:rFonts w:ascii="Arial" w:eastAsia="黑体" w:hAnsi="Arial" w:cs="Arial"/>
                <w:color w:val="000000"/>
                <w:szCs w:val="21"/>
              </w:rPr>
            </w:pPr>
            <w:r>
              <w:rPr>
                <w:rFonts w:ascii="Arial" w:eastAsia="黑体" w:hAnsi="Arial" w:cs="Arial"/>
                <w:color w:val="000000"/>
                <w:szCs w:val="21"/>
              </w:rPr>
              <w:t>15,242,931.57</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预付经费</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auto" w:fill="auto"/>
            <w:noWrap/>
            <w:vAlign w:val="bottom"/>
          </w:tcPr>
          <w:p w:rsidR="00AD5BB5" w:rsidRDefault="00F87FF6">
            <w:pPr>
              <w:tabs>
                <w:tab w:val="left" w:pos="1503"/>
              </w:tabs>
              <w:kinsoku w:val="0"/>
              <w:overflowPunct w:val="0"/>
              <w:autoSpaceDE w:val="0"/>
              <w:autoSpaceDN w:val="0"/>
              <w:adjustRightInd w:val="0"/>
              <w:snapToGrid w:val="0"/>
              <w:ind w:rightChars="15" w:right="31"/>
              <w:jc w:val="right"/>
              <w:rPr>
                <w:rFonts w:ascii="Arial" w:eastAsia="黑体" w:hAnsi="Arial" w:cs="Arial"/>
                <w:color w:val="000000"/>
                <w:szCs w:val="21"/>
              </w:rPr>
            </w:pPr>
            <w:r>
              <w:rPr>
                <w:rFonts w:ascii="Arial" w:eastAsia="黑体" w:hAnsi="Arial" w:cs="Arial"/>
                <w:color w:val="000000"/>
                <w:szCs w:val="21"/>
              </w:rPr>
              <w:t>19,539,894.91</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42" w:right="88"/>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42" w:right="88"/>
              <w:rPr>
                <w:rFonts w:ascii="Arial" w:eastAsia="黑体" w:hAnsi="Arial" w:cs="Arial"/>
                <w:color w:val="000000"/>
                <w:szCs w:val="21"/>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7" w:right="15"/>
              <w:jc w:val="right"/>
              <w:rPr>
                <w:rFonts w:ascii="Arial" w:eastAsia="黑体" w:hAnsi="Arial" w:cs="Arial"/>
                <w:color w:val="000000"/>
                <w:szCs w:val="21"/>
              </w:rPr>
            </w:pPr>
            <w:r>
              <w:rPr>
                <w:rFonts w:ascii="Arial" w:eastAsia="黑体" w:hAnsi="Arial" w:cs="Arial"/>
                <w:color w:val="000000"/>
                <w:szCs w:val="21"/>
              </w:rPr>
              <w:t>23,718,487.63</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使用权资产（附注五、</w:t>
            </w:r>
            <w:r>
              <w:rPr>
                <w:rFonts w:ascii="Arial" w:eastAsia="黑体" w:hAnsi="Arial" w:cs="Arial"/>
                <w:snapToGrid w:val="0"/>
                <w:szCs w:val="21"/>
              </w:rPr>
              <w:t>16.2</w:t>
            </w:r>
            <w:r>
              <w:rPr>
                <w:rFonts w:ascii="Arial" w:eastAsia="黑体" w:hAnsi="Arial" w:cs="Arial"/>
                <w:snapToGrid w:val="0"/>
                <w:szCs w:val="21"/>
              </w:rPr>
              <w:t>）</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auto" w:fill="auto"/>
            <w:noWrap/>
            <w:vAlign w:val="bottom"/>
          </w:tcPr>
          <w:p w:rsidR="00AD5BB5" w:rsidRDefault="00F87FF6">
            <w:pPr>
              <w:tabs>
                <w:tab w:val="left" w:pos="1503"/>
              </w:tabs>
              <w:kinsoku w:val="0"/>
              <w:overflowPunct w:val="0"/>
              <w:autoSpaceDE w:val="0"/>
              <w:autoSpaceDN w:val="0"/>
              <w:adjustRightInd w:val="0"/>
              <w:snapToGrid w:val="0"/>
              <w:ind w:rightChars="15" w:right="31"/>
              <w:jc w:val="right"/>
              <w:rPr>
                <w:rFonts w:ascii="Arial" w:eastAsia="黑体" w:hAnsi="Arial" w:cs="Arial"/>
                <w:color w:val="000000"/>
                <w:szCs w:val="21"/>
              </w:rPr>
            </w:pPr>
            <w:r>
              <w:rPr>
                <w:rFonts w:ascii="Arial" w:eastAsia="黑体" w:hAnsi="Arial" w:cs="Arial"/>
                <w:color w:val="000000"/>
                <w:szCs w:val="21"/>
              </w:rPr>
              <w:t>482,931,514.26</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42" w:right="88"/>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42" w:right="88"/>
              <w:rPr>
                <w:rFonts w:ascii="Arial" w:eastAsia="黑体" w:hAnsi="Arial" w:cs="Arial"/>
                <w:color w:val="000000"/>
                <w:szCs w:val="21"/>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7" w:right="15"/>
              <w:jc w:val="right"/>
              <w:rPr>
                <w:rFonts w:ascii="Arial" w:eastAsia="黑体" w:hAnsi="Arial" w:cs="Arial"/>
                <w:color w:val="000000"/>
                <w:szCs w:val="21"/>
              </w:rPr>
            </w:pPr>
            <w:r>
              <w:rPr>
                <w:rFonts w:ascii="Arial" w:eastAsia="黑体" w:hAnsi="Arial" w:cs="Arial"/>
                <w:color w:val="000000"/>
                <w:szCs w:val="21"/>
              </w:rPr>
              <w:t>475,772,433.75</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其他应收款</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single" w:sz="4" w:space="0" w:color="auto"/>
              <w:right w:val="nil"/>
            </w:tcBorders>
            <w:shd w:val="clear" w:color="auto" w:fill="auto"/>
            <w:noWrap/>
            <w:vAlign w:val="bottom"/>
          </w:tcPr>
          <w:p w:rsidR="00AD5BB5" w:rsidRDefault="00F87FF6">
            <w:pPr>
              <w:tabs>
                <w:tab w:val="left" w:pos="1503"/>
              </w:tabs>
              <w:kinsoku w:val="0"/>
              <w:overflowPunct w:val="0"/>
              <w:autoSpaceDE w:val="0"/>
              <w:autoSpaceDN w:val="0"/>
              <w:adjustRightInd w:val="0"/>
              <w:snapToGrid w:val="0"/>
              <w:ind w:rightChars="15" w:right="31"/>
              <w:jc w:val="right"/>
              <w:rPr>
                <w:rFonts w:ascii="Arial" w:eastAsia="黑体" w:hAnsi="Arial" w:cs="Arial"/>
                <w:color w:val="000000"/>
                <w:szCs w:val="21"/>
              </w:rPr>
            </w:pPr>
            <w:r>
              <w:rPr>
                <w:rFonts w:ascii="Arial" w:eastAsia="黑体" w:hAnsi="Arial" w:cs="Arial"/>
                <w:color w:val="000000"/>
                <w:szCs w:val="21"/>
              </w:rPr>
              <w:t>209,448,543.41</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42" w:right="88"/>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42" w:right="88"/>
              <w:rPr>
                <w:rFonts w:ascii="Arial" w:eastAsia="黑体" w:hAnsi="Arial" w:cs="Arial"/>
                <w:color w:val="000000"/>
                <w:szCs w:val="21"/>
              </w:rPr>
            </w:pPr>
          </w:p>
        </w:tc>
        <w:tc>
          <w:tcPr>
            <w:tcW w:w="2168"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7" w:right="15"/>
              <w:jc w:val="right"/>
              <w:rPr>
                <w:rFonts w:ascii="Arial" w:eastAsia="黑体" w:hAnsi="Arial" w:cs="Arial"/>
                <w:color w:val="000000"/>
                <w:szCs w:val="21"/>
              </w:rPr>
            </w:pPr>
            <w:r>
              <w:rPr>
                <w:rFonts w:ascii="Arial" w:eastAsia="黑体" w:hAnsi="Arial" w:cs="Arial"/>
                <w:color w:val="000000"/>
                <w:szCs w:val="21"/>
              </w:rPr>
              <w:t>414,705,137.95</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小计</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single" w:sz="4" w:space="0" w:color="auto"/>
              <w:left w:val="nil"/>
              <w:bottom w:val="single" w:sz="4" w:space="0" w:color="auto"/>
              <w:right w:val="nil"/>
            </w:tcBorders>
            <w:shd w:val="clear" w:color="auto" w:fill="auto"/>
            <w:noWrap/>
            <w:vAlign w:val="bottom"/>
          </w:tcPr>
          <w:p w:rsidR="00AD5BB5" w:rsidRDefault="00F87FF6">
            <w:pPr>
              <w:tabs>
                <w:tab w:val="left" w:pos="1503"/>
              </w:tabs>
              <w:kinsoku w:val="0"/>
              <w:overflowPunct w:val="0"/>
              <w:autoSpaceDE w:val="0"/>
              <w:autoSpaceDN w:val="0"/>
              <w:adjustRightInd w:val="0"/>
              <w:snapToGrid w:val="0"/>
              <w:ind w:rightChars="15" w:right="31"/>
              <w:jc w:val="right"/>
              <w:rPr>
                <w:rFonts w:ascii="Arial" w:eastAsia="黑体" w:hAnsi="Arial" w:cs="Arial"/>
                <w:color w:val="000000"/>
                <w:szCs w:val="21"/>
              </w:rPr>
            </w:pPr>
            <w:r>
              <w:rPr>
                <w:rFonts w:ascii="Arial" w:eastAsia="黑体" w:hAnsi="Arial" w:cs="Arial"/>
                <w:color w:val="000000"/>
                <w:szCs w:val="21"/>
              </w:rPr>
              <w:t>2,167,932,894.44</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42" w:right="88"/>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42" w:right="88"/>
              <w:rPr>
                <w:rFonts w:ascii="Arial" w:eastAsia="黑体" w:hAnsi="Arial" w:cs="Arial"/>
                <w:color w:val="000000"/>
                <w:szCs w:val="21"/>
              </w:rPr>
            </w:pPr>
          </w:p>
        </w:tc>
        <w:tc>
          <w:tcPr>
            <w:tcW w:w="2168" w:type="dxa"/>
            <w:tcBorders>
              <w:top w:val="single" w:sz="4" w:space="0" w:color="auto"/>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7" w:right="15"/>
              <w:jc w:val="right"/>
              <w:rPr>
                <w:rFonts w:ascii="Arial" w:eastAsia="黑体" w:hAnsi="Arial" w:cs="Arial"/>
                <w:color w:val="000000"/>
                <w:szCs w:val="21"/>
              </w:rPr>
            </w:pPr>
            <w:r>
              <w:rPr>
                <w:rFonts w:ascii="Arial" w:eastAsia="黑体" w:hAnsi="Arial" w:cs="Arial"/>
                <w:color w:val="000000"/>
                <w:szCs w:val="21"/>
              </w:rPr>
              <w:t>1,745,435,084.53</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AD5BB5">
            <w:pPr>
              <w:kinsoku w:val="0"/>
              <w:overflowPunct w:val="0"/>
              <w:autoSpaceDE w:val="0"/>
              <w:autoSpaceDN w:val="0"/>
              <w:adjustRightInd w:val="0"/>
              <w:snapToGrid w:val="0"/>
              <w:ind w:left="315" w:hangingChars="150" w:hanging="315"/>
              <w:rPr>
                <w:rFonts w:ascii="Arial" w:eastAsia="黑体" w:hAnsi="Arial" w:cs="Arial"/>
                <w:snapToGrid w:val="0"/>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single" w:sz="4" w:space="0" w:color="auto"/>
              <w:left w:val="nil"/>
              <w:bottom w:val="nil"/>
              <w:right w:val="nil"/>
            </w:tcBorders>
            <w:shd w:val="clear" w:color="auto" w:fill="auto"/>
            <w:noWrap/>
            <w:vAlign w:val="bottom"/>
          </w:tcPr>
          <w:p w:rsidR="00AD5BB5" w:rsidRDefault="00AD5BB5">
            <w:pPr>
              <w:tabs>
                <w:tab w:val="left" w:pos="1503"/>
              </w:tabs>
              <w:kinsoku w:val="0"/>
              <w:overflowPunct w:val="0"/>
              <w:autoSpaceDE w:val="0"/>
              <w:autoSpaceDN w:val="0"/>
              <w:adjustRightInd w:val="0"/>
              <w:snapToGrid w:val="0"/>
              <w:ind w:rightChars="15" w:right="31"/>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42" w:right="88"/>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42" w:right="88"/>
              <w:rPr>
                <w:rFonts w:ascii="Arial" w:eastAsia="黑体" w:hAnsi="Arial" w:cs="Arial"/>
                <w:color w:val="000000"/>
                <w:szCs w:val="21"/>
              </w:rPr>
            </w:pPr>
          </w:p>
        </w:tc>
        <w:tc>
          <w:tcPr>
            <w:tcW w:w="2168"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7" w:right="15"/>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vAlign w:val="center"/>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减值准备（附注五、</w:t>
            </w:r>
            <w:r>
              <w:rPr>
                <w:rFonts w:ascii="Arial" w:eastAsia="黑体" w:hAnsi="Arial" w:cs="Arial"/>
                <w:snapToGrid w:val="0"/>
                <w:szCs w:val="21"/>
              </w:rPr>
              <w:t>17</w:t>
            </w:r>
            <w:r>
              <w:rPr>
                <w:rFonts w:ascii="Arial" w:eastAsia="黑体" w:hAnsi="Arial" w:cs="Arial"/>
                <w:snapToGrid w:val="0"/>
                <w:szCs w:val="21"/>
              </w:rPr>
              <w:t>）</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auto" w:fill="auto"/>
            <w:noWrap/>
            <w:vAlign w:val="bottom"/>
          </w:tcPr>
          <w:p w:rsidR="00AD5BB5" w:rsidRDefault="00AD5BB5">
            <w:pPr>
              <w:tabs>
                <w:tab w:val="left" w:pos="1503"/>
              </w:tabs>
              <w:kinsoku w:val="0"/>
              <w:overflowPunct w:val="0"/>
              <w:autoSpaceDE w:val="0"/>
              <w:autoSpaceDN w:val="0"/>
              <w:adjustRightInd w:val="0"/>
              <w:snapToGrid w:val="0"/>
              <w:ind w:rightChars="15" w:right="31"/>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42" w:right="88"/>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42" w:right="88"/>
              <w:rPr>
                <w:rFonts w:ascii="Arial" w:eastAsia="黑体" w:hAnsi="Arial" w:cs="Arial"/>
                <w:color w:val="000000"/>
                <w:szCs w:val="21"/>
              </w:rPr>
            </w:pPr>
          </w:p>
        </w:tc>
        <w:tc>
          <w:tcPr>
            <w:tcW w:w="216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7" w:right="15"/>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vAlign w:val="center"/>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抵债资产</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(6,029,689.56</w:t>
            </w:r>
          </w:p>
        </w:tc>
        <w:tc>
          <w:tcPr>
            <w:tcW w:w="110"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210"/>
              <w:rPr>
                <w:rFonts w:ascii="Arial" w:eastAsia="黑体" w:hAnsi="Arial" w:cs="Arial"/>
                <w:color w:val="000000"/>
                <w:szCs w:val="21"/>
              </w:rPr>
            </w:pPr>
            <w:r>
              <w:rPr>
                <w:rFonts w:ascii="Arial" w:eastAsia="黑体" w:hAnsi="Arial" w:cs="Arial"/>
                <w:color w:val="000000"/>
                <w:szCs w:val="21"/>
              </w:rPr>
              <w:t>)</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(6,029,689.56</w:t>
            </w:r>
          </w:p>
        </w:tc>
        <w:tc>
          <w:tcPr>
            <w:tcW w:w="110"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210"/>
              <w:rPr>
                <w:rFonts w:ascii="Arial" w:eastAsia="黑体" w:hAnsi="Arial" w:cs="Arial"/>
                <w:color w:val="000000"/>
                <w:szCs w:val="21"/>
              </w:rPr>
            </w:pPr>
            <w:r>
              <w:rPr>
                <w:rFonts w:ascii="Arial" w:eastAsia="黑体" w:hAnsi="Arial" w:cs="Arial"/>
                <w:color w:val="000000"/>
                <w:szCs w:val="21"/>
              </w:rPr>
              <w:t>)</w:t>
            </w:r>
          </w:p>
        </w:tc>
      </w:tr>
      <w:tr w:rsidR="00AD5BB5">
        <w:trPr>
          <w:trHeight w:val="170"/>
        </w:trPr>
        <w:tc>
          <w:tcPr>
            <w:tcW w:w="3502" w:type="dxa"/>
            <w:tcBorders>
              <w:top w:val="nil"/>
              <w:left w:val="nil"/>
              <w:bottom w:val="nil"/>
              <w:right w:val="nil"/>
            </w:tcBorders>
            <w:shd w:val="clear" w:color="000000" w:fill="auto"/>
            <w:noWrap/>
            <w:vAlign w:val="center"/>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其他应收款</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(36,403,952.81</w:t>
            </w:r>
          </w:p>
        </w:tc>
        <w:tc>
          <w:tcPr>
            <w:tcW w:w="110"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210"/>
              <w:rPr>
                <w:rFonts w:ascii="Arial" w:eastAsia="黑体" w:hAnsi="Arial" w:cs="Arial"/>
                <w:color w:val="000000"/>
                <w:szCs w:val="21"/>
              </w:rPr>
            </w:pPr>
            <w:r>
              <w:rPr>
                <w:rFonts w:ascii="Arial" w:eastAsia="黑体" w:hAnsi="Arial" w:cs="Arial"/>
                <w:color w:val="000000"/>
                <w:szCs w:val="21"/>
              </w:rPr>
              <w:t>)</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(27,399,394.62</w:t>
            </w:r>
          </w:p>
        </w:tc>
        <w:tc>
          <w:tcPr>
            <w:tcW w:w="110"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210"/>
              <w:rPr>
                <w:rFonts w:ascii="Arial" w:eastAsia="黑体" w:hAnsi="Arial" w:cs="Arial"/>
                <w:color w:val="000000"/>
                <w:szCs w:val="21"/>
              </w:rPr>
            </w:pPr>
            <w:r>
              <w:rPr>
                <w:rFonts w:ascii="Arial" w:eastAsia="黑体" w:hAnsi="Arial" w:cs="Arial"/>
                <w:color w:val="000000"/>
                <w:szCs w:val="21"/>
              </w:rPr>
              <w:t>)</w:t>
            </w:r>
          </w:p>
        </w:tc>
      </w:tr>
      <w:tr w:rsidR="00AD5BB5">
        <w:trPr>
          <w:trHeight w:val="170"/>
        </w:trPr>
        <w:tc>
          <w:tcPr>
            <w:tcW w:w="3502" w:type="dxa"/>
            <w:tcBorders>
              <w:top w:val="nil"/>
              <w:left w:val="nil"/>
              <w:bottom w:val="nil"/>
              <w:right w:val="nil"/>
            </w:tcBorders>
            <w:shd w:val="clear" w:color="000000" w:fill="auto"/>
            <w:noWrap/>
            <w:vAlign w:val="center"/>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小计</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single" w:sz="4" w:space="0" w:color="auto"/>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13" w:right="27"/>
              <w:jc w:val="right"/>
              <w:rPr>
                <w:rFonts w:ascii="Arial" w:eastAsia="黑体" w:hAnsi="Arial" w:cs="Arial"/>
                <w:color w:val="000000"/>
                <w:szCs w:val="21"/>
              </w:rPr>
            </w:pPr>
            <w:r>
              <w:rPr>
                <w:rFonts w:ascii="Arial" w:eastAsia="黑体" w:hAnsi="Arial" w:cs="Arial"/>
                <w:color w:val="000000"/>
                <w:szCs w:val="21"/>
              </w:rPr>
              <w:t>(42,433,642.37</w:t>
            </w:r>
          </w:p>
        </w:tc>
        <w:tc>
          <w:tcPr>
            <w:tcW w:w="110"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Cs w:val="21"/>
              </w:rPr>
            </w:pPr>
            <w:r>
              <w:rPr>
                <w:rFonts w:ascii="Arial" w:eastAsia="黑体" w:hAnsi="Arial" w:cs="Arial"/>
                <w:color w:val="000000"/>
                <w:szCs w:val="21"/>
              </w:rPr>
              <w:t>)</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single" w:sz="4" w:space="0" w:color="auto"/>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13" w:right="27"/>
              <w:jc w:val="right"/>
              <w:rPr>
                <w:rFonts w:ascii="Arial" w:eastAsia="黑体" w:hAnsi="Arial" w:cs="Arial"/>
                <w:color w:val="000000"/>
                <w:szCs w:val="21"/>
              </w:rPr>
            </w:pPr>
            <w:r>
              <w:rPr>
                <w:rFonts w:ascii="Arial" w:eastAsia="黑体" w:hAnsi="Arial" w:cs="Arial"/>
                <w:color w:val="000000"/>
                <w:szCs w:val="21"/>
              </w:rPr>
              <w:t>(33,429,084.18</w:t>
            </w:r>
          </w:p>
        </w:tc>
        <w:tc>
          <w:tcPr>
            <w:tcW w:w="110"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Cs w:val="21"/>
              </w:rPr>
            </w:pPr>
            <w:r>
              <w:rPr>
                <w:rFonts w:ascii="Arial" w:eastAsia="黑体" w:hAnsi="Arial" w:cs="Arial"/>
                <w:color w:val="000000"/>
                <w:szCs w:val="21"/>
              </w:rPr>
              <w:t>)</w:t>
            </w:r>
          </w:p>
        </w:tc>
      </w:tr>
      <w:tr w:rsidR="00AD5BB5">
        <w:trPr>
          <w:trHeight w:val="170"/>
        </w:trPr>
        <w:tc>
          <w:tcPr>
            <w:tcW w:w="3502" w:type="dxa"/>
            <w:tcBorders>
              <w:top w:val="nil"/>
              <w:left w:val="nil"/>
              <w:bottom w:val="nil"/>
              <w:right w:val="nil"/>
            </w:tcBorders>
            <w:shd w:val="clear" w:color="000000" w:fill="auto"/>
            <w:noWrap/>
            <w:vAlign w:val="center"/>
          </w:tcPr>
          <w:p w:rsidR="00AD5BB5" w:rsidRDefault="00AD5BB5">
            <w:pPr>
              <w:kinsoku w:val="0"/>
              <w:overflowPunct w:val="0"/>
              <w:autoSpaceDE w:val="0"/>
              <w:autoSpaceDN w:val="0"/>
              <w:adjustRightInd w:val="0"/>
              <w:snapToGrid w:val="0"/>
              <w:ind w:leftChars="88" w:left="500"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13" w:right="27"/>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13" w:right="27"/>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vAlign w:val="center"/>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净额</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doub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13" w:right="27"/>
              <w:jc w:val="right"/>
              <w:rPr>
                <w:rFonts w:ascii="Arial" w:eastAsia="黑体" w:hAnsi="Arial" w:cs="Arial"/>
                <w:color w:val="000000"/>
                <w:szCs w:val="21"/>
              </w:rPr>
            </w:pPr>
            <w:r>
              <w:rPr>
                <w:rFonts w:ascii="Arial" w:eastAsia="黑体" w:hAnsi="Arial" w:cs="Arial"/>
                <w:color w:val="000000"/>
                <w:szCs w:val="21"/>
              </w:rPr>
              <w:t>2,125,499,252.07</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doub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13" w:right="27"/>
              <w:jc w:val="right"/>
              <w:rPr>
                <w:rFonts w:ascii="Arial" w:eastAsia="黑体" w:hAnsi="Arial" w:cs="Arial"/>
                <w:color w:val="000000"/>
                <w:szCs w:val="21"/>
              </w:rPr>
            </w:pPr>
            <w:r>
              <w:rPr>
                <w:rFonts w:ascii="Arial" w:eastAsia="黑体" w:hAnsi="Arial" w:cs="Arial"/>
                <w:color w:val="000000"/>
                <w:szCs w:val="21"/>
              </w:rPr>
              <w:t>1,712,006,000.35</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bl>
    <w:p w:rsidR="00AD5BB5" w:rsidRDefault="00AD5BB5">
      <w:pPr>
        <w:overflowPunct w:val="0"/>
        <w:autoSpaceDE w:val="0"/>
        <w:autoSpaceDN w:val="0"/>
        <w:adjustRightInd w:val="0"/>
        <w:snapToGrid w:val="0"/>
        <w:textAlignment w:val="bottom"/>
        <w:rPr>
          <w:rFonts w:ascii="Arial" w:eastAsia="黑体" w:hAnsi="Arial" w:cs="Arial"/>
          <w:snapToGrid w:val="0"/>
          <w:szCs w:val="21"/>
        </w:rPr>
      </w:pPr>
    </w:p>
    <w:p w:rsidR="00AD5BB5" w:rsidRDefault="00F87FF6">
      <w:pPr>
        <w:pStyle w:val="af5"/>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156" w:name="afsaddin_Section_8486c080927041f6ac5cd3f"/>
      <w:r>
        <w:rPr>
          <w:rFonts w:ascii="Arial" w:eastAsia="黑体" w:hAnsi="Arial" w:cs="Arial" w:hint="default"/>
          <w:bCs w:val="0"/>
          <w:snapToGrid w:val="0"/>
          <w:color w:val="auto"/>
          <w:sz w:val="21"/>
          <w:szCs w:val="21"/>
        </w:rPr>
        <w:t>16.1</w:t>
      </w:r>
      <w:r>
        <w:rPr>
          <w:rFonts w:ascii="Arial" w:eastAsia="黑体" w:hAnsi="Arial" w:cs="Arial" w:hint="default"/>
          <w:bCs w:val="0"/>
          <w:snapToGrid w:val="0"/>
          <w:color w:val="auto"/>
          <w:sz w:val="21"/>
          <w:szCs w:val="21"/>
        </w:rPr>
        <w:tab/>
        <w:t xml:space="preserve"> </w:t>
      </w:r>
      <w:r>
        <w:rPr>
          <w:rFonts w:ascii="Arial" w:eastAsia="黑体" w:hAnsi="Arial" w:cs="Arial" w:hint="default"/>
          <w:bCs w:val="0"/>
          <w:snapToGrid w:val="0"/>
          <w:color w:val="auto"/>
          <w:sz w:val="21"/>
          <w:szCs w:val="21"/>
        </w:rPr>
        <w:t>抵债资产</w:t>
      </w:r>
    </w:p>
    <w:bookmarkEnd w:id="156"/>
    <w:p w:rsidR="00AD5BB5" w:rsidRDefault="00AD5BB5">
      <w:pPr>
        <w:tabs>
          <w:tab w:val="decimal" w:pos="4560"/>
          <w:tab w:val="decimal" w:pos="6240"/>
          <w:tab w:val="decimal" w:pos="6600"/>
          <w:tab w:val="decimal" w:pos="8280"/>
        </w:tabs>
        <w:overflowPunct w:val="0"/>
        <w:autoSpaceDE w:val="0"/>
        <w:autoSpaceDN w:val="0"/>
        <w:adjustRightInd w:val="0"/>
        <w:snapToGrid w:val="0"/>
        <w:textAlignment w:val="bottom"/>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8741cfad-d5a2-46de-954a-c39f26ba14f3"/>
        <w:tblDescription w:val="{&quot;UUID&quot;:&quot;afsaddin_tabledata_2_56437_8741cfad-d5a2-46de-954a-c39f26ba14f3&quot;,&quot;TitleRowCount&quot;:2,&quot;SplitedTable&quot;:false,&quot;FirstTableId&quot;:&quot;8741cfad-d5a2-46de-954a-c39f26ba14f3&quot;}"/>
      </w:tblPr>
      <w:tblGrid>
        <w:gridCol w:w="3502"/>
        <w:gridCol w:w="109"/>
        <w:gridCol w:w="2317"/>
        <w:gridCol w:w="110"/>
        <w:gridCol w:w="110"/>
        <w:gridCol w:w="2168"/>
        <w:gridCol w:w="110"/>
      </w:tblGrid>
      <w:tr w:rsidR="00AD5BB5">
        <w:trPr>
          <w:trHeight w:val="68"/>
        </w:trPr>
        <w:tc>
          <w:tcPr>
            <w:tcW w:w="3502"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1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42" w:right="88"/>
              <w:jc w:val="right"/>
              <w:rPr>
                <w:rFonts w:ascii="Arial" w:eastAsia="黑体" w:hAnsi="Arial" w:cs="Arial"/>
                <w:color w:val="000000"/>
                <w:szCs w:val="21"/>
              </w:rPr>
            </w:pPr>
            <w:r>
              <w:rPr>
                <w:rFonts w:ascii="Arial" w:eastAsia="黑体" w:hAnsi="Arial" w:cs="Arial"/>
                <w:color w:val="000000"/>
                <w:szCs w:val="21"/>
              </w:rPr>
              <w:fldChar w:fldCharType="begin"/>
            </w:r>
            <w:r>
              <w:rPr>
                <w:rFonts w:ascii="Arial" w:eastAsia="黑体" w:hAnsi="Arial" w:cs="Arial"/>
                <w:color w:val="000000"/>
                <w:szCs w:val="21"/>
              </w:rPr>
              <w:instrText xml:space="preserve"> DOCPROPERTY </w:instrText>
            </w:r>
            <w:r>
              <w:rPr>
                <w:rFonts w:ascii="Arial" w:eastAsia="黑体" w:hAnsi="Arial" w:cs="Arial"/>
                <w:color w:val="000000"/>
                <w:szCs w:val="21"/>
              </w:rPr>
              <w:instrText>当期资产负债表日</w:instrText>
            </w:r>
            <w:r>
              <w:rPr>
                <w:rFonts w:ascii="Arial" w:eastAsia="黑体" w:hAnsi="Arial" w:cs="Arial"/>
                <w:color w:val="000000"/>
                <w:szCs w:val="21"/>
              </w:rPr>
              <w:instrText xml:space="preserve"> </w:instrText>
            </w:r>
            <w:r>
              <w:rPr>
                <w:rFonts w:ascii="Arial" w:eastAsia="黑体" w:hAnsi="Arial" w:cs="Arial"/>
                <w:color w:val="000000"/>
                <w:szCs w:val="21"/>
              </w:rPr>
              <w:fldChar w:fldCharType="separate"/>
            </w:r>
            <w:r>
              <w:rPr>
                <w:rFonts w:ascii="Arial" w:eastAsia="黑体" w:hAnsi="Arial" w:cs="Arial"/>
                <w:color w:val="000000"/>
                <w:szCs w:val="21"/>
              </w:rPr>
              <w:t>2023</w:t>
            </w:r>
            <w:r>
              <w:rPr>
                <w:rFonts w:ascii="Arial" w:eastAsia="黑体" w:hAnsi="Arial" w:cs="Arial"/>
                <w:color w:val="000000"/>
                <w:szCs w:val="21"/>
              </w:rPr>
              <w:t>年</w:t>
            </w:r>
            <w:r>
              <w:rPr>
                <w:rFonts w:ascii="Arial" w:eastAsia="黑体" w:hAnsi="Arial" w:cs="Arial"/>
                <w:color w:val="000000"/>
                <w:szCs w:val="21"/>
              </w:rPr>
              <w:t>6</w:t>
            </w:r>
            <w:r>
              <w:rPr>
                <w:rFonts w:ascii="Arial" w:eastAsia="黑体" w:hAnsi="Arial" w:cs="Arial"/>
                <w:color w:val="000000"/>
                <w:szCs w:val="21"/>
              </w:rPr>
              <w:t>月</w:t>
            </w:r>
            <w:r>
              <w:rPr>
                <w:rFonts w:ascii="Arial" w:eastAsia="黑体" w:hAnsi="Arial" w:cs="Arial"/>
                <w:color w:val="000000"/>
                <w:szCs w:val="21"/>
              </w:rPr>
              <w:t>30</w:t>
            </w:r>
            <w:r>
              <w:rPr>
                <w:rFonts w:ascii="Arial" w:eastAsia="黑体" w:hAnsi="Arial" w:cs="Arial"/>
                <w:color w:val="000000"/>
                <w:szCs w:val="21"/>
              </w:rPr>
              <w:t>日</w:t>
            </w:r>
            <w:r>
              <w:rPr>
                <w:rFonts w:ascii="Arial" w:eastAsia="黑体" w:hAnsi="Arial" w:cs="Arial"/>
                <w:color w:val="000000"/>
                <w:szCs w:val="21"/>
              </w:rPr>
              <w:fldChar w:fldCharType="end"/>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42" w:right="88"/>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42" w:right="88"/>
              <w:jc w:val="right"/>
              <w:rPr>
                <w:rFonts w:ascii="Arial" w:eastAsia="黑体" w:hAnsi="Arial" w:cs="Arial"/>
                <w:color w:val="000000"/>
                <w:szCs w:val="21"/>
              </w:rPr>
            </w:pPr>
          </w:p>
        </w:tc>
        <w:tc>
          <w:tcPr>
            <w:tcW w:w="216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12" w:right="25"/>
              <w:jc w:val="right"/>
              <w:rPr>
                <w:rFonts w:ascii="Arial" w:eastAsia="黑体" w:hAnsi="Arial" w:cs="Arial"/>
                <w:color w:val="000000"/>
                <w:szCs w:val="21"/>
              </w:rPr>
            </w:pPr>
            <w:r>
              <w:rPr>
                <w:rFonts w:ascii="Arial" w:eastAsia="黑体" w:hAnsi="Arial" w:cs="Arial"/>
                <w:color w:val="000000"/>
                <w:szCs w:val="21"/>
              </w:rPr>
              <w:t>2022</w:t>
            </w:r>
            <w:r>
              <w:rPr>
                <w:rFonts w:ascii="Arial" w:eastAsia="黑体" w:hAnsi="Arial" w:cs="Arial"/>
                <w:color w:val="000000"/>
                <w:szCs w:val="21"/>
              </w:rPr>
              <w:t>年</w:t>
            </w:r>
            <w:r>
              <w:rPr>
                <w:rFonts w:ascii="Arial" w:eastAsia="黑体" w:hAnsi="Arial" w:cs="Arial"/>
                <w:color w:val="000000"/>
                <w:szCs w:val="21"/>
              </w:rPr>
              <w:t>12</w:t>
            </w:r>
            <w:r>
              <w:rPr>
                <w:rFonts w:ascii="Arial" w:eastAsia="黑体" w:hAnsi="Arial" w:cs="Arial"/>
                <w:color w:val="000000"/>
                <w:szCs w:val="21"/>
              </w:rPr>
              <w:t>月</w:t>
            </w:r>
            <w:r>
              <w:rPr>
                <w:rFonts w:ascii="Arial" w:eastAsia="黑体" w:hAnsi="Arial" w:cs="Arial"/>
                <w:color w:val="000000"/>
                <w:szCs w:val="21"/>
              </w:rPr>
              <w:t>31</w:t>
            </w:r>
            <w:r>
              <w:rPr>
                <w:rFonts w:ascii="Arial" w:eastAsia="黑体" w:hAnsi="Arial" w:cs="Arial"/>
                <w:color w:val="000000"/>
                <w:szCs w:val="21"/>
              </w:rPr>
              <w:t>日</w:t>
            </w:r>
          </w:p>
        </w:tc>
        <w:tc>
          <w:tcPr>
            <w:tcW w:w="110" w:type="dxa"/>
            <w:tcBorders>
              <w:top w:val="nil"/>
              <w:left w:val="nil"/>
              <w:bottom w:val="nil"/>
              <w:right w:val="nil"/>
            </w:tcBorders>
            <w:shd w:val="clear" w:color="000000" w:fill="auto"/>
            <w:vAlign w:val="bottom"/>
          </w:tcPr>
          <w:p w:rsidR="00AD5BB5" w:rsidRDefault="00AD5BB5">
            <w:pPr>
              <w:kinsoku w:val="0"/>
              <w:overflowPunct w:val="0"/>
              <w:autoSpaceDE w:val="0"/>
              <w:autoSpaceDN w:val="0"/>
              <w:adjustRightInd w:val="0"/>
              <w:snapToGrid w:val="0"/>
              <w:ind w:rightChars="508" w:right="1067"/>
              <w:jc w:val="right"/>
              <w:rPr>
                <w:rFonts w:ascii="Arial" w:eastAsia="黑体" w:hAnsi="Arial" w:cs="Arial"/>
                <w:szCs w:val="21"/>
              </w:rPr>
            </w:pPr>
          </w:p>
        </w:tc>
      </w:tr>
      <w:tr w:rsidR="00AD5BB5">
        <w:trPr>
          <w:trHeight w:val="68"/>
        </w:trPr>
        <w:tc>
          <w:tcPr>
            <w:tcW w:w="3502"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17"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2168"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0" w:type="dxa"/>
            <w:tcBorders>
              <w:top w:val="nil"/>
              <w:left w:val="nil"/>
              <w:bottom w:val="nil"/>
              <w:right w:val="nil"/>
            </w:tcBorders>
            <w:shd w:val="clear" w:color="000000" w:fill="auto"/>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r>
      <w:tr w:rsidR="00AD5BB5">
        <w:tc>
          <w:tcPr>
            <w:tcW w:w="350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房屋及建筑物原值</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000000" w:fill="auto"/>
            <w:noWrap/>
            <w:vAlign w:val="bottom"/>
          </w:tcPr>
          <w:p w:rsidR="00AD5BB5" w:rsidRDefault="00F87FF6">
            <w:pPr>
              <w:tabs>
                <w:tab w:val="left" w:pos="1503"/>
              </w:tabs>
              <w:kinsoku w:val="0"/>
              <w:overflowPunct w:val="0"/>
              <w:autoSpaceDE w:val="0"/>
              <w:autoSpaceDN w:val="0"/>
              <w:adjustRightInd w:val="0"/>
              <w:snapToGrid w:val="0"/>
              <w:ind w:rightChars="-2" w:right="-4"/>
              <w:jc w:val="right"/>
              <w:rPr>
                <w:rFonts w:ascii="Arial" w:eastAsia="黑体" w:hAnsi="Arial" w:cs="Arial"/>
                <w:color w:val="000000"/>
                <w:szCs w:val="21"/>
              </w:rPr>
            </w:pPr>
            <w:r>
              <w:rPr>
                <w:rFonts w:ascii="Arial" w:eastAsia="黑体" w:hAnsi="Arial" w:cs="Arial"/>
                <w:color w:val="000000"/>
                <w:szCs w:val="21"/>
              </w:rPr>
              <w:t>6,029,689.56</w:t>
            </w:r>
          </w:p>
        </w:tc>
        <w:tc>
          <w:tcPr>
            <w:tcW w:w="110" w:type="dxa"/>
            <w:tcBorders>
              <w:top w:val="nil"/>
              <w:left w:val="nil"/>
              <w:bottom w:val="nil"/>
              <w:right w:val="nil"/>
            </w:tcBorders>
            <w:shd w:val="clear" w:color="auto" w:fill="auto"/>
            <w:noWrap/>
            <w:vAlign w:val="bottom"/>
          </w:tcPr>
          <w:p w:rsidR="00AD5BB5" w:rsidRDefault="00AD5BB5">
            <w:pPr>
              <w:tabs>
                <w:tab w:val="left" w:pos="1503"/>
              </w:tabs>
              <w:kinsoku w:val="0"/>
              <w:overflowPunct w:val="0"/>
              <w:autoSpaceDE w:val="0"/>
              <w:autoSpaceDN w:val="0"/>
              <w:adjustRightInd w:val="0"/>
              <w:snapToGrid w:val="0"/>
              <w:ind w:rightChars="42" w:right="88"/>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tabs>
                <w:tab w:val="left" w:pos="1503"/>
              </w:tabs>
              <w:kinsoku w:val="0"/>
              <w:overflowPunct w:val="0"/>
              <w:autoSpaceDE w:val="0"/>
              <w:autoSpaceDN w:val="0"/>
              <w:adjustRightInd w:val="0"/>
              <w:snapToGrid w:val="0"/>
              <w:ind w:rightChars="42" w:right="88"/>
              <w:rPr>
                <w:rFonts w:ascii="Arial" w:eastAsia="黑体" w:hAnsi="Arial" w:cs="Arial"/>
                <w:color w:val="000000"/>
                <w:szCs w:val="21"/>
              </w:rPr>
            </w:pPr>
          </w:p>
        </w:tc>
        <w:tc>
          <w:tcPr>
            <w:tcW w:w="216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3" w:right="-6"/>
              <w:jc w:val="right"/>
              <w:rPr>
                <w:rFonts w:ascii="Arial" w:eastAsia="黑体" w:hAnsi="Arial" w:cs="Arial"/>
                <w:color w:val="000000"/>
                <w:szCs w:val="21"/>
              </w:rPr>
            </w:pPr>
            <w:r>
              <w:rPr>
                <w:rFonts w:ascii="Arial" w:eastAsia="黑体" w:hAnsi="Arial" w:cs="Arial"/>
                <w:color w:val="000000"/>
                <w:szCs w:val="21"/>
              </w:rPr>
              <w:t>6,029,689.56</w:t>
            </w:r>
          </w:p>
        </w:tc>
        <w:tc>
          <w:tcPr>
            <w:tcW w:w="110" w:type="dxa"/>
            <w:tcBorders>
              <w:top w:val="nil"/>
              <w:left w:val="nil"/>
              <w:bottom w:val="nil"/>
              <w:right w:val="nil"/>
            </w:tcBorders>
            <w:shd w:val="clear" w:color="000000"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50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630" w:hangingChars="300" w:hanging="630"/>
              <w:rPr>
                <w:rFonts w:ascii="Arial" w:eastAsia="黑体" w:hAnsi="Arial" w:cs="Arial"/>
                <w:color w:val="000000"/>
                <w:szCs w:val="21"/>
              </w:rPr>
            </w:pPr>
            <w:r>
              <w:rPr>
                <w:rFonts w:ascii="Arial" w:eastAsia="黑体" w:hAnsi="Arial" w:cs="Arial"/>
                <w:color w:val="000000"/>
                <w:szCs w:val="21"/>
              </w:rPr>
              <w:t>减：减值准备</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rightChars="-2" w:right="-4"/>
              <w:jc w:val="right"/>
              <w:rPr>
                <w:rFonts w:ascii="Arial" w:eastAsia="黑体" w:hAnsi="Arial" w:cs="Arial"/>
                <w:color w:val="000000"/>
                <w:szCs w:val="21"/>
              </w:rPr>
            </w:pPr>
            <w:r>
              <w:rPr>
                <w:rFonts w:ascii="Arial" w:eastAsia="黑体" w:hAnsi="Arial" w:cs="Arial"/>
                <w:color w:val="000000"/>
                <w:szCs w:val="21"/>
              </w:rPr>
              <w:t>(6,029,689.56</w:t>
            </w:r>
          </w:p>
        </w:tc>
        <w:tc>
          <w:tcPr>
            <w:tcW w:w="110"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22" w:right="46"/>
              <w:rPr>
                <w:rFonts w:ascii="Arial" w:eastAsia="黑体" w:hAnsi="Arial" w:cs="Arial"/>
                <w:color w:val="000000"/>
                <w:szCs w:val="21"/>
              </w:rPr>
            </w:pPr>
            <w:r>
              <w:rPr>
                <w:rFonts w:ascii="Arial" w:eastAsia="黑体" w:hAnsi="Arial" w:cs="Arial"/>
                <w:color w:val="000000"/>
                <w:szCs w:val="21"/>
              </w:rPr>
              <w:t>)</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22" w:right="46"/>
              <w:rPr>
                <w:rFonts w:ascii="Arial" w:eastAsia="黑体" w:hAnsi="Arial" w:cs="Arial"/>
                <w:color w:val="000000"/>
                <w:szCs w:val="21"/>
              </w:rPr>
            </w:pPr>
          </w:p>
        </w:tc>
        <w:tc>
          <w:tcPr>
            <w:tcW w:w="2168"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rightChars="-3" w:right="-6"/>
              <w:jc w:val="right"/>
              <w:rPr>
                <w:rFonts w:ascii="Arial" w:eastAsia="黑体" w:hAnsi="Arial" w:cs="Arial"/>
                <w:color w:val="000000"/>
                <w:szCs w:val="21"/>
              </w:rPr>
            </w:pPr>
            <w:r>
              <w:rPr>
                <w:rFonts w:ascii="Arial" w:eastAsia="黑体" w:hAnsi="Arial" w:cs="Arial"/>
                <w:color w:val="000000"/>
                <w:szCs w:val="21"/>
              </w:rPr>
              <w:t>(6,029,689.56</w:t>
            </w:r>
          </w:p>
        </w:tc>
        <w:tc>
          <w:tcPr>
            <w:tcW w:w="110" w:type="dxa"/>
            <w:tcBorders>
              <w:top w:val="nil"/>
              <w:left w:val="nil"/>
              <w:bottom w:val="nil"/>
              <w:right w:val="nil"/>
            </w:tcBorders>
            <w:shd w:val="clear" w:color="000000" w:fill="auto"/>
            <w:vAlign w:val="bottom"/>
          </w:tcPr>
          <w:p w:rsidR="00AD5BB5" w:rsidRDefault="00F87FF6">
            <w:pPr>
              <w:kinsoku w:val="0"/>
              <w:overflowPunct w:val="0"/>
              <w:autoSpaceDE w:val="0"/>
              <w:autoSpaceDN w:val="0"/>
              <w:adjustRightInd w:val="0"/>
              <w:snapToGrid w:val="0"/>
              <w:rPr>
                <w:rFonts w:ascii="Arial" w:eastAsia="黑体" w:hAnsi="Arial" w:cs="Arial"/>
                <w:color w:val="000000"/>
                <w:szCs w:val="21"/>
              </w:rPr>
            </w:pPr>
            <w:r>
              <w:rPr>
                <w:rFonts w:ascii="Arial" w:eastAsia="黑体" w:hAnsi="Arial" w:cs="Arial"/>
                <w:color w:val="000000"/>
                <w:szCs w:val="21"/>
              </w:rPr>
              <w:t>)</w:t>
            </w:r>
          </w:p>
        </w:tc>
      </w:tr>
      <w:tr w:rsidR="00AD5BB5">
        <w:tc>
          <w:tcPr>
            <w:tcW w:w="3502"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42" w:right="88"/>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42" w:right="88"/>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42" w:right="88"/>
              <w:rPr>
                <w:rFonts w:ascii="Arial" w:eastAsia="黑体" w:hAnsi="Arial" w:cs="Arial"/>
                <w:color w:val="000000"/>
                <w:szCs w:val="21"/>
              </w:rPr>
            </w:pPr>
          </w:p>
        </w:tc>
        <w:tc>
          <w:tcPr>
            <w:tcW w:w="2168"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42" w:right="88"/>
              <w:jc w:val="right"/>
              <w:rPr>
                <w:rFonts w:ascii="Arial" w:eastAsia="黑体" w:hAnsi="Arial" w:cs="Arial"/>
                <w:color w:val="000000"/>
                <w:szCs w:val="21"/>
              </w:rPr>
            </w:pPr>
          </w:p>
        </w:tc>
        <w:tc>
          <w:tcPr>
            <w:tcW w:w="110" w:type="dxa"/>
            <w:tcBorders>
              <w:top w:val="nil"/>
              <w:left w:val="nil"/>
              <w:bottom w:val="nil"/>
              <w:right w:val="nil"/>
            </w:tcBorders>
            <w:vAlign w:val="bottom"/>
          </w:tcPr>
          <w:p w:rsidR="00AD5BB5" w:rsidRDefault="00AD5BB5">
            <w:pPr>
              <w:kinsoku w:val="0"/>
              <w:overflowPunct w:val="0"/>
              <w:autoSpaceDE w:val="0"/>
              <w:autoSpaceDN w:val="0"/>
              <w:adjustRightInd w:val="0"/>
              <w:snapToGrid w:val="0"/>
              <w:rPr>
                <w:rFonts w:ascii="Arial" w:eastAsia="黑体" w:hAnsi="Arial" w:cs="Arial"/>
                <w:szCs w:val="21"/>
              </w:rPr>
            </w:pPr>
          </w:p>
        </w:tc>
      </w:tr>
      <w:tr w:rsidR="00AD5BB5">
        <w:trPr>
          <w:trHeight w:val="68"/>
        </w:trPr>
        <w:tc>
          <w:tcPr>
            <w:tcW w:w="3502"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净额</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17"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rightChars="15" w:right="31"/>
              <w:jc w:val="right"/>
              <w:rPr>
                <w:rFonts w:ascii="Arial" w:eastAsia="黑体" w:hAnsi="Arial" w:cs="Arial"/>
                <w:color w:val="000000"/>
                <w:szCs w:val="21"/>
              </w:rPr>
            </w:pPr>
            <w:r>
              <w:rPr>
                <w:rFonts w:ascii="Arial" w:eastAsia="黑体" w:hAnsi="Arial" w:cs="Arial"/>
                <w:color w:val="000000"/>
                <w:szCs w:val="21"/>
              </w:rPr>
              <w:t>-</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42" w:right="88"/>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42" w:right="88"/>
              <w:rPr>
                <w:rFonts w:ascii="Arial" w:eastAsia="黑体" w:hAnsi="Arial" w:cs="Arial"/>
                <w:color w:val="000000"/>
                <w:szCs w:val="21"/>
              </w:rPr>
            </w:pPr>
          </w:p>
        </w:tc>
        <w:tc>
          <w:tcPr>
            <w:tcW w:w="2168"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rightChars="13" w:right="27"/>
              <w:jc w:val="right"/>
              <w:rPr>
                <w:rFonts w:ascii="Arial" w:eastAsia="黑体" w:hAnsi="Arial" w:cs="Arial"/>
                <w:color w:val="000000"/>
                <w:szCs w:val="21"/>
              </w:rPr>
            </w:pPr>
            <w:r>
              <w:rPr>
                <w:rFonts w:ascii="Arial" w:eastAsia="黑体" w:hAnsi="Arial" w:cs="Arial"/>
                <w:color w:val="000000"/>
                <w:szCs w:val="21"/>
              </w:rPr>
              <w:t>-</w:t>
            </w:r>
          </w:p>
        </w:tc>
        <w:tc>
          <w:tcPr>
            <w:tcW w:w="110" w:type="dxa"/>
            <w:tcBorders>
              <w:top w:val="nil"/>
              <w:left w:val="nil"/>
              <w:bottom w:val="nil"/>
              <w:right w:val="nil"/>
            </w:tcBorders>
            <w:shd w:val="clear" w:color="000000"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bl>
    <w:p w:rsidR="00AD5BB5" w:rsidRDefault="00F87FF6">
      <w:pPr>
        <w:rPr>
          <w:rFonts w:ascii="Arial" w:eastAsia="黑体" w:hAnsi="Arial" w:cs="Arial"/>
          <w:snapToGrid w:val="0"/>
          <w:szCs w:val="21"/>
        </w:rPr>
      </w:pPr>
      <w:r>
        <w:rPr>
          <w:rFonts w:ascii="Arial" w:eastAsia="黑体" w:hAnsi="Arial" w:cs="Arial"/>
          <w:snapToGrid w:val="0"/>
          <w:szCs w:val="21"/>
        </w:rPr>
        <w:br w:type="page"/>
      </w:r>
    </w:p>
    <w:p w:rsidR="00AD5BB5" w:rsidRDefault="00AD5BB5">
      <w:pPr>
        <w:overflowPunct w:val="0"/>
        <w:autoSpaceDE w:val="0"/>
        <w:autoSpaceDN w:val="0"/>
        <w:adjustRightInd w:val="0"/>
        <w:snapToGrid w:val="0"/>
        <w:textAlignment w:val="bottom"/>
        <w:rPr>
          <w:rFonts w:ascii="Arial" w:eastAsia="黑体" w:hAnsi="Arial" w:cs="Arial"/>
          <w:snapToGrid w:val="0"/>
          <w:szCs w:val="21"/>
        </w:rPr>
      </w:pPr>
    </w:p>
    <w:p w:rsidR="00AD5BB5" w:rsidRDefault="00F87FF6">
      <w:pPr>
        <w:overflowPunct w:val="0"/>
        <w:autoSpaceDE w:val="0"/>
        <w:autoSpaceDN w:val="0"/>
        <w:adjustRightInd w:val="0"/>
        <w:snapToGrid w:val="0"/>
        <w:textAlignment w:val="bottom"/>
        <w:rPr>
          <w:rFonts w:ascii="Arial" w:eastAsia="黑体" w:hAnsi="Arial" w:cs="Arial"/>
          <w:b/>
          <w:snapToGrid w:val="0"/>
          <w:szCs w:val="21"/>
        </w:rPr>
      </w:pPr>
      <w:bookmarkStart w:id="157" w:name="afsaddin_WithXu_0f81df9afcbe4d058d32226a"/>
      <w:r>
        <w:rPr>
          <w:rFonts w:ascii="Arial" w:eastAsia="黑体" w:hAnsi="Arial" w:cs="Arial"/>
          <w:b/>
          <w:snapToGrid w:val="0"/>
          <w:szCs w:val="21"/>
        </w:rPr>
        <w:t>五、</w:t>
      </w:r>
      <w:r>
        <w:rPr>
          <w:rFonts w:ascii="Arial" w:eastAsia="黑体" w:hAnsi="Arial" w:cs="Arial"/>
          <w:b/>
          <w:snapToGrid w:val="0"/>
          <w:szCs w:val="21"/>
        </w:rPr>
        <w:tab/>
      </w:r>
      <w:r>
        <w:rPr>
          <w:rFonts w:ascii="Arial" w:eastAsia="黑体" w:hAnsi="Arial" w:cs="Arial"/>
          <w:b/>
          <w:snapToGrid w:val="0"/>
          <w:szCs w:val="21"/>
        </w:rPr>
        <w:t>合并财务报表主要项目注释（续）</w:t>
      </w:r>
      <w:bookmarkEnd w:id="157"/>
    </w:p>
    <w:p w:rsidR="00AD5BB5" w:rsidRDefault="00AD5BB5">
      <w:pPr>
        <w:overflowPunct w:val="0"/>
        <w:autoSpaceDE w:val="0"/>
        <w:autoSpaceDN w:val="0"/>
        <w:adjustRightInd w:val="0"/>
        <w:snapToGrid w:val="0"/>
        <w:textAlignment w:val="bottom"/>
        <w:rPr>
          <w:rFonts w:ascii="Arial" w:eastAsia="黑体" w:hAnsi="Arial" w:cs="Arial"/>
          <w:snapToGrid w:val="0"/>
          <w:szCs w:val="21"/>
        </w:rPr>
      </w:pPr>
    </w:p>
    <w:p w:rsidR="00AD5BB5" w:rsidRDefault="00F87FF6">
      <w:pPr>
        <w:overflowPunct w:val="0"/>
        <w:autoSpaceDE w:val="0"/>
        <w:autoSpaceDN w:val="0"/>
        <w:adjustRightInd w:val="0"/>
        <w:snapToGrid w:val="0"/>
        <w:ind w:left="720" w:hanging="720"/>
        <w:textAlignment w:val="bottom"/>
        <w:rPr>
          <w:rFonts w:ascii="Arial" w:eastAsia="黑体" w:hAnsi="Arial" w:cs="Arial"/>
          <w:b/>
          <w:snapToGrid w:val="0"/>
          <w:szCs w:val="21"/>
        </w:rPr>
      </w:pPr>
      <w:bookmarkStart w:id="158" w:name="afsaddin_WithXu_32737c7ec96c4514a19df848"/>
      <w:r>
        <w:rPr>
          <w:rFonts w:ascii="Arial" w:eastAsia="黑体" w:hAnsi="Arial" w:cs="Arial"/>
          <w:b/>
          <w:snapToGrid w:val="0"/>
          <w:szCs w:val="21"/>
        </w:rPr>
        <w:t>16.</w:t>
      </w:r>
      <w:r>
        <w:rPr>
          <w:rFonts w:ascii="Arial" w:eastAsia="黑体" w:hAnsi="Arial" w:cs="Arial"/>
          <w:b/>
          <w:snapToGrid w:val="0"/>
          <w:szCs w:val="21"/>
        </w:rPr>
        <w:tab/>
      </w:r>
      <w:r>
        <w:rPr>
          <w:rFonts w:ascii="Arial" w:eastAsia="黑体" w:hAnsi="Arial" w:cs="Arial"/>
          <w:b/>
          <w:snapToGrid w:val="0"/>
          <w:szCs w:val="21"/>
        </w:rPr>
        <w:t>其他资产（续）</w:t>
      </w:r>
      <w:bookmarkEnd w:id="158"/>
    </w:p>
    <w:p w:rsidR="00AD5BB5" w:rsidRDefault="00AD5BB5">
      <w:pPr>
        <w:overflowPunct w:val="0"/>
        <w:autoSpaceDE w:val="0"/>
        <w:autoSpaceDN w:val="0"/>
        <w:adjustRightInd w:val="0"/>
        <w:snapToGrid w:val="0"/>
        <w:textAlignment w:val="bottom"/>
        <w:rPr>
          <w:rFonts w:ascii="Arial" w:eastAsia="黑体" w:hAnsi="Arial" w:cs="Arial"/>
          <w:snapToGrid w:val="0"/>
          <w:szCs w:val="21"/>
        </w:rPr>
      </w:pPr>
    </w:p>
    <w:p w:rsidR="00AD5BB5" w:rsidRDefault="00F87FF6">
      <w:pPr>
        <w:pStyle w:val="af5"/>
        <w:keepNext w:val="0"/>
        <w:keepLines w:val="0"/>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159" w:name="afsaddin_WithXu_1e29c2a1619848caba436031"/>
      <w:bookmarkStart w:id="160" w:name="afsaddin_WithXu_15ce762959d948c3960d48c7"/>
      <w:bookmarkStart w:id="161" w:name="afsaddin_Section_139a07f671c14a40974c5fa"/>
      <w:bookmarkEnd w:id="159"/>
      <w:bookmarkEnd w:id="160"/>
      <w:r>
        <w:rPr>
          <w:rFonts w:ascii="Arial" w:eastAsia="黑体" w:hAnsi="Arial" w:cs="Arial" w:hint="default"/>
          <w:bCs w:val="0"/>
          <w:snapToGrid w:val="0"/>
          <w:color w:val="auto"/>
          <w:sz w:val="21"/>
          <w:szCs w:val="21"/>
        </w:rPr>
        <w:t>16.2</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使用权资产</w:t>
      </w:r>
    </w:p>
    <w:bookmarkEnd w:id="161"/>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overflowPunct w:val="0"/>
        <w:autoSpaceDE w:val="0"/>
        <w:autoSpaceDN w:val="0"/>
        <w:adjustRightInd w:val="0"/>
        <w:snapToGrid w:val="0"/>
        <w:textAlignment w:val="bottom"/>
        <w:rPr>
          <w:rFonts w:ascii="Arial" w:eastAsia="黑体" w:hAnsi="Arial" w:cs="Arial"/>
          <w:snapToGrid w:val="0"/>
          <w:szCs w:val="21"/>
        </w:rPr>
      </w:pP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当期会计期间</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2023</w:t>
      </w:r>
      <w:r>
        <w:rPr>
          <w:rFonts w:ascii="Arial" w:eastAsia="黑体" w:hAnsi="Arial" w:cs="Arial"/>
          <w:snapToGrid w:val="0"/>
          <w:szCs w:val="21"/>
        </w:rPr>
        <w:fldChar w:fldCharType="end"/>
      </w:r>
      <w:r>
        <w:rPr>
          <w:rFonts w:ascii="Arial" w:eastAsia="黑体" w:hAnsi="Arial" w:cs="Arial"/>
          <w:snapToGrid w:val="0"/>
          <w:szCs w:val="21"/>
        </w:rPr>
        <w:t>年</w:t>
      </w:r>
      <w:r>
        <w:rPr>
          <w:rFonts w:ascii="Arial" w:eastAsia="黑体" w:hAnsi="Arial" w:cs="Arial"/>
          <w:snapToGrid w:val="0"/>
          <w:szCs w:val="21"/>
        </w:rPr>
        <w:t>1-6</w:t>
      </w:r>
      <w:r>
        <w:rPr>
          <w:rFonts w:ascii="Arial" w:eastAsia="黑体" w:hAnsi="Arial" w:cs="Arial"/>
          <w:snapToGrid w:val="0"/>
          <w:szCs w:val="21"/>
        </w:rPr>
        <w:t>月</w:t>
      </w:r>
    </w:p>
    <w:p w:rsidR="00AD5BB5" w:rsidRDefault="00AD5BB5">
      <w:pPr>
        <w:overflowPunct w:val="0"/>
        <w:autoSpaceDE w:val="0"/>
        <w:autoSpaceDN w:val="0"/>
        <w:adjustRightInd w:val="0"/>
        <w:snapToGrid w:val="0"/>
        <w:textAlignment w:val="bottom"/>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27784a9e-d0b4-4bcf-a92f-0963d3be5f7e"/>
        <w:tblDescription w:val="{&quot;UUID&quot;:&quot;afsaddin_tabledata_2_56437_27784a9e-d0b4-4bcf-a92f-0963d3be5f7e&quot;,&quot;TitleRowCount&quot;:2,&quot;SplitedTable&quot;:false,&quot;FirstTableId&quot;:&quot;27784a9e-d0b4-4bcf-a92f-0963d3be5f7e&quot;}"/>
      </w:tblPr>
      <w:tblGrid>
        <w:gridCol w:w="1250"/>
        <w:gridCol w:w="110"/>
        <w:gridCol w:w="2172"/>
        <w:gridCol w:w="110"/>
        <w:gridCol w:w="110"/>
        <w:gridCol w:w="2172"/>
        <w:gridCol w:w="110"/>
        <w:gridCol w:w="110"/>
        <w:gridCol w:w="2172"/>
        <w:gridCol w:w="110"/>
      </w:tblGrid>
      <w:tr w:rsidR="00AD5BB5">
        <w:tc>
          <w:tcPr>
            <w:tcW w:w="1250"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房屋及建筑物</w:t>
            </w:r>
          </w:p>
        </w:tc>
        <w:tc>
          <w:tcPr>
            <w:tcW w:w="11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217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其他</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217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合计</w:t>
            </w:r>
          </w:p>
        </w:tc>
        <w:tc>
          <w:tcPr>
            <w:tcW w:w="11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r>
      <w:tr w:rsidR="00AD5BB5">
        <w:tc>
          <w:tcPr>
            <w:tcW w:w="1250"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1250" w:type="dxa"/>
            <w:tcBorders>
              <w:top w:val="nil"/>
              <w:left w:val="nil"/>
              <w:bottom w:val="nil"/>
              <w:right w:val="nil"/>
            </w:tcBorders>
            <w:vAlign w:val="bottom"/>
          </w:tcPr>
          <w:p w:rsidR="00AD5BB5" w:rsidRDefault="00F87FF6">
            <w:pPr>
              <w:autoSpaceDE w:val="0"/>
              <w:autoSpaceDN w:val="0"/>
              <w:ind w:left="200" w:hangingChars="100" w:hanging="200"/>
              <w:rPr>
                <w:rFonts w:ascii="Arial" w:eastAsia="黑体" w:hAnsi="Arial" w:cs="Arial"/>
                <w:sz w:val="20"/>
              </w:rPr>
            </w:pPr>
            <w:r>
              <w:rPr>
                <w:rFonts w:ascii="Arial" w:eastAsia="黑体" w:hAnsi="Arial" w:cs="Arial"/>
                <w:sz w:val="20"/>
              </w:rPr>
              <w:t>成本</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1250" w:type="dxa"/>
            <w:tcBorders>
              <w:top w:val="nil"/>
              <w:left w:val="nil"/>
              <w:bottom w:val="nil"/>
              <w:right w:val="nil"/>
            </w:tcBorders>
            <w:vAlign w:val="bottom"/>
          </w:tcPr>
          <w:p w:rsidR="00AD5BB5" w:rsidRDefault="00F87FF6">
            <w:pPr>
              <w:autoSpaceDE w:val="0"/>
              <w:autoSpaceDN w:val="0"/>
              <w:ind w:leftChars="89" w:left="387" w:hangingChars="100" w:hanging="200"/>
              <w:rPr>
                <w:rFonts w:ascii="Arial" w:eastAsia="黑体" w:hAnsi="Arial" w:cs="Arial"/>
                <w:sz w:val="20"/>
              </w:rPr>
            </w:pPr>
            <w:r>
              <w:rPr>
                <w:rFonts w:ascii="Arial" w:eastAsia="黑体" w:hAnsi="Arial" w:cs="Arial"/>
                <w:sz w:val="20"/>
              </w:rPr>
              <w:t>期初余额</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684,177,271.89</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1,159,169.00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685,336,440.89</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1250" w:type="dxa"/>
            <w:tcBorders>
              <w:top w:val="nil"/>
              <w:left w:val="nil"/>
              <w:bottom w:val="nil"/>
              <w:right w:val="nil"/>
            </w:tcBorders>
            <w:vAlign w:val="bottom"/>
          </w:tcPr>
          <w:p w:rsidR="00AD5BB5" w:rsidRDefault="00F87FF6">
            <w:pPr>
              <w:autoSpaceDE w:val="0"/>
              <w:autoSpaceDN w:val="0"/>
              <w:ind w:leftChars="89" w:left="387" w:hangingChars="100" w:hanging="200"/>
              <w:rPr>
                <w:rFonts w:ascii="Arial" w:eastAsia="黑体" w:hAnsi="Arial" w:cs="Arial"/>
                <w:sz w:val="20"/>
              </w:rPr>
            </w:pPr>
            <w:r>
              <w:rPr>
                <w:rFonts w:ascii="Arial" w:eastAsia="黑体" w:hAnsi="Arial" w:cs="Arial"/>
                <w:sz w:val="20"/>
              </w:rPr>
              <w:t>增加</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64,089,519.21</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64,089,519.21</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1250" w:type="dxa"/>
            <w:tcBorders>
              <w:top w:val="nil"/>
              <w:left w:val="nil"/>
              <w:bottom w:val="nil"/>
              <w:right w:val="nil"/>
            </w:tcBorders>
            <w:vAlign w:val="bottom"/>
          </w:tcPr>
          <w:p w:rsidR="00AD5BB5" w:rsidRDefault="00F87FF6">
            <w:pPr>
              <w:autoSpaceDE w:val="0"/>
              <w:autoSpaceDN w:val="0"/>
              <w:ind w:leftChars="89" w:left="387" w:hangingChars="100" w:hanging="200"/>
              <w:rPr>
                <w:rFonts w:ascii="Arial" w:eastAsia="黑体" w:hAnsi="Arial" w:cs="Arial"/>
                <w:sz w:val="20"/>
              </w:rPr>
            </w:pPr>
            <w:r>
              <w:rPr>
                <w:rFonts w:ascii="Arial" w:eastAsia="黑体" w:hAnsi="Arial" w:cs="Arial"/>
                <w:sz w:val="20"/>
              </w:rPr>
              <w:t>处置</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(5,688,697.58</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(5,688,697.58</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r>
      <w:tr w:rsidR="00AD5BB5">
        <w:tc>
          <w:tcPr>
            <w:tcW w:w="1250"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1250" w:type="dxa"/>
            <w:tcBorders>
              <w:top w:val="nil"/>
              <w:left w:val="nil"/>
              <w:bottom w:val="nil"/>
              <w:right w:val="nil"/>
            </w:tcBorders>
            <w:vAlign w:val="bottom"/>
          </w:tcPr>
          <w:p w:rsidR="00AD5BB5" w:rsidRDefault="00F87FF6">
            <w:pPr>
              <w:autoSpaceDE w:val="0"/>
              <w:autoSpaceDN w:val="0"/>
              <w:ind w:leftChars="89" w:left="387" w:hangingChars="100" w:hanging="200"/>
              <w:rPr>
                <w:rFonts w:ascii="Arial" w:eastAsia="黑体" w:hAnsi="Arial" w:cs="Arial"/>
                <w:sz w:val="20"/>
              </w:rPr>
            </w:pPr>
            <w:r>
              <w:rPr>
                <w:rFonts w:ascii="Arial" w:eastAsia="黑体" w:hAnsi="Arial" w:cs="Arial"/>
                <w:sz w:val="20"/>
              </w:rPr>
              <w:t>期末余额</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742,578,093.52</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1,159,169.00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743,737,262.52</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1250"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1250" w:type="dxa"/>
            <w:tcBorders>
              <w:top w:val="nil"/>
              <w:left w:val="nil"/>
              <w:bottom w:val="nil"/>
              <w:right w:val="nil"/>
            </w:tcBorders>
            <w:vAlign w:val="bottom"/>
          </w:tcPr>
          <w:p w:rsidR="00AD5BB5" w:rsidRDefault="00F87FF6">
            <w:pPr>
              <w:autoSpaceDE w:val="0"/>
              <w:autoSpaceDN w:val="0"/>
              <w:ind w:left="200" w:hangingChars="100" w:hanging="200"/>
              <w:rPr>
                <w:rFonts w:ascii="Arial" w:eastAsia="黑体" w:hAnsi="Arial" w:cs="Arial"/>
                <w:sz w:val="20"/>
              </w:rPr>
            </w:pPr>
            <w:r>
              <w:rPr>
                <w:rFonts w:ascii="Arial" w:eastAsia="黑体" w:hAnsi="Arial" w:cs="Arial"/>
                <w:sz w:val="20"/>
              </w:rPr>
              <w:t>累计折旧</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1250" w:type="dxa"/>
            <w:tcBorders>
              <w:top w:val="nil"/>
              <w:left w:val="nil"/>
              <w:bottom w:val="nil"/>
              <w:right w:val="nil"/>
            </w:tcBorders>
            <w:vAlign w:val="bottom"/>
          </w:tcPr>
          <w:p w:rsidR="00AD5BB5" w:rsidRDefault="00F87FF6">
            <w:pPr>
              <w:autoSpaceDE w:val="0"/>
              <w:autoSpaceDN w:val="0"/>
              <w:ind w:leftChars="89" w:left="387" w:hangingChars="100" w:hanging="200"/>
              <w:rPr>
                <w:rFonts w:ascii="Arial" w:eastAsia="黑体" w:hAnsi="Arial" w:cs="Arial"/>
                <w:sz w:val="20"/>
              </w:rPr>
            </w:pPr>
            <w:r>
              <w:rPr>
                <w:rFonts w:ascii="Arial" w:eastAsia="黑体" w:hAnsi="Arial" w:cs="Arial"/>
                <w:sz w:val="20"/>
              </w:rPr>
              <w:t>期初余额</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208,714,470.98</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849,536.16</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209,564,007.14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1250" w:type="dxa"/>
            <w:tcBorders>
              <w:top w:val="nil"/>
              <w:left w:val="nil"/>
              <w:bottom w:val="nil"/>
              <w:right w:val="nil"/>
            </w:tcBorders>
            <w:vAlign w:val="bottom"/>
          </w:tcPr>
          <w:p w:rsidR="00AD5BB5" w:rsidRDefault="00F87FF6">
            <w:pPr>
              <w:autoSpaceDE w:val="0"/>
              <w:autoSpaceDN w:val="0"/>
              <w:ind w:leftChars="89" w:left="387" w:hangingChars="100" w:hanging="200"/>
              <w:rPr>
                <w:rFonts w:ascii="Arial" w:eastAsia="黑体" w:hAnsi="Arial" w:cs="Arial"/>
                <w:sz w:val="20"/>
              </w:rPr>
            </w:pPr>
            <w:r>
              <w:rPr>
                <w:rFonts w:ascii="Arial" w:eastAsia="黑体" w:hAnsi="Arial" w:cs="Arial"/>
                <w:sz w:val="20"/>
              </w:rPr>
              <w:t>计提</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56,617,885.91</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309,632.84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56,927,518.75</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1250" w:type="dxa"/>
            <w:tcBorders>
              <w:top w:val="nil"/>
              <w:left w:val="nil"/>
              <w:bottom w:val="nil"/>
              <w:right w:val="nil"/>
            </w:tcBorders>
            <w:vAlign w:val="bottom"/>
          </w:tcPr>
          <w:p w:rsidR="00AD5BB5" w:rsidRDefault="00F87FF6">
            <w:pPr>
              <w:autoSpaceDE w:val="0"/>
              <w:autoSpaceDN w:val="0"/>
              <w:ind w:leftChars="89" w:left="387" w:hangingChars="100" w:hanging="200"/>
              <w:rPr>
                <w:rFonts w:ascii="Arial" w:eastAsia="黑体" w:hAnsi="Arial" w:cs="Arial"/>
                <w:sz w:val="20"/>
              </w:rPr>
            </w:pPr>
            <w:r>
              <w:rPr>
                <w:rFonts w:ascii="Arial" w:eastAsia="黑体" w:hAnsi="Arial" w:cs="Arial"/>
                <w:sz w:val="20"/>
              </w:rPr>
              <w:t>处置</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(5,685,777.63</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(5,685,777.63</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r>
      <w:tr w:rsidR="00AD5BB5">
        <w:tc>
          <w:tcPr>
            <w:tcW w:w="1250" w:type="dxa"/>
            <w:tcBorders>
              <w:top w:val="nil"/>
              <w:left w:val="nil"/>
              <w:bottom w:val="nil"/>
              <w:right w:val="nil"/>
            </w:tcBorders>
            <w:vAlign w:val="bottom"/>
          </w:tcPr>
          <w:p w:rsidR="00AD5BB5" w:rsidRDefault="00AD5BB5">
            <w:pPr>
              <w:autoSpaceDE w:val="0"/>
              <w:autoSpaceDN w:val="0"/>
              <w:ind w:leftChars="89" w:left="487" w:hangingChars="150" w:hanging="30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1250" w:type="dxa"/>
            <w:tcBorders>
              <w:top w:val="nil"/>
              <w:left w:val="nil"/>
              <w:bottom w:val="nil"/>
              <w:right w:val="nil"/>
            </w:tcBorders>
            <w:vAlign w:val="bottom"/>
          </w:tcPr>
          <w:p w:rsidR="00AD5BB5" w:rsidRDefault="00F87FF6">
            <w:pPr>
              <w:autoSpaceDE w:val="0"/>
              <w:autoSpaceDN w:val="0"/>
              <w:ind w:leftChars="89" w:left="387" w:hangingChars="100" w:hanging="200"/>
              <w:rPr>
                <w:rFonts w:ascii="Arial" w:eastAsia="黑体" w:hAnsi="Arial" w:cs="Arial"/>
                <w:sz w:val="20"/>
              </w:rPr>
            </w:pPr>
            <w:r>
              <w:rPr>
                <w:rFonts w:ascii="Arial" w:eastAsia="黑体" w:hAnsi="Arial" w:cs="Arial"/>
                <w:sz w:val="20"/>
              </w:rPr>
              <w:t>期末余额</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259,646,579.26</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1,159,169.00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260,805,748.26</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1250"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1250" w:type="dxa"/>
            <w:tcBorders>
              <w:top w:val="nil"/>
              <w:left w:val="nil"/>
              <w:bottom w:val="nil"/>
              <w:right w:val="nil"/>
            </w:tcBorders>
            <w:vAlign w:val="bottom"/>
          </w:tcPr>
          <w:p w:rsidR="00AD5BB5" w:rsidRDefault="00F87FF6">
            <w:pPr>
              <w:autoSpaceDE w:val="0"/>
              <w:autoSpaceDN w:val="0"/>
              <w:ind w:left="200" w:hangingChars="100" w:hanging="200"/>
              <w:rPr>
                <w:rFonts w:ascii="Arial" w:eastAsia="黑体" w:hAnsi="Arial" w:cs="Arial"/>
                <w:sz w:val="20"/>
              </w:rPr>
            </w:pPr>
            <w:r>
              <w:rPr>
                <w:rFonts w:ascii="Arial" w:eastAsia="黑体" w:hAnsi="Arial" w:cs="Arial"/>
                <w:sz w:val="20"/>
              </w:rPr>
              <w:t>账面价值</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1250" w:type="dxa"/>
            <w:tcBorders>
              <w:top w:val="nil"/>
              <w:left w:val="nil"/>
              <w:bottom w:val="nil"/>
              <w:right w:val="nil"/>
            </w:tcBorders>
            <w:vAlign w:val="bottom"/>
          </w:tcPr>
          <w:p w:rsidR="00AD5BB5" w:rsidRDefault="00F87FF6">
            <w:pPr>
              <w:autoSpaceDE w:val="0"/>
              <w:autoSpaceDN w:val="0"/>
              <w:ind w:leftChars="89" w:left="387" w:hangingChars="100" w:hanging="200"/>
              <w:rPr>
                <w:rFonts w:ascii="Arial" w:eastAsia="黑体" w:hAnsi="Arial" w:cs="Arial"/>
                <w:sz w:val="20"/>
              </w:rPr>
            </w:pPr>
            <w:r>
              <w:rPr>
                <w:rFonts w:ascii="Arial" w:eastAsia="黑体" w:hAnsi="Arial" w:cs="Arial"/>
                <w:sz w:val="20"/>
              </w:rPr>
              <w:t>期末余额</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482,931,514.26</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482,931,514.26</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1250" w:type="dxa"/>
            <w:tcBorders>
              <w:top w:val="nil"/>
              <w:left w:val="nil"/>
              <w:bottom w:val="nil"/>
              <w:right w:val="nil"/>
            </w:tcBorders>
            <w:vAlign w:val="bottom"/>
          </w:tcPr>
          <w:p w:rsidR="00AD5BB5" w:rsidRDefault="00AD5BB5">
            <w:pPr>
              <w:autoSpaceDE w:val="0"/>
              <w:autoSpaceDN w:val="0"/>
              <w:ind w:leftChars="89" w:left="487" w:hangingChars="150" w:hanging="30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1250" w:type="dxa"/>
            <w:tcBorders>
              <w:top w:val="nil"/>
              <w:left w:val="nil"/>
              <w:bottom w:val="nil"/>
              <w:right w:val="nil"/>
            </w:tcBorders>
            <w:vAlign w:val="bottom"/>
          </w:tcPr>
          <w:p w:rsidR="00AD5BB5" w:rsidRDefault="00F87FF6">
            <w:pPr>
              <w:autoSpaceDE w:val="0"/>
              <w:autoSpaceDN w:val="0"/>
              <w:ind w:leftChars="89" w:left="387" w:hangingChars="100" w:hanging="200"/>
              <w:rPr>
                <w:rFonts w:ascii="Arial" w:eastAsia="黑体" w:hAnsi="Arial" w:cs="Arial"/>
                <w:sz w:val="20"/>
              </w:rPr>
            </w:pPr>
            <w:r>
              <w:rPr>
                <w:rFonts w:ascii="Arial" w:eastAsia="黑体" w:hAnsi="Arial" w:cs="Arial"/>
                <w:sz w:val="20"/>
              </w:rPr>
              <w:t>期初余额</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475,462,800.91</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309,632.84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475,772,433.75</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bl>
    <w:p w:rsidR="00AD5BB5" w:rsidRDefault="00F87FF6">
      <w:pPr>
        <w:rPr>
          <w:rFonts w:ascii="Arial" w:eastAsia="黑体" w:hAnsi="Arial" w:cs="Arial"/>
          <w:snapToGrid w:val="0"/>
          <w:szCs w:val="21"/>
        </w:rPr>
      </w:pPr>
      <w:r>
        <w:rPr>
          <w:rFonts w:ascii="Arial" w:eastAsia="黑体" w:hAnsi="Arial" w:cs="Arial"/>
          <w:snapToGrid w:val="0"/>
          <w:szCs w:val="21"/>
        </w:rPr>
        <w:br w:type="page"/>
      </w: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b/>
          <w:snapToGrid w:val="0"/>
          <w:szCs w:val="21"/>
        </w:rPr>
      </w:pPr>
      <w:bookmarkStart w:id="162" w:name="afsaddin_WithXu_cc7a34a96193467581fa78f7"/>
      <w:r>
        <w:rPr>
          <w:rFonts w:ascii="Arial" w:eastAsia="黑体" w:hAnsi="Arial" w:cs="Arial"/>
          <w:b/>
          <w:snapToGrid w:val="0"/>
          <w:szCs w:val="21"/>
        </w:rPr>
        <w:t>五、</w:t>
      </w:r>
      <w:r>
        <w:rPr>
          <w:rFonts w:ascii="Arial" w:eastAsia="黑体" w:hAnsi="Arial" w:cs="Arial"/>
          <w:b/>
          <w:snapToGrid w:val="0"/>
          <w:szCs w:val="21"/>
        </w:rPr>
        <w:tab/>
      </w:r>
      <w:r>
        <w:rPr>
          <w:rFonts w:ascii="Arial" w:eastAsia="黑体" w:hAnsi="Arial" w:cs="Arial"/>
          <w:b/>
          <w:snapToGrid w:val="0"/>
          <w:szCs w:val="21"/>
        </w:rPr>
        <w:t>合并财务报表主要项目注释（续）</w:t>
      </w:r>
      <w:bookmarkEnd w:id="162"/>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163" w:name="afsaddin_WithXu_756aab69f88e4d9d9b88d1e7"/>
      <w:r>
        <w:rPr>
          <w:rFonts w:ascii="Arial" w:eastAsia="黑体" w:hAnsi="Arial" w:cs="Arial"/>
          <w:b/>
          <w:snapToGrid w:val="0"/>
          <w:szCs w:val="21"/>
        </w:rPr>
        <w:t>16.</w:t>
      </w:r>
      <w:r>
        <w:rPr>
          <w:rFonts w:ascii="Arial" w:eastAsia="黑体" w:hAnsi="Arial" w:cs="Arial"/>
          <w:b/>
          <w:snapToGrid w:val="0"/>
          <w:szCs w:val="21"/>
        </w:rPr>
        <w:tab/>
      </w:r>
      <w:r>
        <w:rPr>
          <w:rFonts w:ascii="Arial" w:eastAsia="黑体" w:hAnsi="Arial" w:cs="Arial"/>
          <w:b/>
          <w:snapToGrid w:val="0"/>
          <w:szCs w:val="21"/>
        </w:rPr>
        <w:t>其他资产（续）</w:t>
      </w:r>
      <w:bookmarkEnd w:id="163"/>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164" w:name="afsaddin_WithXu_ade0425fe430406a9c3547bb"/>
      <w:r>
        <w:rPr>
          <w:rFonts w:ascii="Arial" w:eastAsia="黑体" w:hAnsi="Arial" w:cs="Arial"/>
          <w:b/>
          <w:snapToGrid w:val="0"/>
          <w:szCs w:val="21"/>
        </w:rPr>
        <w:t>16.2</w:t>
      </w:r>
      <w:r>
        <w:rPr>
          <w:rFonts w:ascii="Arial" w:eastAsia="黑体" w:hAnsi="Arial" w:cs="Arial"/>
          <w:b/>
          <w:snapToGrid w:val="0"/>
          <w:szCs w:val="21"/>
        </w:rPr>
        <w:tab/>
      </w:r>
      <w:r>
        <w:rPr>
          <w:rFonts w:ascii="Arial" w:eastAsia="黑体" w:hAnsi="Arial" w:cs="Arial"/>
          <w:b/>
          <w:snapToGrid w:val="0"/>
          <w:szCs w:val="21"/>
        </w:rPr>
        <w:t>使用权资产（续）</w:t>
      </w:r>
      <w:bookmarkEnd w:id="164"/>
    </w:p>
    <w:p w:rsidR="00AD5BB5" w:rsidRDefault="00AD5BB5">
      <w:pPr>
        <w:overflowPunct w:val="0"/>
        <w:autoSpaceDE w:val="0"/>
        <w:autoSpaceDN w:val="0"/>
        <w:rPr>
          <w:rFonts w:ascii="Arial" w:eastAsia="黑体" w:hAnsi="Arial" w:cs="Arial"/>
          <w:snapToGrid w:val="0"/>
          <w:szCs w:val="21"/>
        </w:rPr>
      </w:pPr>
    </w:p>
    <w:bookmarkStart w:id="165" w:name="afsaddin_WithXu_82284f1ff05b4ad48c2c1d64"/>
    <w:bookmarkStart w:id="166" w:name="afsaddin_WithXu_a3ac159afd9b4bf0be056f23"/>
    <w:bookmarkStart w:id="167" w:name="afsaddin_WithXu_0ef495c39fde4b14b1f971ea"/>
    <w:bookmarkEnd w:id="165"/>
    <w:bookmarkEnd w:id="166"/>
    <w:bookmarkEnd w:id="167"/>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对比会计期间</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2022</w:t>
      </w:r>
      <w:r>
        <w:rPr>
          <w:rFonts w:ascii="Arial" w:eastAsia="黑体" w:hAnsi="Arial" w:cs="Arial"/>
          <w:snapToGrid w:val="0"/>
          <w:szCs w:val="21"/>
        </w:rPr>
        <w:fldChar w:fldCharType="end"/>
      </w:r>
      <w:r>
        <w:rPr>
          <w:rFonts w:ascii="Arial" w:eastAsia="黑体" w:hAnsi="Arial" w:cs="Arial"/>
          <w:snapToGrid w:val="0"/>
          <w:szCs w:val="21"/>
        </w:rPr>
        <w:t>年度</w:t>
      </w:r>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fe23858c-5be3-40a1-8162-71332dc82adc"/>
        <w:tblDescription w:val="{&quot;UUID&quot;:&quot;afsaddin_tabledata_2_56437_fe23858c-5be3-40a1-8162-71332dc82adc&quot;,&quot;TitleRowCount&quot;:2,&quot;SplitedTable&quot;:false,&quot;FirstTableId&quot;:&quot;fe23858c-5be3-40a1-8162-71332dc82adc&quot;}"/>
      </w:tblPr>
      <w:tblGrid>
        <w:gridCol w:w="1250"/>
        <w:gridCol w:w="110"/>
        <w:gridCol w:w="2172"/>
        <w:gridCol w:w="110"/>
        <w:gridCol w:w="110"/>
        <w:gridCol w:w="2172"/>
        <w:gridCol w:w="110"/>
        <w:gridCol w:w="110"/>
        <w:gridCol w:w="2172"/>
        <w:gridCol w:w="110"/>
      </w:tblGrid>
      <w:tr w:rsidR="00AD5BB5">
        <w:tc>
          <w:tcPr>
            <w:tcW w:w="1250"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房屋及建筑物</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其他</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合计</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1250"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1250" w:type="dxa"/>
            <w:tcBorders>
              <w:top w:val="nil"/>
              <w:left w:val="nil"/>
              <w:bottom w:val="nil"/>
              <w:right w:val="nil"/>
            </w:tcBorders>
            <w:vAlign w:val="bottom"/>
          </w:tcPr>
          <w:p w:rsidR="00AD5BB5" w:rsidRDefault="00F87FF6">
            <w:pPr>
              <w:autoSpaceDE w:val="0"/>
              <w:autoSpaceDN w:val="0"/>
              <w:ind w:left="200" w:hangingChars="100" w:hanging="200"/>
              <w:rPr>
                <w:rFonts w:ascii="Arial" w:eastAsia="黑体" w:hAnsi="Arial" w:cs="Arial"/>
                <w:sz w:val="20"/>
              </w:rPr>
            </w:pPr>
            <w:r>
              <w:rPr>
                <w:rFonts w:ascii="Arial" w:eastAsia="黑体" w:hAnsi="Arial" w:cs="Arial"/>
                <w:sz w:val="20"/>
              </w:rPr>
              <w:t>成本</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1250" w:type="dxa"/>
            <w:tcBorders>
              <w:top w:val="nil"/>
              <w:left w:val="nil"/>
              <w:bottom w:val="nil"/>
              <w:right w:val="nil"/>
            </w:tcBorders>
            <w:vAlign w:val="bottom"/>
          </w:tcPr>
          <w:p w:rsidR="00AD5BB5" w:rsidRDefault="00F87FF6">
            <w:pPr>
              <w:autoSpaceDE w:val="0"/>
              <w:autoSpaceDN w:val="0"/>
              <w:ind w:leftChars="89" w:left="387" w:hangingChars="100" w:hanging="200"/>
              <w:rPr>
                <w:rFonts w:ascii="Arial" w:eastAsia="黑体" w:hAnsi="Arial" w:cs="Arial"/>
                <w:sz w:val="20"/>
              </w:rPr>
            </w:pPr>
            <w:r>
              <w:rPr>
                <w:rFonts w:ascii="Arial" w:eastAsia="黑体" w:hAnsi="Arial" w:cs="Arial"/>
                <w:sz w:val="20"/>
              </w:rPr>
              <w:t>年初余额</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502,504,105.48</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1,156,237.74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503,660,343.22</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1250" w:type="dxa"/>
            <w:tcBorders>
              <w:top w:val="nil"/>
              <w:left w:val="nil"/>
              <w:bottom w:val="nil"/>
              <w:right w:val="nil"/>
            </w:tcBorders>
            <w:vAlign w:val="bottom"/>
          </w:tcPr>
          <w:p w:rsidR="00AD5BB5" w:rsidRDefault="00F87FF6">
            <w:pPr>
              <w:autoSpaceDE w:val="0"/>
              <w:autoSpaceDN w:val="0"/>
              <w:ind w:leftChars="89" w:left="387" w:hangingChars="100" w:hanging="200"/>
              <w:rPr>
                <w:rFonts w:ascii="Arial" w:eastAsia="黑体" w:hAnsi="Arial" w:cs="Arial"/>
                <w:sz w:val="20"/>
              </w:rPr>
            </w:pPr>
            <w:r>
              <w:rPr>
                <w:rFonts w:ascii="Arial" w:eastAsia="黑体" w:hAnsi="Arial" w:cs="Arial"/>
                <w:sz w:val="20"/>
              </w:rPr>
              <w:t>增加</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214,443,152.75</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2,931.26</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214,446,084.01</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1250" w:type="dxa"/>
            <w:tcBorders>
              <w:top w:val="nil"/>
              <w:left w:val="nil"/>
              <w:bottom w:val="nil"/>
              <w:right w:val="nil"/>
            </w:tcBorders>
            <w:vAlign w:val="bottom"/>
          </w:tcPr>
          <w:p w:rsidR="00AD5BB5" w:rsidRDefault="00F87FF6">
            <w:pPr>
              <w:autoSpaceDE w:val="0"/>
              <w:autoSpaceDN w:val="0"/>
              <w:ind w:leftChars="89" w:left="387" w:hangingChars="100" w:hanging="200"/>
              <w:rPr>
                <w:rFonts w:ascii="Arial" w:eastAsia="黑体" w:hAnsi="Arial" w:cs="Arial"/>
                <w:sz w:val="20"/>
              </w:rPr>
            </w:pPr>
            <w:r>
              <w:rPr>
                <w:rFonts w:ascii="Arial" w:eastAsia="黑体" w:hAnsi="Arial" w:cs="Arial"/>
                <w:sz w:val="20"/>
              </w:rPr>
              <w:t>处置</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(32,769,986.34</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(32,769,986.34</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r>
      <w:tr w:rsidR="00AD5BB5">
        <w:tc>
          <w:tcPr>
            <w:tcW w:w="1250" w:type="dxa"/>
            <w:tcBorders>
              <w:top w:val="nil"/>
              <w:left w:val="nil"/>
              <w:bottom w:val="nil"/>
              <w:right w:val="nil"/>
            </w:tcBorders>
            <w:vAlign w:val="bottom"/>
          </w:tcPr>
          <w:p w:rsidR="00AD5BB5" w:rsidRDefault="00AD5BB5">
            <w:pPr>
              <w:autoSpaceDE w:val="0"/>
              <w:autoSpaceDN w:val="0"/>
              <w:ind w:leftChars="89" w:left="487" w:hangingChars="150" w:hanging="30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1250" w:type="dxa"/>
            <w:tcBorders>
              <w:top w:val="nil"/>
              <w:left w:val="nil"/>
              <w:bottom w:val="nil"/>
              <w:right w:val="nil"/>
            </w:tcBorders>
            <w:vAlign w:val="bottom"/>
          </w:tcPr>
          <w:p w:rsidR="00AD5BB5" w:rsidRDefault="00F87FF6">
            <w:pPr>
              <w:autoSpaceDE w:val="0"/>
              <w:autoSpaceDN w:val="0"/>
              <w:ind w:leftChars="89" w:left="387" w:hangingChars="100" w:hanging="200"/>
              <w:rPr>
                <w:rFonts w:ascii="Arial" w:eastAsia="黑体" w:hAnsi="Arial" w:cs="Arial"/>
                <w:sz w:val="20"/>
              </w:rPr>
            </w:pPr>
            <w:r>
              <w:rPr>
                <w:rFonts w:ascii="Arial" w:eastAsia="黑体" w:hAnsi="Arial" w:cs="Arial"/>
                <w:sz w:val="20"/>
              </w:rPr>
              <w:t>年末余额</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684,177,271.89</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1,159,169.00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685,336,440.89</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1250"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1250" w:type="dxa"/>
            <w:tcBorders>
              <w:top w:val="nil"/>
              <w:left w:val="nil"/>
              <w:bottom w:val="nil"/>
              <w:right w:val="nil"/>
            </w:tcBorders>
            <w:vAlign w:val="bottom"/>
          </w:tcPr>
          <w:p w:rsidR="00AD5BB5" w:rsidRDefault="00F87FF6">
            <w:pPr>
              <w:autoSpaceDE w:val="0"/>
              <w:autoSpaceDN w:val="0"/>
              <w:ind w:left="200" w:hangingChars="100" w:hanging="200"/>
              <w:rPr>
                <w:rFonts w:ascii="Arial" w:eastAsia="黑体" w:hAnsi="Arial" w:cs="Arial"/>
                <w:sz w:val="20"/>
              </w:rPr>
            </w:pPr>
            <w:r>
              <w:rPr>
                <w:rFonts w:ascii="Arial" w:eastAsia="黑体" w:hAnsi="Arial" w:cs="Arial"/>
                <w:sz w:val="20"/>
              </w:rPr>
              <w:t>累计折旧</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1250" w:type="dxa"/>
            <w:tcBorders>
              <w:top w:val="nil"/>
              <w:left w:val="nil"/>
              <w:bottom w:val="nil"/>
              <w:right w:val="nil"/>
            </w:tcBorders>
            <w:vAlign w:val="bottom"/>
          </w:tcPr>
          <w:p w:rsidR="00AD5BB5" w:rsidRDefault="00F87FF6">
            <w:pPr>
              <w:autoSpaceDE w:val="0"/>
              <w:autoSpaceDN w:val="0"/>
              <w:ind w:leftChars="84" w:left="376" w:hangingChars="100" w:hanging="200"/>
              <w:rPr>
                <w:rFonts w:ascii="Arial" w:eastAsia="黑体" w:hAnsi="Arial" w:cs="Arial"/>
                <w:sz w:val="20"/>
              </w:rPr>
            </w:pPr>
            <w:r>
              <w:rPr>
                <w:rFonts w:ascii="Arial" w:eastAsia="黑体" w:hAnsi="Arial" w:cs="Arial"/>
                <w:sz w:val="20"/>
              </w:rPr>
              <w:t>年初余额</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99,465,021.17</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462,495.12</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99,927,516.29</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1250" w:type="dxa"/>
            <w:tcBorders>
              <w:top w:val="nil"/>
              <w:left w:val="nil"/>
              <w:bottom w:val="nil"/>
              <w:right w:val="nil"/>
            </w:tcBorders>
            <w:vAlign w:val="bottom"/>
          </w:tcPr>
          <w:p w:rsidR="00AD5BB5" w:rsidRDefault="00F87FF6">
            <w:pPr>
              <w:autoSpaceDE w:val="0"/>
              <w:autoSpaceDN w:val="0"/>
              <w:ind w:leftChars="84" w:left="376" w:hangingChars="100" w:hanging="200"/>
              <w:rPr>
                <w:rFonts w:ascii="Arial" w:eastAsia="黑体" w:hAnsi="Arial" w:cs="Arial"/>
                <w:sz w:val="20"/>
              </w:rPr>
            </w:pPr>
            <w:r>
              <w:rPr>
                <w:rFonts w:ascii="Arial" w:eastAsia="黑体" w:hAnsi="Arial" w:cs="Arial"/>
                <w:sz w:val="20"/>
              </w:rPr>
              <w:t>计提</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112,610,912.09</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387,041.04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112,997,953.13</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1250" w:type="dxa"/>
            <w:tcBorders>
              <w:top w:val="nil"/>
              <w:left w:val="nil"/>
              <w:bottom w:val="nil"/>
              <w:right w:val="nil"/>
            </w:tcBorders>
            <w:vAlign w:val="bottom"/>
          </w:tcPr>
          <w:p w:rsidR="00AD5BB5" w:rsidRDefault="00F87FF6">
            <w:pPr>
              <w:autoSpaceDE w:val="0"/>
              <w:autoSpaceDN w:val="0"/>
              <w:ind w:leftChars="84" w:left="376" w:hangingChars="100" w:hanging="200"/>
              <w:rPr>
                <w:rFonts w:ascii="Arial" w:eastAsia="黑体" w:hAnsi="Arial" w:cs="Arial"/>
                <w:sz w:val="20"/>
              </w:rPr>
            </w:pPr>
            <w:r>
              <w:rPr>
                <w:rFonts w:ascii="Arial" w:eastAsia="黑体" w:hAnsi="Arial" w:cs="Arial"/>
                <w:sz w:val="20"/>
              </w:rPr>
              <w:t>处置</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(3,361,462.28</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(3,361,462.28</w:t>
            </w:r>
          </w:p>
        </w:tc>
        <w:tc>
          <w:tcPr>
            <w:tcW w:w="110"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r>
      <w:tr w:rsidR="00AD5BB5">
        <w:tc>
          <w:tcPr>
            <w:tcW w:w="1250" w:type="dxa"/>
            <w:tcBorders>
              <w:top w:val="nil"/>
              <w:left w:val="nil"/>
              <w:bottom w:val="nil"/>
              <w:right w:val="nil"/>
            </w:tcBorders>
            <w:vAlign w:val="bottom"/>
          </w:tcPr>
          <w:p w:rsidR="00AD5BB5" w:rsidRDefault="00AD5BB5">
            <w:pPr>
              <w:autoSpaceDE w:val="0"/>
              <w:autoSpaceDN w:val="0"/>
              <w:ind w:leftChars="84" w:left="476" w:hangingChars="150" w:hanging="30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1250" w:type="dxa"/>
            <w:tcBorders>
              <w:top w:val="nil"/>
              <w:left w:val="nil"/>
              <w:bottom w:val="nil"/>
              <w:right w:val="nil"/>
            </w:tcBorders>
            <w:vAlign w:val="bottom"/>
          </w:tcPr>
          <w:p w:rsidR="00AD5BB5" w:rsidRDefault="00F87FF6">
            <w:pPr>
              <w:autoSpaceDE w:val="0"/>
              <w:autoSpaceDN w:val="0"/>
              <w:ind w:leftChars="84" w:left="376" w:hangingChars="100" w:hanging="200"/>
              <w:rPr>
                <w:rFonts w:ascii="Arial" w:eastAsia="黑体" w:hAnsi="Arial" w:cs="Arial"/>
                <w:sz w:val="20"/>
              </w:rPr>
            </w:pPr>
            <w:r>
              <w:rPr>
                <w:rFonts w:ascii="Arial" w:eastAsia="黑体" w:hAnsi="Arial" w:cs="Arial"/>
                <w:sz w:val="20"/>
              </w:rPr>
              <w:t>年末余额</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208,714,470.98</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849,536.16</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209,564,007.14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1250"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1250" w:type="dxa"/>
            <w:tcBorders>
              <w:top w:val="nil"/>
              <w:left w:val="nil"/>
              <w:bottom w:val="nil"/>
              <w:right w:val="nil"/>
            </w:tcBorders>
            <w:vAlign w:val="bottom"/>
          </w:tcPr>
          <w:p w:rsidR="00AD5BB5" w:rsidRDefault="00F87FF6">
            <w:pPr>
              <w:autoSpaceDE w:val="0"/>
              <w:autoSpaceDN w:val="0"/>
              <w:ind w:left="200" w:hangingChars="100" w:hanging="200"/>
              <w:rPr>
                <w:rFonts w:ascii="Arial" w:eastAsia="黑体" w:hAnsi="Arial" w:cs="Arial"/>
                <w:sz w:val="20"/>
              </w:rPr>
            </w:pPr>
            <w:r>
              <w:rPr>
                <w:rFonts w:ascii="Arial" w:eastAsia="黑体" w:hAnsi="Arial" w:cs="Arial"/>
                <w:sz w:val="20"/>
              </w:rPr>
              <w:t>账面价值</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1250" w:type="dxa"/>
            <w:tcBorders>
              <w:top w:val="nil"/>
              <w:left w:val="nil"/>
              <w:bottom w:val="nil"/>
              <w:right w:val="nil"/>
            </w:tcBorders>
            <w:vAlign w:val="bottom"/>
          </w:tcPr>
          <w:p w:rsidR="00AD5BB5" w:rsidRDefault="00F87FF6">
            <w:pPr>
              <w:autoSpaceDE w:val="0"/>
              <w:autoSpaceDN w:val="0"/>
              <w:ind w:leftChars="89" w:left="387" w:hangingChars="100" w:hanging="200"/>
              <w:rPr>
                <w:rFonts w:ascii="Arial" w:eastAsia="黑体" w:hAnsi="Arial" w:cs="Arial"/>
                <w:sz w:val="20"/>
              </w:rPr>
            </w:pPr>
            <w:r>
              <w:rPr>
                <w:rFonts w:ascii="Arial" w:eastAsia="黑体" w:hAnsi="Arial" w:cs="Arial"/>
                <w:sz w:val="20"/>
              </w:rPr>
              <w:t>年末余额</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475,462,800.91</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309,632.84</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475,772,433.75</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1250" w:type="dxa"/>
            <w:tcBorders>
              <w:top w:val="nil"/>
              <w:left w:val="nil"/>
              <w:bottom w:val="nil"/>
              <w:right w:val="nil"/>
            </w:tcBorders>
            <w:vAlign w:val="bottom"/>
          </w:tcPr>
          <w:p w:rsidR="00AD5BB5" w:rsidRDefault="00AD5BB5">
            <w:pPr>
              <w:autoSpaceDE w:val="0"/>
              <w:autoSpaceDN w:val="0"/>
              <w:ind w:leftChars="89" w:left="487" w:hangingChars="150" w:hanging="30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1250" w:type="dxa"/>
            <w:tcBorders>
              <w:top w:val="nil"/>
              <w:left w:val="nil"/>
              <w:bottom w:val="nil"/>
              <w:right w:val="nil"/>
            </w:tcBorders>
            <w:vAlign w:val="bottom"/>
          </w:tcPr>
          <w:p w:rsidR="00AD5BB5" w:rsidRDefault="00F87FF6">
            <w:pPr>
              <w:autoSpaceDE w:val="0"/>
              <w:autoSpaceDN w:val="0"/>
              <w:ind w:leftChars="89" w:left="387" w:hangingChars="100" w:hanging="200"/>
              <w:rPr>
                <w:rFonts w:ascii="Arial" w:eastAsia="黑体" w:hAnsi="Arial" w:cs="Arial"/>
                <w:sz w:val="20"/>
              </w:rPr>
            </w:pPr>
            <w:r>
              <w:rPr>
                <w:rFonts w:ascii="Arial" w:eastAsia="黑体" w:hAnsi="Arial" w:cs="Arial"/>
                <w:sz w:val="20"/>
              </w:rPr>
              <w:t>年初余额</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403,039,084.31</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693,742.62</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7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403,732,826.93</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bl>
    <w:p w:rsidR="00AD5BB5" w:rsidRDefault="00AD5BB5">
      <w:pPr>
        <w:overflowPunct w:val="0"/>
        <w:autoSpaceDE w:val="0"/>
        <w:autoSpaceDN w:val="0"/>
        <w:rPr>
          <w:rFonts w:ascii="Arial" w:eastAsia="黑体" w:hAnsi="Arial" w:cs="Arial"/>
          <w:snapToGrid w:val="0"/>
          <w:szCs w:val="21"/>
        </w:rPr>
        <w:sectPr w:rsidR="00AD5BB5">
          <w:headerReference w:type="even" r:id="rId46"/>
          <w:headerReference w:type="default" r:id="rId47"/>
          <w:headerReference w:type="first" r:id="rId48"/>
          <w:pgSz w:w="11907" w:h="16840"/>
          <w:pgMar w:top="1440" w:right="1797" w:bottom="1440" w:left="1797" w:header="720" w:footer="720" w:gutter="0"/>
          <w:cols w:space="720"/>
          <w:titlePg/>
          <w:docGrid w:linePitch="360"/>
        </w:sectPr>
      </w:pPr>
    </w:p>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b/>
          <w:snapToGrid w:val="0"/>
          <w:szCs w:val="21"/>
        </w:rPr>
      </w:pPr>
      <w:bookmarkStart w:id="168" w:name="afsaddin_WithXu_64f8da77010d4b2e9ad868b9"/>
      <w:r>
        <w:rPr>
          <w:rFonts w:ascii="Arial" w:eastAsia="黑体" w:hAnsi="Arial" w:cs="Arial"/>
          <w:b/>
          <w:snapToGrid w:val="0"/>
          <w:szCs w:val="21"/>
        </w:rPr>
        <w:t>五、</w:t>
      </w:r>
      <w:r>
        <w:rPr>
          <w:rFonts w:ascii="Arial" w:eastAsia="黑体" w:hAnsi="Arial" w:cs="Arial"/>
          <w:b/>
          <w:snapToGrid w:val="0"/>
          <w:szCs w:val="21"/>
        </w:rPr>
        <w:tab/>
      </w:r>
      <w:r>
        <w:rPr>
          <w:rFonts w:ascii="Arial" w:eastAsia="黑体" w:hAnsi="Arial" w:cs="Arial"/>
          <w:b/>
          <w:snapToGrid w:val="0"/>
          <w:szCs w:val="21"/>
        </w:rPr>
        <w:t>合并财务报表主要项目注释（续）</w:t>
      </w:r>
      <w:bookmarkEnd w:id="168"/>
    </w:p>
    <w:p w:rsidR="00AD5BB5" w:rsidRDefault="00AD5BB5">
      <w:pPr>
        <w:overflowPunct w:val="0"/>
        <w:autoSpaceDE w:val="0"/>
        <w:autoSpaceDN w:val="0"/>
        <w:rPr>
          <w:rFonts w:ascii="Arial" w:eastAsia="黑体" w:hAnsi="Arial" w:cs="Arial"/>
          <w:snapToGrid w:val="0"/>
          <w:szCs w:val="21"/>
        </w:rPr>
      </w:pPr>
    </w:p>
    <w:p w:rsidR="00AD5BB5" w:rsidRDefault="00F87FF6">
      <w:pPr>
        <w:pStyle w:val="af5"/>
        <w:keepNext w:val="0"/>
        <w:keepLines w:val="0"/>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169" w:name="afsaddin_WithXu_b6a347c70ee14810b3556746"/>
      <w:bookmarkStart w:id="170" w:name="afsaddin_Section_c9ddba5badba4c1fafe31c5"/>
      <w:bookmarkEnd w:id="169"/>
      <w:r>
        <w:rPr>
          <w:rFonts w:ascii="Arial" w:eastAsia="黑体" w:hAnsi="Arial" w:cs="Arial" w:hint="default"/>
          <w:bCs w:val="0"/>
          <w:snapToGrid w:val="0"/>
          <w:color w:val="auto"/>
          <w:sz w:val="21"/>
          <w:szCs w:val="21"/>
        </w:rPr>
        <w:t>17.</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资产减值准备</w:t>
      </w:r>
    </w:p>
    <w:bookmarkEnd w:id="170"/>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bd43100b-eb92-4a33-be4d-2b862205b9c5"/>
        <w:tblDescription w:val="{&quot;UUID&quot;:&quot;afsaddin_tabledata_2_56437_bd43100b-eb92-4a33-be4d-2b862205b9c5&quot;,&quot;TitleRowCount&quot;:2,&quot;SplitedTable&quot;:false,&quot;FirstTableId&quot;:&quot;bd43100b-eb92-4a33-be4d-2b862205b9c5&quot;}"/>
      </w:tblPr>
      <w:tblGrid>
        <w:gridCol w:w="2694"/>
        <w:gridCol w:w="567"/>
        <w:gridCol w:w="106"/>
        <w:gridCol w:w="1311"/>
        <w:gridCol w:w="20"/>
        <w:gridCol w:w="122"/>
        <w:gridCol w:w="1315"/>
        <w:gridCol w:w="105"/>
        <w:gridCol w:w="105"/>
        <w:gridCol w:w="1158"/>
        <w:gridCol w:w="105"/>
        <w:gridCol w:w="105"/>
        <w:gridCol w:w="1304"/>
        <w:gridCol w:w="105"/>
        <w:gridCol w:w="105"/>
        <w:gridCol w:w="1361"/>
        <w:gridCol w:w="105"/>
        <w:gridCol w:w="105"/>
        <w:gridCol w:w="1523"/>
        <w:gridCol w:w="105"/>
        <w:gridCol w:w="105"/>
        <w:gridCol w:w="1304"/>
        <w:gridCol w:w="105"/>
      </w:tblGrid>
      <w:tr w:rsidR="00AD5BB5">
        <w:tc>
          <w:tcPr>
            <w:tcW w:w="2694"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fldChar w:fldCharType="begin"/>
            </w:r>
            <w:r>
              <w:rPr>
                <w:rFonts w:ascii="Arial" w:eastAsia="黑体" w:hAnsi="Arial" w:cs="Arial"/>
                <w:sz w:val="16"/>
                <w:szCs w:val="16"/>
              </w:rPr>
              <w:instrText xml:space="preserve">DOCPROPERTY </w:instrText>
            </w:r>
            <w:r>
              <w:rPr>
                <w:rFonts w:ascii="Arial" w:eastAsia="黑体" w:hAnsi="Arial" w:cs="Arial"/>
                <w:sz w:val="16"/>
                <w:szCs w:val="16"/>
              </w:rPr>
              <w:instrText>当期会计期间</w:instrText>
            </w:r>
            <w:r>
              <w:rPr>
                <w:rFonts w:ascii="Arial" w:eastAsia="黑体" w:hAnsi="Arial" w:cs="Arial"/>
                <w:sz w:val="16"/>
                <w:szCs w:val="16"/>
              </w:rPr>
              <w:fldChar w:fldCharType="separate"/>
            </w:r>
            <w:r>
              <w:rPr>
                <w:rFonts w:ascii="Arial" w:eastAsia="黑体" w:hAnsi="Arial" w:cs="Arial"/>
                <w:sz w:val="16"/>
                <w:szCs w:val="16"/>
              </w:rPr>
              <w:t>2023</w:t>
            </w:r>
            <w:r>
              <w:rPr>
                <w:rFonts w:ascii="Arial" w:eastAsia="黑体" w:hAnsi="Arial" w:cs="Arial"/>
                <w:sz w:val="16"/>
                <w:szCs w:val="16"/>
              </w:rPr>
              <w:fldChar w:fldCharType="end"/>
            </w:r>
            <w:r>
              <w:rPr>
                <w:rFonts w:ascii="Arial" w:eastAsia="黑体" w:hAnsi="Arial" w:cs="Arial"/>
                <w:sz w:val="16"/>
                <w:szCs w:val="16"/>
              </w:rPr>
              <w:t>年</w:t>
            </w:r>
            <w:r>
              <w:rPr>
                <w:rFonts w:ascii="Arial" w:eastAsia="黑体" w:hAnsi="Arial" w:cs="Arial"/>
                <w:sz w:val="16"/>
                <w:szCs w:val="16"/>
              </w:rPr>
              <w:t>1-6</w:t>
            </w:r>
            <w:r>
              <w:rPr>
                <w:rFonts w:ascii="Arial" w:eastAsia="黑体" w:hAnsi="Arial" w:cs="Arial"/>
                <w:sz w:val="16"/>
                <w:szCs w:val="16"/>
              </w:rPr>
              <w:t>月</w:t>
            </w:r>
          </w:p>
        </w:tc>
        <w:tc>
          <w:tcPr>
            <w:tcW w:w="567"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附注五</w:t>
            </w:r>
          </w:p>
        </w:tc>
        <w:tc>
          <w:tcPr>
            <w:tcW w:w="106"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31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期初余额</w:t>
            </w:r>
          </w:p>
        </w:tc>
        <w:tc>
          <w:tcPr>
            <w:tcW w:w="20"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22"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315" w:type="dxa"/>
            <w:tcBorders>
              <w:top w:val="nil"/>
              <w:left w:val="nil"/>
              <w:bottom w:val="nil"/>
              <w:right w:val="nil"/>
            </w:tcBorders>
            <w:vAlign w:val="bottom"/>
          </w:tcPr>
          <w:p w:rsidR="00AD5BB5" w:rsidRDefault="00F87FF6">
            <w:pPr>
              <w:autoSpaceDE w:val="0"/>
              <w:autoSpaceDN w:val="0"/>
              <w:ind w:rightChars="-28" w:right="-59"/>
              <w:jc w:val="right"/>
              <w:rPr>
                <w:rFonts w:ascii="Arial" w:eastAsia="黑体" w:hAnsi="Arial" w:cs="Arial"/>
                <w:sz w:val="16"/>
                <w:szCs w:val="16"/>
              </w:rPr>
            </w:pPr>
            <w:r>
              <w:rPr>
                <w:rFonts w:ascii="Arial" w:eastAsia="黑体" w:hAnsi="Arial" w:cs="Arial"/>
                <w:sz w:val="16"/>
              </w:rPr>
              <w:t>本期计提</w:t>
            </w:r>
            <w:r>
              <w:rPr>
                <w:rFonts w:ascii="Arial" w:eastAsia="黑体" w:hAnsi="Arial" w:cs="Arial"/>
                <w:sz w:val="16"/>
              </w:rPr>
              <w:t>/</w:t>
            </w:r>
            <w:r>
              <w:rPr>
                <w:rFonts w:ascii="Arial" w:eastAsia="黑体" w:hAnsi="Arial" w:cs="Arial"/>
                <w:sz w:val="16"/>
              </w:rPr>
              <w:t>（转回）</w:t>
            </w: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5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折现回拨</w:t>
            </w: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收回以前年度核销</w:t>
            </w: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36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本期核销</w:t>
            </w:r>
            <w:r>
              <w:rPr>
                <w:rFonts w:ascii="Arial" w:eastAsia="黑体" w:hAnsi="Arial" w:cs="Arial"/>
                <w:sz w:val="16"/>
                <w:szCs w:val="16"/>
              </w:rPr>
              <w:t>/</w:t>
            </w:r>
            <w:r>
              <w:rPr>
                <w:rFonts w:ascii="Arial" w:eastAsia="黑体" w:hAnsi="Arial" w:cs="Arial"/>
                <w:sz w:val="16"/>
                <w:szCs w:val="16"/>
              </w:rPr>
              <w:t>处置转销</w:t>
            </w: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52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外币折算差额及其他</w:t>
            </w: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期末余额</w:t>
            </w: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r>
      <w:tr w:rsidR="00AD5BB5">
        <w:tc>
          <w:tcPr>
            <w:tcW w:w="2694"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567"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31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20"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22"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31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5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3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36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52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3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r>
      <w:tr w:rsidR="00AD5BB5">
        <w:tc>
          <w:tcPr>
            <w:tcW w:w="2694"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存放同业及其他金融机构款项</w:t>
            </w:r>
          </w:p>
        </w:tc>
        <w:tc>
          <w:tcPr>
            <w:tcW w:w="567"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29,298,514.75</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(26,159,418.26</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5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52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14,389.75</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3,153,486.24</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694"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拆出资金</w:t>
            </w:r>
            <w:r>
              <w:rPr>
                <w:rFonts w:ascii="Arial" w:eastAsia="黑体" w:hAnsi="Arial" w:cs="Arial"/>
                <w:sz w:val="16"/>
                <w:szCs w:val="16"/>
              </w:rPr>
              <w:t xml:space="preserve"> </w:t>
            </w:r>
          </w:p>
        </w:tc>
        <w:tc>
          <w:tcPr>
            <w:tcW w:w="567"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3</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208,604,750.69</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(108,100,394.00</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5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52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100,504,356.69</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694"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买入返售金融资产</w:t>
            </w:r>
          </w:p>
        </w:tc>
        <w:tc>
          <w:tcPr>
            <w:tcW w:w="567"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5</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13,053,862.52</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(12,663,050.95</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5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52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390,811.57</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694"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发放贷款及垫款</w:t>
            </w:r>
          </w:p>
        </w:tc>
        <w:tc>
          <w:tcPr>
            <w:tcW w:w="567"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6</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5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52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694"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w:t>
            </w:r>
            <w:r>
              <w:rPr>
                <w:rFonts w:ascii="Arial" w:eastAsia="黑体" w:hAnsi="Arial" w:cs="Arial"/>
                <w:sz w:val="16"/>
                <w:szCs w:val="16"/>
              </w:rPr>
              <w:t>以摊</w:t>
            </w:r>
            <w:proofErr w:type="gramStart"/>
            <w:r>
              <w:rPr>
                <w:rFonts w:ascii="Arial" w:eastAsia="黑体" w:hAnsi="Arial" w:cs="Arial"/>
                <w:sz w:val="16"/>
                <w:szCs w:val="16"/>
              </w:rPr>
              <w:t>余成本</w:t>
            </w:r>
            <w:proofErr w:type="gramEnd"/>
            <w:r>
              <w:rPr>
                <w:rFonts w:ascii="Arial" w:eastAsia="黑体" w:hAnsi="Arial" w:cs="Arial"/>
                <w:sz w:val="16"/>
                <w:szCs w:val="16"/>
              </w:rPr>
              <w:t>计量的发放贷款及垫款</w:t>
            </w:r>
          </w:p>
        </w:tc>
        <w:tc>
          <w:tcPr>
            <w:tcW w:w="567"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6,634,557,272.58</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350,797,634.13</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5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(13,914,103.10</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110,716,273.76</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(776,547,119.99</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52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4,348,876.51</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6,309,958,833.89</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694"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w:t>
            </w:r>
            <w:r>
              <w:rPr>
                <w:rFonts w:ascii="Arial" w:eastAsia="黑体" w:hAnsi="Arial" w:cs="Arial"/>
                <w:sz w:val="16"/>
                <w:szCs w:val="16"/>
              </w:rPr>
              <w:t>以公允价值计量且其变动计入其</w:t>
            </w:r>
          </w:p>
          <w:p w:rsidR="00AD5BB5" w:rsidRDefault="00F87FF6">
            <w:pPr>
              <w:autoSpaceDE w:val="0"/>
              <w:autoSpaceDN w:val="0"/>
              <w:ind w:leftChars="134" w:left="441" w:hangingChars="100" w:hanging="160"/>
              <w:rPr>
                <w:rFonts w:ascii="Arial" w:eastAsia="黑体" w:hAnsi="Arial" w:cs="Arial"/>
                <w:sz w:val="16"/>
                <w:szCs w:val="16"/>
              </w:rPr>
            </w:pPr>
            <w:r>
              <w:rPr>
                <w:rFonts w:ascii="Arial" w:eastAsia="黑体" w:hAnsi="Arial" w:cs="Arial"/>
                <w:sz w:val="16"/>
                <w:szCs w:val="16"/>
              </w:rPr>
              <w:t>他综合收益的发放贷款及垫款</w:t>
            </w:r>
          </w:p>
        </w:tc>
        <w:tc>
          <w:tcPr>
            <w:tcW w:w="567"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51,370,759.82</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(6,973,584.04</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5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52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44,397,175.78</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694"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金融投资</w:t>
            </w:r>
          </w:p>
        </w:tc>
        <w:tc>
          <w:tcPr>
            <w:tcW w:w="567"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5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52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694"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w:t>
            </w:r>
            <w:r>
              <w:rPr>
                <w:rFonts w:ascii="Arial" w:eastAsia="黑体" w:hAnsi="Arial" w:cs="Arial"/>
                <w:sz w:val="16"/>
                <w:szCs w:val="16"/>
              </w:rPr>
              <w:t>债权投资</w:t>
            </w:r>
          </w:p>
        </w:tc>
        <w:tc>
          <w:tcPr>
            <w:tcW w:w="567"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8</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167,887,380.73</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93,168,252.69</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5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(130,700,000.00</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52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548,693.24</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130,904,326.66</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694"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proofErr w:type="gramStart"/>
            <w:r>
              <w:rPr>
                <w:rFonts w:ascii="Arial" w:eastAsia="黑体" w:hAnsi="Arial" w:cs="Arial"/>
                <w:sz w:val="16"/>
                <w:szCs w:val="16"/>
              </w:rPr>
              <w:t>—</w:t>
            </w:r>
            <w:r>
              <w:rPr>
                <w:rFonts w:ascii="Arial" w:eastAsia="黑体" w:hAnsi="Arial" w:cs="Arial"/>
                <w:sz w:val="16"/>
                <w:szCs w:val="16"/>
              </w:rPr>
              <w:t>其他</w:t>
            </w:r>
            <w:proofErr w:type="gramEnd"/>
            <w:r>
              <w:rPr>
                <w:rFonts w:ascii="Arial" w:eastAsia="黑体" w:hAnsi="Arial" w:cs="Arial"/>
                <w:sz w:val="16"/>
                <w:szCs w:val="16"/>
              </w:rPr>
              <w:t>债权投资</w:t>
            </w:r>
          </w:p>
        </w:tc>
        <w:tc>
          <w:tcPr>
            <w:tcW w:w="567"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9</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166,089,810.10</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51,657,976.82</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5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52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1,451,049.07</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219,198,835.99</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694"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在建工程</w:t>
            </w:r>
          </w:p>
        </w:tc>
        <w:tc>
          <w:tcPr>
            <w:tcW w:w="567"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13</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139,017,142.08</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5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52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139,017,142.08</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694"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信用承诺</w:t>
            </w:r>
          </w:p>
        </w:tc>
        <w:tc>
          <w:tcPr>
            <w:tcW w:w="567"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27</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473,824,172.88</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(160,974,434.37</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5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52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42,521.35</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312,892,259.86</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694"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其他资产</w:t>
            </w:r>
            <w:r>
              <w:rPr>
                <w:rFonts w:ascii="Arial" w:eastAsia="黑体" w:hAnsi="Arial" w:cs="Arial"/>
                <w:sz w:val="16"/>
                <w:szCs w:val="16"/>
              </w:rPr>
              <w:t xml:space="preserve"> </w:t>
            </w:r>
          </w:p>
        </w:tc>
        <w:tc>
          <w:tcPr>
            <w:tcW w:w="567"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16</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5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52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694"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w:t>
            </w:r>
            <w:r>
              <w:rPr>
                <w:rFonts w:ascii="Arial" w:eastAsia="黑体" w:hAnsi="Arial" w:cs="Arial"/>
                <w:sz w:val="16"/>
                <w:szCs w:val="16"/>
              </w:rPr>
              <w:t>抵债资产</w:t>
            </w:r>
          </w:p>
        </w:tc>
        <w:tc>
          <w:tcPr>
            <w:tcW w:w="567"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6,029,689.56</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5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52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6,029,689.56</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694"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proofErr w:type="gramStart"/>
            <w:r>
              <w:rPr>
                <w:rFonts w:ascii="Arial" w:eastAsia="黑体" w:hAnsi="Arial" w:cs="Arial"/>
                <w:sz w:val="16"/>
                <w:szCs w:val="16"/>
              </w:rPr>
              <w:t>—</w:t>
            </w:r>
            <w:r>
              <w:rPr>
                <w:rFonts w:ascii="Arial" w:eastAsia="黑体" w:hAnsi="Arial" w:cs="Arial"/>
                <w:sz w:val="16"/>
                <w:szCs w:val="16"/>
              </w:rPr>
              <w:t>其他</w:t>
            </w:r>
            <w:proofErr w:type="gramEnd"/>
            <w:r>
              <w:rPr>
                <w:rFonts w:ascii="Arial" w:eastAsia="黑体" w:hAnsi="Arial" w:cs="Arial"/>
                <w:sz w:val="16"/>
                <w:szCs w:val="16"/>
              </w:rPr>
              <w:t>应收款</w:t>
            </w:r>
          </w:p>
        </w:tc>
        <w:tc>
          <w:tcPr>
            <w:tcW w:w="567"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1"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27,399,394.62</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9,069,852.37</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5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134,797.71</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1"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(200,091.89</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52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36,403,952.81</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694"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567"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5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52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694"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合计</w:t>
            </w:r>
          </w:p>
        </w:tc>
        <w:tc>
          <w:tcPr>
            <w:tcW w:w="567"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1"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7,917,132,750.33</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189,822,834.39</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5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(13,914,103.10</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110,851,071.47</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1"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(907,447,211.88</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52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6,405,529.92</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7,302,850,871.13</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bl>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sectPr w:rsidR="00AD5BB5">
          <w:headerReference w:type="even" r:id="rId49"/>
          <w:headerReference w:type="default" r:id="rId50"/>
          <w:headerReference w:type="first" r:id="rId51"/>
          <w:pgSz w:w="16840" w:h="11907" w:orient="landscape"/>
          <w:pgMar w:top="1797" w:right="1440" w:bottom="1797" w:left="1440" w:header="720" w:footer="720" w:gutter="0"/>
          <w:cols w:space="720"/>
          <w:titlePg/>
          <w:docGrid w:linePitch="360"/>
        </w:sectPr>
      </w:pPr>
    </w:p>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b/>
          <w:snapToGrid w:val="0"/>
          <w:szCs w:val="21"/>
        </w:rPr>
      </w:pPr>
      <w:bookmarkStart w:id="171" w:name="afsaddin_WithXu_840526a1ee2e446e987dc9c6"/>
      <w:r>
        <w:rPr>
          <w:rFonts w:ascii="Arial" w:eastAsia="黑体" w:hAnsi="Arial" w:cs="Arial"/>
          <w:b/>
          <w:snapToGrid w:val="0"/>
          <w:szCs w:val="21"/>
        </w:rPr>
        <w:t>五、</w:t>
      </w:r>
      <w:r>
        <w:rPr>
          <w:rFonts w:ascii="Arial" w:eastAsia="黑体" w:hAnsi="Arial" w:cs="Arial"/>
          <w:b/>
          <w:snapToGrid w:val="0"/>
          <w:szCs w:val="21"/>
        </w:rPr>
        <w:tab/>
      </w:r>
      <w:r>
        <w:rPr>
          <w:rFonts w:ascii="Arial" w:eastAsia="黑体" w:hAnsi="Arial" w:cs="Arial"/>
          <w:b/>
          <w:snapToGrid w:val="0"/>
          <w:szCs w:val="21"/>
        </w:rPr>
        <w:t>合并财务报表主要项目注释（续）</w:t>
      </w:r>
      <w:bookmarkEnd w:id="171"/>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172" w:name="afsaddin_WithXu_47920e6073ba448e91874b59"/>
      <w:r>
        <w:rPr>
          <w:rFonts w:ascii="Arial" w:eastAsia="黑体" w:hAnsi="Arial" w:cs="Arial"/>
          <w:b/>
          <w:snapToGrid w:val="0"/>
          <w:szCs w:val="21"/>
        </w:rPr>
        <w:t>17.</w:t>
      </w:r>
      <w:r>
        <w:rPr>
          <w:rFonts w:ascii="Arial" w:eastAsia="黑体" w:hAnsi="Arial" w:cs="Arial"/>
          <w:b/>
          <w:snapToGrid w:val="0"/>
          <w:szCs w:val="21"/>
        </w:rPr>
        <w:tab/>
      </w:r>
      <w:r>
        <w:rPr>
          <w:rFonts w:ascii="Arial" w:eastAsia="黑体" w:hAnsi="Arial" w:cs="Arial"/>
          <w:b/>
          <w:snapToGrid w:val="0"/>
          <w:szCs w:val="21"/>
        </w:rPr>
        <w:t>资产减值准备（续）</w:t>
      </w:r>
      <w:bookmarkEnd w:id="172"/>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db91189f-53af-44f8-9cab-35c626e7c109"/>
        <w:tblDescription w:val="{&quot;UUID&quot;:&quot;afsaddin_tabledata_2_56437_db91189f-53af-44f8-9cab-35c626e7c109&quot;,&quot;TitleRowCount&quot;:2,&quot;SplitedTable&quot;:false,&quot;FirstTableId&quot;:&quot;db91189f-53af-44f8-9cab-35c626e7c109&quot;}"/>
      </w:tblPr>
      <w:tblGrid>
        <w:gridCol w:w="2618"/>
        <w:gridCol w:w="502"/>
        <w:gridCol w:w="95"/>
        <w:gridCol w:w="1405"/>
        <w:gridCol w:w="95"/>
        <w:gridCol w:w="95"/>
        <w:gridCol w:w="1362"/>
        <w:gridCol w:w="95"/>
        <w:gridCol w:w="95"/>
        <w:gridCol w:w="1173"/>
        <w:gridCol w:w="95"/>
        <w:gridCol w:w="95"/>
        <w:gridCol w:w="1294"/>
        <w:gridCol w:w="95"/>
        <w:gridCol w:w="95"/>
        <w:gridCol w:w="1392"/>
        <w:gridCol w:w="95"/>
        <w:gridCol w:w="95"/>
        <w:gridCol w:w="1489"/>
        <w:gridCol w:w="95"/>
        <w:gridCol w:w="114"/>
        <w:gridCol w:w="1387"/>
        <w:gridCol w:w="114"/>
      </w:tblGrid>
      <w:tr w:rsidR="00AD5BB5">
        <w:tc>
          <w:tcPr>
            <w:tcW w:w="2618" w:type="dxa"/>
            <w:tcBorders>
              <w:top w:val="nil"/>
              <w:left w:val="nil"/>
              <w:bottom w:val="nil"/>
              <w:right w:val="nil"/>
            </w:tcBorders>
            <w:vAlign w:val="bottom"/>
          </w:tcPr>
          <w:bookmarkStart w:id="173" w:name="afsaddin_WithXu_83aad56135494daca5b86b0a"/>
          <w:bookmarkStart w:id="174" w:name="afsaddin_WithXu_0a472c7524824ba5bb92fe55"/>
          <w:bookmarkEnd w:id="173"/>
          <w:bookmarkEnd w:id="174"/>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fldChar w:fldCharType="begin"/>
            </w:r>
            <w:r>
              <w:rPr>
                <w:rFonts w:ascii="Arial" w:eastAsia="黑体" w:hAnsi="Arial" w:cs="Arial"/>
                <w:sz w:val="16"/>
                <w:szCs w:val="16"/>
              </w:rPr>
              <w:instrText xml:space="preserve"> DOCPROPERTY </w:instrText>
            </w:r>
            <w:r>
              <w:rPr>
                <w:rFonts w:ascii="Arial" w:eastAsia="黑体" w:hAnsi="Arial" w:cs="Arial"/>
                <w:sz w:val="16"/>
                <w:szCs w:val="16"/>
              </w:rPr>
              <w:instrText>对比会计期间</w:instrText>
            </w:r>
            <w:r>
              <w:rPr>
                <w:rFonts w:ascii="Arial" w:eastAsia="黑体" w:hAnsi="Arial" w:cs="Arial"/>
                <w:sz w:val="16"/>
                <w:szCs w:val="16"/>
              </w:rPr>
              <w:instrText xml:space="preserve"> </w:instrText>
            </w:r>
            <w:r>
              <w:rPr>
                <w:rFonts w:ascii="Arial" w:eastAsia="黑体" w:hAnsi="Arial" w:cs="Arial"/>
                <w:sz w:val="16"/>
                <w:szCs w:val="16"/>
              </w:rPr>
              <w:fldChar w:fldCharType="separate"/>
            </w:r>
            <w:r>
              <w:rPr>
                <w:rFonts w:ascii="Arial" w:eastAsia="黑体" w:hAnsi="Arial" w:cs="Arial"/>
                <w:sz w:val="16"/>
                <w:szCs w:val="16"/>
              </w:rPr>
              <w:t>2022</w:t>
            </w:r>
            <w:r>
              <w:rPr>
                <w:rFonts w:ascii="Arial" w:eastAsia="黑体" w:hAnsi="Arial" w:cs="Arial"/>
                <w:sz w:val="16"/>
                <w:szCs w:val="16"/>
              </w:rPr>
              <w:fldChar w:fldCharType="end"/>
            </w:r>
            <w:r>
              <w:rPr>
                <w:rFonts w:ascii="Arial" w:eastAsia="黑体" w:hAnsi="Arial" w:cs="Arial"/>
                <w:sz w:val="16"/>
                <w:szCs w:val="16"/>
              </w:rPr>
              <w:t>年度</w:t>
            </w:r>
          </w:p>
        </w:tc>
        <w:tc>
          <w:tcPr>
            <w:tcW w:w="502"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附注五</w:t>
            </w:r>
          </w:p>
        </w:tc>
        <w:tc>
          <w:tcPr>
            <w:tcW w:w="9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40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年初余额</w:t>
            </w:r>
          </w:p>
        </w:tc>
        <w:tc>
          <w:tcPr>
            <w:tcW w:w="9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3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本年计提</w:t>
            </w:r>
            <w:r>
              <w:rPr>
                <w:rFonts w:ascii="Arial" w:eastAsia="黑体" w:hAnsi="Arial" w:cs="Arial"/>
                <w:sz w:val="16"/>
              </w:rPr>
              <w:t>/</w:t>
            </w:r>
            <w:r>
              <w:rPr>
                <w:rFonts w:ascii="Arial" w:eastAsia="黑体" w:hAnsi="Arial" w:cs="Arial"/>
                <w:sz w:val="16"/>
              </w:rPr>
              <w:t>（转回）</w:t>
            </w:r>
          </w:p>
        </w:tc>
        <w:tc>
          <w:tcPr>
            <w:tcW w:w="9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7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折现回拨</w:t>
            </w:r>
          </w:p>
        </w:tc>
        <w:tc>
          <w:tcPr>
            <w:tcW w:w="9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收回以前年度核销</w:t>
            </w:r>
          </w:p>
        </w:tc>
        <w:tc>
          <w:tcPr>
            <w:tcW w:w="9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3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本年核销</w:t>
            </w:r>
            <w:r>
              <w:rPr>
                <w:rFonts w:ascii="Arial" w:eastAsia="黑体" w:hAnsi="Arial" w:cs="Arial"/>
                <w:sz w:val="16"/>
                <w:szCs w:val="16"/>
              </w:rPr>
              <w:t>/</w:t>
            </w:r>
            <w:r>
              <w:rPr>
                <w:rFonts w:ascii="Arial" w:eastAsia="黑体" w:hAnsi="Arial" w:cs="Arial"/>
                <w:sz w:val="16"/>
                <w:szCs w:val="16"/>
              </w:rPr>
              <w:t>处置转销</w:t>
            </w:r>
          </w:p>
        </w:tc>
        <w:tc>
          <w:tcPr>
            <w:tcW w:w="9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48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外币折算差额及其他</w:t>
            </w:r>
          </w:p>
        </w:tc>
        <w:tc>
          <w:tcPr>
            <w:tcW w:w="9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4" w:type="dxa"/>
            <w:tcBorders>
              <w:top w:val="nil"/>
              <w:left w:val="nil"/>
              <w:bottom w:val="nil"/>
              <w:right w:val="nil"/>
            </w:tcBorders>
            <w:shd w:val="clear" w:color="auto" w:fill="auto"/>
            <w:vAlign w:val="bottom"/>
          </w:tcPr>
          <w:p w:rsidR="00AD5BB5" w:rsidRDefault="00AD5BB5">
            <w:pPr>
              <w:autoSpaceDE w:val="0"/>
              <w:autoSpaceDN w:val="0"/>
              <w:jc w:val="center"/>
              <w:rPr>
                <w:rFonts w:ascii="Arial" w:eastAsia="黑体" w:hAnsi="Arial" w:cs="Arial"/>
                <w:sz w:val="16"/>
                <w:szCs w:val="16"/>
              </w:rPr>
            </w:pPr>
          </w:p>
        </w:tc>
        <w:tc>
          <w:tcPr>
            <w:tcW w:w="138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年末余额</w:t>
            </w:r>
          </w:p>
        </w:tc>
        <w:tc>
          <w:tcPr>
            <w:tcW w:w="114" w:type="dxa"/>
            <w:tcBorders>
              <w:top w:val="nil"/>
              <w:left w:val="nil"/>
              <w:bottom w:val="nil"/>
              <w:right w:val="nil"/>
            </w:tcBorders>
            <w:shd w:val="clear" w:color="auto" w:fill="auto"/>
            <w:vAlign w:val="bottom"/>
          </w:tcPr>
          <w:p w:rsidR="00AD5BB5" w:rsidRDefault="00AD5BB5">
            <w:pPr>
              <w:autoSpaceDE w:val="0"/>
              <w:autoSpaceDN w:val="0"/>
              <w:jc w:val="center"/>
              <w:rPr>
                <w:rFonts w:ascii="Arial" w:eastAsia="黑体" w:hAnsi="Arial" w:cs="Arial"/>
                <w:sz w:val="16"/>
                <w:szCs w:val="16"/>
              </w:rPr>
            </w:pPr>
          </w:p>
        </w:tc>
      </w:tr>
      <w:tr w:rsidR="00AD5BB5">
        <w:tc>
          <w:tcPr>
            <w:tcW w:w="261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502"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40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36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7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2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39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489"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114" w:type="dxa"/>
            <w:tcBorders>
              <w:top w:val="nil"/>
              <w:left w:val="nil"/>
              <w:bottom w:val="nil"/>
              <w:right w:val="nil"/>
            </w:tcBorders>
            <w:shd w:val="clear" w:color="auto" w:fill="auto"/>
            <w:vAlign w:val="bottom"/>
          </w:tcPr>
          <w:p w:rsidR="00AD5BB5" w:rsidRDefault="00AD5BB5">
            <w:pPr>
              <w:autoSpaceDE w:val="0"/>
              <w:autoSpaceDN w:val="0"/>
              <w:jc w:val="center"/>
              <w:rPr>
                <w:rFonts w:ascii="Arial" w:eastAsia="黑体" w:hAnsi="Arial" w:cs="Arial"/>
                <w:sz w:val="16"/>
                <w:szCs w:val="16"/>
              </w:rPr>
            </w:pPr>
          </w:p>
        </w:tc>
        <w:tc>
          <w:tcPr>
            <w:tcW w:w="1387"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14" w:type="dxa"/>
            <w:tcBorders>
              <w:top w:val="nil"/>
              <w:left w:val="nil"/>
              <w:bottom w:val="nil"/>
              <w:right w:val="nil"/>
            </w:tcBorders>
            <w:shd w:val="clear" w:color="auto" w:fill="auto"/>
            <w:vAlign w:val="bottom"/>
          </w:tcPr>
          <w:p w:rsidR="00AD5BB5" w:rsidRDefault="00AD5BB5">
            <w:pPr>
              <w:autoSpaceDE w:val="0"/>
              <w:autoSpaceDN w:val="0"/>
              <w:jc w:val="center"/>
              <w:rPr>
                <w:rFonts w:ascii="Arial" w:eastAsia="黑体" w:hAnsi="Arial" w:cs="Arial"/>
                <w:sz w:val="16"/>
                <w:szCs w:val="16"/>
              </w:rPr>
            </w:pPr>
          </w:p>
        </w:tc>
      </w:tr>
      <w:tr w:rsidR="00AD5BB5">
        <w:tc>
          <w:tcPr>
            <w:tcW w:w="261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存放同业及其他金融机构款项</w:t>
            </w:r>
            <w:r>
              <w:rPr>
                <w:rFonts w:ascii="Arial" w:eastAsia="黑体" w:hAnsi="Arial" w:cs="Arial"/>
                <w:sz w:val="16"/>
                <w:szCs w:val="16"/>
              </w:rPr>
              <w:t xml:space="preserve"> </w:t>
            </w:r>
          </w:p>
        </w:tc>
        <w:tc>
          <w:tcPr>
            <w:tcW w:w="502"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2</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0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107,922,920.34</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(79,175,033.63</w:t>
            </w:r>
          </w:p>
        </w:tc>
        <w:tc>
          <w:tcPr>
            <w:tcW w:w="9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8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550,628.04</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8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29,298,514.75</w:t>
            </w:r>
          </w:p>
        </w:tc>
        <w:tc>
          <w:tcPr>
            <w:tcW w:w="11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261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拆出资金</w:t>
            </w:r>
            <w:r>
              <w:rPr>
                <w:rFonts w:ascii="Arial" w:eastAsia="黑体" w:hAnsi="Arial" w:cs="Arial"/>
                <w:sz w:val="16"/>
                <w:szCs w:val="16"/>
              </w:rPr>
              <w:t xml:space="preserve"> </w:t>
            </w:r>
          </w:p>
        </w:tc>
        <w:tc>
          <w:tcPr>
            <w:tcW w:w="502"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3</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0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124,160,311.40</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84,444,439.29</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8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8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208,604,750.69</w:t>
            </w:r>
          </w:p>
        </w:tc>
        <w:tc>
          <w:tcPr>
            <w:tcW w:w="11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261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买入返售金融资产</w:t>
            </w:r>
          </w:p>
        </w:tc>
        <w:tc>
          <w:tcPr>
            <w:tcW w:w="502"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5</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0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583,178.94</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12,470,683.58</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8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8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13,053,862.52</w:t>
            </w:r>
          </w:p>
        </w:tc>
        <w:tc>
          <w:tcPr>
            <w:tcW w:w="11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261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发放贷款及垫款</w:t>
            </w:r>
          </w:p>
        </w:tc>
        <w:tc>
          <w:tcPr>
            <w:tcW w:w="502"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6</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0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8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87"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1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261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w:t>
            </w:r>
            <w:r>
              <w:rPr>
                <w:rFonts w:ascii="Arial" w:eastAsia="黑体" w:hAnsi="Arial" w:cs="Arial"/>
                <w:sz w:val="16"/>
                <w:szCs w:val="16"/>
              </w:rPr>
              <w:t>以摊</w:t>
            </w:r>
            <w:proofErr w:type="gramStart"/>
            <w:r>
              <w:rPr>
                <w:rFonts w:ascii="Arial" w:eastAsia="黑体" w:hAnsi="Arial" w:cs="Arial"/>
                <w:sz w:val="16"/>
                <w:szCs w:val="16"/>
              </w:rPr>
              <w:t>余成本</w:t>
            </w:r>
            <w:proofErr w:type="gramEnd"/>
            <w:r>
              <w:rPr>
                <w:rFonts w:ascii="Arial" w:eastAsia="黑体" w:hAnsi="Arial" w:cs="Arial"/>
                <w:sz w:val="16"/>
                <w:szCs w:val="16"/>
              </w:rPr>
              <w:t>计量的发放贷款及垫款</w:t>
            </w:r>
          </w:p>
        </w:tc>
        <w:tc>
          <w:tcPr>
            <w:tcW w:w="502"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0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5,858,724,371.27</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1,359,408,232.98</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(32,625,004.70</w:t>
            </w:r>
          </w:p>
        </w:tc>
        <w:tc>
          <w:tcPr>
            <w:tcW w:w="9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224,384,991.78</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(793,984,451.69</w:t>
            </w:r>
          </w:p>
        </w:tc>
        <w:tc>
          <w:tcPr>
            <w:tcW w:w="9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8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18,649,132.94</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8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6,634,557,272.58</w:t>
            </w:r>
          </w:p>
        </w:tc>
        <w:tc>
          <w:tcPr>
            <w:tcW w:w="11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261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w:t>
            </w:r>
            <w:r>
              <w:rPr>
                <w:rFonts w:ascii="Arial" w:eastAsia="黑体" w:hAnsi="Arial" w:cs="Arial"/>
                <w:sz w:val="16"/>
                <w:szCs w:val="16"/>
              </w:rPr>
              <w:t>以公允价值计量且其变动计入其他综合收益的发放贷款及垫款</w:t>
            </w:r>
          </w:p>
        </w:tc>
        <w:tc>
          <w:tcPr>
            <w:tcW w:w="502"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0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56,336,184.38</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(4,965,424.56</w:t>
            </w:r>
          </w:p>
        </w:tc>
        <w:tc>
          <w:tcPr>
            <w:tcW w:w="9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8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8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51,370,759.82</w:t>
            </w:r>
          </w:p>
        </w:tc>
        <w:tc>
          <w:tcPr>
            <w:tcW w:w="11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261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金融投资</w:t>
            </w:r>
          </w:p>
        </w:tc>
        <w:tc>
          <w:tcPr>
            <w:tcW w:w="502"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0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8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87"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1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261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w:t>
            </w:r>
            <w:r>
              <w:rPr>
                <w:rFonts w:ascii="Arial" w:eastAsia="黑体" w:hAnsi="Arial" w:cs="Arial"/>
                <w:sz w:val="16"/>
                <w:szCs w:val="16"/>
              </w:rPr>
              <w:t>债权投资</w:t>
            </w:r>
          </w:p>
        </w:tc>
        <w:tc>
          <w:tcPr>
            <w:tcW w:w="502"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8</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0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186,132,601.85</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(86,238,525.15</w:t>
            </w:r>
          </w:p>
        </w:tc>
        <w:tc>
          <w:tcPr>
            <w:tcW w:w="9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(3,363,272.35</w:t>
            </w:r>
          </w:p>
        </w:tc>
        <w:tc>
          <w:tcPr>
            <w:tcW w:w="9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65,472,636.23</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8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5,883,940.15</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8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167,887,380.73</w:t>
            </w:r>
          </w:p>
        </w:tc>
        <w:tc>
          <w:tcPr>
            <w:tcW w:w="11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261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proofErr w:type="gramStart"/>
            <w:r>
              <w:rPr>
                <w:rFonts w:ascii="Arial" w:eastAsia="黑体" w:hAnsi="Arial" w:cs="Arial"/>
                <w:sz w:val="16"/>
                <w:szCs w:val="16"/>
              </w:rPr>
              <w:t>—</w:t>
            </w:r>
            <w:r>
              <w:rPr>
                <w:rFonts w:ascii="Arial" w:eastAsia="黑体" w:hAnsi="Arial" w:cs="Arial"/>
                <w:sz w:val="16"/>
                <w:szCs w:val="16"/>
              </w:rPr>
              <w:t>其他</w:t>
            </w:r>
            <w:proofErr w:type="gramEnd"/>
            <w:r>
              <w:rPr>
                <w:rFonts w:ascii="Arial" w:eastAsia="黑体" w:hAnsi="Arial" w:cs="Arial"/>
                <w:sz w:val="16"/>
                <w:szCs w:val="16"/>
              </w:rPr>
              <w:t>债权投资</w:t>
            </w:r>
          </w:p>
        </w:tc>
        <w:tc>
          <w:tcPr>
            <w:tcW w:w="502"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9</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0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148,029,628.00</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7,848,489.75</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8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10,211,692.35</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8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166,089,810.10</w:t>
            </w:r>
          </w:p>
        </w:tc>
        <w:tc>
          <w:tcPr>
            <w:tcW w:w="11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261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在建工程</w:t>
            </w:r>
          </w:p>
        </w:tc>
        <w:tc>
          <w:tcPr>
            <w:tcW w:w="502"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13</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0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134,047,172.08</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4,969,970.00</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8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8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139,017,142.08</w:t>
            </w:r>
          </w:p>
        </w:tc>
        <w:tc>
          <w:tcPr>
            <w:tcW w:w="11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261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固定资产</w:t>
            </w:r>
          </w:p>
        </w:tc>
        <w:tc>
          <w:tcPr>
            <w:tcW w:w="502"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12</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0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12,711,408.24</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(12,711,408.24</w:t>
            </w:r>
          </w:p>
        </w:tc>
        <w:tc>
          <w:tcPr>
            <w:tcW w:w="9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8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8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1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261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无形资产</w:t>
            </w:r>
          </w:p>
        </w:tc>
        <w:tc>
          <w:tcPr>
            <w:tcW w:w="502"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14</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0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35,389,370.40</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(35,389,370.40</w:t>
            </w:r>
          </w:p>
        </w:tc>
        <w:tc>
          <w:tcPr>
            <w:tcW w:w="9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8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8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1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261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信用承诺</w:t>
            </w:r>
          </w:p>
        </w:tc>
        <w:tc>
          <w:tcPr>
            <w:tcW w:w="502"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27</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0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485,722,508.55</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(12,495,079.99</w:t>
            </w:r>
          </w:p>
        </w:tc>
        <w:tc>
          <w:tcPr>
            <w:tcW w:w="9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8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596,744.32</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8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473,824,172.88</w:t>
            </w:r>
          </w:p>
        </w:tc>
        <w:tc>
          <w:tcPr>
            <w:tcW w:w="11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261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其他资产</w:t>
            </w:r>
            <w:r>
              <w:rPr>
                <w:rFonts w:ascii="Arial" w:eastAsia="黑体" w:hAnsi="Arial" w:cs="Arial"/>
                <w:sz w:val="16"/>
                <w:szCs w:val="16"/>
              </w:rPr>
              <w:t xml:space="preserve"> </w:t>
            </w:r>
          </w:p>
        </w:tc>
        <w:tc>
          <w:tcPr>
            <w:tcW w:w="502"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16</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0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8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87"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1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261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w:t>
            </w:r>
            <w:r>
              <w:rPr>
                <w:rFonts w:ascii="Arial" w:eastAsia="黑体" w:hAnsi="Arial" w:cs="Arial"/>
                <w:sz w:val="16"/>
                <w:szCs w:val="16"/>
              </w:rPr>
              <w:t>抵债资产</w:t>
            </w:r>
          </w:p>
        </w:tc>
        <w:tc>
          <w:tcPr>
            <w:tcW w:w="502"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0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6,029,689.56</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8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8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6,029,689.56</w:t>
            </w:r>
          </w:p>
        </w:tc>
        <w:tc>
          <w:tcPr>
            <w:tcW w:w="11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261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proofErr w:type="gramStart"/>
            <w:r>
              <w:rPr>
                <w:rFonts w:ascii="Arial" w:eastAsia="黑体" w:hAnsi="Arial" w:cs="Arial"/>
                <w:sz w:val="16"/>
                <w:szCs w:val="16"/>
              </w:rPr>
              <w:t>—</w:t>
            </w:r>
            <w:r>
              <w:rPr>
                <w:rFonts w:ascii="Arial" w:eastAsia="黑体" w:hAnsi="Arial" w:cs="Arial"/>
                <w:sz w:val="16"/>
                <w:szCs w:val="16"/>
              </w:rPr>
              <w:t>其他</w:t>
            </w:r>
            <w:proofErr w:type="gramEnd"/>
            <w:r>
              <w:rPr>
                <w:rFonts w:ascii="Arial" w:eastAsia="黑体" w:hAnsi="Arial" w:cs="Arial"/>
                <w:sz w:val="16"/>
                <w:szCs w:val="16"/>
              </w:rPr>
              <w:t>应收款</w:t>
            </w:r>
          </w:p>
        </w:tc>
        <w:tc>
          <w:tcPr>
            <w:tcW w:w="502"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0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18,023,973.70</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24,965,011.77</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341,649.58</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(15,931,240.43</w:t>
            </w:r>
          </w:p>
        </w:tc>
        <w:tc>
          <w:tcPr>
            <w:tcW w:w="9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8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87"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27,399,394.62</w:t>
            </w:r>
          </w:p>
        </w:tc>
        <w:tc>
          <w:tcPr>
            <w:tcW w:w="11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261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502"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0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8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87"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1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261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合计</w:t>
            </w:r>
          </w:p>
        </w:tc>
        <w:tc>
          <w:tcPr>
            <w:tcW w:w="502"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0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7,173,813,318.71</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1,311,232,764.04</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7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(35,988,277.05</w:t>
            </w:r>
          </w:p>
        </w:tc>
        <w:tc>
          <w:tcPr>
            <w:tcW w:w="9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290,199,277.59</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(858,016,470.76</w:t>
            </w:r>
          </w:p>
        </w:tc>
        <w:tc>
          <w:tcPr>
            <w:tcW w:w="95"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8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35,892,137.80</w:t>
            </w:r>
          </w:p>
        </w:tc>
        <w:tc>
          <w:tcPr>
            <w:tcW w:w="9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87" w:type="dxa"/>
            <w:tcBorders>
              <w:top w:val="nil"/>
              <w:left w:val="nil"/>
              <w:bottom w:val="doub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7,917,132,750.33</w:t>
            </w:r>
          </w:p>
        </w:tc>
        <w:tc>
          <w:tcPr>
            <w:tcW w:w="11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bl>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sectPr w:rsidR="00AD5BB5">
          <w:pgSz w:w="16840" w:h="11907" w:orient="landscape"/>
          <w:pgMar w:top="1797" w:right="1440" w:bottom="1797" w:left="1440" w:header="720" w:footer="720" w:gutter="0"/>
          <w:cols w:space="720"/>
          <w:titlePg/>
          <w:docGrid w:linePitch="360"/>
        </w:sectPr>
      </w:pPr>
    </w:p>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b/>
          <w:snapToGrid w:val="0"/>
          <w:szCs w:val="21"/>
        </w:rPr>
      </w:pPr>
      <w:bookmarkStart w:id="175" w:name="afsaddin_WithXu_d42d1c479d0940b8a25a85cc"/>
      <w:r>
        <w:rPr>
          <w:rFonts w:ascii="Arial" w:eastAsia="黑体" w:hAnsi="Arial" w:cs="Arial"/>
          <w:b/>
          <w:snapToGrid w:val="0"/>
          <w:szCs w:val="21"/>
        </w:rPr>
        <w:t>五、</w:t>
      </w:r>
      <w:r>
        <w:rPr>
          <w:rFonts w:ascii="Arial" w:eastAsia="黑体" w:hAnsi="Arial" w:cs="Arial"/>
          <w:b/>
          <w:snapToGrid w:val="0"/>
          <w:szCs w:val="21"/>
        </w:rPr>
        <w:tab/>
      </w:r>
      <w:r>
        <w:rPr>
          <w:rFonts w:ascii="Arial" w:eastAsia="黑体" w:hAnsi="Arial" w:cs="Arial"/>
          <w:b/>
          <w:snapToGrid w:val="0"/>
          <w:szCs w:val="21"/>
        </w:rPr>
        <w:t>合并财务报表主要项目注释（续）</w:t>
      </w:r>
      <w:bookmarkEnd w:id="175"/>
    </w:p>
    <w:p w:rsidR="00AD5BB5" w:rsidRDefault="00AD5BB5">
      <w:pPr>
        <w:overflowPunct w:val="0"/>
        <w:autoSpaceDE w:val="0"/>
        <w:autoSpaceDN w:val="0"/>
        <w:rPr>
          <w:rFonts w:ascii="Arial" w:eastAsia="黑体" w:hAnsi="Arial" w:cs="Arial"/>
          <w:snapToGrid w:val="0"/>
          <w:szCs w:val="21"/>
        </w:rPr>
      </w:pPr>
    </w:p>
    <w:p w:rsidR="00AD5BB5" w:rsidRDefault="00F87FF6">
      <w:pPr>
        <w:pStyle w:val="af5"/>
        <w:keepNext w:val="0"/>
        <w:keepLines w:val="0"/>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176" w:name="afsaddin_WithXu_d79e74ad2945496a81d6674c"/>
      <w:bookmarkStart w:id="177" w:name="afsaddin_Section_c8da903ad5124678b6a7cab"/>
      <w:bookmarkEnd w:id="176"/>
      <w:r>
        <w:rPr>
          <w:rFonts w:ascii="Arial" w:eastAsia="黑体" w:hAnsi="Arial" w:cs="Arial" w:hint="default"/>
          <w:bCs w:val="0"/>
          <w:snapToGrid w:val="0"/>
          <w:color w:val="auto"/>
          <w:sz w:val="21"/>
          <w:szCs w:val="21"/>
        </w:rPr>
        <w:t>18.</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向中央银行借款</w:t>
      </w:r>
    </w:p>
    <w:bookmarkEnd w:id="177"/>
    <w:p w:rsidR="00AD5BB5" w:rsidRDefault="00AD5BB5">
      <w:pPr>
        <w:overflowPunct w:val="0"/>
        <w:autoSpaceDE w:val="0"/>
        <w:autoSpaceDN w:val="0"/>
        <w:adjustRightInd w:val="0"/>
        <w:snapToGrid w:val="0"/>
        <w:textAlignment w:val="bottom"/>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b0cf04af-1020-4873-9ed4-6796c0bf4d5c"/>
        <w:tblDescription w:val="{&quot;UUID&quot;:&quot;afsaddin_tabledata_2_56437_b0cf04af-1020-4873-9ed4-6796c0bf4d5c&quot;,&quot;TitleRowCount&quot;:2,&quot;SplitedTable&quot;:false,&quot;FirstTableId&quot;:&quot;b0cf04af-1020-4873-9ed4-6796c0bf4d5c&quot;}"/>
      </w:tblPr>
      <w:tblGrid>
        <w:gridCol w:w="3502"/>
        <w:gridCol w:w="109"/>
        <w:gridCol w:w="2317"/>
        <w:gridCol w:w="110"/>
        <w:gridCol w:w="110"/>
        <w:gridCol w:w="2168"/>
        <w:gridCol w:w="110"/>
      </w:tblGrid>
      <w:tr w:rsidR="00AD5BB5">
        <w:tc>
          <w:tcPr>
            <w:tcW w:w="3502"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2023</w:t>
            </w:r>
            <w:r>
              <w:rPr>
                <w:rFonts w:ascii="Arial" w:eastAsia="黑体" w:hAnsi="Arial" w:cs="Arial"/>
                <w:szCs w:val="21"/>
              </w:rPr>
              <w:t>年</w:t>
            </w:r>
            <w:r>
              <w:rPr>
                <w:rFonts w:ascii="Arial" w:eastAsia="黑体" w:hAnsi="Arial" w:cs="Arial"/>
                <w:szCs w:val="21"/>
              </w:rPr>
              <w:t>6</w:t>
            </w:r>
            <w:r>
              <w:rPr>
                <w:rFonts w:ascii="Arial" w:eastAsia="黑体" w:hAnsi="Arial" w:cs="Arial"/>
                <w:szCs w:val="21"/>
              </w:rPr>
              <w:t>月</w:t>
            </w:r>
            <w:r>
              <w:rPr>
                <w:rFonts w:ascii="Arial" w:eastAsia="黑体" w:hAnsi="Arial" w:cs="Arial"/>
                <w:szCs w:val="21"/>
              </w:rPr>
              <w:t>30</w:t>
            </w:r>
            <w:r>
              <w:rPr>
                <w:rFonts w:ascii="Arial" w:eastAsia="黑体" w:hAnsi="Arial" w:cs="Arial"/>
                <w:szCs w:val="21"/>
              </w:rPr>
              <w:t>日</w:t>
            </w:r>
          </w:p>
        </w:tc>
        <w:tc>
          <w:tcPr>
            <w:tcW w:w="110"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216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2022</w:t>
            </w:r>
            <w:r>
              <w:rPr>
                <w:rFonts w:ascii="Arial" w:eastAsia="黑体" w:hAnsi="Arial" w:cs="Arial"/>
                <w:szCs w:val="21"/>
              </w:rPr>
              <w:t>年</w:t>
            </w:r>
            <w:r>
              <w:rPr>
                <w:rFonts w:ascii="Arial" w:eastAsia="黑体" w:hAnsi="Arial" w:cs="Arial"/>
                <w:szCs w:val="21"/>
              </w:rPr>
              <w:t>12</w:t>
            </w:r>
            <w:r>
              <w:rPr>
                <w:rFonts w:ascii="Arial" w:eastAsia="黑体" w:hAnsi="Arial" w:cs="Arial"/>
                <w:szCs w:val="21"/>
              </w:rPr>
              <w:t>月</w:t>
            </w:r>
            <w:r>
              <w:rPr>
                <w:rFonts w:ascii="Arial" w:eastAsia="黑体" w:hAnsi="Arial" w:cs="Arial"/>
                <w:szCs w:val="21"/>
              </w:rPr>
              <w:t>31</w:t>
            </w:r>
            <w:r>
              <w:rPr>
                <w:rFonts w:ascii="Arial" w:eastAsia="黑体" w:hAnsi="Arial" w:cs="Arial"/>
                <w:szCs w:val="21"/>
              </w:rPr>
              <w:t>日</w:t>
            </w:r>
          </w:p>
        </w:tc>
        <w:tc>
          <w:tcPr>
            <w:tcW w:w="110"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216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proofErr w:type="gramStart"/>
            <w:r>
              <w:rPr>
                <w:rFonts w:ascii="Arial" w:eastAsia="黑体" w:hAnsi="Arial" w:cs="Arial"/>
                <w:szCs w:val="21"/>
              </w:rPr>
              <w:t>支小再贷款</w:t>
            </w:r>
            <w:proofErr w:type="gramEnd"/>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8,372,000,000.00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8,520,000,000.00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央行信贷支持计划</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411,260,000.00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proofErr w:type="gramStart"/>
            <w:r>
              <w:rPr>
                <w:rFonts w:ascii="Arial" w:eastAsia="黑体" w:hAnsi="Arial" w:cs="Arial"/>
                <w:szCs w:val="21"/>
              </w:rPr>
              <w:t>碳减排支持</w:t>
            </w:r>
            <w:proofErr w:type="gramEnd"/>
            <w:r>
              <w:rPr>
                <w:rFonts w:ascii="Arial" w:eastAsia="黑体" w:hAnsi="Arial" w:cs="Arial"/>
                <w:szCs w:val="21"/>
              </w:rPr>
              <w:t>工具</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23,390,000.00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小计</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8,395,390,000.00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single" w:sz="4" w:space="0" w:color="auto"/>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8,931,260,000.00</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应计利息</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3,884,703.47</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4,440,000.01</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0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合计</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31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8,399,274,703.47</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16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8,935,700,000.01</w:t>
            </w:r>
          </w:p>
        </w:tc>
        <w:tc>
          <w:tcPr>
            <w:tcW w:w="110"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bl>
    <w:p w:rsidR="00AD5BB5" w:rsidRDefault="00AD5BB5">
      <w:pPr>
        <w:overflowPunct w:val="0"/>
        <w:autoSpaceDE w:val="0"/>
        <w:autoSpaceDN w:val="0"/>
        <w:adjustRightInd w:val="0"/>
        <w:snapToGrid w:val="0"/>
        <w:textAlignment w:val="bottom"/>
        <w:rPr>
          <w:rFonts w:ascii="Arial" w:eastAsia="黑体" w:hAnsi="Arial" w:cs="Arial"/>
          <w:snapToGrid w:val="0"/>
          <w:szCs w:val="21"/>
        </w:rPr>
      </w:pPr>
    </w:p>
    <w:p w:rsidR="00AD5BB5" w:rsidRDefault="00F87FF6">
      <w:pPr>
        <w:pStyle w:val="af5"/>
        <w:keepNext w:val="0"/>
        <w:keepLines w:val="0"/>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178" w:name="afsaddin_Section_0e2cc99271d74554a8b0b7b"/>
      <w:r>
        <w:rPr>
          <w:rFonts w:ascii="Arial" w:eastAsia="黑体" w:hAnsi="Arial" w:cs="Arial" w:hint="default"/>
          <w:bCs w:val="0"/>
          <w:snapToGrid w:val="0"/>
          <w:color w:val="auto"/>
          <w:sz w:val="21"/>
          <w:szCs w:val="21"/>
        </w:rPr>
        <w:t>19.</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同业及其他金融机构存放款项</w:t>
      </w:r>
    </w:p>
    <w:bookmarkEnd w:id="178"/>
    <w:p w:rsidR="00AD5BB5" w:rsidRDefault="00AD5BB5">
      <w:pPr>
        <w:overflowPunct w:val="0"/>
        <w:autoSpaceDE w:val="0"/>
        <w:autoSpaceDN w:val="0"/>
        <w:adjustRightInd w:val="0"/>
        <w:snapToGrid w:val="0"/>
        <w:textAlignment w:val="bottom"/>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31c85e1d-f972-4917-ade4-b1e993a9809b"/>
        <w:tblDescription w:val="{&quot;UUID&quot;:&quot;afsaddin_tabledata_2_56437_31c85e1d-f972-4917-ade4-b1e993a9809b&quot;,&quot;TitleRowCount&quot;:2,&quot;SplitedTable&quot;:false,&quot;FirstTableId&quot;:&quot;31c85e1d-f972-4917-ade4-b1e993a9809b&quot;}"/>
      </w:tblPr>
      <w:tblGrid>
        <w:gridCol w:w="3502"/>
        <w:gridCol w:w="109"/>
        <w:gridCol w:w="2317"/>
        <w:gridCol w:w="110"/>
        <w:gridCol w:w="110"/>
        <w:gridCol w:w="2168"/>
        <w:gridCol w:w="110"/>
      </w:tblGrid>
      <w:tr w:rsidR="00AD5BB5">
        <w:trPr>
          <w:trHeight w:val="170"/>
        </w:trPr>
        <w:tc>
          <w:tcPr>
            <w:tcW w:w="3502" w:type="dxa"/>
            <w:tcBorders>
              <w:top w:val="nil"/>
              <w:left w:val="nil"/>
              <w:bottom w:val="nil"/>
              <w:right w:val="nil"/>
            </w:tcBorders>
            <w:shd w:val="clear" w:color="000000" w:fill="auto"/>
            <w:noWrap/>
          </w:tcPr>
          <w:p w:rsidR="00AD5BB5" w:rsidRDefault="00AD5BB5">
            <w:pPr>
              <w:kinsoku w:val="0"/>
              <w:overflowPunct w:val="0"/>
              <w:autoSpaceDE w:val="0"/>
              <w:autoSpaceDN w:val="0"/>
              <w:adjustRightInd w:val="0"/>
              <w:snapToGrid w:val="0"/>
              <w:ind w:left="315" w:hangingChars="150" w:hanging="315"/>
              <w:rPr>
                <w:rFonts w:ascii="Arial" w:eastAsia="黑体" w:hAnsi="Arial" w:cs="Arial"/>
                <w:color w:val="000000"/>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napToGrid w:val="0"/>
                <w:szCs w:val="21"/>
              </w:rPr>
            </w:pP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当期资产负债表日</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2023</w:t>
            </w:r>
            <w:r>
              <w:rPr>
                <w:rFonts w:ascii="Arial" w:eastAsia="黑体" w:hAnsi="Arial" w:cs="Arial"/>
                <w:snapToGrid w:val="0"/>
                <w:szCs w:val="21"/>
              </w:rPr>
              <w:t>年</w:t>
            </w:r>
            <w:r>
              <w:rPr>
                <w:rFonts w:ascii="Arial" w:eastAsia="黑体" w:hAnsi="Arial" w:cs="Arial"/>
                <w:snapToGrid w:val="0"/>
                <w:szCs w:val="21"/>
              </w:rPr>
              <w:t>6</w:t>
            </w:r>
            <w:r>
              <w:rPr>
                <w:rFonts w:ascii="Arial" w:eastAsia="黑体" w:hAnsi="Arial" w:cs="Arial"/>
                <w:snapToGrid w:val="0"/>
                <w:szCs w:val="21"/>
              </w:rPr>
              <w:t>月</w:t>
            </w:r>
            <w:r>
              <w:rPr>
                <w:rFonts w:ascii="Arial" w:eastAsia="黑体" w:hAnsi="Arial" w:cs="Arial"/>
                <w:snapToGrid w:val="0"/>
                <w:szCs w:val="21"/>
              </w:rPr>
              <w:t>30</w:t>
            </w:r>
            <w:r>
              <w:rPr>
                <w:rFonts w:ascii="Arial" w:eastAsia="黑体" w:hAnsi="Arial" w:cs="Arial"/>
                <w:snapToGrid w:val="0"/>
                <w:szCs w:val="21"/>
              </w:rPr>
              <w:t>日</w:t>
            </w:r>
            <w:r>
              <w:rPr>
                <w:rFonts w:ascii="Arial" w:eastAsia="黑体" w:hAnsi="Arial" w:cs="Arial"/>
                <w:snapToGrid w:val="0"/>
                <w:szCs w:val="21"/>
              </w:rPr>
              <w:fldChar w:fldCharType="end"/>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napToGrid w:val="0"/>
                <w:szCs w:val="21"/>
              </w:rPr>
            </w:pPr>
            <w:r>
              <w:rPr>
                <w:rFonts w:ascii="Arial" w:eastAsia="黑体" w:hAnsi="Arial" w:cs="Arial"/>
                <w:snapToGrid w:val="0"/>
                <w:szCs w:val="21"/>
              </w:rPr>
              <w:t>2022</w:t>
            </w:r>
            <w:r>
              <w:rPr>
                <w:rFonts w:ascii="Arial" w:eastAsia="黑体" w:hAnsi="Arial" w:cs="Arial"/>
                <w:snapToGrid w:val="0"/>
                <w:szCs w:val="21"/>
              </w:rPr>
              <w:t>年</w:t>
            </w:r>
            <w:r>
              <w:rPr>
                <w:rFonts w:ascii="Arial" w:eastAsia="黑体" w:hAnsi="Arial" w:cs="Arial"/>
                <w:snapToGrid w:val="0"/>
                <w:szCs w:val="21"/>
              </w:rPr>
              <w:t>12</w:t>
            </w:r>
            <w:r>
              <w:rPr>
                <w:rFonts w:ascii="Arial" w:eastAsia="黑体" w:hAnsi="Arial" w:cs="Arial"/>
                <w:snapToGrid w:val="0"/>
                <w:szCs w:val="21"/>
              </w:rPr>
              <w:t>月</w:t>
            </w:r>
            <w:r>
              <w:rPr>
                <w:rFonts w:ascii="Arial" w:eastAsia="黑体" w:hAnsi="Arial" w:cs="Arial"/>
                <w:snapToGrid w:val="0"/>
                <w:szCs w:val="21"/>
              </w:rPr>
              <w:t>31</w:t>
            </w:r>
            <w:r>
              <w:rPr>
                <w:rFonts w:ascii="Arial" w:eastAsia="黑体" w:hAnsi="Arial" w:cs="Arial"/>
                <w:snapToGrid w:val="0"/>
                <w:szCs w:val="21"/>
              </w:rPr>
              <w:t>日</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1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216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境内银行同业</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1,740,000,097.35</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4,685,002,107.16</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境内其他金融机构</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8,095,564,969.93</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8,504,046,464.66</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境外银行同业</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26,888,689.87</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26,771,996.86</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小计</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single" w:sz="4" w:space="0" w:color="auto"/>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9,862,453,757.15</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single" w:sz="4" w:space="0" w:color="auto"/>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13,215,820,568.68</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AD5BB5">
            <w:pPr>
              <w:kinsoku w:val="0"/>
              <w:overflowPunct w:val="0"/>
              <w:autoSpaceDE w:val="0"/>
              <w:autoSpaceDN w:val="0"/>
              <w:adjustRightInd w:val="0"/>
              <w:snapToGrid w:val="0"/>
              <w:ind w:left="315" w:hangingChars="150" w:hanging="315"/>
              <w:rPr>
                <w:rFonts w:ascii="Arial" w:eastAsia="黑体" w:hAnsi="Arial" w:cs="Arial"/>
                <w:color w:val="000000"/>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应计利息</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289,928,638.96</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210,201,790.45</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AD5BB5">
            <w:pPr>
              <w:kinsoku w:val="0"/>
              <w:overflowPunct w:val="0"/>
              <w:autoSpaceDE w:val="0"/>
              <w:autoSpaceDN w:val="0"/>
              <w:adjustRightInd w:val="0"/>
              <w:snapToGrid w:val="0"/>
              <w:ind w:left="315" w:hangingChars="150" w:hanging="315"/>
              <w:rPr>
                <w:rFonts w:ascii="Arial" w:eastAsia="黑体" w:hAnsi="Arial" w:cs="Arial"/>
                <w:color w:val="000000"/>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合计</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doub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10,152,382,396.11</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doub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13,426,022,359.13</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bl>
    <w:p w:rsidR="00AD5BB5" w:rsidRDefault="00AD5BB5">
      <w:pPr>
        <w:overflowPunct w:val="0"/>
        <w:autoSpaceDE w:val="0"/>
        <w:autoSpaceDN w:val="0"/>
        <w:adjustRightInd w:val="0"/>
        <w:snapToGrid w:val="0"/>
        <w:textAlignment w:val="bottom"/>
        <w:rPr>
          <w:rFonts w:ascii="Arial" w:eastAsia="黑体" w:hAnsi="Arial" w:cs="Arial"/>
          <w:snapToGrid w:val="0"/>
          <w:szCs w:val="21"/>
        </w:rPr>
      </w:pPr>
    </w:p>
    <w:p w:rsidR="00AD5BB5" w:rsidRDefault="00F87FF6">
      <w:pPr>
        <w:pStyle w:val="af5"/>
        <w:keepNext w:val="0"/>
        <w:keepLines w:val="0"/>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179" w:name="afsaddin_Section_be7791666edf4d8b88a13fb"/>
      <w:r>
        <w:rPr>
          <w:rFonts w:ascii="Arial" w:eastAsia="黑体" w:hAnsi="Arial" w:cs="Arial" w:hint="default"/>
          <w:bCs w:val="0"/>
          <w:snapToGrid w:val="0"/>
          <w:color w:val="auto"/>
          <w:sz w:val="21"/>
          <w:szCs w:val="21"/>
        </w:rPr>
        <w:t>20.</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拆入资金</w:t>
      </w:r>
    </w:p>
    <w:bookmarkEnd w:id="179"/>
    <w:p w:rsidR="00AD5BB5" w:rsidRDefault="00AD5BB5">
      <w:pPr>
        <w:overflowPunct w:val="0"/>
        <w:autoSpaceDE w:val="0"/>
        <w:autoSpaceDN w:val="0"/>
        <w:adjustRightInd w:val="0"/>
        <w:snapToGrid w:val="0"/>
        <w:textAlignment w:val="bottom"/>
        <w:rPr>
          <w:rFonts w:ascii="Arial" w:eastAsia="黑体" w:hAnsi="Arial" w:cs="Arial"/>
          <w:bCs/>
          <w:snapToGrid w:val="0"/>
          <w:szCs w:val="21"/>
        </w:rPr>
      </w:pPr>
    </w:p>
    <w:tbl>
      <w:tblPr>
        <w:tblW w:w="0" w:type="auto"/>
        <w:tblLayout w:type="fixed"/>
        <w:tblCellMar>
          <w:left w:w="0" w:type="dxa"/>
          <w:right w:w="0" w:type="dxa"/>
        </w:tblCellMar>
        <w:tblLook w:val="04A0" w:firstRow="1" w:lastRow="0" w:firstColumn="1" w:lastColumn="0" w:noHBand="0" w:noVBand="1"/>
        <w:tblCaption w:val="cf44fb9a-2e68-4eb1-8701-e809ea579a86"/>
        <w:tblDescription w:val="{&quot;UUID&quot;:&quot;afsaddin_tabledata_2_56437_cf44fb9a-2e68-4eb1-8701-e809ea579a86&quot;,&quot;TitleRowCount&quot;:2,&quot;SplitedTable&quot;:false,&quot;FirstTableId&quot;:&quot;cf44fb9a-2e68-4eb1-8701-e809ea579a86&quot;}"/>
      </w:tblPr>
      <w:tblGrid>
        <w:gridCol w:w="3502"/>
        <w:gridCol w:w="109"/>
        <w:gridCol w:w="2317"/>
        <w:gridCol w:w="110"/>
        <w:gridCol w:w="110"/>
        <w:gridCol w:w="2168"/>
        <w:gridCol w:w="110"/>
      </w:tblGrid>
      <w:tr w:rsidR="00AD5BB5">
        <w:trPr>
          <w:trHeight w:val="170"/>
        </w:trPr>
        <w:tc>
          <w:tcPr>
            <w:tcW w:w="3502" w:type="dxa"/>
            <w:tcBorders>
              <w:top w:val="nil"/>
              <w:left w:val="nil"/>
              <w:bottom w:val="nil"/>
              <w:right w:val="nil"/>
            </w:tcBorders>
            <w:shd w:val="clear" w:color="000000" w:fill="auto"/>
            <w:noWrap/>
          </w:tcPr>
          <w:p w:rsidR="00AD5BB5" w:rsidRDefault="00AD5BB5">
            <w:pPr>
              <w:kinsoku w:val="0"/>
              <w:overflowPunct w:val="0"/>
              <w:autoSpaceDE w:val="0"/>
              <w:autoSpaceDN w:val="0"/>
              <w:adjustRightInd w:val="0"/>
              <w:snapToGrid w:val="0"/>
              <w:ind w:left="315" w:hangingChars="150" w:hanging="315"/>
              <w:rPr>
                <w:rFonts w:ascii="Arial" w:eastAsia="黑体" w:hAnsi="Arial" w:cs="Arial"/>
                <w:color w:val="000000"/>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napToGrid w:val="0"/>
                <w:szCs w:val="21"/>
              </w:rPr>
            </w:pP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当期资产负债表日</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2023</w:t>
            </w:r>
            <w:r>
              <w:rPr>
                <w:rFonts w:ascii="Arial" w:eastAsia="黑体" w:hAnsi="Arial" w:cs="Arial"/>
                <w:snapToGrid w:val="0"/>
                <w:szCs w:val="21"/>
              </w:rPr>
              <w:t>年</w:t>
            </w:r>
            <w:r>
              <w:rPr>
                <w:rFonts w:ascii="Arial" w:eastAsia="黑体" w:hAnsi="Arial" w:cs="Arial"/>
                <w:snapToGrid w:val="0"/>
                <w:szCs w:val="21"/>
              </w:rPr>
              <w:t>6</w:t>
            </w:r>
            <w:r>
              <w:rPr>
                <w:rFonts w:ascii="Arial" w:eastAsia="黑体" w:hAnsi="Arial" w:cs="Arial"/>
                <w:snapToGrid w:val="0"/>
                <w:szCs w:val="21"/>
              </w:rPr>
              <w:t>月</w:t>
            </w:r>
            <w:r>
              <w:rPr>
                <w:rFonts w:ascii="Arial" w:eastAsia="黑体" w:hAnsi="Arial" w:cs="Arial"/>
                <w:snapToGrid w:val="0"/>
                <w:szCs w:val="21"/>
              </w:rPr>
              <w:t>30</w:t>
            </w:r>
            <w:r>
              <w:rPr>
                <w:rFonts w:ascii="Arial" w:eastAsia="黑体" w:hAnsi="Arial" w:cs="Arial"/>
                <w:snapToGrid w:val="0"/>
                <w:szCs w:val="21"/>
              </w:rPr>
              <w:t>日</w:t>
            </w:r>
            <w:r>
              <w:rPr>
                <w:rFonts w:ascii="Arial" w:eastAsia="黑体" w:hAnsi="Arial" w:cs="Arial"/>
                <w:snapToGrid w:val="0"/>
                <w:szCs w:val="21"/>
              </w:rPr>
              <w:fldChar w:fldCharType="end"/>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napToGrid w:val="0"/>
                <w:szCs w:val="21"/>
              </w:rPr>
            </w:pPr>
            <w:r>
              <w:rPr>
                <w:rFonts w:ascii="Arial" w:eastAsia="黑体" w:hAnsi="Arial" w:cs="Arial"/>
                <w:snapToGrid w:val="0"/>
                <w:szCs w:val="21"/>
              </w:rPr>
              <w:t>2022</w:t>
            </w:r>
            <w:r>
              <w:rPr>
                <w:rFonts w:ascii="Arial" w:eastAsia="黑体" w:hAnsi="Arial" w:cs="Arial"/>
                <w:snapToGrid w:val="0"/>
                <w:szCs w:val="21"/>
              </w:rPr>
              <w:t>年</w:t>
            </w:r>
            <w:r>
              <w:rPr>
                <w:rFonts w:ascii="Arial" w:eastAsia="黑体" w:hAnsi="Arial" w:cs="Arial"/>
                <w:snapToGrid w:val="0"/>
                <w:szCs w:val="21"/>
              </w:rPr>
              <w:t>12</w:t>
            </w:r>
            <w:r>
              <w:rPr>
                <w:rFonts w:ascii="Arial" w:eastAsia="黑体" w:hAnsi="Arial" w:cs="Arial"/>
                <w:snapToGrid w:val="0"/>
                <w:szCs w:val="21"/>
              </w:rPr>
              <w:t>月</w:t>
            </w:r>
            <w:r>
              <w:rPr>
                <w:rFonts w:ascii="Arial" w:eastAsia="黑体" w:hAnsi="Arial" w:cs="Arial"/>
                <w:snapToGrid w:val="0"/>
                <w:szCs w:val="21"/>
              </w:rPr>
              <w:t>31</w:t>
            </w:r>
            <w:r>
              <w:rPr>
                <w:rFonts w:ascii="Arial" w:eastAsia="黑体" w:hAnsi="Arial" w:cs="Arial"/>
                <w:snapToGrid w:val="0"/>
                <w:szCs w:val="21"/>
              </w:rPr>
              <w:t>日</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1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216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境内银行同业</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t>23,409,759,845.23</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20,651,935,888.16</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境内其他金融机构</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t>500,000,000.00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1,510,000,000.00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小计</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single" w:sz="4" w:space="0" w:color="auto"/>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t>23,909,759,845.23</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single" w:sz="4" w:space="0" w:color="auto"/>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t>22,161,935,888.16</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AD5BB5">
            <w:pPr>
              <w:kinsoku w:val="0"/>
              <w:overflowPunct w:val="0"/>
              <w:autoSpaceDE w:val="0"/>
              <w:autoSpaceDN w:val="0"/>
              <w:adjustRightInd w:val="0"/>
              <w:snapToGrid w:val="0"/>
              <w:ind w:left="315" w:hangingChars="150" w:hanging="315"/>
              <w:rPr>
                <w:rFonts w:ascii="Arial" w:eastAsia="黑体" w:hAnsi="Arial" w:cs="Arial"/>
                <w:color w:val="000000"/>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应计利息</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t>144,062,335.36</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120,032,275.70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AD5BB5">
            <w:pPr>
              <w:kinsoku w:val="0"/>
              <w:overflowPunct w:val="0"/>
              <w:autoSpaceDE w:val="0"/>
              <w:autoSpaceDN w:val="0"/>
              <w:adjustRightInd w:val="0"/>
              <w:snapToGrid w:val="0"/>
              <w:ind w:left="315" w:hangingChars="150" w:hanging="315"/>
              <w:rPr>
                <w:rFonts w:ascii="Arial" w:eastAsia="黑体" w:hAnsi="Arial" w:cs="Arial"/>
                <w:color w:val="000000"/>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合计</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doub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24,053,822,180.59</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doub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22,281,968,163.86</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bl>
    <w:p w:rsidR="00AD5BB5" w:rsidRDefault="00F87FF6">
      <w:pPr>
        <w:rPr>
          <w:rFonts w:ascii="Arial" w:eastAsia="黑体" w:hAnsi="Arial" w:cs="Arial"/>
          <w:bCs/>
          <w:snapToGrid w:val="0"/>
          <w:szCs w:val="21"/>
        </w:rPr>
      </w:pPr>
      <w:r>
        <w:rPr>
          <w:rFonts w:ascii="Arial" w:eastAsia="黑体" w:hAnsi="Arial" w:cs="Arial"/>
          <w:bCs/>
          <w:snapToGrid w:val="0"/>
          <w:szCs w:val="21"/>
        </w:rPr>
        <w:br w:type="page"/>
      </w:r>
    </w:p>
    <w:p w:rsidR="00AD5BB5" w:rsidRDefault="00AD5BB5">
      <w:pPr>
        <w:overflowPunct w:val="0"/>
        <w:autoSpaceDE w:val="0"/>
        <w:autoSpaceDN w:val="0"/>
        <w:adjustRightInd w:val="0"/>
        <w:snapToGrid w:val="0"/>
        <w:textAlignment w:val="bottom"/>
        <w:rPr>
          <w:rFonts w:ascii="Arial" w:eastAsia="黑体" w:hAnsi="Arial" w:cs="Arial"/>
          <w:bCs/>
          <w:snapToGrid w:val="0"/>
          <w:szCs w:val="21"/>
        </w:rPr>
      </w:pPr>
    </w:p>
    <w:p w:rsidR="00AD5BB5" w:rsidRDefault="00AD5BB5">
      <w:pPr>
        <w:overflowPunct w:val="0"/>
        <w:autoSpaceDE w:val="0"/>
        <w:autoSpaceDN w:val="0"/>
        <w:adjustRightInd w:val="0"/>
        <w:snapToGrid w:val="0"/>
        <w:textAlignment w:val="bottom"/>
        <w:rPr>
          <w:rFonts w:ascii="Arial" w:eastAsia="黑体" w:hAnsi="Arial" w:cs="Arial"/>
          <w:bCs/>
          <w:snapToGrid w:val="0"/>
          <w:szCs w:val="21"/>
        </w:rPr>
      </w:pPr>
    </w:p>
    <w:p w:rsidR="00AD5BB5" w:rsidRDefault="00F87FF6">
      <w:pPr>
        <w:overflowPunct w:val="0"/>
        <w:autoSpaceDE w:val="0"/>
        <w:autoSpaceDN w:val="0"/>
        <w:adjustRightInd w:val="0"/>
        <w:snapToGrid w:val="0"/>
        <w:textAlignment w:val="bottom"/>
        <w:rPr>
          <w:rFonts w:ascii="Arial" w:eastAsia="黑体" w:hAnsi="Arial" w:cs="Arial"/>
          <w:b/>
          <w:bCs/>
          <w:snapToGrid w:val="0"/>
          <w:szCs w:val="21"/>
        </w:rPr>
      </w:pPr>
      <w:bookmarkStart w:id="180" w:name="afsaddin_WithXu_45fc1d22c6f74816bd44724d"/>
      <w:r>
        <w:rPr>
          <w:rFonts w:ascii="Arial" w:eastAsia="黑体" w:hAnsi="Arial" w:cs="Arial"/>
          <w:b/>
          <w:bCs/>
          <w:snapToGrid w:val="0"/>
          <w:szCs w:val="21"/>
        </w:rPr>
        <w:t>五、</w:t>
      </w:r>
      <w:r>
        <w:rPr>
          <w:rFonts w:ascii="Arial" w:eastAsia="黑体" w:hAnsi="Arial" w:cs="Arial"/>
          <w:b/>
          <w:bCs/>
          <w:snapToGrid w:val="0"/>
          <w:szCs w:val="21"/>
        </w:rPr>
        <w:tab/>
      </w:r>
      <w:r>
        <w:rPr>
          <w:rFonts w:ascii="Arial" w:eastAsia="黑体" w:hAnsi="Arial" w:cs="Arial"/>
          <w:b/>
          <w:bCs/>
          <w:snapToGrid w:val="0"/>
          <w:szCs w:val="21"/>
        </w:rPr>
        <w:t>合并财务报表主要项目注释（续）</w:t>
      </w:r>
      <w:bookmarkEnd w:id="180"/>
    </w:p>
    <w:p w:rsidR="00AD5BB5" w:rsidRDefault="00AD5BB5">
      <w:pPr>
        <w:overflowPunct w:val="0"/>
        <w:autoSpaceDE w:val="0"/>
        <w:autoSpaceDN w:val="0"/>
        <w:adjustRightInd w:val="0"/>
        <w:snapToGrid w:val="0"/>
        <w:textAlignment w:val="bottom"/>
        <w:rPr>
          <w:rFonts w:ascii="Arial" w:eastAsia="黑体" w:hAnsi="Arial" w:cs="Arial"/>
          <w:bCs/>
          <w:snapToGrid w:val="0"/>
          <w:szCs w:val="21"/>
        </w:rPr>
      </w:pPr>
    </w:p>
    <w:p w:rsidR="00AD5BB5" w:rsidRDefault="00F87FF6">
      <w:pPr>
        <w:pStyle w:val="af5"/>
        <w:keepNext w:val="0"/>
        <w:keepLines w:val="0"/>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181" w:name="afsaddin_WithXu_967cc79f067148feb450de5b"/>
      <w:bookmarkStart w:id="182" w:name="afsaddin_Section_59683e0941c14982a8633a5"/>
      <w:bookmarkEnd w:id="181"/>
      <w:r>
        <w:rPr>
          <w:rFonts w:ascii="Arial" w:eastAsia="黑体" w:hAnsi="Arial" w:cs="Arial" w:hint="default"/>
          <w:bCs w:val="0"/>
          <w:snapToGrid w:val="0"/>
          <w:color w:val="auto"/>
          <w:sz w:val="21"/>
          <w:szCs w:val="21"/>
        </w:rPr>
        <w:t>21.</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交易性金融负债</w:t>
      </w:r>
    </w:p>
    <w:bookmarkEnd w:id="182"/>
    <w:p w:rsidR="00AD5BB5" w:rsidRDefault="00AD5BB5">
      <w:pPr>
        <w:overflowPunct w:val="0"/>
        <w:autoSpaceDE w:val="0"/>
        <w:autoSpaceDN w:val="0"/>
        <w:rPr>
          <w:rFonts w:ascii="Arial" w:eastAsia="黑体" w:hAnsi="Arial" w:cs="Arial"/>
          <w:szCs w:val="21"/>
        </w:rPr>
      </w:pPr>
    </w:p>
    <w:tbl>
      <w:tblPr>
        <w:tblW w:w="0" w:type="auto"/>
        <w:tblLayout w:type="fixed"/>
        <w:tblCellMar>
          <w:left w:w="0" w:type="dxa"/>
          <w:right w:w="0" w:type="dxa"/>
        </w:tblCellMar>
        <w:tblLook w:val="04A0" w:firstRow="1" w:lastRow="0" w:firstColumn="1" w:lastColumn="0" w:noHBand="0" w:noVBand="1"/>
        <w:tblCaption w:val="23ced46c-4aaa-4302-92c5-acc595141cc1"/>
        <w:tblDescription w:val="{&quot;UUID&quot;:&quot;afsaddin_tabledata_2_56437_23ced46c-4aaa-4302-92c5-acc595141cc1&quot;,&quot;TitleRowCount&quot;:2,&quot;SplitedTable&quot;:false,&quot;FirstTableId&quot;:&quot;23ced46c-4aaa-4302-92c5-acc595141cc1&quot;}"/>
      </w:tblPr>
      <w:tblGrid>
        <w:gridCol w:w="3502"/>
        <w:gridCol w:w="109"/>
        <w:gridCol w:w="2317"/>
        <w:gridCol w:w="110"/>
        <w:gridCol w:w="110"/>
        <w:gridCol w:w="2168"/>
        <w:gridCol w:w="110"/>
      </w:tblGrid>
      <w:tr w:rsidR="00AD5BB5">
        <w:tc>
          <w:tcPr>
            <w:tcW w:w="3502" w:type="dxa"/>
            <w:tcBorders>
              <w:top w:val="nil"/>
              <w:left w:val="nil"/>
              <w:bottom w:val="nil"/>
              <w:right w:val="nil"/>
            </w:tcBorders>
            <w:shd w:val="clear" w:color="000000" w:fill="auto"/>
            <w:noWrap/>
          </w:tcPr>
          <w:p w:rsidR="00AD5BB5" w:rsidRDefault="00AD5BB5">
            <w:pPr>
              <w:kinsoku w:val="0"/>
              <w:overflowPunct w:val="0"/>
              <w:autoSpaceDE w:val="0"/>
              <w:autoSpaceDN w:val="0"/>
              <w:adjustRightInd w:val="0"/>
              <w:snapToGrid w:val="0"/>
              <w:ind w:left="315" w:hangingChars="150" w:hanging="315"/>
              <w:jc w:val="right"/>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231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fldChar w:fldCharType="begin"/>
            </w:r>
            <w:r>
              <w:rPr>
                <w:rFonts w:ascii="Arial" w:eastAsia="黑体" w:hAnsi="Arial" w:cs="Arial"/>
                <w:color w:val="000000"/>
                <w:szCs w:val="21"/>
              </w:rPr>
              <w:instrText xml:space="preserve"> DOCPROPERTY </w:instrText>
            </w:r>
            <w:r>
              <w:rPr>
                <w:rFonts w:ascii="Arial" w:eastAsia="黑体" w:hAnsi="Arial" w:cs="Arial"/>
                <w:color w:val="000000"/>
                <w:szCs w:val="21"/>
              </w:rPr>
              <w:instrText>当期资产负债表日</w:instrText>
            </w:r>
            <w:r>
              <w:rPr>
                <w:rFonts w:ascii="Arial" w:eastAsia="黑体" w:hAnsi="Arial" w:cs="Arial"/>
                <w:color w:val="000000"/>
                <w:szCs w:val="21"/>
              </w:rPr>
              <w:instrText xml:space="preserve"> </w:instrText>
            </w:r>
            <w:r>
              <w:rPr>
                <w:rFonts w:ascii="Arial" w:eastAsia="黑体" w:hAnsi="Arial" w:cs="Arial"/>
                <w:color w:val="000000"/>
                <w:szCs w:val="21"/>
              </w:rPr>
              <w:fldChar w:fldCharType="separate"/>
            </w:r>
            <w:r>
              <w:rPr>
                <w:rFonts w:ascii="Arial" w:eastAsia="黑体" w:hAnsi="Arial" w:cs="Arial"/>
                <w:color w:val="000000"/>
                <w:szCs w:val="21"/>
              </w:rPr>
              <w:t>2023</w:t>
            </w:r>
            <w:r>
              <w:rPr>
                <w:rFonts w:ascii="Arial" w:eastAsia="黑体" w:hAnsi="Arial" w:cs="Arial"/>
                <w:color w:val="000000"/>
                <w:szCs w:val="21"/>
              </w:rPr>
              <w:t>年</w:t>
            </w:r>
            <w:r>
              <w:rPr>
                <w:rFonts w:ascii="Arial" w:eastAsia="黑体" w:hAnsi="Arial" w:cs="Arial"/>
                <w:color w:val="000000"/>
                <w:szCs w:val="21"/>
              </w:rPr>
              <w:t>6</w:t>
            </w:r>
            <w:r>
              <w:rPr>
                <w:rFonts w:ascii="Arial" w:eastAsia="黑体" w:hAnsi="Arial" w:cs="Arial"/>
                <w:color w:val="000000"/>
                <w:szCs w:val="21"/>
              </w:rPr>
              <w:t>月</w:t>
            </w:r>
            <w:r>
              <w:rPr>
                <w:rFonts w:ascii="Arial" w:eastAsia="黑体" w:hAnsi="Arial" w:cs="Arial"/>
                <w:color w:val="000000"/>
                <w:szCs w:val="21"/>
              </w:rPr>
              <w:t>30</w:t>
            </w:r>
            <w:r>
              <w:rPr>
                <w:rFonts w:ascii="Arial" w:eastAsia="黑体" w:hAnsi="Arial" w:cs="Arial"/>
                <w:color w:val="000000"/>
                <w:szCs w:val="21"/>
              </w:rPr>
              <w:t>日</w:t>
            </w:r>
            <w:r>
              <w:rPr>
                <w:rFonts w:ascii="Arial" w:eastAsia="黑体" w:hAnsi="Arial" w:cs="Arial"/>
                <w:color w:val="000000"/>
                <w:szCs w:val="21"/>
              </w:rPr>
              <w:fldChar w:fldCharType="end"/>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216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2022</w:t>
            </w:r>
            <w:r>
              <w:rPr>
                <w:rFonts w:ascii="Arial" w:eastAsia="黑体" w:hAnsi="Arial" w:cs="Arial"/>
                <w:color w:val="000000"/>
                <w:szCs w:val="21"/>
              </w:rPr>
              <w:t>年</w:t>
            </w:r>
            <w:r>
              <w:rPr>
                <w:rFonts w:ascii="Arial" w:eastAsia="黑体" w:hAnsi="Arial" w:cs="Arial"/>
                <w:color w:val="000000"/>
                <w:szCs w:val="21"/>
              </w:rPr>
              <w:t>12</w:t>
            </w:r>
            <w:r>
              <w:rPr>
                <w:rFonts w:ascii="Arial" w:eastAsia="黑体" w:hAnsi="Arial" w:cs="Arial"/>
                <w:color w:val="000000"/>
                <w:szCs w:val="21"/>
              </w:rPr>
              <w:t>月</w:t>
            </w:r>
            <w:r>
              <w:rPr>
                <w:rFonts w:ascii="Arial" w:eastAsia="黑体" w:hAnsi="Arial" w:cs="Arial"/>
                <w:color w:val="000000"/>
                <w:szCs w:val="21"/>
              </w:rPr>
              <w:t>31</w:t>
            </w:r>
            <w:r>
              <w:rPr>
                <w:rFonts w:ascii="Arial" w:eastAsia="黑体" w:hAnsi="Arial" w:cs="Arial"/>
                <w:color w:val="000000"/>
                <w:szCs w:val="21"/>
              </w:rPr>
              <w:t>日</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r>
      <w:tr w:rsidR="00AD5BB5">
        <w:tc>
          <w:tcPr>
            <w:tcW w:w="3502" w:type="dxa"/>
            <w:tcBorders>
              <w:top w:val="nil"/>
              <w:left w:val="nil"/>
              <w:bottom w:val="nil"/>
              <w:right w:val="nil"/>
            </w:tcBorders>
            <w:shd w:val="clear" w:color="000000" w:fill="auto"/>
            <w:noWrap/>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17"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2168"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r>
      <w:tr w:rsidR="00AD5BB5">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Chars="41" w:left="296" w:hangingChars="100" w:hanging="210"/>
              <w:rPr>
                <w:rFonts w:ascii="Arial" w:eastAsia="黑体" w:hAnsi="Arial" w:cs="Arial"/>
                <w:snapToGrid w:val="0"/>
                <w:szCs w:val="21"/>
              </w:rPr>
            </w:pPr>
            <w:r>
              <w:rPr>
                <w:rFonts w:ascii="Arial" w:eastAsia="黑体" w:hAnsi="Arial" w:cs="Arial"/>
                <w:snapToGrid w:val="0"/>
                <w:szCs w:val="21"/>
              </w:rPr>
              <w:t>以公允价值计量且其变动</w:t>
            </w:r>
          </w:p>
          <w:p w:rsidR="00AD5BB5" w:rsidRDefault="00F87FF6">
            <w:pPr>
              <w:kinsoku w:val="0"/>
              <w:overflowPunct w:val="0"/>
              <w:autoSpaceDE w:val="0"/>
              <w:autoSpaceDN w:val="0"/>
              <w:adjustRightInd w:val="0"/>
              <w:snapToGrid w:val="0"/>
              <w:ind w:leftChars="41" w:left="506" w:hangingChars="200" w:hanging="420"/>
              <w:rPr>
                <w:rFonts w:ascii="Arial" w:eastAsia="黑体" w:hAnsi="Arial" w:cs="Arial"/>
                <w:snapToGrid w:val="0"/>
                <w:szCs w:val="21"/>
              </w:rPr>
            </w:pPr>
            <w:r>
              <w:rPr>
                <w:rFonts w:ascii="Arial" w:eastAsia="黑体" w:hAnsi="Arial" w:cs="Arial"/>
                <w:snapToGrid w:val="0"/>
                <w:szCs w:val="21"/>
              </w:rPr>
              <w:t xml:space="preserve">  </w:t>
            </w:r>
            <w:r>
              <w:rPr>
                <w:rFonts w:ascii="Arial" w:eastAsia="黑体" w:hAnsi="Arial" w:cs="Arial"/>
                <w:snapToGrid w:val="0"/>
                <w:szCs w:val="21"/>
              </w:rPr>
              <w:t>计入当期损益的金融负债</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Chars="47" w:left="519" w:hangingChars="200" w:hanging="420"/>
              <w:rPr>
                <w:rFonts w:ascii="Arial" w:eastAsia="黑体" w:hAnsi="Arial" w:cs="Arial"/>
                <w:snapToGrid w:val="0"/>
                <w:szCs w:val="21"/>
              </w:rPr>
            </w:pPr>
            <w:r>
              <w:rPr>
                <w:rFonts w:ascii="Arial" w:eastAsia="黑体" w:hAnsi="Arial" w:cs="Arial"/>
                <w:snapToGrid w:val="0"/>
                <w:szCs w:val="21"/>
              </w:rPr>
              <w:t>黄金存管业务</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986,955.25</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2,849,303.95</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420" w:hangingChars="200" w:hanging="420"/>
              <w:rPr>
                <w:rFonts w:ascii="Arial" w:eastAsia="黑体" w:hAnsi="Arial" w:cs="Arial"/>
                <w:snapToGrid w:val="0"/>
                <w:szCs w:val="21"/>
              </w:rPr>
            </w:pPr>
            <w:r>
              <w:rPr>
                <w:rFonts w:ascii="Arial" w:eastAsia="黑体" w:hAnsi="Arial" w:cs="Arial"/>
              </w:rPr>
              <w:t xml:space="preserve">  </w:t>
            </w:r>
            <w:r>
              <w:rPr>
                <w:rFonts w:ascii="Arial" w:eastAsia="黑体" w:hAnsi="Arial" w:cs="Arial"/>
              </w:rPr>
              <w:t>债券借贷融入卖出业务</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102,138,486.30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502" w:type="dxa"/>
            <w:tcBorders>
              <w:top w:val="nil"/>
              <w:left w:val="nil"/>
              <w:bottom w:val="nil"/>
              <w:right w:val="nil"/>
            </w:tcBorders>
            <w:shd w:val="clear" w:color="000000" w:fill="auto"/>
            <w:noWrap/>
          </w:tcPr>
          <w:p w:rsidR="00AD5BB5" w:rsidRDefault="00AD5BB5">
            <w:pPr>
              <w:kinsoku w:val="0"/>
              <w:overflowPunct w:val="0"/>
              <w:autoSpaceDE w:val="0"/>
              <w:autoSpaceDN w:val="0"/>
              <w:adjustRightInd w:val="0"/>
              <w:snapToGrid w:val="0"/>
              <w:ind w:left="315" w:hangingChars="150" w:hanging="315"/>
              <w:rPr>
                <w:rFonts w:ascii="Arial" w:eastAsia="黑体" w:hAnsi="Arial" w:cs="Arial"/>
                <w:snapToGrid w:val="0"/>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合计</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103,125,441.55</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2,849,303.95</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bl>
    <w:p w:rsidR="00AD5BB5" w:rsidRDefault="00AD5BB5">
      <w:pPr>
        <w:tabs>
          <w:tab w:val="decimal" w:pos="4560"/>
          <w:tab w:val="decimal" w:pos="6240"/>
          <w:tab w:val="decimal" w:pos="6600"/>
          <w:tab w:val="decimal" w:pos="8280"/>
        </w:tabs>
        <w:overflowPunct w:val="0"/>
        <w:autoSpaceDE w:val="0"/>
        <w:autoSpaceDN w:val="0"/>
        <w:adjustRightInd w:val="0"/>
        <w:snapToGrid w:val="0"/>
        <w:textAlignment w:val="bottom"/>
        <w:rPr>
          <w:rFonts w:ascii="Arial" w:eastAsia="黑体" w:hAnsi="Arial" w:cs="Arial"/>
          <w:snapToGrid w:val="0"/>
          <w:szCs w:val="21"/>
        </w:rPr>
      </w:pPr>
    </w:p>
    <w:p w:rsidR="00AD5BB5" w:rsidRDefault="00F87FF6">
      <w:pPr>
        <w:tabs>
          <w:tab w:val="decimal" w:pos="4560"/>
          <w:tab w:val="decimal" w:pos="6240"/>
          <w:tab w:val="decimal" w:pos="6600"/>
          <w:tab w:val="decimal" w:pos="8280"/>
        </w:tabs>
        <w:overflowPunct w:val="0"/>
        <w:autoSpaceDE w:val="0"/>
        <w:autoSpaceDN w:val="0"/>
        <w:adjustRightInd w:val="0"/>
        <w:snapToGrid w:val="0"/>
        <w:textAlignment w:val="bottom"/>
        <w:rPr>
          <w:rFonts w:ascii="Arial" w:eastAsia="黑体" w:hAnsi="Arial" w:cs="Arial"/>
          <w:snapToGrid w:val="0"/>
          <w:szCs w:val="21"/>
        </w:rPr>
      </w:pPr>
      <w:r>
        <w:rPr>
          <w:rFonts w:ascii="Arial" w:eastAsia="黑体" w:hAnsi="Arial" w:cs="Arial"/>
          <w:snapToGrid w:val="0"/>
          <w:szCs w:val="21"/>
        </w:rPr>
        <w:t>于</w:t>
      </w: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当期资产负债表日</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2023</w:t>
      </w:r>
      <w:r>
        <w:rPr>
          <w:rFonts w:ascii="Arial" w:eastAsia="黑体" w:hAnsi="Arial" w:cs="Arial"/>
          <w:snapToGrid w:val="0"/>
          <w:szCs w:val="21"/>
        </w:rPr>
        <w:t>年</w:t>
      </w:r>
      <w:r>
        <w:rPr>
          <w:rFonts w:ascii="Arial" w:eastAsia="黑体" w:hAnsi="Arial" w:cs="Arial"/>
          <w:snapToGrid w:val="0"/>
          <w:szCs w:val="21"/>
        </w:rPr>
        <w:t>6</w:t>
      </w:r>
      <w:r>
        <w:rPr>
          <w:rFonts w:ascii="Arial" w:eastAsia="黑体" w:hAnsi="Arial" w:cs="Arial"/>
          <w:snapToGrid w:val="0"/>
          <w:szCs w:val="21"/>
        </w:rPr>
        <w:t>月</w:t>
      </w:r>
      <w:r>
        <w:rPr>
          <w:rFonts w:ascii="Arial" w:eastAsia="黑体" w:hAnsi="Arial" w:cs="Arial"/>
          <w:snapToGrid w:val="0"/>
          <w:szCs w:val="21"/>
        </w:rPr>
        <w:t>30</w:t>
      </w:r>
      <w:r>
        <w:rPr>
          <w:rFonts w:ascii="Arial" w:eastAsia="黑体" w:hAnsi="Arial" w:cs="Arial"/>
          <w:snapToGrid w:val="0"/>
          <w:szCs w:val="21"/>
        </w:rPr>
        <w:t>日</w:t>
      </w:r>
      <w:r>
        <w:rPr>
          <w:rFonts w:ascii="Arial" w:eastAsia="黑体" w:hAnsi="Arial" w:cs="Arial"/>
          <w:snapToGrid w:val="0"/>
          <w:szCs w:val="21"/>
        </w:rPr>
        <w:fldChar w:fldCharType="end"/>
      </w:r>
      <w:r>
        <w:rPr>
          <w:rFonts w:ascii="Arial" w:eastAsia="黑体" w:hAnsi="Arial" w:cs="Arial"/>
          <w:snapToGrid w:val="0"/>
          <w:szCs w:val="21"/>
        </w:rPr>
        <w:t>和</w:t>
      </w: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上期资产负债表日</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2022</w:t>
      </w:r>
      <w:r>
        <w:rPr>
          <w:rFonts w:ascii="Arial" w:eastAsia="黑体" w:hAnsi="Arial" w:cs="Arial"/>
          <w:snapToGrid w:val="0"/>
          <w:szCs w:val="21"/>
        </w:rPr>
        <w:t>年</w:t>
      </w:r>
      <w:r>
        <w:rPr>
          <w:rFonts w:ascii="Arial" w:eastAsia="黑体" w:hAnsi="Arial" w:cs="Arial"/>
          <w:snapToGrid w:val="0"/>
          <w:szCs w:val="21"/>
        </w:rPr>
        <w:t>12</w:t>
      </w:r>
      <w:r>
        <w:rPr>
          <w:rFonts w:ascii="Arial" w:eastAsia="黑体" w:hAnsi="Arial" w:cs="Arial"/>
          <w:snapToGrid w:val="0"/>
          <w:szCs w:val="21"/>
        </w:rPr>
        <w:t>月</w:t>
      </w:r>
      <w:r>
        <w:rPr>
          <w:rFonts w:ascii="Arial" w:eastAsia="黑体" w:hAnsi="Arial" w:cs="Arial"/>
          <w:snapToGrid w:val="0"/>
          <w:szCs w:val="21"/>
        </w:rPr>
        <w:t>31</w:t>
      </w:r>
      <w:r>
        <w:rPr>
          <w:rFonts w:ascii="Arial" w:eastAsia="黑体" w:hAnsi="Arial" w:cs="Arial"/>
          <w:snapToGrid w:val="0"/>
          <w:szCs w:val="21"/>
        </w:rPr>
        <w:t>日</w:t>
      </w:r>
      <w:r>
        <w:rPr>
          <w:rFonts w:ascii="Arial" w:eastAsia="黑体" w:hAnsi="Arial" w:cs="Arial"/>
          <w:snapToGrid w:val="0"/>
          <w:szCs w:val="21"/>
        </w:rPr>
        <w:fldChar w:fldCharType="end"/>
      </w:r>
      <w:r>
        <w:rPr>
          <w:rFonts w:ascii="Arial" w:eastAsia="黑体" w:hAnsi="Arial" w:cs="Arial"/>
          <w:snapToGrid w:val="0"/>
          <w:szCs w:val="21"/>
        </w:rPr>
        <w:t>，本集团无指定为以公允价值计量且其变动计入当期损益的交易性金融负债。</w:t>
      </w:r>
    </w:p>
    <w:p w:rsidR="00AD5BB5" w:rsidRDefault="00AD5BB5">
      <w:pPr>
        <w:tabs>
          <w:tab w:val="decimal" w:pos="4560"/>
          <w:tab w:val="decimal" w:pos="6240"/>
          <w:tab w:val="decimal" w:pos="6600"/>
          <w:tab w:val="decimal" w:pos="8280"/>
        </w:tabs>
        <w:overflowPunct w:val="0"/>
        <w:autoSpaceDE w:val="0"/>
        <w:autoSpaceDN w:val="0"/>
        <w:adjustRightInd w:val="0"/>
        <w:snapToGrid w:val="0"/>
        <w:textAlignment w:val="bottom"/>
        <w:rPr>
          <w:rFonts w:ascii="Arial" w:eastAsia="黑体" w:hAnsi="Arial" w:cs="Arial"/>
          <w:snapToGrid w:val="0"/>
          <w:szCs w:val="21"/>
        </w:rPr>
      </w:pPr>
    </w:p>
    <w:p w:rsidR="00AD5BB5" w:rsidRDefault="00F87FF6">
      <w:pPr>
        <w:pStyle w:val="af5"/>
        <w:keepNext w:val="0"/>
        <w:keepLines w:val="0"/>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183" w:name="afsaddin_Section_5b9e16f54bca47cf9afb248"/>
      <w:r>
        <w:rPr>
          <w:rFonts w:ascii="Arial" w:eastAsia="黑体" w:hAnsi="Arial" w:cs="Arial" w:hint="default"/>
          <w:bCs w:val="0"/>
          <w:snapToGrid w:val="0"/>
          <w:color w:val="auto"/>
          <w:sz w:val="21"/>
          <w:szCs w:val="21"/>
        </w:rPr>
        <w:t>22.</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卖出回购金融资产款</w:t>
      </w:r>
    </w:p>
    <w:bookmarkEnd w:id="183"/>
    <w:p w:rsidR="00AD5BB5" w:rsidRDefault="00AD5BB5">
      <w:pPr>
        <w:overflowPunct w:val="0"/>
        <w:autoSpaceDE w:val="0"/>
        <w:autoSpaceDN w:val="0"/>
        <w:adjustRightInd w:val="0"/>
        <w:snapToGrid w:val="0"/>
        <w:textAlignment w:val="bottom"/>
        <w:rPr>
          <w:rFonts w:ascii="Arial" w:eastAsia="黑体" w:hAnsi="Arial" w:cs="Arial"/>
          <w:bCs/>
          <w:szCs w:val="21"/>
        </w:rPr>
      </w:pPr>
    </w:p>
    <w:tbl>
      <w:tblPr>
        <w:tblW w:w="0" w:type="auto"/>
        <w:tblLayout w:type="fixed"/>
        <w:tblCellMar>
          <w:left w:w="0" w:type="dxa"/>
          <w:right w:w="0" w:type="dxa"/>
        </w:tblCellMar>
        <w:tblLook w:val="04A0" w:firstRow="1" w:lastRow="0" w:firstColumn="1" w:lastColumn="0" w:noHBand="0" w:noVBand="1"/>
        <w:tblCaption w:val="ed27866b-9ef7-43a1-b777-c96c0ff93b11"/>
        <w:tblDescription w:val="{&quot;UUID&quot;:&quot;afsaddin_tabledata_2_56437_ed27866b-9ef7-43a1-b777-c96c0ff93b11&quot;,&quot;TitleRowCount&quot;:2,&quot;SplitedTable&quot;:false,&quot;FirstTableId&quot;:&quot;ed27866b-9ef7-43a1-b777-c96c0ff93b11&quot;}"/>
      </w:tblPr>
      <w:tblGrid>
        <w:gridCol w:w="3502"/>
        <w:gridCol w:w="109"/>
        <w:gridCol w:w="2317"/>
        <w:gridCol w:w="110"/>
        <w:gridCol w:w="110"/>
        <w:gridCol w:w="2168"/>
        <w:gridCol w:w="110"/>
      </w:tblGrid>
      <w:tr w:rsidR="00AD5BB5">
        <w:trPr>
          <w:trHeight w:val="170"/>
        </w:trPr>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按担保物类别分析：</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napToGrid w:val="0"/>
                <w:szCs w:val="21"/>
              </w:rPr>
            </w:pP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当期资产负债表日</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2023</w:t>
            </w:r>
            <w:r>
              <w:rPr>
                <w:rFonts w:ascii="Arial" w:eastAsia="黑体" w:hAnsi="Arial" w:cs="Arial"/>
                <w:snapToGrid w:val="0"/>
                <w:szCs w:val="21"/>
              </w:rPr>
              <w:t>年</w:t>
            </w:r>
            <w:r>
              <w:rPr>
                <w:rFonts w:ascii="Arial" w:eastAsia="黑体" w:hAnsi="Arial" w:cs="Arial"/>
                <w:snapToGrid w:val="0"/>
                <w:szCs w:val="21"/>
              </w:rPr>
              <w:t>6</w:t>
            </w:r>
            <w:r>
              <w:rPr>
                <w:rFonts w:ascii="Arial" w:eastAsia="黑体" w:hAnsi="Arial" w:cs="Arial"/>
                <w:snapToGrid w:val="0"/>
                <w:szCs w:val="21"/>
              </w:rPr>
              <w:t>月</w:t>
            </w:r>
            <w:r>
              <w:rPr>
                <w:rFonts w:ascii="Arial" w:eastAsia="黑体" w:hAnsi="Arial" w:cs="Arial"/>
                <w:snapToGrid w:val="0"/>
                <w:szCs w:val="21"/>
              </w:rPr>
              <w:t>30</w:t>
            </w:r>
            <w:r>
              <w:rPr>
                <w:rFonts w:ascii="Arial" w:eastAsia="黑体" w:hAnsi="Arial" w:cs="Arial"/>
                <w:snapToGrid w:val="0"/>
                <w:szCs w:val="21"/>
              </w:rPr>
              <w:t>日</w:t>
            </w:r>
            <w:r>
              <w:rPr>
                <w:rFonts w:ascii="Arial" w:eastAsia="黑体" w:hAnsi="Arial" w:cs="Arial"/>
                <w:snapToGrid w:val="0"/>
                <w:szCs w:val="21"/>
              </w:rPr>
              <w:fldChar w:fldCharType="end"/>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napToGrid w:val="0"/>
                <w:szCs w:val="21"/>
              </w:rPr>
            </w:pPr>
            <w:r>
              <w:rPr>
                <w:rFonts w:ascii="Arial" w:eastAsia="黑体" w:hAnsi="Arial" w:cs="Arial"/>
                <w:snapToGrid w:val="0"/>
                <w:szCs w:val="21"/>
              </w:rPr>
              <w:t>2022</w:t>
            </w:r>
            <w:r>
              <w:rPr>
                <w:rFonts w:ascii="Arial" w:eastAsia="黑体" w:hAnsi="Arial" w:cs="Arial"/>
                <w:snapToGrid w:val="0"/>
                <w:szCs w:val="21"/>
              </w:rPr>
              <w:t>年</w:t>
            </w:r>
            <w:r>
              <w:rPr>
                <w:rFonts w:ascii="Arial" w:eastAsia="黑体" w:hAnsi="Arial" w:cs="Arial"/>
                <w:snapToGrid w:val="0"/>
                <w:szCs w:val="21"/>
              </w:rPr>
              <w:t>12</w:t>
            </w:r>
            <w:r>
              <w:rPr>
                <w:rFonts w:ascii="Arial" w:eastAsia="黑体" w:hAnsi="Arial" w:cs="Arial"/>
                <w:snapToGrid w:val="0"/>
                <w:szCs w:val="21"/>
              </w:rPr>
              <w:t>月</w:t>
            </w:r>
            <w:r>
              <w:rPr>
                <w:rFonts w:ascii="Arial" w:eastAsia="黑体" w:hAnsi="Arial" w:cs="Arial"/>
                <w:snapToGrid w:val="0"/>
                <w:szCs w:val="21"/>
              </w:rPr>
              <w:t>31</w:t>
            </w:r>
            <w:r>
              <w:rPr>
                <w:rFonts w:ascii="Arial" w:eastAsia="黑体" w:hAnsi="Arial" w:cs="Arial"/>
                <w:snapToGrid w:val="0"/>
                <w:szCs w:val="21"/>
              </w:rPr>
              <w:t>日</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1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216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债券</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Chars="94" w:left="407" w:hangingChars="100" w:hanging="210"/>
              <w:rPr>
                <w:rFonts w:ascii="Arial" w:eastAsia="黑体" w:hAnsi="Arial" w:cs="Arial"/>
                <w:snapToGrid w:val="0"/>
                <w:szCs w:val="21"/>
              </w:rPr>
            </w:pPr>
            <w:r>
              <w:rPr>
                <w:rFonts w:ascii="Arial" w:eastAsia="黑体" w:hAnsi="Arial" w:cs="Arial"/>
                <w:snapToGrid w:val="0"/>
                <w:szCs w:val="21"/>
              </w:rPr>
              <w:t>政府债券</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10,597,200,000.00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12,616,200,000.00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Chars="94" w:left="407" w:hangingChars="100" w:hanging="210"/>
              <w:rPr>
                <w:rFonts w:ascii="Arial" w:eastAsia="黑体" w:hAnsi="Arial" w:cs="Arial"/>
                <w:snapToGrid w:val="0"/>
                <w:szCs w:val="21"/>
              </w:rPr>
            </w:pPr>
            <w:r>
              <w:rPr>
                <w:rFonts w:ascii="Arial" w:eastAsia="黑体" w:hAnsi="Arial" w:cs="Arial"/>
                <w:snapToGrid w:val="0"/>
                <w:szCs w:val="21"/>
              </w:rPr>
              <w:t>政策性金融债券</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500,000,000.00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Chars="94" w:left="407" w:hangingChars="100" w:hanging="210"/>
              <w:rPr>
                <w:rFonts w:ascii="Arial" w:eastAsia="黑体" w:hAnsi="Arial" w:cs="Arial"/>
                <w:snapToGrid w:val="0"/>
                <w:szCs w:val="21"/>
              </w:rPr>
            </w:pPr>
            <w:r>
              <w:rPr>
                <w:rFonts w:ascii="Arial" w:eastAsia="黑体" w:hAnsi="Arial" w:cs="Arial"/>
                <w:snapToGrid w:val="0"/>
                <w:szCs w:val="21"/>
              </w:rPr>
              <w:t>银行承兑汇票</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2,684,572,316.93</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6,725,872,172.72</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小计</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single" w:sz="4" w:space="0" w:color="auto"/>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13,281,772,316.93</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single" w:sz="4" w:space="0" w:color="auto"/>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19,842,072,172.72</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AD5BB5">
            <w:pPr>
              <w:kinsoku w:val="0"/>
              <w:overflowPunct w:val="0"/>
              <w:autoSpaceDE w:val="0"/>
              <w:autoSpaceDN w:val="0"/>
              <w:adjustRightInd w:val="0"/>
              <w:snapToGrid w:val="0"/>
              <w:ind w:left="315" w:hangingChars="150" w:hanging="315"/>
              <w:rPr>
                <w:rFonts w:ascii="Arial" w:eastAsia="黑体" w:hAnsi="Arial" w:cs="Arial"/>
                <w:color w:val="000000"/>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应计利息</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1,046,655.90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9,749,155.25</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AD5BB5">
            <w:pPr>
              <w:kinsoku w:val="0"/>
              <w:overflowPunct w:val="0"/>
              <w:autoSpaceDE w:val="0"/>
              <w:autoSpaceDN w:val="0"/>
              <w:adjustRightInd w:val="0"/>
              <w:snapToGrid w:val="0"/>
              <w:ind w:left="315" w:hangingChars="150" w:hanging="315"/>
              <w:rPr>
                <w:rFonts w:ascii="Arial" w:eastAsia="黑体" w:hAnsi="Arial" w:cs="Arial"/>
                <w:color w:val="000000"/>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合计</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doub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13,282,818,972.83</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doub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19,851,821,327.97</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bl>
    <w:p w:rsidR="00AD5BB5" w:rsidRDefault="00AD5BB5">
      <w:pPr>
        <w:overflowPunct w:val="0"/>
        <w:autoSpaceDE w:val="0"/>
        <w:autoSpaceDN w:val="0"/>
        <w:adjustRightInd w:val="0"/>
        <w:snapToGrid w:val="0"/>
        <w:textAlignment w:val="bottom"/>
        <w:rPr>
          <w:rFonts w:ascii="Arial" w:eastAsia="黑体" w:hAnsi="Arial" w:cs="Arial"/>
          <w:bCs/>
          <w:szCs w:val="21"/>
        </w:rPr>
      </w:pPr>
    </w:p>
    <w:tbl>
      <w:tblPr>
        <w:tblW w:w="0" w:type="auto"/>
        <w:tblLayout w:type="fixed"/>
        <w:tblCellMar>
          <w:left w:w="0" w:type="dxa"/>
          <w:right w:w="0" w:type="dxa"/>
        </w:tblCellMar>
        <w:tblLook w:val="04A0" w:firstRow="1" w:lastRow="0" w:firstColumn="1" w:lastColumn="0" w:noHBand="0" w:noVBand="1"/>
        <w:tblCaption w:val="feaaf2b8-d821-4bb9-a4e3-dce1c4fbc337"/>
        <w:tblDescription w:val="{&quot;UUID&quot;:&quot;afsaddin_tabledata_2_56437_feaaf2b8-d821-4bb9-a4e3-dce1c4fbc337&quot;,&quot;TitleRowCount&quot;:2,&quot;SplitedTable&quot;:false,&quot;FirstTableId&quot;:&quot;feaaf2b8-d821-4bb9-a4e3-dce1c4fbc337&quot;}"/>
      </w:tblPr>
      <w:tblGrid>
        <w:gridCol w:w="3502"/>
        <w:gridCol w:w="109"/>
        <w:gridCol w:w="2317"/>
        <w:gridCol w:w="110"/>
        <w:gridCol w:w="110"/>
        <w:gridCol w:w="2168"/>
        <w:gridCol w:w="110"/>
      </w:tblGrid>
      <w:tr w:rsidR="00AD5BB5">
        <w:trPr>
          <w:trHeight w:val="170"/>
        </w:trPr>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按交易对手类别分析：</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napToGrid w:val="0"/>
                <w:szCs w:val="21"/>
              </w:rPr>
            </w:pP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当期资产负债表日</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2023</w:t>
            </w:r>
            <w:r>
              <w:rPr>
                <w:rFonts w:ascii="Arial" w:eastAsia="黑体" w:hAnsi="Arial" w:cs="Arial"/>
                <w:snapToGrid w:val="0"/>
                <w:szCs w:val="21"/>
              </w:rPr>
              <w:t>年</w:t>
            </w:r>
            <w:r>
              <w:rPr>
                <w:rFonts w:ascii="Arial" w:eastAsia="黑体" w:hAnsi="Arial" w:cs="Arial"/>
                <w:snapToGrid w:val="0"/>
                <w:szCs w:val="21"/>
              </w:rPr>
              <w:t>6</w:t>
            </w:r>
            <w:r>
              <w:rPr>
                <w:rFonts w:ascii="Arial" w:eastAsia="黑体" w:hAnsi="Arial" w:cs="Arial"/>
                <w:snapToGrid w:val="0"/>
                <w:szCs w:val="21"/>
              </w:rPr>
              <w:t>月</w:t>
            </w:r>
            <w:r>
              <w:rPr>
                <w:rFonts w:ascii="Arial" w:eastAsia="黑体" w:hAnsi="Arial" w:cs="Arial"/>
                <w:snapToGrid w:val="0"/>
                <w:szCs w:val="21"/>
              </w:rPr>
              <w:t>30</w:t>
            </w:r>
            <w:r>
              <w:rPr>
                <w:rFonts w:ascii="Arial" w:eastAsia="黑体" w:hAnsi="Arial" w:cs="Arial"/>
                <w:snapToGrid w:val="0"/>
                <w:szCs w:val="21"/>
              </w:rPr>
              <w:t>日</w:t>
            </w:r>
            <w:r>
              <w:rPr>
                <w:rFonts w:ascii="Arial" w:eastAsia="黑体" w:hAnsi="Arial" w:cs="Arial"/>
                <w:snapToGrid w:val="0"/>
                <w:szCs w:val="21"/>
              </w:rPr>
              <w:fldChar w:fldCharType="end"/>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216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napToGrid w:val="0"/>
                <w:szCs w:val="21"/>
              </w:rPr>
            </w:pPr>
            <w:r>
              <w:rPr>
                <w:rFonts w:ascii="Arial" w:eastAsia="黑体" w:hAnsi="Arial" w:cs="Arial"/>
                <w:snapToGrid w:val="0"/>
                <w:szCs w:val="21"/>
              </w:rPr>
              <w:t>2022</w:t>
            </w:r>
            <w:r>
              <w:rPr>
                <w:rFonts w:ascii="Arial" w:eastAsia="黑体" w:hAnsi="Arial" w:cs="Arial"/>
                <w:snapToGrid w:val="0"/>
                <w:szCs w:val="21"/>
              </w:rPr>
              <w:t>年</w:t>
            </w:r>
            <w:r>
              <w:rPr>
                <w:rFonts w:ascii="Arial" w:eastAsia="黑体" w:hAnsi="Arial" w:cs="Arial"/>
                <w:snapToGrid w:val="0"/>
                <w:szCs w:val="21"/>
              </w:rPr>
              <w:t>12</w:t>
            </w:r>
            <w:r>
              <w:rPr>
                <w:rFonts w:ascii="Arial" w:eastAsia="黑体" w:hAnsi="Arial" w:cs="Arial"/>
                <w:snapToGrid w:val="0"/>
                <w:szCs w:val="21"/>
              </w:rPr>
              <w:t>月</w:t>
            </w:r>
            <w:r>
              <w:rPr>
                <w:rFonts w:ascii="Arial" w:eastAsia="黑体" w:hAnsi="Arial" w:cs="Arial"/>
                <w:snapToGrid w:val="0"/>
                <w:szCs w:val="21"/>
              </w:rPr>
              <w:t>31</w:t>
            </w:r>
            <w:r>
              <w:rPr>
                <w:rFonts w:ascii="Arial" w:eastAsia="黑体" w:hAnsi="Arial" w:cs="Arial"/>
                <w:snapToGrid w:val="0"/>
                <w:szCs w:val="21"/>
              </w:rPr>
              <w:t>日</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17"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2168"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r>
      <w:tr w:rsidR="00AD5BB5">
        <w:trPr>
          <w:trHeight w:val="259"/>
        </w:trPr>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中国人民银行</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2,684,572,316.93</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2,623,487,593.73</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境内银行同业</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10,597,200,000.00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17,218,584,578.99</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小计</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single" w:sz="4" w:space="0" w:color="auto"/>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13,281,772,316.93</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single" w:sz="4" w:space="0" w:color="auto"/>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19,842,072,172.72</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AD5BB5">
            <w:pPr>
              <w:kinsoku w:val="0"/>
              <w:overflowPunct w:val="0"/>
              <w:autoSpaceDE w:val="0"/>
              <w:autoSpaceDN w:val="0"/>
              <w:adjustRightInd w:val="0"/>
              <w:snapToGrid w:val="0"/>
              <w:ind w:left="315" w:hangingChars="150" w:hanging="315"/>
              <w:rPr>
                <w:rFonts w:ascii="Arial" w:eastAsia="黑体" w:hAnsi="Arial" w:cs="Arial"/>
                <w:color w:val="000000"/>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应计利息</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1,046,655.90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9,749,155.25</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AD5BB5">
            <w:pPr>
              <w:kinsoku w:val="0"/>
              <w:overflowPunct w:val="0"/>
              <w:autoSpaceDE w:val="0"/>
              <w:autoSpaceDN w:val="0"/>
              <w:adjustRightInd w:val="0"/>
              <w:snapToGrid w:val="0"/>
              <w:ind w:left="315" w:hangingChars="150" w:hanging="315"/>
              <w:rPr>
                <w:rFonts w:ascii="Arial" w:eastAsia="黑体" w:hAnsi="Arial" w:cs="Arial"/>
                <w:color w:val="000000"/>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合计</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13,282,818,972.83</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19,851,821,327.97</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bl>
    <w:p w:rsidR="00AD5BB5" w:rsidRDefault="00F87FF6">
      <w:pPr>
        <w:rPr>
          <w:rFonts w:ascii="Arial" w:eastAsia="黑体" w:hAnsi="Arial" w:cs="Arial"/>
          <w:bCs/>
          <w:szCs w:val="21"/>
        </w:rPr>
      </w:pPr>
      <w:r>
        <w:rPr>
          <w:rFonts w:ascii="Arial" w:eastAsia="黑体" w:hAnsi="Arial" w:cs="Arial"/>
          <w:bCs/>
          <w:szCs w:val="21"/>
        </w:rPr>
        <w:br w:type="page"/>
      </w:r>
    </w:p>
    <w:p w:rsidR="00AD5BB5" w:rsidRDefault="00AD5BB5">
      <w:pPr>
        <w:overflowPunct w:val="0"/>
        <w:autoSpaceDE w:val="0"/>
        <w:autoSpaceDN w:val="0"/>
        <w:adjustRightInd w:val="0"/>
        <w:snapToGrid w:val="0"/>
        <w:textAlignment w:val="bottom"/>
        <w:rPr>
          <w:rFonts w:ascii="Arial" w:eastAsia="黑体" w:hAnsi="Arial" w:cs="Arial"/>
          <w:bCs/>
          <w:szCs w:val="21"/>
        </w:rPr>
      </w:pPr>
    </w:p>
    <w:p w:rsidR="00AD5BB5" w:rsidRDefault="00AD5BB5">
      <w:pPr>
        <w:overflowPunct w:val="0"/>
        <w:autoSpaceDE w:val="0"/>
        <w:autoSpaceDN w:val="0"/>
        <w:adjustRightInd w:val="0"/>
        <w:snapToGrid w:val="0"/>
        <w:textAlignment w:val="bottom"/>
        <w:rPr>
          <w:rFonts w:ascii="Arial" w:eastAsia="黑体" w:hAnsi="Arial" w:cs="Arial"/>
          <w:bCs/>
          <w:szCs w:val="21"/>
        </w:rPr>
      </w:pPr>
    </w:p>
    <w:p w:rsidR="00AD5BB5" w:rsidRDefault="00F87FF6">
      <w:pPr>
        <w:overflowPunct w:val="0"/>
        <w:autoSpaceDE w:val="0"/>
        <w:autoSpaceDN w:val="0"/>
        <w:adjustRightInd w:val="0"/>
        <w:snapToGrid w:val="0"/>
        <w:textAlignment w:val="bottom"/>
        <w:rPr>
          <w:rFonts w:ascii="Arial" w:eastAsia="黑体" w:hAnsi="Arial" w:cs="Arial"/>
          <w:b/>
          <w:bCs/>
          <w:szCs w:val="21"/>
        </w:rPr>
      </w:pPr>
      <w:bookmarkStart w:id="184" w:name="afsaddin_WithXu_d9177803b68c40ac8ad0c73f"/>
      <w:r>
        <w:rPr>
          <w:rFonts w:ascii="Arial" w:eastAsia="黑体" w:hAnsi="Arial" w:cs="Arial"/>
          <w:b/>
          <w:bCs/>
          <w:szCs w:val="21"/>
        </w:rPr>
        <w:t>五、</w:t>
      </w:r>
      <w:r>
        <w:rPr>
          <w:rFonts w:ascii="Arial" w:eastAsia="黑体" w:hAnsi="Arial" w:cs="Arial"/>
          <w:b/>
          <w:bCs/>
          <w:szCs w:val="21"/>
        </w:rPr>
        <w:tab/>
      </w:r>
      <w:r>
        <w:rPr>
          <w:rFonts w:ascii="Arial" w:eastAsia="黑体" w:hAnsi="Arial" w:cs="Arial"/>
          <w:b/>
          <w:bCs/>
          <w:szCs w:val="21"/>
        </w:rPr>
        <w:t>合并财务报表主要项目注释（续）</w:t>
      </w:r>
      <w:bookmarkEnd w:id="184"/>
    </w:p>
    <w:p w:rsidR="00AD5BB5" w:rsidRDefault="00AD5BB5">
      <w:pPr>
        <w:overflowPunct w:val="0"/>
        <w:autoSpaceDE w:val="0"/>
        <w:autoSpaceDN w:val="0"/>
        <w:adjustRightInd w:val="0"/>
        <w:snapToGrid w:val="0"/>
        <w:textAlignment w:val="bottom"/>
        <w:rPr>
          <w:rFonts w:ascii="Arial" w:eastAsia="黑体" w:hAnsi="Arial" w:cs="Arial"/>
          <w:bCs/>
          <w:szCs w:val="21"/>
        </w:rPr>
      </w:pPr>
    </w:p>
    <w:p w:rsidR="00AD5BB5" w:rsidRDefault="00F87FF6">
      <w:pPr>
        <w:pStyle w:val="af5"/>
        <w:keepNext w:val="0"/>
        <w:keepLines w:val="0"/>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185" w:name="afsaddin_WithXu_2ec92cb56ded496199c7d0b2"/>
      <w:bookmarkStart w:id="186" w:name="afsaddin_Section_e50e1d788ba249d88523f4f"/>
      <w:bookmarkEnd w:id="185"/>
      <w:r>
        <w:rPr>
          <w:rFonts w:ascii="Arial" w:eastAsia="黑体" w:hAnsi="Arial" w:cs="Arial" w:hint="default"/>
          <w:bCs w:val="0"/>
          <w:snapToGrid w:val="0"/>
          <w:color w:val="auto"/>
          <w:sz w:val="21"/>
          <w:szCs w:val="21"/>
        </w:rPr>
        <w:t>23.</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吸收存款</w:t>
      </w:r>
    </w:p>
    <w:bookmarkEnd w:id="186"/>
    <w:p w:rsidR="00AD5BB5" w:rsidRDefault="00AD5BB5">
      <w:pPr>
        <w:overflowPunct w:val="0"/>
        <w:autoSpaceDE w:val="0"/>
        <w:autoSpaceDN w:val="0"/>
        <w:adjustRightInd w:val="0"/>
        <w:snapToGrid w:val="0"/>
        <w:textAlignment w:val="bottom"/>
        <w:rPr>
          <w:rFonts w:ascii="Arial" w:eastAsia="黑体" w:hAnsi="Arial" w:cs="Arial"/>
          <w:bCs/>
          <w:szCs w:val="21"/>
        </w:rPr>
      </w:pPr>
    </w:p>
    <w:tbl>
      <w:tblPr>
        <w:tblW w:w="0" w:type="auto"/>
        <w:tblLayout w:type="fixed"/>
        <w:tblCellMar>
          <w:left w:w="0" w:type="dxa"/>
          <w:right w:w="0" w:type="dxa"/>
        </w:tblCellMar>
        <w:tblLook w:val="04A0" w:firstRow="1" w:lastRow="0" w:firstColumn="1" w:lastColumn="0" w:noHBand="0" w:noVBand="1"/>
        <w:tblCaption w:val="610a7165-a46a-4f04-824a-98b28a4f1161"/>
        <w:tblDescription w:val="{&quot;UUID&quot;:&quot;afsaddin_tabledata_2_56437_610a7165-a46a-4f04-824a-98b28a4f1161&quot;,&quot;TitleRowCount&quot;:2,&quot;SplitedTable&quot;:false,&quot;FirstTableId&quot;:&quot;610a7165-a46a-4f04-824a-98b28a4f1161&quot;}"/>
      </w:tblPr>
      <w:tblGrid>
        <w:gridCol w:w="3502"/>
        <w:gridCol w:w="109"/>
        <w:gridCol w:w="2317"/>
        <w:gridCol w:w="110"/>
        <w:gridCol w:w="110"/>
        <w:gridCol w:w="2168"/>
        <w:gridCol w:w="110"/>
      </w:tblGrid>
      <w:tr w:rsidR="00AD5BB5">
        <w:trPr>
          <w:trHeight w:val="170"/>
        </w:trPr>
        <w:tc>
          <w:tcPr>
            <w:tcW w:w="3502"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300" w:hangingChars="150" w:hanging="300"/>
              <w:rPr>
                <w:rFonts w:ascii="Arial" w:eastAsia="黑体" w:hAnsi="Arial" w:cs="Arial"/>
                <w:color w:val="000000"/>
                <w:sz w:val="20"/>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napToGrid w:val="0"/>
                <w:sz w:val="20"/>
              </w:rPr>
            </w:pPr>
            <w:r>
              <w:rPr>
                <w:rFonts w:ascii="Arial" w:eastAsia="黑体" w:hAnsi="Arial" w:cs="Arial"/>
                <w:snapToGrid w:val="0"/>
                <w:sz w:val="20"/>
              </w:rPr>
              <w:fldChar w:fldCharType="begin"/>
            </w:r>
            <w:r>
              <w:rPr>
                <w:rFonts w:ascii="Arial" w:eastAsia="黑体" w:hAnsi="Arial" w:cs="Arial"/>
                <w:snapToGrid w:val="0"/>
                <w:sz w:val="20"/>
              </w:rPr>
              <w:instrText xml:space="preserve"> DOCPROPERTY </w:instrText>
            </w:r>
            <w:r>
              <w:rPr>
                <w:rFonts w:ascii="Arial" w:eastAsia="黑体" w:hAnsi="Arial" w:cs="Arial"/>
                <w:snapToGrid w:val="0"/>
                <w:sz w:val="20"/>
              </w:rPr>
              <w:instrText>当期资产负债表日</w:instrText>
            </w:r>
            <w:r>
              <w:rPr>
                <w:rFonts w:ascii="Arial" w:eastAsia="黑体" w:hAnsi="Arial" w:cs="Arial"/>
                <w:snapToGrid w:val="0"/>
                <w:sz w:val="20"/>
              </w:rPr>
              <w:instrText xml:space="preserve"> </w:instrText>
            </w:r>
            <w:r>
              <w:rPr>
                <w:rFonts w:ascii="Arial" w:eastAsia="黑体" w:hAnsi="Arial" w:cs="Arial"/>
                <w:snapToGrid w:val="0"/>
                <w:sz w:val="20"/>
              </w:rPr>
              <w:fldChar w:fldCharType="separate"/>
            </w:r>
            <w:r>
              <w:rPr>
                <w:rFonts w:ascii="Arial" w:eastAsia="黑体" w:hAnsi="Arial" w:cs="Arial"/>
                <w:snapToGrid w:val="0"/>
                <w:sz w:val="20"/>
              </w:rPr>
              <w:t>2023</w:t>
            </w:r>
            <w:r>
              <w:rPr>
                <w:rFonts w:ascii="Arial" w:eastAsia="黑体" w:hAnsi="Arial" w:cs="Arial"/>
                <w:snapToGrid w:val="0"/>
                <w:sz w:val="20"/>
              </w:rPr>
              <w:t>年</w:t>
            </w:r>
            <w:r>
              <w:rPr>
                <w:rFonts w:ascii="Arial" w:eastAsia="黑体" w:hAnsi="Arial" w:cs="Arial"/>
                <w:snapToGrid w:val="0"/>
                <w:sz w:val="20"/>
              </w:rPr>
              <w:t>6</w:t>
            </w:r>
            <w:r>
              <w:rPr>
                <w:rFonts w:ascii="Arial" w:eastAsia="黑体" w:hAnsi="Arial" w:cs="Arial"/>
                <w:snapToGrid w:val="0"/>
                <w:sz w:val="20"/>
              </w:rPr>
              <w:t>月</w:t>
            </w:r>
            <w:r>
              <w:rPr>
                <w:rFonts w:ascii="Arial" w:eastAsia="黑体" w:hAnsi="Arial" w:cs="Arial"/>
                <w:snapToGrid w:val="0"/>
                <w:sz w:val="20"/>
              </w:rPr>
              <w:t>30</w:t>
            </w:r>
            <w:r>
              <w:rPr>
                <w:rFonts w:ascii="Arial" w:eastAsia="黑体" w:hAnsi="Arial" w:cs="Arial"/>
                <w:snapToGrid w:val="0"/>
                <w:sz w:val="20"/>
              </w:rPr>
              <w:t>日</w:t>
            </w:r>
            <w:r>
              <w:rPr>
                <w:rFonts w:ascii="Arial" w:eastAsia="黑体" w:hAnsi="Arial" w:cs="Arial"/>
                <w:snapToGrid w:val="0"/>
                <w:sz w:val="20"/>
              </w:rPr>
              <w:fldChar w:fldCharType="end"/>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napToGrid w:val="0"/>
                <w:sz w:val="20"/>
              </w:rPr>
            </w:pPr>
            <w:r>
              <w:rPr>
                <w:rFonts w:ascii="Arial" w:eastAsia="黑体" w:hAnsi="Arial" w:cs="Arial"/>
                <w:snapToGrid w:val="0"/>
                <w:sz w:val="20"/>
              </w:rPr>
              <w:t>2022</w:t>
            </w:r>
            <w:r>
              <w:rPr>
                <w:rFonts w:ascii="Arial" w:eastAsia="黑体" w:hAnsi="Arial" w:cs="Arial"/>
                <w:snapToGrid w:val="0"/>
                <w:sz w:val="20"/>
              </w:rPr>
              <w:t>年</w:t>
            </w:r>
            <w:r>
              <w:rPr>
                <w:rFonts w:ascii="Arial" w:eastAsia="黑体" w:hAnsi="Arial" w:cs="Arial"/>
                <w:snapToGrid w:val="0"/>
                <w:sz w:val="20"/>
              </w:rPr>
              <w:t>12</w:t>
            </w:r>
            <w:r>
              <w:rPr>
                <w:rFonts w:ascii="Arial" w:eastAsia="黑体" w:hAnsi="Arial" w:cs="Arial"/>
                <w:snapToGrid w:val="0"/>
                <w:sz w:val="20"/>
              </w:rPr>
              <w:t>月</w:t>
            </w:r>
            <w:r>
              <w:rPr>
                <w:rFonts w:ascii="Arial" w:eastAsia="黑体" w:hAnsi="Arial" w:cs="Arial"/>
                <w:snapToGrid w:val="0"/>
                <w:sz w:val="20"/>
              </w:rPr>
              <w:t>31</w:t>
            </w:r>
            <w:r>
              <w:rPr>
                <w:rFonts w:ascii="Arial" w:eastAsia="黑体" w:hAnsi="Arial" w:cs="Arial"/>
                <w:snapToGrid w:val="0"/>
                <w:sz w:val="20"/>
              </w:rPr>
              <w:t>日</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r>
      <w:tr w:rsidR="00AD5BB5">
        <w:trPr>
          <w:trHeight w:val="170"/>
        </w:trPr>
        <w:tc>
          <w:tcPr>
            <w:tcW w:w="3502"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300" w:hangingChars="150" w:hanging="300"/>
              <w:rPr>
                <w:rFonts w:ascii="Arial" w:eastAsia="黑体" w:hAnsi="Arial" w:cs="Arial"/>
                <w:sz w:val="20"/>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20"/>
              </w:rPr>
            </w:pPr>
          </w:p>
        </w:tc>
        <w:tc>
          <w:tcPr>
            <w:tcW w:w="231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20"/>
              </w:rPr>
            </w:pPr>
          </w:p>
        </w:tc>
        <w:tc>
          <w:tcPr>
            <w:tcW w:w="216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20"/>
              </w:rPr>
            </w:pPr>
          </w:p>
        </w:tc>
      </w:tr>
      <w:tr w:rsidR="00AD5BB5">
        <w:trPr>
          <w:trHeight w:val="170"/>
        </w:trPr>
        <w:tc>
          <w:tcPr>
            <w:tcW w:w="350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00" w:hangingChars="100" w:hanging="200"/>
              <w:rPr>
                <w:rFonts w:ascii="Arial" w:eastAsia="黑体" w:hAnsi="Arial" w:cs="Arial"/>
                <w:snapToGrid w:val="0"/>
                <w:sz w:val="20"/>
              </w:rPr>
            </w:pPr>
            <w:r>
              <w:rPr>
                <w:rFonts w:ascii="Arial" w:eastAsia="黑体" w:hAnsi="Arial" w:cs="Arial"/>
                <w:snapToGrid w:val="0"/>
                <w:sz w:val="20"/>
              </w:rPr>
              <w:t>活期存款</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20"/>
              </w:rPr>
            </w:pPr>
          </w:p>
        </w:tc>
        <w:tc>
          <w:tcPr>
            <w:tcW w:w="216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r w:rsidR="00AD5BB5">
        <w:trPr>
          <w:trHeight w:val="170"/>
        </w:trPr>
        <w:tc>
          <w:tcPr>
            <w:tcW w:w="350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Chars="84" w:left="376" w:hangingChars="100" w:hanging="200"/>
              <w:rPr>
                <w:rFonts w:ascii="Arial" w:eastAsia="黑体" w:hAnsi="Arial" w:cs="Arial"/>
                <w:snapToGrid w:val="0"/>
                <w:sz w:val="20"/>
              </w:rPr>
            </w:pPr>
            <w:r>
              <w:rPr>
                <w:rFonts w:ascii="Arial" w:eastAsia="黑体" w:hAnsi="Arial" w:cs="Arial"/>
                <w:snapToGrid w:val="0"/>
                <w:sz w:val="20"/>
              </w:rPr>
              <w:t>公司客户</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 w:val="20"/>
              </w:rPr>
            </w:pPr>
            <w:r>
              <w:rPr>
                <w:rFonts w:ascii="Arial" w:eastAsia="黑体" w:hAnsi="Arial" w:cs="Arial"/>
                <w:sz w:val="20"/>
              </w:rPr>
              <w:t>39,370,765,597.57</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20"/>
              </w:rPr>
            </w:pPr>
            <w:r>
              <w:rPr>
                <w:rFonts w:ascii="Arial" w:eastAsia="黑体" w:hAnsi="Arial" w:cs="Arial"/>
                <w:color w:val="000000"/>
                <w:sz w:val="20"/>
              </w:rPr>
              <w:t>50,588,609,471.27</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r w:rsidR="00AD5BB5">
        <w:trPr>
          <w:trHeight w:val="170"/>
        </w:trPr>
        <w:tc>
          <w:tcPr>
            <w:tcW w:w="350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Chars="84" w:left="376" w:hangingChars="100" w:hanging="200"/>
              <w:rPr>
                <w:rFonts w:ascii="Arial" w:eastAsia="黑体" w:hAnsi="Arial" w:cs="Arial"/>
                <w:snapToGrid w:val="0"/>
                <w:sz w:val="20"/>
              </w:rPr>
            </w:pPr>
            <w:r>
              <w:rPr>
                <w:rFonts w:ascii="Arial" w:eastAsia="黑体" w:hAnsi="Arial" w:cs="Arial"/>
                <w:snapToGrid w:val="0"/>
                <w:sz w:val="20"/>
              </w:rPr>
              <w:t>个人客户</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 w:val="20"/>
              </w:rPr>
            </w:pPr>
            <w:r>
              <w:rPr>
                <w:rFonts w:ascii="Arial" w:eastAsia="黑体" w:hAnsi="Arial" w:cs="Arial"/>
                <w:sz w:val="20"/>
              </w:rPr>
              <w:t>12,828,824,248.00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20"/>
              </w:rPr>
            </w:pPr>
            <w:r>
              <w:rPr>
                <w:rFonts w:ascii="Arial" w:eastAsia="黑体" w:hAnsi="Arial" w:cs="Arial"/>
                <w:color w:val="000000"/>
                <w:sz w:val="20"/>
              </w:rPr>
              <w:t>13,066,220,433.94</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r w:rsidR="00AD5BB5">
        <w:trPr>
          <w:trHeight w:val="170"/>
        </w:trPr>
        <w:tc>
          <w:tcPr>
            <w:tcW w:w="350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00" w:hangingChars="100" w:hanging="200"/>
              <w:rPr>
                <w:rFonts w:ascii="Arial" w:eastAsia="黑体" w:hAnsi="Arial" w:cs="Arial"/>
                <w:snapToGrid w:val="0"/>
                <w:sz w:val="20"/>
              </w:rPr>
            </w:pPr>
            <w:r>
              <w:rPr>
                <w:rFonts w:ascii="Arial" w:eastAsia="黑体" w:hAnsi="Arial" w:cs="Arial"/>
                <w:snapToGrid w:val="0"/>
                <w:sz w:val="20"/>
              </w:rPr>
              <w:t>定期存款</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16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r w:rsidR="00AD5BB5">
        <w:trPr>
          <w:trHeight w:val="170"/>
        </w:trPr>
        <w:tc>
          <w:tcPr>
            <w:tcW w:w="350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Chars="84" w:left="376" w:hangingChars="100" w:hanging="200"/>
              <w:rPr>
                <w:rFonts w:ascii="Arial" w:eastAsia="黑体" w:hAnsi="Arial" w:cs="Arial"/>
                <w:snapToGrid w:val="0"/>
                <w:sz w:val="20"/>
              </w:rPr>
            </w:pPr>
            <w:r>
              <w:rPr>
                <w:rFonts w:ascii="Arial" w:eastAsia="黑体" w:hAnsi="Arial" w:cs="Arial"/>
                <w:snapToGrid w:val="0"/>
                <w:sz w:val="20"/>
              </w:rPr>
              <w:t>公司客户</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 w:val="20"/>
              </w:rPr>
            </w:pPr>
            <w:r>
              <w:rPr>
                <w:rFonts w:ascii="Arial" w:eastAsia="黑体" w:hAnsi="Arial" w:cs="Arial"/>
                <w:sz w:val="20"/>
              </w:rPr>
              <w:t>65,595,586,881.23</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 w:val="20"/>
              </w:rPr>
            </w:pPr>
            <w:r>
              <w:rPr>
                <w:rFonts w:ascii="Arial" w:eastAsia="黑体" w:hAnsi="Arial" w:cs="Arial"/>
                <w:sz w:val="20"/>
              </w:rPr>
              <w:t>64,487,215,558.74</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r w:rsidR="00AD5BB5">
        <w:trPr>
          <w:trHeight w:val="170"/>
        </w:trPr>
        <w:tc>
          <w:tcPr>
            <w:tcW w:w="350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Chars="84" w:left="376" w:hangingChars="100" w:hanging="200"/>
              <w:rPr>
                <w:rFonts w:ascii="Arial" w:eastAsia="黑体" w:hAnsi="Arial" w:cs="Arial"/>
                <w:snapToGrid w:val="0"/>
                <w:sz w:val="20"/>
              </w:rPr>
            </w:pPr>
            <w:r>
              <w:rPr>
                <w:rFonts w:ascii="Arial" w:eastAsia="黑体" w:hAnsi="Arial" w:cs="Arial"/>
                <w:snapToGrid w:val="0"/>
                <w:sz w:val="20"/>
              </w:rPr>
              <w:t>个人客户</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26" w:hangingChars="13" w:hanging="26"/>
              <w:jc w:val="right"/>
              <w:rPr>
                <w:rFonts w:ascii="Arial" w:eastAsia="黑体" w:hAnsi="Arial" w:cs="Arial"/>
                <w:sz w:val="20"/>
              </w:rPr>
            </w:pPr>
            <w:r>
              <w:rPr>
                <w:rFonts w:ascii="Arial" w:eastAsia="黑体" w:hAnsi="Arial" w:cs="Arial"/>
                <w:sz w:val="20"/>
              </w:rPr>
              <w:t>47,619,126,631.45</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 w:val="20"/>
              </w:rPr>
            </w:pPr>
            <w:r>
              <w:rPr>
                <w:rFonts w:ascii="Arial" w:eastAsia="黑体" w:hAnsi="Arial" w:cs="Arial"/>
                <w:sz w:val="20"/>
              </w:rPr>
              <w:t>42,324,916,421.02</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r w:rsidR="00AD5BB5">
        <w:trPr>
          <w:trHeight w:val="170"/>
        </w:trPr>
        <w:tc>
          <w:tcPr>
            <w:tcW w:w="3502"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Chars="84" w:left="476" w:hangingChars="150" w:hanging="300"/>
              <w:rPr>
                <w:rFonts w:ascii="Arial" w:eastAsia="黑体" w:hAnsi="Arial" w:cs="Arial"/>
                <w:snapToGrid w:val="0"/>
                <w:sz w:val="20"/>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16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r w:rsidR="00AD5BB5">
        <w:trPr>
          <w:trHeight w:val="170"/>
        </w:trPr>
        <w:tc>
          <w:tcPr>
            <w:tcW w:w="350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00" w:hangingChars="100" w:hanging="200"/>
              <w:rPr>
                <w:rFonts w:ascii="Arial" w:eastAsia="黑体" w:hAnsi="Arial" w:cs="Arial"/>
                <w:snapToGrid w:val="0"/>
                <w:sz w:val="20"/>
              </w:rPr>
            </w:pPr>
            <w:r>
              <w:rPr>
                <w:rFonts w:ascii="Arial" w:eastAsia="黑体" w:hAnsi="Arial" w:cs="Arial"/>
                <w:snapToGrid w:val="0"/>
                <w:sz w:val="20"/>
              </w:rPr>
              <w:t>保证金存款</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 w:val="20"/>
              </w:rPr>
            </w:pPr>
            <w:r>
              <w:rPr>
                <w:rFonts w:ascii="Arial" w:eastAsia="黑体" w:hAnsi="Arial" w:cs="Arial"/>
                <w:sz w:val="20"/>
              </w:rPr>
              <w:t>19,637,179,301.43</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 w:val="20"/>
              </w:rPr>
            </w:pPr>
            <w:r>
              <w:rPr>
                <w:rFonts w:ascii="Arial" w:eastAsia="黑体" w:hAnsi="Arial" w:cs="Arial"/>
                <w:sz w:val="20"/>
              </w:rPr>
              <w:t>34,394,859,608.36</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r w:rsidR="00AD5BB5">
        <w:trPr>
          <w:trHeight w:val="170"/>
        </w:trPr>
        <w:tc>
          <w:tcPr>
            <w:tcW w:w="350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00" w:hangingChars="100" w:hanging="200"/>
              <w:rPr>
                <w:rFonts w:ascii="Arial" w:eastAsia="黑体" w:hAnsi="Arial" w:cs="Arial"/>
                <w:snapToGrid w:val="0"/>
                <w:sz w:val="20"/>
              </w:rPr>
            </w:pPr>
            <w:r>
              <w:rPr>
                <w:rFonts w:ascii="Arial" w:eastAsia="黑体" w:hAnsi="Arial" w:cs="Arial"/>
                <w:snapToGrid w:val="0"/>
                <w:sz w:val="20"/>
              </w:rPr>
              <w:t>其他存款</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 w:val="20"/>
              </w:rPr>
            </w:pPr>
            <w:r>
              <w:rPr>
                <w:rFonts w:ascii="Arial" w:eastAsia="黑体" w:hAnsi="Arial" w:cs="Arial"/>
                <w:sz w:val="20"/>
              </w:rPr>
              <w:t>12,069,465.23</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168"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 w:val="20"/>
              </w:rPr>
            </w:pPr>
            <w:r>
              <w:rPr>
                <w:rFonts w:ascii="Arial" w:eastAsia="黑体" w:hAnsi="Arial" w:cs="Arial"/>
                <w:sz w:val="20"/>
              </w:rPr>
              <w:t>7,905,754.88</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r w:rsidR="00AD5BB5">
        <w:trPr>
          <w:trHeight w:val="170"/>
        </w:trPr>
        <w:tc>
          <w:tcPr>
            <w:tcW w:w="3502"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300" w:hangingChars="150" w:hanging="300"/>
              <w:rPr>
                <w:rFonts w:ascii="Arial" w:eastAsia="黑体" w:hAnsi="Arial" w:cs="Arial"/>
                <w:color w:val="000000"/>
                <w:sz w:val="20"/>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168"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r w:rsidR="00AD5BB5">
        <w:trPr>
          <w:trHeight w:val="307"/>
        </w:trPr>
        <w:tc>
          <w:tcPr>
            <w:tcW w:w="350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00" w:hangingChars="100" w:hanging="200"/>
              <w:rPr>
                <w:rFonts w:ascii="Arial" w:eastAsia="黑体" w:hAnsi="Arial" w:cs="Arial"/>
                <w:color w:val="000000"/>
                <w:sz w:val="20"/>
              </w:rPr>
            </w:pPr>
            <w:r>
              <w:rPr>
                <w:rFonts w:ascii="Arial" w:eastAsia="黑体" w:hAnsi="Arial" w:cs="Arial"/>
                <w:color w:val="000000"/>
                <w:sz w:val="20"/>
              </w:rPr>
              <w:t>小计</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 w:val="20"/>
              </w:rPr>
            </w:pPr>
            <w:r>
              <w:rPr>
                <w:rFonts w:ascii="Arial" w:eastAsia="黑体" w:hAnsi="Arial" w:cs="Arial"/>
                <w:sz w:val="20"/>
              </w:rPr>
              <w:t>185,063,552,124.91</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168"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20"/>
              </w:rPr>
            </w:pPr>
            <w:r>
              <w:rPr>
                <w:rFonts w:ascii="Arial" w:eastAsia="黑体" w:hAnsi="Arial" w:cs="Arial"/>
                <w:color w:val="000000"/>
                <w:sz w:val="20"/>
              </w:rPr>
              <w:t>204,869,727,248.21</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r w:rsidR="00AD5BB5">
        <w:trPr>
          <w:trHeight w:val="170"/>
        </w:trPr>
        <w:tc>
          <w:tcPr>
            <w:tcW w:w="3502"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300" w:hangingChars="150" w:hanging="300"/>
              <w:rPr>
                <w:rFonts w:ascii="Arial" w:eastAsia="黑体" w:hAnsi="Arial" w:cs="Arial"/>
                <w:color w:val="000000"/>
                <w:sz w:val="20"/>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168"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r w:rsidR="00AD5BB5">
        <w:trPr>
          <w:trHeight w:val="170"/>
        </w:trPr>
        <w:tc>
          <w:tcPr>
            <w:tcW w:w="350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00" w:hangingChars="100" w:hanging="200"/>
              <w:rPr>
                <w:rFonts w:ascii="Arial" w:eastAsia="黑体" w:hAnsi="Arial" w:cs="Arial"/>
                <w:color w:val="000000"/>
                <w:sz w:val="20"/>
              </w:rPr>
            </w:pPr>
            <w:r>
              <w:rPr>
                <w:rFonts w:ascii="Arial" w:eastAsia="黑体" w:hAnsi="Arial" w:cs="Arial"/>
                <w:color w:val="000000"/>
                <w:sz w:val="20"/>
              </w:rPr>
              <w:t>应计利息</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 w:val="20"/>
              </w:rPr>
            </w:pPr>
            <w:r>
              <w:rPr>
                <w:rFonts w:ascii="Arial" w:eastAsia="黑体" w:hAnsi="Arial" w:cs="Arial"/>
                <w:sz w:val="20"/>
              </w:rPr>
              <w:t>2,582,108,329.96</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168"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20"/>
              </w:rPr>
            </w:pPr>
            <w:r>
              <w:rPr>
                <w:rFonts w:ascii="Arial" w:eastAsia="黑体" w:hAnsi="Arial" w:cs="Arial"/>
                <w:color w:val="000000"/>
                <w:sz w:val="20"/>
              </w:rPr>
              <w:t>2,145,136,623.25</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r w:rsidR="00AD5BB5">
        <w:trPr>
          <w:trHeight w:val="170"/>
        </w:trPr>
        <w:tc>
          <w:tcPr>
            <w:tcW w:w="3502"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300" w:hangingChars="150" w:hanging="300"/>
              <w:rPr>
                <w:rFonts w:ascii="Arial" w:eastAsia="黑体" w:hAnsi="Arial" w:cs="Arial"/>
                <w:color w:val="000000"/>
                <w:sz w:val="20"/>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168"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r w:rsidR="00AD5BB5">
        <w:trPr>
          <w:trHeight w:val="170"/>
        </w:trPr>
        <w:tc>
          <w:tcPr>
            <w:tcW w:w="350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00" w:hangingChars="100" w:hanging="200"/>
              <w:rPr>
                <w:rFonts w:ascii="Arial" w:eastAsia="黑体" w:hAnsi="Arial" w:cs="Arial"/>
                <w:snapToGrid w:val="0"/>
                <w:sz w:val="20"/>
              </w:rPr>
            </w:pPr>
            <w:r>
              <w:rPr>
                <w:rFonts w:ascii="Arial" w:eastAsia="黑体" w:hAnsi="Arial" w:cs="Arial"/>
                <w:snapToGrid w:val="0"/>
                <w:sz w:val="20"/>
              </w:rPr>
              <w:t>合计</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nil"/>
              <w:left w:val="nil"/>
              <w:bottom w:val="doub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 w:val="20"/>
              </w:rPr>
            </w:pPr>
            <w:r>
              <w:rPr>
                <w:rFonts w:ascii="Arial" w:eastAsia="黑体" w:hAnsi="Arial" w:cs="Arial"/>
                <w:sz w:val="20"/>
              </w:rPr>
              <w:t>187,645,660,454.87</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168" w:type="dxa"/>
            <w:tcBorders>
              <w:top w:val="nil"/>
              <w:left w:val="nil"/>
              <w:bottom w:val="doub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20"/>
              </w:rPr>
            </w:pPr>
            <w:r>
              <w:rPr>
                <w:rFonts w:ascii="Arial" w:eastAsia="黑体" w:hAnsi="Arial" w:cs="Arial"/>
                <w:color w:val="000000"/>
                <w:sz w:val="20"/>
              </w:rPr>
              <w:t>207,014,863,871.46</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bl>
    <w:p w:rsidR="00AD5BB5" w:rsidRDefault="00AD5BB5">
      <w:pPr>
        <w:overflowPunct w:val="0"/>
        <w:autoSpaceDE w:val="0"/>
        <w:autoSpaceDN w:val="0"/>
        <w:adjustRightInd w:val="0"/>
        <w:snapToGrid w:val="0"/>
        <w:textAlignment w:val="bottom"/>
        <w:rPr>
          <w:rFonts w:ascii="Arial" w:eastAsia="黑体" w:hAnsi="Arial" w:cs="Arial"/>
          <w:bCs/>
          <w:szCs w:val="21"/>
        </w:rPr>
      </w:pPr>
    </w:p>
    <w:p w:rsidR="00AD5BB5" w:rsidRDefault="00F87FF6">
      <w:pPr>
        <w:pStyle w:val="af5"/>
        <w:keepNext w:val="0"/>
        <w:keepLines w:val="0"/>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187" w:name="afsaddin_Section_c6f0aee83b2c4dd0893397e"/>
      <w:r>
        <w:rPr>
          <w:rFonts w:ascii="Arial" w:eastAsia="黑体" w:hAnsi="Arial" w:cs="Arial" w:hint="default"/>
          <w:bCs w:val="0"/>
          <w:snapToGrid w:val="0"/>
          <w:color w:val="auto"/>
          <w:sz w:val="21"/>
          <w:szCs w:val="21"/>
        </w:rPr>
        <w:t>24.</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应付职工薪</w:t>
      </w:r>
      <w:proofErr w:type="gramStart"/>
      <w:r>
        <w:rPr>
          <w:rFonts w:ascii="Arial" w:eastAsia="黑体" w:hAnsi="Arial" w:cs="Arial" w:hint="default"/>
          <w:bCs w:val="0"/>
          <w:snapToGrid w:val="0"/>
          <w:color w:val="auto"/>
          <w:sz w:val="21"/>
          <w:szCs w:val="21"/>
        </w:rPr>
        <w:t>酬</w:t>
      </w:r>
      <w:proofErr w:type="gramEnd"/>
    </w:p>
    <w:bookmarkEnd w:id="187"/>
    <w:p w:rsidR="00AD5BB5" w:rsidRDefault="00AD5BB5">
      <w:pPr>
        <w:tabs>
          <w:tab w:val="left" w:pos="720"/>
        </w:tabs>
        <w:overflowPunct w:val="0"/>
        <w:autoSpaceDE w:val="0"/>
        <w:autoSpaceDN w:val="0"/>
        <w:snapToGrid w:val="0"/>
        <w:rPr>
          <w:rFonts w:ascii="Arial" w:eastAsia="黑体" w:hAnsi="Arial" w:cs="Arial"/>
          <w:b/>
        </w:rPr>
      </w:pPr>
    </w:p>
    <w:tbl>
      <w:tblPr>
        <w:tblW w:w="0" w:type="auto"/>
        <w:tblLayout w:type="fixed"/>
        <w:tblCellMar>
          <w:left w:w="0" w:type="dxa"/>
          <w:right w:w="0" w:type="dxa"/>
        </w:tblCellMar>
        <w:tblLook w:val="04A0" w:firstRow="1" w:lastRow="0" w:firstColumn="1" w:lastColumn="0" w:noHBand="0" w:noVBand="1"/>
        <w:tblCaption w:val="510fd3cb-9897-45cb-9159-2278eea65e10"/>
        <w:tblDescription w:val="{&quot;UUID&quot;:&quot;afsaddin_tabledata_2_56437_510fd3cb-9897-45cb-9159-2278eea65e10&quot;,&quot;TitleRowCount&quot;:2,&quot;SplitedTable&quot;:false,&quot;FirstTableId&quot;:&quot;510fd3cb-9897-45cb-9159-2278eea65e10&quot;}"/>
      </w:tblPr>
      <w:tblGrid>
        <w:gridCol w:w="2101"/>
        <w:gridCol w:w="105"/>
        <w:gridCol w:w="1332"/>
        <w:gridCol w:w="106"/>
        <w:gridCol w:w="106"/>
        <w:gridCol w:w="1332"/>
        <w:gridCol w:w="106"/>
        <w:gridCol w:w="106"/>
        <w:gridCol w:w="1395"/>
        <w:gridCol w:w="106"/>
        <w:gridCol w:w="106"/>
        <w:gridCol w:w="1332"/>
        <w:gridCol w:w="106"/>
      </w:tblGrid>
      <w:tr w:rsidR="00AD5BB5">
        <w:tc>
          <w:tcPr>
            <w:tcW w:w="2101"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fldChar w:fldCharType="begin"/>
            </w:r>
            <w:r>
              <w:rPr>
                <w:rFonts w:ascii="Arial" w:eastAsia="黑体" w:hAnsi="Arial" w:cs="Arial"/>
                <w:sz w:val="16"/>
                <w:szCs w:val="16"/>
              </w:rPr>
              <w:instrText xml:space="preserve">DOCPROPERTY </w:instrText>
            </w:r>
            <w:r>
              <w:rPr>
                <w:rFonts w:ascii="Arial" w:eastAsia="黑体" w:hAnsi="Arial" w:cs="Arial"/>
                <w:sz w:val="16"/>
                <w:szCs w:val="16"/>
              </w:rPr>
              <w:instrText>当期会计期间</w:instrText>
            </w:r>
            <w:r>
              <w:rPr>
                <w:rFonts w:ascii="Arial" w:eastAsia="黑体" w:hAnsi="Arial" w:cs="Arial"/>
                <w:sz w:val="16"/>
                <w:szCs w:val="16"/>
              </w:rPr>
              <w:fldChar w:fldCharType="separate"/>
            </w:r>
            <w:r>
              <w:rPr>
                <w:rFonts w:ascii="Arial" w:eastAsia="黑体" w:hAnsi="Arial" w:cs="Arial"/>
                <w:sz w:val="16"/>
                <w:szCs w:val="16"/>
              </w:rPr>
              <w:t>2023</w:t>
            </w:r>
            <w:r>
              <w:rPr>
                <w:rFonts w:ascii="Arial" w:eastAsia="黑体" w:hAnsi="Arial" w:cs="Arial"/>
                <w:sz w:val="16"/>
                <w:szCs w:val="16"/>
              </w:rPr>
              <w:fldChar w:fldCharType="end"/>
            </w:r>
            <w:r>
              <w:rPr>
                <w:rFonts w:ascii="Arial" w:eastAsia="黑体" w:hAnsi="Arial" w:cs="Arial"/>
                <w:sz w:val="16"/>
                <w:szCs w:val="16"/>
              </w:rPr>
              <w:t>年</w:t>
            </w:r>
            <w:r>
              <w:rPr>
                <w:rFonts w:ascii="Arial" w:eastAsia="黑体" w:hAnsi="Arial" w:cs="Arial"/>
                <w:sz w:val="16"/>
                <w:szCs w:val="16"/>
              </w:rPr>
              <w:t>1-6</w:t>
            </w:r>
            <w:r>
              <w:rPr>
                <w:rFonts w:ascii="Arial" w:eastAsia="黑体" w:hAnsi="Arial" w:cs="Arial"/>
                <w:sz w:val="16"/>
                <w:szCs w:val="16"/>
              </w:rPr>
              <w:t>月</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期初余额</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本期增加</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本期减少</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期末余额</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101"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101"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工资、奖金、津贴和补贴</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504,418,232.57</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582,519,257.40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(642,254,832.11</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444,682,657.86</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101"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职工福利费</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7,668.82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13,904,528.67</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(13,904,528.67</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7,668.82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101"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社会保险费</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8,613.42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16,485,084.19</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(16,481,421.20</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12,276.41</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101" w:type="dxa"/>
            <w:tcBorders>
              <w:top w:val="nil"/>
              <w:left w:val="nil"/>
              <w:bottom w:val="nil"/>
              <w:right w:val="nil"/>
            </w:tcBorders>
            <w:vAlign w:val="bottom"/>
          </w:tcPr>
          <w:p w:rsidR="00AD5BB5" w:rsidRDefault="00F87FF6">
            <w:pPr>
              <w:autoSpaceDE w:val="0"/>
              <w:autoSpaceDN w:val="0"/>
              <w:ind w:leftChars="71" w:left="789" w:hangingChars="400" w:hanging="640"/>
              <w:rPr>
                <w:rFonts w:ascii="Arial" w:eastAsia="黑体" w:hAnsi="Arial" w:cs="Arial"/>
                <w:sz w:val="16"/>
                <w:szCs w:val="16"/>
              </w:rPr>
            </w:pPr>
            <w:r>
              <w:rPr>
                <w:rFonts w:ascii="Arial" w:eastAsia="黑体" w:hAnsi="Arial" w:cs="Arial"/>
                <w:sz w:val="16"/>
                <w:szCs w:val="16"/>
              </w:rPr>
              <w:t>其中：医疗保险费</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5,374.54</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14,823,129.23</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(14,819,376.28</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9,127.49</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101" w:type="dxa"/>
            <w:tcBorders>
              <w:top w:val="nil"/>
              <w:left w:val="nil"/>
              <w:bottom w:val="nil"/>
              <w:right w:val="nil"/>
            </w:tcBorders>
            <w:vAlign w:val="bottom"/>
          </w:tcPr>
          <w:p w:rsidR="00AD5BB5" w:rsidRDefault="00F87FF6">
            <w:pPr>
              <w:autoSpaceDE w:val="0"/>
              <w:autoSpaceDN w:val="0"/>
              <w:ind w:leftChars="270" w:left="727" w:hangingChars="100" w:hanging="160"/>
              <w:rPr>
                <w:rFonts w:ascii="Arial" w:eastAsia="黑体" w:hAnsi="Arial" w:cs="Arial"/>
                <w:sz w:val="16"/>
                <w:szCs w:val="16"/>
              </w:rPr>
            </w:pPr>
            <w:r>
              <w:rPr>
                <w:rFonts w:ascii="Arial" w:eastAsia="黑体" w:hAnsi="Arial" w:cs="Arial"/>
                <w:sz w:val="16"/>
                <w:szCs w:val="16"/>
              </w:rPr>
              <w:t>工伤保险费</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2,766.33</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411,756.90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(411,893.63</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2,629.60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101" w:type="dxa"/>
            <w:tcBorders>
              <w:top w:val="nil"/>
              <w:left w:val="nil"/>
              <w:bottom w:val="nil"/>
              <w:right w:val="nil"/>
            </w:tcBorders>
            <w:vAlign w:val="bottom"/>
          </w:tcPr>
          <w:p w:rsidR="00AD5BB5" w:rsidRDefault="00F87FF6">
            <w:pPr>
              <w:autoSpaceDE w:val="0"/>
              <w:autoSpaceDN w:val="0"/>
              <w:ind w:leftChars="270" w:left="727" w:hangingChars="100" w:hanging="160"/>
              <w:rPr>
                <w:rFonts w:ascii="Arial" w:eastAsia="黑体" w:hAnsi="Arial" w:cs="Arial"/>
                <w:sz w:val="16"/>
                <w:szCs w:val="16"/>
              </w:rPr>
            </w:pPr>
            <w:r>
              <w:rPr>
                <w:rFonts w:ascii="Arial" w:eastAsia="黑体" w:hAnsi="Arial" w:cs="Arial"/>
                <w:sz w:val="16"/>
                <w:szCs w:val="16"/>
              </w:rPr>
              <w:t>生育保险费</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472.55</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1,250,198.06</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(1,250,151.29</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519.32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101"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住房公积金</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87,719.40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36,468,589.96</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(36,468,589.96</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87,719.40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101"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工会经费和职工教育经费</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1,476,872.82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12,962,400.70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(13,731,270.73</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708,002.79</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101"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其他福利</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154,513.62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1,026,382.77</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(1,062,026.48</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118,869.91</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101"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设定提存计划</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101" w:type="dxa"/>
            <w:tcBorders>
              <w:top w:val="nil"/>
              <w:left w:val="nil"/>
              <w:bottom w:val="nil"/>
              <w:right w:val="nil"/>
            </w:tcBorders>
            <w:vAlign w:val="bottom"/>
          </w:tcPr>
          <w:p w:rsidR="00AD5BB5" w:rsidRDefault="00F87FF6">
            <w:pPr>
              <w:autoSpaceDE w:val="0"/>
              <w:autoSpaceDN w:val="0"/>
              <w:ind w:leftChars="65" w:left="776" w:hangingChars="400" w:hanging="640"/>
              <w:rPr>
                <w:rFonts w:ascii="Arial" w:eastAsia="黑体" w:hAnsi="Arial" w:cs="Arial"/>
                <w:sz w:val="16"/>
                <w:szCs w:val="16"/>
              </w:rPr>
            </w:pPr>
            <w:r>
              <w:rPr>
                <w:rFonts w:ascii="Arial" w:eastAsia="黑体" w:hAnsi="Arial" w:cs="Arial"/>
                <w:sz w:val="16"/>
                <w:szCs w:val="16"/>
              </w:rPr>
              <w:t>其中：基本养老保险费</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58,665.71</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31,581,887.60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(31,572,720.43</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67,832.88</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101" w:type="dxa"/>
            <w:tcBorders>
              <w:top w:val="nil"/>
              <w:left w:val="nil"/>
              <w:bottom w:val="nil"/>
              <w:right w:val="nil"/>
            </w:tcBorders>
            <w:vAlign w:val="bottom"/>
          </w:tcPr>
          <w:p w:rsidR="00AD5BB5" w:rsidRDefault="00F87FF6">
            <w:pPr>
              <w:autoSpaceDE w:val="0"/>
              <w:autoSpaceDN w:val="0"/>
              <w:ind w:leftChars="270" w:left="727" w:hangingChars="100" w:hanging="160"/>
              <w:rPr>
                <w:rFonts w:ascii="Arial" w:eastAsia="黑体" w:hAnsi="Arial" w:cs="Arial"/>
                <w:sz w:val="16"/>
                <w:szCs w:val="16"/>
              </w:rPr>
            </w:pPr>
            <w:r>
              <w:rPr>
                <w:rFonts w:ascii="Arial" w:eastAsia="黑体" w:hAnsi="Arial" w:cs="Arial"/>
                <w:sz w:val="16"/>
                <w:szCs w:val="16"/>
              </w:rPr>
              <w:t>失业保险费</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16,484.25</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987,570.10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(987,193.10</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16,861.25</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101" w:type="dxa"/>
            <w:tcBorders>
              <w:top w:val="nil"/>
              <w:left w:val="nil"/>
              <w:bottom w:val="nil"/>
              <w:right w:val="nil"/>
            </w:tcBorders>
            <w:vAlign w:val="bottom"/>
          </w:tcPr>
          <w:p w:rsidR="00AD5BB5" w:rsidRDefault="00F87FF6">
            <w:pPr>
              <w:autoSpaceDE w:val="0"/>
              <w:autoSpaceDN w:val="0"/>
              <w:ind w:leftChars="270" w:left="727" w:hangingChars="100" w:hanging="160"/>
              <w:rPr>
                <w:rFonts w:ascii="Arial" w:eastAsia="黑体" w:hAnsi="Arial" w:cs="Arial"/>
                <w:sz w:val="16"/>
                <w:szCs w:val="16"/>
              </w:rPr>
            </w:pPr>
            <w:r>
              <w:rPr>
                <w:rFonts w:ascii="Arial" w:eastAsia="黑体" w:hAnsi="Arial" w:cs="Arial"/>
                <w:sz w:val="16"/>
                <w:szCs w:val="16"/>
              </w:rPr>
              <w:t>企业年金</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36,036,613.34</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(36,036,613.34</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101"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101"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合计</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506,228,770.61</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731,972,314.73</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(792,499,196.02</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3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445,701,889.32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bl>
    <w:p w:rsidR="00AD5BB5" w:rsidRDefault="00F87FF6">
      <w:pPr>
        <w:rPr>
          <w:rFonts w:ascii="Arial" w:eastAsia="黑体" w:hAnsi="Arial" w:cs="Arial"/>
          <w:b/>
          <w:bCs/>
          <w:snapToGrid w:val="0"/>
          <w:szCs w:val="21"/>
        </w:rPr>
      </w:pPr>
      <w:r>
        <w:rPr>
          <w:rFonts w:ascii="Arial" w:eastAsia="黑体" w:hAnsi="Arial" w:cs="Arial"/>
          <w:b/>
          <w:bCs/>
          <w:snapToGrid w:val="0"/>
          <w:szCs w:val="21"/>
        </w:rPr>
        <w:br w:type="page"/>
      </w:r>
    </w:p>
    <w:p w:rsidR="00AD5BB5" w:rsidRDefault="00AD5BB5">
      <w:pPr>
        <w:overflowPunct w:val="0"/>
        <w:autoSpaceDE w:val="0"/>
        <w:autoSpaceDN w:val="0"/>
        <w:adjustRightInd w:val="0"/>
        <w:snapToGrid w:val="0"/>
        <w:ind w:left="720" w:hanging="720"/>
        <w:textAlignment w:val="bottom"/>
        <w:rPr>
          <w:rFonts w:ascii="Arial" w:eastAsia="黑体" w:hAnsi="Arial" w:cs="Arial"/>
          <w:b/>
          <w:bCs/>
          <w:snapToGrid w:val="0"/>
          <w:szCs w:val="21"/>
        </w:rPr>
      </w:pPr>
    </w:p>
    <w:p w:rsidR="00AD5BB5" w:rsidRDefault="00AD5BB5">
      <w:pPr>
        <w:overflowPunct w:val="0"/>
        <w:autoSpaceDE w:val="0"/>
        <w:autoSpaceDN w:val="0"/>
        <w:adjustRightInd w:val="0"/>
        <w:snapToGrid w:val="0"/>
        <w:ind w:left="720" w:hanging="720"/>
        <w:textAlignment w:val="bottom"/>
        <w:rPr>
          <w:rFonts w:ascii="Arial" w:eastAsia="黑体" w:hAnsi="Arial" w:cs="Arial"/>
          <w:b/>
          <w:bCs/>
          <w:snapToGrid w:val="0"/>
          <w:szCs w:val="21"/>
        </w:rPr>
      </w:pPr>
    </w:p>
    <w:p w:rsidR="00AD5BB5" w:rsidRDefault="00F87FF6">
      <w:pPr>
        <w:overflowPunct w:val="0"/>
        <w:autoSpaceDE w:val="0"/>
        <w:autoSpaceDN w:val="0"/>
        <w:adjustRightInd w:val="0"/>
        <w:snapToGrid w:val="0"/>
        <w:textAlignment w:val="bottom"/>
        <w:rPr>
          <w:rFonts w:ascii="Arial" w:eastAsia="黑体" w:hAnsi="Arial" w:cs="Arial"/>
          <w:b/>
          <w:bCs/>
          <w:snapToGrid w:val="0"/>
          <w:szCs w:val="21"/>
        </w:rPr>
      </w:pPr>
      <w:bookmarkStart w:id="188" w:name="afsaddin_WithXu_c3b83b08397348d38a421f16"/>
      <w:r>
        <w:rPr>
          <w:rFonts w:ascii="Arial" w:eastAsia="黑体" w:hAnsi="Arial" w:cs="Arial"/>
          <w:b/>
          <w:bCs/>
          <w:snapToGrid w:val="0"/>
          <w:szCs w:val="21"/>
        </w:rPr>
        <w:t>五、</w:t>
      </w:r>
      <w:r>
        <w:rPr>
          <w:rFonts w:ascii="Arial" w:eastAsia="黑体" w:hAnsi="Arial" w:cs="Arial"/>
          <w:b/>
          <w:bCs/>
          <w:snapToGrid w:val="0"/>
          <w:szCs w:val="21"/>
        </w:rPr>
        <w:tab/>
      </w:r>
      <w:r>
        <w:rPr>
          <w:rFonts w:ascii="Arial" w:eastAsia="黑体" w:hAnsi="Arial" w:cs="Arial"/>
          <w:b/>
          <w:bCs/>
          <w:snapToGrid w:val="0"/>
          <w:szCs w:val="21"/>
        </w:rPr>
        <w:t>合并财务报表主要项目注释（续）</w:t>
      </w:r>
      <w:bookmarkEnd w:id="188"/>
    </w:p>
    <w:p w:rsidR="00AD5BB5" w:rsidRDefault="00AD5BB5">
      <w:pPr>
        <w:overflowPunct w:val="0"/>
        <w:autoSpaceDE w:val="0"/>
        <w:autoSpaceDN w:val="0"/>
        <w:adjustRightInd w:val="0"/>
        <w:snapToGrid w:val="0"/>
        <w:ind w:left="720" w:hanging="720"/>
        <w:textAlignment w:val="bottom"/>
        <w:rPr>
          <w:rFonts w:ascii="Arial" w:eastAsia="黑体" w:hAnsi="Arial" w:cs="Arial"/>
          <w:b/>
          <w:bCs/>
          <w:snapToGrid w:val="0"/>
          <w:szCs w:val="21"/>
        </w:rPr>
      </w:pPr>
    </w:p>
    <w:p w:rsidR="00AD5BB5" w:rsidRDefault="00F87FF6">
      <w:pPr>
        <w:overflowPunct w:val="0"/>
        <w:autoSpaceDE w:val="0"/>
        <w:autoSpaceDN w:val="0"/>
        <w:adjustRightInd w:val="0"/>
        <w:snapToGrid w:val="0"/>
        <w:ind w:left="720" w:hanging="720"/>
        <w:textAlignment w:val="bottom"/>
        <w:rPr>
          <w:rFonts w:ascii="Arial" w:eastAsia="黑体" w:hAnsi="Arial" w:cs="Arial"/>
          <w:b/>
          <w:bCs/>
          <w:snapToGrid w:val="0"/>
          <w:szCs w:val="21"/>
        </w:rPr>
      </w:pPr>
      <w:bookmarkStart w:id="189" w:name="afsaddin_WithXu_e82ae94b60c9445abf46783e"/>
      <w:r>
        <w:rPr>
          <w:rFonts w:ascii="Arial" w:eastAsia="黑体" w:hAnsi="Arial" w:cs="Arial"/>
          <w:b/>
          <w:bCs/>
          <w:snapToGrid w:val="0"/>
          <w:szCs w:val="21"/>
        </w:rPr>
        <w:t>24.</w:t>
      </w:r>
      <w:r>
        <w:rPr>
          <w:rFonts w:ascii="Arial" w:eastAsia="黑体" w:hAnsi="Arial" w:cs="Arial"/>
          <w:b/>
          <w:bCs/>
          <w:snapToGrid w:val="0"/>
          <w:szCs w:val="21"/>
        </w:rPr>
        <w:tab/>
      </w:r>
      <w:r>
        <w:rPr>
          <w:rFonts w:ascii="Arial" w:eastAsia="黑体" w:hAnsi="Arial" w:cs="Arial"/>
          <w:b/>
          <w:bCs/>
          <w:snapToGrid w:val="0"/>
          <w:szCs w:val="21"/>
        </w:rPr>
        <w:t>应付职工薪酬（续）</w:t>
      </w:r>
      <w:bookmarkEnd w:id="189"/>
    </w:p>
    <w:p w:rsidR="00AD5BB5" w:rsidRDefault="00AD5BB5">
      <w:pPr>
        <w:overflowPunct w:val="0"/>
        <w:autoSpaceDE w:val="0"/>
        <w:autoSpaceDN w:val="0"/>
        <w:adjustRightInd w:val="0"/>
        <w:snapToGrid w:val="0"/>
        <w:ind w:left="720" w:hanging="720"/>
        <w:textAlignment w:val="bottom"/>
        <w:rPr>
          <w:rFonts w:ascii="Arial" w:eastAsia="黑体" w:hAnsi="Arial" w:cs="Arial"/>
          <w:b/>
          <w:bCs/>
          <w:snapToGrid w:val="0"/>
          <w:szCs w:val="21"/>
        </w:rPr>
      </w:pPr>
    </w:p>
    <w:tbl>
      <w:tblPr>
        <w:tblW w:w="0" w:type="auto"/>
        <w:tblLayout w:type="fixed"/>
        <w:tblCellMar>
          <w:left w:w="0" w:type="dxa"/>
          <w:right w:w="0" w:type="dxa"/>
        </w:tblCellMar>
        <w:tblLook w:val="04A0" w:firstRow="1" w:lastRow="0" w:firstColumn="1" w:lastColumn="0" w:noHBand="0" w:noVBand="1"/>
        <w:tblCaption w:val="0dfd3bff-97d0-4c54-bc80-6bbbe57ee7cc"/>
        <w:tblDescription w:val="{&quot;UUID&quot;:&quot;afsaddin_tabledata_2_56437_0dfd3bff-97d0-4c54-bc80-6bbbe57ee7cc&quot;,&quot;TitleRowCount&quot;:2,&quot;SplitedTable&quot;:false,&quot;FirstTableId&quot;:&quot;0dfd3bff-97d0-4c54-bc80-6bbbe57ee7cc&quot;}"/>
      </w:tblPr>
      <w:tblGrid>
        <w:gridCol w:w="2100"/>
        <w:gridCol w:w="98"/>
        <w:gridCol w:w="1344"/>
        <w:gridCol w:w="70"/>
        <w:gridCol w:w="140"/>
        <w:gridCol w:w="1344"/>
        <w:gridCol w:w="51"/>
        <w:gridCol w:w="145"/>
        <w:gridCol w:w="1399"/>
        <w:gridCol w:w="224"/>
        <w:gridCol w:w="20"/>
        <w:gridCol w:w="1304"/>
        <w:gridCol w:w="101"/>
      </w:tblGrid>
      <w:tr w:rsidR="00AD5BB5">
        <w:tc>
          <w:tcPr>
            <w:tcW w:w="2100" w:type="dxa"/>
            <w:tcBorders>
              <w:top w:val="nil"/>
              <w:left w:val="nil"/>
              <w:bottom w:val="nil"/>
              <w:right w:val="nil"/>
            </w:tcBorders>
            <w:shd w:val="clear" w:color="auto" w:fill="auto"/>
            <w:vAlign w:val="bottom"/>
          </w:tcPr>
          <w:bookmarkStart w:id="190" w:name="afsaddin_WithXu_ad198acd83c244279e8b5cb4"/>
          <w:bookmarkStart w:id="191" w:name="afsaddin_WithXu_a0b61a1f8a814de6a45ffbd1"/>
          <w:bookmarkEnd w:id="190"/>
          <w:bookmarkEnd w:id="191"/>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fldChar w:fldCharType="begin"/>
            </w:r>
            <w:r>
              <w:rPr>
                <w:rFonts w:ascii="Arial" w:eastAsia="黑体" w:hAnsi="Arial" w:cs="Arial"/>
                <w:sz w:val="16"/>
                <w:szCs w:val="16"/>
              </w:rPr>
              <w:instrText xml:space="preserve"> DOCPROPERTY </w:instrText>
            </w:r>
            <w:r>
              <w:rPr>
                <w:rFonts w:ascii="Arial" w:eastAsia="黑体" w:hAnsi="Arial" w:cs="Arial"/>
                <w:sz w:val="16"/>
                <w:szCs w:val="16"/>
              </w:rPr>
              <w:instrText>对比会计期间</w:instrText>
            </w:r>
            <w:r>
              <w:rPr>
                <w:rFonts w:ascii="Arial" w:eastAsia="黑体" w:hAnsi="Arial" w:cs="Arial"/>
                <w:sz w:val="16"/>
                <w:szCs w:val="16"/>
              </w:rPr>
              <w:instrText xml:space="preserve"> </w:instrText>
            </w:r>
            <w:r>
              <w:rPr>
                <w:rFonts w:ascii="Arial" w:eastAsia="黑体" w:hAnsi="Arial" w:cs="Arial"/>
                <w:sz w:val="16"/>
                <w:szCs w:val="16"/>
              </w:rPr>
              <w:fldChar w:fldCharType="separate"/>
            </w:r>
            <w:r>
              <w:rPr>
                <w:rFonts w:ascii="Arial" w:eastAsia="黑体" w:hAnsi="Arial" w:cs="Arial"/>
                <w:sz w:val="16"/>
                <w:szCs w:val="16"/>
              </w:rPr>
              <w:t>2022</w:t>
            </w:r>
            <w:r>
              <w:rPr>
                <w:rFonts w:ascii="Arial" w:eastAsia="黑体" w:hAnsi="Arial" w:cs="Arial"/>
                <w:sz w:val="16"/>
                <w:szCs w:val="16"/>
              </w:rPr>
              <w:fldChar w:fldCharType="end"/>
            </w:r>
            <w:r>
              <w:rPr>
                <w:rFonts w:ascii="Arial" w:eastAsia="黑体" w:hAnsi="Arial" w:cs="Arial"/>
                <w:sz w:val="16"/>
                <w:szCs w:val="16"/>
              </w:rPr>
              <w:t>年度</w:t>
            </w:r>
          </w:p>
        </w:tc>
        <w:tc>
          <w:tcPr>
            <w:tcW w:w="9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4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年初余额</w:t>
            </w:r>
          </w:p>
        </w:tc>
        <w:tc>
          <w:tcPr>
            <w:tcW w:w="7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4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本年增加</w:t>
            </w:r>
          </w:p>
        </w:tc>
        <w:tc>
          <w:tcPr>
            <w:tcW w:w="5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9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本年减少</w:t>
            </w:r>
          </w:p>
        </w:tc>
        <w:tc>
          <w:tcPr>
            <w:tcW w:w="22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2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年末余额</w:t>
            </w: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2100" w:type="dxa"/>
            <w:tcBorders>
              <w:top w:val="nil"/>
              <w:left w:val="nil"/>
              <w:bottom w:val="nil"/>
              <w:right w:val="nil"/>
            </w:tcBorders>
            <w:shd w:val="clear" w:color="auto" w:fill="auto"/>
            <w:vAlign w:val="bottom"/>
          </w:tcPr>
          <w:p w:rsidR="00AD5BB5" w:rsidRDefault="00AD5BB5">
            <w:pPr>
              <w:autoSpaceDE w:val="0"/>
              <w:autoSpaceDN w:val="0"/>
              <w:ind w:left="240" w:hangingChars="150" w:hanging="240"/>
              <w:rPr>
                <w:rFonts w:ascii="Arial" w:eastAsia="黑体" w:hAnsi="Arial" w:cs="Arial"/>
                <w:sz w:val="16"/>
                <w:szCs w:val="16"/>
              </w:rPr>
            </w:pPr>
          </w:p>
        </w:tc>
        <w:tc>
          <w:tcPr>
            <w:tcW w:w="9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44"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7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44"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5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99"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22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2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2100" w:type="dxa"/>
            <w:tcBorders>
              <w:top w:val="nil"/>
              <w:left w:val="nil"/>
              <w:bottom w:val="nil"/>
              <w:right w:val="nil"/>
            </w:tcBorders>
            <w:shd w:val="clear" w:color="auto" w:fill="auto"/>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工资、奖金、津贴和补贴</w:t>
            </w:r>
          </w:p>
        </w:tc>
        <w:tc>
          <w:tcPr>
            <w:tcW w:w="9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4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480,040,081.79</w:t>
            </w:r>
          </w:p>
        </w:tc>
        <w:tc>
          <w:tcPr>
            <w:tcW w:w="7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4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1,005,084,286.85</w:t>
            </w:r>
          </w:p>
        </w:tc>
        <w:tc>
          <w:tcPr>
            <w:tcW w:w="5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9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(980,706,136.07</w:t>
            </w:r>
          </w:p>
        </w:tc>
        <w:tc>
          <w:tcPr>
            <w:tcW w:w="224" w:type="dxa"/>
            <w:tcBorders>
              <w:top w:val="nil"/>
              <w:left w:val="nil"/>
              <w:bottom w:val="nil"/>
              <w:right w:val="nil"/>
            </w:tcBorders>
            <w:shd w:val="clear" w:color="auto" w:fill="auto"/>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2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504,418,232.57</w:t>
            </w: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2100" w:type="dxa"/>
            <w:tcBorders>
              <w:top w:val="nil"/>
              <w:left w:val="nil"/>
              <w:bottom w:val="nil"/>
              <w:right w:val="nil"/>
            </w:tcBorders>
            <w:shd w:val="clear" w:color="auto" w:fill="auto"/>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职工福利费</w:t>
            </w:r>
          </w:p>
        </w:tc>
        <w:tc>
          <w:tcPr>
            <w:tcW w:w="9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4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7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4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35,576,874.93</w:t>
            </w:r>
          </w:p>
        </w:tc>
        <w:tc>
          <w:tcPr>
            <w:tcW w:w="5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9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(35,569,206.11</w:t>
            </w:r>
          </w:p>
        </w:tc>
        <w:tc>
          <w:tcPr>
            <w:tcW w:w="224" w:type="dxa"/>
            <w:tcBorders>
              <w:top w:val="nil"/>
              <w:left w:val="nil"/>
              <w:bottom w:val="nil"/>
              <w:right w:val="nil"/>
            </w:tcBorders>
            <w:shd w:val="clear" w:color="auto" w:fill="auto"/>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2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7,668.82</w:t>
            </w: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2100" w:type="dxa"/>
            <w:tcBorders>
              <w:top w:val="nil"/>
              <w:left w:val="nil"/>
              <w:bottom w:val="nil"/>
              <w:right w:val="nil"/>
            </w:tcBorders>
            <w:shd w:val="clear" w:color="auto" w:fill="auto"/>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社会保险费</w:t>
            </w:r>
          </w:p>
        </w:tc>
        <w:tc>
          <w:tcPr>
            <w:tcW w:w="9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4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7,791.29</w:t>
            </w:r>
          </w:p>
        </w:tc>
        <w:tc>
          <w:tcPr>
            <w:tcW w:w="7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4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29,863,503.28</w:t>
            </w:r>
          </w:p>
        </w:tc>
        <w:tc>
          <w:tcPr>
            <w:tcW w:w="5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9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(29,862,681.15</w:t>
            </w:r>
          </w:p>
        </w:tc>
        <w:tc>
          <w:tcPr>
            <w:tcW w:w="224" w:type="dxa"/>
            <w:tcBorders>
              <w:top w:val="nil"/>
              <w:left w:val="nil"/>
              <w:bottom w:val="nil"/>
              <w:right w:val="nil"/>
            </w:tcBorders>
            <w:shd w:val="clear" w:color="auto" w:fill="auto"/>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2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8,613.42</w:t>
            </w: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2100" w:type="dxa"/>
            <w:tcBorders>
              <w:top w:val="nil"/>
              <w:left w:val="nil"/>
              <w:bottom w:val="nil"/>
              <w:right w:val="nil"/>
            </w:tcBorders>
            <w:shd w:val="clear" w:color="auto" w:fill="auto"/>
            <w:vAlign w:val="bottom"/>
          </w:tcPr>
          <w:p w:rsidR="00AD5BB5" w:rsidRDefault="00F87FF6">
            <w:pPr>
              <w:autoSpaceDE w:val="0"/>
              <w:autoSpaceDN w:val="0"/>
              <w:ind w:leftChars="71" w:left="789" w:hangingChars="400" w:hanging="640"/>
              <w:rPr>
                <w:rFonts w:ascii="Arial" w:eastAsia="黑体" w:hAnsi="Arial" w:cs="Arial"/>
                <w:sz w:val="16"/>
                <w:szCs w:val="16"/>
              </w:rPr>
            </w:pPr>
            <w:r>
              <w:rPr>
                <w:rFonts w:ascii="Arial" w:eastAsia="黑体" w:hAnsi="Arial" w:cs="Arial"/>
                <w:sz w:val="16"/>
                <w:szCs w:val="16"/>
              </w:rPr>
              <w:t>其中：医疗保险费</w:t>
            </w:r>
          </w:p>
        </w:tc>
        <w:tc>
          <w:tcPr>
            <w:tcW w:w="9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4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4,750.27</w:t>
            </w:r>
          </w:p>
        </w:tc>
        <w:tc>
          <w:tcPr>
            <w:tcW w:w="7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4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26,937,096.02</w:t>
            </w:r>
          </w:p>
        </w:tc>
        <w:tc>
          <w:tcPr>
            <w:tcW w:w="5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9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(26,936,471.75</w:t>
            </w:r>
          </w:p>
        </w:tc>
        <w:tc>
          <w:tcPr>
            <w:tcW w:w="224" w:type="dxa"/>
            <w:tcBorders>
              <w:top w:val="nil"/>
              <w:left w:val="nil"/>
              <w:bottom w:val="nil"/>
              <w:right w:val="nil"/>
            </w:tcBorders>
            <w:shd w:val="clear" w:color="auto" w:fill="auto"/>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2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5,374.54</w:t>
            </w: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2100" w:type="dxa"/>
            <w:tcBorders>
              <w:top w:val="nil"/>
              <w:left w:val="nil"/>
              <w:bottom w:val="nil"/>
              <w:right w:val="nil"/>
            </w:tcBorders>
            <w:shd w:val="clear" w:color="auto" w:fill="auto"/>
            <w:vAlign w:val="bottom"/>
          </w:tcPr>
          <w:p w:rsidR="00AD5BB5" w:rsidRDefault="00F87FF6">
            <w:pPr>
              <w:autoSpaceDE w:val="0"/>
              <w:autoSpaceDN w:val="0"/>
              <w:ind w:leftChars="276" w:left="740" w:hangingChars="100" w:hanging="160"/>
              <w:rPr>
                <w:rFonts w:ascii="Arial" w:eastAsia="黑体" w:hAnsi="Arial" w:cs="Arial"/>
                <w:sz w:val="16"/>
                <w:szCs w:val="16"/>
              </w:rPr>
            </w:pPr>
            <w:r>
              <w:rPr>
                <w:rFonts w:ascii="Arial" w:eastAsia="黑体" w:hAnsi="Arial" w:cs="Arial"/>
                <w:sz w:val="16"/>
                <w:szCs w:val="16"/>
              </w:rPr>
              <w:t>工伤保险费</w:t>
            </w:r>
          </w:p>
        </w:tc>
        <w:tc>
          <w:tcPr>
            <w:tcW w:w="9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4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2,764.84</w:t>
            </w:r>
          </w:p>
        </w:tc>
        <w:tc>
          <w:tcPr>
            <w:tcW w:w="7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4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719,216.55</w:t>
            </w:r>
          </w:p>
        </w:tc>
        <w:tc>
          <w:tcPr>
            <w:tcW w:w="5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9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(719,215.06</w:t>
            </w:r>
          </w:p>
        </w:tc>
        <w:tc>
          <w:tcPr>
            <w:tcW w:w="224" w:type="dxa"/>
            <w:tcBorders>
              <w:top w:val="nil"/>
              <w:left w:val="nil"/>
              <w:bottom w:val="nil"/>
              <w:right w:val="nil"/>
            </w:tcBorders>
            <w:shd w:val="clear" w:color="auto" w:fill="auto"/>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2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2,766.33</w:t>
            </w: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2100" w:type="dxa"/>
            <w:tcBorders>
              <w:top w:val="nil"/>
              <w:left w:val="nil"/>
              <w:bottom w:val="nil"/>
              <w:right w:val="nil"/>
            </w:tcBorders>
            <w:shd w:val="clear" w:color="auto" w:fill="auto"/>
            <w:vAlign w:val="bottom"/>
          </w:tcPr>
          <w:p w:rsidR="00AD5BB5" w:rsidRDefault="00F87FF6">
            <w:pPr>
              <w:autoSpaceDE w:val="0"/>
              <w:autoSpaceDN w:val="0"/>
              <w:ind w:leftChars="276" w:left="740" w:hangingChars="100" w:hanging="160"/>
              <w:rPr>
                <w:rFonts w:ascii="Arial" w:eastAsia="黑体" w:hAnsi="Arial" w:cs="Arial"/>
                <w:sz w:val="16"/>
                <w:szCs w:val="16"/>
              </w:rPr>
            </w:pPr>
            <w:r>
              <w:rPr>
                <w:rFonts w:ascii="Arial" w:eastAsia="黑体" w:hAnsi="Arial" w:cs="Arial"/>
                <w:sz w:val="16"/>
                <w:szCs w:val="16"/>
              </w:rPr>
              <w:t>生育保险费</w:t>
            </w:r>
          </w:p>
        </w:tc>
        <w:tc>
          <w:tcPr>
            <w:tcW w:w="9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4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276.18</w:t>
            </w:r>
          </w:p>
        </w:tc>
        <w:tc>
          <w:tcPr>
            <w:tcW w:w="7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4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2,207,190.71</w:t>
            </w:r>
          </w:p>
        </w:tc>
        <w:tc>
          <w:tcPr>
            <w:tcW w:w="5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9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(2,206,994.34</w:t>
            </w:r>
          </w:p>
        </w:tc>
        <w:tc>
          <w:tcPr>
            <w:tcW w:w="224" w:type="dxa"/>
            <w:tcBorders>
              <w:top w:val="nil"/>
              <w:left w:val="nil"/>
              <w:bottom w:val="nil"/>
              <w:right w:val="nil"/>
            </w:tcBorders>
            <w:shd w:val="clear" w:color="auto" w:fill="auto"/>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2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472.55</w:t>
            </w: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2100" w:type="dxa"/>
            <w:tcBorders>
              <w:top w:val="nil"/>
              <w:left w:val="nil"/>
              <w:bottom w:val="nil"/>
              <w:right w:val="nil"/>
            </w:tcBorders>
            <w:shd w:val="clear" w:color="auto" w:fill="auto"/>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住房公积金</w:t>
            </w:r>
          </w:p>
        </w:tc>
        <w:tc>
          <w:tcPr>
            <w:tcW w:w="9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4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96,459.40</w:t>
            </w:r>
          </w:p>
        </w:tc>
        <w:tc>
          <w:tcPr>
            <w:tcW w:w="7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4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63,870,123.04</w:t>
            </w:r>
          </w:p>
        </w:tc>
        <w:tc>
          <w:tcPr>
            <w:tcW w:w="5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9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(63,878,863.04</w:t>
            </w:r>
          </w:p>
        </w:tc>
        <w:tc>
          <w:tcPr>
            <w:tcW w:w="224" w:type="dxa"/>
            <w:tcBorders>
              <w:top w:val="nil"/>
              <w:left w:val="nil"/>
              <w:bottom w:val="nil"/>
              <w:right w:val="nil"/>
            </w:tcBorders>
            <w:shd w:val="clear" w:color="auto" w:fill="auto"/>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2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87,719.40</w:t>
            </w: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2100" w:type="dxa"/>
            <w:tcBorders>
              <w:top w:val="nil"/>
              <w:left w:val="nil"/>
              <w:bottom w:val="nil"/>
              <w:right w:val="nil"/>
            </w:tcBorders>
            <w:shd w:val="clear" w:color="auto" w:fill="auto"/>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工会经费和职工教育经费</w:t>
            </w:r>
          </w:p>
        </w:tc>
        <w:tc>
          <w:tcPr>
            <w:tcW w:w="9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4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919,337.81</w:t>
            </w:r>
          </w:p>
        </w:tc>
        <w:tc>
          <w:tcPr>
            <w:tcW w:w="7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4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19,158,187.01</w:t>
            </w:r>
          </w:p>
        </w:tc>
        <w:tc>
          <w:tcPr>
            <w:tcW w:w="5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9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(18,600,652.00</w:t>
            </w:r>
          </w:p>
        </w:tc>
        <w:tc>
          <w:tcPr>
            <w:tcW w:w="224" w:type="dxa"/>
            <w:tcBorders>
              <w:top w:val="nil"/>
              <w:left w:val="nil"/>
              <w:bottom w:val="nil"/>
              <w:right w:val="nil"/>
            </w:tcBorders>
            <w:shd w:val="clear" w:color="auto" w:fill="auto"/>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2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1,476,872.82</w:t>
            </w: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2100" w:type="dxa"/>
            <w:tcBorders>
              <w:top w:val="nil"/>
              <w:left w:val="nil"/>
              <w:bottom w:val="nil"/>
              <w:right w:val="nil"/>
            </w:tcBorders>
            <w:shd w:val="clear" w:color="auto" w:fill="auto"/>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其他福利</w:t>
            </w:r>
          </w:p>
        </w:tc>
        <w:tc>
          <w:tcPr>
            <w:tcW w:w="9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4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154,242.26</w:t>
            </w:r>
          </w:p>
        </w:tc>
        <w:tc>
          <w:tcPr>
            <w:tcW w:w="7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4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6,742,308.24</w:t>
            </w:r>
          </w:p>
        </w:tc>
        <w:tc>
          <w:tcPr>
            <w:tcW w:w="5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9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(6,742,036.88</w:t>
            </w:r>
          </w:p>
        </w:tc>
        <w:tc>
          <w:tcPr>
            <w:tcW w:w="224" w:type="dxa"/>
            <w:tcBorders>
              <w:top w:val="nil"/>
              <w:left w:val="nil"/>
              <w:bottom w:val="nil"/>
              <w:right w:val="nil"/>
            </w:tcBorders>
            <w:shd w:val="clear" w:color="auto" w:fill="auto"/>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2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154,513.62</w:t>
            </w: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2100" w:type="dxa"/>
            <w:tcBorders>
              <w:top w:val="nil"/>
              <w:left w:val="nil"/>
              <w:bottom w:val="nil"/>
              <w:right w:val="nil"/>
            </w:tcBorders>
            <w:shd w:val="clear" w:color="auto" w:fill="auto"/>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设定提存计划</w:t>
            </w:r>
          </w:p>
        </w:tc>
        <w:tc>
          <w:tcPr>
            <w:tcW w:w="9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44"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7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44"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5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99"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22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2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2100" w:type="dxa"/>
            <w:tcBorders>
              <w:top w:val="nil"/>
              <w:left w:val="nil"/>
              <w:bottom w:val="nil"/>
              <w:right w:val="nil"/>
            </w:tcBorders>
            <w:shd w:val="clear" w:color="auto" w:fill="auto"/>
            <w:vAlign w:val="bottom"/>
          </w:tcPr>
          <w:p w:rsidR="00AD5BB5" w:rsidRDefault="00F87FF6">
            <w:pPr>
              <w:autoSpaceDE w:val="0"/>
              <w:autoSpaceDN w:val="0"/>
              <w:ind w:leftChars="71" w:left="789" w:hangingChars="400" w:hanging="640"/>
              <w:rPr>
                <w:rFonts w:ascii="Arial" w:eastAsia="黑体" w:hAnsi="Arial" w:cs="Arial"/>
                <w:sz w:val="16"/>
                <w:szCs w:val="16"/>
              </w:rPr>
            </w:pPr>
            <w:r>
              <w:rPr>
                <w:rFonts w:ascii="Arial" w:eastAsia="黑体" w:hAnsi="Arial" w:cs="Arial"/>
                <w:sz w:val="16"/>
                <w:szCs w:val="16"/>
              </w:rPr>
              <w:t>其中：基本养老保险费</w:t>
            </w:r>
          </w:p>
        </w:tc>
        <w:tc>
          <w:tcPr>
            <w:tcW w:w="9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4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285,390.00</w:t>
            </w:r>
          </w:p>
        </w:tc>
        <w:tc>
          <w:tcPr>
            <w:tcW w:w="7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4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56,064,117.69</w:t>
            </w:r>
          </w:p>
        </w:tc>
        <w:tc>
          <w:tcPr>
            <w:tcW w:w="5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9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(56,290,841.98</w:t>
            </w:r>
          </w:p>
        </w:tc>
        <w:tc>
          <w:tcPr>
            <w:tcW w:w="224" w:type="dxa"/>
            <w:tcBorders>
              <w:top w:val="nil"/>
              <w:left w:val="nil"/>
              <w:bottom w:val="nil"/>
              <w:right w:val="nil"/>
            </w:tcBorders>
            <w:shd w:val="clear" w:color="auto" w:fill="auto"/>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2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58,665.71</w:t>
            </w: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2100" w:type="dxa"/>
            <w:tcBorders>
              <w:top w:val="nil"/>
              <w:left w:val="nil"/>
              <w:bottom w:val="nil"/>
              <w:right w:val="nil"/>
            </w:tcBorders>
            <w:shd w:val="clear" w:color="auto" w:fill="auto"/>
            <w:vAlign w:val="bottom"/>
          </w:tcPr>
          <w:p w:rsidR="00AD5BB5" w:rsidRDefault="00F87FF6">
            <w:pPr>
              <w:autoSpaceDE w:val="0"/>
              <w:autoSpaceDN w:val="0"/>
              <w:ind w:leftChars="276" w:left="740" w:hangingChars="100" w:hanging="160"/>
              <w:rPr>
                <w:rFonts w:ascii="Arial" w:eastAsia="黑体" w:hAnsi="Arial" w:cs="Arial"/>
                <w:sz w:val="16"/>
                <w:szCs w:val="16"/>
              </w:rPr>
            </w:pPr>
            <w:r>
              <w:rPr>
                <w:rFonts w:ascii="Arial" w:eastAsia="黑体" w:hAnsi="Arial" w:cs="Arial"/>
                <w:sz w:val="16"/>
                <w:szCs w:val="16"/>
              </w:rPr>
              <w:t>失业保险费</w:t>
            </w:r>
          </w:p>
        </w:tc>
        <w:tc>
          <w:tcPr>
            <w:tcW w:w="9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4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23,418.56</w:t>
            </w:r>
          </w:p>
        </w:tc>
        <w:tc>
          <w:tcPr>
            <w:tcW w:w="7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4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1,426,179.82</w:t>
            </w:r>
          </w:p>
        </w:tc>
        <w:tc>
          <w:tcPr>
            <w:tcW w:w="5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9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(1,433,114.13</w:t>
            </w:r>
          </w:p>
        </w:tc>
        <w:tc>
          <w:tcPr>
            <w:tcW w:w="224" w:type="dxa"/>
            <w:tcBorders>
              <w:top w:val="nil"/>
              <w:left w:val="nil"/>
              <w:bottom w:val="nil"/>
              <w:right w:val="nil"/>
            </w:tcBorders>
            <w:shd w:val="clear" w:color="auto" w:fill="auto"/>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2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16,484.25</w:t>
            </w: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2100" w:type="dxa"/>
            <w:tcBorders>
              <w:top w:val="nil"/>
              <w:left w:val="nil"/>
              <w:bottom w:val="nil"/>
              <w:right w:val="nil"/>
            </w:tcBorders>
            <w:shd w:val="clear" w:color="auto" w:fill="auto"/>
            <w:vAlign w:val="bottom"/>
          </w:tcPr>
          <w:p w:rsidR="00AD5BB5" w:rsidRDefault="00F87FF6">
            <w:pPr>
              <w:autoSpaceDE w:val="0"/>
              <w:autoSpaceDN w:val="0"/>
              <w:ind w:leftChars="276" w:left="740" w:hangingChars="100" w:hanging="160"/>
              <w:rPr>
                <w:rFonts w:ascii="Arial" w:eastAsia="黑体" w:hAnsi="Arial" w:cs="Arial"/>
                <w:sz w:val="16"/>
                <w:szCs w:val="16"/>
              </w:rPr>
            </w:pPr>
            <w:r>
              <w:rPr>
                <w:rFonts w:ascii="Arial" w:eastAsia="黑体" w:hAnsi="Arial" w:cs="Arial"/>
                <w:sz w:val="16"/>
                <w:szCs w:val="16"/>
              </w:rPr>
              <w:t>企业年金</w:t>
            </w:r>
          </w:p>
        </w:tc>
        <w:tc>
          <w:tcPr>
            <w:tcW w:w="9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44"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18,152.94</w:t>
            </w:r>
          </w:p>
        </w:tc>
        <w:tc>
          <w:tcPr>
            <w:tcW w:w="7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44"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62,267,618.19</w:t>
            </w:r>
          </w:p>
        </w:tc>
        <w:tc>
          <w:tcPr>
            <w:tcW w:w="5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99"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(62,285,771.13</w:t>
            </w:r>
          </w:p>
        </w:tc>
        <w:tc>
          <w:tcPr>
            <w:tcW w:w="224" w:type="dxa"/>
            <w:tcBorders>
              <w:top w:val="nil"/>
              <w:left w:val="nil"/>
              <w:bottom w:val="nil"/>
              <w:right w:val="nil"/>
            </w:tcBorders>
            <w:shd w:val="clear" w:color="auto" w:fill="auto"/>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2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2100" w:type="dxa"/>
            <w:tcBorders>
              <w:top w:val="nil"/>
              <w:left w:val="nil"/>
              <w:bottom w:val="nil"/>
              <w:right w:val="nil"/>
            </w:tcBorders>
            <w:shd w:val="clear" w:color="auto" w:fill="auto"/>
            <w:vAlign w:val="bottom"/>
          </w:tcPr>
          <w:p w:rsidR="00AD5BB5" w:rsidRDefault="00AD5BB5">
            <w:pPr>
              <w:autoSpaceDE w:val="0"/>
              <w:autoSpaceDN w:val="0"/>
              <w:ind w:left="240" w:hangingChars="150" w:hanging="240"/>
              <w:rPr>
                <w:rFonts w:ascii="Arial" w:eastAsia="黑体" w:hAnsi="Arial" w:cs="Arial"/>
                <w:sz w:val="16"/>
                <w:szCs w:val="16"/>
              </w:rPr>
            </w:pPr>
          </w:p>
        </w:tc>
        <w:tc>
          <w:tcPr>
            <w:tcW w:w="9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44"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7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44"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5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99"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224"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2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04"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2100" w:type="dxa"/>
            <w:tcBorders>
              <w:top w:val="nil"/>
              <w:left w:val="nil"/>
              <w:bottom w:val="nil"/>
              <w:right w:val="nil"/>
            </w:tcBorders>
            <w:shd w:val="clear" w:color="auto" w:fill="auto"/>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合计</w:t>
            </w:r>
          </w:p>
        </w:tc>
        <w:tc>
          <w:tcPr>
            <w:tcW w:w="98"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44" w:type="dxa"/>
            <w:tcBorders>
              <w:top w:val="nil"/>
              <w:left w:val="nil"/>
              <w:bottom w:val="doub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481,544,874.05</w:t>
            </w:r>
          </w:p>
        </w:tc>
        <w:tc>
          <w:tcPr>
            <w:tcW w:w="7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44" w:type="dxa"/>
            <w:tcBorders>
              <w:top w:val="nil"/>
              <w:left w:val="nil"/>
              <w:bottom w:val="doub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1,280,053,199.05</w:t>
            </w:r>
          </w:p>
        </w:tc>
        <w:tc>
          <w:tcPr>
            <w:tcW w:w="5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4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99" w:type="dxa"/>
            <w:tcBorders>
              <w:top w:val="nil"/>
              <w:left w:val="nil"/>
              <w:bottom w:val="doub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(1,255,369,302.49</w:t>
            </w:r>
          </w:p>
        </w:tc>
        <w:tc>
          <w:tcPr>
            <w:tcW w:w="224" w:type="dxa"/>
            <w:tcBorders>
              <w:top w:val="nil"/>
              <w:left w:val="nil"/>
              <w:bottom w:val="nil"/>
              <w:right w:val="nil"/>
            </w:tcBorders>
            <w:shd w:val="clear" w:color="auto" w:fill="auto"/>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20"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doub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506,228,770.61</w:t>
            </w: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bl>
    <w:p w:rsidR="00AD5BB5" w:rsidRDefault="00AD5BB5">
      <w:pPr>
        <w:overflowPunct w:val="0"/>
        <w:autoSpaceDE w:val="0"/>
        <w:autoSpaceDN w:val="0"/>
        <w:adjustRightInd w:val="0"/>
        <w:snapToGrid w:val="0"/>
        <w:ind w:left="720" w:hanging="720"/>
        <w:textAlignment w:val="bottom"/>
        <w:rPr>
          <w:rFonts w:ascii="Arial" w:eastAsia="黑体" w:hAnsi="Arial" w:cs="Arial"/>
          <w:b/>
          <w:bCs/>
          <w:snapToGrid w:val="0"/>
          <w:szCs w:val="21"/>
        </w:rPr>
      </w:pPr>
    </w:p>
    <w:p w:rsidR="00AD5BB5" w:rsidRDefault="00F87FF6">
      <w:pPr>
        <w:pStyle w:val="af5"/>
        <w:keepNext w:val="0"/>
        <w:keepLines w:val="0"/>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192" w:name="afsaddin_Section_fd0b9ad953c14c5aa51c1db"/>
      <w:r>
        <w:rPr>
          <w:rFonts w:ascii="Arial" w:eastAsia="黑体" w:hAnsi="Arial" w:cs="Arial" w:hint="default"/>
          <w:bCs w:val="0"/>
          <w:snapToGrid w:val="0"/>
          <w:color w:val="auto"/>
          <w:sz w:val="21"/>
          <w:szCs w:val="21"/>
        </w:rPr>
        <w:t>25.</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应交税费</w:t>
      </w:r>
    </w:p>
    <w:bookmarkEnd w:id="192"/>
    <w:p w:rsidR="00AD5BB5" w:rsidRDefault="00AD5BB5">
      <w:pPr>
        <w:tabs>
          <w:tab w:val="right" w:pos="6240"/>
          <w:tab w:val="right" w:pos="8280"/>
        </w:tabs>
        <w:overflowPunct w:val="0"/>
        <w:autoSpaceDE w:val="0"/>
        <w:autoSpaceDN w:val="0"/>
        <w:adjustRightInd w:val="0"/>
        <w:snapToGrid w:val="0"/>
        <w:textAlignment w:val="bottom"/>
        <w:rPr>
          <w:rFonts w:ascii="Arial" w:eastAsia="黑体" w:hAnsi="Arial" w:cs="Arial"/>
          <w:bCs/>
          <w:snapToGrid w:val="0"/>
          <w:szCs w:val="21"/>
        </w:rPr>
      </w:pPr>
    </w:p>
    <w:tbl>
      <w:tblPr>
        <w:tblW w:w="0" w:type="auto"/>
        <w:tblLayout w:type="fixed"/>
        <w:tblCellMar>
          <w:left w:w="0" w:type="dxa"/>
          <w:right w:w="0" w:type="dxa"/>
        </w:tblCellMar>
        <w:tblLook w:val="04A0" w:firstRow="1" w:lastRow="0" w:firstColumn="1" w:lastColumn="0" w:noHBand="0" w:noVBand="1"/>
        <w:tblCaption w:val="4c2f3257-b490-4278-8080-de0a7c547a0d"/>
        <w:tblDescription w:val="{&quot;UUID&quot;:&quot;afsaddin_tabledata_2_56437_4c2f3257-b490-4278-8080-de0a7c547a0d&quot;,&quot;TitleRowCount&quot;:2,&quot;SplitedTable&quot;:false,&quot;FirstTableId&quot;:&quot;4c2f3257-b490-4278-8080-de0a7c547a0d&quot;}"/>
      </w:tblPr>
      <w:tblGrid>
        <w:gridCol w:w="3502"/>
        <w:gridCol w:w="109"/>
        <w:gridCol w:w="2317"/>
        <w:gridCol w:w="110"/>
        <w:gridCol w:w="110"/>
        <w:gridCol w:w="2168"/>
        <w:gridCol w:w="110"/>
      </w:tblGrid>
      <w:tr w:rsidR="00AD5BB5">
        <w:trPr>
          <w:trHeight w:val="170"/>
        </w:trPr>
        <w:tc>
          <w:tcPr>
            <w:tcW w:w="3502" w:type="dxa"/>
            <w:tcBorders>
              <w:top w:val="nil"/>
              <w:left w:val="nil"/>
              <w:bottom w:val="nil"/>
              <w:right w:val="nil"/>
            </w:tcBorders>
            <w:shd w:val="clear" w:color="000000" w:fill="auto"/>
            <w:noWrap/>
          </w:tcPr>
          <w:p w:rsidR="00AD5BB5" w:rsidRDefault="00AD5BB5">
            <w:pPr>
              <w:kinsoku w:val="0"/>
              <w:overflowPunct w:val="0"/>
              <w:autoSpaceDE w:val="0"/>
              <w:autoSpaceDN w:val="0"/>
              <w:adjustRightInd w:val="0"/>
              <w:snapToGrid w:val="0"/>
              <w:ind w:left="315" w:hangingChars="150" w:hanging="315"/>
              <w:rPr>
                <w:rFonts w:ascii="Arial" w:eastAsia="黑体" w:hAnsi="Arial" w:cs="Arial"/>
                <w:color w:val="000000"/>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napToGrid w:val="0"/>
                <w:szCs w:val="21"/>
              </w:rPr>
            </w:pP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当期资产负债表日</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2023</w:t>
            </w:r>
            <w:r>
              <w:rPr>
                <w:rFonts w:ascii="Arial" w:eastAsia="黑体" w:hAnsi="Arial" w:cs="Arial"/>
                <w:snapToGrid w:val="0"/>
                <w:szCs w:val="21"/>
              </w:rPr>
              <w:t>年</w:t>
            </w:r>
            <w:r>
              <w:rPr>
                <w:rFonts w:ascii="Arial" w:eastAsia="黑体" w:hAnsi="Arial" w:cs="Arial"/>
                <w:snapToGrid w:val="0"/>
                <w:szCs w:val="21"/>
              </w:rPr>
              <w:t>6</w:t>
            </w:r>
            <w:r>
              <w:rPr>
                <w:rFonts w:ascii="Arial" w:eastAsia="黑体" w:hAnsi="Arial" w:cs="Arial"/>
                <w:snapToGrid w:val="0"/>
                <w:szCs w:val="21"/>
              </w:rPr>
              <w:t>月</w:t>
            </w:r>
            <w:r>
              <w:rPr>
                <w:rFonts w:ascii="Arial" w:eastAsia="黑体" w:hAnsi="Arial" w:cs="Arial"/>
                <w:snapToGrid w:val="0"/>
                <w:szCs w:val="21"/>
              </w:rPr>
              <w:t>30</w:t>
            </w:r>
            <w:r>
              <w:rPr>
                <w:rFonts w:ascii="Arial" w:eastAsia="黑体" w:hAnsi="Arial" w:cs="Arial"/>
                <w:snapToGrid w:val="0"/>
                <w:szCs w:val="21"/>
              </w:rPr>
              <w:t>日</w:t>
            </w:r>
            <w:r>
              <w:rPr>
                <w:rFonts w:ascii="Arial" w:eastAsia="黑体" w:hAnsi="Arial" w:cs="Arial"/>
                <w:snapToGrid w:val="0"/>
                <w:szCs w:val="21"/>
              </w:rPr>
              <w:fldChar w:fldCharType="end"/>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napToGrid w:val="0"/>
                <w:szCs w:val="21"/>
              </w:rPr>
            </w:pPr>
            <w:r>
              <w:rPr>
                <w:rFonts w:ascii="Arial" w:eastAsia="黑体" w:hAnsi="Arial" w:cs="Arial"/>
                <w:snapToGrid w:val="0"/>
                <w:szCs w:val="21"/>
              </w:rPr>
              <w:t>2022</w:t>
            </w:r>
            <w:r>
              <w:rPr>
                <w:rFonts w:ascii="Arial" w:eastAsia="黑体" w:hAnsi="Arial" w:cs="Arial"/>
                <w:snapToGrid w:val="0"/>
                <w:szCs w:val="21"/>
              </w:rPr>
              <w:t>年</w:t>
            </w:r>
            <w:r>
              <w:rPr>
                <w:rFonts w:ascii="Arial" w:eastAsia="黑体" w:hAnsi="Arial" w:cs="Arial"/>
                <w:snapToGrid w:val="0"/>
                <w:szCs w:val="21"/>
              </w:rPr>
              <w:t>12</w:t>
            </w:r>
            <w:r>
              <w:rPr>
                <w:rFonts w:ascii="Arial" w:eastAsia="黑体" w:hAnsi="Arial" w:cs="Arial"/>
                <w:snapToGrid w:val="0"/>
                <w:szCs w:val="21"/>
              </w:rPr>
              <w:t>月</w:t>
            </w:r>
            <w:r>
              <w:rPr>
                <w:rFonts w:ascii="Arial" w:eastAsia="黑体" w:hAnsi="Arial" w:cs="Arial"/>
                <w:snapToGrid w:val="0"/>
                <w:szCs w:val="21"/>
              </w:rPr>
              <w:t>31</w:t>
            </w:r>
            <w:r>
              <w:rPr>
                <w:rFonts w:ascii="Arial" w:eastAsia="黑体" w:hAnsi="Arial" w:cs="Arial"/>
                <w:snapToGrid w:val="0"/>
                <w:szCs w:val="21"/>
              </w:rPr>
              <w:t>日</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AD5BB5">
            <w:pPr>
              <w:kinsoku w:val="0"/>
              <w:overflowPunct w:val="0"/>
              <w:autoSpaceDE w:val="0"/>
              <w:autoSpaceDN w:val="0"/>
              <w:adjustRightInd w:val="0"/>
              <w:snapToGrid w:val="0"/>
              <w:ind w:left="315" w:hangingChars="150" w:hanging="315"/>
              <w:rPr>
                <w:rFonts w:ascii="Arial" w:eastAsia="黑体" w:hAnsi="Arial" w:cs="Arial"/>
                <w:color w:val="000000"/>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napToGrid w:val="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216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napToGrid w:val="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snapToGrid w:val="0"/>
                <w:szCs w:val="21"/>
              </w:rPr>
              <w:t>企业所得税</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45,185,407.01</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83,111,235.09</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snapToGrid w:val="0"/>
                <w:szCs w:val="21"/>
              </w:rPr>
              <w:t>增值税</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161,857,325.96</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175,077,722.49</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snapToGrid w:val="0"/>
                <w:szCs w:val="21"/>
              </w:rPr>
              <w:t>其他</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5,850,672.73</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9,799,906.37</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17"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合计</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doub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212,893,405.70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doub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267,988,863.95</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bl>
    <w:p w:rsidR="00AD5BB5" w:rsidRDefault="00AD5BB5">
      <w:pPr>
        <w:tabs>
          <w:tab w:val="right" w:pos="6240"/>
          <w:tab w:val="right" w:pos="8280"/>
        </w:tabs>
        <w:overflowPunct w:val="0"/>
        <w:autoSpaceDE w:val="0"/>
        <w:autoSpaceDN w:val="0"/>
        <w:adjustRightInd w:val="0"/>
        <w:snapToGrid w:val="0"/>
        <w:textAlignment w:val="bottom"/>
        <w:rPr>
          <w:rFonts w:ascii="Arial" w:eastAsia="黑体" w:hAnsi="Arial" w:cs="Arial"/>
          <w:snapToGrid w:val="0"/>
          <w:szCs w:val="21"/>
        </w:rPr>
      </w:pPr>
    </w:p>
    <w:p w:rsidR="00AD5BB5" w:rsidRDefault="00F87FF6">
      <w:pPr>
        <w:pStyle w:val="af5"/>
        <w:keepNext w:val="0"/>
        <w:keepLines w:val="0"/>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193" w:name="afsaddin_Section_da945cfe970c44589778e0a"/>
      <w:r>
        <w:rPr>
          <w:rFonts w:ascii="Arial" w:eastAsia="黑体" w:hAnsi="Arial" w:cs="Arial" w:hint="default"/>
          <w:bCs w:val="0"/>
          <w:snapToGrid w:val="0"/>
          <w:color w:val="auto"/>
          <w:sz w:val="21"/>
          <w:szCs w:val="21"/>
        </w:rPr>
        <w:t>26.</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应付债券</w:t>
      </w:r>
    </w:p>
    <w:bookmarkEnd w:id="193"/>
    <w:p w:rsidR="00AD5BB5" w:rsidRDefault="00AD5BB5">
      <w:pPr>
        <w:tabs>
          <w:tab w:val="right" w:pos="6240"/>
          <w:tab w:val="right" w:pos="8280"/>
        </w:tabs>
        <w:overflowPunct w:val="0"/>
        <w:autoSpaceDE w:val="0"/>
        <w:autoSpaceDN w:val="0"/>
        <w:adjustRightInd w:val="0"/>
        <w:snapToGrid w:val="0"/>
        <w:textAlignment w:val="bottom"/>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5027d87e-3702-4585-af5d-e88f282c2b85"/>
        <w:tblDescription w:val="{&quot;UUID&quot;:&quot;afsaddin_tabledata_2_56437_5027d87e-3702-4585-af5d-e88f282c2b85&quot;,&quot;TitleRowCount&quot;:2,&quot;SplitedTable&quot;:false,&quot;FirstTableId&quot;:&quot;5027d87e-3702-4585-af5d-e88f282c2b85&quot;}"/>
      </w:tblPr>
      <w:tblGrid>
        <w:gridCol w:w="3430"/>
        <w:gridCol w:w="109"/>
        <w:gridCol w:w="2317"/>
        <w:gridCol w:w="110"/>
        <w:gridCol w:w="110"/>
        <w:gridCol w:w="2168"/>
        <w:gridCol w:w="110"/>
      </w:tblGrid>
      <w:tr w:rsidR="00AD5BB5">
        <w:trPr>
          <w:trHeight w:val="170"/>
        </w:trPr>
        <w:tc>
          <w:tcPr>
            <w:tcW w:w="343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color w:val="000000"/>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16" w:right="34"/>
              <w:jc w:val="right"/>
              <w:rPr>
                <w:rFonts w:ascii="Arial" w:eastAsia="黑体" w:hAnsi="Arial" w:cs="Arial"/>
                <w:snapToGrid w:val="0"/>
                <w:szCs w:val="21"/>
              </w:rPr>
            </w:pP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当期资产负债表日</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2023</w:t>
            </w:r>
            <w:r>
              <w:rPr>
                <w:rFonts w:ascii="Arial" w:eastAsia="黑体" w:hAnsi="Arial" w:cs="Arial"/>
                <w:snapToGrid w:val="0"/>
                <w:szCs w:val="21"/>
              </w:rPr>
              <w:t>年</w:t>
            </w:r>
            <w:r>
              <w:rPr>
                <w:rFonts w:ascii="Arial" w:eastAsia="黑体" w:hAnsi="Arial" w:cs="Arial"/>
                <w:snapToGrid w:val="0"/>
                <w:szCs w:val="21"/>
              </w:rPr>
              <w:t>6</w:t>
            </w:r>
            <w:r>
              <w:rPr>
                <w:rFonts w:ascii="Arial" w:eastAsia="黑体" w:hAnsi="Arial" w:cs="Arial"/>
                <w:snapToGrid w:val="0"/>
                <w:szCs w:val="21"/>
              </w:rPr>
              <w:t>月</w:t>
            </w:r>
            <w:r>
              <w:rPr>
                <w:rFonts w:ascii="Arial" w:eastAsia="黑体" w:hAnsi="Arial" w:cs="Arial"/>
                <w:snapToGrid w:val="0"/>
                <w:szCs w:val="21"/>
              </w:rPr>
              <w:t>30</w:t>
            </w:r>
            <w:r>
              <w:rPr>
                <w:rFonts w:ascii="Arial" w:eastAsia="黑体" w:hAnsi="Arial" w:cs="Arial"/>
                <w:snapToGrid w:val="0"/>
                <w:szCs w:val="21"/>
              </w:rPr>
              <w:t>日</w:t>
            </w:r>
            <w:r>
              <w:rPr>
                <w:rFonts w:ascii="Arial" w:eastAsia="黑体" w:hAnsi="Arial" w:cs="Arial"/>
                <w:snapToGrid w:val="0"/>
                <w:szCs w:val="21"/>
              </w:rPr>
              <w:fldChar w:fldCharType="end"/>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16" w:right="34"/>
              <w:jc w:val="right"/>
              <w:rPr>
                <w:rFonts w:ascii="Arial" w:eastAsia="黑体" w:hAnsi="Arial" w:cs="Arial"/>
                <w:snapToGrid w:val="0"/>
                <w:szCs w:val="21"/>
              </w:rPr>
            </w:pPr>
            <w:r>
              <w:rPr>
                <w:rFonts w:ascii="Arial" w:eastAsia="黑体" w:hAnsi="Arial" w:cs="Arial"/>
                <w:snapToGrid w:val="0"/>
                <w:szCs w:val="21"/>
              </w:rPr>
              <w:t>2022</w:t>
            </w:r>
            <w:r>
              <w:rPr>
                <w:rFonts w:ascii="Arial" w:eastAsia="黑体" w:hAnsi="Arial" w:cs="Arial"/>
                <w:snapToGrid w:val="0"/>
                <w:szCs w:val="21"/>
              </w:rPr>
              <w:t>年</w:t>
            </w:r>
            <w:r>
              <w:rPr>
                <w:rFonts w:ascii="Arial" w:eastAsia="黑体" w:hAnsi="Arial" w:cs="Arial"/>
                <w:snapToGrid w:val="0"/>
                <w:szCs w:val="21"/>
              </w:rPr>
              <w:t>12</w:t>
            </w:r>
            <w:r>
              <w:rPr>
                <w:rFonts w:ascii="Arial" w:eastAsia="黑体" w:hAnsi="Arial" w:cs="Arial"/>
                <w:snapToGrid w:val="0"/>
                <w:szCs w:val="21"/>
              </w:rPr>
              <w:t>月</w:t>
            </w:r>
            <w:r>
              <w:rPr>
                <w:rFonts w:ascii="Arial" w:eastAsia="黑体" w:hAnsi="Arial" w:cs="Arial"/>
                <w:snapToGrid w:val="0"/>
                <w:szCs w:val="21"/>
              </w:rPr>
              <w:t>31</w:t>
            </w:r>
            <w:r>
              <w:rPr>
                <w:rFonts w:ascii="Arial" w:eastAsia="黑体" w:hAnsi="Arial" w:cs="Arial"/>
                <w:snapToGrid w:val="0"/>
                <w:szCs w:val="21"/>
              </w:rPr>
              <w:t>日</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r>
      <w:tr w:rsidR="00AD5BB5">
        <w:trPr>
          <w:trHeight w:val="170"/>
        </w:trPr>
        <w:tc>
          <w:tcPr>
            <w:tcW w:w="343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color w:val="000000"/>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16" w:right="34"/>
              <w:jc w:val="right"/>
              <w:rPr>
                <w:rFonts w:ascii="Arial" w:eastAsia="黑体" w:hAnsi="Arial" w:cs="Arial"/>
                <w:snapToGrid w:val="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216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napToGrid w:val="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r>
      <w:tr w:rsidR="00AD5BB5">
        <w:trPr>
          <w:trHeight w:val="170"/>
        </w:trPr>
        <w:tc>
          <w:tcPr>
            <w:tcW w:w="3430"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21</w:t>
            </w:r>
            <w:r>
              <w:rPr>
                <w:rFonts w:ascii="Arial" w:eastAsia="黑体" w:hAnsi="Arial" w:cs="Arial"/>
                <w:snapToGrid w:val="0"/>
                <w:szCs w:val="21"/>
              </w:rPr>
              <w:t>厦门银行二级</w:t>
            </w:r>
            <w:r>
              <w:rPr>
                <w:rFonts w:ascii="Arial" w:eastAsia="黑体" w:hAnsi="Arial" w:cs="Arial"/>
                <w:snapToGrid w:val="0"/>
                <w:szCs w:val="21"/>
              </w:rPr>
              <w:t>01</w:t>
            </w:r>
            <w:r>
              <w:rPr>
                <w:rFonts w:ascii="Arial" w:eastAsia="黑体" w:hAnsi="Arial" w:cs="Arial"/>
                <w:snapToGrid w:val="0"/>
                <w:szCs w:val="21"/>
              </w:rPr>
              <w:t>（注</w:t>
            </w:r>
            <w:r>
              <w:rPr>
                <w:rFonts w:ascii="Arial" w:eastAsia="黑体" w:hAnsi="Arial" w:cs="Arial"/>
                <w:snapToGrid w:val="0"/>
                <w:szCs w:val="21"/>
              </w:rPr>
              <w:t>1</w:t>
            </w:r>
            <w:r>
              <w:rPr>
                <w:rFonts w:ascii="Arial" w:eastAsia="黑体" w:hAnsi="Arial" w:cs="Arial"/>
                <w:snapToGrid w:val="0"/>
                <w:szCs w:val="21"/>
              </w:rPr>
              <w:t>）</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16" w:right="34"/>
              <w:jc w:val="right"/>
              <w:rPr>
                <w:rFonts w:ascii="Arial" w:eastAsia="黑体" w:hAnsi="Arial" w:cs="Arial"/>
                <w:snapToGrid w:val="0"/>
                <w:szCs w:val="21"/>
              </w:rPr>
            </w:pPr>
            <w:r>
              <w:rPr>
                <w:rFonts w:ascii="Arial" w:eastAsia="黑体" w:hAnsi="Arial" w:cs="Arial"/>
                <w:snapToGrid w:val="0"/>
                <w:szCs w:val="21"/>
              </w:rPr>
              <w:t>1,999,706,178.37</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16" w:right="34"/>
              <w:jc w:val="right"/>
              <w:rPr>
                <w:rFonts w:ascii="Arial" w:eastAsia="黑体" w:hAnsi="Arial" w:cs="Arial"/>
                <w:snapToGrid w:val="0"/>
                <w:szCs w:val="21"/>
              </w:rPr>
            </w:pPr>
            <w:r>
              <w:rPr>
                <w:rFonts w:ascii="Arial" w:eastAsia="黑体" w:hAnsi="Arial" w:cs="Arial"/>
                <w:snapToGrid w:val="0"/>
                <w:szCs w:val="21"/>
              </w:rPr>
              <w:t>1,999,691,230.07</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430"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21</w:t>
            </w:r>
            <w:r>
              <w:rPr>
                <w:rFonts w:ascii="Arial" w:eastAsia="黑体" w:hAnsi="Arial" w:cs="Arial"/>
                <w:snapToGrid w:val="0"/>
                <w:szCs w:val="21"/>
              </w:rPr>
              <w:t>厦门银行二级</w:t>
            </w:r>
            <w:r>
              <w:rPr>
                <w:rFonts w:ascii="Arial" w:eastAsia="黑体" w:hAnsi="Arial" w:cs="Arial"/>
                <w:snapToGrid w:val="0"/>
                <w:szCs w:val="21"/>
              </w:rPr>
              <w:t>02</w:t>
            </w:r>
            <w:r>
              <w:rPr>
                <w:rFonts w:ascii="Arial" w:eastAsia="黑体" w:hAnsi="Arial" w:cs="Arial"/>
                <w:snapToGrid w:val="0"/>
                <w:szCs w:val="21"/>
              </w:rPr>
              <w:t>（注</w:t>
            </w:r>
            <w:r>
              <w:rPr>
                <w:rFonts w:ascii="Arial" w:eastAsia="黑体" w:hAnsi="Arial" w:cs="Arial"/>
                <w:snapToGrid w:val="0"/>
                <w:szCs w:val="21"/>
              </w:rPr>
              <w:t>2</w:t>
            </w:r>
            <w:r>
              <w:rPr>
                <w:rFonts w:ascii="Arial" w:eastAsia="黑体" w:hAnsi="Arial" w:cs="Arial"/>
                <w:snapToGrid w:val="0"/>
                <w:szCs w:val="21"/>
              </w:rPr>
              <w:t>）</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16" w:right="34"/>
              <w:jc w:val="right"/>
              <w:rPr>
                <w:rFonts w:ascii="Arial" w:eastAsia="黑体" w:hAnsi="Arial" w:cs="Arial"/>
                <w:snapToGrid w:val="0"/>
                <w:szCs w:val="21"/>
              </w:rPr>
            </w:pPr>
            <w:r>
              <w:rPr>
                <w:rFonts w:ascii="Arial" w:eastAsia="黑体" w:hAnsi="Arial" w:cs="Arial"/>
                <w:snapToGrid w:val="0"/>
                <w:szCs w:val="21"/>
              </w:rPr>
              <w:t>2,499,602,797.78</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16" w:right="34"/>
              <w:jc w:val="right"/>
              <w:rPr>
                <w:rFonts w:ascii="Arial" w:eastAsia="黑体" w:hAnsi="Arial" w:cs="Arial"/>
                <w:snapToGrid w:val="0"/>
                <w:szCs w:val="21"/>
              </w:rPr>
            </w:pPr>
            <w:r>
              <w:rPr>
                <w:rFonts w:ascii="Arial" w:eastAsia="黑体" w:hAnsi="Arial" w:cs="Arial"/>
                <w:snapToGrid w:val="0"/>
                <w:szCs w:val="21"/>
              </w:rPr>
              <w:t>2,499,582,724.58</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430"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22</w:t>
            </w:r>
            <w:r>
              <w:rPr>
                <w:rFonts w:ascii="Arial" w:eastAsia="黑体" w:hAnsi="Arial" w:cs="Arial"/>
                <w:snapToGrid w:val="0"/>
                <w:szCs w:val="21"/>
              </w:rPr>
              <w:t>厦门银行绿色债</w:t>
            </w:r>
            <w:r>
              <w:rPr>
                <w:rFonts w:ascii="Arial" w:eastAsia="黑体" w:hAnsi="Arial" w:cs="Arial"/>
                <w:snapToGrid w:val="0"/>
                <w:szCs w:val="21"/>
              </w:rPr>
              <w:t>01</w:t>
            </w:r>
            <w:r>
              <w:rPr>
                <w:rFonts w:ascii="Arial" w:eastAsia="黑体" w:hAnsi="Arial" w:cs="Arial"/>
                <w:snapToGrid w:val="0"/>
                <w:szCs w:val="21"/>
              </w:rPr>
              <w:t>（注</w:t>
            </w:r>
            <w:r>
              <w:rPr>
                <w:rFonts w:ascii="Arial" w:eastAsia="黑体" w:hAnsi="Arial" w:cs="Arial"/>
                <w:snapToGrid w:val="0"/>
                <w:szCs w:val="21"/>
              </w:rPr>
              <w:t>3</w:t>
            </w:r>
            <w:r>
              <w:rPr>
                <w:rFonts w:ascii="Arial" w:eastAsia="黑体" w:hAnsi="Arial" w:cs="Arial"/>
                <w:snapToGrid w:val="0"/>
                <w:szCs w:val="21"/>
              </w:rPr>
              <w:t>）</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16" w:right="34"/>
              <w:jc w:val="right"/>
              <w:rPr>
                <w:rFonts w:ascii="Arial" w:eastAsia="黑体" w:hAnsi="Arial" w:cs="Arial"/>
                <w:snapToGrid w:val="0"/>
                <w:szCs w:val="21"/>
              </w:rPr>
            </w:pPr>
            <w:r>
              <w:rPr>
                <w:rFonts w:ascii="Arial" w:eastAsia="黑体" w:hAnsi="Arial" w:cs="Arial"/>
                <w:snapToGrid w:val="0"/>
                <w:szCs w:val="21"/>
              </w:rPr>
              <w:t>999,282,108.52</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16" w:right="34"/>
              <w:jc w:val="right"/>
              <w:rPr>
                <w:rFonts w:ascii="Arial" w:eastAsia="黑体" w:hAnsi="Arial" w:cs="Arial"/>
                <w:snapToGrid w:val="0"/>
                <w:szCs w:val="21"/>
              </w:rPr>
            </w:pPr>
            <w:r>
              <w:rPr>
                <w:rFonts w:ascii="Arial" w:eastAsia="黑体" w:hAnsi="Arial" w:cs="Arial"/>
                <w:snapToGrid w:val="0"/>
                <w:szCs w:val="21"/>
              </w:rPr>
              <w:t>999,108,202.90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430"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22</w:t>
            </w:r>
            <w:r>
              <w:rPr>
                <w:rFonts w:ascii="Arial" w:eastAsia="黑体" w:hAnsi="Arial" w:cs="Arial"/>
                <w:snapToGrid w:val="0"/>
                <w:szCs w:val="21"/>
              </w:rPr>
              <w:t>厦门银行</w:t>
            </w:r>
            <w:proofErr w:type="gramStart"/>
            <w:r>
              <w:rPr>
                <w:rFonts w:ascii="Arial" w:eastAsia="黑体" w:hAnsi="Arial" w:cs="Arial"/>
                <w:snapToGrid w:val="0"/>
                <w:szCs w:val="21"/>
              </w:rPr>
              <w:t>小微债</w:t>
            </w:r>
            <w:proofErr w:type="gramEnd"/>
            <w:r>
              <w:rPr>
                <w:rFonts w:ascii="Arial" w:eastAsia="黑体" w:hAnsi="Arial" w:cs="Arial"/>
                <w:snapToGrid w:val="0"/>
                <w:szCs w:val="21"/>
              </w:rPr>
              <w:t>01</w:t>
            </w:r>
            <w:r>
              <w:rPr>
                <w:rFonts w:ascii="Arial" w:eastAsia="黑体" w:hAnsi="Arial" w:cs="Arial"/>
                <w:snapToGrid w:val="0"/>
                <w:szCs w:val="21"/>
              </w:rPr>
              <w:t>（注</w:t>
            </w:r>
            <w:r>
              <w:rPr>
                <w:rFonts w:ascii="Arial" w:eastAsia="黑体" w:hAnsi="Arial" w:cs="Arial"/>
                <w:snapToGrid w:val="0"/>
                <w:szCs w:val="21"/>
              </w:rPr>
              <w:t>4</w:t>
            </w:r>
            <w:r>
              <w:rPr>
                <w:rFonts w:ascii="Arial" w:eastAsia="黑体" w:hAnsi="Arial" w:cs="Arial"/>
                <w:snapToGrid w:val="0"/>
                <w:szCs w:val="21"/>
              </w:rPr>
              <w:t>）</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16" w:right="34"/>
              <w:jc w:val="right"/>
              <w:rPr>
                <w:rFonts w:ascii="Arial" w:eastAsia="黑体" w:hAnsi="Arial" w:cs="Arial"/>
                <w:snapToGrid w:val="0"/>
                <w:szCs w:val="21"/>
              </w:rPr>
            </w:pPr>
            <w:r>
              <w:rPr>
                <w:rFonts w:ascii="Arial" w:eastAsia="黑体" w:hAnsi="Arial" w:cs="Arial"/>
                <w:snapToGrid w:val="0"/>
                <w:szCs w:val="21"/>
              </w:rPr>
              <w:t>2,999,476,809.93</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16" w:right="34"/>
              <w:jc w:val="right"/>
              <w:rPr>
                <w:rFonts w:ascii="Arial" w:eastAsia="黑体" w:hAnsi="Arial" w:cs="Arial"/>
                <w:snapToGrid w:val="0"/>
                <w:szCs w:val="21"/>
              </w:rPr>
            </w:pPr>
            <w:r>
              <w:rPr>
                <w:rFonts w:ascii="Arial" w:eastAsia="黑体" w:hAnsi="Arial" w:cs="Arial"/>
                <w:snapToGrid w:val="0"/>
                <w:szCs w:val="21"/>
              </w:rPr>
              <w:t>2,999,356,069.65</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430"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22</w:t>
            </w:r>
            <w:r>
              <w:rPr>
                <w:rFonts w:ascii="Arial" w:eastAsia="黑体" w:hAnsi="Arial" w:cs="Arial"/>
                <w:snapToGrid w:val="0"/>
                <w:szCs w:val="21"/>
              </w:rPr>
              <w:t>厦门银行</w:t>
            </w:r>
            <w:proofErr w:type="gramStart"/>
            <w:r>
              <w:rPr>
                <w:rFonts w:ascii="Arial" w:eastAsia="黑体" w:hAnsi="Arial" w:cs="Arial"/>
                <w:snapToGrid w:val="0"/>
                <w:szCs w:val="21"/>
              </w:rPr>
              <w:t>小微债</w:t>
            </w:r>
            <w:proofErr w:type="gramEnd"/>
            <w:r>
              <w:rPr>
                <w:rFonts w:ascii="Arial" w:eastAsia="黑体" w:hAnsi="Arial" w:cs="Arial"/>
                <w:snapToGrid w:val="0"/>
                <w:szCs w:val="21"/>
              </w:rPr>
              <w:t>02</w:t>
            </w:r>
            <w:r>
              <w:rPr>
                <w:rFonts w:ascii="Arial" w:eastAsia="黑体" w:hAnsi="Arial" w:cs="Arial"/>
                <w:snapToGrid w:val="0"/>
                <w:szCs w:val="21"/>
              </w:rPr>
              <w:t>（注</w:t>
            </w:r>
            <w:r>
              <w:rPr>
                <w:rFonts w:ascii="Arial" w:eastAsia="黑体" w:hAnsi="Arial" w:cs="Arial"/>
                <w:snapToGrid w:val="0"/>
                <w:szCs w:val="21"/>
              </w:rPr>
              <w:t>5</w:t>
            </w:r>
            <w:r>
              <w:rPr>
                <w:rFonts w:ascii="Arial" w:eastAsia="黑体" w:hAnsi="Arial" w:cs="Arial"/>
                <w:snapToGrid w:val="0"/>
                <w:szCs w:val="21"/>
              </w:rPr>
              <w:t>）</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16" w:right="34"/>
              <w:jc w:val="right"/>
              <w:rPr>
                <w:rFonts w:ascii="Arial" w:eastAsia="黑体" w:hAnsi="Arial" w:cs="Arial"/>
                <w:snapToGrid w:val="0"/>
                <w:szCs w:val="21"/>
              </w:rPr>
            </w:pPr>
            <w:r>
              <w:rPr>
                <w:rFonts w:ascii="Arial" w:eastAsia="黑体" w:hAnsi="Arial" w:cs="Arial"/>
                <w:snapToGrid w:val="0"/>
                <w:szCs w:val="21"/>
              </w:rPr>
              <w:t>2,999,450,551.16</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16" w:right="34"/>
              <w:jc w:val="right"/>
              <w:rPr>
                <w:rFonts w:ascii="Arial" w:eastAsia="黑体" w:hAnsi="Arial" w:cs="Arial"/>
                <w:snapToGrid w:val="0"/>
                <w:szCs w:val="21"/>
              </w:rPr>
            </w:pPr>
            <w:r>
              <w:rPr>
                <w:rFonts w:ascii="Arial" w:eastAsia="黑体" w:hAnsi="Arial" w:cs="Arial"/>
                <w:snapToGrid w:val="0"/>
                <w:szCs w:val="21"/>
              </w:rPr>
              <w:t>2,999,330,585.43</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430"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21</w:t>
            </w:r>
            <w:r>
              <w:rPr>
                <w:rFonts w:ascii="Arial" w:eastAsia="黑体" w:hAnsi="Arial" w:cs="Arial"/>
                <w:snapToGrid w:val="0"/>
                <w:szCs w:val="21"/>
              </w:rPr>
              <w:t>福建海西租赁债</w:t>
            </w:r>
            <w:r>
              <w:rPr>
                <w:rFonts w:ascii="Arial" w:eastAsia="黑体" w:hAnsi="Arial" w:cs="Arial"/>
                <w:snapToGrid w:val="0"/>
                <w:szCs w:val="21"/>
              </w:rPr>
              <w:t>01</w:t>
            </w:r>
            <w:r>
              <w:rPr>
                <w:rFonts w:ascii="Arial" w:eastAsia="黑体" w:hAnsi="Arial" w:cs="Arial"/>
                <w:snapToGrid w:val="0"/>
                <w:szCs w:val="21"/>
              </w:rPr>
              <w:t>（注</w:t>
            </w:r>
            <w:r>
              <w:rPr>
                <w:rFonts w:ascii="Arial" w:eastAsia="黑体" w:hAnsi="Arial" w:cs="Arial"/>
                <w:snapToGrid w:val="0"/>
                <w:szCs w:val="21"/>
              </w:rPr>
              <w:t>6</w:t>
            </w:r>
            <w:r>
              <w:rPr>
                <w:rFonts w:ascii="Arial" w:eastAsia="黑体" w:hAnsi="Arial" w:cs="Arial"/>
                <w:snapToGrid w:val="0"/>
                <w:szCs w:val="21"/>
              </w:rPr>
              <w:t>）</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napToGrid w:val="0"/>
                <w:szCs w:val="21"/>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16" w:right="34"/>
              <w:jc w:val="right"/>
              <w:rPr>
                <w:rFonts w:ascii="Arial" w:eastAsia="黑体" w:hAnsi="Arial" w:cs="Arial"/>
                <w:snapToGrid w:val="0"/>
                <w:szCs w:val="21"/>
              </w:rPr>
            </w:pPr>
            <w:r>
              <w:rPr>
                <w:rFonts w:ascii="Arial" w:eastAsia="黑体" w:hAnsi="Arial" w:cs="Arial"/>
                <w:snapToGrid w:val="0"/>
                <w:szCs w:val="21"/>
              </w:rPr>
              <w:t>550,000,000.00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napToGrid w:val="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napToGrid w:val="0"/>
                <w:szCs w:val="21"/>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16" w:right="34"/>
              <w:jc w:val="right"/>
              <w:rPr>
                <w:rFonts w:ascii="Arial" w:eastAsia="黑体" w:hAnsi="Arial" w:cs="Arial"/>
                <w:snapToGrid w:val="0"/>
                <w:szCs w:val="21"/>
              </w:rPr>
            </w:pPr>
            <w:r>
              <w:rPr>
                <w:rFonts w:ascii="Arial" w:eastAsia="黑体" w:hAnsi="Arial" w:cs="Arial"/>
                <w:snapToGrid w:val="0"/>
                <w:szCs w:val="21"/>
              </w:rPr>
              <w:t>550,000,000.00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430"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同业存单（注</w:t>
            </w:r>
            <w:r>
              <w:rPr>
                <w:rFonts w:ascii="Arial" w:eastAsia="黑体" w:hAnsi="Arial" w:cs="Arial"/>
                <w:snapToGrid w:val="0"/>
                <w:szCs w:val="21"/>
              </w:rPr>
              <w:t>7</w:t>
            </w:r>
            <w:r>
              <w:rPr>
                <w:rFonts w:ascii="Arial" w:eastAsia="黑体" w:hAnsi="Arial" w:cs="Arial"/>
                <w:snapToGrid w:val="0"/>
                <w:szCs w:val="21"/>
              </w:rPr>
              <w:t>）</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napToGrid w:val="0"/>
                <w:szCs w:val="21"/>
              </w:rPr>
            </w:pPr>
          </w:p>
        </w:tc>
        <w:tc>
          <w:tcPr>
            <w:tcW w:w="2317"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16" w:right="34"/>
              <w:jc w:val="right"/>
              <w:rPr>
                <w:rFonts w:ascii="Arial" w:eastAsia="黑体" w:hAnsi="Arial" w:cs="Arial"/>
                <w:snapToGrid w:val="0"/>
                <w:szCs w:val="21"/>
              </w:rPr>
            </w:pPr>
            <w:r>
              <w:rPr>
                <w:rFonts w:ascii="Arial" w:eastAsia="黑体" w:hAnsi="Arial" w:cs="Arial"/>
                <w:snapToGrid w:val="0"/>
                <w:szCs w:val="21"/>
              </w:rPr>
              <w:t>64,876,339,420.55</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napToGrid w:val="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napToGrid w:val="0"/>
                <w:szCs w:val="21"/>
              </w:rPr>
            </w:pPr>
          </w:p>
        </w:tc>
        <w:tc>
          <w:tcPr>
            <w:tcW w:w="2168"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16" w:right="34"/>
              <w:jc w:val="right"/>
              <w:rPr>
                <w:rFonts w:ascii="Arial" w:eastAsia="黑体" w:hAnsi="Arial" w:cs="Arial"/>
                <w:snapToGrid w:val="0"/>
                <w:szCs w:val="21"/>
              </w:rPr>
            </w:pPr>
            <w:r>
              <w:rPr>
                <w:rFonts w:ascii="Arial" w:eastAsia="黑体" w:hAnsi="Arial" w:cs="Arial"/>
                <w:snapToGrid w:val="0"/>
                <w:szCs w:val="21"/>
              </w:rPr>
              <w:t>57,284,220,070.18</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430"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小计</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single" w:sz="4" w:space="0" w:color="auto"/>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16" w:right="34"/>
              <w:jc w:val="right"/>
              <w:rPr>
                <w:rFonts w:ascii="Arial" w:eastAsia="黑体" w:hAnsi="Arial" w:cs="Arial"/>
                <w:snapToGrid w:val="0"/>
                <w:szCs w:val="21"/>
              </w:rPr>
            </w:pPr>
            <w:r>
              <w:rPr>
                <w:rFonts w:ascii="Arial" w:eastAsia="黑体" w:hAnsi="Arial" w:cs="Arial"/>
                <w:snapToGrid w:val="0"/>
                <w:szCs w:val="21"/>
              </w:rPr>
              <w:t>76,923,857,866.31</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single" w:sz="4" w:space="0" w:color="auto"/>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16" w:right="34"/>
              <w:jc w:val="right"/>
              <w:rPr>
                <w:rFonts w:ascii="Arial" w:eastAsia="黑体" w:hAnsi="Arial" w:cs="Arial"/>
                <w:snapToGrid w:val="0"/>
                <w:szCs w:val="21"/>
              </w:rPr>
            </w:pPr>
            <w:r>
              <w:rPr>
                <w:rFonts w:ascii="Arial" w:eastAsia="黑体" w:hAnsi="Arial" w:cs="Arial"/>
                <w:snapToGrid w:val="0"/>
                <w:szCs w:val="21"/>
              </w:rPr>
              <w:t>69,331,288,882.81</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43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napToGrid w:val="0"/>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16" w:right="34"/>
              <w:jc w:val="right"/>
              <w:rPr>
                <w:rFonts w:ascii="Arial" w:eastAsia="黑体" w:hAnsi="Arial" w:cs="Arial"/>
                <w:snapToGrid w:val="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16" w:right="34"/>
              <w:jc w:val="right"/>
              <w:rPr>
                <w:rFonts w:ascii="Arial" w:eastAsia="黑体" w:hAnsi="Arial" w:cs="Arial"/>
                <w:snapToGrid w:val="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430"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应计利息</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16" w:right="34"/>
              <w:jc w:val="right"/>
              <w:rPr>
                <w:rFonts w:ascii="Arial" w:eastAsia="黑体" w:hAnsi="Arial" w:cs="Arial"/>
                <w:snapToGrid w:val="0"/>
                <w:szCs w:val="21"/>
              </w:rPr>
            </w:pPr>
            <w:r>
              <w:rPr>
                <w:rFonts w:ascii="Arial" w:eastAsia="黑体" w:hAnsi="Arial" w:cs="Arial"/>
                <w:snapToGrid w:val="0"/>
                <w:szCs w:val="21"/>
              </w:rPr>
              <w:t>280,629,499.08</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16" w:right="34"/>
              <w:jc w:val="right"/>
              <w:rPr>
                <w:rFonts w:ascii="Arial" w:eastAsia="黑体" w:hAnsi="Arial" w:cs="Arial"/>
                <w:snapToGrid w:val="0"/>
                <w:szCs w:val="21"/>
              </w:rPr>
            </w:pPr>
            <w:r>
              <w:rPr>
                <w:rFonts w:ascii="Arial" w:eastAsia="黑体" w:hAnsi="Arial" w:cs="Arial"/>
                <w:snapToGrid w:val="0"/>
                <w:szCs w:val="21"/>
              </w:rPr>
              <w:t>107,832,992.24</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43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17"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16" w:right="34"/>
              <w:jc w:val="right"/>
              <w:rPr>
                <w:rFonts w:ascii="Arial" w:eastAsia="黑体" w:hAnsi="Arial" w:cs="Arial"/>
                <w:snapToGrid w:val="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16" w:right="34"/>
              <w:jc w:val="right"/>
              <w:rPr>
                <w:rFonts w:ascii="Arial" w:eastAsia="黑体" w:hAnsi="Arial" w:cs="Arial"/>
                <w:snapToGrid w:val="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r>
      <w:tr w:rsidR="00AD5BB5">
        <w:trPr>
          <w:trHeight w:val="170"/>
        </w:trPr>
        <w:tc>
          <w:tcPr>
            <w:tcW w:w="3430"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合计</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doub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16" w:right="34"/>
              <w:jc w:val="right"/>
              <w:rPr>
                <w:rFonts w:ascii="Arial" w:eastAsia="黑体" w:hAnsi="Arial" w:cs="Arial"/>
                <w:snapToGrid w:val="0"/>
                <w:szCs w:val="21"/>
              </w:rPr>
            </w:pPr>
            <w:r>
              <w:rPr>
                <w:rFonts w:ascii="Arial" w:eastAsia="黑体" w:hAnsi="Arial" w:cs="Arial"/>
                <w:snapToGrid w:val="0"/>
                <w:szCs w:val="21"/>
              </w:rPr>
              <w:t>77,204,487,365.39</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doub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16" w:right="34"/>
              <w:jc w:val="right"/>
              <w:rPr>
                <w:rFonts w:ascii="Arial" w:eastAsia="黑体" w:hAnsi="Arial" w:cs="Arial"/>
                <w:snapToGrid w:val="0"/>
                <w:szCs w:val="21"/>
              </w:rPr>
            </w:pPr>
            <w:r>
              <w:rPr>
                <w:rFonts w:ascii="Arial" w:eastAsia="黑体" w:hAnsi="Arial" w:cs="Arial"/>
                <w:snapToGrid w:val="0"/>
                <w:szCs w:val="21"/>
              </w:rPr>
              <w:t>69,439,121,875.05</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bl>
    <w:p w:rsidR="00AD5BB5" w:rsidRDefault="00F87FF6">
      <w:pPr>
        <w:rPr>
          <w:rFonts w:ascii="Arial" w:eastAsia="黑体" w:hAnsi="Arial" w:cs="Arial"/>
          <w:snapToGrid w:val="0"/>
          <w:szCs w:val="21"/>
        </w:rPr>
      </w:pPr>
      <w:r>
        <w:rPr>
          <w:rFonts w:ascii="Arial" w:eastAsia="黑体" w:hAnsi="Arial" w:cs="Arial"/>
          <w:snapToGrid w:val="0"/>
          <w:szCs w:val="21"/>
        </w:rPr>
        <w:br w:type="page"/>
      </w:r>
    </w:p>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b/>
          <w:snapToGrid w:val="0"/>
          <w:szCs w:val="21"/>
        </w:rPr>
      </w:pPr>
      <w:bookmarkStart w:id="194" w:name="afsaddin_WithXu_1c885db6d9c040e9b0da6400"/>
      <w:r>
        <w:rPr>
          <w:rFonts w:ascii="Arial" w:eastAsia="黑体" w:hAnsi="Arial" w:cs="Arial"/>
          <w:b/>
          <w:snapToGrid w:val="0"/>
          <w:szCs w:val="21"/>
        </w:rPr>
        <w:t>五、</w:t>
      </w:r>
      <w:r>
        <w:rPr>
          <w:rFonts w:ascii="Arial" w:eastAsia="黑体" w:hAnsi="Arial" w:cs="Arial"/>
          <w:b/>
          <w:snapToGrid w:val="0"/>
          <w:szCs w:val="21"/>
        </w:rPr>
        <w:tab/>
      </w:r>
      <w:r>
        <w:rPr>
          <w:rFonts w:ascii="Arial" w:eastAsia="黑体" w:hAnsi="Arial" w:cs="Arial"/>
          <w:b/>
          <w:snapToGrid w:val="0"/>
          <w:szCs w:val="21"/>
        </w:rPr>
        <w:t>合并财务报表主要项目注释（续）</w:t>
      </w:r>
      <w:bookmarkEnd w:id="194"/>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195" w:name="afsaddin_WithXu_6b5cf2080a6749ef831237c2"/>
      <w:r>
        <w:rPr>
          <w:rFonts w:ascii="Arial" w:eastAsia="黑体" w:hAnsi="Arial" w:cs="Arial"/>
          <w:b/>
          <w:snapToGrid w:val="0"/>
          <w:szCs w:val="21"/>
        </w:rPr>
        <w:t>26.</w:t>
      </w:r>
      <w:r>
        <w:rPr>
          <w:rFonts w:ascii="Arial" w:eastAsia="黑体" w:hAnsi="Arial" w:cs="Arial"/>
          <w:b/>
          <w:snapToGrid w:val="0"/>
          <w:szCs w:val="21"/>
        </w:rPr>
        <w:tab/>
      </w:r>
      <w:r>
        <w:rPr>
          <w:rFonts w:ascii="Arial" w:eastAsia="黑体" w:hAnsi="Arial" w:cs="Arial"/>
          <w:b/>
          <w:snapToGrid w:val="0"/>
          <w:szCs w:val="21"/>
        </w:rPr>
        <w:t>应付债券（续）</w:t>
      </w:r>
      <w:bookmarkEnd w:id="195"/>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e5015e23-0d9d-4387-8f7e-b5e00b70008e"/>
        <w:tblDescription w:val="{&quot;UUID&quot;:&quot;afsaddin_tabledata_2_56437_e5015e23-0d9d-4387-8f7e-b5e00b70008e&quot;,&quot;TitleRowCount&quot;:1,&quot;SplitedTable&quot;:false,&quot;FirstTableId&quot;:&quot;e5015e23-0d9d-4387-8f7e-b5e00b70008e&quot;}"/>
      </w:tblPr>
      <w:tblGrid>
        <w:gridCol w:w="1540"/>
        <w:gridCol w:w="102"/>
        <w:gridCol w:w="510"/>
        <w:gridCol w:w="101"/>
        <w:gridCol w:w="101"/>
        <w:gridCol w:w="862"/>
        <w:gridCol w:w="101"/>
        <w:gridCol w:w="101"/>
        <w:gridCol w:w="862"/>
        <w:gridCol w:w="101"/>
        <w:gridCol w:w="101"/>
        <w:gridCol w:w="824"/>
        <w:gridCol w:w="101"/>
        <w:gridCol w:w="101"/>
        <w:gridCol w:w="1295"/>
        <w:gridCol w:w="101"/>
        <w:gridCol w:w="101"/>
        <w:gridCol w:w="1254"/>
        <w:gridCol w:w="101"/>
      </w:tblGrid>
      <w:tr w:rsidR="00AD5BB5">
        <w:tc>
          <w:tcPr>
            <w:tcW w:w="1540" w:type="dxa"/>
            <w:tcBorders>
              <w:top w:val="nil"/>
              <w:left w:val="nil"/>
              <w:bottom w:val="nil"/>
              <w:right w:val="nil"/>
            </w:tcBorders>
            <w:vAlign w:val="bottom"/>
          </w:tcPr>
          <w:p w:rsidR="00AD5BB5" w:rsidRDefault="00AD5BB5">
            <w:pPr>
              <w:autoSpaceDE w:val="0"/>
              <w:autoSpaceDN w:val="0"/>
              <w:ind w:left="240" w:hangingChars="150" w:hanging="240"/>
              <w:jc w:val="center"/>
              <w:rPr>
                <w:rFonts w:ascii="Arial" w:eastAsia="黑体" w:hAnsi="Arial" w:cs="Arial"/>
                <w:sz w:val="16"/>
                <w:szCs w:val="16"/>
              </w:rPr>
            </w:pPr>
            <w:bookmarkStart w:id="196" w:name="afsaddin_WithXu_7a165215024c4a2e87e8f642"/>
            <w:bookmarkStart w:id="197" w:name="afsaddin_WithXu_44b30e8d6de44f6390bcf7c7"/>
            <w:bookmarkEnd w:id="196"/>
            <w:bookmarkEnd w:id="197"/>
          </w:p>
        </w:tc>
        <w:tc>
          <w:tcPr>
            <w:tcW w:w="102"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c>
          <w:tcPr>
            <w:tcW w:w="5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期限</w:t>
            </w: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8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发行日期</w:t>
            </w: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8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起息日</w:t>
            </w: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82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到期日</w:t>
            </w: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2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面值总额</w:t>
            </w: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25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期末数</w:t>
            </w:r>
          </w:p>
        </w:tc>
        <w:tc>
          <w:tcPr>
            <w:tcW w:w="10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6"/>
                <w:szCs w:val="16"/>
              </w:rPr>
            </w:pPr>
          </w:p>
        </w:tc>
      </w:tr>
      <w:tr w:rsidR="00AD5BB5">
        <w:tc>
          <w:tcPr>
            <w:tcW w:w="1540"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21</w:t>
            </w:r>
            <w:r>
              <w:rPr>
                <w:rFonts w:ascii="Arial" w:eastAsia="黑体" w:hAnsi="Arial" w:cs="Arial"/>
                <w:sz w:val="16"/>
                <w:szCs w:val="16"/>
              </w:rPr>
              <w:t>厦门银行二级</w:t>
            </w:r>
            <w:r>
              <w:rPr>
                <w:rFonts w:ascii="Arial" w:eastAsia="黑体" w:hAnsi="Arial" w:cs="Arial"/>
                <w:sz w:val="16"/>
                <w:szCs w:val="16"/>
              </w:rPr>
              <w:t>01</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5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10</w:t>
            </w:r>
            <w:r>
              <w:rPr>
                <w:rFonts w:ascii="Arial" w:eastAsia="黑体" w:hAnsi="Arial" w:cs="Arial"/>
                <w:sz w:val="16"/>
                <w:szCs w:val="16"/>
              </w:rPr>
              <w:t>年期</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8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2021/10/12</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8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2021/10/14</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82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2031/10/14</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2,000,000,000.00</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1,999,706,178.37</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540"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21</w:t>
            </w:r>
            <w:r>
              <w:rPr>
                <w:rFonts w:ascii="Arial" w:eastAsia="黑体" w:hAnsi="Arial" w:cs="Arial"/>
                <w:sz w:val="16"/>
                <w:szCs w:val="16"/>
              </w:rPr>
              <w:t>厦门银行二级</w:t>
            </w:r>
            <w:r>
              <w:rPr>
                <w:rFonts w:ascii="Arial" w:eastAsia="黑体" w:hAnsi="Arial" w:cs="Arial"/>
                <w:sz w:val="16"/>
                <w:szCs w:val="16"/>
              </w:rPr>
              <w:t>02</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5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10</w:t>
            </w:r>
            <w:r>
              <w:rPr>
                <w:rFonts w:ascii="Arial" w:eastAsia="黑体" w:hAnsi="Arial" w:cs="Arial"/>
                <w:sz w:val="16"/>
                <w:szCs w:val="16"/>
              </w:rPr>
              <w:t>年期</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8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2021/11/24</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8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2021/11/26</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82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2031/11/26</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2,500,000,000.00</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2,499,602,797.78</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540"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22</w:t>
            </w:r>
            <w:r>
              <w:rPr>
                <w:rFonts w:ascii="Arial" w:eastAsia="黑体" w:hAnsi="Arial" w:cs="Arial"/>
                <w:sz w:val="16"/>
                <w:szCs w:val="16"/>
              </w:rPr>
              <w:t>厦门银行绿色债</w:t>
            </w:r>
            <w:r>
              <w:rPr>
                <w:rFonts w:ascii="Arial" w:eastAsia="黑体" w:hAnsi="Arial" w:cs="Arial"/>
                <w:sz w:val="16"/>
                <w:szCs w:val="16"/>
              </w:rPr>
              <w:t>01</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5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w:t>
            </w:r>
            <w:r>
              <w:rPr>
                <w:rFonts w:ascii="Arial" w:eastAsia="黑体" w:hAnsi="Arial" w:cs="Arial"/>
                <w:sz w:val="16"/>
                <w:szCs w:val="16"/>
              </w:rPr>
              <w:t>年期</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8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2022/7/4</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8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2022/7/6</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82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2025/7/6</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1,000,000,000.00</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999,282,108.52</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540"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22</w:t>
            </w:r>
            <w:r>
              <w:rPr>
                <w:rFonts w:ascii="Arial" w:eastAsia="黑体" w:hAnsi="Arial" w:cs="Arial"/>
                <w:sz w:val="16"/>
                <w:szCs w:val="16"/>
              </w:rPr>
              <w:t>厦门银行</w:t>
            </w:r>
            <w:proofErr w:type="gramStart"/>
            <w:r>
              <w:rPr>
                <w:rFonts w:ascii="Arial" w:eastAsia="黑体" w:hAnsi="Arial" w:cs="Arial"/>
                <w:sz w:val="16"/>
                <w:szCs w:val="16"/>
              </w:rPr>
              <w:t>小微债</w:t>
            </w:r>
            <w:proofErr w:type="gramEnd"/>
            <w:r>
              <w:rPr>
                <w:rFonts w:ascii="Arial" w:eastAsia="黑体" w:hAnsi="Arial" w:cs="Arial"/>
                <w:sz w:val="16"/>
                <w:szCs w:val="16"/>
              </w:rPr>
              <w:t>01</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5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w:t>
            </w:r>
            <w:r>
              <w:rPr>
                <w:rFonts w:ascii="Arial" w:eastAsia="黑体" w:hAnsi="Arial" w:cs="Arial"/>
                <w:sz w:val="16"/>
                <w:szCs w:val="16"/>
              </w:rPr>
              <w:t>年期</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8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2022/8/9</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8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2022/8/11</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82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2025/8/11</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3,000,000,000.00</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2,999,476,809.93</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540"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22</w:t>
            </w:r>
            <w:r>
              <w:rPr>
                <w:rFonts w:ascii="Arial" w:eastAsia="黑体" w:hAnsi="Arial" w:cs="Arial"/>
                <w:sz w:val="16"/>
                <w:szCs w:val="16"/>
              </w:rPr>
              <w:t>厦门银行</w:t>
            </w:r>
            <w:proofErr w:type="gramStart"/>
            <w:r>
              <w:rPr>
                <w:rFonts w:ascii="Arial" w:eastAsia="黑体" w:hAnsi="Arial" w:cs="Arial"/>
                <w:sz w:val="16"/>
                <w:szCs w:val="16"/>
              </w:rPr>
              <w:t>小微债</w:t>
            </w:r>
            <w:proofErr w:type="gramEnd"/>
            <w:r>
              <w:rPr>
                <w:rFonts w:ascii="Arial" w:eastAsia="黑体" w:hAnsi="Arial" w:cs="Arial"/>
                <w:sz w:val="16"/>
                <w:szCs w:val="16"/>
              </w:rPr>
              <w:t>02</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5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w:t>
            </w:r>
            <w:r>
              <w:rPr>
                <w:rFonts w:ascii="Arial" w:eastAsia="黑体" w:hAnsi="Arial" w:cs="Arial"/>
                <w:sz w:val="16"/>
                <w:szCs w:val="16"/>
              </w:rPr>
              <w:t>年期</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8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2022/9/20</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8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2022/9/22</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82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2025/9/22</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3,000,000,000.00</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2,999,450,551.16</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540"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21</w:t>
            </w:r>
            <w:r>
              <w:rPr>
                <w:rFonts w:ascii="Arial" w:eastAsia="黑体" w:hAnsi="Arial" w:cs="Arial"/>
                <w:sz w:val="16"/>
                <w:szCs w:val="16"/>
              </w:rPr>
              <w:t>福建海西租赁债</w:t>
            </w:r>
            <w:r>
              <w:rPr>
                <w:rFonts w:ascii="Arial" w:eastAsia="黑体" w:hAnsi="Arial" w:cs="Arial"/>
                <w:sz w:val="16"/>
                <w:szCs w:val="16"/>
              </w:rPr>
              <w:t>01</w:t>
            </w:r>
          </w:p>
        </w:tc>
        <w:tc>
          <w:tcPr>
            <w:tcW w:w="10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5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w:t>
            </w:r>
            <w:r>
              <w:rPr>
                <w:rFonts w:ascii="Arial" w:eastAsia="黑体" w:hAnsi="Arial" w:cs="Arial"/>
                <w:sz w:val="16"/>
                <w:szCs w:val="16"/>
              </w:rPr>
              <w:t>年期</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8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2021/05/25</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8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2021/05/27</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82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2024/05/27</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550,000,000.00</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5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550,000,000.00</w:t>
            </w:r>
          </w:p>
        </w:tc>
        <w:tc>
          <w:tcPr>
            <w:tcW w:w="10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bl>
    <w:p w:rsidR="00AD5BB5" w:rsidRDefault="00AD5BB5">
      <w:pPr>
        <w:pStyle w:val="aff6"/>
        <w:overflowPunct w:val="0"/>
        <w:autoSpaceDE w:val="0"/>
        <w:autoSpaceDN w:val="0"/>
        <w:spacing w:line="240" w:lineRule="auto"/>
        <w:ind w:leftChars="0" w:left="0"/>
        <w:rPr>
          <w:rFonts w:ascii="Arial" w:eastAsia="黑体" w:hAnsi="Arial" w:cs="Arial"/>
        </w:rPr>
      </w:pPr>
    </w:p>
    <w:p w:rsidR="00AD5BB5" w:rsidRDefault="00F87FF6">
      <w:pPr>
        <w:pStyle w:val="aff6"/>
        <w:overflowPunct w:val="0"/>
        <w:autoSpaceDE w:val="0"/>
        <w:autoSpaceDN w:val="0"/>
        <w:spacing w:line="240" w:lineRule="auto"/>
        <w:ind w:leftChars="0" w:left="720" w:hanging="720"/>
        <w:rPr>
          <w:rFonts w:ascii="Arial" w:eastAsia="黑体" w:hAnsi="Arial" w:cs="Arial"/>
        </w:rPr>
      </w:pPr>
      <w:r>
        <w:rPr>
          <w:rFonts w:ascii="Arial" w:eastAsia="黑体" w:hAnsi="Arial" w:cs="Arial"/>
        </w:rPr>
        <w:t>注</w:t>
      </w:r>
      <w:r>
        <w:rPr>
          <w:rFonts w:ascii="Arial" w:eastAsia="黑体" w:hAnsi="Arial" w:cs="Arial"/>
        </w:rPr>
        <w:t>1</w:t>
      </w:r>
      <w:r>
        <w:rPr>
          <w:rFonts w:ascii="Arial" w:eastAsia="黑体" w:hAnsi="Arial" w:cs="Arial"/>
        </w:rPr>
        <w:t>：</w:t>
      </w:r>
      <w:r>
        <w:rPr>
          <w:rFonts w:ascii="Arial" w:eastAsia="黑体" w:hAnsi="Arial" w:cs="Arial"/>
        </w:rPr>
        <w:tab/>
      </w:r>
      <w:r>
        <w:rPr>
          <w:rFonts w:ascii="Arial" w:eastAsia="黑体" w:hAnsi="Arial" w:cs="Arial"/>
        </w:rPr>
        <w:t>本行于</w:t>
      </w:r>
      <w:r>
        <w:rPr>
          <w:rFonts w:ascii="Arial" w:eastAsia="黑体" w:hAnsi="Arial" w:cs="Arial"/>
        </w:rPr>
        <w:t>2021</w:t>
      </w:r>
      <w:r>
        <w:rPr>
          <w:rFonts w:ascii="Arial" w:eastAsia="黑体" w:hAnsi="Arial" w:cs="Arial"/>
        </w:rPr>
        <w:t>年</w:t>
      </w:r>
      <w:r>
        <w:rPr>
          <w:rFonts w:ascii="Arial" w:eastAsia="黑体" w:hAnsi="Arial" w:cs="Arial"/>
        </w:rPr>
        <w:t>10</w:t>
      </w:r>
      <w:r>
        <w:rPr>
          <w:rFonts w:ascii="Arial" w:eastAsia="黑体" w:hAnsi="Arial" w:cs="Arial"/>
        </w:rPr>
        <w:t>月</w:t>
      </w:r>
      <w:r>
        <w:rPr>
          <w:rFonts w:ascii="Arial" w:eastAsia="黑体" w:hAnsi="Arial" w:cs="Arial"/>
        </w:rPr>
        <w:t>12</w:t>
      </w:r>
      <w:r>
        <w:rPr>
          <w:rFonts w:ascii="Arial" w:eastAsia="黑体" w:hAnsi="Arial" w:cs="Arial"/>
        </w:rPr>
        <w:t>日在全国银行间债券市场发行了</w:t>
      </w:r>
      <w:r>
        <w:rPr>
          <w:rFonts w:ascii="Arial" w:eastAsia="黑体" w:hAnsi="Arial" w:cs="Arial"/>
        </w:rPr>
        <w:t>10</w:t>
      </w:r>
      <w:r>
        <w:rPr>
          <w:rFonts w:ascii="Arial" w:eastAsia="黑体" w:hAnsi="Arial" w:cs="Arial"/>
        </w:rPr>
        <w:t>年期固定利率二级资本债人民币</w:t>
      </w:r>
      <w:r>
        <w:rPr>
          <w:rFonts w:ascii="Arial" w:eastAsia="黑体" w:hAnsi="Arial" w:cs="Arial"/>
        </w:rPr>
        <w:t>20</w:t>
      </w:r>
      <w:r>
        <w:rPr>
          <w:rFonts w:ascii="Arial" w:eastAsia="黑体" w:hAnsi="Arial" w:cs="Arial"/>
        </w:rPr>
        <w:t>亿元，票面利率</w:t>
      </w:r>
      <w:r>
        <w:rPr>
          <w:rFonts w:ascii="Arial" w:eastAsia="黑体" w:hAnsi="Arial" w:cs="Arial"/>
        </w:rPr>
        <w:t>4.20%</w:t>
      </w:r>
      <w:r>
        <w:rPr>
          <w:rFonts w:ascii="Arial" w:eastAsia="黑体" w:hAnsi="Arial" w:cs="Arial"/>
        </w:rPr>
        <w:t>，每年付息一次，在符合条件的前提下，发行人可于第</w:t>
      </w:r>
      <w:r>
        <w:rPr>
          <w:rFonts w:ascii="Arial" w:eastAsia="黑体" w:hAnsi="Arial" w:cs="Arial"/>
        </w:rPr>
        <w:t>5</w:t>
      </w:r>
      <w:r>
        <w:rPr>
          <w:rFonts w:ascii="Arial" w:eastAsia="黑体" w:hAnsi="Arial" w:cs="Arial"/>
        </w:rPr>
        <w:t>期末选择行使赎回权。上述债券按规定计入二级资本。</w:t>
      </w:r>
    </w:p>
    <w:p w:rsidR="00AD5BB5" w:rsidRDefault="00AD5BB5">
      <w:pPr>
        <w:pStyle w:val="aff6"/>
        <w:overflowPunct w:val="0"/>
        <w:autoSpaceDE w:val="0"/>
        <w:autoSpaceDN w:val="0"/>
        <w:spacing w:line="240" w:lineRule="auto"/>
        <w:ind w:leftChars="0" w:left="720" w:hanging="720"/>
        <w:rPr>
          <w:rFonts w:ascii="Arial" w:eastAsia="黑体" w:hAnsi="Arial" w:cs="Arial"/>
        </w:rPr>
      </w:pPr>
    </w:p>
    <w:p w:rsidR="00AD5BB5" w:rsidRDefault="00F87FF6">
      <w:pPr>
        <w:pStyle w:val="aff6"/>
        <w:overflowPunct w:val="0"/>
        <w:autoSpaceDE w:val="0"/>
        <w:autoSpaceDN w:val="0"/>
        <w:spacing w:line="240" w:lineRule="auto"/>
        <w:ind w:leftChars="0" w:left="720" w:hanging="720"/>
        <w:rPr>
          <w:rFonts w:ascii="Arial" w:eastAsia="黑体" w:hAnsi="Arial" w:cs="Arial"/>
        </w:rPr>
      </w:pPr>
      <w:r>
        <w:rPr>
          <w:rFonts w:ascii="Arial" w:eastAsia="黑体" w:hAnsi="Arial" w:cs="Arial"/>
        </w:rPr>
        <w:t>注</w:t>
      </w:r>
      <w:r>
        <w:rPr>
          <w:rFonts w:ascii="Arial" w:eastAsia="黑体" w:hAnsi="Arial" w:cs="Arial"/>
        </w:rPr>
        <w:t>2</w:t>
      </w:r>
      <w:r>
        <w:rPr>
          <w:rFonts w:ascii="Arial" w:eastAsia="黑体" w:hAnsi="Arial" w:cs="Arial"/>
        </w:rPr>
        <w:t>：</w:t>
      </w:r>
      <w:r>
        <w:rPr>
          <w:rFonts w:ascii="Arial" w:eastAsia="黑体" w:hAnsi="Arial" w:cs="Arial"/>
        </w:rPr>
        <w:tab/>
      </w:r>
      <w:r>
        <w:rPr>
          <w:rFonts w:ascii="Arial" w:eastAsia="黑体" w:hAnsi="Arial" w:cs="Arial"/>
        </w:rPr>
        <w:t>本行于</w:t>
      </w:r>
      <w:r>
        <w:rPr>
          <w:rFonts w:ascii="Arial" w:eastAsia="黑体" w:hAnsi="Arial" w:cs="Arial"/>
        </w:rPr>
        <w:t>2021</w:t>
      </w:r>
      <w:r>
        <w:rPr>
          <w:rFonts w:ascii="Arial" w:eastAsia="黑体" w:hAnsi="Arial" w:cs="Arial"/>
        </w:rPr>
        <w:t>年</w:t>
      </w:r>
      <w:r>
        <w:rPr>
          <w:rFonts w:ascii="Arial" w:eastAsia="黑体" w:hAnsi="Arial" w:cs="Arial"/>
        </w:rPr>
        <w:t>11</w:t>
      </w:r>
      <w:r>
        <w:rPr>
          <w:rFonts w:ascii="Arial" w:eastAsia="黑体" w:hAnsi="Arial" w:cs="Arial"/>
        </w:rPr>
        <w:t>月</w:t>
      </w:r>
      <w:r>
        <w:rPr>
          <w:rFonts w:ascii="Arial" w:eastAsia="黑体" w:hAnsi="Arial" w:cs="Arial"/>
        </w:rPr>
        <w:t>24</w:t>
      </w:r>
      <w:r>
        <w:rPr>
          <w:rFonts w:ascii="Arial" w:eastAsia="黑体" w:hAnsi="Arial" w:cs="Arial"/>
        </w:rPr>
        <w:t>日在全国银行间债券市场发行了</w:t>
      </w:r>
      <w:r>
        <w:rPr>
          <w:rFonts w:ascii="Arial" w:eastAsia="黑体" w:hAnsi="Arial" w:cs="Arial"/>
        </w:rPr>
        <w:t>10</w:t>
      </w:r>
      <w:r>
        <w:rPr>
          <w:rFonts w:ascii="Arial" w:eastAsia="黑体" w:hAnsi="Arial" w:cs="Arial"/>
        </w:rPr>
        <w:t>年期固定利率二级资本债人民币</w:t>
      </w:r>
      <w:r>
        <w:rPr>
          <w:rFonts w:ascii="Arial" w:eastAsia="黑体" w:hAnsi="Arial" w:cs="Arial"/>
        </w:rPr>
        <w:t>25</w:t>
      </w:r>
      <w:r>
        <w:rPr>
          <w:rFonts w:ascii="Arial" w:eastAsia="黑体" w:hAnsi="Arial" w:cs="Arial"/>
        </w:rPr>
        <w:t>亿元，票面利率</w:t>
      </w:r>
      <w:r>
        <w:rPr>
          <w:rFonts w:ascii="Arial" w:eastAsia="黑体" w:hAnsi="Arial" w:cs="Arial"/>
        </w:rPr>
        <w:t>3.94%</w:t>
      </w:r>
      <w:r>
        <w:rPr>
          <w:rFonts w:ascii="Arial" w:eastAsia="黑体" w:hAnsi="Arial" w:cs="Arial"/>
        </w:rPr>
        <w:t>，每年付息一次，在符合条件的前提下，发行人可于第</w:t>
      </w:r>
      <w:r>
        <w:rPr>
          <w:rFonts w:ascii="Arial" w:eastAsia="黑体" w:hAnsi="Arial" w:cs="Arial"/>
        </w:rPr>
        <w:t>5</w:t>
      </w:r>
      <w:r>
        <w:rPr>
          <w:rFonts w:ascii="Arial" w:eastAsia="黑体" w:hAnsi="Arial" w:cs="Arial"/>
        </w:rPr>
        <w:t>期末选择行使赎回权。上述债券按规定计入二级资本。</w:t>
      </w:r>
    </w:p>
    <w:p w:rsidR="00AD5BB5" w:rsidRDefault="00AD5BB5">
      <w:pPr>
        <w:pStyle w:val="aff6"/>
        <w:overflowPunct w:val="0"/>
        <w:autoSpaceDE w:val="0"/>
        <w:autoSpaceDN w:val="0"/>
        <w:spacing w:line="240" w:lineRule="auto"/>
        <w:ind w:leftChars="0" w:left="720" w:hanging="720"/>
        <w:rPr>
          <w:rFonts w:ascii="Arial" w:eastAsia="黑体" w:hAnsi="Arial" w:cs="Arial"/>
        </w:rPr>
      </w:pPr>
    </w:p>
    <w:p w:rsidR="00AD5BB5" w:rsidRDefault="00F87FF6">
      <w:pPr>
        <w:pStyle w:val="aff6"/>
        <w:overflowPunct w:val="0"/>
        <w:autoSpaceDE w:val="0"/>
        <w:autoSpaceDN w:val="0"/>
        <w:spacing w:line="240" w:lineRule="auto"/>
        <w:ind w:leftChars="0" w:left="720" w:hanging="720"/>
        <w:rPr>
          <w:rFonts w:ascii="Arial" w:eastAsia="黑体" w:hAnsi="Arial" w:cs="Arial"/>
        </w:rPr>
      </w:pPr>
      <w:r>
        <w:rPr>
          <w:rFonts w:ascii="Arial" w:eastAsia="黑体" w:hAnsi="Arial" w:cs="Arial"/>
        </w:rPr>
        <w:t>注</w:t>
      </w:r>
      <w:r>
        <w:rPr>
          <w:rFonts w:ascii="Arial" w:eastAsia="黑体" w:hAnsi="Arial" w:cs="Arial"/>
        </w:rPr>
        <w:t>3</w:t>
      </w:r>
      <w:r>
        <w:rPr>
          <w:rFonts w:ascii="Arial" w:eastAsia="黑体" w:hAnsi="Arial" w:cs="Arial"/>
        </w:rPr>
        <w:t>：</w:t>
      </w:r>
      <w:r>
        <w:rPr>
          <w:rFonts w:ascii="Arial" w:eastAsia="黑体" w:hAnsi="Arial" w:cs="Arial"/>
        </w:rPr>
        <w:tab/>
      </w:r>
      <w:r>
        <w:rPr>
          <w:rFonts w:ascii="Arial" w:eastAsia="黑体" w:hAnsi="Arial" w:cs="Arial"/>
        </w:rPr>
        <w:t>本行于</w:t>
      </w:r>
      <w:r>
        <w:rPr>
          <w:rFonts w:ascii="Arial" w:eastAsia="黑体" w:hAnsi="Arial" w:cs="Arial"/>
        </w:rPr>
        <w:t>2022</w:t>
      </w:r>
      <w:r>
        <w:rPr>
          <w:rFonts w:ascii="Arial" w:eastAsia="黑体" w:hAnsi="Arial" w:cs="Arial"/>
        </w:rPr>
        <w:t>年</w:t>
      </w:r>
      <w:r>
        <w:rPr>
          <w:rFonts w:ascii="Arial" w:eastAsia="黑体" w:hAnsi="Arial" w:cs="Arial"/>
        </w:rPr>
        <w:t>7</w:t>
      </w:r>
      <w:r>
        <w:rPr>
          <w:rFonts w:ascii="Arial" w:eastAsia="黑体" w:hAnsi="Arial" w:cs="Arial"/>
        </w:rPr>
        <w:t>月</w:t>
      </w:r>
      <w:r>
        <w:rPr>
          <w:rFonts w:ascii="Arial" w:eastAsia="黑体" w:hAnsi="Arial" w:cs="Arial"/>
        </w:rPr>
        <w:t>04</w:t>
      </w:r>
      <w:r>
        <w:rPr>
          <w:rFonts w:ascii="Arial" w:eastAsia="黑体" w:hAnsi="Arial" w:cs="Arial"/>
        </w:rPr>
        <w:t>日发行在全国银行间债券市场发行三年期绿色金融债人民币</w:t>
      </w:r>
      <w:r>
        <w:rPr>
          <w:rFonts w:ascii="Arial" w:eastAsia="黑体" w:hAnsi="Arial" w:cs="Arial"/>
        </w:rPr>
        <w:t>10</w:t>
      </w:r>
      <w:r>
        <w:rPr>
          <w:rFonts w:ascii="Arial" w:eastAsia="黑体" w:hAnsi="Arial" w:cs="Arial"/>
        </w:rPr>
        <w:t>亿元，年利率</w:t>
      </w:r>
      <w:r>
        <w:rPr>
          <w:rFonts w:ascii="Arial" w:eastAsia="黑体" w:hAnsi="Arial" w:cs="Arial"/>
        </w:rPr>
        <w:t>2.89%</w:t>
      </w:r>
      <w:r>
        <w:rPr>
          <w:rFonts w:ascii="Arial" w:eastAsia="黑体" w:hAnsi="Arial" w:cs="Arial"/>
        </w:rPr>
        <w:t>，每年付息一次。</w:t>
      </w:r>
    </w:p>
    <w:p w:rsidR="00AD5BB5" w:rsidRDefault="00AD5BB5">
      <w:pPr>
        <w:pStyle w:val="aff6"/>
        <w:overflowPunct w:val="0"/>
        <w:autoSpaceDE w:val="0"/>
        <w:autoSpaceDN w:val="0"/>
        <w:spacing w:line="240" w:lineRule="auto"/>
        <w:ind w:leftChars="0" w:left="720" w:hanging="720"/>
        <w:rPr>
          <w:rFonts w:ascii="Arial" w:eastAsia="黑体" w:hAnsi="Arial" w:cs="Arial"/>
        </w:rPr>
      </w:pPr>
    </w:p>
    <w:p w:rsidR="00AD5BB5" w:rsidRDefault="00F87FF6">
      <w:pPr>
        <w:pStyle w:val="aff6"/>
        <w:overflowPunct w:val="0"/>
        <w:autoSpaceDE w:val="0"/>
        <w:autoSpaceDN w:val="0"/>
        <w:spacing w:line="240" w:lineRule="auto"/>
        <w:ind w:leftChars="0" w:left="720" w:hanging="720"/>
        <w:rPr>
          <w:rFonts w:ascii="Arial" w:eastAsia="黑体" w:hAnsi="Arial" w:cs="Arial"/>
        </w:rPr>
      </w:pPr>
      <w:r>
        <w:rPr>
          <w:rFonts w:ascii="Arial" w:eastAsia="黑体" w:hAnsi="Arial" w:cs="Arial"/>
        </w:rPr>
        <w:t>注</w:t>
      </w:r>
      <w:r>
        <w:rPr>
          <w:rFonts w:ascii="Arial" w:eastAsia="黑体" w:hAnsi="Arial" w:cs="Arial"/>
        </w:rPr>
        <w:t>4</w:t>
      </w:r>
      <w:r>
        <w:rPr>
          <w:rFonts w:ascii="Arial" w:eastAsia="黑体" w:hAnsi="Arial" w:cs="Arial"/>
        </w:rPr>
        <w:t>：</w:t>
      </w:r>
      <w:r>
        <w:rPr>
          <w:rFonts w:ascii="Arial" w:eastAsia="黑体" w:hAnsi="Arial" w:cs="Arial"/>
        </w:rPr>
        <w:tab/>
      </w:r>
      <w:r>
        <w:rPr>
          <w:rFonts w:ascii="Arial" w:eastAsia="黑体" w:hAnsi="Arial" w:cs="Arial"/>
        </w:rPr>
        <w:t>本行于</w:t>
      </w:r>
      <w:r>
        <w:rPr>
          <w:rFonts w:ascii="Arial" w:eastAsia="黑体" w:hAnsi="Arial" w:cs="Arial"/>
        </w:rPr>
        <w:t>2022</w:t>
      </w:r>
      <w:r>
        <w:rPr>
          <w:rFonts w:ascii="Arial" w:eastAsia="黑体" w:hAnsi="Arial" w:cs="Arial"/>
        </w:rPr>
        <w:t>年</w:t>
      </w:r>
      <w:r>
        <w:rPr>
          <w:rFonts w:ascii="Arial" w:eastAsia="黑体" w:hAnsi="Arial" w:cs="Arial"/>
        </w:rPr>
        <w:t>8</w:t>
      </w:r>
      <w:r>
        <w:rPr>
          <w:rFonts w:ascii="Arial" w:eastAsia="黑体" w:hAnsi="Arial" w:cs="Arial"/>
        </w:rPr>
        <w:t>月</w:t>
      </w:r>
      <w:r>
        <w:rPr>
          <w:rFonts w:ascii="Arial" w:eastAsia="黑体" w:hAnsi="Arial" w:cs="Arial"/>
        </w:rPr>
        <w:t>09</w:t>
      </w:r>
      <w:r>
        <w:rPr>
          <w:rFonts w:ascii="Arial" w:eastAsia="黑体" w:hAnsi="Arial" w:cs="Arial"/>
        </w:rPr>
        <w:t>日在全国银行间债券市场发行三年期小</w:t>
      </w:r>
      <w:proofErr w:type="gramStart"/>
      <w:r>
        <w:rPr>
          <w:rFonts w:ascii="Arial" w:eastAsia="黑体" w:hAnsi="Arial" w:cs="Arial"/>
        </w:rPr>
        <w:t>微金融</w:t>
      </w:r>
      <w:proofErr w:type="gramEnd"/>
      <w:r>
        <w:rPr>
          <w:rFonts w:ascii="Arial" w:eastAsia="黑体" w:hAnsi="Arial" w:cs="Arial"/>
        </w:rPr>
        <w:t>债人民币</w:t>
      </w:r>
      <w:r>
        <w:rPr>
          <w:rFonts w:ascii="Arial" w:eastAsia="黑体" w:hAnsi="Arial" w:cs="Arial"/>
        </w:rPr>
        <w:t>30</w:t>
      </w:r>
      <w:r>
        <w:rPr>
          <w:rFonts w:ascii="Arial" w:eastAsia="黑体" w:hAnsi="Arial" w:cs="Arial"/>
        </w:rPr>
        <w:t>亿元，年利率</w:t>
      </w:r>
      <w:r>
        <w:rPr>
          <w:rFonts w:ascii="Arial" w:eastAsia="黑体" w:hAnsi="Arial" w:cs="Arial"/>
        </w:rPr>
        <w:t>2.65%</w:t>
      </w:r>
      <w:r>
        <w:rPr>
          <w:rFonts w:ascii="Arial" w:eastAsia="黑体" w:hAnsi="Arial" w:cs="Arial"/>
        </w:rPr>
        <w:t>，每年付息一次，用于发放小型微型企业贷款。</w:t>
      </w:r>
    </w:p>
    <w:p w:rsidR="00AD5BB5" w:rsidRDefault="00AD5BB5">
      <w:pPr>
        <w:pStyle w:val="aff6"/>
        <w:overflowPunct w:val="0"/>
        <w:autoSpaceDE w:val="0"/>
        <w:autoSpaceDN w:val="0"/>
        <w:spacing w:line="240" w:lineRule="auto"/>
        <w:ind w:leftChars="0" w:left="720" w:hanging="720"/>
        <w:rPr>
          <w:rFonts w:ascii="Arial" w:eastAsia="黑体" w:hAnsi="Arial" w:cs="Arial"/>
        </w:rPr>
      </w:pPr>
    </w:p>
    <w:p w:rsidR="00AD5BB5" w:rsidRDefault="00F87FF6">
      <w:pPr>
        <w:pStyle w:val="aff6"/>
        <w:overflowPunct w:val="0"/>
        <w:autoSpaceDE w:val="0"/>
        <w:autoSpaceDN w:val="0"/>
        <w:spacing w:line="240" w:lineRule="auto"/>
        <w:ind w:leftChars="0" w:left="720" w:hanging="720"/>
        <w:rPr>
          <w:rFonts w:ascii="Arial" w:eastAsia="黑体" w:hAnsi="Arial" w:cs="Arial"/>
        </w:rPr>
      </w:pPr>
      <w:r>
        <w:rPr>
          <w:rFonts w:ascii="Arial" w:eastAsia="黑体" w:hAnsi="Arial" w:cs="Arial"/>
        </w:rPr>
        <w:t>注</w:t>
      </w:r>
      <w:r>
        <w:rPr>
          <w:rFonts w:ascii="Arial" w:eastAsia="黑体" w:hAnsi="Arial" w:cs="Arial"/>
        </w:rPr>
        <w:t>5</w:t>
      </w:r>
      <w:r>
        <w:rPr>
          <w:rFonts w:ascii="Arial" w:eastAsia="黑体" w:hAnsi="Arial" w:cs="Arial"/>
        </w:rPr>
        <w:t>：</w:t>
      </w:r>
      <w:r>
        <w:rPr>
          <w:rFonts w:ascii="Arial" w:eastAsia="黑体" w:hAnsi="Arial" w:cs="Arial"/>
        </w:rPr>
        <w:tab/>
      </w:r>
      <w:r>
        <w:rPr>
          <w:rFonts w:ascii="Arial" w:eastAsia="黑体" w:hAnsi="Arial" w:cs="Arial"/>
        </w:rPr>
        <w:t>本行于</w:t>
      </w:r>
      <w:r>
        <w:rPr>
          <w:rFonts w:ascii="Arial" w:eastAsia="黑体" w:hAnsi="Arial" w:cs="Arial"/>
        </w:rPr>
        <w:t>2022</w:t>
      </w:r>
      <w:r>
        <w:rPr>
          <w:rFonts w:ascii="Arial" w:eastAsia="黑体" w:hAnsi="Arial" w:cs="Arial"/>
        </w:rPr>
        <w:t>年</w:t>
      </w:r>
      <w:r>
        <w:rPr>
          <w:rFonts w:ascii="Arial" w:eastAsia="黑体" w:hAnsi="Arial" w:cs="Arial"/>
        </w:rPr>
        <w:t>9</w:t>
      </w:r>
      <w:r>
        <w:rPr>
          <w:rFonts w:ascii="Arial" w:eastAsia="黑体" w:hAnsi="Arial" w:cs="Arial"/>
        </w:rPr>
        <w:t>月</w:t>
      </w:r>
      <w:r>
        <w:rPr>
          <w:rFonts w:ascii="Arial" w:eastAsia="黑体" w:hAnsi="Arial" w:cs="Arial"/>
        </w:rPr>
        <w:t>20</w:t>
      </w:r>
      <w:r>
        <w:rPr>
          <w:rFonts w:ascii="Arial" w:eastAsia="黑体" w:hAnsi="Arial" w:cs="Arial"/>
        </w:rPr>
        <w:t>日在全国银行间债券市场发行三年期小</w:t>
      </w:r>
      <w:proofErr w:type="gramStart"/>
      <w:r>
        <w:rPr>
          <w:rFonts w:ascii="Arial" w:eastAsia="黑体" w:hAnsi="Arial" w:cs="Arial"/>
        </w:rPr>
        <w:t>微金融</w:t>
      </w:r>
      <w:proofErr w:type="gramEnd"/>
      <w:r>
        <w:rPr>
          <w:rFonts w:ascii="Arial" w:eastAsia="黑体" w:hAnsi="Arial" w:cs="Arial"/>
        </w:rPr>
        <w:t>债人民币</w:t>
      </w:r>
      <w:r>
        <w:rPr>
          <w:rFonts w:ascii="Arial" w:eastAsia="黑体" w:hAnsi="Arial" w:cs="Arial"/>
        </w:rPr>
        <w:t>30</w:t>
      </w:r>
      <w:r>
        <w:rPr>
          <w:rFonts w:ascii="Arial" w:eastAsia="黑体" w:hAnsi="Arial" w:cs="Arial"/>
        </w:rPr>
        <w:t>亿元，年利率</w:t>
      </w:r>
      <w:r>
        <w:rPr>
          <w:rFonts w:ascii="Arial" w:eastAsia="黑体" w:hAnsi="Arial" w:cs="Arial"/>
        </w:rPr>
        <w:t>2.64%</w:t>
      </w:r>
      <w:r>
        <w:rPr>
          <w:rFonts w:ascii="Arial" w:eastAsia="黑体" w:hAnsi="Arial" w:cs="Arial"/>
        </w:rPr>
        <w:t>，每年付息一次，用于发放小型微型企业贷款。</w:t>
      </w:r>
    </w:p>
    <w:p w:rsidR="00AD5BB5" w:rsidRDefault="00AD5BB5">
      <w:pPr>
        <w:pStyle w:val="aff6"/>
        <w:overflowPunct w:val="0"/>
        <w:autoSpaceDE w:val="0"/>
        <w:autoSpaceDN w:val="0"/>
        <w:spacing w:line="240" w:lineRule="auto"/>
        <w:ind w:leftChars="0" w:left="720" w:hanging="720"/>
        <w:rPr>
          <w:rFonts w:ascii="Arial" w:eastAsia="黑体" w:hAnsi="Arial" w:cs="Arial"/>
        </w:rPr>
      </w:pPr>
    </w:p>
    <w:p w:rsidR="00AD5BB5" w:rsidRDefault="00F87FF6">
      <w:pPr>
        <w:pStyle w:val="aff6"/>
        <w:overflowPunct w:val="0"/>
        <w:autoSpaceDE w:val="0"/>
        <w:autoSpaceDN w:val="0"/>
        <w:spacing w:line="240" w:lineRule="auto"/>
        <w:ind w:leftChars="0" w:left="720" w:hanging="720"/>
        <w:rPr>
          <w:rFonts w:ascii="Arial" w:eastAsia="黑体" w:hAnsi="Arial" w:cs="Arial"/>
        </w:rPr>
      </w:pPr>
      <w:bookmarkStart w:id="198" w:name="afsaddin_WithXu_afe267da281146aa8ff56d7a"/>
      <w:bookmarkStart w:id="199" w:name="afsaddin_WithXu_9a778005d92c448ba5885b92"/>
      <w:bookmarkEnd w:id="198"/>
      <w:bookmarkEnd w:id="199"/>
      <w:r>
        <w:rPr>
          <w:rFonts w:ascii="Arial" w:eastAsia="黑体" w:hAnsi="Arial" w:cs="Arial"/>
        </w:rPr>
        <w:t>注</w:t>
      </w:r>
      <w:r>
        <w:rPr>
          <w:rFonts w:ascii="Arial" w:eastAsia="黑体" w:hAnsi="Arial" w:cs="Arial"/>
        </w:rPr>
        <w:t>6</w:t>
      </w:r>
      <w:r>
        <w:rPr>
          <w:rFonts w:ascii="Arial" w:eastAsia="黑体" w:hAnsi="Arial" w:cs="Arial"/>
        </w:rPr>
        <w:t>：</w:t>
      </w:r>
      <w:r>
        <w:rPr>
          <w:rFonts w:ascii="Arial" w:eastAsia="黑体" w:hAnsi="Arial" w:cs="Arial"/>
        </w:rPr>
        <w:tab/>
      </w:r>
      <w:r>
        <w:rPr>
          <w:rFonts w:ascii="Arial" w:eastAsia="黑体" w:hAnsi="Arial" w:cs="Arial"/>
        </w:rPr>
        <w:t>本行子公司</w:t>
      </w:r>
      <w:r>
        <w:rPr>
          <w:rFonts w:ascii="Arial" w:eastAsia="黑体" w:hAnsi="Arial" w:cs="Arial"/>
          <w:snapToGrid w:val="0"/>
        </w:rPr>
        <w:t>福建海西金融租赁有限责任公司</w:t>
      </w:r>
      <w:r>
        <w:rPr>
          <w:rFonts w:ascii="Arial" w:eastAsia="黑体" w:hAnsi="Arial" w:cs="Arial"/>
        </w:rPr>
        <w:t>于</w:t>
      </w:r>
      <w:r>
        <w:rPr>
          <w:rFonts w:ascii="Arial" w:eastAsia="黑体" w:hAnsi="Arial" w:cs="Arial"/>
        </w:rPr>
        <w:t>2021</w:t>
      </w:r>
      <w:r>
        <w:rPr>
          <w:rFonts w:ascii="Arial" w:eastAsia="黑体" w:hAnsi="Arial" w:cs="Arial"/>
        </w:rPr>
        <w:t>年</w:t>
      </w:r>
      <w:r>
        <w:rPr>
          <w:rFonts w:ascii="Arial" w:eastAsia="黑体" w:hAnsi="Arial" w:cs="Arial"/>
        </w:rPr>
        <w:t>5</w:t>
      </w:r>
      <w:r>
        <w:rPr>
          <w:rFonts w:ascii="Arial" w:eastAsia="黑体" w:hAnsi="Arial" w:cs="Arial"/>
        </w:rPr>
        <w:t>月</w:t>
      </w:r>
      <w:r>
        <w:rPr>
          <w:rFonts w:ascii="Arial" w:eastAsia="黑体" w:hAnsi="Arial" w:cs="Arial"/>
        </w:rPr>
        <w:t>25</w:t>
      </w:r>
      <w:r>
        <w:rPr>
          <w:rFonts w:ascii="Arial" w:eastAsia="黑体" w:hAnsi="Arial" w:cs="Arial"/>
        </w:rPr>
        <w:t>日在全国银行间债券市场发行三年期固定利率品种债券人民币</w:t>
      </w:r>
      <w:r>
        <w:rPr>
          <w:rFonts w:ascii="Arial" w:eastAsia="黑体" w:hAnsi="Arial" w:cs="Arial"/>
        </w:rPr>
        <w:t>5.5</w:t>
      </w:r>
      <w:r>
        <w:rPr>
          <w:rFonts w:ascii="Arial" w:eastAsia="黑体" w:hAnsi="Arial" w:cs="Arial"/>
        </w:rPr>
        <w:t>亿元，年利率</w:t>
      </w:r>
      <w:r>
        <w:rPr>
          <w:rFonts w:ascii="Arial" w:eastAsia="黑体" w:hAnsi="Arial" w:cs="Arial"/>
        </w:rPr>
        <w:t>3.85%</w:t>
      </w:r>
      <w:r>
        <w:rPr>
          <w:rFonts w:ascii="Arial" w:eastAsia="黑体" w:hAnsi="Arial" w:cs="Arial"/>
        </w:rPr>
        <w:t>，用于补充公司中长期资金。</w:t>
      </w:r>
    </w:p>
    <w:p w:rsidR="00AD5BB5" w:rsidRDefault="00AD5BB5">
      <w:pPr>
        <w:overflowPunct w:val="0"/>
        <w:autoSpaceDE w:val="0"/>
        <w:autoSpaceDN w:val="0"/>
        <w:ind w:left="720" w:hanging="720"/>
        <w:rPr>
          <w:rFonts w:ascii="Arial" w:eastAsia="黑体" w:hAnsi="Arial" w:cs="Arial"/>
          <w:b/>
          <w:szCs w:val="21"/>
        </w:rPr>
      </w:pPr>
    </w:p>
    <w:p w:rsidR="00AD5BB5" w:rsidRDefault="00F87FF6">
      <w:pPr>
        <w:overflowPunct w:val="0"/>
        <w:autoSpaceDE w:val="0"/>
        <w:autoSpaceDN w:val="0"/>
        <w:ind w:left="714" w:hanging="700"/>
        <w:rPr>
          <w:rFonts w:ascii="Arial" w:eastAsia="黑体" w:hAnsi="Arial" w:cs="Arial"/>
          <w:szCs w:val="21"/>
        </w:rPr>
      </w:pPr>
      <w:r>
        <w:rPr>
          <w:rFonts w:ascii="Arial" w:eastAsia="黑体" w:hAnsi="Arial" w:cs="Arial"/>
          <w:szCs w:val="21"/>
        </w:rPr>
        <w:t>注</w:t>
      </w:r>
      <w:r>
        <w:rPr>
          <w:rFonts w:ascii="Arial" w:eastAsia="黑体" w:hAnsi="Arial" w:cs="Arial"/>
          <w:szCs w:val="21"/>
        </w:rPr>
        <w:t>7</w:t>
      </w:r>
      <w:r>
        <w:rPr>
          <w:rFonts w:ascii="Arial" w:eastAsia="黑体" w:hAnsi="Arial" w:cs="Arial"/>
          <w:szCs w:val="21"/>
        </w:rPr>
        <w:t>：</w:t>
      </w:r>
      <w:r>
        <w:rPr>
          <w:rFonts w:ascii="Arial" w:eastAsia="黑体" w:hAnsi="Arial" w:cs="Arial"/>
          <w:szCs w:val="21"/>
        </w:rPr>
        <w:t xml:space="preserve">  2023</w:t>
      </w:r>
      <w:r>
        <w:rPr>
          <w:rFonts w:ascii="Arial" w:eastAsia="黑体" w:hAnsi="Arial" w:cs="Arial"/>
          <w:szCs w:val="21"/>
        </w:rPr>
        <w:t>年上半年及</w:t>
      </w:r>
      <w:r>
        <w:rPr>
          <w:rFonts w:ascii="Arial" w:eastAsia="黑体" w:hAnsi="Arial" w:cs="Arial"/>
          <w:szCs w:val="21"/>
        </w:rPr>
        <w:t>2022</w:t>
      </w:r>
      <w:r>
        <w:rPr>
          <w:rFonts w:ascii="Arial" w:eastAsia="黑体" w:hAnsi="Arial" w:cs="Arial"/>
          <w:szCs w:val="21"/>
        </w:rPr>
        <w:t>年度，本行在全国银行间债券市场分别发行了</w:t>
      </w:r>
      <w:r>
        <w:rPr>
          <w:rFonts w:ascii="Arial" w:eastAsia="黑体" w:hAnsi="Arial" w:cs="Arial"/>
          <w:szCs w:val="21"/>
        </w:rPr>
        <w:t>68</w:t>
      </w:r>
      <w:r>
        <w:rPr>
          <w:rFonts w:ascii="Arial" w:eastAsia="黑体" w:hAnsi="Arial" w:cs="Arial"/>
          <w:szCs w:val="21"/>
        </w:rPr>
        <w:t>期及</w:t>
      </w:r>
      <w:r>
        <w:rPr>
          <w:rFonts w:ascii="Arial" w:eastAsia="黑体" w:hAnsi="Arial" w:cs="Arial"/>
          <w:szCs w:val="21"/>
        </w:rPr>
        <w:t>173</w:t>
      </w:r>
      <w:r>
        <w:rPr>
          <w:rFonts w:ascii="Arial" w:eastAsia="黑体" w:hAnsi="Arial" w:cs="Arial"/>
          <w:szCs w:val="21"/>
        </w:rPr>
        <w:t>期人民币同业存单。截至</w:t>
      </w:r>
      <w:r>
        <w:rPr>
          <w:rFonts w:ascii="Arial" w:eastAsia="黑体" w:hAnsi="Arial" w:cs="Arial"/>
          <w:szCs w:val="21"/>
        </w:rPr>
        <w:t>2023</w:t>
      </w:r>
      <w:r>
        <w:rPr>
          <w:rFonts w:ascii="Arial" w:eastAsia="黑体" w:hAnsi="Arial" w:cs="Arial"/>
          <w:szCs w:val="21"/>
        </w:rPr>
        <w:t>年</w:t>
      </w:r>
      <w:r>
        <w:rPr>
          <w:rFonts w:ascii="Arial" w:eastAsia="黑体" w:hAnsi="Arial" w:cs="Arial"/>
          <w:szCs w:val="21"/>
        </w:rPr>
        <w:t>06</w:t>
      </w:r>
      <w:r>
        <w:rPr>
          <w:rFonts w:ascii="Arial" w:eastAsia="黑体" w:hAnsi="Arial" w:cs="Arial"/>
          <w:szCs w:val="21"/>
        </w:rPr>
        <w:t>月</w:t>
      </w:r>
      <w:r>
        <w:rPr>
          <w:rFonts w:ascii="Arial" w:eastAsia="黑体" w:hAnsi="Arial" w:cs="Arial"/>
          <w:szCs w:val="21"/>
        </w:rPr>
        <w:t>30</w:t>
      </w:r>
      <w:r>
        <w:rPr>
          <w:rFonts w:ascii="Arial" w:eastAsia="黑体" w:hAnsi="Arial" w:cs="Arial"/>
          <w:szCs w:val="21"/>
        </w:rPr>
        <w:t>日和</w:t>
      </w:r>
      <w:r>
        <w:rPr>
          <w:rFonts w:ascii="Arial" w:eastAsia="黑体" w:hAnsi="Arial" w:cs="Arial"/>
          <w:szCs w:val="21"/>
        </w:rPr>
        <w:t>2022</w:t>
      </w:r>
      <w:r>
        <w:rPr>
          <w:rFonts w:ascii="Arial" w:eastAsia="黑体" w:hAnsi="Arial" w:cs="Arial"/>
          <w:szCs w:val="21"/>
        </w:rPr>
        <w:t>年</w:t>
      </w:r>
      <w:r>
        <w:rPr>
          <w:rFonts w:ascii="Arial" w:eastAsia="黑体" w:hAnsi="Arial" w:cs="Arial"/>
          <w:szCs w:val="21"/>
        </w:rPr>
        <w:t>12</w:t>
      </w:r>
      <w:r>
        <w:rPr>
          <w:rFonts w:ascii="Arial" w:eastAsia="黑体" w:hAnsi="Arial" w:cs="Arial"/>
          <w:szCs w:val="21"/>
        </w:rPr>
        <w:t>月</w:t>
      </w:r>
      <w:r>
        <w:rPr>
          <w:rFonts w:ascii="Arial" w:eastAsia="黑体" w:hAnsi="Arial" w:cs="Arial"/>
          <w:szCs w:val="21"/>
        </w:rPr>
        <w:t>31</w:t>
      </w:r>
      <w:r>
        <w:rPr>
          <w:rFonts w:ascii="Arial" w:eastAsia="黑体" w:hAnsi="Arial" w:cs="Arial"/>
          <w:szCs w:val="21"/>
        </w:rPr>
        <w:t>日，本行发行的人民币同业存单分别有</w:t>
      </w:r>
      <w:r>
        <w:rPr>
          <w:rFonts w:ascii="Arial" w:eastAsia="黑体" w:hAnsi="Arial" w:cs="Arial"/>
          <w:szCs w:val="21"/>
        </w:rPr>
        <w:t>100</w:t>
      </w:r>
      <w:r>
        <w:rPr>
          <w:rFonts w:ascii="Arial" w:eastAsia="黑体" w:hAnsi="Arial" w:cs="Arial"/>
          <w:szCs w:val="21"/>
        </w:rPr>
        <w:t>期和</w:t>
      </w:r>
      <w:r>
        <w:rPr>
          <w:rFonts w:ascii="Arial" w:eastAsia="黑体" w:hAnsi="Arial" w:cs="Arial"/>
          <w:szCs w:val="21"/>
        </w:rPr>
        <w:t>96</w:t>
      </w:r>
      <w:r>
        <w:rPr>
          <w:rFonts w:ascii="Arial" w:eastAsia="黑体" w:hAnsi="Arial" w:cs="Arial"/>
          <w:szCs w:val="21"/>
        </w:rPr>
        <w:t>期尚未到期，余额分别为人民币</w:t>
      </w:r>
      <w:r>
        <w:rPr>
          <w:rFonts w:ascii="Arial" w:eastAsia="黑体" w:hAnsi="Arial" w:cs="Arial"/>
          <w:szCs w:val="21"/>
        </w:rPr>
        <w:t>648.76</w:t>
      </w:r>
      <w:r>
        <w:rPr>
          <w:rFonts w:ascii="Arial" w:eastAsia="黑体" w:hAnsi="Arial" w:cs="Arial"/>
          <w:szCs w:val="21"/>
        </w:rPr>
        <w:t>亿元及</w:t>
      </w:r>
      <w:r>
        <w:rPr>
          <w:rFonts w:ascii="Arial" w:eastAsia="黑体" w:hAnsi="Arial" w:cs="Arial"/>
          <w:szCs w:val="21"/>
        </w:rPr>
        <w:t>572.84</w:t>
      </w:r>
      <w:r>
        <w:rPr>
          <w:rFonts w:ascii="Arial" w:eastAsia="黑体" w:hAnsi="Arial" w:cs="Arial"/>
          <w:szCs w:val="21"/>
        </w:rPr>
        <w:t>亿元，期限为</w:t>
      </w:r>
      <w:r>
        <w:rPr>
          <w:rFonts w:ascii="Arial" w:eastAsia="黑体" w:hAnsi="Arial" w:cs="Arial"/>
          <w:szCs w:val="21"/>
        </w:rPr>
        <w:t>1</w:t>
      </w:r>
      <w:r>
        <w:rPr>
          <w:rFonts w:ascii="Arial" w:eastAsia="黑体" w:hAnsi="Arial" w:cs="Arial"/>
          <w:szCs w:val="21"/>
        </w:rPr>
        <w:t>个月至</w:t>
      </w:r>
      <w:r>
        <w:rPr>
          <w:rFonts w:ascii="Arial" w:eastAsia="黑体" w:hAnsi="Arial" w:cs="Arial"/>
          <w:szCs w:val="21"/>
        </w:rPr>
        <w:t>12</w:t>
      </w:r>
      <w:r>
        <w:rPr>
          <w:rFonts w:ascii="Arial" w:eastAsia="黑体" w:hAnsi="Arial" w:cs="Arial"/>
          <w:szCs w:val="21"/>
        </w:rPr>
        <w:t>个月不等，票面利率区间为</w:t>
      </w:r>
      <w:r>
        <w:rPr>
          <w:rFonts w:ascii="Arial" w:eastAsia="黑体" w:hAnsi="Arial" w:cs="Arial"/>
          <w:szCs w:val="21"/>
        </w:rPr>
        <w:t>2.20%-2.84%</w:t>
      </w:r>
      <w:r>
        <w:rPr>
          <w:rFonts w:ascii="Arial" w:eastAsia="黑体" w:hAnsi="Arial" w:cs="Arial"/>
          <w:szCs w:val="21"/>
        </w:rPr>
        <w:t>。</w:t>
      </w:r>
    </w:p>
    <w:p w:rsidR="00AD5BB5" w:rsidRDefault="00AD5BB5">
      <w:pPr>
        <w:overflowPunct w:val="0"/>
        <w:autoSpaceDE w:val="0"/>
        <w:autoSpaceDN w:val="0"/>
        <w:rPr>
          <w:rFonts w:ascii="Arial" w:eastAsia="黑体" w:hAnsi="Arial" w:cs="Arial"/>
          <w:snapToGrid w:val="0"/>
          <w:szCs w:val="21"/>
        </w:rPr>
      </w:pPr>
    </w:p>
    <w:p w:rsidR="00AD5BB5" w:rsidRDefault="00F87FF6">
      <w:pPr>
        <w:pStyle w:val="af5"/>
        <w:keepNext w:val="0"/>
        <w:keepLines w:val="0"/>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200" w:name="afsaddin_Section_f9a43a0be0fa4d0297a4fdf"/>
      <w:r>
        <w:rPr>
          <w:rFonts w:ascii="Arial" w:eastAsia="黑体" w:hAnsi="Arial" w:cs="Arial" w:hint="default"/>
          <w:bCs w:val="0"/>
          <w:snapToGrid w:val="0"/>
          <w:color w:val="auto"/>
          <w:sz w:val="21"/>
          <w:szCs w:val="21"/>
        </w:rPr>
        <w:t>27.</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预计负债</w:t>
      </w:r>
    </w:p>
    <w:bookmarkEnd w:id="200"/>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a6d31815-6c70-4aa4-9f05-ae6717958d53"/>
        <w:tblDescription w:val="{&quot;UUID&quot;:&quot;afsaddin_tabledata_2_56437_a6d31815-6c70-4aa4-9f05-ae6717958d53&quot;,&quot;TitleRowCount&quot;:2,&quot;SplitedTable&quot;:false,&quot;FirstTableId&quot;:&quot;a6d31815-6c70-4aa4-9f05-ae6717958d53&quot;}"/>
      </w:tblPr>
      <w:tblGrid>
        <w:gridCol w:w="3502"/>
        <w:gridCol w:w="109"/>
        <w:gridCol w:w="2317"/>
        <w:gridCol w:w="110"/>
        <w:gridCol w:w="110"/>
        <w:gridCol w:w="2168"/>
        <w:gridCol w:w="110"/>
      </w:tblGrid>
      <w:tr w:rsidR="00AD5BB5">
        <w:trPr>
          <w:trHeight w:val="170"/>
        </w:trPr>
        <w:tc>
          <w:tcPr>
            <w:tcW w:w="3502" w:type="dxa"/>
            <w:tcBorders>
              <w:top w:val="nil"/>
              <w:left w:val="nil"/>
              <w:bottom w:val="nil"/>
              <w:right w:val="nil"/>
            </w:tcBorders>
            <w:shd w:val="clear" w:color="000000" w:fill="auto"/>
            <w:noWrap/>
          </w:tcPr>
          <w:p w:rsidR="00AD5BB5" w:rsidRDefault="00AD5BB5">
            <w:pPr>
              <w:kinsoku w:val="0"/>
              <w:overflowPunct w:val="0"/>
              <w:autoSpaceDE w:val="0"/>
              <w:autoSpaceDN w:val="0"/>
              <w:adjustRightInd w:val="0"/>
              <w:snapToGrid w:val="0"/>
              <w:ind w:left="315" w:hangingChars="150" w:hanging="315"/>
              <w:rPr>
                <w:rFonts w:ascii="Arial" w:eastAsia="黑体" w:hAnsi="Arial" w:cs="Arial"/>
                <w:color w:val="000000"/>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自定义</w:instrText>
            </w:r>
            <w:r>
              <w:rPr>
                <w:rFonts w:ascii="Arial" w:eastAsia="黑体" w:hAnsi="Arial" w:cs="Arial"/>
                <w:szCs w:val="21"/>
              </w:rPr>
              <w:instrText xml:space="preserve">1 </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t>年</w:t>
            </w:r>
            <w:r>
              <w:rPr>
                <w:rFonts w:ascii="Arial" w:eastAsia="黑体" w:hAnsi="Arial" w:cs="Arial"/>
                <w:szCs w:val="21"/>
              </w:rPr>
              <w:t>1-6</w:t>
            </w:r>
            <w:r>
              <w:rPr>
                <w:rFonts w:ascii="Arial" w:eastAsia="黑体" w:hAnsi="Arial" w:cs="Arial"/>
                <w:szCs w:val="21"/>
              </w:rPr>
              <w:t>月</w:t>
            </w:r>
            <w:r>
              <w:rPr>
                <w:rFonts w:ascii="Arial" w:eastAsia="黑体" w:hAnsi="Arial" w:cs="Arial"/>
                <w:szCs w:val="21"/>
              </w:rPr>
              <w:fldChar w:fldCharType="end"/>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自定义</w:instrText>
            </w:r>
            <w:r>
              <w:rPr>
                <w:rFonts w:ascii="Arial" w:eastAsia="黑体" w:hAnsi="Arial" w:cs="Arial"/>
                <w:szCs w:val="21"/>
              </w:rPr>
              <w:instrText xml:space="preserve">3 </w:instrText>
            </w:r>
            <w:r>
              <w:rPr>
                <w:rFonts w:ascii="Arial" w:eastAsia="黑体" w:hAnsi="Arial" w:cs="Arial"/>
                <w:szCs w:val="21"/>
              </w:rPr>
              <w:fldChar w:fldCharType="separate"/>
            </w:r>
            <w:r>
              <w:rPr>
                <w:rFonts w:ascii="Arial" w:eastAsia="黑体" w:hAnsi="Arial" w:cs="Arial"/>
                <w:szCs w:val="21"/>
              </w:rPr>
              <w:t>2022</w:t>
            </w:r>
            <w:r>
              <w:rPr>
                <w:rFonts w:ascii="Arial" w:eastAsia="黑体" w:hAnsi="Arial" w:cs="Arial"/>
                <w:szCs w:val="21"/>
              </w:rPr>
              <w:t>年度</w:t>
            </w:r>
            <w:r>
              <w:rPr>
                <w:rFonts w:ascii="Arial" w:eastAsia="黑体" w:hAnsi="Arial" w:cs="Arial"/>
                <w:szCs w:val="21"/>
              </w:rPr>
              <w:fldChar w:fldCharType="end"/>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AD5BB5">
            <w:pPr>
              <w:kinsoku w:val="0"/>
              <w:overflowPunct w:val="0"/>
              <w:autoSpaceDE w:val="0"/>
              <w:autoSpaceDN w:val="0"/>
              <w:adjustRightInd w:val="0"/>
              <w:snapToGrid w:val="0"/>
              <w:ind w:left="315" w:hangingChars="150" w:hanging="315"/>
              <w:rPr>
                <w:rFonts w:ascii="Arial" w:eastAsia="黑体" w:hAnsi="Arial" w:cs="Arial"/>
                <w:color w:val="000000"/>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napToGrid w:val="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216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napToGrid w:val="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rPr>
              <w:t>期</w:t>
            </w:r>
            <w:r>
              <w:rPr>
                <w:rFonts w:ascii="Arial" w:eastAsia="黑体" w:hAnsi="Arial" w:cs="Arial"/>
              </w:rPr>
              <w:t>/</w:t>
            </w:r>
            <w:r>
              <w:rPr>
                <w:rFonts w:ascii="Arial" w:eastAsia="黑体" w:hAnsi="Arial" w:cs="Arial"/>
              </w:rPr>
              <w:t>年初余额</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napToGrid w:val="0"/>
                <w:szCs w:val="21"/>
              </w:rPr>
            </w:pPr>
            <w:r>
              <w:rPr>
                <w:rFonts w:ascii="Arial" w:eastAsia="黑体" w:hAnsi="Arial" w:cs="Arial"/>
                <w:snapToGrid w:val="0"/>
                <w:szCs w:val="21"/>
              </w:rPr>
              <w:t>473,824,172.88</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napToGrid w:val="0"/>
                <w:szCs w:val="21"/>
              </w:rPr>
            </w:pPr>
            <w:r>
              <w:rPr>
                <w:rFonts w:ascii="Arial" w:eastAsia="黑体" w:hAnsi="Arial" w:cs="Arial"/>
                <w:snapToGrid w:val="0"/>
                <w:szCs w:val="21"/>
              </w:rPr>
              <w:t>485,722,508.55</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auto" w:fill="auto"/>
            <w:noWrap/>
          </w:tcPr>
          <w:p w:rsidR="00AD5BB5" w:rsidRDefault="00AD5BB5">
            <w:pPr>
              <w:kinsoku w:val="0"/>
              <w:overflowPunct w:val="0"/>
              <w:autoSpaceDE w:val="0"/>
              <w:autoSpaceDN w:val="0"/>
              <w:adjustRightInd w:val="0"/>
              <w:snapToGrid w:val="0"/>
              <w:ind w:left="315" w:hangingChars="150" w:hanging="315"/>
              <w:rPr>
                <w:rFonts w:ascii="Arial" w:eastAsia="黑体" w:hAnsi="Arial" w:cs="Arial"/>
                <w:color w:val="000000"/>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napToGrid w:val="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napToGrid w:val="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rPr>
              <w:t>本期</w:t>
            </w:r>
            <w:r>
              <w:rPr>
                <w:rFonts w:ascii="Arial" w:eastAsia="黑体" w:hAnsi="Arial" w:cs="Arial"/>
              </w:rPr>
              <w:t>/</w:t>
            </w:r>
            <w:r>
              <w:rPr>
                <w:rFonts w:ascii="Arial" w:eastAsia="黑体" w:hAnsi="Arial" w:cs="Arial"/>
              </w:rPr>
              <w:t>年回拨</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napToGrid w:val="0"/>
                <w:szCs w:val="21"/>
              </w:rPr>
            </w:pPr>
            <w:r>
              <w:rPr>
                <w:rFonts w:ascii="Arial" w:eastAsia="黑体" w:hAnsi="Arial" w:cs="Arial"/>
              </w:rPr>
              <w:t>(160,931,913.02</w:t>
            </w:r>
          </w:p>
        </w:tc>
        <w:tc>
          <w:tcPr>
            <w:tcW w:w="110"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Cs w:val="21"/>
              </w:rPr>
            </w:pPr>
            <w:r>
              <w:rPr>
                <w:rFonts w:ascii="Arial" w:eastAsia="黑体" w:hAnsi="Arial" w:cs="Arial"/>
                <w:color w:val="000000"/>
                <w:szCs w:val="21"/>
              </w:rPr>
              <w:t>)</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168"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napToGrid w:val="0"/>
                <w:szCs w:val="21"/>
              </w:rPr>
            </w:pPr>
            <w:r>
              <w:rPr>
                <w:rFonts w:ascii="Arial" w:eastAsia="黑体" w:hAnsi="Arial" w:cs="Arial"/>
                <w:snapToGrid w:val="0"/>
                <w:szCs w:val="21"/>
              </w:rPr>
              <w:t>(11,898,335.67</w:t>
            </w:r>
          </w:p>
        </w:tc>
        <w:tc>
          <w:tcPr>
            <w:tcW w:w="110"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210"/>
              <w:rPr>
                <w:rFonts w:ascii="Arial" w:eastAsia="黑体" w:hAnsi="Arial" w:cs="Arial"/>
                <w:color w:val="000000"/>
                <w:szCs w:val="21"/>
              </w:rPr>
            </w:pPr>
            <w:r>
              <w:rPr>
                <w:rFonts w:ascii="Arial" w:eastAsia="黑体" w:hAnsi="Arial" w:cs="Arial"/>
                <w:color w:val="000000"/>
                <w:szCs w:val="21"/>
              </w:rPr>
              <w:t>)</w:t>
            </w:r>
          </w:p>
        </w:tc>
      </w:tr>
      <w:tr w:rsidR="00AD5BB5">
        <w:trPr>
          <w:trHeight w:val="170"/>
        </w:trPr>
        <w:tc>
          <w:tcPr>
            <w:tcW w:w="350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317"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rPr>
              <w:t>期</w:t>
            </w:r>
            <w:r>
              <w:rPr>
                <w:rFonts w:ascii="Arial" w:eastAsia="黑体" w:hAnsi="Arial" w:cs="Arial"/>
              </w:rPr>
              <w:t>/</w:t>
            </w:r>
            <w:r>
              <w:rPr>
                <w:rFonts w:ascii="Arial" w:eastAsia="黑体" w:hAnsi="Arial" w:cs="Arial"/>
              </w:rPr>
              <w:t>年末余额</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317" w:type="dxa"/>
            <w:tcBorders>
              <w:top w:val="nil"/>
              <w:left w:val="nil"/>
              <w:bottom w:val="doub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rPr>
              <w:t>312,892,259.86</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168" w:type="dxa"/>
            <w:tcBorders>
              <w:top w:val="nil"/>
              <w:left w:val="nil"/>
              <w:bottom w:val="doub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473,824,172.88</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bl>
    <w:p w:rsidR="00AD5BB5" w:rsidRDefault="00F87FF6">
      <w:pPr>
        <w:rPr>
          <w:rFonts w:ascii="Arial" w:eastAsia="黑体" w:hAnsi="Arial" w:cs="Arial"/>
          <w:b/>
          <w:bCs/>
          <w:snapToGrid w:val="0"/>
          <w:szCs w:val="21"/>
        </w:rPr>
      </w:pPr>
      <w:r>
        <w:rPr>
          <w:rFonts w:ascii="Arial" w:eastAsia="黑体" w:hAnsi="Arial" w:cs="Arial"/>
          <w:b/>
          <w:bCs/>
          <w:snapToGrid w:val="0"/>
          <w:szCs w:val="21"/>
        </w:rPr>
        <w:br w:type="page"/>
      </w:r>
    </w:p>
    <w:p w:rsidR="00AD5BB5" w:rsidRDefault="00AD5BB5">
      <w:pPr>
        <w:overflowPunct w:val="0"/>
        <w:autoSpaceDE w:val="0"/>
        <w:autoSpaceDN w:val="0"/>
        <w:rPr>
          <w:rFonts w:ascii="Arial" w:eastAsia="黑体" w:hAnsi="Arial" w:cs="Arial"/>
          <w:b/>
          <w:bCs/>
          <w:snapToGrid w:val="0"/>
          <w:szCs w:val="21"/>
        </w:rPr>
      </w:pPr>
    </w:p>
    <w:p w:rsidR="00AD5BB5" w:rsidRDefault="00AD5BB5">
      <w:pPr>
        <w:overflowPunct w:val="0"/>
        <w:autoSpaceDE w:val="0"/>
        <w:autoSpaceDN w:val="0"/>
        <w:rPr>
          <w:rFonts w:ascii="Arial" w:eastAsia="黑体" w:hAnsi="Arial" w:cs="Arial"/>
          <w:b/>
          <w:bCs/>
          <w:snapToGrid w:val="0"/>
          <w:szCs w:val="21"/>
        </w:rPr>
      </w:pPr>
    </w:p>
    <w:p w:rsidR="00AD5BB5" w:rsidRDefault="00F87FF6">
      <w:pPr>
        <w:overflowPunct w:val="0"/>
        <w:autoSpaceDE w:val="0"/>
        <w:autoSpaceDN w:val="0"/>
        <w:rPr>
          <w:rFonts w:ascii="Arial" w:eastAsia="黑体" w:hAnsi="Arial" w:cs="Arial"/>
          <w:b/>
          <w:bCs/>
          <w:snapToGrid w:val="0"/>
          <w:szCs w:val="21"/>
        </w:rPr>
      </w:pPr>
      <w:bookmarkStart w:id="201" w:name="afsaddin_WithXu_a264b8e50b4e4c54a9322d40"/>
      <w:r>
        <w:rPr>
          <w:rFonts w:ascii="Arial" w:eastAsia="黑体" w:hAnsi="Arial" w:cs="Arial"/>
          <w:b/>
          <w:bCs/>
          <w:snapToGrid w:val="0"/>
          <w:szCs w:val="21"/>
        </w:rPr>
        <w:t>五、</w:t>
      </w:r>
      <w:r>
        <w:rPr>
          <w:rFonts w:ascii="Arial" w:eastAsia="黑体" w:hAnsi="Arial" w:cs="Arial"/>
          <w:b/>
          <w:bCs/>
          <w:snapToGrid w:val="0"/>
          <w:szCs w:val="21"/>
        </w:rPr>
        <w:tab/>
      </w:r>
      <w:r>
        <w:rPr>
          <w:rFonts w:ascii="Arial" w:eastAsia="黑体" w:hAnsi="Arial" w:cs="Arial"/>
          <w:b/>
          <w:bCs/>
          <w:snapToGrid w:val="0"/>
          <w:szCs w:val="21"/>
        </w:rPr>
        <w:t>合并财务报表主要项目注释（续）</w:t>
      </w:r>
      <w:bookmarkEnd w:id="201"/>
    </w:p>
    <w:p w:rsidR="00AD5BB5" w:rsidRDefault="00AD5BB5">
      <w:pPr>
        <w:overflowPunct w:val="0"/>
        <w:autoSpaceDE w:val="0"/>
        <w:autoSpaceDN w:val="0"/>
        <w:rPr>
          <w:rFonts w:ascii="Arial" w:eastAsia="黑体" w:hAnsi="Arial" w:cs="Arial"/>
          <w:b/>
          <w:bCs/>
          <w:snapToGrid w:val="0"/>
          <w:szCs w:val="21"/>
        </w:rPr>
      </w:pPr>
    </w:p>
    <w:p w:rsidR="00AD5BB5" w:rsidRDefault="00F87FF6">
      <w:pPr>
        <w:pStyle w:val="af5"/>
        <w:keepNext w:val="0"/>
        <w:keepLines w:val="0"/>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202" w:name="afsaddin_Section_a8242359f16a42dba889cba"/>
      <w:r>
        <w:rPr>
          <w:rFonts w:ascii="Arial" w:eastAsia="黑体" w:hAnsi="Arial" w:cs="Arial" w:hint="default"/>
          <w:bCs w:val="0"/>
          <w:snapToGrid w:val="0"/>
          <w:color w:val="auto"/>
          <w:sz w:val="21"/>
          <w:szCs w:val="21"/>
        </w:rPr>
        <w:t>28.</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其他负债</w:t>
      </w:r>
    </w:p>
    <w:bookmarkEnd w:id="202"/>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33e0fe09-338f-4406-bc95-6cdfcb5c205f"/>
        <w:tblDescription w:val="{&quot;UUID&quot;:&quot;afsaddin_tabledata_2_56437_33e0fe09-338f-4406-bc95-6cdfcb5c205f&quot;,&quot;TitleRowCount&quot;:2,&quot;SplitedTable&quot;:false,&quot;FirstTableId&quot;:&quot;33e0fe09-338f-4406-bc95-6cdfcb5c205f&quot;}"/>
      </w:tblPr>
      <w:tblGrid>
        <w:gridCol w:w="3502"/>
        <w:gridCol w:w="109"/>
        <w:gridCol w:w="2317"/>
        <w:gridCol w:w="110"/>
        <w:gridCol w:w="110"/>
        <w:gridCol w:w="2168"/>
        <w:gridCol w:w="110"/>
      </w:tblGrid>
      <w:tr w:rsidR="00AD5BB5">
        <w:trPr>
          <w:trHeight w:val="170"/>
        </w:trPr>
        <w:tc>
          <w:tcPr>
            <w:tcW w:w="3502" w:type="dxa"/>
            <w:tcBorders>
              <w:top w:val="nil"/>
              <w:left w:val="nil"/>
              <w:bottom w:val="nil"/>
              <w:right w:val="nil"/>
            </w:tcBorders>
            <w:shd w:val="clear" w:color="auto" w:fill="auto"/>
            <w:noWrap/>
          </w:tcPr>
          <w:p w:rsidR="00AD5BB5" w:rsidRDefault="00AD5BB5">
            <w:pPr>
              <w:kinsoku w:val="0"/>
              <w:overflowPunct w:val="0"/>
              <w:autoSpaceDE w:val="0"/>
              <w:autoSpaceDN w:val="0"/>
              <w:adjustRightInd w:val="0"/>
              <w:snapToGrid w:val="0"/>
              <w:ind w:left="300" w:hangingChars="150" w:hanging="300"/>
              <w:rPr>
                <w:rFonts w:ascii="Arial" w:eastAsia="黑体" w:hAnsi="Arial" w:cs="Arial"/>
                <w:color w:val="000000"/>
                <w:sz w:val="20"/>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10" w:right="21"/>
              <w:jc w:val="right"/>
              <w:rPr>
                <w:rFonts w:ascii="Arial" w:eastAsia="黑体" w:hAnsi="Arial" w:cs="Arial"/>
                <w:snapToGrid w:val="0"/>
                <w:sz w:val="20"/>
              </w:rPr>
            </w:pPr>
            <w:r>
              <w:rPr>
                <w:rFonts w:ascii="Arial" w:eastAsia="黑体" w:hAnsi="Arial" w:cs="Arial"/>
                <w:snapToGrid w:val="0"/>
                <w:sz w:val="20"/>
              </w:rPr>
              <w:fldChar w:fldCharType="begin"/>
            </w:r>
            <w:r>
              <w:rPr>
                <w:rFonts w:ascii="Arial" w:eastAsia="黑体" w:hAnsi="Arial" w:cs="Arial"/>
                <w:snapToGrid w:val="0"/>
                <w:sz w:val="20"/>
              </w:rPr>
              <w:instrText xml:space="preserve"> DOCPROPERTY </w:instrText>
            </w:r>
            <w:r>
              <w:rPr>
                <w:rFonts w:ascii="Arial" w:eastAsia="黑体" w:hAnsi="Arial" w:cs="Arial"/>
                <w:snapToGrid w:val="0"/>
                <w:sz w:val="20"/>
              </w:rPr>
              <w:instrText>当期资产负债表日</w:instrText>
            </w:r>
            <w:r>
              <w:rPr>
                <w:rFonts w:ascii="Arial" w:eastAsia="黑体" w:hAnsi="Arial" w:cs="Arial"/>
                <w:snapToGrid w:val="0"/>
                <w:sz w:val="20"/>
              </w:rPr>
              <w:instrText xml:space="preserve"> </w:instrText>
            </w:r>
            <w:r>
              <w:rPr>
                <w:rFonts w:ascii="Arial" w:eastAsia="黑体" w:hAnsi="Arial" w:cs="Arial"/>
                <w:snapToGrid w:val="0"/>
                <w:sz w:val="20"/>
              </w:rPr>
              <w:fldChar w:fldCharType="separate"/>
            </w:r>
            <w:r>
              <w:rPr>
                <w:rFonts w:ascii="Arial" w:eastAsia="黑体" w:hAnsi="Arial" w:cs="Arial"/>
                <w:snapToGrid w:val="0"/>
                <w:sz w:val="20"/>
              </w:rPr>
              <w:t>2023</w:t>
            </w:r>
            <w:r>
              <w:rPr>
                <w:rFonts w:ascii="Arial" w:eastAsia="黑体" w:hAnsi="Arial" w:cs="Arial"/>
                <w:snapToGrid w:val="0"/>
                <w:sz w:val="20"/>
              </w:rPr>
              <w:t>年</w:t>
            </w:r>
            <w:r>
              <w:rPr>
                <w:rFonts w:ascii="Arial" w:eastAsia="黑体" w:hAnsi="Arial" w:cs="Arial"/>
                <w:snapToGrid w:val="0"/>
                <w:sz w:val="20"/>
              </w:rPr>
              <w:t>6</w:t>
            </w:r>
            <w:r>
              <w:rPr>
                <w:rFonts w:ascii="Arial" w:eastAsia="黑体" w:hAnsi="Arial" w:cs="Arial"/>
                <w:snapToGrid w:val="0"/>
                <w:sz w:val="20"/>
              </w:rPr>
              <w:t>月</w:t>
            </w:r>
            <w:r>
              <w:rPr>
                <w:rFonts w:ascii="Arial" w:eastAsia="黑体" w:hAnsi="Arial" w:cs="Arial"/>
                <w:snapToGrid w:val="0"/>
                <w:sz w:val="20"/>
              </w:rPr>
              <w:t>30</w:t>
            </w:r>
            <w:r>
              <w:rPr>
                <w:rFonts w:ascii="Arial" w:eastAsia="黑体" w:hAnsi="Arial" w:cs="Arial"/>
                <w:snapToGrid w:val="0"/>
                <w:sz w:val="20"/>
              </w:rPr>
              <w:t>日</w:t>
            </w:r>
            <w:r>
              <w:rPr>
                <w:rFonts w:ascii="Arial" w:eastAsia="黑体" w:hAnsi="Arial" w:cs="Arial"/>
                <w:snapToGrid w:val="0"/>
                <w:sz w:val="20"/>
              </w:rPr>
              <w:fldChar w:fldCharType="end"/>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16" w:right="34"/>
              <w:jc w:val="right"/>
              <w:rPr>
                <w:rFonts w:ascii="Arial" w:eastAsia="黑体" w:hAnsi="Arial" w:cs="Arial"/>
                <w:snapToGrid w:val="0"/>
                <w:sz w:val="20"/>
              </w:rPr>
            </w:pPr>
            <w:r>
              <w:rPr>
                <w:rFonts w:ascii="Arial" w:eastAsia="黑体" w:hAnsi="Arial" w:cs="Arial"/>
                <w:snapToGrid w:val="0"/>
                <w:sz w:val="20"/>
              </w:rPr>
              <w:t>2022</w:t>
            </w:r>
            <w:r>
              <w:rPr>
                <w:rFonts w:ascii="Arial" w:eastAsia="黑体" w:hAnsi="Arial" w:cs="Arial"/>
                <w:snapToGrid w:val="0"/>
                <w:sz w:val="20"/>
              </w:rPr>
              <w:t>年</w:t>
            </w:r>
            <w:r>
              <w:rPr>
                <w:rFonts w:ascii="Arial" w:eastAsia="黑体" w:hAnsi="Arial" w:cs="Arial"/>
                <w:snapToGrid w:val="0"/>
                <w:sz w:val="20"/>
              </w:rPr>
              <w:t>12</w:t>
            </w:r>
            <w:r>
              <w:rPr>
                <w:rFonts w:ascii="Arial" w:eastAsia="黑体" w:hAnsi="Arial" w:cs="Arial"/>
                <w:snapToGrid w:val="0"/>
                <w:sz w:val="20"/>
              </w:rPr>
              <w:t>月</w:t>
            </w:r>
            <w:r>
              <w:rPr>
                <w:rFonts w:ascii="Arial" w:eastAsia="黑体" w:hAnsi="Arial" w:cs="Arial"/>
                <w:snapToGrid w:val="0"/>
                <w:sz w:val="20"/>
              </w:rPr>
              <w:t>31</w:t>
            </w:r>
            <w:r>
              <w:rPr>
                <w:rFonts w:ascii="Arial" w:eastAsia="黑体" w:hAnsi="Arial" w:cs="Arial"/>
                <w:snapToGrid w:val="0"/>
                <w:sz w:val="20"/>
              </w:rPr>
              <w:t>日</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r>
      <w:tr w:rsidR="00AD5BB5">
        <w:trPr>
          <w:trHeight w:val="170"/>
        </w:trPr>
        <w:tc>
          <w:tcPr>
            <w:tcW w:w="3502" w:type="dxa"/>
            <w:tcBorders>
              <w:top w:val="nil"/>
              <w:left w:val="nil"/>
              <w:bottom w:val="nil"/>
              <w:right w:val="nil"/>
            </w:tcBorders>
            <w:shd w:val="clear" w:color="auto" w:fill="auto"/>
            <w:noWrap/>
          </w:tcPr>
          <w:p w:rsidR="00AD5BB5" w:rsidRDefault="00AD5BB5">
            <w:pPr>
              <w:kinsoku w:val="0"/>
              <w:overflowPunct w:val="0"/>
              <w:autoSpaceDE w:val="0"/>
              <w:autoSpaceDN w:val="0"/>
              <w:adjustRightInd w:val="0"/>
              <w:snapToGrid w:val="0"/>
              <w:ind w:left="300" w:hangingChars="150" w:hanging="300"/>
              <w:rPr>
                <w:rFonts w:ascii="Arial" w:eastAsia="黑体" w:hAnsi="Arial" w:cs="Arial"/>
                <w:color w:val="000000"/>
                <w:sz w:val="20"/>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napToGrid w:val="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216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16" w:right="34"/>
              <w:jc w:val="right"/>
              <w:rPr>
                <w:rFonts w:ascii="Arial" w:eastAsia="黑体" w:hAnsi="Arial" w:cs="Arial"/>
                <w:snapToGrid w:val="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r>
      <w:tr w:rsidR="00AD5BB5">
        <w:trPr>
          <w:trHeight w:val="170"/>
        </w:trPr>
        <w:tc>
          <w:tcPr>
            <w:tcW w:w="3502"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200" w:hangingChars="100" w:hanging="200"/>
              <w:rPr>
                <w:rFonts w:ascii="Arial" w:eastAsia="黑体" w:hAnsi="Arial" w:cs="Arial"/>
                <w:color w:val="000000"/>
                <w:sz w:val="20"/>
              </w:rPr>
            </w:pPr>
            <w:r>
              <w:rPr>
                <w:rFonts w:ascii="Arial" w:eastAsia="黑体" w:hAnsi="Arial" w:cs="Arial"/>
                <w:color w:val="000000"/>
                <w:sz w:val="20"/>
              </w:rPr>
              <w:t>待清算款项</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nil"/>
              <w:left w:val="nil"/>
              <w:bottom w:val="nil"/>
              <w:right w:val="nil"/>
            </w:tcBorders>
            <w:shd w:val="clear" w:color="auto" w:fill="auto"/>
            <w:noWrap/>
            <w:vAlign w:val="bottom"/>
          </w:tcPr>
          <w:p w:rsidR="00AD5BB5" w:rsidRDefault="00F87FF6">
            <w:pPr>
              <w:tabs>
                <w:tab w:val="left" w:pos="1541"/>
              </w:tabs>
              <w:kinsoku w:val="0"/>
              <w:overflowPunct w:val="0"/>
              <w:autoSpaceDE w:val="0"/>
              <w:autoSpaceDN w:val="0"/>
              <w:adjustRightInd w:val="0"/>
              <w:snapToGrid w:val="0"/>
              <w:ind w:rightChars="31" w:right="65"/>
              <w:jc w:val="right"/>
              <w:rPr>
                <w:rFonts w:ascii="Arial" w:eastAsia="黑体" w:hAnsi="Arial" w:cs="Arial"/>
                <w:snapToGrid w:val="0"/>
                <w:sz w:val="20"/>
              </w:rPr>
            </w:pPr>
            <w:r>
              <w:rPr>
                <w:rFonts w:ascii="Arial" w:eastAsia="黑体" w:hAnsi="Arial" w:cs="Arial"/>
                <w:snapToGrid w:val="0"/>
                <w:sz w:val="20"/>
              </w:rPr>
              <w:t>1,259,433,451.03</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napToGrid w:val="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napToGrid w:val="0"/>
                <w:sz w:val="20"/>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16" w:right="34"/>
              <w:jc w:val="right"/>
              <w:rPr>
                <w:rFonts w:ascii="Arial" w:eastAsia="黑体" w:hAnsi="Arial" w:cs="Arial"/>
                <w:snapToGrid w:val="0"/>
                <w:sz w:val="20"/>
              </w:rPr>
            </w:pPr>
            <w:r>
              <w:rPr>
                <w:rFonts w:ascii="Arial" w:eastAsia="黑体" w:hAnsi="Arial" w:cs="Arial"/>
                <w:snapToGrid w:val="0"/>
                <w:sz w:val="20"/>
              </w:rPr>
              <w:t>214,710,742.72</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r w:rsidR="00AD5BB5">
        <w:trPr>
          <w:trHeight w:val="170"/>
        </w:trPr>
        <w:tc>
          <w:tcPr>
            <w:tcW w:w="3502"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200" w:hangingChars="100" w:hanging="200"/>
              <w:rPr>
                <w:rFonts w:ascii="Arial" w:eastAsia="黑体" w:hAnsi="Arial" w:cs="Arial"/>
                <w:color w:val="000000"/>
                <w:sz w:val="20"/>
              </w:rPr>
            </w:pPr>
            <w:r>
              <w:rPr>
                <w:rFonts w:ascii="Arial" w:eastAsia="黑体" w:hAnsi="Arial" w:cs="Arial"/>
                <w:color w:val="000000"/>
                <w:sz w:val="20"/>
              </w:rPr>
              <w:t>递延收益</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31" w:right="65"/>
              <w:jc w:val="right"/>
              <w:rPr>
                <w:rFonts w:ascii="Arial" w:eastAsia="黑体" w:hAnsi="Arial" w:cs="Arial"/>
                <w:snapToGrid w:val="0"/>
                <w:sz w:val="20"/>
              </w:rPr>
            </w:pPr>
            <w:r>
              <w:rPr>
                <w:rFonts w:ascii="Arial" w:eastAsia="黑体" w:hAnsi="Arial" w:cs="Arial"/>
                <w:snapToGrid w:val="0"/>
                <w:sz w:val="20"/>
              </w:rPr>
              <w:t>25,910,680.33</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napToGrid w:val="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napToGrid w:val="0"/>
                <w:sz w:val="20"/>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16" w:right="34"/>
              <w:jc w:val="right"/>
              <w:rPr>
                <w:rFonts w:ascii="Arial" w:eastAsia="黑体" w:hAnsi="Arial" w:cs="Arial"/>
                <w:snapToGrid w:val="0"/>
                <w:sz w:val="20"/>
              </w:rPr>
            </w:pPr>
            <w:r>
              <w:rPr>
                <w:rFonts w:ascii="Arial" w:eastAsia="黑体" w:hAnsi="Arial" w:cs="Arial"/>
                <w:snapToGrid w:val="0"/>
                <w:sz w:val="20"/>
              </w:rPr>
              <w:t>35,851,767.50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r w:rsidR="00AD5BB5">
        <w:trPr>
          <w:trHeight w:val="170"/>
        </w:trPr>
        <w:tc>
          <w:tcPr>
            <w:tcW w:w="3502"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200" w:hangingChars="100" w:hanging="200"/>
              <w:rPr>
                <w:rFonts w:ascii="Arial" w:eastAsia="黑体" w:hAnsi="Arial" w:cs="Arial"/>
                <w:color w:val="000000"/>
                <w:sz w:val="20"/>
              </w:rPr>
            </w:pPr>
            <w:r>
              <w:rPr>
                <w:rFonts w:ascii="Arial" w:eastAsia="黑体" w:hAnsi="Arial" w:cs="Arial"/>
                <w:color w:val="000000"/>
                <w:sz w:val="20"/>
              </w:rPr>
              <w:t>预提费用</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31" w:right="65"/>
              <w:jc w:val="right"/>
              <w:rPr>
                <w:rFonts w:ascii="Arial" w:eastAsia="黑体" w:hAnsi="Arial" w:cs="Arial"/>
                <w:snapToGrid w:val="0"/>
                <w:sz w:val="20"/>
              </w:rPr>
            </w:pPr>
            <w:r>
              <w:rPr>
                <w:rFonts w:ascii="Arial" w:eastAsia="黑体" w:hAnsi="Arial" w:cs="Arial"/>
                <w:snapToGrid w:val="0"/>
                <w:sz w:val="20"/>
              </w:rPr>
              <w:t>51,036,905.24</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napToGrid w:val="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napToGrid w:val="0"/>
                <w:sz w:val="20"/>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16" w:right="34"/>
              <w:jc w:val="right"/>
              <w:rPr>
                <w:rFonts w:ascii="Arial" w:eastAsia="黑体" w:hAnsi="Arial" w:cs="Arial"/>
                <w:snapToGrid w:val="0"/>
                <w:sz w:val="20"/>
              </w:rPr>
            </w:pPr>
            <w:r>
              <w:rPr>
                <w:rFonts w:ascii="Arial" w:eastAsia="黑体" w:hAnsi="Arial" w:cs="Arial"/>
                <w:snapToGrid w:val="0"/>
                <w:sz w:val="20"/>
              </w:rPr>
              <w:t>64,684,700.96</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r w:rsidR="00AD5BB5">
        <w:trPr>
          <w:trHeight w:val="170"/>
        </w:trPr>
        <w:tc>
          <w:tcPr>
            <w:tcW w:w="3502"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200" w:hangingChars="100" w:hanging="200"/>
              <w:rPr>
                <w:rFonts w:ascii="Arial" w:eastAsia="黑体" w:hAnsi="Arial" w:cs="Arial"/>
                <w:color w:val="000000"/>
                <w:sz w:val="20"/>
              </w:rPr>
            </w:pPr>
            <w:proofErr w:type="gramStart"/>
            <w:r>
              <w:rPr>
                <w:rFonts w:ascii="Arial" w:eastAsia="黑体" w:hAnsi="Arial" w:cs="Arial"/>
                <w:color w:val="000000"/>
                <w:sz w:val="20"/>
              </w:rPr>
              <w:t>久悬未取款</w:t>
            </w:r>
            <w:proofErr w:type="gramEnd"/>
            <w:r>
              <w:rPr>
                <w:rFonts w:ascii="Arial" w:eastAsia="黑体" w:hAnsi="Arial" w:cs="Arial"/>
                <w:color w:val="000000"/>
                <w:sz w:val="20"/>
              </w:rPr>
              <w:t>项</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31" w:right="65"/>
              <w:jc w:val="right"/>
              <w:rPr>
                <w:rFonts w:ascii="Arial" w:eastAsia="黑体" w:hAnsi="Arial" w:cs="Arial"/>
                <w:snapToGrid w:val="0"/>
                <w:sz w:val="20"/>
              </w:rPr>
            </w:pPr>
            <w:r>
              <w:rPr>
                <w:rFonts w:ascii="Arial" w:eastAsia="黑体" w:hAnsi="Arial" w:cs="Arial"/>
                <w:snapToGrid w:val="0"/>
                <w:sz w:val="20"/>
              </w:rPr>
              <w:t>38,561,526.85</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napToGrid w:val="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napToGrid w:val="0"/>
                <w:sz w:val="20"/>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16" w:right="34"/>
              <w:jc w:val="right"/>
              <w:rPr>
                <w:rFonts w:ascii="Arial" w:eastAsia="黑体" w:hAnsi="Arial" w:cs="Arial"/>
                <w:snapToGrid w:val="0"/>
                <w:sz w:val="20"/>
              </w:rPr>
            </w:pPr>
            <w:r>
              <w:rPr>
                <w:rFonts w:ascii="Arial" w:eastAsia="黑体" w:hAnsi="Arial" w:cs="Arial"/>
                <w:snapToGrid w:val="0"/>
                <w:sz w:val="20"/>
              </w:rPr>
              <w:t>22,947,374.47</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r w:rsidR="00AD5BB5">
        <w:trPr>
          <w:trHeight w:val="170"/>
        </w:trPr>
        <w:tc>
          <w:tcPr>
            <w:tcW w:w="3502"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200" w:hangingChars="100" w:hanging="200"/>
              <w:rPr>
                <w:rFonts w:ascii="Arial" w:eastAsia="黑体" w:hAnsi="Arial" w:cs="Arial"/>
                <w:color w:val="000000"/>
                <w:sz w:val="20"/>
              </w:rPr>
            </w:pPr>
            <w:r>
              <w:rPr>
                <w:rFonts w:ascii="Arial" w:eastAsia="黑体" w:hAnsi="Arial" w:cs="Arial"/>
                <w:color w:val="000000"/>
                <w:sz w:val="20"/>
              </w:rPr>
              <w:t>应付股利</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31" w:right="65"/>
              <w:jc w:val="right"/>
              <w:rPr>
                <w:rFonts w:ascii="Arial" w:eastAsia="黑体" w:hAnsi="Arial" w:cs="Arial"/>
                <w:snapToGrid w:val="0"/>
                <w:sz w:val="20"/>
              </w:rPr>
            </w:pPr>
            <w:r>
              <w:rPr>
                <w:rFonts w:ascii="Arial" w:eastAsia="黑体" w:hAnsi="Arial" w:cs="Arial"/>
                <w:snapToGrid w:val="0"/>
                <w:sz w:val="20"/>
              </w:rPr>
              <w:t>17,023,722.71</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napToGrid w:val="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napToGrid w:val="0"/>
                <w:sz w:val="20"/>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16" w:right="34"/>
              <w:jc w:val="right"/>
              <w:rPr>
                <w:rFonts w:ascii="Arial" w:eastAsia="黑体" w:hAnsi="Arial" w:cs="Arial"/>
                <w:snapToGrid w:val="0"/>
                <w:sz w:val="20"/>
              </w:rPr>
            </w:pPr>
            <w:r>
              <w:rPr>
                <w:rFonts w:ascii="Arial" w:eastAsia="黑体" w:hAnsi="Arial" w:cs="Arial"/>
                <w:snapToGrid w:val="0"/>
                <w:sz w:val="20"/>
              </w:rPr>
              <w:t>14,397,288.05</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r w:rsidR="00AD5BB5">
        <w:trPr>
          <w:trHeight w:val="170"/>
        </w:trPr>
        <w:tc>
          <w:tcPr>
            <w:tcW w:w="3502"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200" w:hangingChars="100" w:hanging="200"/>
              <w:rPr>
                <w:rFonts w:ascii="Arial" w:eastAsia="黑体" w:hAnsi="Arial" w:cs="Arial"/>
                <w:color w:val="000000"/>
                <w:sz w:val="20"/>
              </w:rPr>
            </w:pPr>
            <w:r>
              <w:rPr>
                <w:rFonts w:ascii="Arial" w:eastAsia="黑体" w:hAnsi="Arial" w:cs="Arial"/>
                <w:color w:val="000000"/>
                <w:sz w:val="20"/>
              </w:rPr>
              <w:t>应付票据（注</w:t>
            </w:r>
            <w:r>
              <w:rPr>
                <w:rFonts w:ascii="Arial" w:eastAsia="黑体" w:hAnsi="Arial" w:cs="Arial"/>
                <w:color w:val="000000"/>
                <w:sz w:val="20"/>
              </w:rPr>
              <w:t>1</w:t>
            </w:r>
            <w:r>
              <w:rPr>
                <w:rFonts w:ascii="Arial" w:eastAsia="黑体" w:hAnsi="Arial" w:cs="Arial"/>
                <w:color w:val="000000"/>
                <w:sz w:val="20"/>
              </w:rPr>
              <w:t>）</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31" w:right="65"/>
              <w:jc w:val="right"/>
              <w:rPr>
                <w:rFonts w:ascii="Arial" w:eastAsia="黑体" w:hAnsi="Arial" w:cs="Arial"/>
                <w:snapToGrid w:val="0"/>
                <w:sz w:val="20"/>
              </w:rPr>
            </w:pPr>
            <w:r>
              <w:rPr>
                <w:rFonts w:ascii="Arial" w:eastAsia="黑体" w:hAnsi="Arial" w:cs="Arial"/>
                <w:snapToGrid w:val="0"/>
                <w:sz w:val="20"/>
              </w:rPr>
              <w:t>633,355,108.99</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napToGrid w:val="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napToGrid w:val="0"/>
                <w:sz w:val="20"/>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16" w:right="34"/>
              <w:jc w:val="right"/>
              <w:rPr>
                <w:rFonts w:ascii="Arial" w:eastAsia="黑体" w:hAnsi="Arial" w:cs="Arial"/>
                <w:snapToGrid w:val="0"/>
                <w:sz w:val="20"/>
              </w:rPr>
            </w:pPr>
            <w:r>
              <w:rPr>
                <w:rFonts w:ascii="Arial" w:eastAsia="黑体" w:hAnsi="Arial" w:cs="Arial"/>
                <w:snapToGrid w:val="0"/>
                <w:sz w:val="20"/>
              </w:rPr>
              <w:t>451,541,969.04</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r w:rsidR="00AD5BB5">
        <w:trPr>
          <w:trHeight w:val="170"/>
        </w:trPr>
        <w:tc>
          <w:tcPr>
            <w:tcW w:w="3502"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200" w:hangingChars="100" w:hanging="200"/>
              <w:rPr>
                <w:rFonts w:ascii="Arial" w:eastAsia="黑体" w:hAnsi="Arial" w:cs="Arial"/>
                <w:color w:val="000000"/>
                <w:sz w:val="20"/>
              </w:rPr>
            </w:pPr>
            <w:r>
              <w:rPr>
                <w:rFonts w:ascii="Arial" w:eastAsia="黑体" w:hAnsi="Arial" w:cs="Arial"/>
                <w:color w:val="000000"/>
                <w:sz w:val="20"/>
              </w:rPr>
              <w:t>租赁负债（附注五、</w:t>
            </w:r>
            <w:r>
              <w:rPr>
                <w:rFonts w:ascii="Arial" w:eastAsia="黑体" w:hAnsi="Arial" w:cs="Arial"/>
                <w:color w:val="000000"/>
                <w:sz w:val="20"/>
              </w:rPr>
              <w:t>28.1</w:t>
            </w:r>
            <w:r>
              <w:rPr>
                <w:rFonts w:ascii="Arial" w:eastAsia="黑体" w:hAnsi="Arial" w:cs="Arial"/>
                <w:color w:val="000000"/>
                <w:sz w:val="20"/>
              </w:rPr>
              <w:t>）</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31" w:right="65"/>
              <w:jc w:val="right"/>
              <w:rPr>
                <w:rFonts w:ascii="Arial" w:eastAsia="黑体" w:hAnsi="Arial" w:cs="Arial"/>
                <w:snapToGrid w:val="0"/>
                <w:sz w:val="20"/>
              </w:rPr>
            </w:pPr>
            <w:r>
              <w:rPr>
                <w:rFonts w:ascii="Arial" w:eastAsia="黑体" w:hAnsi="Arial" w:cs="Arial"/>
                <w:snapToGrid w:val="0"/>
                <w:sz w:val="20"/>
              </w:rPr>
              <w:t>519,564,373.70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napToGrid w:val="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napToGrid w:val="0"/>
                <w:sz w:val="20"/>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16" w:right="34"/>
              <w:jc w:val="right"/>
              <w:rPr>
                <w:rFonts w:ascii="Arial" w:eastAsia="黑体" w:hAnsi="Arial" w:cs="Arial"/>
                <w:snapToGrid w:val="0"/>
                <w:sz w:val="20"/>
              </w:rPr>
            </w:pPr>
            <w:r>
              <w:rPr>
                <w:rFonts w:ascii="Arial" w:eastAsia="黑体" w:hAnsi="Arial" w:cs="Arial"/>
                <w:snapToGrid w:val="0"/>
                <w:sz w:val="20"/>
              </w:rPr>
              <w:t>507,925,948.07</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r w:rsidR="00AD5BB5">
        <w:trPr>
          <w:trHeight w:val="170"/>
        </w:trPr>
        <w:tc>
          <w:tcPr>
            <w:tcW w:w="3502"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200" w:hangingChars="100" w:hanging="200"/>
              <w:rPr>
                <w:rFonts w:ascii="Arial" w:eastAsia="黑体" w:hAnsi="Arial" w:cs="Arial"/>
                <w:snapToGrid w:val="0"/>
                <w:sz w:val="20"/>
              </w:rPr>
            </w:pPr>
            <w:r>
              <w:rPr>
                <w:rFonts w:ascii="Arial" w:eastAsia="黑体" w:hAnsi="Arial" w:cs="Arial"/>
                <w:snapToGrid w:val="0"/>
                <w:sz w:val="20"/>
              </w:rPr>
              <w:t>其他应付款</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31" w:right="65"/>
              <w:jc w:val="right"/>
              <w:rPr>
                <w:rFonts w:ascii="Arial" w:eastAsia="黑体" w:hAnsi="Arial" w:cs="Arial"/>
                <w:snapToGrid w:val="0"/>
                <w:sz w:val="20"/>
              </w:rPr>
            </w:pPr>
            <w:r>
              <w:rPr>
                <w:rFonts w:ascii="Arial" w:eastAsia="黑体" w:hAnsi="Arial" w:cs="Arial"/>
                <w:snapToGrid w:val="0"/>
                <w:sz w:val="20"/>
              </w:rPr>
              <w:t>1,003,199,180.75</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napToGrid w:val="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napToGrid w:val="0"/>
                <w:sz w:val="20"/>
              </w:rPr>
            </w:pPr>
          </w:p>
        </w:tc>
        <w:tc>
          <w:tcPr>
            <w:tcW w:w="2168"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16" w:right="34"/>
              <w:jc w:val="right"/>
              <w:rPr>
                <w:rFonts w:ascii="Arial" w:eastAsia="黑体" w:hAnsi="Arial" w:cs="Arial"/>
                <w:snapToGrid w:val="0"/>
                <w:sz w:val="20"/>
              </w:rPr>
            </w:pPr>
            <w:r>
              <w:rPr>
                <w:rFonts w:ascii="Arial" w:eastAsia="黑体" w:hAnsi="Arial" w:cs="Arial"/>
                <w:snapToGrid w:val="0"/>
                <w:sz w:val="20"/>
              </w:rPr>
              <w:t>673,135,181.67</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r w:rsidR="00AD5BB5">
        <w:trPr>
          <w:trHeight w:val="170"/>
        </w:trPr>
        <w:tc>
          <w:tcPr>
            <w:tcW w:w="3502" w:type="dxa"/>
            <w:tcBorders>
              <w:top w:val="nil"/>
              <w:left w:val="nil"/>
              <w:bottom w:val="nil"/>
              <w:right w:val="nil"/>
            </w:tcBorders>
            <w:shd w:val="clear" w:color="auto" w:fill="auto"/>
            <w:noWrap/>
          </w:tcPr>
          <w:p w:rsidR="00AD5BB5" w:rsidRDefault="00AD5BB5">
            <w:pPr>
              <w:kinsoku w:val="0"/>
              <w:overflowPunct w:val="0"/>
              <w:autoSpaceDE w:val="0"/>
              <w:autoSpaceDN w:val="0"/>
              <w:adjustRightInd w:val="0"/>
              <w:snapToGrid w:val="0"/>
              <w:ind w:left="200" w:hangingChars="100" w:hanging="200"/>
              <w:rPr>
                <w:rFonts w:ascii="Arial" w:eastAsia="黑体" w:hAnsi="Arial" w:cs="Arial"/>
                <w:snapToGrid w:val="0"/>
                <w:sz w:val="20"/>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31" w:right="65"/>
              <w:jc w:val="right"/>
              <w:rPr>
                <w:rFonts w:ascii="Arial" w:eastAsia="黑体" w:hAnsi="Arial" w:cs="Arial"/>
                <w:snapToGrid w:val="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napToGrid w:val="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napToGrid w:val="0"/>
                <w:sz w:val="20"/>
              </w:rPr>
            </w:pPr>
          </w:p>
        </w:tc>
        <w:tc>
          <w:tcPr>
            <w:tcW w:w="2168"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16" w:right="34"/>
              <w:jc w:val="right"/>
              <w:rPr>
                <w:rFonts w:ascii="Arial" w:eastAsia="黑体" w:hAnsi="Arial" w:cs="Arial"/>
                <w:snapToGrid w:val="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r w:rsidR="00AD5BB5">
        <w:trPr>
          <w:trHeight w:val="170"/>
        </w:trPr>
        <w:tc>
          <w:tcPr>
            <w:tcW w:w="3502"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300" w:hangingChars="150" w:hanging="300"/>
              <w:rPr>
                <w:rFonts w:ascii="Arial" w:eastAsia="黑体" w:hAnsi="Arial" w:cs="Arial"/>
                <w:snapToGrid w:val="0"/>
                <w:sz w:val="20"/>
              </w:rPr>
            </w:pPr>
            <w:r>
              <w:rPr>
                <w:rFonts w:ascii="Arial" w:eastAsia="黑体" w:hAnsi="Arial" w:cs="Arial"/>
                <w:snapToGrid w:val="0"/>
                <w:sz w:val="20"/>
              </w:rPr>
              <w:t>合计</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nil"/>
              <w:left w:val="nil"/>
              <w:bottom w:val="doub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10" w:right="21"/>
              <w:jc w:val="right"/>
              <w:rPr>
                <w:rFonts w:ascii="Arial" w:eastAsia="黑体" w:hAnsi="Arial" w:cs="Arial"/>
                <w:snapToGrid w:val="0"/>
                <w:sz w:val="20"/>
              </w:rPr>
            </w:pPr>
            <w:r>
              <w:rPr>
                <w:rFonts w:ascii="Arial" w:eastAsia="黑体" w:hAnsi="Arial" w:cs="Arial"/>
                <w:snapToGrid w:val="0"/>
                <w:sz w:val="20"/>
              </w:rPr>
              <w:t>3,548,084,949.60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napToGrid w:val="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napToGrid w:val="0"/>
                <w:sz w:val="20"/>
              </w:rPr>
            </w:pPr>
          </w:p>
        </w:tc>
        <w:tc>
          <w:tcPr>
            <w:tcW w:w="2168" w:type="dxa"/>
            <w:tcBorders>
              <w:top w:val="nil"/>
              <w:left w:val="nil"/>
              <w:bottom w:val="doub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16" w:right="34"/>
              <w:jc w:val="right"/>
              <w:rPr>
                <w:rFonts w:ascii="Arial" w:eastAsia="黑体" w:hAnsi="Arial" w:cs="Arial"/>
                <w:snapToGrid w:val="0"/>
                <w:sz w:val="20"/>
              </w:rPr>
            </w:pPr>
            <w:r>
              <w:rPr>
                <w:rFonts w:ascii="Arial" w:eastAsia="黑体" w:hAnsi="Arial" w:cs="Arial"/>
                <w:snapToGrid w:val="0"/>
                <w:sz w:val="20"/>
              </w:rPr>
              <w:t>1,985,194,972.48</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bl>
    <w:p w:rsidR="00AD5BB5" w:rsidRDefault="00AD5BB5">
      <w:pPr>
        <w:pStyle w:val="18"/>
        <w:widowControl/>
        <w:tabs>
          <w:tab w:val="clear" w:pos="4819"/>
          <w:tab w:val="clear" w:pos="9071"/>
        </w:tabs>
        <w:overflowPunct w:val="0"/>
        <w:autoSpaceDE w:val="0"/>
        <w:autoSpaceDN w:val="0"/>
        <w:snapToGrid w:val="0"/>
        <w:ind w:left="709" w:hanging="720"/>
        <w:textAlignment w:val="bottom"/>
        <w:rPr>
          <w:rFonts w:ascii="Arial" w:eastAsia="黑体" w:hAnsi="Arial" w:cs="Arial"/>
          <w:snapToGrid w:val="0"/>
          <w:sz w:val="21"/>
          <w:szCs w:val="21"/>
        </w:rPr>
      </w:pPr>
    </w:p>
    <w:p w:rsidR="00AD5BB5" w:rsidRDefault="00F87FF6">
      <w:pPr>
        <w:pStyle w:val="18"/>
        <w:widowControl/>
        <w:tabs>
          <w:tab w:val="clear" w:pos="4819"/>
          <w:tab w:val="clear" w:pos="9071"/>
        </w:tabs>
        <w:overflowPunct w:val="0"/>
        <w:autoSpaceDE w:val="0"/>
        <w:autoSpaceDN w:val="0"/>
        <w:snapToGrid w:val="0"/>
        <w:ind w:left="709" w:hanging="720"/>
        <w:textAlignment w:val="bottom"/>
        <w:rPr>
          <w:rFonts w:ascii="Arial" w:eastAsia="黑体" w:hAnsi="Arial" w:cs="Arial"/>
          <w:snapToGrid w:val="0"/>
          <w:sz w:val="21"/>
          <w:szCs w:val="21"/>
          <w:lang w:eastAsia="zh-CN"/>
        </w:rPr>
      </w:pPr>
      <w:r>
        <w:rPr>
          <w:rFonts w:ascii="Arial" w:eastAsia="黑体" w:hAnsi="Arial" w:cs="Arial"/>
          <w:snapToGrid w:val="0"/>
          <w:sz w:val="21"/>
          <w:szCs w:val="21"/>
          <w:lang w:eastAsia="zh-CN"/>
        </w:rPr>
        <w:t>注</w:t>
      </w:r>
      <w:r>
        <w:rPr>
          <w:rFonts w:ascii="Arial" w:eastAsia="黑体" w:hAnsi="Arial" w:cs="Arial"/>
          <w:snapToGrid w:val="0"/>
          <w:sz w:val="21"/>
          <w:szCs w:val="21"/>
          <w:lang w:eastAsia="zh-CN"/>
        </w:rPr>
        <w:t>1</w:t>
      </w:r>
      <w:r>
        <w:rPr>
          <w:rFonts w:ascii="Arial" w:eastAsia="黑体" w:hAnsi="Arial" w:cs="Arial"/>
          <w:snapToGrid w:val="0"/>
          <w:sz w:val="21"/>
          <w:szCs w:val="21"/>
          <w:lang w:eastAsia="zh-CN"/>
        </w:rPr>
        <w:t>：</w:t>
      </w:r>
      <w:r>
        <w:rPr>
          <w:rFonts w:ascii="Arial" w:eastAsia="黑体" w:hAnsi="Arial" w:cs="Arial"/>
          <w:snapToGrid w:val="0"/>
          <w:sz w:val="21"/>
          <w:szCs w:val="21"/>
          <w:lang w:eastAsia="zh-CN"/>
        </w:rPr>
        <w:tab/>
      </w:r>
      <w:r>
        <w:rPr>
          <w:rFonts w:ascii="Arial" w:eastAsia="黑体" w:hAnsi="Arial" w:cs="Arial"/>
          <w:snapToGrid w:val="0"/>
          <w:sz w:val="21"/>
          <w:szCs w:val="21"/>
          <w:lang w:eastAsia="zh-CN"/>
        </w:rPr>
        <w:t>应付票据主要为福建海西金融租赁有限责任公司开出的承兑汇票。</w:t>
      </w:r>
    </w:p>
    <w:p w:rsidR="00AD5BB5" w:rsidRDefault="00AD5BB5">
      <w:pPr>
        <w:pStyle w:val="18"/>
        <w:widowControl/>
        <w:tabs>
          <w:tab w:val="clear" w:pos="4819"/>
          <w:tab w:val="clear" w:pos="9071"/>
        </w:tabs>
        <w:overflowPunct w:val="0"/>
        <w:autoSpaceDE w:val="0"/>
        <w:autoSpaceDN w:val="0"/>
        <w:snapToGrid w:val="0"/>
        <w:ind w:left="709" w:hanging="720"/>
        <w:textAlignment w:val="bottom"/>
        <w:rPr>
          <w:rFonts w:ascii="Arial" w:eastAsia="黑体" w:hAnsi="Arial" w:cs="Arial"/>
          <w:snapToGrid w:val="0"/>
          <w:sz w:val="21"/>
          <w:szCs w:val="21"/>
          <w:lang w:eastAsia="zh-CN"/>
        </w:rPr>
      </w:pPr>
    </w:p>
    <w:p w:rsidR="00AD5BB5" w:rsidRDefault="00F87FF6">
      <w:pPr>
        <w:pStyle w:val="af5"/>
        <w:keepNext w:val="0"/>
        <w:keepLines w:val="0"/>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203" w:name="afsaddin_WithXu_39516ef7c767429d8d3fb613"/>
      <w:bookmarkStart w:id="204" w:name="afsaddin_WithXu_43a9355e764e4dd7a4e1f120"/>
      <w:bookmarkStart w:id="205" w:name="afsaddin_Section_6267a896c1344372b35bc0f"/>
      <w:bookmarkEnd w:id="203"/>
      <w:bookmarkEnd w:id="204"/>
      <w:r>
        <w:rPr>
          <w:rFonts w:ascii="Arial" w:eastAsia="黑体" w:hAnsi="Arial" w:cs="Arial" w:hint="default"/>
          <w:bCs w:val="0"/>
          <w:snapToGrid w:val="0"/>
          <w:color w:val="auto"/>
          <w:sz w:val="21"/>
          <w:szCs w:val="21"/>
        </w:rPr>
        <w:t>28.1</w:t>
      </w:r>
      <w:r>
        <w:rPr>
          <w:rFonts w:ascii="Arial" w:eastAsia="黑体" w:hAnsi="Arial" w:cs="Arial" w:hint="default"/>
          <w:bCs w:val="0"/>
          <w:snapToGrid w:val="0"/>
          <w:color w:val="auto"/>
          <w:sz w:val="21"/>
          <w:szCs w:val="21"/>
        </w:rPr>
        <w:tab/>
        <w:t xml:space="preserve"> </w:t>
      </w:r>
      <w:r>
        <w:rPr>
          <w:rFonts w:ascii="Arial" w:eastAsia="黑体" w:hAnsi="Arial" w:cs="Arial" w:hint="default"/>
          <w:bCs w:val="0"/>
          <w:snapToGrid w:val="0"/>
          <w:color w:val="auto"/>
          <w:sz w:val="21"/>
          <w:szCs w:val="21"/>
        </w:rPr>
        <w:t>租赁负债</w:t>
      </w:r>
    </w:p>
    <w:bookmarkEnd w:id="205"/>
    <w:p w:rsidR="00AD5BB5" w:rsidRDefault="00AD5BB5">
      <w:pPr>
        <w:overflowPunct w:val="0"/>
        <w:autoSpaceDE w:val="0"/>
        <w:autoSpaceDN w:val="0"/>
        <w:rPr>
          <w:rFonts w:ascii="Arial" w:eastAsia="黑体" w:hAnsi="Arial" w:cs="Arial"/>
          <w:szCs w:val="21"/>
        </w:rPr>
      </w:pPr>
    </w:p>
    <w:p w:rsidR="00AD5BB5" w:rsidRDefault="00F87FF6">
      <w:pPr>
        <w:overflowPunct w:val="0"/>
        <w:autoSpaceDE w:val="0"/>
        <w:autoSpaceDN w:val="0"/>
        <w:rPr>
          <w:rFonts w:ascii="Arial" w:eastAsia="黑体" w:hAnsi="Arial" w:cs="Arial"/>
          <w:szCs w:val="21"/>
        </w:rPr>
      </w:pPr>
      <w:r>
        <w:rPr>
          <w:rFonts w:ascii="Arial" w:eastAsia="黑体" w:hAnsi="Arial" w:cs="Arial"/>
          <w:szCs w:val="21"/>
        </w:rPr>
        <w:t>按到期</w:t>
      </w:r>
      <w:proofErr w:type="gramStart"/>
      <w:r>
        <w:rPr>
          <w:rFonts w:ascii="Arial" w:eastAsia="黑体" w:hAnsi="Arial" w:cs="Arial"/>
          <w:szCs w:val="21"/>
        </w:rPr>
        <w:t>日分析</w:t>
      </w:r>
      <w:proofErr w:type="gramEnd"/>
      <w:r>
        <w:rPr>
          <w:rFonts w:ascii="Arial" w:eastAsia="黑体" w:hAnsi="Arial" w:cs="Arial"/>
          <w:szCs w:val="21"/>
        </w:rPr>
        <w:t>-</w:t>
      </w:r>
      <w:r>
        <w:rPr>
          <w:rFonts w:ascii="Arial" w:eastAsia="黑体" w:hAnsi="Arial" w:cs="Arial"/>
          <w:szCs w:val="21"/>
        </w:rPr>
        <w:t>未经折现分析</w:t>
      </w:r>
    </w:p>
    <w:p w:rsidR="00AD5BB5" w:rsidRDefault="00AD5BB5">
      <w:pPr>
        <w:overflowPunct w:val="0"/>
        <w:autoSpaceDE w:val="0"/>
        <w:autoSpaceDN w:val="0"/>
        <w:rPr>
          <w:rFonts w:ascii="Arial" w:eastAsia="黑体" w:hAnsi="Arial" w:cs="Arial"/>
          <w:szCs w:val="21"/>
        </w:rPr>
      </w:pPr>
    </w:p>
    <w:tbl>
      <w:tblPr>
        <w:tblW w:w="0" w:type="auto"/>
        <w:tblLayout w:type="fixed"/>
        <w:tblCellMar>
          <w:left w:w="0" w:type="dxa"/>
          <w:right w:w="0" w:type="dxa"/>
        </w:tblCellMar>
        <w:tblLook w:val="04A0" w:firstRow="1" w:lastRow="0" w:firstColumn="1" w:lastColumn="0" w:noHBand="0" w:noVBand="1"/>
        <w:tblCaption w:val="477106fe-5994-4c73-a4de-01412e6d5921"/>
        <w:tblDescription w:val="{&quot;UUID&quot;:&quot;afsaddin_tabledata_2_56437_477106fe-5994-4c73-a4de-01412e6d5921&quot;,&quot;TitleRowCount&quot;:2,&quot;SplitedTable&quot;:false,&quot;FirstTableId&quot;:&quot;477106fe-5994-4c73-a4de-01412e6d5921&quot;}"/>
      </w:tblPr>
      <w:tblGrid>
        <w:gridCol w:w="3502"/>
        <w:gridCol w:w="109"/>
        <w:gridCol w:w="2317"/>
        <w:gridCol w:w="110"/>
        <w:gridCol w:w="110"/>
        <w:gridCol w:w="2097"/>
        <w:gridCol w:w="110"/>
      </w:tblGrid>
      <w:tr w:rsidR="00AD5BB5">
        <w:tc>
          <w:tcPr>
            <w:tcW w:w="3502" w:type="dxa"/>
            <w:tcBorders>
              <w:top w:val="nil"/>
              <w:left w:val="nil"/>
              <w:bottom w:val="nil"/>
              <w:right w:val="nil"/>
            </w:tcBorders>
            <w:shd w:val="clear" w:color="auto" w:fill="auto"/>
            <w:noWrap/>
          </w:tcPr>
          <w:p w:rsidR="00AD5BB5" w:rsidRDefault="00AD5BB5">
            <w:pPr>
              <w:overflowPunct w:val="0"/>
              <w:autoSpaceDE w:val="0"/>
              <w:autoSpaceDN w:val="0"/>
              <w:ind w:left="300" w:hangingChars="150" w:hanging="300"/>
              <w:rPr>
                <w:rFonts w:ascii="Arial" w:eastAsia="黑体" w:hAnsi="Arial" w:cs="Arial"/>
                <w:sz w:val="20"/>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20"/>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20"/>
              </w:rPr>
            </w:pPr>
            <w:r>
              <w:rPr>
                <w:rFonts w:ascii="Arial" w:eastAsia="黑体" w:hAnsi="Arial" w:cs="Arial"/>
                <w:color w:val="000000"/>
                <w:sz w:val="20"/>
              </w:rPr>
              <w:fldChar w:fldCharType="begin"/>
            </w:r>
            <w:r>
              <w:rPr>
                <w:rFonts w:ascii="Arial" w:eastAsia="黑体" w:hAnsi="Arial" w:cs="Arial"/>
                <w:color w:val="000000"/>
                <w:sz w:val="20"/>
              </w:rPr>
              <w:instrText xml:space="preserve"> DOCPROPERTY </w:instrText>
            </w:r>
            <w:r>
              <w:rPr>
                <w:rFonts w:ascii="Arial" w:eastAsia="黑体" w:hAnsi="Arial" w:cs="Arial"/>
                <w:color w:val="000000"/>
                <w:sz w:val="20"/>
              </w:rPr>
              <w:instrText>当期资产负债表日</w:instrText>
            </w:r>
            <w:r>
              <w:rPr>
                <w:rFonts w:ascii="Arial" w:eastAsia="黑体" w:hAnsi="Arial" w:cs="Arial"/>
                <w:color w:val="000000"/>
                <w:sz w:val="20"/>
              </w:rPr>
              <w:instrText xml:space="preserve"> </w:instrText>
            </w:r>
            <w:r>
              <w:rPr>
                <w:rFonts w:ascii="Arial" w:eastAsia="黑体" w:hAnsi="Arial" w:cs="Arial"/>
                <w:color w:val="000000"/>
                <w:sz w:val="20"/>
              </w:rPr>
              <w:fldChar w:fldCharType="separate"/>
            </w:r>
            <w:r>
              <w:rPr>
                <w:rFonts w:ascii="Arial" w:eastAsia="黑体" w:hAnsi="Arial" w:cs="Arial"/>
                <w:color w:val="000000"/>
                <w:sz w:val="20"/>
              </w:rPr>
              <w:t>2023</w:t>
            </w:r>
            <w:r>
              <w:rPr>
                <w:rFonts w:ascii="Arial" w:eastAsia="黑体" w:hAnsi="Arial" w:cs="Arial"/>
                <w:color w:val="000000"/>
                <w:sz w:val="20"/>
              </w:rPr>
              <w:t>年</w:t>
            </w:r>
            <w:r>
              <w:rPr>
                <w:rFonts w:ascii="Arial" w:eastAsia="黑体" w:hAnsi="Arial" w:cs="Arial"/>
                <w:color w:val="000000"/>
                <w:sz w:val="20"/>
              </w:rPr>
              <w:t>6</w:t>
            </w:r>
            <w:r>
              <w:rPr>
                <w:rFonts w:ascii="Arial" w:eastAsia="黑体" w:hAnsi="Arial" w:cs="Arial"/>
                <w:color w:val="000000"/>
                <w:sz w:val="20"/>
              </w:rPr>
              <w:t>月</w:t>
            </w:r>
            <w:r>
              <w:rPr>
                <w:rFonts w:ascii="Arial" w:eastAsia="黑体" w:hAnsi="Arial" w:cs="Arial"/>
                <w:color w:val="000000"/>
                <w:sz w:val="20"/>
              </w:rPr>
              <w:t>30</w:t>
            </w:r>
            <w:r>
              <w:rPr>
                <w:rFonts w:ascii="Arial" w:eastAsia="黑体" w:hAnsi="Arial" w:cs="Arial"/>
                <w:color w:val="000000"/>
                <w:sz w:val="20"/>
              </w:rPr>
              <w:t>日</w:t>
            </w:r>
            <w:r>
              <w:rPr>
                <w:rFonts w:ascii="Arial" w:eastAsia="黑体" w:hAnsi="Arial" w:cs="Arial"/>
                <w:color w:val="000000"/>
                <w:sz w:val="20"/>
              </w:rPr>
              <w:fldChar w:fldCharType="end"/>
            </w:r>
          </w:p>
        </w:tc>
        <w:tc>
          <w:tcPr>
            <w:tcW w:w="110"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10"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2097" w:type="dxa"/>
            <w:tcBorders>
              <w:top w:val="nil"/>
              <w:left w:val="nil"/>
              <w:bottom w:val="nil"/>
              <w:right w:val="nil"/>
            </w:tcBorders>
            <w:shd w:val="clear" w:color="auto" w:fill="auto"/>
            <w:vAlign w:val="bottom"/>
          </w:tcPr>
          <w:p w:rsidR="00AD5BB5" w:rsidRDefault="00F87FF6">
            <w:pPr>
              <w:kinsoku w:val="0"/>
              <w:overflowPunct w:val="0"/>
              <w:autoSpaceDE w:val="0"/>
              <w:autoSpaceDN w:val="0"/>
              <w:adjustRightInd w:val="0"/>
              <w:snapToGrid w:val="0"/>
              <w:ind w:rightChars="15" w:right="31"/>
              <w:jc w:val="right"/>
              <w:rPr>
                <w:rFonts w:ascii="Arial" w:eastAsia="黑体" w:hAnsi="Arial" w:cs="Arial"/>
                <w:color w:val="000000"/>
                <w:sz w:val="20"/>
              </w:rPr>
            </w:pPr>
            <w:r>
              <w:rPr>
                <w:rFonts w:ascii="Arial" w:eastAsia="黑体" w:hAnsi="Arial" w:cs="Arial"/>
                <w:color w:val="000000"/>
                <w:sz w:val="20"/>
              </w:rPr>
              <w:t>2022</w:t>
            </w:r>
            <w:r>
              <w:rPr>
                <w:rFonts w:ascii="Arial" w:eastAsia="黑体" w:hAnsi="Arial" w:cs="Arial"/>
                <w:color w:val="000000"/>
                <w:sz w:val="20"/>
              </w:rPr>
              <w:t>年</w:t>
            </w:r>
            <w:r>
              <w:rPr>
                <w:rFonts w:ascii="Arial" w:eastAsia="黑体" w:hAnsi="Arial" w:cs="Arial"/>
                <w:color w:val="000000"/>
                <w:sz w:val="20"/>
              </w:rPr>
              <w:t>12</w:t>
            </w:r>
            <w:r>
              <w:rPr>
                <w:rFonts w:ascii="Arial" w:eastAsia="黑体" w:hAnsi="Arial" w:cs="Arial"/>
                <w:color w:val="000000"/>
                <w:sz w:val="20"/>
              </w:rPr>
              <w:t>月</w:t>
            </w:r>
            <w:r>
              <w:rPr>
                <w:rFonts w:ascii="Arial" w:eastAsia="黑体" w:hAnsi="Arial" w:cs="Arial"/>
                <w:color w:val="000000"/>
                <w:sz w:val="20"/>
              </w:rPr>
              <w:t>31</w:t>
            </w:r>
            <w:r>
              <w:rPr>
                <w:rFonts w:ascii="Arial" w:eastAsia="黑体" w:hAnsi="Arial" w:cs="Arial"/>
                <w:color w:val="000000"/>
                <w:sz w:val="20"/>
              </w:rPr>
              <w:t>日</w:t>
            </w:r>
          </w:p>
        </w:tc>
        <w:tc>
          <w:tcPr>
            <w:tcW w:w="110"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r>
      <w:tr w:rsidR="00AD5BB5">
        <w:tc>
          <w:tcPr>
            <w:tcW w:w="3502" w:type="dxa"/>
            <w:tcBorders>
              <w:top w:val="nil"/>
              <w:left w:val="nil"/>
              <w:bottom w:val="nil"/>
              <w:right w:val="nil"/>
            </w:tcBorders>
            <w:shd w:val="clear" w:color="auto" w:fill="auto"/>
            <w:noWrap/>
          </w:tcPr>
          <w:p w:rsidR="00AD5BB5" w:rsidRDefault="00AD5BB5">
            <w:pPr>
              <w:kinsoku w:val="0"/>
              <w:overflowPunct w:val="0"/>
              <w:autoSpaceDE w:val="0"/>
              <w:autoSpaceDN w:val="0"/>
              <w:adjustRightInd w:val="0"/>
              <w:snapToGrid w:val="0"/>
              <w:ind w:left="300" w:hangingChars="150" w:hanging="300"/>
              <w:rPr>
                <w:rFonts w:ascii="Arial" w:eastAsia="黑体" w:hAnsi="Arial" w:cs="Arial"/>
                <w:sz w:val="20"/>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20"/>
              </w:rPr>
            </w:pPr>
          </w:p>
        </w:tc>
        <w:tc>
          <w:tcPr>
            <w:tcW w:w="231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20"/>
              </w:rPr>
            </w:pPr>
          </w:p>
        </w:tc>
        <w:tc>
          <w:tcPr>
            <w:tcW w:w="110"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jc w:val="right"/>
              <w:rPr>
                <w:rFonts w:ascii="Arial" w:eastAsia="黑体" w:hAnsi="Arial" w:cs="Arial"/>
                <w:sz w:val="20"/>
              </w:rPr>
            </w:pPr>
          </w:p>
        </w:tc>
        <w:tc>
          <w:tcPr>
            <w:tcW w:w="110"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jc w:val="right"/>
              <w:rPr>
                <w:rFonts w:ascii="Arial" w:eastAsia="黑体" w:hAnsi="Arial" w:cs="Arial"/>
                <w:sz w:val="20"/>
              </w:rPr>
            </w:pPr>
          </w:p>
        </w:tc>
        <w:tc>
          <w:tcPr>
            <w:tcW w:w="2097"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ind w:rightChars="15" w:right="31"/>
              <w:jc w:val="right"/>
              <w:rPr>
                <w:rFonts w:ascii="Arial" w:eastAsia="黑体" w:hAnsi="Arial" w:cs="Arial"/>
                <w:color w:val="000000"/>
                <w:sz w:val="20"/>
              </w:rPr>
            </w:pPr>
          </w:p>
        </w:tc>
        <w:tc>
          <w:tcPr>
            <w:tcW w:w="110"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jc w:val="right"/>
              <w:rPr>
                <w:rFonts w:ascii="Arial" w:eastAsia="黑体" w:hAnsi="Arial" w:cs="Arial"/>
                <w:sz w:val="20"/>
              </w:rPr>
            </w:pPr>
          </w:p>
        </w:tc>
      </w:tr>
      <w:tr w:rsidR="00AD5BB5">
        <w:tc>
          <w:tcPr>
            <w:tcW w:w="3502"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200" w:hangingChars="100" w:hanging="200"/>
              <w:rPr>
                <w:rFonts w:ascii="Arial" w:eastAsia="黑体" w:hAnsi="Arial" w:cs="Arial"/>
                <w:color w:val="000000"/>
                <w:sz w:val="20"/>
              </w:rPr>
            </w:pPr>
            <w:r>
              <w:rPr>
                <w:rFonts w:ascii="Arial" w:eastAsia="黑体" w:hAnsi="Arial" w:cs="Arial"/>
                <w:snapToGrid w:val="0"/>
                <w:sz w:val="20"/>
              </w:rPr>
              <w:t>一年以内</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15" w:right="31"/>
              <w:jc w:val="right"/>
              <w:rPr>
                <w:rFonts w:ascii="Arial" w:eastAsia="黑体" w:hAnsi="Arial" w:cs="Arial"/>
                <w:color w:val="000000"/>
                <w:sz w:val="20"/>
              </w:rPr>
            </w:pPr>
            <w:r>
              <w:rPr>
                <w:rFonts w:ascii="Arial" w:eastAsia="黑体" w:hAnsi="Arial" w:cs="Arial"/>
                <w:color w:val="000000"/>
                <w:sz w:val="20"/>
              </w:rPr>
              <w:t>121,760,431.12</w:t>
            </w:r>
          </w:p>
        </w:tc>
        <w:tc>
          <w:tcPr>
            <w:tcW w:w="110"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ind w:rightChars="15" w:right="31"/>
              <w:rPr>
                <w:rFonts w:ascii="Arial" w:eastAsia="黑体" w:hAnsi="Arial" w:cs="Arial"/>
                <w:color w:val="000000"/>
                <w:sz w:val="20"/>
              </w:rPr>
            </w:pPr>
          </w:p>
        </w:tc>
        <w:tc>
          <w:tcPr>
            <w:tcW w:w="110"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ind w:rightChars="15" w:right="31"/>
              <w:rPr>
                <w:rFonts w:ascii="Arial" w:eastAsia="黑体" w:hAnsi="Arial" w:cs="Arial"/>
                <w:color w:val="000000"/>
                <w:sz w:val="20"/>
              </w:rPr>
            </w:pPr>
          </w:p>
        </w:tc>
        <w:tc>
          <w:tcPr>
            <w:tcW w:w="2097" w:type="dxa"/>
            <w:tcBorders>
              <w:top w:val="nil"/>
              <w:left w:val="nil"/>
              <w:bottom w:val="nil"/>
              <w:right w:val="nil"/>
            </w:tcBorders>
            <w:shd w:val="clear" w:color="auto" w:fill="auto"/>
            <w:vAlign w:val="bottom"/>
          </w:tcPr>
          <w:p w:rsidR="00AD5BB5" w:rsidRDefault="00F87FF6">
            <w:pPr>
              <w:kinsoku w:val="0"/>
              <w:overflowPunct w:val="0"/>
              <w:autoSpaceDE w:val="0"/>
              <w:autoSpaceDN w:val="0"/>
              <w:adjustRightInd w:val="0"/>
              <w:snapToGrid w:val="0"/>
              <w:ind w:rightChars="15" w:right="31"/>
              <w:jc w:val="right"/>
              <w:rPr>
                <w:rFonts w:ascii="Arial" w:eastAsia="黑体" w:hAnsi="Arial" w:cs="Arial"/>
                <w:color w:val="000000"/>
                <w:sz w:val="20"/>
              </w:rPr>
            </w:pPr>
            <w:r>
              <w:rPr>
                <w:rFonts w:ascii="Arial" w:eastAsia="黑体" w:hAnsi="Arial" w:cs="Arial"/>
                <w:color w:val="000000"/>
                <w:sz w:val="20"/>
              </w:rPr>
              <w:t>116,254,125.32</w:t>
            </w:r>
          </w:p>
        </w:tc>
        <w:tc>
          <w:tcPr>
            <w:tcW w:w="110"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ind w:rightChars="15" w:right="31"/>
              <w:rPr>
                <w:rFonts w:ascii="Arial" w:eastAsia="黑体" w:hAnsi="Arial" w:cs="Arial"/>
                <w:color w:val="000000"/>
                <w:sz w:val="20"/>
              </w:rPr>
            </w:pPr>
          </w:p>
        </w:tc>
      </w:tr>
      <w:tr w:rsidR="00AD5BB5">
        <w:tc>
          <w:tcPr>
            <w:tcW w:w="3502"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200" w:hangingChars="100" w:hanging="200"/>
              <w:rPr>
                <w:rFonts w:ascii="Arial" w:eastAsia="黑体" w:hAnsi="Arial" w:cs="Arial"/>
                <w:color w:val="000000"/>
                <w:sz w:val="20"/>
              </w:rPr>
            </w:pPr>
            <w:r>
              <w:rPr>
                <w:rFonts w:ascii="Arial" w:eastAsia="黑体" w:hAnsi="Arial" w:cs="Arial"/>
                <w:color w:val="000000"/>
                <w:sz w:val="20"/>
              </w:rPr>
              <w:t>一至五年</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15" w:right="31"/>
              <w:jc w:val="right"/>
              <w:rPr>
                <w:rFonts w:ascii="Arial" w:eastAsia="黑体" w:hAnsi="Arial" w:cs="Arial"/>
                <w:color w:val="000000"/>
                <w:sz w:val="20"/>
              </w:rPr>
            </w:pPr>
            <w:r>
              <w:rPr>
                <w:rFonts w:ascii="Arial" w:eastAsia="黑体" w:hAnsi="Arial" w:cs="Arial"/>
                <w:color w:val="000000"/>
                <w:sz w:val="20"/>
              </w:rPr>
              <w:t>344,577,474.23</w:t>
            </w:r>
          </w:p>
        </w:tc>
        <w:tc>
          <w:tcPr>
            <w:tcW w:w="110"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0"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097" w:type="dxa"/>
            <w:tcBorders>
              <w:top w:val="nil"/>
              <w:left w:val="nil"/>
              <w:bottom w:val="nil"/>
              <w:right w:val="nil"/>
            </w:tcBorders>
            <w:shd w:val="clear" w:color="auto" w:fill="auto"/>
            <w:vAlign w:val="bottom"/>
          </w:tcPr>
          <w:p w:rsidR="00AD5BB5" w:rsidRDefault="00F87FF6">
            <w:pPr>
              <w:kinsoku w:val="0"/>
              <w:overflowPunct w:val="0"/>
              <w:autoSpaceDE w:val="0"/>
              <w:autoSpaceDN w:val="0"/>
              <w:adjustRightInd w:val="0"/>
              <w:snapToGrid w:val="0"/>
              <w:ind w:rightChars="15" w:right="31"/>
              <w:jc w:val="right"/>
              <w:rPr>
                <w:rFonts w:ascii="Arial" w:eastAsia="黑体" w:hAnsi="Arial" w:cs="Arial"/>
                <w:color w:val="000000"/>
                <w:sz w:val="20"/>
              </w:rPr>
            </w:pPr>
            <w:r>
              <w:rPr>
                <w:rFonts w:ascii="Arial" w:eastAsia="黑体" w:hAnsi="Arial" w:cs="Arial"/>
                <w:color w:val="000000"/>
                <w:sz w:val="20"/>
              </w:rPr>
              <w:t>340,732,314.36</w:t>
            </w:r>
          </w:p>
        </w:tc>
        <w:tc>
          <w:tcPr>
            <w:tcW w:w="110"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ind w:rightChars="15" w:right="31"/>
              <w:rPr>
                <w:rFonts w:ascii="Arial" w:eastAsia="黑体" w:hAnsi="Arial" w:cs="Arial"/>
                <w:color w:val="000000"/>
                <w:sz w:val="20"/>
              </w:rPr>
            </w:pPr>
          </w:p>
        </w:tc>
      </w:tr>
      <w:tr w:rsidR="00AD5BB5">
        <w:tc>
          <w:tcPr>
            <w:tcW w:w="3502"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200" w:hangingChars="100" w:hanging="200"/>
              <w:rPr>
                <w:rFonts w:ascii="Arial" w:eastAsia="黑体" w:hAnsi="Arial" w:cs="Arial"/>
                <w:color w:val="000000"/>
                <w:sz w:val="20"/>
              </w:rPr>
            </w:pPr>
            <w:r>
              <w:rPr>
                <w:rFonts w:ascii="Arial" w:eastAsia="黑体" w:hAnsi="Arial" w:cs="Arial"/>
                <w:color w:val="000000"/>
                <w:sz w:val="20"/>
              </w:rPr>
              <w:t>五年以上</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15" w:right="31"/>
              <w:jc w:val="right"/>
              <w:rPr>
                <w:rFonts w:ascii="Arial" w:eastAsia="黑体" w:hAnsi="Arial" w:cs="Arial"/>
                <w:color w:val="000000"/>
                <w:sz w:val="20"/>
              </w:rPr>
            </w:pPr>
            <w:r>
              <w:rPr>
                <w:rFonts w:ascii="Arial" w:eastAsia="黑体" w:hAnsi="Arial" w:cs="Arial"/>
                <w:color w:val="000000"/>
                <w:sz w:val="20"/>
              </w:rPr>
              <w:t>115,028,221.43</w:t>
            </w:r>
          </w:p>
        </w:tc>
        <w:tc>
          <w:tcPr>
            <w:tcW w:w="110"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0"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097" w:type="dxa"/>
            <w:tcBorders>
              <w:top w:val="nil"/>
              <w:left w:val="nil"/>
              <w:bottom w:val="single" w:sz="4" w:space="0" w:color="auto"/>
              <w:right w:val="nil"/>
            </w:tcBorders>
            <w:shd w:val="clear" w:color="auto" w:fill="auto"/>
            <w:vAlign w:val="bottom"/>
          </w:tcPr>
          <w:p w:rsidR="00AD5BB5" w:rsidRDefault="00F87FF6">
            <w:pPr>
              <w:kinsoku w:val="0"/>
              <w:overflowPunct w:val="0"/>
              <w:autoSpaceDE w:val="0"/>
              <w:autoSpaceDN w:val="0"/>
              <w:adjustRightInd w:val="0"/>
              <w:snapToGrid w:val="0"/>
              <w:ind w:rightChars="15" w:right="31"/>
              <w:jc w:val="right"/>
              <w:rPr>
                <w:rFonts w:ascii="Arial" w:eastAsia="黑体" w:hAnsi="Arial" w:cs="Arial"/>
                <w:color w:val="000000"/>
                <w:sz w:val="20"/>
              </w:rPr>
            </w:pPr>
            <w:r>
              <w:rPr>
                <w:rFonts w:ascii="Arial" w:eastAsia="黑体" w:hAnsi="Arial" w:cs="Arial"/>
                <w:color w:val="000000"/>
                <w:sz w:val="20"/>
              </w:rPr>
              <w:t>111,061,284.92</w:t>
            </w:r>
          </w:p>
        </w:tc>
        <w:tc>
          <w:tcPr>
            <w:tcW w:w="110"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ind w:rightChars="15" w:right="31"/>
              <w:rPr>
                <w:rFonts w:ascii="Arial" w:eastAsia="黑体" w:hAnsi="Arial" w:cs="Arial"/>
                <w:color w:val="000000"/>
                <w:sz w:val="20"/>
              </w:rPr>
            </w:pPr>
          </w:p>
        </w:tc>
      </w:tr>
      <w:tr w:rsidR="00AD5BB5">
        <w:tc>
          <w:tcPr>
            <w:tcW w:w="3502" w:type="dxa"/>
            <w:tcBorders>
              <w:top w:val="nil"/>
              <w:left w:val="nil"/>
              <w:bottom w:val="nil"/>
              <w:right w:val="nil"/>
            </w:tcBorders>
            <w:shd w:val="clear" w:color="auto" w:fill="auto"/>
            <w:noWrap/>
          </w:tcPr>
          <w:p w:rsidR="00AD5BB5" w:rsidRDefault="00AD5BB5">
            <w:pPr>
              <w:kinsoku w:val="0"/>
              <w:overflowPunct w:val="0"/>
              <w:autoSpaceDE w:val="0"/>
              <w:autoSpaceDN w:val="0"/>
              <w:adjustRightInd w:val="0"/>
              <w:snapToGrid w:val="0"/>
              <w:ind w:left="300" w:hangingChars="150" w:hanging="300"/>
              <w:rPr>
                <w:rFonts w:ascii="Arial" w:eastAsia="黑体" w:hAnsi="Arial" w:cs="Arial"/>
                <w:snapToGrid w:val="0"/>
                <w:sz w:val="20"/>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10"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0"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097" w:type="dxa"/>
            <w:tcBorders>
              <w:top w:val="single" w:sz="4" w:space="0" w:color="auto"/>
              <w:left w:val="nil"/>
              <w:bottom w:val="nil"/>
              <w:right w:val="nil"/>
            </w:tcBorders>
            <w:shd w:val="clear" w:color="auto" w:fill="auto"/>
            <w:vAlign w:val="bottom"/>
          </w:tcPr>
          <w:p w:rsidR="00AD5BB5" w:rsidRDefault="00AD5BB5">
            <w:pPr>
              <w:kinsoku w:val="0"/>
              <w:overflowPunct w:val="0"/>
              <w:autoSpaceDE w:val="0"/>
              <w:autoSpaceDN w:val="0"/>
              <w:adjustRightInd w:val="0"/>
              <w:snapToGrid w:val="0"/>
              <w:ind w:rightChars="15" w:right="31"/>
              <w:jc w:val="right"/>
              <w:rPr>
                <w:rFonts w:ascii="Arial" w:eastAsia="黑体" w:hAnsi="Arial" w:cs="Arial"/>
                <w:color w:val="000000"/>
                <w:sz w:val="20"/>
              </w:rPr>
            </w:pPr>
          </w:p>
        </w:tc>
        <w:tc>
          <w:tcPr>
            <w:tcW w:w="110"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ind w:rightChars="15" w:right="31"/>
              <w:rPr>
                <w:rFonts w:ascii="Arial" w:eastAsia="黑体" w:hAnsi="Arial" w:cs="Arial"/>
                <w:color w:val="000000"/>
                <w:sz w:val="20"/>
              </w:rPr>
            </w:pPr>
          </w:p>
        </w:tc>
      </w:tr>
      <w:tr w:rsidR="00AD5BB5">
        <w:tc>
          <w:tcPr>
            <w:tcW w:w="3502"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200" w:hangingChars="100" w:hanging="200"/>
              <w:rPr>
                <w:rFonts w:ascii="Arial" w:eastAsia="黑体" w:hAnsi="Arial" w:cs="Arial"/>
                <w:snapToGrid w:val="0"/>
                <w:sz w:val="20"/>
              </w:rPr>
            </w:pPr>
            <w:r>
              <w:rPr>
                <w:rFonts w:ascii="Arial" w:eastAsia="黑体" w:hAnsi="Arial" w:cs="Arial"/>
                <w:snapToGrid w:val="0"/>
                <w:sz w:val="20"/>
              </w:rPr>
              <w:t>未折现租赁负债合计</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nil"/>
              <w:left w:val="nil"/>
              <w:bottom w:val="doub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15" w:right="31"/>
              <w:jc w:val="right"/>
              <w:rPr>
                <w:rFonts w:ascii="Arial" w:eastAsia="黑体" w:hAnsi="Arial" w:cs="Arial"/>
                <w:color w:val="000000"/>
                <w:sz w:val="20"/>
              </w:rPr>
            </w:pPr>
            <w:r>
              <w:rPr>
                <w:rFonts w:ascii="Arial" w:eastAsia="黑体" w:hAnsi="Arial" w:cs="Arial"/>
                <w:color w:val="000000"/>
                <w:sz w:val="20"/>
              </w:rPr>
              <w:t>581,366,126.78</w:t>
            </w:r>
          </w:p>
        </w:tc>
        <w:tc>
          <w:tcPr>
            <w:tcW w:w="110"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0"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097" w:type="dxa"/>
            <w:tcBorders>
              <w:top w:val="nil"/>
              <w:left w:val="nil"/>
              <w:bottom w:val="double" w:sz="4" w:space="0" w:color="auto"/>
              <w:right w:val="nil"/>
            </w:tcBorders>
            <w:shd w:val="clear" w:color="auto" w:fill="auto"/>
            <w:vAlign w:val="bottom"/>
          </w:tcPr>
          <w:p w:rsidR="00AD5BB5" w:rsidRDefault="00F87FF6">
            <w:pPr>
              <w:kinsoku w:val="0"/>
              <w:overflowPunct w:val="0"/>
              <w:autoSpaceDE w:val="0"/>
              <w:autoSpaceDN w:val="0"/>
              <w:adjustRightInd w:val="0"/>
              <w:snapToGrid w:val="0"/>
              <w:ind w:rightChars="15" w:right="31"/>
              <w:jc w:val="right"/>
              <w:rPr>
                <w:rFonts w:ascii="Arial" w:eastAsia="黑体" w:hAnsi="Arial" w:cs="Arial"/>
                <w:color w:val="000000"/>
                <w:sz w:val="20"/>
              </w:rPr>
            </w:pPr>
            <w:r>
              <w:rPr>
                <w:rFonts w:ascii="Arial" w:eastAsia="黑体" w:hAnsi="Arial" w:cs="Arial"/>
                <w:color w:val="000000"/>
                <w:sz w:val="20"/>
              </w:rPr>
              <w:t>568,047,724.60</w:t>
            </w:r>
          </w:p>
        </w:tc>
        <w:tc>
          <w:tcPr>
            <w:tcW w:w="110"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ind w:rightChars="15" w:right="31"/>
              <w:rPr>
                <w:rFonts w:ascii="Arial" w:eastAsia="黑体" w:hAnsi="Arial" w:cs="Arial"/>
                <w:color w:val="000000"/>
                <w:sz w:val="20"/>
              </w:rPr>
            </w:pPr>
          </w:p>
        </w:tc>
      </w:tr>
      <w:tr w:rsidR="00AD5BB5">
        <w:tc>
          <w:tcPr>
            <w:tcW w:w="3502"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200" w:hangingChars="100" w:hanging="200"/>
              <w:rPr>
                <w:rFonts w:ascii="Arial" w:eastAsia="黑体" w:hAnsi="Arial" w:cs="Arial"/>
                <w:snapToGrid w:val="0"/>
                <w:sz w:val="20"/>
              </w:rPr>
            </w:pPr>
            <w:r>
              <w:rPr>
                <w:rFonts w:ascii="Arial" w:eastAsia="黑体" w:hAnsi="Arial" w:cs="Arial"/>
                <w:snapToGrid w:val="0"/>
                <w:sz w:val="20"/>
              </w:rPr>
              <w:t>租赁负债</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double" w:sz="4" w:space="0" w:color="auto"/>
              <w:left w:val="nil"/>
              <w:bottom w:val="doub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15" w:right="31"/>
              <w:jc w:val="right"/>
              <w:rPr>
                <w:rFonts w:ascii="Arial" w:eastAsia="黑体" w:hAnsi="Arial" w:cs="Arial"/>
                <w:color w:val="000000"/>
                <w:sz w:val="20"/>
              </w:rPr>
            </w:pPr>
            <w:r>
              <w:rPr>
                <w:rFonts w:ascii="Arial" w:eastAsia="黑体" w:hAnsi="Arial" w:cs="Arial"/>
                <w:color w:val="000000"/>
                <w:sz w:val="20"/>
              </w:rPr>
              <w:t>519,564,373.70</w:t>
            </w:r>
          </w:p>
        </w:tc>
        <w:tc>
          <w:tcPr>
            <w:tcW w:w="110"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0"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097" w:type="dxa"/>
            <w:tcBorders>
              <w:top w:val="double" w:sz="4" w:space="0" w:color="auto"/>
              <w:left w:val="nil"/>
              <w:bottom w:val="double" w:sz="4" w:space="0" w:color="auto"/>
              <w:right w:val="nil"/>
            </w:tcBorders>
            <w:shd w:val="clear" w:color="auto" w:fill="auto"/>
            <w:vAlign w:val="bottom"/>
          </w:tcPr>
          <w:p w:rsidR="00AD5BB5" w:rsidRDefault="00F87FF6">
            <w:pPr>
              <w:kinsoku w:val="0"/>
              <w:overflowPunct w:val="0"/>
              <w:autoSpaceDE w:val="0"/>
              <w:autoSpaceDN w:val="0"/>
              <w:adjustRightInd w:val="0"/>
              <w:snapToGrid w:val="0"/>
              <w:ind w:rightChars="15" w:right="31"/>
              <w:jc w:val="right"/>
              <w:rPr>
                <w:rFonts w:ascii="Arial" w:eastAsia="黑体" w:hAnsi="Arial" w:cs="Arial"/>
                <w:color w:val="000000"/>
                <w:sz w:val="20"/>
              </w:rPr>
            </w:pPr>
            <w:r>
              <w:rPr>
                <w:rFonts w:ascii="Arial" w:eastAsia="黑体" w:hAnsi="Arial" w:cs="Arial"/>
                <w:color w:val="000000"/>
                <w:sz w:val="20"/>
              </w:rPr>
              <w:t>507,925,948.07</w:t>
            </w:r>
          </w:p>
        </w:tc>
        <w:tc>
          <w:tcPr>
            <w:tcW w:w="110"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ind w:rightChars="15" w:right="31"/>
              <w:rPr>
                <w:rFonts w:ascii="Arial" w:eastAsia="黑体" w:hAnsi="Arial" w:cs="Arial"/>
                <w:color w:val="000000"/>
                <w:sz w:val="20"/>
              </w:rPr>
            </w:pPr>
          </w:p>
        </w:tc>
      </w:tr>
    </w:tbl>
    <w:p w:rsidR="00AD5BB5" w:rsidRDefault="00AD5BB5">
      <w:pPr>
        <w:overflowPunct w:val="0"/>
        <w:autoSpaceDE w:val="0"/>
        <w:autoSpaceDN w:val="0"/>
        <w:rPr>
          <w:rFonts w:ascii="Arial" w:eastAsia="黑体" w:hAnsi="Arial" w:cs="Arial"/>
          <w:snapToGrid w:val="0"/>
          <w:szCs w:val="21"/>
        </w:rPr>
      </w:pPr>
    </w:p>
    <w:p w:rsidR="00AD5BB5" w:rsidRDefault="00F87FF6">
      <w:pPr>
        <w:pStyle w:val="af5"/>
        <w:keepNext w:val="0"/>
        <w:keepLines w:val="0"/>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206" w:name="afsaddin_Section_5880552a716b464290c6d45"/>
      <w:r>
        <w:rPr>
          <w:rFonts w:ascii="Arial" w:eastAsia="黑体" w:hAnsi="Arial" w:cs="Arial" w:hint="default"/>
          <w:bCs w:val="0"/>
          <w:snapToGrid w:val="0"/>
          <w:color w:val="auto"/>
          <w:sz w:val="21"/>
          <w:szCs w:val="21"/>
        </w:rPr>
        <w:t>29.</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股本</w:t>
      </w:r>
    </w:p>
    <w:bookmarkEnd w:id="206"/>
    <w:p w:rsidR="00AD5BB5" w:rsidRDefault="00AD5BB5">
      <w:pPr>
        <w:pStyle w:val="18"/>
        <w:widowControl/>
        <w:tabs>
          <w:tab w:val="clear" w:pos="4819"/>
          <w:tab w:val="clear" w:pos="9071"/>
        </w:tabs>
        <w:overflowPunct w:val="0"/>
        <w:autoSpaceDE w:val="0"/>
        <w:autoSpaceDN w:val="0"/>
        <w:snapToGrid w:val="0"/>
        <w:textAlignment w:val="bottom"/>
        <w:rPr>
          <w:rFonts w:ascii="Arial" w:eastAsia="黑体" w:hAnsi="Arial" w:cs="Arial"/>
          <w:snapToGrid w:val="0"/>
          <w:sz w:val="21"/>
          <w:szCs w:val="21"/>
          <w:lang w:eastAsia="zh-CN"/>
        </w:rPr>
      </w:pPr>
    </w:p>
    <w:tbl>
      <w:tblPr>
        <w:tblW w:w="0" w:type="auto"/>
        <w:tblLayout w:type="fixed"/>
        <w:tblCellMar>
          <w:left w:w="0" w:type="dxa"/>
          <w:right w:w="0" w:type="dxa"/>
        </w:tblCellMar>
        <w:tblLook w:val="04A0" w:firstRow="1" w:lastRow="0" w:firstColumn="1" w:lastColumn="0" w:noHBand="0" w:noVBand="1"/>
        <w:tblCaption w:val="e2d9de43-28d1-4353-a56e-99df5fc43307"/>
        <w:tblDescription w:val="{&quot;UUID&quot;:&quot;afsaddin_tabledata_2_56437_e2d9de43-28d1-4353-a56e-99df5fc43307&quot;,&quot;TitleRowCount&quot;:3,&quot;SplitedTable&quot;:false,&quot;FirstTableId&quot;:&quot;e2d9de43-28d1-4353-a56e-99df5fc43307&quot;}"/>
      </w:tblPr>
      <w:tblGrid>
        <w:gridCol w:w="1346"/>
        <w:gridCol w:w="106"/>
        <w:gridCol w:w="1517"/>
        <w:gridCol w:w="105"/>
        <w:gridCol w:w="105"/>
        <w:gridCol w:w="1559"/>
        <w:gridCol w:w="105"/>
        <w:gridCol w:w="105"/>
        <w:gridCol w:w="1517"/>
        <w:gridCol w:w="105"/>
        <w:gridCol w:w="105"/>
        <w:gridCol w:w="1559"/>
        <w:gridCol w:w="105"/>
      </w:tblGrid>
      <w:tr w:rsidR="00AD5BB5">
        <w:tc>
          <w:tcPr>
            <w:tcW w:w="1346" w:type="dxa"/>
            <w:tcBorders>
              <w:top w:val="nil"/>
              <w:left w:val="nil"/>
              <w:bottom w:val="nil"/>
              <w:right w:val="nil"/>
            </w:tcBorders>
            <w:vAlign w:val="bottom"/>
          </w:tcPr>
          <w:p w:rsidR="00AD5BB5" w:rsidRDefault="00AD5BB5">
            <w:pPr>
              <w:autoSpaceDE w:val="0"/>
              <w:autoSpaceDN w:val="0"/>
              <w:ind w:left="180" w:hangingChars="100" w:hanging="18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3286" w:type="dxa"/>
            <w:gridSpan w:val="4"/>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 DOCPROPERTY </w:instrText>
            </w:r>
            <w:r>
              <w:rPr>
                <w:rFonts w:ascii="Arial" w:eastAsia="黑体" w:hAnsi="Arial" w:cs="Arial"/>
                <w:sz w:val="18"/>
                <w:szCs w:val="18"/>
              </w:rPr>
              <w:instrText>当期资产负债表日</w:instrText>
            </w:r>
            <w:r>
              <w:rPr>
                <w:rFonts w:ascii="Arial" w:eastAsia="黑体" w:hAnsi="Arial" w:cs="Arial"/>
                <w:sz w:val="18"/>
                <w:szCs w:val="18"/>
              </w:rPr>
              <w:instrText xml:space="preserve"> </w:instrText>
            </w:r>
            <w:r>
              <w:rPr>
                <w:rFonts w:ascii="Arial" w:eastAsia="黑体" w:hAnsi="Arial" w:cs="Arial"/>
                <w:sz w:val="18"/>
                <w:szCs w:val="18"/>
              </w:rPr>
              <w:fldChar w:fldCharType="separate"/>
            </w:r>
            <w:r>
              <w:rPr>
                <w:rFonts w:ascii="Arial" w:eastAsia="黑体" w:hAnsi="Arial" w:cs="Arial"/>
                <w:sz w:val="18"/>
                <w:szCs w:val="18"/>
              </w:rPr>
              <w:t>2023</w:t>
            </w:r>
            <w:r>
              <w:rPr>
                <w:rFonts w:ascii="Arial" w:eastAsia="黑体" w:hAnsi="Arial" w:cs="Arial"/>
                <w:sz w:val="18"/>
                <w:szCs w:val="18"/>
              </w:rPr>
              <w:t>年</w:t>
            </w:r>
            <w:r>
              <w:rPr>
                <w:rFonts w:ascii="Arial" w:eastAsia="黑体" w:hAnsi="Arial" w:cs="Arial"/>
                <w:sz w:val="18"/>
                <w:szCs w:val="18"/>
              </w:rPr>
              <w:t>6</w:t>
            </w:r>
            <w:r>
              <w:rPr>
                <w:rFonts w:ascii="Arial" w:eastAsia="黑体" w:hAnsi="Arial" w:cs="Arial"/>
                <w:sz w:val="18"/>
                <w:szCs w:val="18"/>
              </w:rPr>
              <w:t>月</w:t>
            </w:r>
            <w:r>
              <w:rPr>
                <w:rFonts w:ascii="Arial" w:eastAsia="黑体" w:hAnsi="Arial" w:cs="Arial"/>
                <w:sz w:val="18"/>
                <w:szCs w:val="18"/>
              </w:rPr>
              <w:t>30</w:t>
            </w:r>
            <w:r>
              <w:rPr>
                <w:rFonts w:ascii="Arial" w:eastAsia="黑体" w:hAnsi="Arial" w:cs="Arial"/>
                <w:sz w:val="18"/>
                <w:szCs w:val="18"/>
              </w:rPr>
              <w:t>日</w:t>
            </w:r>
            <w:r>
              <w:rPr>
                <w:rFonts w:ascii="Arial" w:eastAsia="黑体" w:hAnsi="Arial" w:cs="Arial"/>
                <w:sz w:val="18"/>
                <w:szCs w:val="18"/>
              </w:rPr>
              <w:fldChar w:fldCharType="end"/>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3286" w:type="dxa"/>
            <w:gridSpan w:val="4"/>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2022</w:t>
            </w:r>
            <w:r>
              <w:rPr>
                <w:rFonts w:ascii="Arial" w:eastAsia="黑体" w:hAnsi="Arial" w:cs="Arial"/>
                <w:sz w:val="18"/>
                <w:szCs w:val="18"/>
              </w:rPr>
              <w:t>年</w:t>
            </w:r>
            <w:r>
              <w:rPr>
                <w:rFonts w:ascii="Arial" w:eastAsia="黑体" w:hAnsi="Arial" w:cs="Arial"/>
                <w:sz w:val="18"/>
                <w:szCs w:val="18"/>
              </w:rPr>
              <w:t>12</w:t>
            </w:r>
            <w:r>
              <w:rPr>
                <w:rFonts w:ascii="Arial" w:eastAsia="黑体" w:hAnsi="Arial" w:cs="Arial"/>
                <w:sz w:val="18"/>
                <w:szCs w:val="18"/>
              </w:rPr>
              <w:t>月</w:t>
            </w:r>
            <w:r>
              <w:rPr>
                <w:rFonts w:ascii="Arial" w:eastAsia="黑体" w:hAnsi="Arial" w:cs="Arial"/>
                <w:sz w:val="18"/>
                <w:szCs w:val="18"/>
              </w:rPr>
              <w:t>31</w:t>
            </w:r>
            <w:r>
              <w:rPr>
                <w:rFonts w:ascii="Arial" w:eastAsia="黑体" w:hAnsi="Arial" w:cs="Arial"/>
                <w:sz w:val="18"/>
                <w:szCs w:val="18"/>
              </w:rPr>
              <w:t>日</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34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17"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股数（股）</w:t>
            </w:r>
          </w:p>
        </w:tc>
        <w:tc>
          <w:tcPr>
            <w:tcW w:w="10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59"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金额（人民币元）</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17"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股数（股）</w:t>
            </w:r>
          </w:p>
        </w:tc>
        <w:tc>
          <w:tcPr>
            <w:tcW w:w="10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59"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金额（人民币元）</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34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1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5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1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5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34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股本</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1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2,639,127,888.00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5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2,639,127,888.00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1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2,639,127,888.00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5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2,639,127,888.00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bl>
    <w:p w:rsidR="00AD5BB5" w:rsidRDefault="00AD5BB5">
      <w:pPr>
        <w:rPr>
          <w:rFonts w:ascii="Arial" w:eastAsia="黑体" w:hAnsi="Arial" w:cs="Arial"/>
          <w:snapToGrid w:val="0"/>
          <w:sz w:val="18"/>
          <w:szCs w:val="18"/>
        </w:rPr>
      </w:pPr>
    </w:p>
    <w:p w:rsidR="00AD5BB5" w:rsidRDefault="00F87FF6">
      <w:pPr>
        <w:pStyle w:val="af5"/>
        <w:keepNext w:val="0"/>
        <w:keepLines w:val="0"/>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r>
        <w:rPr>
          <w:rFonts w:ascii="Arial" w:eastAsia="黑体" w:hAnsi="Arial" w:cs="Arial" w:hint="default"/>
          <w:bCs w:val="0"/>
          <w:snapToGrid w:val="0"/>
          <w:color w:val="auto"/>
          <w:sz w:val="21"/>
          <w:szCs w:val="21"/>
        </w:rPr>
        <w:t>30.</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其他权益工具</w:t>
      </w:r>
    </w:p>
    <w:p w:rsidR="00AD5BB5" w:rsidRDefault="00AD5BB5">
      <w:pPr>
        <w:rPr>
          <w:rFonts w:ascii="Arial" w:eastAsia="黑体" w:hAnsi="Arial" w:cs="Arial"/>
          <w:snapToGrid w:val="0"/>
          <w:sz w:val="18"/>
          <w:szCs w:val="18"/>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于</w:t>
      </w: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当期资产负债表日</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2023</w:t>
      </w:r>
      <w:r>
        <w:rPr>
          <w:rFonts w:ascii="Arial" w:eastAsia="黑体" w:hAnsi="Arial" w:cs="Arial"/>
          <w:snapToGrid w:val="0"/>
          <w:szCs w:val="21"/>
        </w:rPr>
        <w:t>年</w:t>
      </w:r>
      <w:r>
        <w:rPr>
          <w:rFonts w:ascii="Arial" w:eastAsia="黑体" w:hAnsi="Arial" w:cs="Arial"/>
          <w:snapToGrid w:val="0"/>
          <w:szCs w:val="21"/>
        </w:rPr>
        <w:t>6</w:t>
      </w:r>
      <w:r>
        <w:rPr>
          <w:rFonts w:ascii="Arial" w:eastAsia="黑体" w:hAnsi="Arial" w:cs="Arial"/>
          <w:snapToGrid w:val="0"/>
          <w:szCs w:val="21"/>
        </w:rPr>
        <w:t>月</w:t>
      </w:r>
      <w:r>
        <w:rPr>
          <w:rFonts w:ascii="Arial" w:eastAsia="黑体" w:hAnsi="Arial" w:cs="Arial"/>
          <w:snapToGrid w:val="0"/>
          <w:szCs w:val="21"/>
        </w:rPr>
        <w:t>30</w:t>
      </w:r>
      <w:r>
        <w:rPr>
          <w:rFonts w:ascii="Arial" w:eastAsia="黑体" w:hAnsi="Arial" w:cs="Arial"/>
          <w:snapToGrid w:val="0"/>
          <w:szCs w:val="21"/>
        </w:rPr>
        <w:t>日</w:t>
      </w:r>
      <w:r>
        <w:rPr>
          <w:rFonts w:ascii="Arial" w:eastAsia="黑体" w:hAnsi="Arial" w:cs="Arial"/>
          <w:snapToGrid w:val="0"/>
          <w:szCs w:val="21"/>
        </w:rPr>
        <w:fldChar w:fldCharType="end"/>
      </w:r>
      <w:r>
        <w:rPr>
          <w:rFonts w:ascii="Arial" w:eastAsia="黑体" w:hAnsi="Arial" w:cs="Arial"/>
          <w:snapToGrid w:val="0"/>
          <w:szCs w:val="21"/>
        </w:rPr>
        <w:t>，本集团发行在外的无固定期限资本债券具体情况如下：</w:t>
      </w:r>
    </w:p>
    <w:tbl>
      <w:tblPr>
        <w:tblW w:w="0" w:type="auto"/>
        <w:tblLayout w:type="fixed"/>
        <w:tblCellMar>
          <w:left w:w="0" w:type="dxa"/>
          <w:right w:w="0" w:type="dxa"/>
        </w:tblCellMar>
        <w:tblLook w:val="04A0" w:firstRow="1" w:lastRow="0" w:firstColumn="1" w:lastColumn="0" w:noHBand="0" w:noVBand="1"/>
        <w:tblCaption w:val="cd5dc4ec-753a-4867-899b-66cf8c00d5df"/>
        <w:tblDescription w:val="{&quot;UUID&quot;:&quot;afsaddin_tabledata_2_56437_cd5dc4ec-753a-4867-899b-66cf8c00d5df&quot;,&quot;TitleRowCount&quot;:2,&quot;SplitedTable&quot;:false,&quot;FirstTableId&quot;:&quot;cd5dc4ec-753a-4867-899b-66cf8c00d5df&quot;}"/>
      </w:tblPr>
      <w:tblGrid>
        <w:gridCol w:w="2463"/>
        <w:gridCol w:w="108"/>
        <w:gridCol w:w="1745"/>
        <w:gridCol w:w="107"/>
        <w:gridCol w:w="107"/>
        <w:gridCol w:w="1744"/>
        <w:gridCol w:w="107"/>
        <w:gridCol w:w="107"/>
        <w:gridCol w:w="1744"/>
        <w:gridCol w:w="107"/>
      </w:tblGrid>
      <w:tr w:rsidR="00AD5BB5">
        <w:tc>
          <w:tcPr>
            <w:tcW w:w="2463"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p w:rsidR="00AD5BB5" w:rsidRDefault="00AD5BB5">
            <w:pPr>
              <w:autoSpaceDE w:val="0"/>
              <w:autoSpaceDN w:val="0"/>
              <w:ind w:left="315" w:hangingChars="150" w:hanging="315"/>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4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当期会计期间</w:instrText>
            </w:r>
            <w:r>
              <w:rPr>
                <w:rFonts w:ascii="Arial" w:eastAsia="黑体" w:hAnsi="Arial" w:cs="Arial"/>
                <w:szCs w:val="21"/>
              </w:rPr>
              <w:instrText xml:space="preserve"> </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fldChar w:fldCharType="end"/>
            </w:r>
            <w:r>
              <w:rPr>
                <w:rFonts w:ascii="Arial" w:eastAsia="黑体" w:hAnsi="Arial" w:cs="Arial"/>
                <w:szCs w:val="21"/>
              </w:rPr>
              <w:t>年</w:t>
            </w:r>
            <w:r>
              <w:rPr>
                <w:rFonts w:ascii="Arial" w:eastAsia="黑体" w:hAnsi="Arial" w:cs="Arial"/>
                <w:szCs w:val="21"/>
              </w:rPr>
              <w:t>1</w:t>
            </w:r>
            <w:r>
              <w:rPr>
                <w:rFonts w:ascii="Arial" w:eastAsia="黑体" w:hAnsi="Arial" w:cs="Arial"/>
                <w:szCs w:val="21"/>
              </w:rPr>
              <w:t>月</w:t>
            </w:r>
            <w:r>
              <w:rPr>
                <w:rFonts w:ascii="Arial" w:eastAsia="黑体" w:hAnsi="Arial" w:cs="Arial"/>
                <w:szCs w:val="21"/>
              </w:rPr>
              <w:t>1</w:t>
            </w:r>
            <w:r>
              <w:rPr>
                <w:rFonts w:ascii="Arial" w:eastAsia="黑体" w:hAnsi="Arial" w:cs="Arial"/>
                <w:szCs w:val="21"/>
              </w:rPr>
              <w:t>日</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4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本期增减变动</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4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当期资产负债表日</w:instrText>
            </w:r>
            <w:r>
              <w:rPr>
                <w:rFonts w:ascii="Arial" w:eastAsia="黑体" w:hAnsi="Arial" w:cs="Arial"/>
                <w:szCs w:val="21"/>
              </w:rPr>
              <w:instrText xml:space="preserve"> </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t>年</w:t>
            </w:r>
            <w:r>
              <w:rPr>
                <w:rFonts w:ascii="Arial" w:eastAsia="黑体" w:hAnsi="Arial" w:cs="Arial"/>
                <w:szCs w:val="21"/>
              </w:rPr>
              <w:t>6</w:t>
            </w:r>
            <w:r>
              <w:rPr>
                <w:rFonts w:ascii="Arial" w:eastAsia="黑体" w:hAnsi="Arial" w:cs="Arial"/>
                <w:szCs w:val="21"/>
              </w:rPr>
              <w:t>月</w:t>
            </w:r>
            <w:r>
              <w:rPr>
                <w:rFonts w:ascii="Arial" w:eastAsia="黑体" w:hAnsi="Arial" w:cs="Arial"/>
                <w:szCs w:val="21"/>
              </w:rPr>
              <w:t>30</w:t>
            </w:r>
            <w:r>
              <w:rPr>
                <w:rFonts w:ascii="Arial" w:eastAsia="黑体" w:hAnsi="Arial" w:cs="Arial"/>
                <w:szCs w:val="21"/>
              </w:rPr>
              <w:t>日</w:t>
            </w:r>
            <w:r>
              <w:rPr>
                <w:rFonts w:ascii="Arial" w:eastAsia="黑体" w:hAnsi="Arial" w:cs="Arial"/>
                <w:szCs w:val="21"/>
              </w:rPr>
              <w:fldChar w:fldCharType="end"/>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2463" w:type="dxa"/>
            <w:tcBorders>
              <w:top w:val="nil"/>
              <w:left w:val="nil"/>
              <w:bottom w:val="nil"/>
              <w:right w:val="nil"/>
            </w:tcBorders>
            <w:vAlign w:val="bottom"/>
          </w:tcPr>
          <w:p w:rsidR="00AD5BB5" w:rsidRDefault="00AD5BB5">
            <w:pPr>
              <w:autoSpaceDE w:val="0"/>
              <w:autoSpaceDN w:val="0"/>
              <w:ind w:left="315" w:hangingChars="150" w:hanging="315"/>
              <w:jc w:val="right"/>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745"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账面价值</w:t>
            </w:r>
          </w:p>
        </w:tc>
        <w:tc>
          <w:tcPr>
            <w:tcW w:w="10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744"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账面价值</w:t>
            </w:r>
          </w:p>
        </w:tc>
        <w:tc>
          <w:tcPr>
            <w:tcW w:w="10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744"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账面价值</w:t>
            </w:r>
          </w:p>
        </w:tc>
        <w:tc>
          <w:tcPr>
            <w:tcW w:w="10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r>
      <w:tr w:rsidR="00AD5BB5">
        <w:tc>
          <w:tcPr>
            <w:tcW w:w="2463" w:type="dxa"/>
            <w:tcBorders>
              <w:top w:val="nil"/>
              <w:left w:val="nil"/>
              <w:bottom w:val="nil"/>
              <w:right w:val="nil"/>
            </w:tcBorders>
            <w:vAlign w:val="bottom"/>
          </w:tcPr>
          <w:p w:rsidR="00AD5BB5" w:rsidRDefault="00F87FF6">
            <w:pPr>
              <w:autoSpaceDE w:val="0"/>
              <w:autoSpaceDN w:val="0"/>
              <w:ind w:left="211" w:hangingChars="100" w:hanging="211"/>
              <w:rPr>
                <w:rFonts w:ascii="Arial" w:eastAsia="黑体" w:hAnsi="Arial" w:cs="Arial"/>
                <w:b/>
                <w:bCs/>
                <w:szCs w:val="21"/>
              </w:rPr>
            </w:pPr>
            <w:r>
              <w:rPr>
                <w:rFonts w:ascii="Arial" w:eastAsia="黑体" w:hAnsi="Arial" w:cs="Arial"/>
                <w:b/>
                <w:bCs/>
                <w:szCs w:val="21"/>
              </w:rPr>
              <w:t>发行无固定期限资本债券</w:t>
            </w:r>
            <w:r>
              <w:rPr>
                <w:rFonts w:ascii="Arial" w:eastAsia="黑体" w:hAnsi="Arial" w:cs="Arial"/>
                <w:b/>
                <w:bCs/>
                <w:szCs w:val="21"/>
              </w:rPr>
              <w:t xml:space="preserve">  </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45"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44"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44"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2463"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20</w:t>
            </w:r>
            <w:r>
              <w:rPr>
                <w:rFonts w:ascii="Arial" w:eastAsia="黑体" w:hAnsi="Arial" w:cs="Arial"/>
                <w:szCs w:val="21"/>
              </w:rPr>
              <w:t>厦门银行</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45"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44"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44"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2463" w:type="dxa"/>
            <w:tcBorders>
              <w:top w:val="nil"/>
              <w:left w:val="nil"/>
              <w:bottom w:val="nil"/>
              <w:right w:val="nil"/>
            </w:tcBorders>
            <w:vAlign w:val="bottom"/>
          </w:tcPr>
          <w:p w:rsidR="00AD5BB5" w:rsidRDefault="00F87FF6">
            <w:pPr>
              <w:autoSpaceDE w:val="0"/>
              <w:autoSpaceDN w:val="0"/>
              <w:ind w:leftChars="95" w:left="409" w:hangingChars="100" w:hanging="210"/>
              <w:rPr>
                <w:rFonts w:ascii="Arial" w:eastAsia="黑体" w:hAnsi="Arial" w:cs="Arial"/>
                <w:szCs w:val="21"/>
              </w:rPr>
            </w:pPr>
            <w:r>
              <w:rPr>
                <w:rFonts w:ascii="Arial" w:eastAsia="黑体" w:hAnsi="Arial" w:cs="Arial"/>
                <w:szCs w:val="21"/>
              </w:rPr>
              <w:t>永续债</w:t>
            </w:r>
            <w:r>
              <w:rPr>
                <w:rFonts w:ascii="Arial" w:eastAsia="黑体" w:hAnsi="Arial" w:cs="Arial"/>
                <w:szCs w:val="21"/>
              </w:rPr>
              <w:t>01</w:t>
            </w:r>
            <w:r>
              <w:rPr>
                <w:rFonts w:ascii="Arial" w:eastAsia="黑体" w:hAnsi="Arial" w:cs="Arial"/>
                <w:szCs w:val="21"/>
              </w:rPr>
              <w:t>（注</w:t>
            </w:r>
            <w:r>
              <w:rPr>
                <w:rFonts w:ascii="Arial" w:eastAsia="黑体" w:hAnsi="Arial" w:cs="Arial"/>
                <w:szCs w:val="21"/>
              </w:rPr>
              <w:t>1</w:t>
            </w:r>
            <w:r>
              <w:rPr>
                <w:rFonts w:ascii="Arial" w:eastAsia="黑体" w:hAnsi="Arial" w:cs="Arial"/>
                <w:szCs w:val="21"/>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45"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999,421,132.08</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44"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44"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999,421,132.08</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2463"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21</w:t>
            </w:r>
            <w:r>
              <w:rPr>
                <w:rFonts w:ascii="Arial" w:eastAsia="黑体" w:hAnsi="Arial" w:cs="Arial"/>
                <w:szCs w:val="21"/>
              </w:rPr>
              <w:t>厦门银行</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45"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44"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44"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2463" w:type="dxa"/>
            <w:tcBorders>
              <w:top w:val="nil"/>
              <w:left w:val="nil"/>
              <w:bottom w:val="nil"/>
              <w:right w:val="nil"/>
            </w:tcBorders>
            <w:vAlign w:val="bottom"/>
          </w:tcPr>
          <w:p w:rsidR="00AD5BB5" w:rsidRDefault="00F87FF6">
            <w:pPr>
              <w:autoSpaceDE w:val="0"/>
              <w:autoSpaceDN w:val="0"/>
              <w:ind w:leftChars="95" w:left="409" w:hangingChars="100" w:hanging="210"/>
              <w:rPr>
                <w:rFonts w:ascii="Arial" w:eastAsia="黑体" w:hAnsi="Arial" w:cs="Arial"/>
                <w:szCs w:val="21"/>
              </w:rPr>
            </w:pPr>
            <w:r>
              <w:rPr>
                <w:rFonts w:ascii="Arial" w:eastAsia="黑体" w:hAnsi="Arial" w:cs="Arial"/>
                <w:szCs w:val="21"/>
              </w:rPr>
              <w:t>永续债</w:t>
            </w:r>
            <w:r>
              <w:rPr>
                <w:rFonts w:ascii="Arial" w:eastAsia="黑体" w:hAnsi="Arial" w:cs="Arial"/>
                <w:szCs w:val="21"/>
              </w:rPr>
              <w:t>01</w:t>
            </w:r>
            <w:r>
              <w:rPr>
                <w:rFonts w:ascii="Arial" w:eastAsia="黑体" w:hAnsi="Arial" w:cs="Arial"/>
                <w:szCs w:val="21"/>
              </w:rPr>
              <w:t>（注</w:t>
            </w:r>
            <w:r>
              <w:rPr>
                <w:rFonts w:ascii="Arial" w:eastAsia="黑体" w:hAnsi="Arial" w:cs="Arial"/>
                <w:szCs w:val="21"/>
              </w:rPr>
              <w:t>2</w:t>
            </w:r>
            <w:r>
              <w:rPr>
                <w:rFonts w:ascii="Arial" w:eastAsia="黑体" w:hAnsi="Arial" w:cs="Arial"/>
                <w:szCs w:val="21"/>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45" w:type="dxa"/>
            <w:tcBorders>
              <w:top w:val="nil"/>
              <w:left w:val="nil"/>
              <w:bottom w:val="single" w:sz="2"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1,499,131,698.11</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44" w:type="dxa"/>
            <w:tcBorders>
              <w:top w:val="nil"/>
              <w:left w:val="nil"/>
              <w:bottom w:val="single" w:sz="2"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44" w:type="dxa"/>
            <w:tcBorders>
              <w:top w:val="nil"/>
              <w:left w:val="nil"/>
              <w:bottom w:val="single" w:sz="2"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1,499,131,698.11</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2463"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45" w:type="dxa"/>
            <w:tcBorders>
              <w:top w:val="single" w:sz="2"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44" w:type="dxa"/>
            <w:tcBorders>
              <w:top w:val="single" w:sz="2"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44" w:type="dxa"/>
            <w:tcBorders>
              <w:top w:val="single" w:sz="2"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2463"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合计</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4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2,498,552,830.19</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4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4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2,498,552,830.19</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bl>
    <w:p w:rsidR="00AD5BB5" w:rsidRDefault="00AD5BB5">
      <w:pPr>
        <w:rPr>
          <w:rFonts w:ascii="Arial" w:eastAsia="黑体" w:hAnsi="Arial" w:cs="Arial"/>
          <w:snapToGrid w:val="0"/>
          <w:szCs w:val="18"/>
        </w:rPr>
      </w:pPr>
    </w:p>
    <w:p w:rsidR="00AD5BB5" w:rsidRDefault="00AD5BB5">
      <w:pPr>
        <w:overflowPunct w:val="0"/>
        <w:autoSpaceDE w:val="0"/>
        <w:autoSpaceDN w:val="0"/>
        <w:rPr>
          <w:rFonts w:ascii="Arial" w:eastAsia="黑体" w:hAnsi="Arial" w:cs="Arial"/>
          <w:snapToGrid w:val="0"/>
          <w:szCs w:val="18"/>
        </w:rPr>
      </w:pPr>
    </w:p>
    <w:p w:rsidR="00AD5BB5" w:rsidRDefault="00F87FF6">
      <w:pPr>
        <w:overflowPunct w:val="0"/>
        <w:autoSpaceDE w:val="0"/>
        <w:autoSpaceDN w:val="0"/>
        <w:rPr>
          <w:rFonts w:ascii="Arial" w:eastAsia="黑体" w:hAnsi="Arial" w:cs="Arial"/>
          <w:b/>
          <w:snapToGrid w:val="0"/>
          <w:szCs w:val="18"/>
        </w:rPr>
      </w:pPr>
      <w:bookmarkStart w:id="207" w:name="afsaddin_WithXu_8f74bbc013224240bd30be7f"/>
      <w:r>
        <w:rPr>
          <w:rFonts w:ascii="Arial" w:eastAsia="黑体" w:hAnsi="Arial" w:cs="Arial"/>
          <w:b/>
          <w:snapToGrid w:val="0"/>
          <w:szCs w:val="18"/>
        </w:rPr>
        <w:t>五、</w:t>
      </w:r>
      <w:r>
        <w:rPr>
          <w:rFonts w:ascii="Arial" w:eastAsia="黑体" w:hAnsi="Arial" w:cs="Arial"/>
          <w:b/>
          <w:snapToGrid w:val="0"/>
          <w:szCs w:val="18"/>
        </w:rPr>
        <w:tab/>
      </w:r>
      <w:r>
        <w:rPr>
          <w:rFonts w:ascii="Arial" w:eastAsia="黑体" w:hAnsi="Arial" w:cs="Arial"/>
          <w:b/>
          <w:snapToGrid w:val="0"/>
          <w:szCs w:val="18"/>
        </w:rPr>
        <w:t>合并财务报表主要项目注释（续）</w:t>
      </w:r>
      <w:bookmarkEnd w:id="207"/>
    </w:p>
    <w:p w:rsidR="00AD5BB5" w:rsidRDefault="00AD5BB5">
      <w:pPr>
        <w:overflowPunct w:val="0"/>
        <w:autoSpaceDE w:val="0"/>
        <w:autoSpaceDN w:val="0"/>
        <w:rPr>
          <w:rFonts w:ascii="Arial" w:eastAsia="黑体" w:hAnsi="Arial" w:cs="Arial"/>
          <w:snapToGrid w:val="0"/>
          <w:szCs w:val="18"/>
        </w:rPr>
      </w:pPr>
    </w:p>
    <w:p w:rsidR="00AD5BB5" w:rsidRDefault="00F87FF6">
      <w:pPr>
        <w:pStyle w:val="af5"/>
        <w:keepNext w:val="0"/>
        <w:keepLines w:val="0"/>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208" w:name="afsaddin_Section_447d2682947b40cda4a9cd9"/>
      <w:r>
        <w:rPr>
          <w:rFonts w:ascii="Arial" w:eastAsia="黑体" w:hAnsi="Arial" w:cs="Arial" w:hint="default"/>
          <w:bCs w:val="0"/>
          <w:snapToGrid w:val="0"/>
          <w:color w:val="auto"/>
          <w:sz w:val="21"/>
          <w:szCs w:val="21"/>
        </w:rPr>
        <w:t>30.</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其他权益工具（续）</w:t>
      </w:r>
    </w:p>
    <w:bookmarkEnd w:id="208"/>
    <w:p w:rsidR="00AD5BB5" w:rsidRDefault="00AD5BB5">
      <w:pPr>
        <w:overflowPunct w:val="0"/>
        <w:autoSpaceDE w:val="0"/>
        <w:autoSpaceDN w:val="0"/>
        <w:rPr>
          <w:rFonts w:ascii="Arial" w:eastAsia="黑体" w:hAnsi="Arial" w:cs="Arial"/>
          <w:snapToGrid w:val="0"/>
        </w:rPr>
      </w:pPr>
    </w:p>
    <w:p w:rsidR="00AD5BB5" w:rsidRDefault="00F87FF6">
      <w:pPr>
        <w:overflowPunct w:val="0"/>
        <w:autoSpaceDE w:val="0"/>
        <w:autoSpaceDN w:val="0"/>
        <w:rPr>
          <w:rFonts w:ascii="Arial" w:eastAsia="黑体" w:hAnsi="Arial" w:cs="Arial"/>
          <w:snapToGrid w:val="0"/>
          <w:szCs w:val="21"/>
        </w:rPr>
      </w:pPr>
      <w:bookmarkStart w:id="209" w:name="afsaddin_WithXu_550cc25e2b0c4bc9813fa37f"/>
      <w:bookmarkStart w:id="210" w:name="afsaddin_WithXu_2f020debcd654e39b479fd46"/>
      <w:bookmarkEnd w:id="209"/>
      <w:bookmarkEnd w:id="210"/>
      <w:r>
        <w:rPr>
          <w:rFonts w:ascii="Arial" w:eastAsia="黑体" w:hAnsi="Arial" w:cs="Arial"/>
          <w:snapToGrid w:val="0"/>
          <w:szCs w:val="21"/>
        </w:rPr>
        <w:t>于</w:t>
      </w: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上期资产负债表日</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2022</w:t>
      </w:r>
      <w:r>
        <w:rPr>
          <w:rFonts w:ascii="Arial" w:eastAsia="黑体" w:hAnsi="Arial" w:cs="Arial"/>
          <w:snapToGrid w:val="0"/>
          <w:szCs w:val="21"/>
        </w:rPr>
        <w:t>年</w:t>
      </w:r>
      <w:r>
        <w:rPr>
          <w:rFonts w:ascii="Arial" w:eastAsia="黑体" w:hAnsi="Arial" w:cs="Arial"/>
          <w:snapToGrid w:val="0"/>
          <w:szCs w:val="21"/>
        </w:rPr>
        <w:t>12</w:t>
      </w:r>
      <w:r>
        <w:rPr>
          <w:rFonts w:ascii="Arial" w:eastAsia="黑体" w:hAnsi="Arial" w:cs="Arial"/>
          <w:snapToGrid w:val="0"/>
          <w:szCs w:val="21"/>
        </w:rPr>
        <w:t>月</w:t>
      </w:r>
      <w:r>
        <w:rPr>
          <w:rFonts w:ascii="Arial" w:eastAsia="黑体" w:hAnsi="Arial" w:cs="Arial"/>
          <w:snapToGrid w:val="0"/>
          <w:szCs w:val="21"/>
        </w:rPr>
        <w:t>31</w:t>
      </w:r>
      <w:r>
        <w:rPr>
          <w:rFonts w:ascii="Arial" w:eastAsia="黑体" w:hAnsi="Arial" w:cs="Arial"/>
          <w:snapToGrid w:val="0"/>
          <w:szCs w:val="21"/>
        </w:rPr>
        <w:t>日</w:t>
      </w:r>
      <w:r>
        <w:rPr>
          <w:rFonts w:ascii="Arial" w:eastAsia="黑体" w:hAnsi="Arial" w:cs="Arial"/>
          <w:snapToGrid w:val="0"/>
          <w:szCs w:val="21"/>
        </w:rPr>
        <w:fldChar w:fldCharType="end"/>
      </w:r>
      <w:r>
        <w:rPr>
          <w:rFonts w:ascii="Arial" w:eastAsia="黑体" w:hAnsi="Arial" w:cs="Arial"/>
          <w:snapToGrid w:val="0"/>
          <w:szCs w:val="21"/>
        </w:rPr>
        <w:t>，本集团发行在外的无固定期限资本债券具体情况如下：</w:t>
      </w:r>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2dff125a-7e6a-4716-9d15-b1c62f7ee12c"/>
        <w:tblDescription w:val="{&quot;UUID&quot;:&quot;afsaddin_tabledata_2_56437_2dff125a-7e6a-4716-9d15-b1c62f7ee12c&quot;,&quot;TitleRowCount&quot;:2,&quot;SplitedTable&quot;:false,&quot;FirstTableId&quot;:&quot;2dff125a-7e6a-4716-9d15-b1c62f7ee12c&quot;}"/>
      </w:tblPr>
      <w:tblGrid>
        <w:gridCol w:w="2450"/>
        <w:gridCol w:w="126"/>
        <w:gridCol w:w="1736"/>
        <w:gridCol w:w="98"/>
        <w:gridCol w:w="126"/>
        <w:gridCol w:w="1749"/>
        <w:gridCol w:w="84"/>
        <w:gridCol w:w="126"/>
        <w:gridCol w:w="1737"/>
        <w:gridCol w:w="107"/>
      </w:tblGrid>
      <w:tr w:rsidR="00AD5BB5">
        <w:tc>
          <w:tcPr>
            <w:tcW w:w="2450"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26"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3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对比会计期间</w:instrText>
            </w:r>
            <w:r>
              <w:rPr>
                <w:rFonts w:ascii="Arial" w:eastAsia="黑体" w:hAnsi="Arial" w:cs="Arial"/>
                <w:szCs w:val="21"/>
              </w:rPr>
              <w:instrText xml:space="preserve"> </w:instrText>
            </w:r>
            <w:r>
              <w:rPr>
                <w:rFonts w:ascii="Arial" w:eastAsia="黑体" w:hAnsi="Arial" w:cs="Arial"/>
                <w:szCs w:val="21"/>
              </w:rPr>
              <w:fldChar w:fldCharType="separate"/>
            </w:r>
            <w:r>
              <w:rPr>
                <w:rFonts w:ascii="Arial" w:eastAsia="黑体" w:hAnsi="Arial" w:cs="Arial"/>
                <w:szCs w:val="21"/>
              </w:rPr>
              <w:t>2022</w:t>
            </w:r>
            <w:r>
              <w:rPr>
                <w:rFonts w:ascii="Arial" w:eastAsia="黑体" w:hAnsi="Arial" w:cs="Arial"/>
                <w:szCs w:val="21"/>
              </w:rPr>
              <w:fldChar w:fldCharType="end"/>
            </w:r>
            <w:r>
              <w:rPr>
                <w:rFonts w:ascii="Arial" w:eastAsia="黑体" w:hAnsi="Arial" w:cs="Arial"/>
                <w:szCs w:val="21"/>
              </w:rPr>
              <w:t>年</w:t>
            </w:r>
            <w:r>
              <w:rPr>
                <w:rFonts w:ascii="Arial" w:eastAsia="黑体" w:hAnsi="Arial" w:cs="Arial"/>
                <w:szCs w:val="21"/>
              </w:rPr>
              <w:t>1</w:t>
            </w:r>
            <w:r>
              <w:rPr>
                <w:rFonts w:ascii="Arial" w:eastAsia="黑体" w:hAnsi="Arial" w:cs="Arial"/>
                <w:szCs w:val="21"/>
              </w:rPr>
              <w:t>月</w:t>
            </w:r>
            <w:r>
              <w:rPr>
                <w:rFonts w:ascii="Arial" w:eastAsia="黑体" w:hAnsi="Arial" w:cs="Arial"/>
                <w:szCs w:val="21"/>
              </w:rPr>
              <w:t>1</w:t>
            </w:r>
            <w:r>
              <w:rPr>
                <w:rFonts w:ascii="Arial" w:eastAsia="黑体" w:hAnsi="Arial" w:cs="Arial"/>
                <w:szCs w:val="21"/>
              </w:rPr>
              <w:t>日</w:t>
            </w: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26"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4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本年增减变动</w:t>
            </w:r>
          </w:p>
        </w:tc>
        <w:tc>
          <w:tcPr>
            <w:tcW w:w="84"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26"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3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2022</w:t>
            </w:r>
            <w:r>
              <w:rPr>
                <w:rFonts w:ascii="Arial" w:eastAsia="黑体" w:hAnsi="Arial" w:cs="Arial"/>
                <w:szCs w:val="21"/>
              </w:rPr>
              <w:t>年</w:t>
            </w:r>
            <w:r>
              <w:rPr>
                <w:rFonts w:ascii="Arial" w:eastAsia="黑体" w:hAnsi="Arial" w:cs="Arial"/>
                <w:szCs w:val="21"/>
              </w:rPr>
              <w:t>12</w:t>
            </w:r>
            <w:r>
              <w:rPr>
                <w:rFonts w:ascii="Arial" w:eastAsia="黑体" w:hAnsi="Arial" w:cs="Arial"/>
                <w:szCs w:val="21"/>
              </w:rPr>
              <w:t>月</w:t>
            </w:r>
            <w:r>
              <w:rPr>
                <w:rFonts w:ascii="Arial" w:eastAsia="黑体" w:hAnsi="Arial" w:cs="Arial"/>
                <w:szCs w:val="21"/>
              </w:rPr>
              <w:t>31</w:t>
            </w:r>
            <w:r>
              <w:rPr>
                <w:rFonts w:ascii="Arial" w:eastAsia="黑体" w:hAnsi="Arial" w:cs="Arial"/>
                <w:szCs w:val="21"/>
              </w:rPr>
              <w:t>日</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2450" w:type="dxa"/>
            <w:tcBorders>
              <w:top w:val="nil"/>
              <w:left w:val="nil"/>
              <w:bottom w:val="nil"/>
              <w:right w:val="nil"/>
            </w:tcBorders>
            <w:vAlign w:val="bottom"/>
          </w:tcPr>
          <w:p w:rsidR="00AD5BB5" w:rsidRDefault="00AD5BB5">
            <w:pPr>
              <w:autoSpaceDE w:val="0"/>
              <w:autoSpaceDN w:val="0"/>
              <w:ind w:left="315" w:hangingChars="150" w:hanging="315"/>
              <w:jc w:val="right"/>
              <w:rPr>
                <w:rFonts w:ascii="Arial" w:eastAsia="黑体" w:hAnsi="Arial" w:cs="Arial"/>
                <w:szCs w:val="21"/>
              </w:rPr>
            </w:pPr>
          </w:p>
        </w:tc>
        <w:tc>
          <w:tcPr>
            <w:tcW w:w="126"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736"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账面价值</w:t>
            </w:r>
          </w:p>
        </w:tc>
        <w:tc>
          <w:tcPr>
            <w:tcW w:w="9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26"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749"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账面价值</w:t>
            </w:r>
          </w:p>
        </w:tc>
        <w:tc>
          <w:tcPr>
            <w:tcW w:w="84"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26"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737"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账面价值</w:t>
            </w:r>
          </w:p>
        </w:tc>
        <w:tc>
          <w:tcPr>
            <w:tcW w:w="10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r>
      <w:tr w:rsidR="00AD5BB5">
        <w:tc>
          <w:tcPr>
            <w:tcW w:w="2450" w:type="dxa"/>
            <w:tcBorders>
              <w:top w:val="nil"/>
              <w:left w:val="nil"/>
              <w:bottom w:val="nil"/>
              <w:right w:val="nil"/>
            </w:tcBorders>
            <w:vAlign w:val="bottom"/>
          </w:tcPr>
          <w:p w:rsidR="00AD5BB5" w:rsidRDefault="00F87FF6">
            <w:pPr>
              <w:autoSpaceDE w:val="0"/>
              <w:autoSpaceDN w:val="0"/>
              <w:ind w:left="211" w:hangingChars="100" w:hanging="211"/>
              <w:rPr>
                <w:rFonts w:ascii="Arial" w:eastAsia="黑体" w:hAnsi="Arial" w:cs="Arial"/>
                <w:b/>
                <w:bCs/>
                <w:szCs w:val="21"/>
              </w:rPr>
            </w:pPr>
            <w:r>
              <w:rPr>
                <w:rFonts w:ascii="Arial" w:eastAsia="黑体" w:hAnsi="Arial" w:cs="Arial"/>
                <w:b/>
                <w:bCs/>
                <w:szCs w:val="21"/>
              </w:rPr>
              <w:t>发行无固定期限资本债券</w:t>
            </w:r>
            <w:r>
              <w:rPr>
                <w:rFonts w:ascii="Arial" w:eastAsia="黑体" w:hAnsi="Arial" w:cs="Arial"/>
                <w:b/>
                <w:bCs/>
                <w:szCs w:val="21"/>
              </w:rPr>
              <w:t xml:space="preserve">  </w:t>
            </w:r>
          </w:p>
        </w:tc>
        <w:tc>
          <w:tcPr>
            <w:tcW w:w="126"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36"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26"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49"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84"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26"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3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2450"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20</w:t>
            </w:r>
            <w:r>
              <w:rPr>
                <w:rFonts w:ascii="Arial" w:eastAsia="黑体" w:hAnsi="Arial" w:cs="Arial"/>
                <w:szCs w:val="21"/>
              </w:rPr>
              <w:t>厦门银行</w:t>
            </w:r>
          </w:p>
        </w:tc>
        <w:tc>
          <w:tcPr>
            <w:tcW w:w="126"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36"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26"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49"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84"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26"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3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2450" w:type="dxa"/>
            <w:tcBorders>
              <w:top w:val="nil"/>
              <w:left w:val="nil"/>
              <w:bottom w:val="nil"/>
              <w:right w:val="nil"/>
            </w:tcBorders>
            <w:vAlign w:val="bottom"/>
          </w:tcPr>
          <w:p w:rsidR="00AD5BB5" w:rsidRDefault="00F87FF6">
            <w:pPr>
              <w:autoSpaceDE w:val="0"/>
              <w:autoSpaceDN w:val="0"/>
              <w:ind w:leftChars="95" w:left="409" w:hangingChars="100" w:hanging="210"/>
              <w:rPr>
                <w:rFonts w:ascii="Arial" w:eastAsia="黑体" w:hAnsi="Arial" w:cs="Arial"/>
                <w:szCs w:val="21"/>
              </w:rPr>
            </w:pPr>
            <w:r>
              <w:rPr>
                <w:rFonts w:ascii="Arial" w:eastAsia="黑体" w:hAnsi="Arial" w:cs="Arial"/>
                <w:szCs w:val="21"/>
              </w:rPr>
              <w:t>永续债</w:t>
            </w:r>
            <w:r>
              <w:rPr>
                <w:rFonts w:ascii="Arial" w:eastAsia="黑体" w:hAnsi="Arial" w:cs="Arial"/>
                <w:szCs w:val="21"/>
              </w:rPr>
              <w:t>01</w:t>
            </w:r>
            <w:r>
              <w:rPr>
                <w:rFonts w:ascii="Arial" w:eastAsia="黑体" w:hAnsi="Arial" w:cs="Arial"/>
                <w:szCs w:val="21"/>
              </w:rPr>
              <w:t>（注</w:t>
            </w:r>
            <w:r>
              <w:rPr>
                <w:rFonts w:ascii="Arial" w:eastAsia="黑体" w:hAnsi="Arial" w:cs="Arial"/>
                <w:szCs w:val="21"/>
              </w:rPr>
              <w:t>1</w:t>
            </w:r>
            <w:r>
              <w:rPr>
                <w:rFonts w:ascii="Arial" w:eastAsia="黑体" w:hAnsi="Arial" w:cs="Arial"/>
                <w:szCs w:val="21"/>
              </w:rPr>
              <w:t>）</w:t>
            </w:r>
          </w:p>
        </w:tc>
        <w:tc>
          <w:tcPr>
            <w:tcW w:w="126"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36"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999,421,132.08</w:t>
            </w: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26"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49"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w:t>
            </w:r>
          </w:p>
        </w:tc>
        <w:tc>
          <w:tcPr>
            <w:tcW w:w="84"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26"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3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999,421,132.08</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2450"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21</w:t>
            </w:r>
            <w:r>
              <w:rPr>
                <w:rFonts w:ascii="Arial" w:eastAsia="黑体" w:hAnsi="Arial" w:cs="Arial"/>
                <w:szCs w:val="21"/>
              </w:rPr>
              <w:t>厦门银行</w:t>
            </w:r>
          </w:p>
        </w:tc>
        <w:tc>
          <w:tcPr>
            <w:tcW w:w="126"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36"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26"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49"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84"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26"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3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2450" w:type="dxa"/>
            <w:tcBorders>
              <w:top w:val="nil"/>
              <w:left w:val="nil"/>
              <w:bottom w:val="nil"/>
              <w:right w:val="nil"/>
            </w:tcBorders>
            <w:vAlign w:val="bottom"/>
          </w:tcPr>
          <w:p w:rsidR="00AD5BB5" w:rsidRDefault="00F87FF6">
            <w:pPr>
              <w:autoSpaceDE w:val="0"/>
              <w:autoSpaceDN w:val="0"/>
              <w:ind w:leftChars="95" w:left="409" w:hangingChars="100" w:hanging="210"/>
              <w:rPr>
                <w:rFonts w:ascii="Arial" w:eastAsia="黑体" w:hAnsi="Arial" w:cs="Arial"/>
                <w:szCs w:val="21"/>
              </w:rPr>
            </w:pPr>
            <w:r>
              <w:rPr>
                <w:rFonts w:ascii="Arial" w:eastAsia="黑体" w:hAnsi="Arial" w:cs="Arial"/>
                <w:szCs w:val="21"/>
              </w:rPr>
              <w:t>永续债</w:t>
            </w:r>
            <w:r>
              <w:rPr>
                <w:rFonts w:ascii="Arial" w:eastAsia="黑体" w:hAnsi="Arial" w:cs="Arial"/>
                <w:szCs w:val="21"/>
              </w:rPr>
              <w:t>01</w:t>
            </w:r>
            <w:r>
              <w:rPr>
                <w:rFonts w:ascii="Arial" w:eastAsia="黑体" w:hAnsi="Arial" w:cs="Arial"/>
                <w:szCs w:val="21"/>
              </w:rPr>
              <w:t>（注</w:t>
            </w:r>
            <w:r>
              <w:rPr>
                <w:rFonts w:ascii="Arial" w:eastAsia="黑体" w:hAnsi="Arial" w:cs="Arial"/>
                <w:szCs w:val="21"/>
              </w:rPr>
              <w:t>2</w:t>
            </w:r>
            <w:r>
              <w:rPr>
                <w:rFonts w:ascii="Arial" w:eastAsia="黑体" w:hAnsi="Arial" w:cs="Arial"/>
                <w:szCs w:val="21"/>
              </w:rPr>
              <w:t>）</w:t>
            </w:r>
          </w:p>
        </w:tc>
        <w:tc>
          <w:tcPr>
            <w:tcW w:w="126"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3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1,499,131,698.11</w:t>
            </w: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26"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4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w:t>
            </w:r>
          </w:p>
        </w:tc>
        <w:tc>
          <w:tcPr>
            <w:tcW w:w="84"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26"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3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1,499,131,698.11</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2450"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26"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3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26"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4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84"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26"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3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2450"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合计</w:t>
            </w:r>
          </w:p>
        </w:tc>
        <w:tc>
          <w:tcPr>
            <w:tcW w:w="126"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3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2,498,552,830.19</w:t>
            </w: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26"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4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w:t>
            </w:r>
          </w:p>
        </w:tc>
        <w:tc>
          <w:tcPr>
            <w:tcW w:w="84"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26"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73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2,498,552,830.19</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bl>
    <w:p w:rsidR="00AD5BB5" w:rsidRDefault="00AD5BB5">
      <w:pPr>
        <w:overflowPunct w:val="0"/>
        <w:autoSpaceDE w:val="0"/>
        <w:autoSpaceDN w:val="0"/>
        <w:ind w:leftChars="6" w:left="601" w:hangingChars="280" w:hanging="588"/>
        <w:rPr>
          <w:rFonts w:ascii="Arial" w:eastAsia="黑体" w:hAnsi="Arial" w:cs="Arial"/>
          <w:szCs w:val="21"/>
        </w:rPr>
      </w:pPr>
    </w:p>
    <w:p w:rsidR="00AD5BB5" w:rsidRDefault="00F87FF6">
      <w:pPr>
        <w:overflowPunct w:val="0"/>
        <w:autoSpaceDE w:val="0"/>
        <w:autoSpaceDN w:val="0"/>
        <w:ind w:leftChars="6" w:left="565" w:hangingChars="263" w:hanging="552"/>
        <w:rPr>
          <w:rFonts w:ascii="Arial" w:eastAsia="黑体" w:hAnsi="Arial" w:cs="Arial"/>
          <w:szCs w:val="21"/>
        </w:rPr>
      </w:pPr>
      <w:r>
        <w:rPr>
          <w:rFonts w:ascii="Arial" w:eastAsia="黑体" w:hAnsi="Arial" w:cs="Arial"/>
          <w:szCs w:val="21"/>
        </w:rPr>
        <w:t>注</w:t>
      </w:r>
      <w:r>
        <w:rPr>
          <w:rFonts w:ascii="Arial" w:eastAsia="黑体" w:hAnsi="Arial" w:cs="Arial"/>
          <w:szCs w:val="21"/>
        </w:rPr>
        <w:t>1</w:t>
      </w:r>
      <w:r>
        <w:rPr>
          <w:rFonts w:ascii="Arial" w:eastAsia="黑体" w:hAnsi="Arial" w:cs="Arial"/>
          <w:szCs w:val="21"/>
        </w:rPr>
        <w:t>：经中国相关监管机构的批准，本行于</w:t>
      </w:r>
      <w:r>
        <w:rPr>
          <w:rFonts w:ascii="Arial" w:eastAsia="黑体" w:hAnsi="Arial" w:cs="Arial"/>
          <w:szCs w:val="21"/>
        </w:rPr>
        <w:t>2020</w:t>
      </w:r>
      <w:r>
        <w:rPr>
          <w:rFonts w:ascii="Arial" w:eastAsia="黑体" w:hAnsi="Arial" w:cs="Arial"/>
          <w:szCs w:val="21"/>
        </w:rPr>
        <w:t>年</w:t>
      </w:r>
      <w:r>
        <w:rPr>
          <w:rFonts w:ascii="Arial" w:eastAsia="黑体" w:hAnsi="Arial" w:cs="Arial"/>
          <w:szCs w:val="21"/>
        </w:rPr>
        <w:t>12</w:t>
      </w:r>
      <w:r>
        <w:rPr>
          <w:rFonts w:ascii="Arial" w:eastAsia="黑体" w:hAnsi="Arial" w:cs="Arial"/>
          <w:szCs w:val="21"/>
        </w:rPr>
        <w:t>月</w:t>
      </w:r>
      <w:r>
        <w:rPr>
          <w:rFonts w:ascii="Arial" w:eastAsia="黑体" w:hAnsi="Arial" w:cs="Arial"/>
          <w:szCs w:val="21"/>
        </w:rPr>
        <w:t>8</w:t>
      </w:r>
      <w:r>
        <w:rPr>
          <w:rFonts w:ascii="Arial" w:eastAsia="黑体" w:hAnsi="Arial" w:cs="Arial"/>
          <w:szCs w:val="21"/>
        </w:rPr>
        <w:t>日在全国银行间债券市场发行总额为</w:t>
      </w:r>
      <w:r>
        <w:rPr>
          <w:rFonts w:ascii="Arial" w:eastAsia="黑体" w:hAnsi="Arial" w:cs="Arial"/>
          <w:szCs w:val="21"/>
        </w:rPr>
        <w:t>10</w:t>
      </w:r>
      <w:r>
        <w:rPr>
          <w:rFonts w:ascii="Arial" w:eastAsia="黑体" w:hAnsi="Arial" w:cs="Arial"/>
          <w:szCs w:val="21"/>
        </w:rPr>
        <w:t>亿元人民币的无固定期限资本债券，并于</w:t>
      </w:r>
      <w:r>
        <w:rPr>
          <w:rFonts w:ascii="Arial" w:eastAsia="黑体" w:hAnsi="Arial" w:cs="Arial"/>
          <w:szCs w:val="21"/>
        </w:rPr>
        <w:t>2020</w:t>
      </w:r>
      <w:r>
        <w:rPr>
          <w:rFonts w:ascii="Arial" w:eastAsia="黑体" w:hAnsi="Arial" w:cs="Arial"/>
          <w:szCs w:val="21"/>
        </w:rPr>
        <w:t>年</w:t>
      </w:r>
      <w:r>
        <w:rPr>
          <w:rFonts w:ascii="Arial" w:eastAsia="黑体" w:hAnsi="Arial" w:cs="Arial"/>
          <w:szCs w:val="21"/>
        </w:rPr>
        <w:t>12</w:t>
      </w:r>
      <w:r>
        <w:rPr>
          <w:rFonts w:ascii="Arial" w:eastAsia="黑体" w:hAnsi="Arial" w:cs="Arial"/>
          <w:szCs w:val="21"/>
        </w:rPr>
        <w:t>月</w:t>
      </w:r>
      <w:r>
        <w:rPr>
          <w:rFonts w:ascii="Arial" w:eastAsia="黑体" w:hAnsi="Arial" w:cs="Arial"/>
          <w:szCs w:val="21"/>
        </w:rPr>
        <w:t>10</w:t>
      </w:r>
      <w:r>
        <w:rPr>
          <w:rFonts w:ascii="Arial" w:eastAsia="黑体" w:hAnsi="Arial" w:cs="Arial"/>
          <w:szCs w:val="21"/>
        </w:rPr>
        <w:t>日发行完毕。该债券的单位票面金额为人民币</w:t>
      </w:r>
      <w:r>
        <w:rPr>
          <w:rFonts w:ascii="Arial" w:eastAsia="黑体" w:hAnsi="Arial" w:cs="Arial"/>
          <w:szCs w:val="21"/>
        </w:rPr>
        <w:t>100</w:t>
      </w:r>
      <w:r>
        <w:rPr>
          <w:rFonts w:ascii="Arial" w:eastAsia="黑体" w:hAnsi="Arial" w:cs="Arial"/>
          <w:szCs w:val="21"/>
        </w:rPr>
        <w:t>元，前</w:t>
      </w:r>
      <w:r>
        <w:rPr>
          <w:rFonts w:ascii="Arial" w:eastAsia="黑体" w:hAnsi="Arial" w:cs="Arial"/>
          <w:szCs w:val="21"/>
        </w:rPr>
        <w:t>5</w:t>
      </w:r>
      <w:r>
        <w:rPr>
          <w:rFonts w:ascii="Arial" w:eastAsia="黑体" w:hAnsi="Arial" w:cs="Arial"/>
          <w:szCs w:val="21"/>
        </w:rPr>
        <w:t>年票面利率为</w:t>
      </w:r>
      <w:r>
        <w:rPr>
          <w:rFonts w:ascii="Arial" w:eastAsia="黑体" w:hAnsi="Arial" w:cs="Arial"/>
          <w:szCs w:val="21"/>
        </w:rPr>
        <w:t>4.80%</w:t>
      </w:r>
      <w:r>
        <w:rPr>
          <w:rFonts w:ascii="Arial" w:eastAsia="黑体" w:hAnsi="Arial" w:cs="Arial"/>
          <w:szCs w:val="21"/>
        </w:rPr>
        <w:t>，每</w:t>
      </w:r>
      <w:r>
        <w:rPr>
          <w:rFonts w:ascii="Arial" w:eastAsia="黑体" w:hAnsi="Arial" w:cs="Arial"/>
          <w:szCs w:val="21"/>
        </w:rPr>
        <w:t>5</w:t>
      </w:r>
      <w:r>
        <w:rPr>
          <w:rFonts w:ascii="Arial" w:eastAsia="黑体" w:hAnsi="Arial" w:cs="Arial"/>
          <w:szCs w:val="21"/>
        </w:rPr>
        <w:t>年调整一次。</w:t>
      </w:r>
    </w:p>
    <w:p w:rsidR="00AD5BB5" w:rsidRDefault="00AD5BB5">
      <w:pPr>
        <w:overflowPunct w:val="0"/>
        <w:autoSpaceDE w:val="0"/>
        <w:autoSpaceDN w:val="0"/>
        <w:rPr>
          <w:rFonts w:ascii="Arial" w:eastAsia="黑体" w:hAnsi="Arial" w:cs="Arial"/>
          <w:szCs w:val="21"/>
        </w:rPr>
      </w:pPr>
    </w:p>
    <w:p w:rsidR="00AD5BB5" w:rsidRDefault="00F87FF6">
      <w:pPr>
        <w:overflowPunct w:val="0"/>
        <w:autoSpaceDE w:val="0"/>
        <w:autoSpaceDN w:val="0"/>
        <w:ind w:leftChars="6" w:left="565" w:hangingChars="263" w:hanging="552"/>
        <w:rPr>
          <w:rFonts w:ascii="Arial" w:eastAsia="黑体" w:hAnsi="Arial" w:cs="Arial"/>
          <w:szCs w:val="21"/>
        </w:rPr>
      </w:pPr>
      <w:r>
        <w:rPr>
          <w:rFonts w:ascii="Arial" w:eastAsia="黑体" w:hAnsi="Arial" w:cs="Arial"/>
          <w:szCs w:val="21"/>
        </w:rPr>
        <w:t>注</w:t>
      </w:r>
      <w:r>
        <w:rPr>
          <w:rFonts w:ascii="Arial" w:eastAsia="黑体" w:hAnsi="Arial" w:cs="Arial"/>
          <w:szCs w:val="21"/>
        </w:rPr>
        <w:t>2</w:t>
      </w:r>
      <w:r>
        <w:rPr>
          <w:rFonts w:ascii="Arial" w:eastAsia="黑体" w:hAnsi="Arial" w:cs="Arial"/>
          <w:szCs w:val="21"/>
        </w:rPr>
        <w:t>：经中国相关监管机构的批准，本行于</w:t>
      </w:r>
      <w:r>
        <w:rPr>
          <w:rFonts w:ascii="Arial" w:eastAsia="黑体" w:hAnsi="Arial" w:cs="Arial"/>
          <w:szCs w:val="21"/>
        </w:rPr>
        <w:t>2021</w:t>
      </w:r>
      <w:r>
        <w:rPr>
          <w:rFonts w:ascii="Arial" w:eastAsia="黑体" w:hAnsi="Arial" w:cs="Arial"/>
          <w:szCs w:val="21"/>
        </w:rPr>
        <w:t>年</w:t>
      </w:r>
      <w:r>
        <w:rPr>
          <w:rFonts w:ascii="Arial" w:eastAsia="黑体" w:hAnsi="Arial" w:cs="Arial"/>
          <w:szCs w:val="21"/>
        </w:rPr>
        <w:t>3</w:t>
      </w:r>
      <w:r>
        <w:rPr>
          <w:rFonts w:ascii="Arial" w:eastAsia="黑体" w:hAnsi="Arial" w:cs="Arial"/>
          <w:szCs w:val="21"/>
        </w:rPr>
        <w:t>月</w:t>
      </w:r>
      <w:r>
        <w:rPr>
          <w:rFonts w:ascii="Arial" w:eastAsia="黑体" w:hAnsi="Arial" w:cs="Arial"/>
          <w:szCs w:val="21"/>
        </w:rPr>
        <w:t>24</w:t>
      </w:r>
      <w:r>
        <w:rPr>
          <w:rFonts w:ascii="Arial" w:eastAsia="黑体" w:hAnsi="Arial" w:cs="Arial"/>
          <w:szCs w:val="21"/>
        </w:rPr>
        <w:t>日在全国银行间债券市场发行总额为</w:t>
      </w:r>
      <w:r>
        <w:rPr>
          <w:rFonts w:ascii="Arial" w:eastAsia="黑体" w:hAnsi="Arial" w:cs="Arial"/>
          <w:szCs w:val="21"/>
        </w:rPr>
        <w:t>15</w:t>
      </w:r>
      <w:r>
        <w:rPr>
          <w:rFonts w:ascii="Arial" w:eastAsia="黑体" w:hAnsi="Arial" w:cs="Arial"/>
          <w:szCs w:val="21"/>
        </w:rPr>
        <w:t>亿元人民币的无固定期限资本债券，并于</w:t>
      </w:r>
      <w:r>
        <w:rPr>
          <w:rFonts w:ascii="Arial" w:eastAsia="黑体" w:hAnsi="Arial" w:cs="Arial"/>
          <w:szCs w:val="21"/>
        </w:rPr>
        <w:t>2021</w:t>
      </w:r>
      <w:r>
        <w:rPr>
          <w:rFonts w:ascii="Arial" w:eastAsia="黑体" w:hAnsi="Arial" w:cs="Arial"/>
          <w:szCs w:val="21"/>
        </w:rPr>
        <w:t>年</w:t>
      </w:r>
      <w:r>
        <w:rPr>
          <w:rFonts w:ascii="Arial" w:eastAsia="黑体" w:hAnsi="Arial" w:cs="Arial"/>
          <w:szCs w:val="21"/>
        </w:rPr>
        <w:t>3</w:t>
      </w:r>
      <w:r>
        <w:rPr>
          <w:rFonts w:ascii="Arial" w:eastAsia="黑体" w:hAnsi="Arial" w:cs="Arial"/>
          <w:szCs w:val="21"/>
        </w:rPr>
        <w:t>月</w:t>
      </w:r>
      <w:r>
        <w:rPr>
          <w:rFonts w:ascii="Arial" w:eastAsia="黑体" w:hAnsi="Arial" w:cs="Arial"/>
          <w:szCs w:val="21"/>
        </w:rPr>
        <w:t>26</w:t>
      </w:r>
      <w:r>
        <w:rPr>
          <w:rFonts w:ascii="Arial" w:eastAsia="黑体" w:hAnsi="Arial" w:cs="Arial"/>
          <w:szCs w:val="21"/>
        </w:rPr>
        <w:t>日发行完毕。该债券的单位票面金额为人民币</w:t>
      </w:r>
      <w:r>
        <w:rPr>
          <w:rFonts w:ascii="Arial" w:eastAsia="黑体" w:hAnsi="Arial" w:cs="Arial"/>
          <w:szCs w:val="21"/>
        </w:rPr>
        <w:t>100</w:t>
      </w:r>
      <w:r>
        <w:rPr>
          <w:rFonts w:ascii="Arial" w:eastAsia="黑体" w:hAnsi="Arial" w:cs="Arial"/>
          <w:szCs w:val="21"/>
        </w:rPr>
        <w:t>元，前</w:t>
      </w:r>
      <w:r>
        <w:rPr>
          <w:rFonts w:ascii="Arial" w:eastAsia="黑体" w:hAnsi="Arial" w:cs="Arial"/>
          <w:szCs w:val="21"/>
        </w:rPr>
        <w:t>5</w:t>
      </w:r>
      <w:r>
        <w:rPr>
          <w:rFonts w:ascii="Arial" w:eastAsia="黑体" w:hAnsi="Arial" w:cs="Arial"/>
          <w:szCs w:val="21"/>
        </w:rPr>
        <w:t>年票面利率为</w:t>
      </w:r>
      <w:r>
        <w:rPr>
          <w:rFonts w:ascii="Arial" w:eastAsia="黑体" w:hAnsi="Arial" w:cs="Arial"/>
          <w:szCs w:val="21"/>
        </w:rPr>
        <w:t>4.80%</w:t>
      </w:r>
      <w:r>
        <w:rPr>
          <w:rFonts w:ascii="Arial" w:eastAsia="黑体" w:hAnsi="Arial" w:cs="Arial"/>
          <w:szCs w:val="21"/>
        </w:rPr>
        <w:t>，每</w:t>
      </w:r>
      <w:r>
        <w:rPr>
          <w:rFonts w:ascii="Arial" w:eastAsia="黑体" w:hAnsi="Arial" w:cs="Arial"/>
          <w:szCs w:val="21"/>
        </w:rPr>
        <w:t>5</w:t>
      </w:r>
      <w:r>
        <w:rPr>
          <w:rFonts w:ascii="Arial" w:eastAsia="黑体" w:hAnsi="Arial" w:cs="Arial"/>
          <w:szCs w:val="21"/>
        </w:rPr>
        <w:t>年调整一次。</w:t>
      </w:r>
    </w:p>
    <w:p w:rsidR="00AD5BB5" w:rsidRDefault="00AD5BB5">
      <w:pPr>
        <w:overflowPunct w:val="0"/>
        <w:autoSpaceDE w:val="0"/>
        <w:autoSpaceDN w:val="0"/>
        <w:rPr>
          <w:rFonts w:ascii="Arial" w:eastAsia="黑体" w:hAnsi="Arial" w:cs="Arial"/>
          <w:szCs w:val="21"/>
        </w:rPr>
      </w:pPr>
    </w:p>
    <w:p w:rsidR="00AD5BB5" w:rsidRDefault="00F87FF6">
      <w:pPr>
        <w:overflowPunct w:val="0"/>
        <w:autoSpaceDE w:val="0"/>
        <w:autoSpaceDN w:val="0"/>
        <w:rPr>
          <w:rFonts w:ascii="Arial" w:eastAsia="黑体" w:hAnsi="Arial" w:cs="Arial"/>
          <w:szCs w:val="21"/>
        </w:rPr>
      </w:pPr>
      <w:r>
        <w:rPr>
          <w:rFonts w:ascii="Arial" w:eastAsia="黑体" w:hAnsi="Arial" w:cs="Arial"/>
          <w:szCs w:val="21"/>
        </w:rPr>
        <w:t>上述债券的存续期与本行持续经营存续期一致。自发行之日起</w:t>
      </w:r>
      <w:r>
        <w:rPr>
          <w:rFonts w:ascii="Arial" w:eastAsia="黑体" w:hAnsi="Arial" w:cs="Arial"/>
          <w:szCs w:val="21"/>
        </w:rPr>
        <w:t>5</w:t>
      </w:r>
      <w:r>
        <w:rPr>
          <w:rFonts w:ascii="Arial" w:eastAsia="黑体" w:hAnsi="Arial" w:cs="Arial"/>
          <w:szCs w:val="21"/>
        </w:rPr>
        <w:t>年后，在满足赎回先决条件且得到</w:t>
      </w:r>
      <w:r>
        <w:rPr>
          <w:rFonts w:ascii="Arial" w:eastAsia="黑体" w:hAnsi="Arial" w:cs="Arial" w:hint="eastAsia"/>
          <w:szCs w:val="21"/>
        </w:rPr>
        <w:t>金融监管总局</w:t>
      </w:r>
      <w:r>
        <w:rPr>
          <w:rFonts w:ascii="Arial" w:eastAsia="黑体" w:hAnsi="Arial" w:cs="Arial"/>
          <w:szCs w:val="21"/>
        </w:rPr>
        <w:t>批准的前提下，本行有权于每年付息日全部或部分赎回该债券。当</w:t>
      </w:r>
      <w:proofErr w:type="gramStart"/>
      <w:r>
        <w:rPr>
          <w:rFonts w:ascii="Arial" w:eastAsia="黑体" w:hAnsi="Arial" w:cs="Arial"/>
          <w:szCs w:val="21"/>
        </w:rPr>
        <w:t>满足减记触发</w:t>
      </w:r>
      <w:proofErr w:type="gramEnd"/>
      <w:r>
        <w:rPr>
          <w:rFonts w:ascii="Arial" w:eastAsia="黑体" w:hAnsi="Arial" w:cs="Arial"/>
          <w:szCs w:val="21"/>
        </w:rPr>
        <w:t>条件时，本行有权在</w:t>
      </w:r>
      <w:proofErr w:type="gramStart"/>
      <w:r>
        <w:rPr>
          <w:rFonts w:ascii="Arial" w:eastAsia="黑体" w:hAnsi="Arial" w:cs="Arial"/>
          <w:szCs w:val="21"/>
        </w:rPr>
        <w:t>报</w:t>
      </w:r>
      <w:r>
        <w:rPr>
          <w:rFonts w:ascii="Arial" w:eastAsia="黑体" w:hAnsi="Arial" w:cs="Arial" w:hint="eastAsia"/>
          <w:szCs w:val="21"/>
        </w:rPr>
        <w:t>金融</w:t>
      </w:r>
      <w:proofErr w:type="gramEnd"/>
      <w:r>
        <w:rPr>
          <w:rFonts w:ascii="Arial" w:eastAsia="黑体" w:hAnsi="Arial" w:cs="Arial" w:hint="eastAsia"/>
          <w:szCs w:val="21"/>
        </w:rPr>
        <w:t>监管总局</w:t>
      </w:r>
      <w:r>
        <w:rPr>
          <w:rFonts w:ascii="Arial" w:eastAsia="黑体" w:hAnsi="Arial" w:cs="Arial"/>
          <w:szCs w:val="21"/>
        </w:rPr>
        <w:t>并获同意、但无需获得债券持有人同意的情况下，将届时已发行且存续的上述债券按照票面总金额全部或部分减记。该债券本金的清偿顺序在存款人、一般债权人和处于高于本年债券顺位的次级债务之后，本行股东持有的所有类别股份之前。</w:t>
      </w:r>
    </w:p>
    <w:p w:rsidR="00AD5BB5" w:rsidRDefault="00AD5BB5">
      <w:pPr>
        <w:overflowPunct w:val="0"/>
        <w:autoSpaceDE w:val="0"/>
        <w:autoSpaceDN w:val="0"/>
        <w:rPr>
          <w:rFonts w:ascii="Arial" w:eastAsia="黑体" w:hAnsi="Arial" w:cs="Arial"/>
          <w:szCs w:val="21"/>
        </w:rPr>
      </w:pPr>
    </w:p>
    <w:p w:rsidR="00AD5BB5" w:rsidRDefault="00F87FF6">
      <w:pPr>
        <w:overflowPunct w:val="0"/>
        <w:autoSpaceDE w:val="0"/>
        <w:autoSpaceDN w:val="0"/>
        <w:rPr>
          <w:rFonts w:ascii="Arial" w:eastAsia="黑体" w:hAnsi="Arial" w:cs="Arial"/>
          <w:szCs w:val="21"/>
        </w:rPr>
      </w:pPr>
      <w:r>
        <w:rPr>
          <w:rFonts w:ascii="Arial" w:eastAsia="黑体" w:hAnsi="Arial" w:cs="Arial"/>
          <w:szCs w:val="21"/>
        </w:rPr>
        <w:t>上述债券采取非累积利息支付方式，本行有权部分或全部取消该债券的派息，且不构成违约事件。本行可以自由支配取消派息的收益用于偿付其他到期债务，但直至恢复派发全额利息前，本行将不会向普通股股东分配利润。</w:t>
      </w:r>
    </w:p>
    <w:p w:rsidR="00AD5BB5" w:rsidRDefault="00AD5BB5">
      <w:pPr>
        <w:overflowPunct w:val="0"/>
        <w:autoSpaceDE w:val="0"/>
        <w:autoSpaceDN w:val="0"/>
        <w:rPr>
          <w:rFonts w:ascii="Arial" w:eastAsia="黑体" w:hAnsi="Arial" w:cs="Arial"/>
          <w:szCs w:val="21"/>
        </w:rPr>
      </w:pPr>
    </w:p>
    <w:p w:rsidR="00AD5BB5" w:rsidRDefault="00F87FF6">
      <w:pPr>
        <w:overflowPunct w:val="0"/>
        <w:autoSpaceDE w:val="0"/>
        <w:autoSpaceDN w:val="0"/>
        <w:rPr>
          <w:rFonts w:ascii="Arial" w:eastAsia="黑体" w:hAnsi="Arial" w:cs="Arial"/>
          <w:szCs w:val="21"/>
        </w:rPr>
      </w:pPr>
      <w:r>
        <w:rPr>
          <w:rFonts w:ascii="Arial" w:eastAsia="黑体" w:hAnsi="Arial" w:cs="Arial"/>
          <w:szCs w:val="21"/>
        </w:rPr>
        <w:t>本行上述债券发行所募集的资金在扣除发行费用后，全部用于补充本行其他一级资本，提高本行资本充足率。</w:t>
      </w:r>
    </w:p>
    <w:p w:rsidR="00AD5BB5" w:rsidRDefault="00AD5BB5">
      <w:pPr>
        <w:overflowPunct w:val="0"/>
        <w:autoSpaceDE w:val="0"/>
        <w:autoSpaceDN w:val="0"/>
        <w:rPr>
          <w:rFonts w:ascii="Arial" w:eastAsia="黑体" w:hAnsi="Arial" w:cs="Arial"/>
          <w:szCs w:val="21"/>
        </w:rPr>
      </w:pPr>
    </w:p>
    <w:p w:rsidR="00AD5BB5" w:rsidRDefault="00F87FF6">
      <w:pPr>
        <w:pStyle w:val="af5"/>
        <w:keepNext w:val="0"/>
        <w:keepLines w:val="0"/>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r>
        <w:rPr>
          <w:rFonts w:ascii="Arial" w:eastAsia="黑体" w:hAnsi="Arial" w:cs="Arial" w:hint="default"/>
          <w:bCs w:val="0"/>
          <w:snapToGrid w:val="0"/>
          <w:color w:val="auto"/>
          <w:sz w:val="21"/>
          <w:szCs w:val="21"/>
        </w:rPr>
        <w:t>31.</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资本公积</w:t>
      </w:r>
    </w:p>
    <w:p w:rsidR="00AD5BB5" w:rsidRDefault="00AD5BB5">
      <w:pPr>
        <w:overflowPunct w:val="0"/>
        <w:autoSpaceDE w:val="0"/>
        <w:autoSpaceDN w:val="0"/>
        <w:rPr>
          <w:rFonts w:ascii="Arial" w:eastAsia="黑体" w:hAnsi="Arial" w:cs="Arial"/>
          <w:snapToGrid w:val="0"/>
          <w:szCs w:val="21"/>
        </w:rPr>
      </w:pPr>
    </w:p>
    <w:tbl>
      <w:tblPr>
        <w:tblW w:w="8335" w:type="dxa"/>
        <w:tblLayout w:type="fixed"/>
        <w:tblCellMar>
          <w:left w:w="0" w:type="dxa"/>
          <w:right w:w="0" w:type="dxa"/>
        </w:tblCellMar>
        <w:tblLook w:val="04A0" w:firstRow="1" w:lastRow="0" w:firstColumn="1" w:lastColumn="0" w:noHBand="0" w:noVBand="1"/>
        <w:tblCaption w:val="52f10590-1f0c-49cd-be43-4f0b3f6fe808"/>
      </w:tblPr>
      <w:tblGrid>
        <w:gridCol w:w="3544"/>
        <w:gridCol w:w="113"/>
        <w:gridCol w:w="2297"/>
        <w:gridCol w:w="113"/>
        <w:gridCol w:w="113"/>
        <w:gridCol w:w="2042"/>
        <w:gridCol w:w="113"/>
      </w:tblGrid>
      <w:tr w:rsidR="00AD5BB5">
        <w:tc>
          <w:tcPr>
            <w:tcW w:w="3544"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29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fldChar w:fldCharType="begin"/>
            </w:r>
            <w:r>
              <w:rPr>
                <w:rFonts w:ascii="Arial" w:eastAsia="黑体" w:hAnsi="Arial" w:cs="Arial"/>
                <w:sz w:val="20"/>
              </w:rPr>
              <w:instrText xml:space="preserve"> DOCPROPERTY </w:instrText>
            </w:r>
            <w:r>
              <w:rPr>
                <w:rFonts w:ascii="Arial" w:eastAsia="黑体" w:hAnsi="Arial" w:cs="Arial" w:hint="eastAsia"/>
                <w:sz w:val="20"/>
              </w:rPr>
              <w:instrText>当期资产负债表日</w:instrText>
            </w:r>
            <w:r>
              <w:rPr>
                <w:rFonts w:ascii="Arial" w:eastAsia="黑体" w:hAnsi="Arial" w:cs="Arial"/>
                <w:sz w:val="20"/>
              </w:rPr>
              <w:instrText xml:space="preserve"> </w:instrText>
            </w:r>
            <w:r>
              <w:rPr>
                <w:rFonts w:ascii="Arial" w:eastAsia="黑体" w:hAnsi="Arial" w:cs="Arial"/>
                <w:sz w:val="20"/>
              </w:rPr>
              <w:fldChar w:fldCharType="separate"/>
            </w:r>
            <w:r>
              <w:rPr>
                <w:rFonts w:ascii="Arial" w:eastAsia="黑体" w:hAnsi="Arial" w:cs="Arial"/>
                <w:sz w:val="20"/>
              </w:rPr>
              <w:t>2023</w:t>
            </w:r>
            <w:r>
              <w:rPr>
                <w:rFonts w:ascii="Arial" w:eastAsia="黑体" w:hAnsi="Arial" w:cs="Arial"/>
                <w:sz w:val="20"/>
              </w:rPr>
              <w:t>年</w:t>
            </w:r>
            <w:r>
              <w:rPr>
                <w:rFonts w:ascii="Arial" w:eastAsia="黑体" w:hAnsi="Arial" w:cs="Arial"/>
                <w:sz w:val="20"/>
              </w:rPr>
              <w:t>6</w:t>
            </w:r>
            <w:r>
              <w:rPr>
                <w:rFonts w:ascii="Arial" w:eastAsia="黑体" w:hAnsi="Arial" w:cs="Arial"/>
                <w:sz w:val="20"/>
              </w:rPr>
              <w:t>月</w:t>
            </w:r>
            <w:r>
              <w:rPr>
                <w:rFonts w:ascii="Arial" w:eastAsia="黑体" w:hAnsi="Arial" w:cs="Arial"/>
                <w:sz w:val="20"/>
              </w:rPr>
              <w:t>30</w:t>
            </w:r>
            <w:r>
              <w:rPr>
                <w:rFonts w:ascii="Arial" w:eastAsia="黑体" w:hAnsi="Arial" w:cs="Arial"/>
                <w:sz w:val="20"/>
              </w:rPr>
              <w:t>日</w:t>
            </w:r>
            <w:r>
              <w:rPr>
                <w:rFonts w:ascii="Arial" w:eastAsia="黑体" w:hAnsi="Arial" w:cs="Arial"/>
                <w:sz w:val="20"/>
              </w:rPr>
              <w:fldChar w:fldCharType="end"/>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4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黑体"/>
                <w:sz w:val="20"/>
              </w:rPr>
              <w:t>2022</w:t>
            </w:r>
            <w:r>
              <w:rPr>
                <w:rFonts w:ascii="Arial" w:eastAsia="黑体" w:hAnsi="Arial" w:cs="黑体"/>
                <w:sz w:val="20"/>
              </w:rPr>
              <w:t>年</w:t>
            </w:r>
            <w:r>
              <w:rPr>
                <w:rFonts w:ascii="Arial" w:eastAsia="黑体" w:hAnsi="Arial" w:cs="黑体"/>
                <w:sz w:val="20"/>
              </w:rPr>
              <w:t>12</w:t>
            </w:r>
            <w:r>
              <w:rPr>
                <w:rFonts w:ascii="Arial" w:eastAsia="黑体" w:hAnsi="Arial" w:cs="黑体"/>
                <w:sz w:val="20"/>
              </w:rPr>
              <w:t>月</w:t>
            </w:r>
            <w:r>
              <w:rPr>
                <w:rFonts w:ascii="Arial" w:eastAsia="黑体" w:hAnsi="Arial" w:cs="黑体"/>
                <w:sz w:val="20"/>
              </w:rPr>
              <w:t>31</w:t>
            </w:r>
            <w:r>
              <w:rPr>
                <w:rFonts w:ascii="Arial" w:eastAsia="黑体" w:hAnsi="Arial" w:cs="黑体"/>
                <w:sz w:val="20"/>
              </w:rPr>
              <w:t>日</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44"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297" w:type="dxa"/>
            <w:tcBorders>
              <w:top w:val="nil"/>
              <w:left w:val="nil"/>
              <w:right w:val="nil"/>
            </w:tcBorders>
            <w:vAlign w:val="bottom"/>
          </w:tcPr>
          <w:p w:rsidR="00AD5BB5" w:rsidRDefault="00AD5BB5">
            <w:pPr>
              <w:autoSpaceDE w:val="0"/>
              <w:autoSpaceDN w:val="0"/>
              <w:jc w:val="right"/>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42" w:type="dxa"/>
            <w:tcBorders>
              <w:top w:val="nil"/>
              <w:left w:val="nil"/>
              <w:right w:val="nil"/>
            </w:tcBorders>
            <w:vAlign w:val="bottom"/>
          </w:tcPr>
          <w:p w:rsidR="00AD5BB5" w:rsidRDefault="00AD5BB5">
            <w:pPr>
              <w:autoSpaceDE w:val="0"/>
              <w:autoSpaceDN w:val="0"/>
              <w:jc w:val="right"/>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544" w:type="dxa"/>
            <w:tcBorders>
              <w:top w:val="nil"/>
              <w:left w:val="nil"/>
              <w:bottom w:val="nil"/>
              <w:right w:val="nil"/>
            </w:tcBorders>
            <w:vAlign w:val="bottom"/>
          </w:tcPr>
          <w:p w:rsidR="00AD5BB5" w:rsidRDefault="00F87FF6">
            <w:pPr>
              <w:autoSpaceDE w:val="0"/>
              <w:autoSpaceDN w:val="0"/>
              <w:ind w:left="200" w:hangingChars="100" w:hanging="200"/>
              <w:rPr>
                <w:rFonts w:ascii="黑体" w:eastAsia="黑体" w:hAnsi="黑体" w:cs="Arial"/>
                <w:sz w:val="20"/>
              </w:rPr>
            </w:pPr>
            <w:r>
              <w:rPr>
                <w:rFonts w:ascii="黑体" w:eastAsia="黑体" w:hAnsi="黑体"/>
                <w:sz w:val="20"/>
              </w:rPr>
              <w:t>资本公积</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29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6,785,874,486.75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04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6,785,874,486.75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bl>
    <w:p w:rsidR="00AD5BB5" w:rsidRDefault="00AD5BB5">
      <w:pPr>
        <w:overflowPunct w:val="0"/>
        <w:autoSpaceDE w:val="0"/>
        <w:autoSpaceDN w:val="0"/>
        <w:rPr>
          <w:rFonts w:ascii="Arial" w:eastAsia="黑体" w:hAnsi="Arial" w:cs="Arial"/>
          <w:szCs w:val="21"/>
        </w:rPr>
      </w:pPr>
    </w:p>
    <w:p w:rsidR="00AD5BB5" w:rsidRDefault="00F87FF6">
      <w:pPr>
        <w:overflowPunct w:val="0"/>
        <w:autoSpaceDE w:val="0"/>
        <w:autoSpaceDN w:val="0"/>
        <w:rPr>
          <w:rFonts w:ascii="Arial" w:eastAsia="黑体" w:hAnsi="Arial" w:cs="Arial"/>
          <w:szCs w:val="21"/>
        </w:rPr>
      </w:pPr>
      <w:r>
        <w:rPr>
          <w:rFonts w:ascii="Arial" w:eastAsia="黑体" w:hAnsi="Arial" w:cs="Arial"/>
          <w:b/>
          <w:snapToGrid w:val="0"/>
          <w:szCs w:val="21"/>
        </w:rPr>
        <w:br w:type="page"/>
      </w:r>
    </w:p>
    <w:p w:rsidR="00AD5BB5" w:rsidRDefault="00AD5BB5">
      <w:pPr>
        <w:overflowPunct w:val="0"/>
        <w:autoSpaceDE w:val="0"/>
        <w:autoSpaceDN w:val="0"/>
        <w:adjustRightInd w:val="0"/>
        <w:snapToGrid w:val="0"/>
        <w:ind w:left="720" w:hanging="720"/>
        <w:textAlignment w:val="bottom"/>
        <w:rPr>
          <w:rFonts w:ascii="Arial" w:eastAsia="黑体" w:hAnsi="Arial" w:cs="Arial"/>
          <w:b/>
          <w:snapToGrid w:val="0"/>
          <w:szCs w:val="21"/>
        </w:rPr>
      </w:pPr>
    </w:p>
    <w:p w:rsidR="00AD5BB5" w:rsidRDefault="00AD5BB5">
      <w:pPr>
        <w:overflowPunct w:val="0"/>
        <w:autoSpaceDE w:val="0"/>
        <w:autoSpaceDN w:val="0"/>
        <w:adjustRightInd w:val="0"/>
        <w:snapToGrid w:val="0"/>
        <w:ind w:left="720" w:hanging="720"/>
        <w:textAlignment w:val="bottom"/>
        <w:rPr>
          <w:rFonts w:ascii="Arial" w:eastAsia="黑体" w:hAnsi="Arial" w:cs="Arial"/>
          <w:b/>
          <w:snapToGrid w:val="0"/>
          <w:szCs w:val="21"/>
        </w:rPr>
      </w:pPr>
    </w:p>
    <w:p w:rsidR="00AD5BB5" w:rsidRDefault="00F87FF6">
      <w:pPr>
        <w:overflowPunct w:val="0"/>
        <w:autoSpaceDE w:val="0"/>
        <w:autoSpaceDN w:val="0"/>
        <w:adjustRightInd w:val="0"/>
        <w:snapToGrid w:val="0"/>
        <w:textAlignment w:val="bottom"/>
        <w:rPr>
          <w:rFonts w:ascii="Arial" w:eastAsia="黑体" w:hAnsi="Arial" w:cs="Arial"/>
          <w:b/>
          <w:snapToGrid w:val="0"/>
          <w:szCs w:val="21"/>
        </w:rPr>
      </w:pPr>
      <w:bookmarkStart w:id="211" w:name="afsaddin_WithXu_541f76a2a8b14bd5960b76aa"/>
      <w:r>
        <w:rPr>
          <w:rFonts w:ascii="Arial" w:eastAsia="黑体" w:hAnsi="Arial" w:cs="Arial"/>
          <w:b/>
          <w:snapToGrid w:val="0"/>
          <w:szCs w:val="21"/>
        </w:rPr>
        <w:t>五、</w:t>
      </w:r>
      <w:r>
        <w:rPr>
          <w:rFonts w:ascii="Arial" w:eastAsia="黑体" w:hAnsi="Arial" w:cs="Arial"/>
          <w:b/>
          <w:snapToGrid w:val="0"/>
          <w:szCs w:val="21"/>
        </w:rPr>
        <w:tab/>
      </w:r>
      <w:r>
        <w:rPr>
          <w:rFonts w:ascii="Arial" w:eastAsia="黑体" w:hAnsi="Arial" w:cs="Arial"/>
          <w:b/>
          <w:snapToGrid w:val="0"/>
          <w:szCs w:val="21"/>
        </w:rPr>
        <w:t>合并财务报表主要项目注释（续）</w:t>
      </w:r>
      <w:bookmarkEnd w:id="211"/>
    </w:p>
    <w:p w:rsidR="00AD5BB5" w:rsidRDefault="00AD5BB5"/>
    <w:p w:rsidR="00AD5BB5" w:rsidRDefault="00F87FF6">
      <w:pPr>
        <w:pStyle w:val="af5"/>
        <w:keepNext w:val="0"/>
        <w:keepLines w:val="0"/>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212" w:name="afsaddin_WithXu_b6c80569e08047beb5e49063"/>
      <w:bookmarkStart w:id="213" w:name="afsaddin_WithXu_bbcae9c8c9a646d3a5080562"/>
      <w:bookmarkStart w:id="214" w:name="afsaddin_Section_8e829a1a60ae4315a4c0770"/>
      <w:bookmarkEnd w:id="212"/>
      <w:bookmarkEnd w:id="213"/>
      <w:r>
        <w:rPr>
          <w:rFonts w:ascii="Arial" w:eastAsia="黑体" w:hAnsi="Arial" w:cs="Arial" w:hint="default"/>
          <w:bCs w:val="0"/>
          <w:snapToGrid w:val="0"/>
          <w:color w:val="auto"/>
          <w:sz w:val="21"/>
          <w:szCs w:val="21"/>
        </w:rPr>
        <w:t>32.</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其他综合收益</w:t>
      </w:r>
    </w:p>
    <w:bookmarkEnd w:id="214"/>
    <w:p w:rsidR="00AD5BB5" w:rsidRDefault="00AD5BB5">
      <w:pPr>
        <w:overflowPunct w:val="0"/>
        <w:autoSpaceDE w:val="0"/>
        <w:autoSpaceDN w:val="0"/>
        <w:rPr>
          <w:rFonts w:ascii="Arial" w:eastAsia="黑体" w:hAnsi="Arial" w:cs="Arial"/>
          <w:bCs/>
          <w:snapToGrid w:val="0"/>
          <w:sz w:val="20"/>
        </w:rPr>
      </w:pPr>
    </w:p>
    <w:p w:rsidR="00AD5BB5" w:rsidRDefault="00F87FF6">
      <w:pPr>
        <w:overflowPunct w:val="0"/>
        <w:autoSpaceDE w:val="0"/>
        <w:autoSpaceDN w:val="0"/>
        <w:rPr>
          <w:rFonts w:ascii="Arial" w:eastAsia="黑体" w:hAnsi="Arial" w:cs="Arial"/>
          <w:snapToGrid w:val="0"/>
          <w:sz w:val="20"/>
        </w:rPr>
      </w:pPr>
      <w:r>
        <w:rPr>
          <w:rFonts w:ascii="Arial" w:eastAsia="黑体" w:hAnsi="Arial" w:cs="Arial"/>
          <w:snapToGrid w:val="0"/>
          <w:sz w:val="20"/>
        </w:rPr>
        <w:t>合并资产负债表中归属于母公司股东的其他综合收益累积余额：</w:t>
      </w:r>
    </w:p>
    <w:p w:rsidR="00AD5BB5" w:rsidRDefault="00AD5BB5">
      <w:pPr>
        <w:overflowPunct w:val="0"/>
        <w:autoSpaceDE w:val="0"/>
        <w:autoSpaceDN w:val="0"/>
        <w:adjustRightInd w:val="0"/>
        <w:snapToGrid w:val="0"/>
        <w:textAlignment w:val="bottom"/>
        <w:rPr>
          <w:rFonts w:ascii="Arial" w:eastAsia="黑体" w:hAnsi="Arial" w:cs="Arial"/>
          <w:snapToGrid w:val="0"/>
          <w:sz w:val="18"/>
          <w:szCs w:val="18"/>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当期会计期间</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2023</w:t>
      </w:r>
      <w:r>
        <w:rPr>
          <w:rFonts w:ascii="Arial" w:eastAsia="黑体" w:hAnsi="Arial" w:cs="Arial"/>
          <w:snapToGrid w:val="0"/>
          <w:szCs w:val="21"/>
        </w:rPr>
        <w:fldChar w:fldCharType="end"/>
      </w:r>
      <w:r>
        <w:rPr>
          <w:rFonts w:ascii="Arial" w:eastAsia="黑体" w:hAnsi="Arial" w:cs="Arial"/>
          <w:snapToGrid w:val="0"/>
          <w:szCs w:val="21"/>
        </w:rPr>
        <w:t>年</w:t>
      </w:r>
      <w:r>
        <w:rPr>
          <w:rFonts w:ascii="Arial" w:eastAsia="黑体" w:hAnsi="Arial" w:cs="Arial"/>
          <w:snapToGrid w:val="0"/>
          <w:szCs w:val="21"/>
        </w:rPr>
        <w:t>1-6</w:t>
      </w:r>
      <w:r>
        <w:rPr>
          <w:rFonts w:ascii="Arial" w:eastAsia="黑体" w:hAnsi="Arial" w:cs="Arial"/>
          <w:snapToGrid w:val="0"/>
          <w:szCs w:val="21"/>
        </w:rPr>
        <w:t>月</w:t>
      </w:r>
    </w:p>
    <w:tbl>
      <w:tblPr>
        <w:tblW w:w="0" w:type="auto"/>
        <w:tblLayout w:type="fixed"/>
        <w:tblCellMar>
          <w:left w:w="0" w:type="dxa"/>
          <w:right w:w="0" w:type="dxa"/>
        </w:tblCellMar>
        <w:tblLook w:val="04A0" w:firstRow="1" w:lastRow="0" w:firstColumn="1" w:lastColumn="0" w:noHBand="0" w:noVBand="1"/>
        <w:tblCaption w:val="1af5f540-1896-4e93-808b-21ebdfba1a86"/>
        <w:tblDescription w:val="{&quot;UUID&quot;:&quot;afsaddin_tabledata_2_56437_1af5f540-1896-4e93-808b-21ebdfba1a86&quot;,&quot;TitleRowCount&quot;:2,&quot;SplitedTable&quot;:false,&quot;FirstTableId&quot;:&quot;1af5f540-1896-4e93-808b-21ebdfba1a86&quot;}"/>
      </w:tblPr>
      <w:tblGrid>
        <w:gridCol w:w="3544"/>
        <w:gridCol w:w="108"/>
        <w:gridCol w:w="1451"/>
        <w:gridCol w:w="109"/>
        <w:gridCol w:w="109"/>
        <w:gridCol w:w="1341"/>
        <w:gridCol w:w="109"/>
        <w:gridCol w:w="109"/>
        <w:gridCol w:w="1341"/>
        <w:gridCol w:w="109"/>
      </w:tblGrid>
      <w:tr w:rsidR="00AD5BB5">
        <w:tc>
          <w:tcPr>
            <w:tcW w:w="3544"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240" w:hangingChars="150" w:hanging="240"/>
              <w:rPr>
                <w:rFonts w:ascii="Arial" w:eastAsia="黑体" w:hAnsi="Arial" w:cs="Arial"/>
                <w:color w:val="000000"/>
                <w:sz w:val="16"/>
                <w:szCs w:val="16"/>
              </w:rPr>
            </w:pPr>
          </w:p>
        </w:tc>
        <w:tc>
          <w:tcPr>
            <w:tcW w:w="10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451"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snapToGrid w:val="0"/>
                <w:sz w:val="16"/>
                <w:szCs w:val="16"/>
              </w:rPr>
              <w:fldChar w:fldCharType="begin"/>
            </w:r>
            <w:r>
              <w:rPr>
                <w:rFonts w:ascii="Arial" w:eastAsia="黑体" w:hAnsi="Arial" w:cs="Arial"/>
                <w:snapToGrid w:val="0"/>
                <w:sz w:val="16"/>
                <w:szCs w:val="16"/>
              </w:rPr>
              <w:instrText xml:space="preserve"> DOCPROPERTY </w:instrText>
            </w:r>
            <w:r>
              <w:rPr>
                <w:rFonts w:ascii="Arial" w:eastAsia="黑体" w:hAnsi="Arial" w:cs="Arial"/>
                <w:snapToGrid w:val="0"/>
                <w:sz w:val="16"/>
                <w:szCs w:val="16"/>
              </w:rPr>
              <w:instrText>当期会计期间</w:instrText>
            </w:r>
            <w:r>
              <w:rPr>
                <w:rFonts w:ascii="Arial" w:eastAsia="黑体" w:hAnsi="Arial" w:cs="Arial"/>
                <w:snapToGrid w:val="0"/>
                <w:sz w:val="16"/>
                <w:szCs w:val="16"/>
              </w:rPr>
              <w:instrText xml:space="preserve"> </w:instrText>
            </w:r>
            <w:r>
              <w:rPr>
                <w:rFonts w:ascii="Arial" w:eastAsia="黑体" w:hAnsi="Arial" w:cs="Arial"/>
                <w:snapToGrid w:val="0"/>
                <w:sz w:val="16"/>
                <w:szCs w:val="16"/>
              </w:rPr>
              <w:fldChar w:fldCharType="separate"/>
            </w:r>
            <w:r>
              <w:rPr>
                <w:rFonts w:ascii="Arial" w:eastAsia="黑体" w:hAnsi="Arial" w:cs="Arial"/>
                <w:snapToGrid w:val="0"/>
                <w:sz w:val="16"/>
                <w:szCs w:val="16"/>
              </w:rPr>
              <w:t>2023</w:t>
            </w:r>
            <w:r>
              <w:rPr>
                <w:rFonts w:ascii="Arial" w:eastAsia="黑体" w:hAnsi="Arial" w:cs="Arial"/>
                <w:snapToGrid w:val="0"/>
                <w:sz w:val="16"/>
                <w:szCs w:val="16"/>
              </w:rPr>
              <w:fldChar w:fldCharType="end"/>
            </w:r>
            <w:r>
              <w:rPr>
                <w:rFonts w:ascii="Arial" w:eastAsia="黑体" w:hAnsi="Arial" w:cs="Arial"/>
                <w:snapToGrid w:val="0"/>
                <w:sz w:val="16"/>
                <w:szCs w:val="16"/>
              </w:rPr>
              <w:t>年</w:t>
            </w:r>
            <w:r>
              <w:rPr>
                <w:rFonts w:ascii="Arial" w:eastAsia="黑体" w:hAnsi="Arial" w:cs="Arial"/>
                <w:snapToGrid w:val="0"/>
                <w:sz w:val="16"/>
                <w:szCs w:val="16"/>
              </w:rPr>
              <w:t>1</w:t>
            </w:r>
            <w:r>
              <w:rPr>
                <w:rFonts w:ascii="Arial" w:eastAsia="黑体" w:hAnsi="Arial" w:cs="Arial"/>
                <w:snapToGrid w:val="0"/>
                <w:sz w:val="16"/>
                <w:szCs w:val="16"/>
              </w:rPr>
              <w:t>月</w:t>
            </w:r>
            <w:r>
              <w:rPr>
                <w:rFonts w:ascii="Arial" w:eastAsia="黑体" w:hAnsi="Arial" w:cs="Arial"/>
                <w:snapToGrid w:val="0"/>
                <w:sz w:val="16"/>
                <w:szCs w:val="16"/>
              </w:rPr>
              <w:t>1</w:t>
            </w:r>
            <w:r>
              <w:rPr>
                <w:rFonts w:ascii="Arial" w:eastAsia="黑体" w:hAnsi="Arial" w:cs="Arial"/>
                <w:snapToGrid w:val="0"/>
                <w:sz w:val="16"/>
                <w:szCs w:val="16"/>
              </w:rPr>
              <w:t>日</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6"/>
                <w:szCs w:val="16"/>
              </w:rPr>
            </w:pPr>
          </w:p>
        </w:tc>
        <w:tc>
          <w:tcPr>
            <w:tcW w:w="1341"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snapToGrid w:val="0"/>
                <w:sz w:val="16"/>
                <w:szCs w:val="16"/>
              </w:rPr>
              <w:t>增减变动</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6"/>
                <w:szCs w:val="16"/>
              </w:rPr>
            </w:pPr>
          </w:p>
        </w:tc>
        <w:tc>
          <w:tcPr>
            <w:tcW w:w="1341"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fldChar w:fldCharType="begin"/>
            </w:r>
            <w:r>
              <w:rPr>
                <w:rFonts w:ascii="Arial" w:eastAsia="黑体" w:hAnsi="Arial" w:cs="Arial"/>
                <w:color w:val="000000"/>
                <w:sz w:val="16"/>
                <w:szCs w:val="16"/>
              </w:rPr>
              <w:instrText xml:space="preserve"> DOCPROPERTY </w:instrText>
            </w:r>
            <w:r>
              <w:rPr>
                <w:rFonts w:ascii="Arial" w:eastAsia="黑体" w:hAnsi="Arial" w:cs="Arial"/>
                <w:color w:val="000000"/>
                <w:sz w:val="16"/>
                <w:szCs w:val="16"/>
              </w:rPr>
              <w:instrText>当期资产负债表日</w:instrText>
            </w:r>
            <w:r>
              <w:rPr>
                <w:rFonts w:ascii="Arial" w:eastAsia="黑体" w:hAnsi="Arial" w:cs="Arial"/>
                <w:color w:val="000000"/>
                <w:sz w:val="16"/>
                <w:szCs w:val="16"/>
              </w:rPr>
              <w:instrText xml:space="preserve"> </w:instrText>
            </w:r>
            <w:r>
              <w:rPr>
                <w:rFonts w:ascii="Arial" w:eastAsia="黑体" w:hAnsi="Arial" w:cs="Arial"/>
                <w:color w:val="000000"/>
                <w:sz w:val="16"/>
                <w:szCs w:val="16"/>
              </w:rPr>
              <w:fldChar w:fldCharType="separate"/>
            </w:r>
            <w:r>
              <w:rPr>
                <w:rFonts w:ascii="Arial" w:eastAsia="黑体" w:hAnsi="Arial" w:cs="Arial"/>
                <w:color w:val="000000"/>
                <w:sz w:val="16"/>
                <w:szCs w:val="16"/>
              </w:rPr>
              <w:t>2023</w:t>
            </w:r>
            <w:r>
              <w:rPr>
                <w:rFonts w:ascii="Arial" w:eastAsia="黑体" w:hAnsi="Arial" w:cs="Arial"/>
                <w:color w:val="000000"/>
                <w:sz w:val="16"/>
                <w:szCs w:val="16"/>
              </w:rPr>
              <w:t>年</w:t>
            </w:r>
            <w:r>
              <w:rPr>
                <w:rFonts w:ascii="Arial" w:eastAsia="黑体" w:hAnsi="Arial" w:cs="Arial"/>
                <w:color w:val="000000"/>
                <w:sz w:val="16"/>
                <w:szCs w:val="16"/>
              </w:rPr>
              <w:t>6</w:t>
            </w:r>
            <w:r>
              <w:rPr>
                <w:rFonts w:ascii="Arial" w:eastAsia="黑体" w:hAnsi="Arial" w:cs="Arial"/>
                <w:color w:val="000000"/>
                <w:sz w:val="16"/>
                <w:szCs w:val="16"/>
              </w:rPr>
              <w:t>月</w:t>
            </w:r>
            <w:r>
              <w:rPr>
                <w:rFonts w:ascii="Arial" w:eastAsia="黑体" w:hAnsi="Arial" w:cs="Arial"/>
                <w:color w:val="000000"/>
                <w:sz w:val="16"/>
                <w:szCs w:val="16"/>
              </w:rPr>
              <w:t>30</w:t>
            </w:r>
            <w:r>
              <w:rPr>
                <w:rFonts w:ascii="Arial" w:eastAsia="黑体" w:hAnsi="Arial" w:cs="Arial"/>
                <w:color w:val="000000"/>
                <w:sz w:val="16"/>
                <w:szCs w:val="16"/>
              </w:rPr>
              <w:t>日</w:t>
            </w:r>
            <w:r>
              <w:rPr>
                <w:rFonts w:ascii="Arial" w:eastAsia="黑体" w:hAnsi="Arial" w:cs="Arial"/>
                <w:color w:val="000000"/>
                <w:sz w:val="16"/>
                <w:szCs w:val="16"/>
              </w:rPr>
              <w:fldChar w:fldCharType="end"/>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6"/>
                <w:szCs w:val="16"/>
              </w:rPr>
            </w:pPr>
          </w:p>
        </w:tc>
      </w:tr>
      <w:tr w:rsidR="00AD5BB5">
        <w:tc>
          <w:tcPr>
            <w:tcW w:w="3544"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240" w:hangingChars="150" w:hanging="240"/>
              <w:jc w:val="right"/>
              <w:rPr>
                <w:rFonts w:ascii="Arial" w:eastAsia="黑体" w:hAnsi="Arial" w:cs="Arial"/>
                <w:sz w:val="16"/>
                <w:szCs w:val="16"/>
              </w:rPr>
            </w:pPr>
          </w:p>
        </w:tc>
        <w:tc>
          <w:tcPr>
            <w:tcW w:w="10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16"/>
                <w:szCs w:val="16"/>
              </w:rPr>
            </w:pPr>
          </w:p>
        </w:tc>
        <w:tc>
          <w:tcPr>
            <w:tcW w:w="1451"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6"/>
                <w:szCs w:val="16"/>
              </w:rPr>
            </w:pPr>
          </w:p>
        </w:tc>
        <w:tc>
          <w:tcPr>
            <w:tcW w:w="1341"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6"/>
                <w:szCs w:val="16"/>
              </w:rPr>
            </w:pPr>
          </w:p>
        </w:tc>
        <w:tc>
          <w:tcPr>
            <w:tcW w:w="1341"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6"/>
                <w:szCs w:val="16"/>
              </w:rPr>
            </w:pPr>
          </w:p>
        </w:tc>
      </w:tr>
      <w:tr w:rsidR="00AD5BB5">
        <w:tc>
          <w:tcPr>
            <w:tcW w:w="3544"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160" w:hangingChars="100" w:hanging="160"/>
              <w:rPr>
                <w:rFonts w:ascii="Arial" w:eastAsia="黑体" w:hAnsi="Arial" w:cs="Arial"/>
                <w:color w:val="000000"/>
                <w:sz w:val="16"/>
                <w:szCs w:val="16"/>
              </w:rPr>
            </w:pPr>
            <w:r>
              <w:rPr>
                <w:rFonts w:ascii="Arial" w:eastAsia="黑体" w:hAnsi="Arial" w:cs="Arial"/>
                <w:snapToGrid w:val="0"/>
                <w:sz w:val="16"/>
                <w:szCs w:val="16"/>
              </w:rPr>
              <w:t>以公允价值计量且其变动计入其他综合收益的金融资产公允价值变动</w:t>
            </w:r>
          </w:p>
        </w:tc>
        <w:tc>
          <w:tcPr>
            <w:tcW w:w="10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451"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1"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1"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r>
      <w:tr w:rsidR="00AD5BB5">
        <w:tc>
          <w:tcPr>
            <w:tcW w:w="3544"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166" w:hangingChars="104" w:hanging="166"/>
              <w:rPr>
                <w:rFonts w:ascii="Arial" w:eastAsia="黑体" w:hAnsi="Arial" w:cs="Arial"/>
                <w:snapToGrid w:val="0"/>
                <w:sz w:val="16"/>
                <w:szCs w:val="16"/>
              </w:rPr>
            </w:pPr>
            <w:r>
              <w:rPr>
                <w:rFonts w:ascii="Arial" w:eastAsia="黑体" w:hAnsi="Arial" w:cs="Arial"/>
                <w:snapToGrid w:val="0"/>
                <w:sz w:val="16"/>
                <w:szCs w:val="16"/>
              </w:rPr>
              <w:t>其中：其他债权投资公允价值变动</w:t>
            </w:r>
          </w:p>
        </w:tc>
        <w:tc>
          <w:tcPr>
            <w:tcW w:w="10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451"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(199,304,095.26</w:t>
            </w:r>
          </w:p>
        </w:tc>
        <w:tc>
          <w:tcPr>
            <w:tcW w:w="109"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 w:val="16"/>
                <w:szCs w:val="16"/>
              </w:rPr>
            </w:pPr>
            <w:r>
              <w:rPr>
                <w:rFonts w:ascii="Arial" w:eastAsia="黑体" w:hAnsi="Arial" w:cs="Arial"/>
                <w:color w:val="000000"/>
                <w:sz w:val="16"/>
                <w:szCs w:val="16"/>
              </w:rPr>
              <w:t>)</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1"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sz w:val="16"/>
              </w:rPr>
              <w:t>266,545,079.37</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1"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11" w:right="23"/>
              <w:jc w:val="right"/>
              <w:rPr>
                <w:rFonts w:ascii="Arial" w:eastAsia="黑体" w:hAnsi="Arial" w:cs="Arial"/>
                <w:color w:val="000000"/>
                <w:sz w:val="16"/>
                <w:szCs w:val="16"/>
              </w:rPr>
            </w:pPr>
            <w:r>
              <w:rPr>
                <w:rFonts w:ascii="Arial" w:eastAsia="黑体" w:hAnsi="Arial" w:cs="Arial"/>
                <w:sz w:val="16"/>
              </w:rPr>
              <w:t>67,240,984.11</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r>
      <w:tr w:rsidR="00AD5BB5">
        <w:tc>
          <w:tcPr>
            <w:tcW w:w="3544"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Chars="202" w:left="584" w:hangingChars="100" w:hanging="160"/>
              <w:rPr>
                <w:rFonts w:ascii="Arial" w:eastAsia="黑体" w:hAnsi="Arial" w:cs="Arial"/>
                <w:snapToGrid w:val="0"/>
                <w:sz w:val="16"/>
                <w:szCs w:val="16"/>
              </w:rPr>
            </w:pPr>
            <w:r>
              <w:rPr>
                <w:rFonts w:ascii="Arial" w:eastAsia="黑体" w:hAnsi="Arial" w:cs="Arial"/>
                <w:snapToGrid w:val="0"/>
                <w:sz w:val="16"/>
                <w:szCs w:val="16"/>
              </w:rPr>
              <w:t>贷款及垫款的公允价值变动</w:t>
            </w:r>
          </w:p>
        </w:tc>
        <w:tc>
          <w:tcPr>
            <w:tcW w:w="10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451"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color w:val="000000"/>
                <w:sz w:val="16"/>
                <w:szCs w:val="16"/>
              </w:rPr>
            </w:pPr>
            <w:r>
              <w:rPr>
                <w:rFonts w:ascii="Arial" w:eastAsia="黑体" w:hAnsi="Arial" w:cs="Arial"/>
                <w:color w:val="000000"/>
                <w:sz w:val="16"/>
                <w:szCs w:val="16"/>
              </w:rPr>
              <w:t>(54,979,862.44</w:t>
            </w:r>
          </w:p>
        </w:tc>
        <w:tc>
          <w:tcPr>
            <w:tcW w:w="109"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 w:val="16"/>
                <w:szCs w:val="16"/>
              </w:rPr>
            </w:pPr>
            <w:r>
              <w:rPr>
                <w:rFonts w:ascii="Arial" w:eastAsia="黑体" w:hAnsi="Arial" w:cs="Arial"/>
                <w:color w:val="000000"/>
                <w:sz w:val="16"/>
                <w:szCs w:val="16"/>
              </w:rPr>
              <w:t>)</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1"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sz w:val="16"/>
              </w:rPr>
              <w:t>40,502,851.49</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1"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sz w:val="16"/>
              </w:rPr>
              <w:t>(14,477,010.95</w:t>
            </w:r>
          </w:p>
        </w:tc>
        <w:tc>
          <w:tcPr>
            <w:tcW w:w="109"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 w:val="16"/>
                <w:szCs w:val="16"/>
              </w:rPr>
            </w:pPr>
            <w:r>
              <w:rPr>
                <w:rFonts w:ascii="Arial" w:eastAsia="黑体" w:hAnsi="Arial" w:cs="Arial"/>
                <w:color w:val="000000"/>
                <w:sz w:val="16"/>
                <w:szCs w:val="16"/>
              </w:rPr>
              <w:t>)</w:t>
            </w:r>
          </w:p>
        </w:tc>
      </w:tr>
      <w:tr w:rsidR="00AD5BB5">
        <w:tc>
          <w:tcPr>
            <w:tcW w:w="3544"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Chars="202" w:left="584" w:hangingChars="100" w:hanging="160"/>
              <w:rPr>
                <w:rFonts w:ascii="Arial" w:eastAsia="黑体" w:hAnsi="Arial" w:cs="Arial"/>
                <w:snapToGrid w:val="0"/>
                <w:sz w:val="16"/>
                <w:szCs w:val="16"/>
              </w:rPr>
            </w:pPr>
            <w:r>
              <w:rPr>
                <w:rFonts w:ascii="Arial" w:eastAsia="黑体" w:hAnsi="Arial" w:cs="Arial"/>
                <w:snapToGrid w:val="0"/>
                <w:sz w:val="16"/>
                <w:szCs w:val="16"/>
              </w:rPr>
              <w:t>其他权益工具投资公允价值变动</w:t>
            </w:r>
          </w:p>
        </w:tc>
        <w:tc>
          <w:tcPr>
            <w:tcW w:w="10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451"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51,778,335.58</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1"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14,079,925.10</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1"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65,858,260.68</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r>
      <w:tr w:rsidR="00AD5BB5">
        <w:tc>
          <w:tcPr>
            <w:tcW w:w="3544"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166" w:hangingChars="104" w:hanging="166"/>
              <w:rPr>
                <w:rFonts w:ascii="Arial" w:eastAsia="黑体" w:hAnsi="Arial" w:cs="Arial"/>
                <w:snapToGrid w:val="0"/>
                <w:sz w:val="16"/>
                <w:szCs w:val="16"/>
              </w:rPr>
            </w:pPr>
            <w:r>
              <w:rPr>
                <w:rFonts w:ascii="Arial" w:eastAsia="黑体" w:hAnsi="Arial" w:cs="Arial"/>
                <w:snapToGrid w:val="0"/>
                <w:sz w:val="16"/>
                <w:szCs w:val="16"/>
              </w:rPr>
              <w:t>信用减值准备</w:t>
            </w:r>
          </w:p>
        </w:tc>
        <w:tc>
          <w:tcPr>
            <w:tcW w:w="10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451"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rightChars="35" w:right="73"/>
              <w:jc w:val="right"/>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1"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rightChars="34" w:right="71"/>
              <w:jc w:val="right"/>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1"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rightChars="34" w:right="71"/>
              <w:jc w:val="right"/>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r>
      <w:tr w:rsidR="00AD5BB5">
        <w:tc>
          <w:tcPr>
            <w:tcW w:w="3544"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166" w:hangingChars="104" w:hanging="166"/>
              <w:rPr>
                <w:rFonts w:ascii="Arial" w:eastAsia="黑体" w:hAnsi="Arial" w:cs="Arial"/>
                <w:snapToGrid w:val="0"/>
                <w:sz w:val="16"/>
                <w:szCs w:val="16"/>
              </w:rPr>
            </w:pPr>
            <w:r>
              <w:rPr>
                <w:rFonts w:ascii="Arial" w:eastAsia="黑体" w:hAnsi="Arial" w:cs="Arial"/>
                <w:snapToGrid w:val="0"/>
                <w:sz w:val="16"/>
                <w:szCs w:val="16"/>
              </w:rPr>
              <w:t>其中：其他债权投资减值准备</w:t>
            </w:r>
          </w:p>
        </w:tc>
        <w:tc>
          <w:tcPr>
            <w:tcW w:w="10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451"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124,567,357.58</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1"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39,831,769.41</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1"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164,399,126.99</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r>
      <w:tr w:rsidR="00AD5BB5">
        <w:tc>
          <w:tcPr>
            <w:tcW w:w="3544"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Chars="198" w:left="576" w:hangingChars="100" w:hanging="160"/>
              <w:rPr>
                <w:rFonts w:ascii="Arial" w:eastAsia="黑体" w:hAnsi="Arial" w:cs="Arial"/>
                <w:snapToGrid w:val="0"/>
                <w:sz w:val="16"/>
                <w:szCs w:val="16"/>
              </w:rPr>
            </w:pPr>
            <w:r>
              <w:rPr>
                <w:rFonts w:ascii="Arial" w:eastAsia="黑体" w:hAnsi="Arial" w:cs="Arial"/>
                <w:snapToGrid w:val="0"/>
                <w:sz w:val="16"/>
                <w:szCs w:val="16"/>
              </w:rPr>
              <w:t>以公允价值计量且其变动计入其他</w:t>
            </w:r>
          </w:p>
          <w:p w:rsidR="00AD5BB5" w:rsidRDefault="00F87FF6">
            <w:pPr>
              <w:kinsoku w:val="0"/>
              <w:overflowPunct w:val="0"/>
              <w:autoSpaceDE w:val="0"/>
              <w:autoSpaceDN w:val="0"/>
              <w:adjustRightInd w:val="0"/>
              <w:snapToGrid w:val="0"/>
              <w:ind w:leftChars="266" w:left="719" w:hangingChars="100" w:hanging="160"/>
              <w:rPr>
                <w:rFonts w:ascii="Arial" w:eastAsia="黑体" w:hAnsi="Arial" w:cs="Arial"/>
                <w:snapToGrid w:val="0"/>
                <w:sz w:val="16"/>
                <w:szCs w:val="16"/>
              </w:rPr>
            </w:pPr>
            <w:r>
              <w:rPr>
                <w:rFonts w:ascii="Arial" w:eastAsia="黑体" w:hAnsi="Arial" w:cs="Arial"/>
                <w:snapToGrid w:val="0"/>
                <w:sz w:val="16"/>
                <w:szCs w:val="16"/>
              </w:rPr>
              <w:t>综合收益的贷款及垫款减值准备</w:t>
            </w:r>
          </w:p>
        </w:tc>
        <w:tc>
          <w:tcPr>
            <w:tcW w:w="10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451"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38,528,069.87</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1"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(5,230,188.03</w:t>
            </w:r>
          </w:p>
        </w:tc>
        <w:tc>
          <w:tcPr>
            <w:tcW w:w="109"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 w:val="16"/>
                <w:szCs w:val="16"/>
              </w:rPr>
            </w:pPr>
            <w:r>
              <w:rPr>
                <w:rFonts w:ascii="Arial" w:eastAsia="黑体" w:hAnsi="Arial" w:cs="Arial"/>
                <w:color w:val="000000"/>
                <w:sz w:val="16"/>
                <w:szCs w:val="16"/>
              </w:rPr>
              <w:t>)</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1"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33,297,881.84</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r>
      <w:tr w:rsidR="00AD5BB5">
        <w:tc>
          <w:tcPr>
            <w:tcW w:w="3544" w:type="dxa"/>
            <w:tcBorders>
              <w:top w:val="nil"/>
              <w:left w:val="nil"/>
              <w:bottom w:val="nil"/>
              <w:right w:val="nil"/>
            </w:tcBorders>
            <w:shd w:val="clear" w:color="000000" w:fill="auto"/>
            <w:noWrap/>
          </w:tcPr>
          <w:p w:rsidR="00AD5BB5" w:rsidRDefault="00AD5BB5">
            <w:pPr>
              <w:kinsoku w:val="0"/>
              <w:overflowPunct w:val="0"/>
              <w:autoSpaceDE w:val="0"/>
              <w:autoSpaceDN w:val="0"/>
              <w:adjustRightInd w:val="0"/>
              <w:snapToGrid w:val="0"/>
              <w:ind w:left="240" w:hangingChars="150" w:hanging="240"/>
              <w:rPr>
                <w:rFonts w:ascii="Arial" w:eastAsia="黑体" w:hAnsi="Arial" w:cs="Arial"/>
                <w:snapToGrid w:val="0"/>
                <w:sz w:val="16"/>
                <w:szCs w:val="16"/>
              </w:rPr>
            </w:pPr>
          </w:p>
        </w:tc>
        <w:tc>
          <w:tcPr>
            <w:tcW w:w="10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451"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rightChars="35" w:right="73"/>
              <w:jc w:val="right"/>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1"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rightChars="34" w:right="71"/>
              <w:jc w:val="right"/>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1"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r>
      <w:tr w:rsidR="00AD5BB5">
        <w:tc>
          <w:tcPr>
            <w:tcW w:w="3544"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160" w:hangingChars="100" w:hanging="160"/>
              <w:rPr>
                <w:rFonts w:ascii="Arial" w:eastAsia="黑体" w:hAnsi="Arial" w:cs="Arial"/>
                <w:color w:val="000000"/>
                <w:sz w:val="16"/>
                <w:szCs w:val="16"/>
              </w:rPr>
            </w:pPr>
            <w:r>
              <w:rPr>
                <w:rFonts w:ascii="Arial" w:eastAsia="黑体" w:hAnsi="Arial" w:cs="Arial"/>
                <w:color w:val="000000"/>
                <w:sz w:val="16"/>
                <w:szCs w:val="16"/>
              </w:rPr>
              <w:t>合计</w:t>
            </w:r>
          </w:p>
        </w:tc>
        <w:tc>
          <w:tcPr>
            <w:tcW w:w="10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451"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(39,410,194.67</w:t>
            </w:r>
          </w:p>
        </w:tc>
        <w:tc>
          <w:tcPr>
            <w:tcW w:w="109"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 w:val="16"/>
                <w:szCs w:val="16"/>
              </w:rPr>
            </w:pPr>
            <w:r>
              <w:rPr>
                <w:rFonts w:ascii="Arial" w:eastAsia="黑体" w:hAnsi="Arial" w:cs="Arial"/>
                <w:color w:val="000000"/>
                <w:sz w:val="16"/>
                <w:szCs w:val="16"/>
              </w:rPr>
              <w:t>)</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1"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355,729,437.34</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1"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316,319,242.67</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r>
    </w:tbl>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对比会计期间</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2022</w:t>
      </w:r>
      <w:r>
        <w:rPr>
          <w:rFonts w:ascii="Arial" w:eastAsia="黑体" w:hAnsi="Arial" w:cs="Arial"/>
          <w:snapToGrid w:val="0"/>
          <w:szCs w:val="21"/>
        </w:rPr>
        <w:fldChar w:fldCharType="end"/>
      </w:r>
      <w:r>
        <w:rPr>
          <w:rFonts w:ascii="Arial" w:eastAsia="黑体" w:hAnsi="Arial" w:cs="Arial"/>
          <w:snapToGrid w:val="0"/>
          <w:szCs w:val="21"/>
        </w:rPr>
        <w:t>年度</w:t>
      </w:r>
    </w:p>
    <w:tbl>
      <w:tblPr>
        <w:tblW w:w="0" w:type="auto"/>
        <w:tblLayout w:type="fixed"/>
        <w:tblCellMar>
          <w:left w:w="0" w:type="dxa"/>
          <w:right w:w="0" w:type="dxa"/>
        </w:tblCellMar>
        <w:tblLook w:val="04A0" w:firstRow="1" w:lastRow="0" w:firstColumn="1" w:lastColumn="0" w:noHBand="0" w:noVBand="1"/>
        <w:tblCaption w:val="0585fac0-d18c-4c39-9b9f-bfcab090647f"/>
        <w:tblDescription w:val="{&quot;UUID&quot;:&quot;afsaddin_tabledata_2_56437_0585fac0-d18c-4c39-9b9f-bfcab090647f&quot;,&quot;TitleRowCount&quot;:2,&quot;SplitedTable&quot;:false,&quot;FirstTableId&quot;:&quot;0585fac0-d18c-4c39-9b9f-bfcab090647f&quot;}"/>
      </w:tblPr>
      <w:tblGrid>
        <w:gridCol w:w="3544"/>
        <w:gridCol w:w="108"/>
        <w:gridCol w:w="1451"/>
        <w:gridCol w:w="109"/>
        <w:gridCol w:w="109"/>
        <w:gridCol w:w="1342"/>
        <w:gridCol w:w="109"/>
        <w:gridCol w:w="109"/>
        <w:gridCol w:w="1341"/>
        <w:gridCol w:w="109"/>
      </w:tblGrid>
      <w:tr w:rsidR="00AD5BB5">
        <w:tc>
          <w:tcPr>
            <w:tcW w:w="3544"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240" w:hangingChars="150" w:hanging="240"/>
              <w:rPr>
                <w:rFonts w:ascii="Arial" w:eastAsia="黑体" w:hAnsi="Arial" w:cs="Arial"/>
                <w:color w:val="000000"/>
                <w:sz w:val="16"/>
                <w:szCs w:val="16"/>
              </w:rPr>
            </w:pPr>
          </w:p>
        </w:tc>
        <w:tc>
          <w:tcPr>
            <w:tcW w:w="10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451"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snapToGrid w:val="0"/>
                <w:sz w:val="16"/>
                <w:szCs w:val="16"/>
              </w:rPr>
              <w:fldChar w:fldCharType="begin"/>
            </w:r>
            <w:r>
              <w:rPr>
                <w:rFonts w:ascii="Arial" w:eastAsia="黑体" w:hAnsi="Arial" w:cs="Arial"/>
                <w:snapToGrid w:val="0"/>
                <w:sz w:val="16"/>
                <w:szCs w:val="16"/>
              </w:rPr>
              <w:instrText xml:space="preserve"> DOCPROPERTY </w:instrText>
            </w:r>
            <w:r>
              <w:rPr>
                <w:rFonts w:ascii="Arial" w:eastAsia="黑体" w:hAnsi="Arial" w:cs="Arial"/>
                <w:snapToGrid w:val="0"/>
                <w:sz w:val="16"/>
                <w:szCs w:val="16"/>
              </w:rPr>
              <w:instrText>对比会计期间</w:instrText>
            </w:r>
            <w:r>
              <w:rPr>
                <w:rFonts w:ascii="Arial" w:eastAsia="黑体" w:hAnsi="Arial" w:cs="Arial"/>
                <w:snapToGrid w:val="0"/>
                <w:sz w:val="16"/>
                <w:szCs w:val="16"/>
              </w:rPr>
              <w:instrText xml:space="preserve"> </w:instrText>
            </w:r>
            <w:r>
              <w:rPr>
                <w:rFonts w:ascii="Arial" w:eastAsia="黑体" w:hAnsi="Arial" w:cs="Arial"/>
                <w:snapToGrid w:val="0"/>
                <w:sz w:val="16"/>
                <w:szCs w:val="16"/>
              </w:rPr>
              <w:fldChar w:fldCharType="separate"/>
            </w:r>
            <w:r>
              <w:rPr>
                <w:rFonts w:ascii="Arial" w:eastAsia="黑体" w:hAnsi="Arial" w:cs="Arial"/>
                <w:snapToGrid w:val="0"/>
                <w:sz w:val="16"/>
                <w:szCs w:val="16"/>
              </w:rPr>
              <w:t>2022</w:t>
            </w:r>
            <w:r>
              <w:rPr>
                <w:rFonts w:ascii="Arial" w:eastAsia="黑体" w:hAnsi="Arial" w:cs="Arial"/>
                <w:snapToGrid w:val="0"/>
                <w:sz w:val="16"/>
                <w:szCs w:val="16"/>
              </w:rPr>
              <w:fldChar w:fldCharType="end"/>
            </w:r>
            <w:r>
              <w:rPr>
                <w:rFonts w:ascii="Arial" w:eastAsia="黑体" w:hAnsi="Arial" w:cs="Arial"/>
                <w:snapToGrid w:val="0"/>
                <w:sz w:val="16"/>
                <w:szCs w:val="16"/>
              </w:rPr>
              <w:t>年</w:t>
            </w:r>
            <w:r>
              <w:rPr>
                <w:rFonts w:ascii="Arial" w:eastAsia="黑体" w:hAnsi="Arial" w:cs="Arial"/>
                <w:snapToGrid w:val="0"/>
                <w:sz w:val="16"/>
                <w:szCs w:val="16"/>
              </w:rPr>
              <w:t>1</w:t>
            </w:r>
            <w:r>
              <w:rPr>
                <w:rFonts w:ascii="Arial" w:eastAsia="黑体" w:hAnsi="Arial" w:cs="Arial"/>
                <w:snapToGrid w:val="0"/>
                <w:sz w:val="16"/>
                <w:szCs w:val="16"/>
              </w:rPr>
              <w:t>月</w:t>
            </w:r>
            <w:r>
              <w:rPr>
                <w:rFonts w:ascii="Arial" w:eastAsia="黑体" w:hAnsi="Arial" w:cs="Arial"/>
                <w:snapToGrid w:val="0"/>
                <w:sz w:val="16"/>
                <w:szCs w:val="16"/>
              </w:rPr>
              <w:t>1</w:t>
            </w:r>
            <w:r>
              <w:rPr>
                <w:rFonts w:ascii="Arial" w:eastAsia="黑体" w:hAnsi="Arial" w:cs="Arial"/>
                <w:snapToGrid w:val="0"/>
                <w:sz w:val="16"/>
                <w:szCs w:val="16"/>
              </w:rPr>
              <w:t>日</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6"/>
                <w:szCs w:val="16"/>
              </w:rPr>
            </w:pPr>
          </w:p>
        </w:tc>
        <w:tc>
          <w:tcPr>
            <w:tcW w:w="134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snapToGrid w:val="0"/>
                <w:sz w:val="16"/>
                <w:szCs w:val="16"/>
              </w:rPr>
              <w:t>增减变动</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6"/>
                <w:szCs w:val="16"/>
              </w:rPr>
            </w:pPr>
          </w:p>
        </w:tc>
        <w:tc>
          <w:tcPr>
            <w:tcW w:w="1341"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2022</w:t>
            </w:r>
            <w:r>
              <w:rPr>
                <w:rFonts w:ascii="Arial" w:eastAsia="黑体" w:hAnsi="Arial" w:cs="Arial"/>
                <w:color w:val="000000"/>
                <w:sz w:val="16"/>
                <w:szCs w:val="16"/>
              </w:rPr>
              <w:t>年</w:t>
            </w:r>
            <w:r>
              <w:rPr>
                <w:rFonts w:ascii="Arial" w:eastAsia="黑体" w:hAnsi="Arial" w:cs="Arial"/>
                <w:color w:val="000000"/>
                <w:sz w:val="16"/>
                <w:szCs w:val="16"/>
              </w:rPr>
              <w:t>12</w:t>
            </w:r>
            <w:r>
              <w:rPr>
                <w:rFonts w:ascii="Arial" w:eastAsia="黑体" w:hAnsi="Arial" w:cs="Arial"/>
                <w:color w:val="000000"/>
                <w:sz w:val="16"/>
                <w:szCs w:val="16"/>
              </w:rPr>
              <w:t>月</w:t>
            </w:r>
            <w:r>
              <w:rPr>
                <w:rFonts w:ascii="Arial" w:eastAsia="黑体" w:hAnsi="Arial" w:cs="Arial"/>
                <w:color w:val="000000"/>
                <w:sz w:val="16"/>
                <w:szCs w:val="16"/>
              </w:rPr>
              <w:t>31</w:t>
            </w:r>
            <w:r>
              <w:rPr>
                <w:rFonts w:ascii="Arial" w:eastAsia="黑体" w:hAnsi="Arial" w:cs="Arial"/>
                <w:color w:val="000000"/>
                <w:sz w:val="16"/>
                <w:szCs w:val="16"/>
              </w:rPr>
              <w:t>日</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6"/>
                <w:szCs w:val="16"/>
              </w:rPr>
            </w:pPr>
          </w:p>
        </w:tc>
      </w:tr>
      <w:tr w:rsidR="00AD5BB5">
        <w:tc>
          <w:tcPr>
            <w:tcW w:w="3544"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240" w:hangingChars="150" w:hanging="240"/>
              <w:jc w:val="right"/>
              <w:rPr>
                <w:rFonts w:ascii="Arial" w:eastAsia="黑体" w:hAnsi="Arial" w:cs="Arial"/>
                <w:sz w:val="16"/>
                <w:szCs w:val="16"/>
              </w:rPr>
            </w:pPr>
          </w:p>
        </w:tc>
        <w:tc>
          <w:tcPr>
            <w:tcW w:w="10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16"/>
                <w:szCs w:val="16"/>
              </w:rPr>
            </w:pPr>
          </w:p>
        </w:tc>
        <w:tc>
          <w:tcPr>
            <w:tcW w:w="1451"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6"/>
                <w:szCs w:val="16"/>
              </w:rPr>
            </w:pPr>
          </w:p>
        </w:tc>
        <w:tc>
          <w:tcPr>
            <w:tcW w:w="1342"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6"/>
                <w:szCs w:val="16"/>
              </w:rPr>
            </w:pPr>
          </w:p>
        </w:tc>
        <w:tc>
          <w:tcPr>
            <w:tcW w:w="1341"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6"/>
                <w:szCs w:val="16"/>
              </w:rPr>
            </w:pPr>
          </w:p>
        </w:tc>
      </w:tr>
      <w:tr w:rsidR="00AD5BB5">
        <w:tc>
          <w:tcPr>
            <w:tcW w:w="3544"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160" w:hangingChars="100" w:hanging="160"/>
              <w:rPr>
                <w:rFonts w:ascii="Arial" w:eastAsia="黑体" w:hAnsi="Arial" w:cs="Arial"/>
                <w:color w:val="000000"/>
                <w:sz w:val="16"/>
                <w:szCs w:val="16"/>
              </w:rPr>
            </w:pPr>
            <w:r>
              <w:rPr>
                <w:rFonts w:ascii="Arial" w:eastAsia="黑体" w:hAnsi="Arial" w:cs="Arial"/>
                <w:snapToGrid w:val="0"/>
                <w:sz w:val="16"/>
                <w:szCs w:val="16"/>
              </w:rPr>
              <w:t>以公允价值计量且其变动计入其他综合收益的金融资产公允价值变动</w:t>
            </w:r>
          </w:p>
        </w:tc>
        <w:tc>
          <w:tcPr>
            <w:tcW w:w="10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451"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2" w:type="dxa"/>
            <w:tcBorders>
              <w:top w:val="nil"/>
              <w:left w:val="nil"/>
              <w:bottom w:val="nil"/>
              <w:right w:val="nil"/>
            </w:tcBorders>
            <w:shd w:val="clear" w:color="000000" w:fill="auto"/>
            <w:noWrap/>
            <w:vAlign w:val="bottom"/>
          </w:tcPr>
          <w:p w:rsidR="00AD5BB5" w:rsidRDefault="00AD5BB5">
            <w:pPr>
              <w:tabs>
                <w:tab w:val="right" w:pos="869"/>
              </w:tabs>
              <w:kinsoku w:val="0"/>
              <w:overflowPunct w:val="0"/>
              <w:autoSpaceDE w:val="0"/>
              <w:autoSpaceDN w:val="0"/>
              <w:adjustRightInd w:val="0"/>
              <w:snapToGrid w:val="0"/>
              <w:jc w:val="right"/>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1" w:type="dxa"/>
            <w:tcBorders>
              <w:top w:val="nil"/>
              <w:left w:val="nil"/>
              <w:bottom w:val="nil"/>
              <w:right w:val="nil"/>
            </w:tcBorders>
            <w:shd w:val="clear" w:color="000000" w:fill="auto"/>
            <w:noWrap/>
            <w:vAlign w:val="bottom"/>
          </w:tcPr>
          <w:p w:rsidR="00AD5BB5" w:rsidRDefault="00AD5BB5">
            <w:pPr>
              <w:tabs>
                <w:tab w:val="right" w:pos="1175"/>
              </w:tabs>
              <w:kinsoku w:val="0"/>
              <w:overflowPunct w:val="0"/>
              <w:autoSpaceDE w:val="0"/>
              <w:autoSpaceDN w:val="0"/>
              <w:adjustRightInd w:val="0"/>
              <w:snapToGrid w:val="0"/>
              <w:jc w:val="right"/>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r>
      <w:tr w:rsidR="00AD5BB5">
        <w:tc>
          <w:tcPr>
            <w:tcW w:w="3544"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166" w:hangingChars="104" w:hanging="166"/>
              <w:rPr>
                <w:rFonts w:ascii="Arial" w:eastAsia="黑体" w:hAnsi="Arial" w:cs="Arial"/>
                <w:snapToGrid w:val="0"/>
                <w:sz w:val="16"/>
                <w:szCs w:val="16"/>
              </w:rPr>
            </w:pPr>
            <w:r>
              <w:rPr>
                <w:rFonts w:ascii="Arial" w:eastAsia="黑体" w:hAnsi="Arial" w:cs="Arial"/>
                <w:snapToGrid w:val="0"/>
                <w:sz w:val="16"/>
                <w:szCs w:val="16"/>
              </w:rPr>
              <w:t>其中：其他债权投资公允价值变动</w:t>
            </w:r>
          </w:p>
        </w:tc>
        <w:tc>
          <w:tcPr>
            <w:tcW w:w="10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451"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57,048,574.85</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(256,352,670.11</w:t>
            </w:r>
          </w:p>
        </w:tc>
        <w:tc>
          <w:tcPr>
            <w:tcW w:w="109"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 w:val="16"/>
                <w:szCs w:val="16"/>
              </w:rPr>
            </w:pPr>
            <w:r>
              <w:rPr>
                <w:rFonts w:ascii="Arial" w:eastAsia="黑体" w:hAnsi="Arial" w:cs="Arial"/>
                <w:color w:val="000000"/>
                <w:sz w:val="16"/>
                <w:szCs w:val="16"/>
              </w:rPr>
              <w:t>)</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1"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(199,304,095.26</w:t>
            </w:r>
          </w:p>
        </w:tc>
        <w:tc>
          <w:tcPr>
            <w:tcW w:w="109"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 w:val="16"/>
                <w:szCs w:val="16"/>
              </w:rPr>
            </w:pPr>
            <w:r>
              <w:rPr>
                <w:rFonts w:ascii="Arial" w:eastAsia="黑体" w:hAnsi="Arial" w:cs="Arial"/>
                <w:color w:val="000000"/>
                <w:sz w:val="16"/>
                <w:szCs w:val="16"/>
              </w:rPr>
              <w:t>)</w:t>
            </w:r>
          </w:p>
        </w:tc>
      </w:tr>
      <w:tr w:rsidR="00AD5BB5">
        <w:tc>
          <w:tcPr>
            <w:tcW w:w="3544"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Chars="202" w:left="584" w:hangingChars="100" w:hanging="160"/>
              <w:rPr>
                <w:rFonts w:ascii="Arial" w:eastAsia="黑体" w:hAnsi="Arial" w:cs="Arial"/>
                <w:snapToGrid w:val="0"/>
                <w:sz w:val="16"/>
                <w:szCs w:val="16"/>
              </w:rPr>
            </w:pPr>
            <w:r>
              <w:rPr>
                <w:rFonts w:ascii="Arial" w:eastAsia="黑体" w:hAnsi="Arial" w:cs="Arial"/>
                <w:snapToGrid w:val="0"/>
                <w:sz w:val="16"/>
                <w:szCs w:val="16"/>
              </w:rPr>
              <w:t>贷款及垫款的公允价值变动</w:t>
            </w:r>
          </w:p>
        </w:tc>
        <w:tc>
          <w:tcPr>
            <w:tcW w:w="10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451"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(8,522,240.01</w:t>
            </w:r>
          </w:p>
        </w:tc>
        <w:tc>
          <w:tcPr>
            <w:tcW w:w="109"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 w:val="16"/>
                <w:szCs w:val="16"/>
              </w:rPr>
            </w:pPr>
            <w:r>
              <w:rPr>
                <w:rFonts w:ascii="Arial" w:eastAsia="黑体" w:hAnsi="Arial" w:cs="Arial"/>
                <w:color w:val="000000"/>
                <w:sz w:val="16"/>
                <w:szCs w:val="16"/>
              </w:rPr>
              <w:t>)</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(46,457,622.43</w:t>
            </w:r>
          </w:p>
        </w:tc>
        <w:tc>
          <w:tcPr>
            <w:tcW w:w="109"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 w:val="16"/>
                <w:szCs w:val="16"/>
              </w:rPr>
            </w:pPr>
            <w:r>
              <w:rPr>
                <w:rFonts w:ascii="Arial" w:eastAsia="黑体" w:hAnsi="Arial" w:cs="Arial"/>
                <w:color w:val="000000"/>
                <w:sz w:val="16"/>
                <w:szCs w:val="16"/>
              </w:rPr>
              <w:t>)</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1"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(54,979,862.44</w:t>
            </w:r>
          </w:p>
        </w:tc>
        <w:tc>
          <w:tcPr>
            <w:tcW w:w="109"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 w:val="16"/>
                <w:szCs w:val="16"/>
              </w:rPr>
            </w:pPr>
            <w:r>
              <w:rPr>
                <w:rFonts w:ascii="Arial" w:eastAsia="黑体" w:hAnsi="Arial" w:cs="Arial"/>
                <w:color w:val="000000"/>
                <w:sz w:val="16"/>
                <w:szCs w:val="16"/>
              </w:rPr>
              <w:t>)</w:t>
            </w:r>
          </w:p>
        </w:tc>
      </w:tr>
      <w:tr w:rsidR="00AD5BB5">
        <w:tc>
          <w:tcPr>
            <w:tcW w:w="3544"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Chars="202" w:left="584" w:hangingChars="100" w:hanging="160"/>
              <w:rPr>
                <w:rFonts w:ascii="Arial" w:eastAsia="黑体" w:hAnsi="Arial" w:cs="Arial"/>
                <w:snapToGrid w:val="0"/>
                <w:sz w:val="16"/>
                <w:szCs w:val="16"/>
              </w:rPr>
            </w:pPr>
            <w:r>
              <w:rPr>
                <w:rFonts w:ascii="Arial" w:eastAsia="黑体" w:hAnsi="Arial" w:cs="Arial"/>
                <w:snapToGrid w:val="0"/>
                <w:sz w:val="16"/>
                <w:szCs w:val="16"/>
              </w:rPr>
              <w:t>其他权益工具投资公允价值变动</w:t>
            </w:r>
          </w:p>
        </w:tc>
        <w:tc>
          <w:tcPr>
            <w:tcW w:w="10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451"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50,377,333.32</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1,401,002.26</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1"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51,778,335.58</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r>
      <w:tr w:rsidR="00AD5BB5">
        <w:tc>
          <w:tcPr>
            <w:tcW w:w="3544"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166" w:hangingChars="104" w:hanging="166"/>
              <w:rPr>
                <w:rFonts w:ascii="Arial" w:eastAsia="黑体" w:hAnsi="Arial" w:cs="Arial"/>
                <w:snapToGrid w:val="0"/>
                <w:sz w:val="16"/>
                <w:szCs w:val="16"/>
              </w:rPr>
            </w:pPr>
            <w:r>
              <w:rPr>
                <w:rFonts w:ascii="Arial" w:eastAsia="黑体" w:hAnsi="Arial" w:cs="Arial"/>
                <w:snapToGrid w:val="0"/>
                <w:sz w:val="16"/>
                <w:szCs w:val="16"/>
              </w:rPr>
              <w:t>信用减值准备</w:t>
            </w:r>
          </w:p>
        </w:tc>
        <w:tc>
          <w:tcPr>
            <w:tcW w:w="10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451"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2"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rightChars="24" w:right="50"/>
              <w:jc w:val="right"/>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1"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r>
      <w:tr w:rsidR="00AD5BB5">
        <w:tc>
          <w:tcPr>
            <w:tcW w:w="3544"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166" w:hangingChars="104" w:hanging="166"/>
              <w:rPr>
                <w:rFonts w:ascii="Arial" w:eastAsia="黑体" w:hAnsi="Arial" w:cs="Arial"/>
                <w:snapToGrid w:val="0"/>
                <w:sz w:val="16"/>
                <w:szCs w:val="16"/>
              </w:rPr>
            </w:pPr>
            <w:r>
              <w:rPr>
                <w:rFonts w:ascii="Arial" w:eastAsia="黑体" w:hAnsi="Arial" w:cs="Arial"/>
                <w:snapToGrid w:val="0"/>
                <w:sz w:val="16"/>
                <w:szCs w:val="16"/>
              </w:rPr>
              <w:t>其中：其他债权投资减值准备</w:t>
            </w:r>
          </w:p>
        </w:tc>
        <w:tc>
          <w:tcPr>
            <w:tcW w:w="10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451"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111,022,221.00</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13,545,136.58</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1"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124,567,357.58</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r>
      <w:tr w:rsidR="00AD5BB5">
        <w:tc>
          <w:tcPr>
            <w:tcW w:w="3544"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Chars="204" w:left="588" w:hangingChars="100" w:hanging="160"/>
              <w:rPr>
                <w:rFonts w:ascii="Arial" w:eastAsia="黑体" w:hAnsi="Arial" w:cs="Arial"/>
                <w:snapToGrid w:val="0"/>
                <w:sz w:val="16"/>
                <w:szCs w:val="16"/>
              </w:rPr>
            </w:pPr>
            <w:r>
              <w:rPr>
                <w:rFonts w:ascii="Arial" w:eastAsia="黑体" w:hAnsi="Arial" w:cs="Arial"/>
                <w:snapToGrid w:val="0"/>
                <w:sz w:val="16"/>
                <w:szCs w:val="16"/>
              </w:rPr>
              <w:t>以公允价值计量且其变动计入其他</w:t>
            </w:r>
          </w:p>
          <w:p w:rsidR="00AD5BB5" w:rsidRDefault="00F87FF6">
            <w:pPr>
              <w:kinsoku w:val="0"/>
              <w:overflowPunct w:val="0"/>
              <w:autoSpaceDE w:val="0"/>
              <w:autoSpaceDN w:val="0"/>
              <w:adjustRightInd w:val="0"/>
              <w:snapToGrid w:val="0"/>
              <w:ind w:leftChars="271" w:left="729" w:hangingChars="100" w:hanging="160"/>
              <w:rPr>
                <w:rFonts w:ascii="Arial" w:eastAsia="黑体" w:hAnsi="Arial" w:cs="Arial"/>
                <w:snapToGrid w:val="0"/>
                <w:sz w:val="16"/>
                <w:szCs w:val="16"/>
              </w:rPr>
            </w:pPr>
            <w:r>
              <w:rPr>
                <w:rFonts w:ascii="Arial" w:eastAsia="黑体" w:hAnsi="Arial" w:cs="Arial"/>
                <w:snapToGrid w:val="0"/>
                <w:sz w:val="16"/>
                <w:szCs w:val="16"/>
              </w:rPr>
              <w:t>综合收益的贷款及垫款减值准备</w:t>
            </w:r>
          </w:p>
        </w:tc>
        <w:tc>
          <w:tcPr>
            <w:tcW w:w="10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451"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42,252,138.39</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2"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(3,724,068.52</w:t>
            </w:r>
          </w:p>
        </w:tc>
        <w:tc>
          <w:tcPr>
            <w:tcW w:w="109"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 w:val="16"/>
                <w:szCs w:val="16"/>
              </w:rPr>
            </w:pPr>
            <w:r>
              <w:rPr>
                <w:rFonts w:ascii="Arial" w:eastAsia="黑体" w:hAnsi="Arial" w:cs="Arial"/>
                <w:color w:val="000000"/>
                <w:sz w:val="16"/>
                <w:szCs w:val="16"/>
              </w:rPr>
              <w:t>)</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1"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38,528,069.87</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r>
      <w:tr w:rsidR="00AD5BB5">
        <w:tc>
          <w:tcPr>
            <w:tcW w:w="3544" w:type="dxa"/>
            <w:tcBorders>
              <w:top w:val="nil"/>
              <w:left w:val="nil"/>
              <w:bottom w:val="nil"/>
              <w:right w:val="nil"/>
            </w:tcBorders>
            <w:shd w:val="clear" w:color="000000" w:fill="auto"/>
            <w:noWrap/>
          </w:tcPr>
          <w:p w:rsidR="00AD5BB5" w:rsidRDefault="00AD5BB5">
            <w:pPr>
              <w:kinsoku w:val="0"/>
              <w:overflowPunct w:val="0"/>
              <w:autoSpaceDE w:val="0"/>
              <w:autoSpaceDN w:val="0"/>
              <w:adjustRightInd w:val="0"/>
              <w:snapToGrid w:val="0"/>
              <w:ind w:left="240" w:hangingChars="150" w:hanging="240"/>
              <w:rPr>
                <w:rFonts w:ascii="Arial" w:eastAsia="黑体" w:hAnsi="Arial" w:cs="Arial"/>
                <w:snapToGrid w:val="0"/>
                <w:sz w:val="16"/>
                <w:szCs w:val="16"/>
              </w:rPr>
            </w:pPr>
          </w:p>
        </w:tc>
        <w:tc>
          <w:tcPr>
            <w:tcW w:w="10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451"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2"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1"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r>
      <w:tr w:rsidR="00AD5BB5">
        <w:tc>
          <w:tcPr>
            <w:tcW w:w="3544"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160" w:hangingChars="100" w:hanging="160"/>
              <w:rPr>
                <w:rFonts w:ascii="Arial" w:eastAsia="黑体" w:hAnsi="Arial" w:cs="Arial"/>
                <w:color w:val="000000"/>
                <w:sz w:val="16"/>
                <w:szCs w:val="16"/>
              </w:rPr>
            </w:pPr>
            <w:r>
              <w:rPr>
                <w:rFonts w:ascii="Arial" w:eastAsia="黑体" w:hAnsi="Arial" w:cs="Arial"/>
                <w:color w:val="000000"/>
                <w:sz w:val="16"/>
                <w:szCs w:val="16"/>
              </w:rPr>
              <w:t>合计</w:t>
            </w:r>
          </w:p>
        </w:tc>
        <w:tc>
          <w:tcPr>
            <w:tcW w:w="10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451"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252,178,027.55</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2"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(291,588,222.22</w:t>
            </w:r>
          </w:p>
        </w:tc>
        <w:tc>
          <w:tcPr>
            <w:tcW w:w="109"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 w:val="16"/>
                <w:szCs w:val="16"/>
              </w:rPr>
            </w:pPr>
            <w:r>
              <w:rPr>
                <w:rFonts w:ascii="Arial" w:eastAsia="黑体" w:hAnsi="Arial" w:cs="Arial"/>
                <w:color w:val="000000"/>
                <w:sz w:val="16"/>
                <w:szCs w:val="16"/>
              </w:rPr>
              <w:t>)</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1"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(39,410,194.67</w:t>
            </w:r>
          </w:p>
        </w:tc>
        <w:tc>
          <w:tcPr>
            <w:tcW w:w="109"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 w:val="16"/>
                <w:szCs w:val="16"/>
              </w:rPr>
            </w:pPr>
            <w:r>
              <w:rPr>
                <w:rFonts w:ascii="Arial" w:eastAsia="黑体" w:hAnsi="Arial" w:cs="Arial"/>
                <w:color w:val="000000"/>
                <w:sz w:val="16"/>
                <w:szCs w:val="16"/>
              </w:rPr>
              <w:t>)</w:t>
            </w:r>
          </w:p>
        </w:tc>
      </w:tr>
    </w:tbl>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其他综合收益发生额：</w:t>
      </w:r>
    </w:p>
    <w:p w:rsidR="00AD5BB5" w:rsidRDefault="00AD5BB5">
      <w:pPr>
        <w:overflowPunct w:val="0"/>
        <w:autoSpaceDE w:val="0"/>
        <w:autoSpaceDN w:val="0"/>
        <w:rPr>
          <w:rFonts w:ascii="Arial" w:eastAsia="黑体" w:hAnsi="Arial" w:cs="Arial"/>
          <w:snapToGrid w:val="0"/>
          <w:szCs w:val="21"/>
        </w:rPr>
      </w:pPr>
    </w:p>
    <w:p w:rsidR="00AD5BB5" w:rsidRDefault="00F87FF6">
      <w:pPr>
        <w:rPr>
          <w:rFonts w:ascii="Arial" w:hAnsi="Arial" w:cs="Arial"/>
        </w:rPr>
      </w:pP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当期会计期间</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2023</w:t>
      </w:r>
      <w:r>
        <w:rPr>
          <w:rFonts w:ascii="Arial" w:eastAsia="黑体" w:hAnsi="Arial" w:cs="Arial"/>
          <w:snapToGrid w:val="0"/>
          <w:szCs w:val="21"/>
        </w:rPr>
        <w:fldChar w:fldCharType="end"/>
      </w:r>
      <w:r>
        <w:rPr>
          <w:rFonts w:ascii="Arial" w:eastAsia="黑体" w:hAnsi="Arial" w:cs="Arial"/>
          <w:snapToGrid w:val="0"/>
          <w:szCs w:val="21"/>
        </w:rPr>
        <w:t>年</w:t>
      </w:r>
      <w:r>
        <w:rPr>
          <w:rFonts w:ascii="Arial" w:eastAsia="黑体" w:hAnsi="Arial" w:cs="Arial"/>
          <w:snapToGrid w:val="0"/>
          <w:szCs w:val="21"/>
        </w:rPr>
        <w:t>1-6</w:t>
      </w:r>
      <w:r>
        <w:rPr>
          <w:rFonts w:ascii="Arial" w:eastAsia="黑体" w:hAnsi="Arial" w:cs="Arial"/>
          <w:snapToGrid w:val="0"/>
          <w:szCs w:val="21"/>
        </w:rPr>
        <w:t>月</w:t>
      </w:r>
    </w:p>
    <w:tbl>
      <w:tblPr>
        <w:tblW w:w="0" w:type="auto"/>
        <w:tblLayout w:type="fixed"/>
        <w:tblCellMar>
          <w:left w:w="0" w:type="dxa"/>
          <w:right w:w="0" w:type="dxa"/>
        </w:tblCellMar>
        <w:tblLook w:val="04A0" w:firstRow="1" w:lastRow="0" w:firstColumn="1" w:lastColumn="0" w:noHBand="0" w:noVBand="1"/>
        <w:tblCaption w:val="33ffc2bc-c6a1-4057-a224-41b186eb4175"/>
        <w:tblDescription w:val="{&quot;UUID&quot;:&quot;afsaddin_tabledata_2_56437_33ffc2bc-c6a1-4057-a224-41b186eb4175&quot;,&quot;TitleRowCount&quot;:2,&quot;SplitedTable&quot;:false,&quot;FirstTableId&quot;:&quot;33ffc2bc-c6a1-4057-a224-41b186eb4175&quot;}"/>
      </w:tblPr>
      <w:tblGrid>
        <w:gridCol w:w="2410"/>
        <w:gridCol w:w="106"/>
        <w:gridCol w:w="1170"/>
        <w:gridCol w:w="107"/>
        <w:gridCol w:w="107"/>
        <w:gridCol w:w="1345"/>
        <w:gridCol w:w="107"/>
        <w:gridCol w:w="107"/>
        <w:gridCol w:w="1204"/>
        <w:gridCol w:w="107"/>
        <w:gridCol w:w="107"/>
        <w:gridCol w:w="1304"/>
        <w:gridCol w:w="107"/>
      </w:tblGrid>
      <w:tr w:rsidR="00AD5BB5">
        <w:tc>
          <w:tcPr>
            <w:tcW w:w="2410" w:type="dxa"/>
            <w:tcBorders>
              <w:top w:val="nil"/>
              <w:left w:val="nil"/>
              <w:bottom w:val="nil"/>
              <w:right w:val="nil"/>
            </w:tcBorders>
            <w:shd w:val="clear" w:color="auto" w:fill="auto"/>
            <w:noWrap/>
            <w:vAlign w:val="bottom"/>
          </w:tcPr>
          <w:p w:rsidR="00AD5BB5" w:rsidRDefault="00AD5BB5">
            <w:pPr>
              <w:overflowPunct w:val="0"/>
              <w:autoSpaceDE w:val="0"/>
              <w:autoSpaceDN w:val="0"/>
              <w:ind w:left="240" w:hangingChars="150" w:hanging="240"/>
              <w:rPr>
                <w:rFonts w:ascii="Arial" w:eastAsia="黑体" w:hAnsi="Arial" w:cs="Arial"/>
                <w:snapToGrid w:val="0"/>
                <w:sz w:val="16"/>
                <w:szCs w:val="16"/>
                <w:u w:val="single"/>
              </w:rPr>
            </w:pPr>
          </w:p>
        </w:tc>
        <w:tc>
          <w:tcPr>
            <w:tcW w:w="106"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16"/>
                <w:szCs w:val="16"/>
              </w:rPr>
            </w:pPr>
          </w:p>
        </w:tc>
        <w:tc>
          <w:tcPr>
            <w:tcW w:w="1170"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snapToGrid w:val="0"/>
                <w:sz w:val="16"/>
                <w:szCs w:val="16"/>
              </w:rPr>
              <w:t>税前发生额</w:t>
            </w: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16"/>
                <w:szCs w:val="16"/>
              </w:rPr>
            </w:pPr>
          </w:p>
        </w:tc>
        <w:tc>
          <w:tcPr>
            <w:tcW w:w="1345"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snapToGrid w:val="0"/>
                <w:sz w:val="16"/>
                <w:szCs w:val="16"/>
              </w:rPr>
              <w:t>前期计入其他综合收益当期转入损益</w:t>
            </w: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6"/>
                <w:szCs w:val="16"/>
              </w:rPr>
            </w:pPr>
          </w:p>
        </w:tc>
        <w:tc>
          <w:tcPr>
            <w:tcW w:w="107"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jc w:val="right"/>
              <w:rPr>
                <w:rFonts w:ascii="Arial" w:eastAsia="黑体" w:hAnsi="Arial" w:cs="Arial"/>
                <w:snapToGrid w:val="0"/>
                <w:sz w:val="16"/>
                <w:szCs w:val="16"/>
              </w:rPr>
            </w:pPr>
          </w:p>
        </w:tc>
        <w:tc>
          <w:tcPr>
            <w:tcW w:w="1204"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snapToGrid w:val="0"/>
                <w:sz w:val="16"/>
                <w:szCs w:val="16"/>
              </w:rPr>
              <w:t>所得税</w:t>
            </w: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6"/>
                <w:szCs w:val="16"/>
              </w:rPr>
            </w:pPr>
          </w:p>
        </w:tc>
        <w:tc>
          <w:tcPr>
            <w:tcW w:w="1304"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napToGrid w:val="0"/>
                <w:sz w:val="16"/>
                <w:szCs w:val="16"/>
              </w:rPr>
            </w:pPr>
            <w:r>
              <w:rPr>
                <w:rFonts w:ascii="Arial" w:eastAsia="黑体" w:hAnsi="Arial" w:cs="Arial"/>
                <w:snapToGrid w:val="0"/>
                <w:sz w:val="16"/>
                <w:szCs w:val="16"/>
              </w:rPr>
              <w:t>归属于</w:t>
            </w:r>
          </w:p>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snapToGrid w:val="0"/>
                <w:sz w:val="16"/>
                <w:szCs w:val="16"/>
              </w:rPr>
              <w:t>母公司股东</w:t>
            </w: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6"/>
                <w:szCs w:val="16"/>
              </w:rPr>
            </w:pPr>
          </w:p>
        </w:tc>
      </w:tr>
      <w:tr w:rsidR="00AD5BB5">
        <w:tc>
          <w:tcPr>
            <w:tcW w:w="24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240" w:hangingChars="150" w:hanging="240"/>
              <w:jc w:val="right"/>
              <w:rPr>
                <w:rFonts w:ascii="Arial" w:eastAsia="黑体" w:hAnsi="Arial" w:cs="Arial"/>
                <w:sz w:val="16"/>
                <w:szCs w:val="16"/>
              </w:rPr>
            </w:pPr>
          </w:p>
        </w:tc>
        <w:tc>
          <w:tcPr>
            <w:tcW w:w="106"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16"/>
                <w:szCs w:val="16"/>
              </w:rPr>
            </w:pPr>
          </w:p>
        </w:tc>
        <w:tc>
          <w:tcPr>
            <w:tcW w:w="117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6"/>
                <w:szCs w:val="16"/>
              </w:rPr>
            </w:pPr>
          </w:p>
        </w:tc>
        <w:tc>
          <w:tcPr>
            <w:tcW w:w="134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6"/>
                <w:szCs w:val="16"/>
              </w:rPr>
            </w:pPr>
          </w:p>
        </w:tc>
        <w:tc>
          <w:tcPr>
            <w:tcW w:w="107"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6"/>
                <w:szCs w:val="16"/>
              </w:rPr>
            </w:pPr>
          </w:p>
        </w:tc>
        <w:tc>
          <w:tcPr>
            <w:tcW w:w="1204"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6"/>
                <w:szCs w:val="16"/>
              </w:rPr>
            </w:pPr>
          </w:p>
        </w:tc>
        <w:tc>
          <w:tcPr>
            <w:tcW w:w="1304"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6"/>
                <w:szCs w:val="16"/>
              </w:rPr>
            </w:pPr>
          </w:p>
        </w:tc>
      </w:tr>
      <w:tr w:rsidR="00AD5BB5">
        <w:tc>
          <w:tcPr>
            <w:tcW w:w="2410"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166" w:hangingChars="104" w:hanging="166"/>
              <w:rPr>
                <w:rFonts w:ascii="Arial" w:eastAsia="黑体" w:hAnsi="Arial" w:cs="Arial"/>
                <w:color w:val="000000"/>
                <w:sz w:val="16"/>
                <w:szCs w:val="16"/>
              </w:rPr>
            </w:pPr>
            <w:r>
              <w:rPr>
                <w:rFonts w:ascii="Arial" w:eastAsia="黑体" w:hAnsi="Arial" w:cs="Arial"/>
                <w:snapToGrid w:val="0"/>
                <w:sz w:val="16"/>
                <w:szCs w:val="16"/>
              </w:rPr>
              <w:t>不能重分类进损益的其他综合收益</w:t>
            </w:r>
          </w:p>
        </w:tc>
        <w:tc>
          <w:tcPr>
            <w:tcW w:w="106"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17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16"/>
                <w:szCs w:val="16"/>
              </w:rPr>
            </w:pPr>
          </w:p>
        </w:tc>
        <w:tc>
          <w:tcPr>
            <w:tcW w:w="134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7"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204"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16"/>
                <w:szCs w:val="16"/>
              </w:rPr>
            </w:pPr>
          </w:p>
        </w:tc>
        <w:tc>
          <w:tcPr>
            <w:tcW w:w="1304"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r>
      <w:tr w:rsidR="00AD5BB5">
        <w:tc>
          <w:tcPr>
            <w:tcW w:w="2410"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Chars="65" w:left="302" w:hangingChars="104" w:hanging="166"/>
              <w:rPr>
                <w:rFonts w:ascii="Arial" w:eastAsia="黑体" w:hAnsi="Arial" w:cs="Arial"/>
                <w:snapToGrid w:val="0"/>
                <w:sz w:val="16"/>
                <w:szCs w:val="16"/>
              </w:rPr>
            </w:pPr>
            <w:r>
              <w:rPr>
                <w:rFonts w:ascii="Arial" w:eastAsia="黑体" w:hAnsi="Arial" w:cs="Arial"/>
                <w:snapToGrid w:val="0"/>
                <w:sz w:val="16"/>
                <w:szCs w:val="16"/>
              </w:rPr>
              <w:t>其他权益工具投资公允价值变动</w:t>
            </w:r>
          </w:p>
        </w:tc>
        <w:tc>
          <w:tcPr>
            <w:tcW w:w="106"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170"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sz w:val="16"/>
              </w:rPr>
              <w:t>18,773,233.47</w:t>
            </w: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5"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w:t>
            </w: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7"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204"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sz w:val="16"/>
              </w:rPr>
              <w:t>(4,693,308.37</w:t>
            </w:r>
          </w:p>
        </w:tc>
        <w:tc>
          <w:tcPr>
            <w:tcW w:w="10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 w:val="16"/>
                <w:szCs w:val="16"/>
              </w:rPr>
            </w:pPr>
            <w:r>
              <w:rPr>
                <w:rFonts w:ascii="Arial" w:eastAsia="黑体" w:hAnsi="Arial" w:cs="Arial"/>
                <w:color w:val="000000"/>
                <w:sz w:val="16"/>
                <w:szCs w:val="16"/>
              </w:rPr>
              <w:t>)</w:t>
            </w: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04"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14,079,925.10</w:t>
            </w: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r>
      <w:tr w:rsidR="00AD5BB5">
        <w:tc>
          <w:tcPr>
            <w:tcW w:w="2410" w:type="dxa"/>
            <w:tcBorders>
              <w:top w:val="nil"/>
              <w:left w:val="nil"/>
              <w:bottom w:val="nil"/>
              <w:right w:val="nil"/>
            </w:tcBorders>
            <w:shd w:val="clear" w:color="auto" w:fill="auto"/>
            <w:noWrap/>
          </w:tcPr>
          <w:p w:rsidR="00AD5BB5" w:rsidRDefault="00AD5BB5">
            <w:pPr>
              <w:kinsoku w:val="0"/>
              <w:overflowPunct w:val="0"/>
              <w:autoSpaceDE w:val="0"/>
              <w:autoSpaceDN w:val="0"/>
              <w:adjustRightInd w:val="0"/>
              <w:snapToGrid w:val="0"/>
              <w:ind w:leftChars="54" w:left="279" w:hangingChars="104" w:hanging="166"/>
              <w:rPr>
                <w:rFonts w:ascii="Arial" w:eastAsia="黑体" w:hAnsi="Arial" w:cs="Arial"/>
                <w:snapToGrid w:val="0"/>
                <w:sz w:val="16"/>
                <w:szCs w:val="16"/>
              </w:rPr>
            </w:pPr>
          </w:p>
        </w:tc>
        <w:tc>
          <w:tcPr>
            <w:tcW w:w="106"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17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23" w:right="48"/>
              <w:jc w:val="right"/>
              <w:rPr>
                <w:rFonts w:ascii="Arial" w:eastAsia="黑体" w:hAnsi="Arial" w:cs="Arial"/>
                <w:color w:val="000000"/>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23" w:right="48"/>
              <w:jc w:val="right"/>
              <w:rPr>
                <w:rFonts w:ascii="Arial" w:eastAsia="黑体" w:hAnsi="Arial" w:cs="Arial"/>
                <w:color w:val="000000"/>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7"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204"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23" w:right="48"/>
              <w:jc w:val="right"/>
              <w:rPr>
                <w:rFonts w:ascii="Arial" w:eastAsia="黑体" w:hAnsi="Arial" w:cs="Arial"/>
                <w:color w:val="000000"/>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04"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r>
      <w:tr w:rsidR="00AD5BB5">
        <w:tc>
          <w:tcPr>
            <w:tcW w:w="2410"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166" w:hangingChars="104" w:hanging="166"/>
              <w:rPr>
                <w:rFonts w:ascii="Arial" w:eastAsia="黑体" w:hAnsi="Arial" w:cs="Arial"/>
                <w:color w:val="000000"/>
                <w:sz w:val="16"/>
                <w:szCs w:val="16"/>
              </w:rPr>
            </w:pPr>
            <w:r>
              <w:rPr>
                <w:rFonts w:ascii="Arial" w:eastAsia="黑体" w:hAnsi="Arial" w:cs="Arial"/>
                <w:snapToGrid w:val="0"/>
                <w:sz w:val="16"/>
                <w:szCs w:val="16"/>
              </w:rPr>
              <w:t>将重分类进损益的其他综合收益</w:t>
            </w:r>
          </w:p>
        </w:tc>
        <w:tc>
          <w:tcPr>
            <w:tcW w:w="106"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17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23" w:right="48"/>
              <w:jc w:val="right"/>
              <w:rPr>
                <w:rFonts w:ascii="Arial" w:eastAsia="黑体" w:hAnsi="Arial" w:cs="Arial"/>
                <w:color w:val="000000"/>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23" w:right="48"/>
              <w:jc w:val="right"/>
              <w:rPr>
                <w:rFonts w:ascii="Arial" w:eastAsia="黑体" w:hAnsi="Arial" w:cs="Arial"/>
                <w:color w:val="000000"/>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7"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204"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23" w:right="48"/>
              <w:jc w:val="right"/>
              <w:rPr>
                <w:rFonts w:ascii="Arial" w:eastAsia="黑体" w:hAnsi="Arial" w:cs="Arial"/>
                <w:color w:val="000000"/>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04"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r>
      <w:tr w:rsidR="00AD5BB5">
        <w:tc>
          <w:tcPr>
            <w:tcW w:w="2410"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Chars="65" w:left="302" w:hangingChars="104" w:hanging="166"/>
              <w:rPr>
                <w:rFonts w:ascii="Arial" w:eastAsia="黑体" w:hAnsi="Arial" w:cs="Arial"/>
                <w:color w:val="000000"/>
                <w:sz w:val="16"/>
                <w:szCs w:val="16"/>
              </w:rPr>
            </w:pPr>
            <w:r>
              <w:rPr>
                <w:rFonts w:ascii="Arial" w:eastAsia="黑体" w:hAnsi="Arial" w:cs="Arial"/>
                <w:snapToGrid w:val="0"/>
                <w:sz w:val="16"/>
                <w:szCs w:val="16"/>
              </w:rPr>
              <w:t>以公允价值计量且其变动计入其他综合收益的债务工具投资公允价值变动</w:t>
            </w:r>
          </w:p>
        </w:tc>
        <w:tc>
          <w:tcPr>
            <w:tcW w:w="106"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170"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sz w:val="16"/>
              </w:rPr>
              <w:t>448,461,166.08</w:t>
            </w: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5"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(39,063,924.93</w:t>
            </w:r>
          </w:p>
        </w:tc>
        <w:tc>
          <w:tcPr>
            <w:tcW w:w="10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 w:val="16"/>
                <w:szCs w:val="16"/>
              </w:rPr>
            </w:pPr>
            <w:r>
              <w:rPr>
                <w:rFonts w:ascii="Arial" w:eastAsia="黑体" w:hAnsi="Arial" w:cs="Arial"/>
                <w:color w:val="000000"/>
                <w:sz w:val="16"/>
                <w:szCs w:val="16"/>
              </w:rPr>
              <w:t>)</w:t>
            </w:r>
          </w:p>
        </w:tc>
        <w:tc>
          <w:tcPr>
            <w:tcW w:w="107"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204"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sz w:val="16"/>
              </w:rPr>
              <w:t>(102,349,310.29</w:t>
            </w:r>
          </w:p>
        </w:tc>
        <w:tc>
          <w:tcPr>
            <w:tcW w:w="10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 w:val="16"/>
                <w:szCs w:val="16"/>
              </w:rPr>
            </w:pPr>
            <w:r>
              <w:rPr>
                <w:rFonts w:ascii="Arial" w:eastAsia="黑体" w:hAnsi="Arial" w:cs="Arial"/>
                <w:color w:val="000000"/>
                <w:sz w:val="16"/>
                <w:szCs w:val="16"/>
              </w:rPr>
              <w:t>)</w:t>
            </w: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04"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307,047,930.86</w:t>
            </w: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r>
      <w:tr w:rsidR="00AD5BB5">
        <w:tc>
          <w:tcPr>
            <w:tcW w:w="2410" w:type="dxa"/>
            <w:tcBorders>
              <w:top w:val="nil"/>
              <w:left w:val="nil"/>
              <w:bottom w:val="nil"/>
              <w:right w:val="nil"/>
            </w:tcBorders>
            <w:shd w:val="clear" w:color="auto" w:fill="auto"/>
            <w:noWrap/>
          </w:tcPr>
          <w:p w:rsidR="00AD5BB5" w:rsidRDefault="00AD5BB5">
            <w:pPr>
              <w:kinsoku w:val="0"/>
              <w:overflowPunct w:val="0"/>
              <w:autoSpaceDE w:val="0"/>
              <w:autoSpaceDN w:val="0"/>
              <w:adjustRightInd w:val="0"/>
              <w:snapToGrid w:val="0"/>
              <w:ind w:leftChars="54" w:left="279" w:hangingChars="104" w:hanging="166"/>
              <w:rPr>
                <w:rFonts w:ascii="Arial" w:eastAsia="黑体" w:hAnsi="Arial" w:cs="Arial"/>
                <w:snapToGrid w:val="0"/>
                <w:sz w:val="16"/>
                <w:szCs w:val="16"/>
              </w:rPr>
            </w:pPr>
          </w:p>
        </w:tc>
        <w:tc>
          <w:tcPr>
            <w:tcW w:w="106"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17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23" w:right="48"/>
              <w:jc w:val="right"/>
              <w:rPr>
                <w:rFonts w:ascii="Arial" w:eastAsia="黑体" w:hAnsi="Arial" w:cs="Arial"/>
                <w:color w:val="000000"/>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7"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204"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04"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r>
      <w:tr w:rsidR="00AD5BB5">
        <w:tc>
          <w:tcPr>
            <w:tcW w:w="2410"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Chars="53" w:left="274" w:hangingChars="102" w:hanging="163"/>
              <w:rPr>
                <w:rFonts w:ascii="Arial" w:eastAsia="黑体" w:hAnsi="Arial" w:cs="Arial"/>
                <w:snapToGrid w:val="0"/>
                <w:sz w:val="16"/>
                <w:szCs w:val="16"/>
              </w:rPr>
            </w:pPr>
            <w:r>
              <w:rPr>
                <w:rFonts w:ascii="Arial" w:eastAsia="黑体" w:hAnsi="Arial" w:cs="Arial"/>
                <w:sz w:val="16"/>
                <w:szCs w:val="16"/>
              </w:rPr>
              <w:t>以公允价值计量且其变动计入其他综合收益的债务工具投资信用损失准备</w:t>
            </w:r>
          </w:p>
        </w:tc>
        <w:tc>
          <w:tcPr>
            <w:tcW w:w="106"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170"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24,595,049.25</w:t>
            </w: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45"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21,540,392.57</w:t>
            </w: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7"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204"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(11,533,860.44</w:t>
            </w:r>
          </w:p>
        </w:tc>
        <w:tc>
          <w:tcPr>
            <w:tcW w:w="10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 w:val="16"/>
                <w:szCs w:val="16"/>
              </w:rPr>
            </w:pPr>
            <w:r>
              <w:rPr>
                <w:rFonts w:ascii="Arial" w:eastAsia="黑体" w:hAnsi="Arial" w:cs="Arial"/>
                <w:color w:val="000000"/>
                <w:sz w:val="16"/>
                <w:szCs w:val="16"/>
              </w:rPr>
              <w:t>)</w:t>
            </w: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04"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34,601,581.38</w:t>
            </w: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r>
      <w:tr w:rsidR="00AD5BB5">
        <w:tc>
          <w:tcPr>
            <w:tcW w:w="24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240" w:hangingChars="150" w:hanging="240"/>
              <w:rPr>
                <w:rFonts w:ascii="Arial" w:eastAsia="黑体" w:hAnsi="Arial" w:cs="Arial"/>
                <w:color w:val="000000"/>
                <w:sz w:val="16"/>
                <w:szCs w:val="16"/>
              </w:rPr>
            </w:pPr>
          </w:p>
        </w:tc>
        <w:tc>
          <w:tcPr>
            <w:tcW w:w="106"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170"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16"/>
                <w:szCs w:val="16"/>
              </w:rPr>
            </w:pPr>
          </w:p>
        </w:tc>
        <w:tc>
          <w:tcPr>
            <w:tcW w:w="1345"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7"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204"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04"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r>
      <w:tr w:rsidR="00AD5BB5">
        <w:tc>
          <w:tcPr>
            <w:tcW w:w="2410"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160" w:hangingChars="100" w:hanging="160"/>
              <w:rPr>
                <w:rFonts w:ascii="Arial" w:eastAsia="黑体" w:hAnsi="Arial" w:cs="Arial"/>
                <w:color w:val="000000"/>
                <w:sz w:val="16"/>
                <w:szCs w:val="16"/>
              </w:rPr>
            </w:pPr>
            <w:r>
              <w:rPr>
                <w:rFonts w:ascii="Arial" w:eastAsia="黑体" w:hAnsi="Arial" w:cs="Arial"/>
                <w:color w:val="000000"/>
                <w:sz w:val="16"/>
                <w:szCs w:val="16"/>
              </w:rPr>
              <w:t>合计</w:t>
            </w:r>
          </w:p>
        </w:tc>
        <w:tc>
          <w:tcPr>
            <w:tcW w:w="106"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170" w:type="dxa"/>
            <w:tcBorders>
              <w:top w:val="nil"/>
              <w:left w:val="nil"/>
              <w:bottom w:val="doub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sz w:val="16"/>
              </w:rPr>
              <w:t>491,829,448.80</w:t>
            </w: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16"/>
                <w:szCs w:val="16"/>
              </w:rPr>
            </w:pPr>
          </w:p>
        </w:tc>
        <w:tc>
          <w:tcPr>
            <w:tcW w:w="1345" w:type="dxa"/>
            <w:tcBorders>
              <w:top w:val="nil"/>
              <w:left w:val="nil"/>
              <w:bottom w:val="doub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(17,523,532.36</w:t>
            </w:r>
          </w:p>
        </w:tc>
        <w:tc>
          <w:tcPr>
            <w:tcW w:w="10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 w:val="16"/>
                <w:szCs w:val="16"/>
              </w:rPr>
            </w:pPr>
            <w:r>
              <w:rPr>
                <w:rFonts w:ascii="Arial" w:eastAsia="黑体" w:hAnsi="Arial" w:cs="Arial"/>
                <w:color w:val="000000"/>
                <w:sz w:val="16"/>
                <w:szCs w:val="16"/>
              </w:rPr>
              <w:t>)</w:t>
            </w:r>
          </w:p>
        </w:tc>
        <w:tc>
          <w:tcPr>
            <w:tcW w:w="107"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204" w:type="dxa"/>
            <w:tcBorders>
              <w:top w:val="nil"/>
              <w:left w:val="nil"/>
              <w:bottom w:val="doub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sz w:val="16"/>
              </w:rPr>
              <w:t>(118,576,479.10</w:t>
            </w:r>
          </w:p>
        </w:tc>
        <w:tc>
          <w:tcPr>
            <w:tcW w:w="10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 w:val="16"/>
                <w:szCs w:val="16"/>
              </w:rPr>
            </w:pPr>
            <w:r>
              <w:rPr>
                <w:rFonts w:ascii="Arial" w:eastAsia="黑体" w:hAnsi="Arial" w:cs="Arial"/>
                <w:color w:val="000000"/>
                <w:sz w:val="16"/>
                <w:szCs w:val="16"/>
              </w:rPr>
              <w:t>)</w:t>
            </w: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c>
          <w:tcPr>
            <w:tcW w:w="1304" w:type="dxa"/>
            <w:tcBorders>
              <w:top w:val="nil"/>
              <w:left w:val="nil"/>
              <w:bottom w:val="doub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16"/>
                <w:szCs w:val="16"/>
              </w:rPr>
            </w:pPr>
            <w:r>
              <w:rPr>
                <w:rFonts w:ascii="Arial" w:eastAsia="黑体" w:hAnsi="Arial" w:cs="Arial"/>
                <w:color w:val="000000"/>
                <w:sz w:val="16"/>
                <w:szCs w:val="16"/>
              </w:rPr>
              <w:t>355,729,437.34</w:t>
            </w: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r>
    </w:tbl>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pPr>
    </w:p>
    <w:p w:rsidR="00AD5BB5" w:rsidRDefault="00F87FF6">
      <w:pPr>
        <w:rPr>
          <w:rFonts w:ascii="Arial" w:eastAsia="黑体" w:hAnsi="Arial" w:cs="Arial"/>
          <w:snapToGrid w:val="0"/>
          <w:szCs w:val="21"/>
        </w:rPr>
      </w:pPr>
      <w:r>
        <w:rPr>
          <w:rFonts w:ascii="Arial" w:eastAsia="黑体" w:hAnsi="Arial" w:cs="Arial"/>
          <w:snapToGrid w:val="0"/>
          <w:szCs w:val="21"/>
        </w:rPr>
        <w:br w:type="page"/>
      </w:r>
    </w:p>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adjustRightInd w:val="0"/>
        <w:snapToGrid w:val="0"/>
        <w:textAlignment w:val="bottom"/>
        <w:rPr>
          <w:rFonts w:ascii="Arial" w:eastAsia="黑体" w:hAnsi="Arial" w:cs="Arial"/>
          <w:b/>
          <w:snapToGrid w:val="0"/>
          <w:szCs w:val="21"/>
        </w:rPr>
      </w:pPr>
      <w:r>
        <w:rPr>
          <w:rFonts w:ascii="Arial" w:eastAsia="黑体" w:hAnsi="Arial" w:cs="Arial"/>
          <w:b/>
          <w:snapToGrid w:val="0"/>
          <w:szCs w:val="21"/>
        </w:rPr>
        <w:t>五、</w:t>
      </w:r>
      <w:r>
        <w:rPr>
          <w:rFonts w:ascii="Arial" w:eastAsia="黑体" w:hAnsi="Arial" w:cs="Arial"/>
          <w:b/>
          <w:snapToGrid w:val="0"/>
          <w:szCs w:val="21"/>
        </w:rPr>
        <w:tab/>
      </w:r>
      <w:r>
        <w:rPr>
          <w:rFonts w:ascii="Arial" w:eastAsia="黑体" w:hAnsi="Arial" w:cs="Arial"/>
          <w:b/>
          <w:snapToGrid w:val="0"/>
          <w:szCs w:val="21"/>
        </w:rPr>
        <w:t>合并财务报表主要项目注释（续）</w:t>
      </w:r>
    </w:p>
    <w:p w:rsidR="00AD5BB5" w:rsidRDefault="00AD5BB5">
      <w:pPr>
        <w:overflowPunct w:val="0"/>
        <w:autoSpaceDE w:val="0"/>
        <w:autoSpaceDN w:val="0"/>
        <w:rPr>
          <w:rFonts w:ascii="Arial" w:eastAsia="黑体" w:hAnsi="Arial" w:cs="Arial"/>
          <w:snapToGrid w:val="0"/>
          <w:szCs w:val="21"/>
        </w:rPr>
      </w:pPr>
    </w:p>
    <w:p w:rsidR="00AD5BB5" w:rsidRDefault="00F87FF6">
      <w:pPr>
        <w:pStyle w:val="af5"/>
        <w:keepNext w:val="0"/>
        <w:keepLines w:val="0"/>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r>
        <w:rPr>
          <w:rFonts w:ascii="Arial" w:eastAsia="黑体" w:hAnsi="Arial" w:cs="Arial" w:hint="default"/>
          <w:bCs w:val="0"/>
          <w:snapToGrid w:val="0"/>
          <w:color w:val="auto"/>
          <w:sz w:val="21"/>
          <w:szCs w:val="21"/>
        </w:rPr>
        <w:t>32.</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其他综合收益（续）</w:t>
      </w:r>
    </w:p>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pPr>
      <w:bookmarkStart w:id="215" w:name="afsaddin_WithXu_7afe0a1d26eb438caf0b90cd"/>
      <w:bookmarkStart w:id="216" w:name="afsaddin_WithXu_42b002b63f4745f8b628c3ae"/>
      <w:bookmarkEnd w:id="215"/>
      <w:bookmarkEnd w:id="216"/>
    </w:p>
    <w:p w:rsidR="00AD5BB5" w:rsidRDefault="00F87FF6">
      <w:pPr>
        <w:rPr>
          <w:rFonts w:ascii="Arial" w:hAnsi="Arial" w:cs="Arial"/>
        </w:rPr>
      </w:pP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自定义</w:instrText>
      </w:r>
      <w:r>
        <w:rPr>
          <w:rFonts w:ascii="Arial" w:eastAsia="黑体" w:hAnsi="Arial" w:cs="Arial"/>
          <w:snapToGrid w:val="0"/>
          <w:szCs w:val="21"/>
        </w:rPr>
        <w:instrText xml:space="preserve">3 </w:instrText>
      </w:r>
      <w:r>
        <w:rPr>
          <w:rFonts w:ascii="Arial" w:eastAsia="黑体" w:hAnsi="Arial" w:cs="Arial"/>
          <w:snapToGrid w:val="0"/>
          <w:szCs w:val="21"/>
        </w:rPr>
        <w:fldChar w:fldCharType="separate"/>
      </w:r>
      <w:r>
        <w:rPr>
          <w:rFonts w:ascii="Arial" w:eastAsia="黑体" w:hAnsi="Arial" w:cs="Arial"/>
          <w:snapToGrid w:val="0"/>
          <w:szCs w:val="21"/>
        </w:rPr>
        <w:t>2022</w:t>
      </w:r>
      <w:r>
        <w:rPr>
          <w:rFonts w:ascii="Arial" w:eastAsia="黑体" w:hAnsi="Arial" w:cs="Arial"/>
          <w:snapToGrid w:val="0"/>
          <w:szCs w:val="21"/>
        </w:rPr>
        <w:t>年度</w:t>
      </w:r>
      <w:r>
        <w:rPr>
          <w:rFonts w:ascii="Arial" w:eastAsia="黑体" w:hAnsi="Arial" w:cs="Arial"/>
          <w:snapToGrid w:val="0"/>
          <w:szCs w:val="21"/>
        </w:rPr>
        <w:fldChar w:fldCharType="end"/>
      </w:r>
    </w:p>
    <w:tbl>
      <w:tblPr>
        <w:tblW w:w="0" w:type="auto"/>
        <w:tblLayout w:type="fixed"/>
        <w:tblCellMar>
          <w:left w:w="0" w:type="dxa"/>
          <w:right w:w="0" w:type="dxa"/>
        </w:tblCellMar>
        <w:tblLook w:val="04A0" w:firstRow="1" w:lastRow="0" w:firstColumn="1" w:lastColumn="0" w:noHBand="0" w:noVBand="1"/>
        <w:tblCaption w:val="bfb9eed6-2cbc-462f-b187-0d49752c017e"/>
        <w:tblDescription w:val="{&quot;UUID&quot;:&quot;afsaddin_tabledata_2_56437_bfb9eed6-2cbc-462f-b187-0d49752c017e&quot;,&quot;TitleRowCount&quot;:2,&quot;SplitedTable&quot;:false,&quot;FirstTableId&quot;:&quot;bfb9eed6-2cbc-462f-b187-0d49752c017e&quot;}"/>
      </w:tblPr>
      <w:tblGrid>
        <w:gridCol w:w="2422"/>
        <w:gridCol w:w="70"/>
        <w:gridCol w:w="1194"/>
        <w:gridCol w:w="108"/>
        <w:gridCol w:w="98"/>
        <w:gridCol w:w="1372"/>
        <w:gridCol w:w="84"/>
        <w:gridCol w:w="112"/>
        <w:gridCol w:w="1203"/>
        <w:gridCol w:w="112"/>
        <w:gridCol w:w="112"/>
        <w:gridCol w:w="1300"/>
        <w:gridCol w:w="107"/>
      </w:tblGrid>
      <w:tr w:rsidR="00AD5BB5">
        <w:tc>
          <w:tcPr>
            <w:tcW w:w="2422"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7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税前发生额</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7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前期计入其他综合收益当期转入损益</w:t>
            </w:r>
          </w:p>
        </w:tc>
        <w:tc>
          <w:tcPr>
            <w:tcW w:w="8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3" w:type="dxa"/>
            <w:tcBorders>
              <w:top w:val="nil"/>
              <w:left w:val="nil"/>
              <w:bottom w:val="nil"/>
              <w:right w:val="nil"/>
            </w:tcBorders>
            <w:vAlign w:val="bottom"/>
          </w:tcPr>
          <w:p w:rsidR="00AD5BB5" w:rsidRDefault="00F87FF6">
            <w:pPr>
              <w:kinsoku w:val="0"/>
              <w:overflowPunct w:val="0"/>
              <w:autoSpaceDE w:val="0"/>
              <w:autoSpaceDN w:val="0"/>
              <w:adjustRightInd w:val="0"/>
              <w:snapToGrid w:val="0"/>
              <w:jc w:val="right"/>
              <w:rPr>
                <w:rFonts w:ascii="Arial" w:eastAsia="黑体" w:hAnsi="Arial" w:cs="Arial"/>
                <w:snapToGrid w:val="0"/>
                <w:sz w:val="16"/>
                <w:szCs w:val="16"/>
              </w:rPr>
            </w:pPr>
            <w:r>
              <w:rPr>
                <w:rFonts w:ascii="Arial" w:eastAsia="黑体" w:hAnsi="Arial" w:cs="Arial"/>
                <w:snapToGrid w:val="0"/>
                <w:sz w:val="16"/>
                <w:szCs w:val="16"/>
              </w:rPr>
              <w:t>所得税</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归属于</w:t>
            </w:r>
          </w:p>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母公司股东</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422" w:type="dxa"/>
            <w:tcBorders>
              <w:top w:val="nil"/>
              <w:left w:val="nil"/>
              <w:bottom w:val="nil"/>
              <w:right w:val="nil"/>
            </w:tcBorders>
            <w:vAlign w:val="bottom"/>
          </w:tcPr>
          <w:p w:rsidR="00AD5BB5" w:rsidRDefault="00AD5BB5">
            <w:pPr>
              <w:autoSpaceDE w:val="0"/>
              <w:autoSpaceDN w:val="0"/>
              <w:ind w:left="240" w:hangingChars="150" w:hanging="240"/>
              <w:jc w:val="right"/>
              <w:rPr>
                <w:rFonts w:ascii="Arial" w:eastAsia="黑体" w:hAnsi="Arial" w:cs="Arial"/>
                <w:sz w:val="16"/>
                <w:szCs w:val="16"/>
              </w:rPr>
            </w:pPr>
          </w:p>
        </w:tc>
        <w:tc>
          <w:tcPr>
            <w:tcW w:w="7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7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8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422"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不能重分类进损益的其他综合收益</w:t>
            </w:r>
          </w:p>
        </w:tc>
        <w:tc>
          <w:tcPr>
            <w:tcW w:w="7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7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8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422" w:type="dxa"/>
            <w:tcBorders>
              <w:top w:val="nil"/>
              <w:left w:val="nil"/>
              <w:bottom w:val="nil"/>
              <w:right w:val="nil"/>
            </w:tcBorders>
            <w:vAlign w:val="bottom"/>
          </w:tcPr>
          <w:p w:rsidR="00AD5BB5" w:rsidRDefault="00F87FF6">
            <w:pPr>
              <w:autoSpaceDE w:val="0"/>
              <w:autoSpaceDN w:val="0"/>
              <w:ind w:leftChars="59" w:left="284" w:hangingChars="100" w:hanging="160"/>
              <w:rPr>
                <w:rFonts w:ascii="Arial" w:eastAsia="黑体" w:hAnsi="Arial" w:cs="Arial"/>
                <w:sz w:val="16"/>
                <w:szCs w:val="16"/>
              </w:rPr>
            </w:pPr>
            <w:r>
              <w:rPr>
                <w:rFonts w:ascii="Arial" w:eastAsia="黑体" w:hAnsi="Arial" w:cs="Arial"/>
                <w:sz w:val="16"/>
                <w:szCs w:val="16"/>
              </w:rPr>
              <w:t>其他权益工具投资公允价值变动</w:t>
            </w:r>
          </w:p>
        </w:tc>
        <w:tc>
          <w:tcPr>
            <w:tcW w:w="7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1,868,002.80</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7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8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(467,000.54</w:t>
            </w:r>
          </w:p>
        </w:tc>
        <w:tc>
          <w:tcPr>
            <w:tcW w:w="112"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1,401,002.26</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422"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7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7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8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422"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将重分类进损益的其他综合收益</w:t>
            </w:r>
          </w:p>
        </w:tc>
        <w:tc>
          <w:tcPr>
            <w:tcW w:w="7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7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8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422" w:type="dxa"/>
            <w:tcBorders>
              <w:top w:val="nil"/>
              <w:left w:val="nil"/>
              <w:bottom w:val="nil"/>
              <w:right w:val="nil"/>
            </w:tcBorders>
            <w:vAlign w:val="bottom"/>
          </w:tcPr>
          <w:p w:rsidR="00AD5BB5" w:rsidRDefault="00F87FF6">
            <w:pPr>
              <w:autoSpaceDE w:val="0"/>
              <w:autoSpaceDN w:val="0"/>
              <w:ind w:leftChars="70" w:left="301" w:rightChars="46" w:right="97" w:hangingChars="96" w:hanging="154"/>
              <w:rPr>
                <w:rFonts w:ascii="Arial" w:eastAsia="黑体" w:hAnsi="Arial" w:cs="Arial"/>
                <w:sz w:val="16"/>
                <w:szCs w:val="16"/>
              </w:rPr>
            </w:pPr>
            <w:r>
              <w:rPr>
                <w:rFonts w:ascii="Arial" w:eastAsia="黑体" w:hAnsi="Arial" w:cs="Arial"/>
                <w:sz w:val="16"/>
                <w:szCs w:val="16"/>
              </w:rPr>
              <w:t>以公允价值计量且其变动计入其他综合收益的债务工具投资公允价值变动</w:t>
            </w:r>
          </w:p>
        </w:tc>
        <w:tc>
          <w:tcPr>
            <w:tcW w:w="7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(536,653,854.41</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7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132,906,797.71</w:t>
            </w:r>
          </w:p>
        </w:tc>
        <w:tc>
          <w:tcPr>
            <w:tcW w:w="8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100,936,764.16</w:t>
            </w:r>
          </w:p>
        </w:tc>
        <w:tc>
          <w:tcPr>
            <w:tcW w:w="112" w:type="dxa"/>
            <w:tcBorders>
              <w:top w:val="nil"/>
              <w:left w:val="nil"/>
              <w:bottom w:val="nil"/>
              <w:right w:val="nil"/>
            </w:tcBorders>
            <w:vAlign w:val="bottom"/>
          </w:tcPr>
          <w:p w:rsidR="00AD5BB5" w:rsidRDefault="00AD5BB5">
            <w:pPr>
              <w:autoSpaceDE w:val="0"/>
              <w:autoSpaceDN w:val="0"/>
              <w:ind w:leftChars="-5" w:left="-10"/>
              <w:rPr>
                <w:rFonts w:ascii="Arial" w:eastAsia="黑体" w:hAnsi="Arial" w:cs="Arial"/>
                <w:sz w:val="16"/>
                <w:szCs w:val="16"/>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(302,810,292.54</w:t>
            </w:r>
          </w:p>
        </w:tc>
        <w:tc>
          <w:tcPr>
            <w:tcW w:w="107"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r w:rsidR="00AD5BB5">
        <w:tc>
          <w:tcPr>
            <w:tcW w:w="2422"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7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7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8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422" w:type="dxa"/>
            <w:tcBorders>
              <w:top w:val="nil"/>
              <w:left w:val="nil"/>
              <w:bottom w:val="nil"/>
              <w:right w:val="nil"/>
            </w:tcBorders>
            <w:vAlign w:val="bottom"/>
          </w:tcPr>
          <w:p w:rsidR="00AD5BB5" w:rsidRDefault="00F87FF6">
            <w:pPr>
              <w:autoSpaceDE w:val="0"/>
              <w:autoSpaceDN w:val="0"/>
              <w:ind w:leftChars="82" w:left="297" w:rightChars="40" w:right="84" w:hangingChars="78" w:hanging="125"/>
              <w:rPr>
                <w:rFonts w:ascii="Arial" w:eastAsia="黑体" w:hAnsi="Arial" w:cs="Arial"/>
                <w:sz w:val="16"/>
                <w:szCs w:val="16"/>
              </w:rPr>
            </w:pPr>
            <w:r>
              <w:rPr>
                <w:rFonts w:ascii="Arial" w:eastAsia="黑体" w:hAnsi="Arial" w:cs="Arial"/>
                <w:sz w:val="16"/>
                <w:szCs w:val="16"/>
              </w:rPr>
              <w:t>以公允价值计量且其变动计入其他综合收益的债务工具投资信用损失准备</w:t>
            </w:r>
          </w:p>
        </w:tc>
        <w:tc>
          <w:tcPr>
            <w:tcW w:w="7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9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167,245,612.63</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7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(154,150,855.24</w:t>
            </w:r>
          </w:p>
        </w:tc>
        <w:tc>
          <w:tcPr>
            <w:tcW w:w="84"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(3,273,689.33</w:t>
            </w:r>
          </w:p>
        </w:tc>
        <w:tc>
          <w:tcPr>
            <w:tcW w:w="112"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9,821,068.06</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422"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7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9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7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8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422"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合计</w:t>
            </w:r>
          </w:p>
        </w:tc>
        <w:tc>
          <w:tcPr>
            <w:tcW w:w="7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9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(367,540,238.98</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7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(21,244,057.53</w:t>
            </w:r>
          </w:p>
        </w:tc>
        <w:tc>
          <w:tcPr>
            <w:tcW w:w="84"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0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97,196,074.29</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0"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(291,588,222.22</w:t>
            </w:r>
          </w:p>
        </w:tc>
        <w:tc>
          <w:tcPr>
            <w:tcW w:w="107"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w:t>
            </w:r>
          </w:p>
        </w:tc>
      </w:tr>
    </w:tbl>
    <w:p w:rsidR="00AD5BB5" w:rsidRDefault="00AD5BB5">
      <w:pPr>
        <w:overflowPunct w:val="0"/>
        <w:autoSpaceDE w:val="0"/>
        <w:autoSpaceDN w:val="0"/>
        <w:rPr>
          <w:rFonts w:ascii="Arial" w:eastAsia="黑体" w:hAnsi="Arial" w:cs="Arial"/>
          <w:snapToGrid w:val="0"/>
          <w:szCs w:val="21"/>
        </w:rPr>
      </w:pPr>
    </w:p>
    <w:p w:rsidR="00AD5BB5" w:rsidRDefault="00F87FF6">
      <w:pPr>
        <w:pStyle w:val="af5"/>
        <w:keepNext w:val="0"/>
        <w:keepLines w:val="0"/>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r>
        <w:rPr>
          <w:rFonts w:ascii="Arial" w:eastAsia="黑体" w:hAnsi="Arial" w:cs="Arial" w:hint="default"/>
          <w:bCs w:val="0"/>
          <w:snapToGrid w:val="0"/>
          <w:color w:val="auto"/>
          <w:sz w:val="21"/>
          <w:szCs w:val="21"/>
        </w:rPr>
        <w:t>33.</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盈余公积</w:t>
      </w: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当期会计期间</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2023</w:t>
      </w:r>
      <w:r>
        <w:rPr>
          <w:rFonts w:ascii="Arial" w:eastAsia="黑体" w:hAnsi="Arial" w:cs="Arial"/>
          <w:snapToGrid w:val="0"/>
          <w:szCs w:val="21"/>
        </w:rPr>
        <w:fldChar w:fldCharType="end"/>
      </w:r>
      <w:r>
        <w:rPr>
          <w:rFonts w:ascii="Arial" w:eastAsia="黑体" w:hAnsi="Arial" w:cs="Arial"/>
          <w:snapToGrid w:val="0"/>
          <w:szCs w:val="21"/>
        </w:rPr>
        <w:t>年</w:t>
      </w:r>
      <w:r>
        <w:rPr>
          <w:rFonts w:ascii="Arial" w:eastAsia="黑体" w:hAnsi="Arial" w:cs="Arial"/>
          <w:snapToGrid w:val="0"/>
          <w:szCs w:val="21"/>
        </w:rPr>
        <w:t>1-6</w:t>
      </w:r>
      <w:r>
        <w:rPr>
          <w:rFonts w:ascii="Arial" w:eastAsia="黑体" w:hAnsi="Arial" w:cs="Arial"/>
          <w:snapToGrid w:val="0"/>
          <w:szCs w:val="21"/>
        </w:rPr>
        <w:t>月</w:t>
      </w:r>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5904a7d1-3f59-4480-8ac1-0fd22140f7cd"/>
        <w:tblDescription w:val="{&quot;UUID&quot;:&quot;afsaddin_tabledata_2_56437_5904a7d1-3f59-4480-8ac1-0fd22140f7cd&quot;,&quot;TitleRowCount&quot;:2,&quot;SplitedTable&quot;:false,&quot;FirstTableId&quot;:&quot;5904a7d1-3f59-4480-8ac1-0fd22140f7cd&quot;}"/>
      </w:tblPr>
      <w:tblGrid>
        <w:gridCol w:w="1316"/>
        <w:gridCol w:w="106"/>
        <w:gridCol w:w="1655"/>
        <w:gridCol w:w="105"/>
        <w:gridCol w:w="105"/>
        <w:gridCol w:w="1487"/>
        <w:gridCol w:w="105"/>
        <w:gridCol w:w="105"/>
        <w:gridCol w:w="1357"/>
        <w:gridCol w:w="105"/>
        <w:gridCol w:w="105"/>
        <w:gridCol w:w="1652"/>
        <w:gridCol w:w="105"/>
      </w:tblGrid>
      <w:tr w:rsidR="00AD5BB5">
        <w:trPr>
          <w:trHeight w:val="170"/>
        </w:trPr>
        <w:tc>
          <w:tcPr>
            <w:tcW w:w="1316" w:type="dxa"/>
            <w:tcBorders>
              <w:top w:val="nil"/>
              <w:left w:val="nil"/>
              <w:bottom w:val="nil"/>
              <w:right w:val="nil"/>
            </w:tcBorders>
            <w:shd w:val="clear" w:color="000000" w:fill="auto"/>
            <w:noWrap/>
          </w:tcPr>
          <w:p w:rsidR="00AD5BB5" w:rsidRDefault="00AD5BB5">
            <w:pPr>
              <w:kinsoku w:val="0"/>
              <w:overflowPunct w:val="0"/>
              <w:autoSpaceDE w:val="0"/>
              <w:autoSpaceDN w:val="0"/>
              <w:adjustRightInd w:val="0"/>
              <w:snapToGrid w:val="0"/>
              <w:ind w:left="300" w:hangingChars="150" w:hanging="300"/>
              <w:rPr>
                <w:rFonts w:ascii="Arial" w:eastAsia="黑体" w:hAnsi="Arial" w:cs="Arial"/>
                <w:color w:val="000000"/>
                <w:sz w:val="20"/>
              </w:rPr>
            </w:pPr>
          </w:p>
        </w:tc>
        <w:tc>
          <w:tcPr>
            <w:tcW w:w="106"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655"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Chars="-12" w:left="5" w:hangingChars="15" w:hanging="30"/>
              <w:jc w:val="right"/>
              <w:rPr>
                <w:rFonts w:ascii="Arial" w:eastAsia="黑体" w:hAnsi="Arial" w:cs="Arial"/>
                <w:color w:val="000000"/>
                <w:sz w:val="20"/>
              </w:rPr>
            </w:pPr>
            <w:r>
              <w:rPr>
                <w:rFonts w:ascii="Arial" w:eastAsia="黑体" w:hAnsi="Arial" w:cs="Arial"/>
                <w:sz w:val="20"/>
              </w:rPr>
              <w:t>期初余额</w:t>
            </w: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48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20"/>
              </w:rPr>
            </w:pPr>
            <w:r>
              <w:rPr>
                <w:rFonts w:ascii="Arial" w:eastAsia="黑体" w:hAnsi="Arial" w:cs="Arial"/>
                <w:sz w:val="20"/>
              </w:rPr>
              <w:t>本期增加</w:t>
            </w: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35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20"/>
              </w:rPr>
            </w:pPr>
            <w:r>
              <w:rPr>
                <w:rFonts w:ascii="Arial" w:eastAsia="黑体" w:hAnsi="Arial" w:cs="Arial"/>
                <w:sz w:val="20"/>
              </w:rPr>
              <w:t>本期减少</w:t>
            </w: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652" w:type="dxa"/>
            <w:tcBorders>
              <w:top w:val="nil"/>
              <w:left w:val="nil"/>
              <w:bottom w:val="nil"/>
              <w:right w:val="nil"/>
            </w:tcBorders>
            <w:shd w:val="clear" w:color="auto" w:fill="auto"/>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20"/>
              </w:rPr>
            </w:pPr>
            <w:r>
              <w:rPr>
                <w:rFonts w:ascii="Arial" w:eastAsia="黑体" w:hAnsi="Arial" w:cs="Arial"/>
                <w:sz w:val="20"/>
              </w:rPr>
              <w:t>期末余额</w:t>
            </w:r>
          </w:p>
        </w:tc>
        <w:tc>
          <w:tcPr>
            <w:tcW w:w="105" w:type="dxa"/>
            <w:tcBorders>
              <w:top w:val="nil"/>
              <w:left w:val="nil"/>
              <w:bottom w:val="nil"/>
              <w:right w:val="nil"/>
            </w:tcBorders>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r>
      <w:tr w:rsidR="00AD5BB5">
        <w:trPr>
          <w:trHeight w:val="170"/>
        </w:trPr>
        <w:tc>
          <w:tcPr>
            <w:tcW w:w="1316" w:type="dxa"/>
            <w:tcBorders>
              <w:top w:val="nil"/>
              <w:left w:val="nil"/>
              <w:bottom w:val="nil"/>
              <w:right w:val="nil"/>
            </w:tcBorders>
            <w:shd w:val="clear" w:color="000000" w:fill="auto"/>
            <w:noWrap/>
          </w:tcPr>
          <w:p w:rsidR="00AD5BB5" w:rsidRDefault="00AD5BB5">
            <w:pPr>
              <w:kinsoku w:val="0"/>
              <w:overflowPunct w:val="0"/>
              <w:autoSpaceDE w:val="0"/>
              <w:autoSpaceDN w:val="0"/>
              <w:adjustRightInd w:val="0"/>
              <w:snapToGrid w:val="0"/>
              <w:ind w:left="300" w:hangingChars="150" w:hanging="300"/>
              <w:rPr>
                <w:rFonts w:ascii="Arial" w:eastAsia="黑体" w:hAnsi="Arial" w:cs="Arial"/>
                <w:color w:val="000000"/>
                <w:sz w:val="20"/>
              </w:rPr>
            </w:pPr>
          </w:p>
        </w:tc>
        <w:tc>
          <w:tcPr>
            <w:tcW w:w="106"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655"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20"/>
              </w:rPr>
            </w:pPr>
          </w:p>
        </w:tc>
        <w:tc>
          <w:tcPr>
            <w:tcW w:w="1487"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20"/>
              </w:rPr>
            </w:pPr>
          </w:p>
        </w:tc>
        <w:tc>
          <w:tcPr>
            <w:tcW w:w="1357"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20"/>
              </w:rPr>
            </w:pPr>
          </w:p>
        </w:tc>
        <w:tc>
          <w:tcPr>
            <w:tcW w:w="1652"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05" w:type="dxa"/>
            <w:tcBorders>
              <w:top w:val="nil"/>
              <w:left w:val="nil"/>
              <w:bottom w:val="nil"/>
              <w:right w:val="nil"/>
            </w:tcBorders>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r>
      <w:tr w:rsidR="00AD5BB5">
        <w:trPr>
          <w:trHeight w:val="170"/>
        </w:trPr>
        <w:tc>
          <w:tcPr>
            <w:tcW w:w="1316"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00" w:hangingChars="100" w:hanging="200"/>
              <w:rPr>
                <w:rFonts w:ascii="Arial" w:eastAsia="黑体" w:hAnsi="Arial" w:cs="Arial"/>
                <w:snapToGrid w:val="0"/>
                <w:sz w:val="20"/>
              </w:rPr>
            </w:pPr>
            <w:r>
              <w:rPr>
                <w:rFonts w:ascii="Arial" w:eastAsia="黑体" w:hAnsi="Arial" w:cs="Arial"/>
                <w:snapToGrid w:val="0"/>
                <w:sz w:val="20"/>
              </w:rPr>
              <w:t>法定盈余公积</w:t>
            </w:r>
          </w:p>
        </w:tc>
        <w:tc>
          <w:tcPr>
            <w:tcW w:w="106"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655"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leftChars="-35" w:left="21" w:hangingChars="47" w:hanging="94"/>
              <w:jc w:val="right"/>
              <w:rPr>
                <w:rFonts w:ascii="Arial" w:eastAsia="黑体" w:hAnsi="Arial" w:cs="Arial"/>
                <w:color w:val="000000"/>
                <w:sz w:val="20"/>
              </w:rPr>
            </w:pPr>
            <w:r>
              <w:rPr>
                <w:rFonts w:ascii="Arial" w:eastAsia="黑体" w:hAnsi="Arial" w:cs="Arial"/>
                <w:color w:val="000000"/>
                <w:sz w:val="20"/>
              </w:rPr>
              <w:t>1,514,561,559.19</w:t>
            </w: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487" w:type="dxa"/>
            <w:tcBorders>
              <w:top w:val="nil"/>
              <w:left w:val="nil"/>
              <w:bottom w:val="double" w:sz="4" w:space="0" w:color="auto"/>
              <w:right w:val="nil"/>
            </w:tcBorders>
            <w:shd w:val="clear" w:color="000000" w:fill="auto"/>
            <w:noWrap/>
            <w:vAlign w:val="bottom"/>
          </w:tcPr>
          <w:p w:rsidR="00AD5BB5" w:rsidRDefault="00F87FF6">
            <w:pPr>
              <w:overflowPunct w:val="0"/>
              <w:autoSpaceDE w:val="0"/>
              <w:autoSpaceDN w:val="0"/>
              <w:jc w:val="right"/>
              <w:rPr>
                <w:rFonts w:ascii="Arial" w:eastAsia="黑体" w:hAnsi="Arial" w:cs="Arial"/>
                <w:color w:val="000000"/>
                <w:sz w:val="20"/>
              </w:rPr>
            </w:pPr>
            <w:r>
              <w:rPr>
                <w:rFonts w:ascii="Arial" w:eastAsia="黑体" w:hAnsi="Arial" w:cs="Arial"/>
                <w:color w:val="000000"/>
                <w:sz w:val="20"/>
              </w:rPr>
              <w:t>-</w:t>
            </w: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357"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20"/>
              </w:rPr>
            </w:pPr>
            <w:r>
              <w:rPr>
                <w:rFonts w:ascii="Arial" w:eastAsia="黑体" w:hAnsi="Arial" w:cs="Arial"/>
                <w:color w:val="000000"/>
                <w:sz w:val="20"/>
              </w:rPr>
              <w:t>-</w:t>
            </w: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652" w:type="dxa"/>
            <w:tcBorders>
              <w:top w:val="nil"/>
              <w:left w:val="nil"/>
              <w:bottom w:val="double" w:sz="4" w:space="0" w:color="auto"/>
              <w:right w:val="nil"/>
            </w:tcBorders>
            <w:shd w:val="clear" w:color="auto" w:fill="auto"/>
            <w:vAlign w:val="bottom"/>
          </w:tcPr>
          <w:p w:rsidR="00AD5BB5" w:rsidRDefault="00F87FF6">
            <w:pPr>
              <w:overflowPunct w:val="0"/>
              <w:autoSpaceDE w:val="0"/>
              <w:autoSpaceDN w:val="0"/>
              <w:jc w:val="right"/>
              <w:rPr>
                <w:rFonts w:ascii="Arial" w:eastAsia="黑体" w:hAnsi="Arial" w:cs="Arial"/>
                <w:color w:val="000000"/>
                <w:sz w:val="20"/>
              </w:rPr>
            </w:pPr>
            <w:r>
              <w:rPr>
                <w:rFonts w:ascii="Arial" w:eastAsia="黑体" w:hAnsi="Arial" w:cs="Arial"/>
                <w:color w:val="000000"/>
                <w:sz w:val="20"/>
              </w:rPr>
              <w:t>1,514,561,559.19</w:t>
            </w:r>
          </w:p>
        </w:tc>
        <w:tc>
          <w:tcPr>
            <w:tcW w:w="105" w:type="dxa"/>
            <w:tcBorders>
              <w:top w:val="nil"/>
              <w:left w:val="nil"/>
              <w:bottom w:val="nil"/>
              <w:right w:val="nil"/>
            </w:tcBorders>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r w:rsidR="00AD5BB5">
        <w:trPr>
          <w:trHeight w:val="170"/>
        </w:trPr>
        <w:tc>
          <w:tcPr>
            <w:tcW w:w="1316" w:type="dxa"/>
            <w:tcBorders>
              <w:top w:val="nil"/>
              <w:left w:val="nil"/>
              <w:bottom w:val="nil"/>
              <w:right w:val="nil"/>
            </w:tcBorders>
            <w:shd w:val="clear" w:color="000000" w:fill="auto"/>
            <w:noWrap/>
          </w:tcPr>
          <w:p w:rsidR="00AD5BB5" w:rsidRDefault="00AD5BB5">
            <w:pPr>
              <w:kinsoku w:val="0"/>
              <w:overflowPunct w:val="0"/>
              <w:autoSpaceDE w:val="0"/>
              <w:autoSpaceDN w:val="0"/>
              <w:adjustRightInd w:val="0"/>
              <w:snapToGrid w:val="0"/>
              <w:ind w:left="300" w:hangingChars="150" w:hanging="300"/>
              <w:rPr>
                <w:rFonts w:ascii="Arial" w:eastAsia="黑体" w:hAnsi="Arial" w:cs="Arial"/>
                <w:snapToGrid w:val="0"/>
                <w:sz w:val="20"/>
              </w:rPr>
            </w:pPr>
          </w:p>
        </w:tc>
        <w:tc>
          <w:tcPr>
            <w:tcW w:w="106"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655" w:type="dxa"/>
            <w:tcBorders>
              <w:top w:val="doub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Chars="-35" w:left="21" w:hangingChars="47" w:hanging="94"/>
              <w:jc w:val="right"/>
              <w:rPr>
                <w:rFonts w:ascii="Arial" w:eastAsia="黑体" w:hAnsi="Arial" w:cs="Arial"/>
                <w:color w:val="000000"/>
                <w:sz w:val="20"/>
              </w:rPr>
            </w:pP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487" w:type="dxa"/>
            <w:tcBorders>
              <w:top w:val="double" w:sz="4" w:space="0" w:color="auto"/>
              <w:left w:val="nil"/>
              <w:bottom w:val="nil"/>
              <w:right w:val="nil"/>
            </w:tcBorders>
            <w:shd w:val="clear" w:color="000000" w:fill="auto"/>
            <w:noWrap/>
            <w:vAlign w:val="bottom"/>
          </w:tcPr>
          <w:p w:rsidR="00AD5BB5" w:rsidRDefault="00AD5BB5">
            <w:pPr>
              <w:overflowPunct w:val="0"/>
              <w:autoSpaceDE w:val="0"/>
              <w:autoSpaceDN w:val="0"/>
              <w:jc w:val="right"/>
              <w:rPr>
                <w:rFonts w:ascii="Arial" w:eastAsia="黑体" w:hAnsi="Arial" w:cs="Arial"/>
                <w:color w:val="000000"/>
                <w:sz w:val="20"/>
              </w:rPr>
            </w:pP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357" w:type="dxa"/>
            <w:tcBorders>
              <w:top w:val="doub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652" w:type="dxa"/>
            <w:tcBorders>
              <w:top w:val="double" w:sz="4" w:space="0" w:color="auto"/>
              <w:left w:val="nil"/>
              <w:bottom w:val="nil"/>
              <w:right w:val="nil"/>
            </w:tcBorders>
            <w:shd w:val="clear" w:color="auto" w:fill="auto"/>
            <w:vAlign w:val="bottom"/>
          </w:tcPr>
          <w:p w:rsidR="00AD5BB5" w:rsidRDefault="00AD5BB5">
            <w:pPr>
              <w:overflowPunct w:val="0"/>
              <w:autoSpaceDE w:val="0"/>
              <w:autoSpaceDN w:val="0"/>
              <w:jc w:val="right"/>
              <w:rPr>
                <w:rFonts w:ascii="Arial" w:eastAsia="黑体" w:hAnsi="Arial" w:cs="Arial"/>
                <w:color w:val="000000"/>
                <w:sz w:val="20"/>
              </w:rPr>
            </w:pPr>
          </w:p>
        </w:tc>
        <w:tc>
          <w:tcPr>
            <w:tcW w:w="105" w:type="dxa"/>
            <w:tcBorders>
              <w:top w:val="nil"/>
              <w:left w:val="nil"/>
              <w:bottom w:val="nil"/>
              <w:right w:val="nil"/>
            </w:tcBorders>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bl>
    <w:p w:rsidR="00AD5BB5" w:rsidRDefault="00AD5BB5">
      <w:pPr>
        <w:overflowPunct w:val="0"/>
        <w:autoSpaceDE w:val="0"/>
        <w:autoSpaceDN w:val="0"/>
        <w:rPr>
          <w:rFonts w:ascii="Arial" w:eastAsia="黑体" w:hAnsi="Arial" w:cs="Arial"/>
          <w:snapToGrid w:val="0"/>
          <w:sz w:val="20"/>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对比会计期间</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2022</w:t>
      </w:r>
      <w:r>
        <w:rPr>
          <w:rFonts w:ascii="Arial" w:eastAsia="黑体" w:hAnsi="Arial" w:cs="Arial"/>
          <w:snapToGrid w:val="0"/>
          <w:szCs w:val="21"/>
        </w:rPr>
        <w:fldChar w:fldCharType="end"/>
      </w:r>
      <w:r>
        <w:rPr>
          <w:rFonts w:ascii="Arial" w:eastAsia="黑体" w:hAnsi="Arial" w:cs="Arial"/>
          <w:snapToGrid w:val="0"/>
          <w:szCs w:val="21"/>
        </w:rPr>
        <w:t>年度</w:t>
      </w:r>
    </w:p>
    <w:p w:rsidR="00AD5BB5" w:rsidRDefault="00AD5BB5">
      <w:pPr>
        <w:overflowPunct w:val="0"/>
        <w:autoSpaceDE w:val="0"/>
        <w:autoSpaceDN w:val="0"/>
        <w:rPr>
          <w:rFonts w:ascii="Arial" w:eastAsia="黑体" w:hAnsi="Arial" w:cs="Arial"/>
          <w:snapToGrid w:val="0"/>
          <w:sz w:val="20"/>
        </w:rPr>
      </w:pPr>
    </w:p>
    <w:tbl>
      <w:tblPr>
        <w:tblW w:w="0" w:type="auto"/>
        <w:tblLayout w:type="fixed"/>
        <w:tblCellMar>
          <w:left w:w="0" w:type="dxa"/>
          <w:right w:w="0" w:type="dxa"/>
        </w:tblCellMar>
        <w:tblLook w:val="04A0" w:firstRow="1" w:lastRow="0" w:firstColumn="1" w:lastColumn="0" w:noHBand="0" w:noVBand="1"/>
        <w:tblCaption w:val="093ddd4b-03dd-41a5-8ef5-4fa46abefd4c"/>
        <w:tblDescription w:val="{&quot;UUID&quot;:&quot;afsaddin_tabledata_2_56437_093ddd4b-03dd-41a5-8ef5-4fa46abefd4c&quot;,&quot;TitleRowCount&quot;:2,&quot;SplitedTable&quot;:false,&quot;FirstTableId&quot;:&quot;093ddd4b-03dd-41a5-8ef5-4fa46abefd4c&quot;}"/>
      </w:tblPr>
      <w:tblGrid>
        <w:gridCol w:w="1316"/>
        <w:gridCol w:w="106"/>
        <w:gridCol w:w="1655"/>
        <w:gridCol w:w="105"/>
        <w:gridCol w:w="105"/>
        <w:gridCol w:w="1487"/>
        <w:gridCol w:w="105"/>
        <w:gridCol w:w="105"/>
        <w:gridCol w:w="1357"/>
        <w:gridCol w:w="105"/>
        <w:gridCol w:w="105"/>
        <w:gridCol w:w="1652"/>
        <w:gridCol w:w="105"/>
      </w:tblGrid>
      <w:tr w:rsidR="00AD5BB5">
        <w:trPr>
          <w:trHeight w:val="170"/>
        </w:trPr>
        <w:tc>
          <w:tcPr>
            <w:tcW w:w="1316" w:type="dxa"/>
            <w:tcBorders>
              <w:top w:val="nil"/>
              <w:left w:val="nil"/>
              <w:bottom w:val="nil"/>
              <w:right w:val="nil"/>
            </w:tcBorders>
            <w:shd w:val="clear" w:color="000000" w:fill="auto"/>
            <w:noWrap/>
          </w:tcPr>
          <w:p w:rsidR="00AD5BB5" w:rsidRDefault="00AD5BB5">
            <w:pPr>
              <w:kinsoku w:val="0"/>
              <w:overflowPunct w:val="0"/>
              <w:autoSpaceDE w:val="0"/>
              <w:autoSpaceDN w:val="0"/>
              <w:adjustRightInd w:val="0"/>
              <w:snapToGrid w:val="0"/>
              <w:ind w:left="300" w:hangingChars="150" w:hanging="300"/>
              <w:rPr>
                <w:rFonts w:ascii="Arial" w:eastAsia="黑体" w:hAnsi="Arial" w:cs="Arial"/>
                <w:color w:val="000000"/>
                <w:sz w:val="20"/>
              </w:rPr>
            </w:pPr>
          </w:p>
        </w:tc>
        <w:tc>
          <w:tcPr>
            <w:tcW w:w="106"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655"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Chars="-12" w:left="5" w:hangingChars="15" w:hanging="30"/>
              <w:jc w:val="right"/>
              <w:rPr>
                <w:rFonts w:ascii="Arial" w:eastAsia="黑体" w:hAnsi="Arial" w:cs="Arial"/>
                <w:color w:val="000000"/>
                <w:sz w:val="20"/>
              </w:rPr>
            </w:pPr>
            <w:r>
              <w:rPr>
                <w:rFonts w:ascii="Arial" w:eastAsia="黑体" w:hAnsi="Arial" w:cs="Arial"/>
                <w:color w:val="000000"/>
                <w:sz w:val="20"/>
              </w:rPr>
              <w:t>年初余额</w:t>
            </w: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48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20"/>
              </w:rPr>
            </w:pPr>
            <w:r>
              <w:rPr>
                <w:rFonts w:ascii="Arial" w:eastAsia="黑体" w:hAnsi="Arial" w:cs="Arial"/>
                <w:color w:val="000000"/>
                <w:sz w:val="20"/>
              </w:rPr>
              <w:t>本年增加</w:t>
            </w: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35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20"/>
              </w:rPr>
            </w:pPr>
            <w:r>
              <w:rPr>
                <w:rFonts w:ascii="Arial" w:eastAsia="黑体" w:hAnsi="Arial" w:cs="Arial"/>
                <w:color w:val="000000"/>
                <w:sz w:val="20"/>
              </w:rPr>
              <w:t>本年减少</w:t>
            </w: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652" w:type="dxa"/>
            <w:tcBorders>
              <w:top w:val="nil"/>
              <w:left w:val="nil"/>
              <w:bottom w:val="nil"/>
              <w:right w:val="nil"/>
            </w:tcBorders>
            <w:shd w:val="clear" w:color="auto" w:fill="auto"/>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20"/>
              </w:rPr>
            </w:pPr>
            <w:r>
              <w:rPr>
                <w:rFonts w:ascii="Arial" w:eastAsia="黑体" w:hAnsi="Arial" w:cs="Arial"/>
                <w:color w:val="000000"/>
                <w:sz w:val="20"/>
              </w:rPr>
              <w:t>年末余额</w:t>
            </w:r>
          </w:p>
        </w:tc>
        <w:tc>
          <w:tcPr>
            <w:tcW w:w="105" w:type="dxa"/>
            <w:tcBorders>
              <w:top w:val="nil"/>
              <w:left w:val="nil"/>
              <w:bottom w:val="nil"/>
              <w:right w:val="nil"/>
            </w:tcBorders>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r>
      <w:tr w:rsidR="00AD5BB5">
        <w:trPr>
          <w:trHeight w:val="170"/>
        </w:trPr>
        <w:tc>
          <w:tcPr>
            <w:tcW w:w="1316" w:type="dxa"/>
            <w:tcBorders>
              <w:top w:val="nil"/>
              <w:left w:val="nil"/>
              <w:bottom w:val="nil"/>
              <w:right w:val="nil"/>
            </w:tcBorders>
            <w:shd w:val="clear" w:color="000000" w:fill="auto"/>
            <w:noWrap/>
          </w:tcPr>
          <w:p w:rsidR="00AD5BB5" w:rsidRDefault="00AD5BB5">
            <w:pPr>
              <w:kinsoku w:val="0"/>
              <w:overflowPunct w:val="0"/>
              <w:autoSpaceDE w:val="0"/>
              <w:autoSpaceDN w:val="0"/>
              <w:adjustRightInd w:val="0"/>
              <w:snapToGrid w:val="0"/>
              <w:ind w:left="300" w:hangingChars="150" w:hanging="300"/>
              <w:rPr>
                <w:rFonts w:ascii="Arial" w:eastAsia="黑体" w:hAnsi="Arial" w:cs="Arial"/>
                <w:color w:val="000000"/>
                <w:sz w:val="20"/>
              </w:rPr>
            </w:pPr>
          </w:p>
        </w:tc>
        <w:tc>
          <w:tcPr>
            <w:tcW w:w="106"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655"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20"/>
              </w:rPr>
            </w:pPr>
          </w:p>
        </w:tc>
        <w:tc>
          <w:tcPr>
            <w:tcW w:w="1487"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20"/>
              </w:rPr>
            </w:pPr>
          </w:p>
        </w:tc>
        <w:tc>
          <w:tcPr>
            <w:tcW w:w="1357"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20"/>
              </w:rPr>
            </w:pPr>
          </w:p>
        </w:tc>
        <w:tc>
          <w:tcPr>
            <w:tcW w:w="1652"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05" w:type="dxa"/>
            <w:tcBorders>
              <w:top w:val="nil"/>
              <w:left w:val="nil"/>
              <w:bottom w:val="nil"/>
              <w:right w:val="nil"/>
            </w:tcBorders>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r>
      <w:tr w:rsidR="00AD5BB5">
        <w:trPr>
          <w:trHeight w:val="170"/>
        </w:trPr>
        <w:tc>
          <w:tcPr>
            <w:tcW w:w="1316"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00" w:hangingChars="100" w:hanging="200"/>
              <w:rPr>
                <w:rFonts w:ascii="Arial" w:eastAsia="黑体" w:hAnsi="Arial" w:cs="Arial"/>
                <w:snapToGrid w:val="0"/>
                <w:sz w:val="20"/>
              </w:rPr>
            </w:pPr>
            <w:r>
              <w:rPr>
                <w:rFonts w:ascii="Arial" w:eastAsia="黑体" w:hAnsi="Arial" w:cs="Arial"/>
                <w:snapToGrid w:val="0"/>
                <w:sz w:val="20"/>
              </w:rPr>
              <w:t>法定盈余公积</w:t>
            </w:r>
          </w:p>
        </w:tc>
        <w:tc>
          <w:tcPr>
            <w:tcW w:w="106"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655"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leftChars="-35" w:left="21" w:hangingChars="47" w:hanging="94"/>
              <w:jc w:val="right"/>
              <w:rPr>
                <w:rFonts w:ascii="Arial" w:eastAsia="黑体" w:hAnsi="Arial" w:cs="Arial"/>
                <w:color w:val="000000"/>
                <w:sz w:val="20"/>
              </w:rPr>
            </w:pPr>
            <w:r>
              <w:rPr>
                <w:rFonts w:ascii="Arial" w:eastAsia="黑体" w:hAnsi="Arial" w:cs="Arial"/>
                <w:color w:val="000000"/>
                <w:sz w:val="20"/>
              </w:rPr>
              <w:t>1,272,355,862.03</w:t>
            </w: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487" w:type="dxa"/>
            <w:tcBorders>
              <w:top w:val="nil"/>
              <w:left w:val="nil"/>
              <w:bottom w:val="double" w:sz="4" w:space="0" w:color="auto"/>
              <w:right w:val="nil"/>
            </w:tcBorders>
            <w:shd w:val="clear" w:color="000000" w:fill="auto"/>
            <w:noWrap/>
            <w:vAlign w:val="bottom"/>
          </w:tcPr>
          <w:p w:rsidR="00AD5BB5" w:rsidRDefault="00F87FF6">
            <w:pPr>
              <w:overflowPunct w:val="0"/>
              <w:autoSpaceDE w:val="0"/>
              <w:autoSpaceDN w:val="0"/>
              <w:jc w:val="right"/>
              <w:rPr>
                <w:rFonts w:ascii="Arial" w:eastAsia="黑体" w:hAnsi="Arial" w:cs="Arial"/>
                <w:color w:val="000000"/>
                <w:sz w:val="20"/>
              </w:rPr>
            </w:pPr>
            <w:r>
              <w:rPr>
                <w:rFonts w:ascii="Arial" w:eastAsia="黑体" w:hAnsi="Arial" w:cs="Arial"/>
                <w:color w:val="000000"/>
                <w:sz w:val="20"/>
              </w:rPr>
              <w:t>242,205,697.16</w:t>
            </w: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357"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20"/>
              </w:rPr>
            </w:pPr>
            <w:r>
              <w:rPr>
                <w:rFonts w:ascii="Arial" w:eastAsia="黑体" w:hAnsi="Arial" w:cs="Arial"/>
                <w:color w:val="000000"/>
                <w:sz w:val="20"/>
              </w:rPr>
              <w:t>-</w:t>
            </w: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652" w:type="dxa"/>
            <w:tcBorders>
              <w:top w:val="nil"/>
              <w:left w:val="nil"/>
              <w:bottom w:val="double" w:sz="4" w:space="0" w:color="auto"/>
              <w:right w:val="nil"/>
            </w:tcBorders>
            <w:shd w:val="clear" w:color="auto" w:fill="auto"/>
            <w:vAlign w:val="bottom"/>
          </w:tcPr>
          <w:p w:rsidR="00AD5BB5" w:rsidRDefault="00F87FF6">
            <w:pPr>
              <w:overflowPunct w:val="0"/>
              <w:autoSpaceDE w:val="0"/>
              <w:autoSpaceDN w:val="0"/>
              <w:jc w:val="right"/>
              <w:rPr>
                <w:rFonts w:ascii="Arial" w:eastAsia="黑体" w:hAnsi="Arial" w:cs="Arial"/>
                <w:color w:val="000000"/>
                <w:sz w:val="20"/>
              </w:rPr>
            </w:pPr>
            <w:r>
              <w:rPr>
                <w:rFonts w:ascii="Arial" w:eastAsia="黑体" w:hAnsi="Arial" w:cs="Arial"/>
                <w:color w:val="000000"/>
                <w:sz w:val="20"/>
              </w:rPr>
              <w:t>1,514,561,559.19</w:t>
            </w:r>
          </w:p>
        </w:tc>
        <w:tc>
          <w:tcPr>
            <w:tcW w:w="105" w:type="dxa"/>
            <w:tcBorders>
              <w:top w:val="nil"/>
              <w:left w:val="nil"/>
              <w:bottom w:val="nil"/>
              <w:right w:val="nil"/>
            </w:tcBorders>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r w:rsidR="00AD5BB5">
        <w:trPr>
          <w:trHeight w:val="170"/>
        </w:trPr>
        <w:tc>
          <w:tcPr>
            <w:tcW w:w="1316" w:type="dxa"/>
            <w:tcBorders>
              <w:top w:val="nil"/>
              <w:left w:val="nil"/>
              <w:bottom w:val="nil"/>
              <w:right w:val="nil"/>
            </w:tcBorders>
            <w:shd w:val="clear" w:color="000000" w:fill="auto"/>
            <w:noWrap/>
          </w:tcPr>
          <w:p w:rsidR="00AD5BB5" w:rsidRDefault="00AD5BB5">
            <w:pPr>
              <w:kinsoku w:val="0"/>
              <w:overflowPunct w:val="0"/>
              <w:autoSpaceDE w:val="0"/>
              <w:autoSpaceDN w:val="0"/>
              <w:adjustRightInd w:val="0"/>
              <w:snapToGrid w:val="0"/>
              <w:ind w:left="315" w:hangingChars="150" w:hanging="315"/>
              <w:rPr>
                <w:rFonts w:ascii="Arial" w:eastAsia="黑体" w:hAnsi="Arial" w:cs="Arial"/>
                <w:snapToGrid w:val="0"/>
                <w:szCs w:val="21"/>
              </w:rPr>
            </w:pPr>
          </w:p>
        </w:tc>
        <w:tc>
          <w:tcPr>
            <w:tcW w:w="106"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655" w:type="dxa"/>
            <w:tcBorders>
              <w:top w:val="doub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Chars="-35" w:left="26" w:hangingChars="47" w:hanging="99"/>
              <w:jc w:val="right"/>
              <w:rPr>
                <w:rFonts w:ascii="Arial" w:eastAsia="黑体" w:hAnsi="Arial" w:cs="Arial"/>
                <w:color w:val="000000"/>
                <w:szCs w:val="21"/>
              </w:rPr>
            </w:pP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487" w:type="dxa"/>
            <w:tcBorders>
              <w:top w:val="double" w:sz="4" w:space="0" w:color="auto"/>
              <w:left w:val="nil"/>
              <w:bottom w:val="nil"/>
              <w:right w:val="nil"/>
            </w:tcBorders>
            <w:shd w:val="clear" w:color="000000" w:fill="auto"/>
            <w:noWrap/>
            <w:vAlign w:val="bottom"/>
          </w:tcPr>
          <w:p w:rsidR="00AD5BB5" w:rsidRDefault="00AD5BB5">
            <w:pPr>
              <w:overflowPunct w:val="0"/>
              <w:autoSpaceDE w:val="0"/>
              <w:autoSpaceDN w:val="0"/>
              <w:jc w:val="right"/>
              <w:rPr>
                <w:rFonts w:ascii="Arial" w:eastAsia="黑体" w:hAnsi="Arial" w:cs="Arial"/>
                <w:color w:val="000000"/>
                <w:szCs w:val="21"/>
              </w:rPr>
            </w:pP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357" w:type="dxa"/>
            <w:tcBorders>
              <w:top w:val="doub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05"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652" w:type="dxa"/>
            <w:tcBorders>
              <w:top w:val="double" w:sz="4" w:space="0" w:color="auto"/>
              <w:left w:val="nil"/>
              <w:bottom w:val="nil"/>
              <w:right w:val="nil"/>
            </w:tcBorders>
            <w:shd w:val="clear" w:color="auto" w:fill="auto"/>
            <w:vAlign w:val="bottom"/>
          </w:tcPr>
          <w:p w:rsidR="00AD5BB5" w:rsidRDefault="00AD5BB5">
            <w:pPr>
              <w:overflowPunct w:val="0"/>
              <w:autoSpaceDE w:val="0"/>
              <w:autoSpaceDN w:val="0"/>
              <w:jc w:val="right"/>
              <w:rPr>
                <w:rFonts w:ascii="Arial" w:eastAsia="黑体" w:hAnsi="Arial" w:cs="Arial"/>
                <w:color w:val="000000"/>
                <w:szCs w:val="21"/>
              </w:rPr>
            </w:pPr>
          </w:p>
        </w:tc>
        <w:tc>
          <w:tcPr>
            <w:tcW w:w="105" w:type="dxa"/>
            <w:tcBorders>
              <w:top w:val="nil"/>
              <w:left w:val="nil"/>
              <w:bottom w:val="nil"/>
              <w:right w:val="nil"/>
            </w:tcBorders>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bl>
    <w:p w:rsidR="00AD5BB5" w:rsidRDefault="00AD5BB5">
      <w:pPr>
        <w:pStyle w:val="18"/>
        <w:widowControl/>
        <w:tabs>
          <w:tab w:val="clear" w:pos="4819"/>
          <w:tab w:val="clear" w:pos="9071"/>
        </w:tabs>
        <w:overflowPunct w:val="0"/>
        <w:autoSpaceDE w:val="0"/>
        <w:autoSpaceDN w:val="0"/>
        <w:snapToGrid w:val="0"/>
        <w:textAlignment w:val="bottom"/>
        <w:rPr>
          <w:rFonts w:ascii="Arial" w:eastAsia="黑体" w:hAnsi="Arial" w:cs="Arial"/>
          <w:snapToGrid w:val="0"/>
          <w:sz w:val="21"/>
          <w:szCs w:val="21"/>
          <w:lang w:eastAsia="zh-CN"/>
        </w:rPr>
      </w:pPr>
    </w:p>
    <w:p w:rsidR="00AD5BB5" w:rsidRDefault="00F87FF6">
      <w:pPr>
        <w:pStyle w:val="18"/>
        <w:widowControl/>
        <w:tabs>
          <w:tab w:val="clear" w:pos="4819"/>
          <w:tab w:val="clear" w:pos="9071"/>
        </w:tabs>
        <w:overflowPunct w:val="0"/>
        <w:autoSpaceDE w:val="0"/>
        <w:autoSpaceDN w:val="0"/>
        <w:snapToGrid w:val="0"/>
        <w:textAlignment w:val="bottom"/>
        <w:rPr>
          <w:rFonts w:ascii="Arial" w:eastAsia="黑体" w:hAnsi="Arial" w:cs="Arial"/>
          <w:snapToGrid w:val="0"/>
          <w:sz w:val="21"/>
          <w:szCs w:val="21"/>
          <w:lang w:eastAsia="zh-CN"/>
        </w:rPr>
      </w:pPr>
      <w:r>
        <w:rPr>
          <w:rFonts w:ascii="Arial" w:eastAsia="黑体" w:hAnsi="Arial" w:cs="Arial"/>
          <w:snapToGrid w:val="0"/>
          <w:sz w:val="21"/>
          <w:szCs w:val="21"/>
          <w:lang w:eastAsia="zh-CN"/>
        </w:rPr>
        <w:t>根据公司法、本行章程的规定，本行按净利润的</w:t>
      </w:r>
      <w:r>
        <w:rPr>
          <w:rFonts w:ascii="Arial" w:eastAsia="黑体" w:hAnsi="Arial" w:cs="Arial"/>
          <w:snapToGrid w:val="0"/>
          <w:sz w:val="21"/>
          <w:szCs w:val="21"/>
          <w:lang w:eastAsia="zh-CN"/>
        </w:rPr>
        <w:t>10%</w:t>
      </w:r>
      <w:r>
        <w:rPr>
          <w:rFonts w:ascii="Arial" w:eastAsia="黑体" w:hAnsi="Arial" w:cs="Arial"/>
          <w:snapToGrid w:val="0"/>
          <w:sz w:val="21"/>
          <w:szCs w:val="21"/>
          <w:lang w:eastAsia="zh-CN"/>
        </w:rPr>
        <w:t>提取法定盈余公积金。法定盈余公积累计额为本行注册资本</w:t>
      </w:r>
      <w:r>
        <w:rPr>
          <w:rFonts w:ascii="Arial" w:eastAsia="黑体" w:hAnsi="Arial" w:cs="Arial"/>
          <w:snapToGrid w:val="0"/>
          <w:sz w:val="21"/>
          <w:szCs w:val="21"/>
          <w:lang w:eastAsia="zh-CN"/>
        </w:rPr>
        <w:t>50%</w:t>
      </w:r>
      <w:r>
        <w:rPr>
          <w:rFonts w:ascii="Arial" w:eastAsia="黑体" w:hAnsi="Arial" w:cs="Arial"/>
          <w:snapToGrid w:val="0"/>
          <w:sz w:val="21"/>
          <w:szCs w:val="21"/>
          <w:lang w:eastAsia="zh-CN"/>
        </w:rPr>
        <w:t>以上的，可不再提取。</w:t>
      </w:r>
    </w:p>
    <w:p w:rsidR="00AD5BB5" w:rsidRDefault="00AD5BB5">
      <w:pPr>
        <w:overflowPunct w:val="0"/>
        <w:autoSpaceDE w:val="0"/>
        <w:autoSpaceDN w:val="0"/>
        <w:rPr>
          <w:rFonts w:ascii="Arial" w:eastAsia="黑体" w:hAnsi="Arial" w:cs="Arial"/>
          <w:snapToGrid w:val="0"/>
          <w:szCs w:val="21"/>
        </w:rPr>
      </w:pPr>
    </w:p>
    <w:p w:rsidR="00AD5BB5" w:rsidRDefault="00F87FF6">
      <w:pPr>
        <w:pStyle w:val="18"/>
        <w:widowControl/>
        <w:tabs>
          <w:tab w:val="clear" w:pos="4819"/>
          <w:tab w:val="clear" w:pos="9071"/>
        </w:tabs>
        <w:overflowPunct w:val="0"/>
        <w:autoSpaceDE w:val="0"/>
        <w:autoSpaceDN w:val="0"/>
        <w:snapToGrid w:val="0"/>
        <w:textAlignment w:val="bottom"/>
        <w:rPr>
          <w:rFonts w:ascii="Arial" w:eastAsia="黑体" w:hAnsi="Arial" w:cs="Arial"/>
          <w:snapToGrid w:val="0"/>
          <w:sz w:val="21"/>
          <w:szCs w:val="21"/>
          <w:lang w:eastAsia="zh-CN"/>
        </w:rPr>
      </w:pPr>
      <w:r>
        <w:rPr>
          <w:rFonts w:ascii="Arial" w:eastAsia="黑体" w:hAnsi="Arial" w:cs="Arial"/>
          <w:snapToGrid w:val="0"/>
          <w:sz w:val="21"/>
          <w:szCs w:val="21"/>
          <w:lang w:eastAsia="zh-CN"/>
        </w:rPr>
        <w:t>本行在提取法定盈余公积金后，可提取任意盈余公积金。经批准，任意盈余公积金可用于弥补以前年度亏损或增加股本。</w:t>
      </w:r>
    </w:p>
    <w:p w:rsidR="00AD5BB5" w:rsidRDefault="00AD5BB5">
      <w:pPr>
        <w:overflowPunct w:val="0"/>
        <w:autoSpaceDE w:val="0"/>
        <w:autoSpaceDN w:val="0"/>
        <w:rPr>
          <w:rFonts w:ascii="Arial" w:eastAsia="黑体" w:hAnsi="Arial" w:cs="Arial"/>
          <w:snapToGrid w:val="0"/>
          <w:szCs w:val="21"/>
        </w:rPr>
      </w:pPr>
    </w:p>
    <w:p w:rsidR="00AD5BB5" w:rsidRDefault="00F87FF6">
      <w:pPr>
        <w:rPr>
          <w:rFonts w:ascii="Arial" w:eastAsia="黑体" w:hAnsi="Arial" w:cs="Arial"/>
          <w:snapToGrid w:val="0"/>
          <w:szCs w:val="21"/>
        </w:rPr>
      </w:pPr>
      <w:r>
        <w:rPr>
          <w:rFonts w:ascii="Arial" w:eastAsia="黑体" w:hAnsi="Arial" w:cs="Arial"/>
          <w:snapToGrid w:val="0"/>
          <w:szCs w:val="21"/>
        </w:rPr>
        <w:br w:type="page"/>
      </w:r>
    </w:p>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adjustRightInd w:val="0"/>
        <w:snapToGrid w:val="0"/>
        <w:textAlignment w:val="bottom"/>
        <w:rPr>
          <w:rFonts w:ascii="Arial" w:eastAsia="黑体" w:hAnsi="Arial" w:cs="Arial"/>
          <w:b/>
          <w:snapToGrid w:val="0"/>
          <w:szCs w:val="21"/>
        </w:rPr>
      </w:pPr>
    </w:p>
    <w:p w:rsidR="00AD5BB5" w:rsidRDefault="00F87FF6">
      <w:pPr>
        <w:overflowPunct w:val="0"/>
        <w:autoSpaceDE w:val="0"/>
        <w:autoSpaceDN w:val="0"/>
        <w:adjustRightInd w:val="0"/>
        <w:snapToGrid w:val="0"/>
        <w:textAlignment w:val="bottom"/>
        <w:rPr>
          <w:rFonts w:ascii="Arial" w:eastAsia="黑体" w:hAnsi="Arial" w:cs="Arial"/>
          <w:b/>
          <w:snapToGrid w:val="0"/>
          <w:szCs w:val="21"/>
        </w:rPr>
      </w:pPr>
      <w:r>
        <w:rPr>
          <w:rFonts w:ascii="Arial" w:eastAsia="黑体" w:hAnsi="Arial" w:cs="Arial"/>
          <w:b/>
          <w:snapToGrid w:val="0"/>
          <w:szCs w:val="21"/>
        </w:rPr>
        <w:t>五、</w:t>
      </w:r>
      <w:r>
        <w:rPr>
          <w:rFonts w:ascii="Arial" w:eastAsia="黑体" w:hAnsi="Arial" w:cs="Arial"/>
          <w:b/>
          <w:snapToGrid w:val="0"/>
          <w:szCs w:val="21"/>
        </w:rPr>
        <w:tab/>
      </w:r>
      <w:r>
        <w:rPr>
          <w:rFonts w:ascii="Arial" w:eastAsia="黑体" w:hAnsi="Arial" w:cs="Arial"/>
          <w:b/>
          <w:snapToGrid w:val="0"/>
          <w:szCs w:val="21"/>
        </w:rPr>
        <w:t>合并财务报表主要项目注释（续）</w:t>
      </w:r>
    </w:p>
    <w:p w:rsidR="00AD5BB5" w:rsidRDefault="00AD5BB5">
      <w:pPr>
        <w:overflowPunct w:val="0"/>
        <w:autoSpaceDE w:val="0"/>
        <w:autoSpaceDN w:val="0"/>
        <w:rPr>
          <w:rFonts w:ascii="Arial" w:eastAsia="黑体" w:hAnsi="Arial" w:cs="Arial"/>
          <w:snapToGrid w:val="0"/>
          <w:szCs w:val="21"/>
        </w:rPr>
      </w:pPr>
    </w:p>
    <w:p w:rsidR="00AD5BB5" w:rsidRDefault="00F87FF6">
      <w:pPr>
        <w:pStyle w:val="af5"/>
        <w:keepNext w:val="0"/>
        <w:keepLines w:val="0"/>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217" w:name="afsaddin_WithXu_0bc4495e0787492d8e936a31"/>
      <w:bookmarkStart w:id="218" w:name="afsaddin_WithXu_71606cce4b5a4e9f8a9e1fda"/>
      <w:bookmarkStart w:id="219" w:name="afsaddin_Section_63b1a2a5799143fba4e7b99"/>
      <w:bookmarkEnd w:id="217"/>
      <w:bookmarkEnd w:id="218"/>
      <w:r>
        <w:rPr>
          <w:rFonts w:ascii="Arial" w:eastAsia="黑体" w:hAnsi="Arial" w:cs="Arial" w:hint="default"/>
          <w:bCs w:val="0"/>
          <w:snapToGrid w:val="0"/>
          <w:color w:val="auto"/>
          <w:sz w:val="21"/>
          <w:szCs w:val="21"/>
        </w:rPr>
        <w:t>34.</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一般风险准备</w:t>
      </w:r>
    </w:p>
    <w:bookmarkEnd w:id="219"/>
    <w:p w:rsidR="00AD5BB5" w:rsidRDefault="00AD5BB5">
      <w:pPr>
        <w:pStyle w:val="18"/>
        <w:widowControl/>
        <w:tabs>
          <w:tab w:val="clear" w:pos="4819"/>
          <w:tab w:val="clear" w:pos="9071"/>
        </w:tabs>
        <w:overflowPunct w:val="0"/>
        <w:autoSpaceDE w:val="0"/>
        <w:autoSpaceDN w:val="0"/>
        <w:snapToGrid w:val="0"/>
        <w:textAlignment w:val="bottom"/>
        <w:rPr>
          <w:rFonts w:ascii="Arial" w:eastAsia="黑体" w:hAnsi="Arial" w:cs="Arial"/>
          <w:snapToGrid w:val="0"/>
          <w:sz w:val="21"/>
          <w:szCs w:val="21"/>
          <w:lang w:eastAsia="zh-CN"/>
        </w:rPr>
      </w:pPr>
    </w:p>
    <w:tbl>
      <w:tblPr>
        <w:tblW w:w="0" w:type="auto"/>
        <w:tblLayout w:type="fixed"/>
        <w:tblCellMar>
          <w:left w:w="0" w:type="dxa"/>
          <w:right w:w="0" w:type="dxa"/>
        </w:tblCellMar>
        <w:tblLook w:val="04A0" w:firstRow="1" w:lastRow="0" w:firstColumn="1" w:lastColumn="0" w:noHBand="0" w:noVBand="1"/>
        <w:tblCaption w:val="fecdef85-2549-49ab-bf40-b29cbc481685"/>
        <w:tblDescription w:val="{&quot;UUID&quot;:&quot;afsaddin_tabledata_2_56437_fecdef85-2549-49ab-bf40-b29cbc481685&quot;,&quot;TitleRowCount&quot;:2,&quot;SplitedTable&quot;:false,&quot;FirstTableId&quot;:&quot;fecdef85-2549-49ab-bf40-b29cbc481685&quot;}"/>
      </w:tblPr>
      <w:tblGrid>
        <w:gridCol w:w="3502"/>
        <w:gridCol w:w="109"/>
        <w:gridCol w:w="2317"/>
        <w:gridCol w:w="110"/>
        <w:gridCol w:w="110"/>
        <w:gridCol w:w="2168"/>
        <w:gridCol w:w="110"/>
      </w:tblGrid>
      <w:tr w:rsidR="00AD5BB5">
        <w:trPr>
          <w:trHeight w:val="170"/>
        </w:trPr>
        <w:tc>
          <w:tcPr>
            <w:tcW w:w="3502" w:type="dxa"/>
            <w:tcBorders>
              <w:top w:val="nil"/>
              <w:left w:val="nil"/>
              <w:bottom w:val="nil"/>
              <w:right w:val="nil"/>
            </w:tcBorders>
            <w:shd w:val="clear" w:color="000000" w:fill="auto"/>
            <w:noWrap/>
          </w:tcPr>
          <w:p w:rsidR="00AD5BB5" w:rsidRDefault="00AD5BB5">
            <w:pPr>
              <w:kinsoku w:val="0"/>
              <w:overflowPunct w:val="0"/>
              <w:autoSpaceDE w:val="0"/>
              <w:autoSpaceDN w:val="0"/>
              <w:adjustRightInd w:val="0"/>
              <w:snapToGrid w:val="0"/>
              <w:ind w:left="300" w:hangingChars="150" w:hanging="300"/>
              <w:rPr>
                <w:rFonts w:ascii="Arial" w:eastAsia="黑体" w:hAnsi="Arial" w:cs="Arial"/>
                <w:color w:val="000000"/>
                <w:sz w:val="20"/>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 w:val="20"/>
              </w:rPr>
            </w:pPr>
            <w:r>
              <w:rPr>
                <w:rFonts w:ascii="Arial" w:eastAsia="黑体" w:hAnsi="Arial" w:cs="Arial"/>
                <w:sz w:val="20"/>
              </w:rPr>
              <w:fldChar w:fldCharType="begin"/>
            </w:r>
            <w:r>
              <w:rPr>
                <w:rFonts w:ascii="Arial" w:eastAsia="黑体" w:hAnsi="Arial" w:cs="Arial"/>
                <w:sz w:val="20"/>
              </w:rPr>
              <w:instrText xml:space="preserve">DOCPROPERTY </w:instrText>
            </w:r>
            <w:r>
              <w:rPr>
                <w:rFonts w:ascii="Arial" w:eastAsia="黑体" w:hAnsi="Arial" w:cs="Arial"/>
                <w:sz w:val="20"/>
              </w:rPr>
              <w:instrText>当期会计期间</w:instrText>
            </w:r>
            <w:r>
              <w:rPr>
                <w:rFonts w:ascii="Arial" w:eastAsia="黑体" w:hAnsi="Arial" w:cs="Arial"/>
                <w:sz w:val="20"/>
              </w:rPr>
              <w:fldChar w:fldCharType="separate"/>
            </w:r>
            <w:r>
              <w:rPr>
                <w:rFonts w:ascii="Arial" w:eastAsia="黑体" w:hAnsi="Arial" w:cs="Arial"/>
                <w:sz w:val="20"/>
              </w:rPr>
              <w:t>2023</w:t>
            </w:r>
            <w:r>
              <w:rPr>
                <w:rFonts w:ascii="Arial" w:eastAsia="黑体" w:hAnsi="Arial" w:cs="Arial"/>
                <w:sz w:val="20"/>
              </w:rPr>
              <w:fldChar w:fldCharType="end"/>
            </w:r>
            <w:r>
              <w:rPr>
                <w:rFonts w:ascii="Arial" w:eastAsia="黑体" w:hAnsi="Arial" w:cs="Arial"/>
                <w:sz w:val="20"/>
              </w:rPr>
              <w:t>年</w:t>
            </w:r>
            <w:r>
              <w:rPr>
                <w:rFonts w:ascii="Arial" w:eastAsia="黑体" w:hAnsi="Arial" w:cs="Arial"/>
                <w:sz w:val="20"/>
              </w:rPr>
              <w:t>1-6</w:t>
            </w:r>
            <w:r>
              <w:rPr>
                <w:rFonts w:ascii="Arial" w:eastAsia="黑体" w:hAnsi="Arial" w:cs="Arial"/>
                <w:sz w:val="20"/>
              </w:rPr>
              <w:t>月</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napToGrid w:val="0"/>
                <w:sz w:val="20"/>
              </w:rPr>
            </w:pPr>
            <w:r>
              <w:rPr>
                <w:rFonts w:ascii="Arial" w:eastAsia="黑体" w:hAnsi="Arial" w:cs="Arial"/>
                <w:snapToGrid w:val="0"/>
                <w:sz w:val="20"/>
              </w:rPr>
              <w:fldChar w:fldCharType="begin"/>
            </w:r>
            <w:r>
              <w:rPr>
                <w:rFonts w:ascii="Arial" w:eastAsia="黑体" w:hAnsi="Arial" w:cs="Arial"/>
                <w:snapToGrid w:val="0"/>
                <w:sz w:val="20"/>
              </w:rPr>
              <w:instrText xml:space="preserve"> DOCPROPERTY </w:instrText>
            </w:r>
            <w:r>
              <w:rPr>
                <w:rFonts w:ascii="Arial" w:eastAsia="黑体" w:hAnsi="Arial" w:cs="Arial"/>
                <w:snapToGrid w:val="0"/>
                <w:sz w:val="20"/>
              </w:rPr>
              <w:instrText>对比会计期间</w:instrText>
            </w:r>
            <w:r>
              <w:rPr>
                <w:rFonts w:ascii="Arial" w:eastAsia="黑体" w:hAnsi="Arial" w:cs="Arial"/>
                <w:snapToGrid w:val="0"/>
                <w:sz w:val="20"/>
              </w:rPr>
              <w:instrText xml:space="preserve"> </w:instrText>
            </w:r>
            <w:r>
              <w:rPr>
                <w:rFonts w:ascii="Arial" w:eastAsia="黑体" w:hAnsi="Arial" w:cs="Arial"/>
                <w:snapToGrid w:val="0"/>
                <w:sz w:val="20"/>
              </w:rPr>
              <w:fldChar w:fldCharType="separate"/>
            </w:r>
            <w:r>
              <w:rPr>
                <w:rFonts w:ascii="Arial" w:eastAsia="黑体" w:hAnsi="Arial" w:cs="Arial"/>
                <w:snapToGrid w:val="0"/>
                <w:sz w:val="20"/>
              </w:rPr>
              <w:t>2022</w:t>
            </w:r>
            <w:r>
              <w:rPr>
                <w:rFonts w:ascii="Arial" w:eastAsia="黑体" w:hAnsi="Arial" w:cs="Arial"/>
                <w:snapToGrid w:val="0"/>
                <w:sz w:val="20"/>
              </w:rPr>
              <w:fldChar w:fldCharType="end"/>
            </w:r>
            <w:r>
              <w:rPr>
                <w:rFonts w:ascii="Arial" w:eastAsia="黑体" w:hAnsi="Arial" w:cs="Arial"/>
                <w:snapToGrid w:val="0"/>
                <w:sz w:val="20"/>
              </w:rPr>
              <w:t>年度</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AD5BB5">
            <w:pPr>
              <w:kinsoku w:val="0"/>
              <w:overflowPunct w:val="0"/>
              <w:autoSpaceDE w:val="0"/>
              <w:autoSpaceDN w:val="0"/>
              <w:adjustRightInd w:val="0"/>
              <w:snapToGrid w:val="0"/>
              <w:ind w:left="300" w:hangingChars="150" w:hanging="300"/>
              <w:rPr>
                <w:rFonts w:ascii="Arial" w:eastAsia="黑体" w:hAnsi="Arial" w:cs="Arial"/>
                <w:color w:val="000000"/>
                <w:sz w:val="20"/>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napToGrid w:val="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216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napToGrid w:val="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200" w:hangingChars="100" w:hanging="200"/>
              <w:rPr>
                <w:rFonts w:ascii="Arial" w:eastAsia="黑体" w:hAnsi="Arial" w:cs="Arial"/>
                <w:color w:val="000000"/>
                <w:sz w:val="20"/>
              </w:rPr>
            </w:pPr>
            <w:r>
              <w:rPr>
                <w:rFonts w:ascii="Arial" w:eastAsia="黑体" w:hAnsi="Arial" w:cs="Arial"/>
                <w:sz w:val="20"/>
              </w:rPr>
              <w:t>期</w:t>
            </w:r>
            <w:r>
              <w:rPr>
                <w:rFonts w:ascii="Arial" w:eastAsia="黑体" w:hAnsi="Arial" w:cs="Arial"/>
                <w:sz w:val="20"/>
              </w:rPr>
              <w:t>/</w:t>
            </w:r>
            <w:r>
              <w:rPr>
                <w:rFonts w:ascii="Arial" w:eastAsia="黑体" w:hAnsi="Arial" w:cs="Arial"/>
                <w:sz w:val="20"/>
              </w:rPr>
              <w:t>年初余额</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napToGrid w:val="0"/>
                <w:sz w:val="20"/>
              </w:rPr>
            </w:pPr>
            <w:r>
              <w:rPr>
                <w:rFonts w:ascii="Arial" w:eastAsia="黑体" w:hAnsi="Arial" w:cs="Arial"/>
                <w:snapToGrid w:val="0"/>
                <w:sz w:val="20"/>
              </w:rPr>
              <w:t>4,044,832,876.68</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16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napToGrid w:val="0"/>
                <w:sz w:val="20"/>
              </w:rPr>
            </w:pPr>
            <w:r>
              <w:rPr>
                <w:rFonts w:ascii="Arial" w:eastAsia="黑体" w:hAnsi="Arial" w:cs="Arial"/>
                <w:snapToGrid w:val="0"/>
                <w:sz w:val="20"/>
              </w:rPr>
              <w:t>3,724,368,884.25</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auto" w:fill="auto"/>
            <w:noWrap/>
          </w:tcPr>
          <w:p w:rsidR="00AD5BB5" w:rsidRDefault="00AD5BB5">
            <w:pPr>
              <w:kinsoku w:val="0"/>
              <w:overflowPunct w:val="0"/>
              <w:autoSpaceDE w:val="0"/>
              <w:autoSpaceDN w:val="0"/>
              <w:adjustRightInd w:val="0"/>
              <w:snapToGrid w:val="0"/>
              <w:ind w:left="300" w:hangingChars="150" w:hanging="300"/>
              <w:rPr>
                <w:rFonts w:ascii="Arial" w:eastAsia="黑体" w:hAnsi="Arial" w:cs="Arial"/>
                <w:color w:val="000000"/>
                <w:sz w:val="20"/>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napToGrid w:val="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16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napToGrid w:val="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200" w:hangingChars="100" w:hanging="200"/>
              <w:rPr>
                <w:rFonts w:ascii="Arial" w:eastAsia="黑体" w:hAnsi="Arial" w:cs="Arial"/>
                <w:color w:val="000000"/>
                <w:sz w:val="20"/>
              </w:rPr>
            </w:pPr>
            <w:r>
              <w:rPr>
                <w:rFonts w:ascii="Arial" w:eastAsia="黑体" w:hAnsi="Arial" w:cs="Arial"/>
                <w:sz w:val="20"/>
              </w:rPr>
              <w:t>本期</w:t>
            </w:r>
            <w:r>
              <w:rPr>
                <w:rFonts w:ascii="Arial" w:eastAsia="黑体" w:hAnsi="Arial" w:cs="Arial"/>
                <w:sz w:val="20"/>
              </w:rPr>
              <w:t>/</w:t>
            </w:r>
            <w:r>
              <w:rPr>
                <w:rFonts w:ascii="Arial" w:eastAsia="黑体" w:hAnsi="Arial" w:cs="Arial"/>
                <w:sz w:val="20"/>
              </w:rPr>
              <w:t>年新增</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nil"/>
              <w:left w:val="nil"/>
              <w:bottom w:val="single" w:sz="2"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napToGrid w:val="0"/>
                <w:sz w:val="20"/>
              </w:rPr>
            </w:pPr>
            <w:r>
              <w:rPr>
                <w:rFonts w:ascii="Arial" w:eastAsia="黑体" w:hAnsi="Arial" w:cs="Arial"/>
                <w:snapToGrid w:val="0"/>
                <w:sz w:val="20"/>
              </w:rPr>
              <w:t>-</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168" w:type="dxa"/>
            <w:tcBorders>
              <w:top w:val="nil"/>
              <w:left w:val="nil"/>
              <w:bottom w:val="single" w:sz="2"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napToGrid w:val="0"/>
                <w:sz w:val="20"/>
              </w:rPr>
            </w:pPr>
            <w:r>
              <w:rPr>
                <w:rFonts w:ascii="Arial" w:eastAsia="黑体" w:hAnsi="Arial" w:cs="Arial"/>
                <w:snapToGrid w:val="0"/>
                <w:sz w:val="20"/>
              </w:rPr>
              <w:t>320,463,992.43</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50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00" w:hangingChars="150" w:hanging="300"/>
              <w:rPr>
                <w:rFonts w:ascii="Arial" w:eastAsia="黑体" w:hAnsi="Arial" w:cs="Arial"/>
                <w:sz w:val="20"/>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20"/>
              </w:rPr>
            </w:pPr>
          </w:p>
        </w:tc>
        <w:tc>
          <w:tcPr>
            <w:tcW w:w="2317"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20"/>
              </w:rPr>
            </w:pPr>
          </w:p>
        </w:tc>
        <w:tc>
          <w:tcPr>
            <w:tcW w:w="2168"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r>
      <w:tr w:rsidR="00AD5BB5">
        <w:trPr>
          <w:trHeight w:val="170"/>
        </w:trPr>
        <w:tc>
          <w:tcPr>
            <w:tcW w:w="3502"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00" w:hangingChars="100" w:hanging="200"/>
              <w:rPr>
                <w:rFonts w:ascii="Arial" w:eastAsia="黑体" w:hAnsi="Arial" w:cs="Arial"/>
                <w:snapToGrid w:val="0"/>
                <w:sz w:val="20"/>
              </w:rPr>
            </w:pPr>
            <w:r>
              <w:rPr>
                <w:rFonts w:ascii="Arial" w:eastAsia="黑体" w:hAnsi="Arial" w:cs="Arial"/>
                <w:sz w:val="20"/>
              </w:rPr>
              <w:t>期</w:t>
            </w:r>
            <w:r>
              <w:rPr>
                <w:rFonts w:ascii="Arial" w:eastAsia="黑体" w:hAnsi="Arial" w:cs="Arial"/>
                <w:sz w:val="20"/>
              </w:rPr>
              <w:t>/</w:t>
            </w:r>
            <w:r>
              <w:rPr>
                <w:rFonts w:ascii="Arial" w:eastAsia="黑体" w:hAnsi="Arial" w:cs="Arial"/>
                <w:sz w:val="20"/>
              </w:rPr>
              <w:t>年末余额</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7" w:type="dxa"/>
            <w:tcBorders>
              <w:top w:val="nil"/>
              <w:left w:val="nil"/>
              <w:bottom w:val="doub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20"/>
              </w:rPr>
            </w:pPr>
            <w:r>
              <w:rPr>
                <w:rFonts w:ascii="Arial" w:eastAsia="黑体" w:hAnsi="Arial" w:cs="Arial"/>
                <w:color w:val="000000"/>
                <w:sz w:val="20"/>
              </w:rPr>
              <w:t>4,044,832,876.68</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20"/>
              </w:rPr>
            </w:pPr>
          </w:p>
        </w:tc>
        <w:tc>
          <w:tcPr>
            <w:tcW w:w="2168" w:type="dxa"/>
            <w:tcBorders>
              <w:top w:val="nil"/>
              <w:left w:val="nil"/>
              <w:bottom w:val="doub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20"/>
              </w:rPr>
            </w:pPr>
            <w:r>
              <w:rPr>
                <w:rFonts w:ascii="Arial" w:eastAsia="黑体" w:hAnsi="Arial" w:cs="Arial"/>
                <w:color w:val="000000"/>
                <w:sz w:val="20"/>
              </w:rPr>
              <w:t>4,044,832,876.68</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bl>
    <w:p w:rsidR="00AD5BB5" w:rsidRDefault="00AD5BB5">
      <w:pPr>
        <w:rPr>
          <w:rFonts w:ascii="Arial" w:eastAsia="黑体" w:hAnsi="Arial" w:cs="Arial"/>
          <w:snapToGrid w:val="0"/>
          <w:szCs w:val="21"/>
        </w:rPr>
      </w:pPr>
    </w:p>
    <w:p w:rsidR="00AD5BB5" w:rsidRDefault="00AD5BB5">
      <w:pPr>
        <w:pStyle w:val="18"/>
        <w:widowControl/>
        <w:tabs>
          <w:tab w:val="clear" w:pos="4819"/>
          <w:tab w:val="clear" w:pos="9071"/>
        </w:tabs>
        <w:overflowPunct w:val="0"/>
        <w:autoSpaceDE w:val="0"/>
        <w:autoSpaceDN w:val="0"/>
        <w:snapToGrid w:val="0"/>
        <w:textAlignment w:val="bottom"/>
        <w:rPr>
          <w:rFonts w:ascii="Arial" w:eastAsia="黑体" w:hAnsi="Arial" w:cs="Arial"/>
          <w:snapToGrid w:val="0"/>
          <w:sz w:val="21"/>
          <w:szCs w:val="21"/>
          <w:lang w:eastAsia="zh-CN"/>
        </w:rPr>
      </w:pPr>
    </w:p>
    <w:p w:rsidR="00AD5BB5" w:rsidRDefault="00F87FF6">
      <w:pPr>
        <w:pStyle w:val="18"/>
        <w:widowControl/>
        <w:tabs>
          <w:tab w:val="clear" w:pos="4819"/>
          <w:tab w:val="clear" w:pos="9071"/>
        </w:tabs>
        <w:overflowPunct w:val="0"/>
        <w:autoSpaceDE w:val="0"/>
        <w:autoSpaceDN w:val="0"/>
        <w:snapToGrid w:val="0"/>
        <w:textAlignment w:val="bottom"/>
        <w:rPr>
          <w:rFonts w:ascii="Arial" w:eastAsia="黑体" w:hAnsi="Arial" w:cs="Arial"/>
          <w:snapToGrid w:val="0"/>
          <w:sz w:val="21"/>
          <w:szCs w:val="21"/>
          <w:lang w:eastAsia="zh-CN"/>
        </w:rPr>
      </w:pPr>
      <w:r>
        <w:rPr>
          <w:rFonts w:ascii="Arial" w:eastAsia="黑体" w:hAnsi="Arial" w:cs="Arial"/>
          <w:snapToGrid w:val="0"/>
          <w:sz w:val="21"/>
          <w:szCs w:val="21"/>
          <w:lang w:eastAsia="zh-CN"/>
        </w:rPr>
        <w:t>本行及子公司按财政部《金融企业准备金计提管理办法》（财金</w:t>
      </w:r>
      <w:r>
        <w:rPr>
          <w:rFonts w:ascii="Arial" w:eastAsia="黑体" w:hAnsi="Arial" w:cs="Arial"/>
          <w:snapToGrid w:val="0"/>
          <w:sz w:val="21"/>
          <w:szCs w:val="21"/>
          <w:lang w:eastAsia="zh-CN"/>
        </w:rPr>
        <w:t>[2012]20</w:t>
      </w:r>
      <w:r>
        <w:rPr>
          <w:rFonts w:ascii="Arial" w:eastAsia="黑体" w:hAnsi="Arial" w:cs="Arial"/>
          <w:snapToGrid w:val="0"/>
          <w:sz w:val="21"/>
          <w:szCs w:val="21"/>
          <w:lang w:eastAsia="zh-CN"/>
        </w:rPr>
        <w:t>号）的规定，在提取资产减值准备的基础上，设立一般准备用以弥补银行尚未识别的与风险资产相关的潜在可能损失。</w:t>
      </w:r>
      <w:proofErr w:type="gramStart"/>
      <w:r>
        <w:rPr>
          <w:rFonts w:ascii="Arial" w:eastAsia="黑体" w:hAnsi="Arial" w:cs="Arial"/>
          <w:snapToGrid w:val="0"/>
          <w:sz w:val="21"/>
          <w:szCs w:val="21"/>
          <w:lang w:eastAsia="zh-CN"/>
        </w:rPr>
        <w:t>该一般</w:t>
      </w:r>
      <w:proofErr w:type="gramEnd"/>
      <w:r>
        <w:rPr>
          <w:rFonts w:ascii="Arial" w:eastAsia="黑体" w:hAnsi="Arial" w:cs="Arial"/>
          <w:snapToGrid w:val="0"/>
          <w:sz w:val="21"/>
          <w:szCs w:val="21"/>
          <w:lang w:eastAsia="zh-CN"/>
        </w:rPr>
        <w:t>准备作为利润分配处理，是股东权益的组成部分，原则上应不低于风险资产期末余额的</w:t>
      </w:r>
      <w:r>
        <w:rPr>
          <w:rFonts w:ascii="Arial" w:eastAsia="黑体" w:hAnsi="Arial" w:cs="Arial"/>
          <w:snapToGrid w:val="0"/>
          <w:sz w:val="21"/>
          <w:szCs w:val="21"/>
          <w:lang w:eastAsia="zh-CN"/>
        </w:rPr>
        <w:t>1.5%</w:t>
      </w:r>
      <w:r>
        <w:rPr>
          <w:rFonts w:ascii="Arial" w:eastAsia="黑体" w:hAnsi="Arial" w:cs="Arial"/>
          <w:snapToGrid w:val="0"/>
          <w:sz w:val="21"/>
          <w:szCs w:val="21"/>
          <w:lang w:eastAsia="zh-CN"/>
        </w:rPr>
        <w:t>；难以一次性达到</w:t>
      </w:r>
      <w:r>
        <w:rPr>
          <w:rFonts w:ascii="Arial" w:eastAsia="黑体" w:hAnsi="Arial" w:cs="Arial"/>
          <w:snapToGrid w:val="0"/>
          <w:sz w:val="21"/>
          <w:szCs w:val="21"/>
          <w:lang w:eastAsia="zh-CN"/>
        </w:rPr>
        <w:t>1.5%</w:t>
      </w:r>
      <w:r>
        <w:rPr>
          <w:rFonts w:ascii="Arial" w:eastAsia="黑体" w:hAnsi="Arial" w:cs="Arial"/>
          <w:snapToGrid w:val="0"/>
          <w:sz w:val="21"/>
          <w:szCs w:val="21"/>
          <w:lang w:eastAsia="zh-CN"/>
        </w:rPr>
        <w:t>的，可以分年到位，原则上不得超过</w:t>
      </w:r>
      <w:r>
        <w:rPr>
          <w:rFonts w:ascii="Arial" w:eastAsia="黑体" w:hAnsi="Arial" w:cs="Arial"/>
          <w:snapToGrid w:val="0"/>
          <w:sz w:val="21"/>
          <w:szCs w:val="21"/>
          <w:lang w:eastAsia="zh-CN"/>
        </w:rPr>
        <w:t>5</w:t>
      </w:r>
      <w:r>
        <w:rPr>
          <w:rFonts w:ascii="Arial" w:eastAsia="黑体" w:hAnsi="Arial" w:cs="Arial"/>
          <w:snapToGrid w:val="0"/>
          <w:sz w:val="21"/>
          <w:szCs w:val="21"/>
          <w:lang w:eastAsia="zh-CN"/>
        </w:rPr>
        <w:t>年。</w:t>
      </w:r>
    </w:p>
    <w:p w:rsidR="00AD5BB5" w:rsidRDefault="00AD5BB5">
      <w:pPr>
        <w:rPr>
          <w:rFonts w:ascii="Arial" w:eastAsia="黑体" w:hAnsi="Arial" w:cs="Arial"/>
          <w:snapToGrid w:val="0"/>
          <w:szCs w:val="21"/>
        </w:rPr>
      </w:pPr>
    </w:p>
    <w:p w:rsidR="00AD5BB5" w:rsidRDefault="00F87FF6">
      <w:pPr>
        <w:pStyle w:val="af5"/>
        <w:keepNext w:val="0"/>
        <w:keepLines w:val="0"/>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r>
        <w:rPr>
          <w:rFonts w:ascii="Arial" w:eastAsia="黑体" w:hAnsi="Arial" w:cs="Arial" w:hint="default"/>
          <w:bCs w:val="0"/>
          <w:snapToGrid w:val="0"/>
          <w:color w:val="auto"/>
          <w:sz w:val="21"/>
          <w:szCs w:val="21"/>
        </w:rPr>
        <w:t>35.</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未分配利润</w:t>
      </w:r>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c8f2ac4e-ce0e-44ec-82f9-19b88d144cee"/>
        <w:tblDescription w:val="{&quot;UUID&quot;:&quot;afsaddin_tabledata_2_56437_c8f2ac4e-ce0e-44ec-82f9-19b88d144cee&quot;,&quot;TitleRowCount&quot;:2,&quot;SplitedTable&quot;:false,&quot;FirstTableId&quot;:&quot;c8f2ac4e-ce0e-44ec-82f9-19b88d144cee&quot;}"/>
      </w:tblPr>
      <w:tblGrid>
        <w:gridCol w:w="3417"/>
        <w:gridCol w:w="112"/>
        <w:gridCol w:w="2237"/>
        <w:gridCol w:w="112"/>
        <w:gridCol w:w="112"/>
        <w:gridCol w:w="2237"/>
        <w:gridCol w:w="112"/>
      </w:tblGrid>
      <w:tr w:rsidR="00AD5BB5">
        <w:trPr>
          <w:trHeight w:val="170"/>
        </w:trPr>
        <w:tc>
          <w:tcPr>
            <w:tcW w:w="3417" w:type="dxa"/>
            <w:tcBorders>
              <w:top w:val="nil"/>
              <w:left w:val="nil"/>
              <w:bottom w:val="nil"/>
              <w:right w:val="nil"/>
            </w:tcBorders>
            <w:shd w:val="clear" w:color="auto" w:fill="auto"/>
            <w:noWrap/>
          </w:tcPr>
          <w:p w:rsidR="00AD5BB5" w:rsidRDefault="00AD5BB5">
            <w:pPr>
              <w:kinsoku w:val="0"/>
              <w:overflowPunct w:val="0"/>
              <w:autoSpaceDE w:val="0"/>
              <w:autoSpaceDN w:val="0"/>
              <w:adjustRightInd w:val="0"/>
              <w:snapToGrid w:val="0"/>
              <w:ind w:left="300" w:hangingChars="150" w:hanging="300"/>
              <w:rPr>
                <w:rFonts w:ascii="Arial" w:eastAsia="黑体" w:hAnsi="Arial" w:cs="Arial"/>
                <w:color w:val="000000"/>
                <w:sz w:val="20"/>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napToGrid w:val="0"/>
                <w:sz w:val="20"/>
              </w:rPr>
            </w:pPr>
            <w:r>
              <w:rPr>
                <w:rFonts w:ascii="Arial" w:eastAsia="黑体" w:hAnsi="Arial" w:cs="Arial"/>
                <w:snapToGrid w:val="0"/>
                <w:sz w:val="20"/>
              </w:rPr>
              <w:t>2023</w:t>
            </w:r>
            <w:r>
              <w:rPr>
                <w:rFonts w:ascii="Arial" w:eastAsia="黑体" w:hAnsi="Arial" w:cs="Arial"/>
                <w:snapToGrid w:val="0"/>
                <w:sz w:val="20"/>
              </w:rPr>
              <w:t>年</w:t>
            </w:r>
            <w:r>
              <w:rPr>
                <w:rFonts w:ascii="Arial" w:eastAsia="黑体" w:hAnsi="Arial" w:cs="Arial"/>
                <w:snapToGrid w:val="0"/>
                <w:sz w:val="20"/>
              </w:rPr>
              <w:t>1-6</w:t>
            </w:r>
            <w:r>
              <w:rPr>
                <w:rFonts w:ascii="Arial" w:eastAsia="黑体" w:hAnsi="Arial" w:cs="Arial"/>
                <w:snapToGrid w:val="0"/>
                <w:sz w:val="20"/>
              </w:rPr>
              <w:t>月</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napToGrid w:val="0"/>
                <w:sz w:val="20"/>
              </w:rPr>
            </w:pPr>
            <w:r>
              <w:rPr>
                <w:rFonts w:ascii="Arial" w:eastAsia="黑体" w:hAnsi="Arial" w:cs="Arial"/>
                <w:snapToGrid w:val="0"/>
                <w:sz w:val="20"/>
              </w:rPr>
              <w:t>2022</w:t>
            </w:r>
            <w:r>
              <w:rPr>
                <w:rFonts w:ascii="Arial" w:eastAsia="黑体" w:hAnsi="Arial" w:cs="Arial"/>
                <w:snapToGrid w:val="0"/>
                <w:sz w:val="20"/>
              </w:rPr>
              <w:t>年度</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r>
      <w:tr w:rsidR="00AD5BB5">
        <w:trPr>
          <w:trHeight w:val="170"/>
        </w:trPr>
        <w:tc>
          <w:tcPr>
            <w:tcW w:w="3417" w:type="dxa"/>
            <w:tcBorders>
              <w:top w:val="nil"/>
              <w:left w:val="nil"/>
              <w:bottom w:val="nil"/>
              <w:right w:val="nil"/>
            </w:tcBorders>
            <w:shd w:val="clear" w:color="auto" w:fill="auto"/>
            <w:noWrap/>
          </w:tcPr>
          <w:p w:rsidR="00AD5BB5" w:rsidRDefault="00AD5BB5">
            <w:pPr>
              <w:kinsoku w:val="0"/>
              <w:overflowPunct w:val="0"/>
              <w:autoSpaceDE w:val="0"/>
              <w:autoSpaceDN w:val="0"/>
              <w:adjustRightInd w:val="0"/>
              <w:snapToGrid w:val="0"/>
              <w:ind w:left="300" w:hangingChars="150" w:hanging="300"/>
              <w:rPr>
                <w:rFonts w:ascii="Arial" w:eastAsia="黑体" w:hAnsi="Arial" w:cs="Arial"/>
                <w:color w:val="000000"/>
                <w:sz w:val="20"/>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23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napToGrid w:val="0"/>
                <w:sz w:val="20"/>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223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napToGrid w:val="0"/>
                <w:sz w:val="20"/>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r>
      <w:tr w:rsidR="00AD5BB5">
        <w:trPr>
          <w:trHeight w:val="170"/>
        </w:trPr>
        <w:tc>
          <w:tcPr>
            <w:tcW w:w="3417"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200" w:hangingChars="100" w:hanging="200"/>
              <w:rPr>
                <w:rFonts w:ascii="Arial" w:eastAsia="黑体" w:hAnsi="Arial" w:cs="Arial"/>
                <w:color w:val="000000"/>
                <w:sz w:val="20"/>
              </w:rPr>
            </w:pPr>
            <w:r>
              <w:rPr>
                <w:rFonts w:ascii="Arial" w:eastAsia="黑体" w:hAnsi="Arial" w:cs="Arial"/>
                <w:sz w:val="20"/>
              </w:rPr>
              <w:t>期</w:t>
            </w:r>
            <w:r>
              <w:rPr>
                <w:rFonts w:ascii="Arial" w:eastAsia="黑体" w:hAnsi="Arial" w:cs="Arial"/>
                <w:sz w:val="20"/>
              </w:rPr>
              <w:t>/</w:t>
            </w:r>
            <w:r>
              <w:rPr>
                <w:rFonts w:ascii="Arial" w:eastAsia="黑体" w:hAnsi="Arial" w:cs="Arial"/>
                <w:sz w:val="20"/>
              </w:rPr>
              <w:t>年初未分配利润</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20"/>
              </w:rPr>
            </w:pPr>
            <w:r>
              <w:rPr>
                <w:rFonts w:ascii="Arial" w:eastAsia="黑体" w:hAnsi="Arial" w:cs="Arial"/>
                <w:snapToGrid w:val="0"/>
                <w:sz w:val="20"/>
              </w:rPr>
              <w:t>6,748,452,089.72</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20"/>
              </w:rPr>
            </w:pPr>
            <w:r>
              <w:rPr>
                <w:rFonts w:ascii="Arial" w:eastAsia="黑体" w:hAnsi="Arial" w:cs="Arial"/>
                <w:snapToGrid w:val="0"/>
                <w:sz w:val="20"/>
              </w:rPr>
              <w:t>5,584,820,699.17</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r w:rsidR="00AD5BB5">
        <w:trPr>
          <w:trHeight w:val="170"/>
        </w:trPr>
        <w:tc>
          <w:tcPr>
            <w:tcW w:w="3417" w:type="dxa"/>
            <w:tcBorders>
              <w:top w:val="nil"/>
              <w:left w:val="nil"/>
              <w:bottom w:val="nil"/>
              <w:right w:val="nil"/>
            </w:tcBorders>
            <w:shd w:val="clear" w:color="auto" w:fill="auto"/>
            <w:noWrap/>
          </w:tcPr>
          <w:p w:rsidR="00AD5BB5" w:rsidRDefault="00AD5BB5">
            <w:pPr>
              <w:kinsoku w:val="0"/>
              <w:overflowPunct w:val="0"/>
              <w:autoSpaceDE w:val="0"/>
              <w:autoSpaceDN w:val="0"/>
              <w:adjustRightInd w:val="0"/>
              <w:snapToGrid w:val="0"/>
              <w:ind w:left="300" w:hangingChars="150" w:hanging="300"/>
              <w:rPr>
                <w:rFonts w:ascii="Arial" w:eastAsia="黑体" w:hAnsi="Arial" w:cs="Arial"/>
                <w:color w:val="000000"/>
                <w:sz w:val="20"/>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23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6" w:right="13"/>
              <w:jc w:val="right"/>
              <w:rPr>
                <w:rFonts w:ascii="Arial" w:eastAsia="黑体" w:hAnsi="Arial" w:cs="Arial"/>
                <w:snapToGrid w:val="0"/>
                <w:sz w:val="20"/>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23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6" w:right="13"/>
              <w:jc w:val="right"/>
              <w:rPr>
                <w:rFonts w:ascii="Arial" w:eastAsia="黑体" w:hAnsi="Arial" w:cs="Arial"/>
                <w:snapToGrid w:val="0"/>
                <w:sz w:val="20"/>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r w:rsidR="00AD5BB5">
        <w:trPr>
          <w:trHeight w:val="170"/>
        </w:trPr>
        <w:tc>
          <w:tcPr>
            <w:tcW w:w="3417"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200" w:hangingChars="100" w:hanging="200"/>
              <w:rPr>
                <w:rFonts w:ascii="Arial" w:eastAsia="黑体" w:hAnsi="Arial" w:cs="Arial"/>
                <w:color w:val="000000"/>
                <w:sz w:val="20"/>
              </w:rPr>
            </w:pPr>
            <w:r>
              <w:rPr>
                <w:rFonts w:ascii="Arial" w:eastAsia="黑体" w:hAnsi="Arial" w:cs="Arial"/>
                <w:snapToGrid w:val="0"/>
                <w:sz w:val="20"/>
              </w:rPr>
              <w:t>归属于母公司股东的净利润</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20"/>
              </w:rPr>
            </w:pPr>
            <w:r>
              <w:rPr>
                <w:rFonts w:ascii="Arial" w:eastAsia="黑体" w:hAnsi="Arial" w:cs="Arial"/>
                <w:sz w:val="20"/>
              </w:rPr>
              <w:t>1,428,441,057.75</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20"/>
              </w:rPr>
            </w:pPr>
            <w:r>
              <w:rPr>
                <w:rFonts w:ascii="Arial" w:eastAsia="黑体" w:hAnsi="Arial" w:cs="Arial"/>
                <w:snapToGrid w:val="0"/>
                <w:sz w:val="20"/>
              </w:rPr>
              <w:t>2,506,083,052.14</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r w:rsidR="00AD5BB5">
        <w:trPr>
          <w:trHeight w:val="170"/>
        </w:trPr>
        <w:tc>
          <w:tcPr>
            <w:tcW w:w="3417"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600" w:hangingChars="300" w:hanging="600"/>
              <w:rPr>
                <w:rFonts w:ascii="Arial" w:eastAsia="黑体" w:hAnsi="Arial" w:cs="Arial"/>
                <w:color w:val="000000"/>
                <w:sz w:val="20"/>
              </w:rPr>
            </w:pPr>
            <w:r>
              <w:rPr>
                <w:rFonts w:ascii="Arial" w:eastAsia="黑体" w:hAnsi="Arial" w:cs="Arial"/>
                <w:snapToGrid w:val="0"/>
                <w:sz w:val="20"/>
              </w:rPr>
              <w:t>减：提取法定盈余公积</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20"/>
              </w:rPr>
            </w:pPr>
            <w:r>
              <w:rPr>
                <w:rFonts w:ascii="Arial" w:eastAsia="黑体" w:hAnsi="Arial" w:cs="Arial"/>
                <w:snapToGrid w:val="0"/>
                <w:sz w:val="20"/>
              </w:rPr>
              <w:t>-</w:t>
            </w:r>
          </w:p>
        </w:tc>
        <w:tc>
          <w:tcPr>
            <w:tcW w:w="112" w:type="dxa"/>
            <w:tcBorders>
              <w:top w:val="nil"/>
              <w:left w:val="nil"/>
              <w:bottom w:val="nil"/>
              <w:right w:val="nil"/>
            </w:tcBorders>
            <w:shd w:val="clear" w:color="auto" w:fill="auto"/>
            <w:noWrap/>
            <w:vAlign w:val="bottom"/>
          </w:tcPr>
          <w:p w:rsidR="00AD5BB5" w:rsidRDefault="00AD5BB5">
            <w:pPr>
              <w:autoSpaceDE w:val="0"/>
              <w:autoSpaceDN w:val="0"/>
              <w:ind w:leftChars="-5" w:left="-10"/>
              <w:rPr>
                <w:rFonts w:ascii="Arial" w:eastAsia="黑体" w:hAnsi="Arial" w:cs="Arial"/>
                <w:sz w:val="20"/>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Chars="44" w:left="92" w:rightChars="10" w:right="21"/>
              <w:jc w:val="right"/>
              <w:rPr>
                <w:rFonts w:ascii="Arial" w:eastAsia="黑体" w:hAnsi="Arial" w:cs="Arial"/>
                <w:snapToGrid w:val="0"/>
                <w:sz w:val="20"/>
              </w:rPr>
            </w:pPr>
            <w:r>
              <w:rPr>
                <w:rFonts w:ascii="Arial" w:eastAsia="黑体" w:hAnsi="Arial" w:cs="Arial"/>
                <w:snapToGrid w:val="0"/>
                <w:sz w:val="20"/>
              </w:rPr>
              <w:t>(242,205,697.16</w:t>
            </w:r>
          </w:p>
        </w:tc>
        <w:tc>
          <w:tcPr>
            <w:tcW w:w="112" w:type="dxa"/>
            <w:tcBorders>
              <w:top w:val="nil"/>
              <w:left w:val="nil"/>
              <w:bottom w:val="nil"/>
              <w:right w:val="nil"/>
            </w:tcBorders>
            <w:shd w:val="clear" w:color="auto" w:fill="auto"/>
            <w:noWrap/>
            <w:vAlign w:val="bottom"/>
          </w:tcPr>
          <w:p w:rsidR="00AD5BB5" w:rsidRDefault="00F87FF6">
            <w:pPr>
              <w:autoSpaceDE w:val="0"/>
              <w:autoSpaceDN w:val="0"/>
              <w:ind w:leftChars="-5" w:left="-10"/>
              <w:rPr>
                <w:rFonts w:ascii="Arial" w:eastAsia="黑体" w:hAnsi="Arial" w:cs="Arial"/>
                <w:sz w:val="20"/>
              </w:rPr>
            </w:pPr>
            <w:r>
              <w:rPr>
                <w:rFonts w:ascii="Arial" w:eastAsia="黑体" w:hAnsi="Arial" w:cs="Arial"/>
                <w:sz w:val="20"/>
              </w:rPr>
              <w:t>)</w:t>
            </w:r>
          </w:p>
        </w:tc>
      </w:tr>
      <w:tr w:rsidR="00AD5BB5">
        <w:trPr>
          <w:trHeight w:val="170"/>
        </w:trPr>
        <w:tc>
          <w:tcPr>
            <w:tcW w:w="3417"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Chars="170" w:left="411" w:hangingChars="27" w:hanging="54"/>
              <w:rPr>
                <w:rFonts w:ascii="Arial" w:eastAsia="黑体" w:hAnsi="Arial" w:cs="Arial"/>
                <w:color w:val="000000"/>
                <w:sz w:val="20"/>
              </w:rPr>
            </w:pPr>
            <w:r>
              <w:rPr>
                <w:rFonts w:ascii="Arial" w:eastAsia="黑体" w:hAnsi="Arial" w:cs="Arial"/>
                <w:snapToGrid w:val="0"/>
                <w:sz w:val="20"/>
              </w:rPr>
              <w:t>提取一般风险准备</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20"/>
              </w:rPr>
            </w:pPr>
            <w:r>
              <w:rPr>
                <w:rFonts w:ascii="Arial" w:eastAsia="黑体" w:hAnsi="Arial" w:cs="Arial"/>
                <w:snapToGrid w:val="0"/>
                <w:sz w:val="20"/>
              </w:rPr>
              <w:t>-</w:t>
            </w:r>
          </w:p>
        </w:tc>
        <w:tc>
          <w:tcPr>
            <w:tcW w:w="112" w:type="dxa"/>
            <w:tcBorders>
              <w:top w:val="nil"/>
              <w:left w:val="nil"/>
              <w:bottom w:val="nil"/>
              <w:right w:val="nil"/>
            </w:tcBorders>
            <w:shd w:val="clear" w:color="auto" w:fill="auto"/>
            <w:noWrap/>
            <w:vAlign w:val="bottom"/>
          </w:tcPr>
          <w:p w:rsidR="00AD5BB5" w:rsidRDefault="00AD5BB5">
            <w:pPr>
              <w:autoSpaceDE w:val="0"/>
              <w:autoSpaceDN w:val="0"/>
              <w:ind w:leftChars="-5" w:left="-10"/>
              <w:rPr>
                <w:rFonts w:ascii="Arial" w:eastAsia="黑体" w:hAnsi="Arial" w:cs="Arial"/>
                <w:sz w:val="20"/>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10" w:right="21"/>
              <w:jc w:val="right"/>
              <w:rPr>
                <w:rFonts w:ascii="Arial" w:eastAsia="黑体" w:hAnsi="Arial" w:cs="Arial"/>
                <w:snapToGrid w:val="0"/>
                <w:sz w:val="20"/>
              </w:rPr>
            </w:pPr>
            <w:r>
              <w:rPr>
                <w:rFonts w:ascii="Arial" w:eastAsia="黑体" w:hAnsi="Arial" w:cs="Arial"/>
                <w:snapToGrid w:val="0"/>
                <w:sz w:val="20"/>
              </w:rPr>
              <w:t>(320,463,992.43</w:t>
            </w:r>
          </w:p>
        </w:tc>
        <w:tc>
          <w:tcPr>
            <w:tcW w:w="112" w:type="dxa"/>
            <w:tcBorders>
              <w:top w:val="nil"/>
              <w:left w:val="nil"/>
              <w:bottom w:val="nil"/>
              <w:right w:val="nil"/>
            </w:tcBorders>
            <w:shd w:val="clear" w:color="auto" w:fill="auto"/>
            <w:noWrap/>
            <w:vAlign w:val="bottom"/>
          </w:tcPr>
          <w:p w:rsidR="00AD5BB5" w:rsidRDefault="00F87FF6">
            <w:pPr>
              <w:autoSpaceDE w:val="0"/>
              <w:autoSpaceDN w:val="0"/>
              <w:ind w:leftChars="-5" w:left="-10"/>
              <w:rPr>
                <w:rFonts w:ascii="Arial" w:eastAsia="黑体" w:hAnsi="Arial" w:cs="Arial"/>
                <w:sz w:val="20"/>
              </w:rPr>
            </w:pPr>
            <w:r>
              <w:rPr>
                <w:rFonts w:ascii="Arial" w:eastAsia="黑体" w:hAnsi="Arial" w:cs="Arial"/>
                <w:sz w:val="20"/>
              </w:rPr>
              <w:t>)</w:t>
            </w:r>
          </w:p>
        </w:tc>
      </w:tr>
      <w:tr w:rsidR="00AD5BB5">
        <w:trPr>
          <w:trHeight w:val="170"/>
        </w:trPr>
        <w:tc>
          <w:tcPr>
            <w:tcW w:w="3417"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Chars="170" w:left="411" w:hangingChars="27" w:hanging="54"/>
              <w:rPr>
                <w:rFonts w:ascii="Arial" w:eastAsia="黑体" w:hAnsi="Arial" w:cs="Arial"/>
                <w:snapToGrid w:val="0"/>
                <w:sz w:val="20"/>
              </w:rPr>
            </w:pPr>
            <w:r>
              <w:rPr>
                <w:rFonts w:ascii="Arial" w:eastAsia="黑体" w:hAnsi="Arial" w:cs="Arial"/>
                <w:snapToGrid w:val="0"/>
                <w:sz w:val="20"/>
              </w:rPr>
              <w:t>股利分配（注）</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237"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20"/>
              </w:rPr>
            </w:pPr>
            <w:r>
              <w:rPr>
                <w:rFonts w:ascii="Arial" w:eastAsia="黑体" w:hAnsi="Arial" w:cs="Arial"/>
                <w:snapToGrid w:val="0"/>
                <w:sz w:val="20"/>
              </w:rPr>
              <w:t>(837,347,087.52</w:t>
            </w:r>
          </w:p>
        </w:tc>
        <w:tc>
          <w:tcPr>
            <w:tcW w:w="112" w:type="dxa"/>
            <w:tcBorders>
              <w:top w:val="nil"/>
              <w:left w:val="nil"/>
              <w:bottom w:val="nil"/>
              <w:right w:val="nil"/>
            </w:tcBorders>
            <w:shd w:val="clear" w:color="auto" w:fill="auto"/>
            <w:noWrap/>
            <w:vAlign w:val="bottom"/>
          </w:tcPr>
          <w:p w:rsidR="00AD5BB5" w:rsidRDefault="00F87FF6">
            <w:pPr>
              <w:autoSpaceDE w:val="0"/>
              <w:autoSpaceDN w:val="0"/>
              <w:ind w:leftChars="-5" w:left="-10"/>
              <w:rPr>
                <w:rFonts w:ascii="Arial" w:eastAsia="黑体" w:hAnsi="Arial" w:cs="Arial"/>
                <w:sz w:val="20"/>
              </w:rPr>
            </w:pPr>
            <w:r>
              <w:rPr>
                <w:rFonts w:ascii="Arial" w:eastAsia="黑体" w:hAnsi="Arial" w:cs="Arial"/>
                <w:sz w:val="20"/>
              </w:rPr>
              <w:t>)</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237"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10" w:right="21"/>
              <w:jc w:val="right"/>
              <w:rPr>
                <w:rFonts w:ascii="Arial" w:eastAsia="黑体" w:hAnsi="Arial" w:cs="Arial"/>
                <w:snapToGrid w:val="0"/>
                <w:sz w:val="20"/>
              </w:rPr>
            </w:pPr>
            <w:r>
              <w:rPr>
                <w:rFonts w:ascii="Arial" w:eastAsia="黑体" w:hAnsi="Arial" w:cs="Arial"/>
                <w:snapToGrid w:val="0"/>
                <w:sz w:val="20"/>
              </w:rPr>
              <w:t>(779,781,972.00</w:t>
            </w:r>
          </w:p>
        </w:tc>
        <w:tc>
          <w:tcPr>
            <w:tcW w:w="112" w:type="dxa"/>
            <w:tcBorders>
              <w:top w:val="nil"/>
              <w:left w:val="nil"/>
              <w:bottom w:val="nil"/>
              <w:right w:val="nil"/>
            </w:tcBorders>
            <w:shd w:val="clear" w:color="auto" w:fill="auto"/>
            <w:noWrap/>
            <w:vAlign w:val="bottom"/>
          </w:tcPr>
          <w:p w:rsidR="00AD5BB5" w:rsidRDefault="00F87FF6">
            <w:pPr>
              <w:autoSpaceDE w:val="0"/>
              <w:autoSpaceDN w:val="0"/>
              <w:ind w:leftChars="-5" w:left="-10"/>
              <w:rPr>
                <w:rFonts w:ascii="Arial" w:eastAsia="黑体" w:hAnsi="Arial" w:cs="Arial"/>
                <w:sz w:val="20"/>
              </w:rPr>
            </w:pPr>
            <w:r>
              <w:rPr>
                <w:rFonts w:ascii="Arial" w:eastAsia="黑体" w:hAnsi="Arial" w:cs="Arial"/>
                <w:sz w:val="20"/>
              </w:rPr>
              <w:t>)</w:t>
            </w:r>
          </w:p>
        </w:tc>
      </w:tr>
      <w:tr w:rsidR="00AD5BB5">
        <w:trPr>
          <w:trHeight w:val="170"/>
        </w:trPr>
        <w:tc>
          <w:tcPr>
            <w:tcW w:w="3417" w:type="dxa"/>
            <w:tcBorders>
              <w:top w:val="nil"/>
              <w:left w:val="nil"/>
              <w:bottom w:val="nil"/>
              <w:right w:val="nil"/>
            </w:tcBorders>
            <w:shd w:val="clear" w:color="auto" w:fill="auto"/>
            <w:noWrap/>
          </w:tcPr>
          <w:p w:rsidR="00AD5BB5" w:rsidRDefault="00AD5BB5">
            <w:pPr>
              <w:kinsoku w:val="0"/>
              <w:overflowPunct w:val="0"/>
              <w:autoSpaceDE w:val="0"/>
              <w:autoSpaceDN w:val="0"/>
              <w:adjustRightInd w:val="0"/>
              <w:snapToGrid w:val="0"/>
              <w:ind w:leftChars="175" w:left="406" w:hangingChars="19" w:hanging="38"/>
              <w:rPr>
                <w:rFonts w:ascii="Arial" w:eastAsia="黑体" w:hAnsi="Arial" w:cs="Arial"/>
                <w:snapToGrid w:val="0"/>
                <w:sz w:val="20"/>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237"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6" w:right="13"/>
              <w:jc w:val="right"/>
              <w:rPr>
                <w:rFonts w:ascii="Arial" w:eastAsia="黑体" w:hAnsi="Arial" w:cs="Arial"/>
                <w:snapToGrid w:val="0"/>
                <w:sz w:val="20"/>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237"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6" w:right="13"/>
              <w:jc w:val="right"/>
              <w:rPr>
                <w:rFonts w:ascii="Arial" w:eastAsia="黑体" w:hAnsi="Arial" w:cs="Arial"/>
                <w:snapToGrid w:val="0"/>
                <w:sz w:val="20"/>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r w:rsidR="00AD5BB5">
        <w:trPr>
          <w:trHeight w:val="170"/>
        </w:trPr>
        <w:tc>
          <w:tcPr>
            <w:tcW w:w="3417"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200" w:hangingChars="100" w:hanging="200"/>
              <w:rPr>
                <w:rFonts w:ascii="Arial" w:eastAsia="黑体" w:hAnsi="Arial" w:cs="Arial"/>
                <w:snapToGrid w:val="0"/>
                <w:sz w:val="20"/>
              </w:rPr>
            </w:pPr>
            <w:r>
              <w:rPr>
                <w:rFonts w:ascii="Arial" w:eastAsia="黑体" w:hAnsi="Arial" w:cs="Arial"/>
                <w:sz w:val="20"/>
              </w:rPr>
              <w:t>期</w:t>
            </w:r>
            <w:r>
              <w:rPr>
                <w:rFonts w:ascii="Arial" w:eastAsia="黑体" w:hAnsi="Arial" w:cs="Arial"/>
                <w:sz w:val="20"/>
              </w:rPr>
              <w:t>/</w:t>
            </w:r>
            <w:r>
              <w:rPr>
                <w:rFonts w:ascii="Arial" w:eastAsia="黑体" w:hAnsi="Arial" w:cs="Arial"/>
                <w:sz w:val="20"/>
              </w:rPr>
              <w:t>年末未分配利润</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237" w:type="dxa"/>
            <w:tcBorders>
              <w:top w:val="nil"/>
              <w:left w:val="nil"/>
              <w:bottom w:val="doub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20"/>
              </w:rPr>
            </w:pPr>
            <w:r>
              <w:rPr>
                <w:rFonts w:ascii="Arial" w:eastAsia="黑体" w:hAnsi="Arial" w:cs="Arial"/>
                <w:sz w:val="20"/>
              </w:rPr>
              <w:t>7,339,546,059.95</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237" w:type="dxa"/>
            <w:tcBorders>
              <w:top w:val="nil"/>
              <w:left w:val="nil"/>
              <w:bottom w:val="doub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20"/>
              </w:rPr>
            </w:pPr>
            <w:r>
              <w:rPr>
                <w:rFonts w:ascii="Arial" w:eastAsia="黑体" w:hAnsi="Arial" w:cs="Arial"/>
                <w:snapToGrid w:val="0"/>
                <w:sz w:val="20"/>
              </w:rPr>
              <w:t>6,748,452,089.72</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bl>
    <w:p w:rsidR="00AD5BB5" w:rsidRDefault="00AD5BB5">
      <w:pPr>
        <w:tabs>
          <w:tab w:val="left" w:pos="139"/>
        </w:tabs>
        <w:overflowPunct w:val="0"/>
        <w:autoSpaceDE w:val="0"/>
        <w:autoSpaceDN w:val="0"/>
        <w:ind w:left="420" w:rightChars="-94" w:right="-197" w:hanging="406"/>
        <w:rPr>
          <w:rFonts w:ascii="Arial" w:eastAsia="黑体" w:hAnsi="Arial" w:cs="Arial"/>
          <w:snapToGrid w:val="0"/>
          <w:szCs w:val="21"/>
        </w:rPr>
      </w:pPr>
    </w:p>
    <w:p w:rsidR="00AD5BB5" w:rsidRDefault="00F87FF6">
      <w:pPr>
        <w:tabs>
          <w:tab w:val="left" w:pos="139"/>
        </w:tabs>
        <w:overflowPunct w:val="0"/>
        <w:autoSpaceDE w:val="0"/>
        <w:autoSpaceDN w:val="0"/>
        <w:ind w:left="420" w:rightChars="-94" w:right="-197" w:hanging="406"/>
        <w:rPr>
          <w:rFonts w:ascii="Arial" w:eastAsia="黑体" w:hAnsi="Arial" w:cs="Arial"/>
          <w:snapToGrid w:val="0"/>
          <w:szCs w:val="21"/>
        </w:rPr>
      </w:pPr>
      <w:r>
        <w:rPr>
          <w:rFonts w:ascii="Arial" w:eastAsia="黑体" w:hAnsi="Arial" w:cs="Arial"/>
          <w:snapToGrid w:val="0"/>
          <w:szCs w:val="21"/>
        </w:rPr>
        <w:t>注：根据</w:t>
      </w:r>
      <w:r>
        <w:rPr>
          <w:rFonts w:ascii="Arial" w:eastAsia="黑体" w:hAnsi="Arial" w:cs="Arial"/>
          <w:snapToGrid w:val="0"/>
          <w:szCs w:val="21"/>
        </w:rPr>
        <w:t>2023</w:t>
      </w:r>
      <w:r>
        <w:rPr>
          <w:rFonts w:ascii="Arial" w:eastAsia="黑体" w:hAnsi="Arial" w:cs="Arial"/>
          <w:snapToGrid w:val="0"/>
          <w:szCs w:val="21"/>
        </w:rPr>
        <w:t>年</w:t>
      </w:r>
      <w:r>
        <w:rPr>
          <w:rFonts w:ascii="Arial" w:eastAsia="黑体" w:hAnsi="Arial" w:cs="Arial"/>
          <w:snapToGrid w:val="0"/>
          <w:szCs w:val="21"/>
        </w:rPr>
        <w:t>5</w:t>
      </w:r>
      <w:r>
        <w:rPr>
          <w:rFonts w:ascii="Arial" w:eastAsia="黑体" w:hAnsi="Arial" w:cs="Arial"/>
          <w:snapToGrid w:val="0"/>
          <w:szCs w:val="21"/>
        </w:rPr>
        <w:t>月</w:t>
      </w:r>
      <w:r>
        <w:rPr>
          <w:rFonts w:ascii="Arial" w:eastAsia="黑体" w:hAnsi="Arial" w:cs="Arial"/>
          <w:snapToGrid w:val="0"/>
          <w:szCs w:val="21"/>
        </w:rPr>
        <w:t>18</w:t>
      </w:r>
      <w:r>
        <w:rPr>
          <w:rFonts w:ascii="Arial" w:eastAsia="黑体" w:hAnsi="Arial" w:cs="Arial"/>
          <w:snapToGrid w:val="0"/>
          <w:szCs w:val="21"/>
        </w:rPr>
        <w:t>日股东大会决议，本行将向权益分派股权登记日登记在册的普通股股东分配现金股利合计人民币</w:t>
      </w:r>
      <w:r>
        <w:rPr>
          <w:rFonts w:ascii="Arial" w:eastAsia="黑体" w:hAnsi="Arial" w:cs="Arial"/>
          <w:snapToGrid w:val="0"/>
          <w:szCs w:val="21"/>
        </w:rPr>
        <w:t>765,347,087.52</w:t>
      </w:r>
      <w:r>
        <w:rPr>
          <w:rFonts w:ascii="Arial" w:eastAsia="黑体" w:hAnsi="Arial" w:cs="Arial"/>
          <w:snapToGrid w:val="0"/>
          <w:szCs w:val="21"/>
        </w:rPr>
        <w:t>元</w:t>
      </w:r>
      <w:r>
        <w:rPr>
          <w:rFonts w:ascii="Arial" w:eastAsia="黑体" w:hAnsi="Arial" w:cs="Arial" w:hint="eastAsia"/>
          <w:snapToGrid w:val="0"/>
          <w:szCs w:val="21"/>
        </w:rPr>
        <w:t>（含税）</w:t>
      </w:r>
      <w:r>
        <w:rPr>
          <w:rFonts w:ascii="Arial" w:eastAsia="黑体" w:hAnsi="Arial" w:cs="Arial"/>
          <w:snapToGrid w:val="0"/>
          <w:szCs w:val="21"/>
        </w:rPr>
        <w:t>，每</w:t>
      </w:r>
      <w:r>
        <w:rPr>
          <w:rFonts w:ascii="Arial" w:eastAsia="黑体" w:hAnsi="Arial" w:cs="Arial"/>
          <w:snapToGrid w:val="0"/>
          <w:szCs w:val="21"/>
        </w:rPr>
        <w:t>10</w:t>
      </w:r>
      <w:r>
        <w:rPr>
          <w:rFonts w:ascii="Arial" w:eastAsia="黑体" w:hAnsi="Arial" w:cs="Arial"/>
          <w:snapToGrid w:val="0"/>
          <w:szCs w:val="21"/>
        </w:rPr>
        <w:t>股派发现金股利人民币</w:t>
      </w:r>
      <w:r>
        <w:rPr>
          <w:rFonts w:ascii="Arial" w:eastAsia="黑体" w:hAnsi="Arial" w:cs="Arial"/>
          <w:snapToGrid w:val="0"/>
          <w:szCs w:val="21"/>
        </w:rPr>
        <w:t>2.90</w:t>
      </w:r>
      <w:r>
        <w:rPr>
          <w:rFonts w:ascii="Arial" w:eastAsia="黑体" w:hAnsi="Arial" w:cs="Arial"/>
          <w:snapToGrid w:val="0"/>
          <w:szCs w:val="21"/>
        </w:rPr>
        <w:t>元（含税）。</w:t>
      </w:r>
    </w:p>
    <w:p w:rsidR="00AD5BB5" w:rsidRDefault="00AD5BB5">
      <w:pPr>
        <w:overflowPunct w:val="0"/>
        <w:autoSpaceDE w:val="0"/>
        <w:autoSpaceDN w:val="0"/>
        <w:ind w:leftChars="93" w:left="195" w:firstLine="1"/>
        <w:rPr>
          <w:rFonts w:ascii="Arial" w:eastAsia="黑体" w:hAnsi="Arial" w:cs="Arial"/>
          <w:snapToGrid w:val="0"/>
          <w:szCs w:val="21"/>
        </w:rPr>
      </w:pPr>
    </w:p>
    <w:p w:rsidR="00AD5BB5" w:rsidRDefault="00F87FF6">
      <w:pPr>
        <w:overflowPunct w:val="0"/>
        <w:autoSpaceDE w:val="0"/>
        <w:autoSpaceDN w:val="0"/>
        <w:ind w:leftChars="180" w:left="378" w:rightChars="-82" w:right="-172" w:firstLine="1"/>
        <w:rPr>
          <w:rFonts w:ascii="Arial" w:eastAsia="黑体" w:hAnsi="Arial" w:cs="Arial"/>
          <w:snapToGrid w:val="0"/>
          <w:szCs w:val="21"/>
        </w:rPr>
      </w:pPr>
      <w:r>
        <w:rPr>
          <w:rFonts w:ascii="Arial" w:eastAsia="黑体" w:hAnsi="Arial" w:cs="Arial"/>
          <w:snapToGrid w:val="0"/>
          <w:szCs w:val="21"/>
        </w:rPr>
        <w:t>于</w:t>
      </w:r>
      <w:r>
        <w:rPr>
          <w:rFonts w:ascii="Arial" w:eastAsia="黑体" w:hAnsi="Arial" w:cs="Arial"/>
          <w:snapToGrid w:val="0"/>
          <w:szCs w:val="21"/>
        </w:rPr>
        <w:t>2023</w:t>
      </w:r>
      <w:r>
        <w:rPr>
          <w:rFonts w:ascii="Arial" w:eastAsia="黑体" w:hAnsi="Arial" w:cs="Arial"/>
          <w:snapToGrid w:val="0"/>
          <w:szCs w:val="21"/>
        </w:rPr>
        <w:t>年</w:t>
      </w:r>
      <w:r>
        <w:rPr>
          <w:rFonts w:ascii="Arial" w:eastAsia="黑体" w:hAnsi="Arial" w:cs="Arial"/>
          <w:snapToGrid w:val="0"/>
          <w:szCs w:val="21"/>
        </w:rPr>
        <w:t>3</w:t>
      </w:r>
      <w:r>
        <w:rPr>
          <w:rFonts w:ascii="Arial" w:eastAsia="黑体" w:hAnsi="Arial" w:cs="Arial"/>
          <w:snapToGrid w:val="0"/>
          <w:szCs w:val="21"/>
        </w:rPr>
        <w:t>月</w:t>
      </w:r>
      <w:r>
        <w:rPr>
          <w:rFonts w:ascii="Arial" w:eastAsia="黑体" w:hAnsi="Arial" w:cs="Arial"/>
          <w:snapToGrid w:val="0"/>
          <w:szCs w:val="21"/>
        </w:rPr>
        <w:t>24</w:t>
      </w:r>
      <w:r>
        <w:rPr>
          <w:rFonts w:ascii="Arial" w:eastAsia="黑体" w:hAnsi="Arial" w:cs="Arial"/>
          <w:snapToGrid w:val="0"/>
          <w:szCs w:val="21"/>
        </w:rPr>
        <w:t>日，本行按照</w:t>
      </w:r>
      <w:r>
        <w:rPr>
          <w:rFonts w:ascii="Arial" w:eastAsia="黑体" w:hAnsi="Arial" w:cs="Arial"/>
          <w:snapToGrid w:val="0"/>
          <w:szCs w:val="21"/>
        </w:rPr>
        <w:t>2021</w:t>
      </w:r>
      <w:r>
        <w:rPr>
          <w:rFonts w:ascii="Arial" w:eastAsia="黑体" w:hAnsi="Arial" w:cs="Arial"/>
          <w:snapToGrid w:val="0"/>
          <w:szCs w:val="21"/>
        </w:rPr>
        <w:t>年无固定期限资本债券条款确定的计息期债券利率</w:t>
      </w:r>
      <w:r>
        <w:rPr>
          <w:rFonts w:ascii="Arial" w:eastAsia="黑体" w:hAnsi="Arial" w:cs="Arial"/>
          <w:snapToGrid w:val="0"/>
          <w:szCs w:val="21"/>
        </w:rPr>
        <w:t>3.85%</w:t>
      </w:r>
      <w:r>
        <w:rPr>
          <w:rFonts w:ascii="Arial" w:eastAsia="黑体" w:hAnsi="Arial" w:cs="Arial"/>
          <w:snapToGrid w:val="0"/>
          <w:szCs w:val="21"/>
        </w:rPr>
        <w:t>计算，确认发放的永续债利息为人民币</w:t>
      </w:r>
      <w:r>
        <w:rPr>
          <w:rFonts w:ascii="Arial" w:eastAsia="黑体" w:hAnsi="Arial" w:cs="Arial"/>
          <w:snapToGrid w:val="0"/>
          <w:szCs w:val="21"/>
        </w:rPr>
        <w:t>72,000</w:t>
      </w:r>
      <w:r>
        <w:rPr>
          <w:rFonts w:ascii="Arial" w:eastAsia="黑体" w:hAnsi="Arial" w:cs="Arial" w:hint="eastAsia"/>
          <w:snapToGrid w:val="0"/>
          <w:szCs w:val="21"/>
        </w:rPr>
        <w:t>,</w:t>
      </w:r>
      <w:r>
        <w:rPr>
          <w:rFonts w:ascii="Arial" w:eastAsia="黑体" w:hAnsi="Arial" w:cs="Arial"/>
          <w:snapToGrid w:val="0"/>
          <w:szCs w:val="21"/>
        </w:rPr>
        <w:t>000.00</w:t>
      </w:r>
      <w:r>
        <w:rPr>
          <w:rFonts w:ascii="Arial" w:eastAsia="黑体" w:hAnsi="Arial" w:cs="Arial"/>
          <w:snapToGrid w:val="0"/>
          <w:szCs w:val="21"/>
        </w:rPr>
        <w:t>元</w:t>
      </w:r>
      <w:r>
        <w:rPr>
          <w:rFonts w:ascii="Arial" w:eastAsia="黑体" w:hAnsi="Arial" w:cs="Arial" w:hint="eastAsia"/>
          <w:snapToGrid w:val="0"/>
          <w:szCs w:val="21"/>
        </w:rPr>
        <w:t>。</w:t>
      </w:r>
    </w:p>
    <w:p w:rsidR="00AD5BB5" w:rsidRDefault="00AD5BB5">
      <w:pPr>
        <w:rPr>
          <w:rFonts w:ascii="Arial" w:eastAsia="黑体" w:hAnsi="Arial" w:cs="Arial"/>
          <w:snapToGrid w:val="0"/>
          <w:szCs w:val="21"/>
        </w:rPr>
      </w:pPr>
    </w:p>
    <w:p w:rsidR="00AD5BB5" w:rsidRDefault="00F87FF6">
      <w:pPr>
        <w:rPr>
          <w:rFonts w:ascii="Arial" w:eastAsia="黑体" w:hAnsi="Arial" w:cs="Arial"/>
          <w:snapToGrid w:val="0"/>
          <w:szCs w:val="21"/>
        </w:rPr>
      </w:pPr>
      <w:r>
        <w:rPr>
          <w:rFonts w:ascii="Arial" w:eastAsia="黑体" w:hAnsi="Arial" w:cs="Arial"/>
          <w:snapToGrid w:val="0"/>
          <w:szCs w:val="21"/>
        </w:rPr>
        <w:br w:type="page"/>
      </w:r>
    </w:p>
    <w:p w:rsidR="00AD5BB5" w:rsidRDefault="00AD5BB5">
      <w:pPr>
        <w:overflowPunct w:val="0"/>
        <w:autoSpaceDE w:val="0"/>
        <w:autoSpaceDN w:val="0"/>
        <w:ind w:leftChars="180" w:left="378" w:rightChars="-82" w:right="-172" w:firstLine="1"/>
        <w:rPr>
          <w:rFonts w:ascii="Arial" w:eastAsia="黑体" w:hAnsi="Arial" w:cs="Arial"/>
          <w:snapToGrid w:val="0"/>
          <w:szCs w:val="21"/>
        </w:rPr>
      </w:pPr>
    </w:p>
    <w:p w:rsidR="00AD5BB5" w:rsidRDefault="00AD5BB5">
      <w:pPr>
        <w:overflowPunct w:val="0"/>
        <w:autoSpaceDE w:val="0"/>
        <w:autoSpaceDN w:val="0"/>
        <w:ind w:leftChars="93" w:left="195" w:firstLine="1"/>
        <w:rPr>
          <w:rFonts w:ascii="Arial" w:eastAsia="黑体" w:hAnsi="Arial" w:cs="Arial"/>
          <w:snapToGrid w:val="0"/>
          <w:szCs w:val="21"/>
        </w:rPr>
      </w:pPr>
    </w:p>
    <w:p w:rsidR="00AD5BB5" w:rsidRDefault="00F87FF6">
      <w:pPr>
        <w:overflowPunct w:val="0"/>
        <w:autoSpaceDE w:val="0"/>
        <w:autoSpaceDN w:val="0"/>
        <w:rPr>
          <w:rFonts w:ascii="Arial" w:eastAsia="黑体" w:hAnsi="Arial" w:cs="Arial"/>
          <w:b/>
          <w:snapToGrid w:val="0"/>
          <w:szCs w:val="21"/>
        </w:rPr>
      </w:pPr>
      <w:bookmarkStart w:id="220" w:name="afsaddin_WithXu_f9771a3f6d844cfea2758e5d"/>
      <w:r>
        <w:rPr>
          <w:rFonts w:ascii="Arial" w:eastAsia="黑体" w:hAnsi="Arial" w:cs="Arial"/>
          <w:b/>
          <w:snapToGrid w:val="0"/>
          <w:szCs w:val="21"/>
        </w:rPr>
        <w:t>五、</w:t>
      </w:r>
      <w:r>
        <w:rPr>
          <w:rFonts w:ascii="Arial" w:eastAsia="黑体" w:hAnsi="Arial" w:cs="Arial"/>
          <w:b/>
          <w:snapToGrid w:val="0"/>
          <w:szCs w:val="21"/>
        </w:rPr>
        <w:tab/>
      </w:r>
      <w:r>
        <w:rPr>
          <w:rFonts w:ascii="Arial" w:eastAsia="黑体" w:hAnsi="Arial" w:cs="Arial"/>
          <w:b/>
          <w:snapToGrid w:val="0"/>
          <w:szCs w:val="21"/>
        </w:rPr>
        <w:t>合并财务报表主要项目注释（续）</w:t>
      </w:r>
      <w:bookmarkEnd w:id="220"/>
    </w:p>
    <w:p w:rsidR="00AD5BB5" w:rsidRDefault="00AD5BB5">
      <w:pPr>
        <w:overflowPunct w:val="0"/>
        <w:autoSpaceDE w:val="0"/>
        <w:autoSpaceDN w:val="0"/>
        <w:ind w:leftChars="93" w:left="195" w:firstLine="1"/>
        <w:rPr>
          <w:rFonts w:ascii="Arial" w:eastAsia="黑体" w:hAnsi="Arial" w:cs="Arial"/>
          <w:snapToGrid w:val="0"/>
          <w:szCs w:val="21"/>
        </w:rPr>
      </w:pPr>
    </w:p>
    <w:p w:rsidR="00AD5BB5" w:rsidRDefault="00F87FF6">
      <w:pPr>
        <w:pStyle w:val="af5"/>
        <w:keepNext w:val="0"/>
        <w:keepLines w:val="0"/>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221" w:name="afsaddin_WithXu_69cdde3037894a0c97340c6e"/>
      <w:bookmarkStart w:id="222" w:name="afsaddin_Section_fd5af42ccf7d44fcb276db1"/>
      <w:bookmarkEnd w:id="221"/>
      <w:r>
        <w:rPr>
          <w:rFonts w:ascii="Arial" w:eastAsia="黑体" w:hAnsi="Arial" w:cs="Arial" w:hint="default"/>
          <w:bCs w:val="0"/>
          <w:snapToGrid w:val="0"/>
          <w:color w:val="auto"/>
          <w:sz w:val="21"/>
          <w:szCs w:val="21"/>
        </w:rPr>
        <w:t>36.</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利息净收入</w:t>
      </w:r>
    </w:p>
    <w:bookmarkEnd w:id="222"/>
    <w:p w:rsidR="00AD5BB5" w:rsidRDefault="00AD5BB5">
      <w:pPr>
        <w:overflowPunct w:val="0"/>
        <w:autoSpaceDE w:val="0"/>
        <w:autoSpaceDN w:val="0"/>
        <w:rPr>
          <w:rFonts w:ascii="Arial" w:eastAsia="黑体" w:hAnsi="Arial" w:cs="Arial"/>
          <w:bCs/>
          <w:snapToGrid w:val="0"/>
          <w:sz w:val="18"/>
          <w:szCs w:val="18"/>
        </w:rPr>
      </w:pPr>
    </w:p>
    <w:tbl>
      <w:tblPr>
        <w:tblW w:w="0" w:type="auto"/>
        <w:tblLayout w:type="fixed"/>
        <w:tblCellMar>
          <w:left w:w="0" w:type="dxa"/>
          <w:right w:w="0" w:type="dxa"/>
        </w:tblCellMar>
        <w:tblLook w:val="04A0" w:firstRow="1" w:lastRow="0" w:firstColumn="1" w:lastColumn="0" w:noHBand="0" w:noVBand="1"/>
        <w:tblCaption w:val="24eb871b-677a-4588-9455-524bd702eedc"/>
        <w:tblDescription w:val="{&quot;UUID&quot;:&quot;afsaddin_tabledata_2_56437_24eb871b-677a-4588-9455-524bd702eedc&quot;,&quot;TitleRowCount&quot;:2,&quot;SplitedTable&quot;:false,&quot;FirstTableId&quot;:&quot;24eb871b-677a-4588-9455-524bd702eedc&quot;}"/>
      </w:tblPr>
      <w:tblGrid>
        <w:gridCol w:w="3417"/>
        <w:gridCol w:w="112"/>
        <w:gridCol w:w="2237"/>
        <w:gridCol w:w="112"/>
        <w:gridCol w:w="112"/>
        <w:gridCol w:w="2237"/>
        <w:gridCol w:w="112"/>
      </w:tblGrid>
      <w:tr w:rsidR="00AD5BB5">
        <w:trPr>
          <w:trHeight w:val="170"/>
        </w:trPr>
        <w:tc>
          <w:tcPr>
            <w:tcW w:w="3417" w:type="dxa"/>
            <w:tcBorders>
              <w:top w:val="nil"/>
              <w:left w:val="nil"/>
              <w:bottom w:val="nil"/>
              <w:right w:val="nil"/>
            </w:tcBorders>
            <w:shd w:val="clear" w:color="auto" w:fill="auto"/>
            <w:noWrap/>
          </w:tcPr>
          <w:p w:rsidR="00AD5BB5" w:rsidRDefault="00AD5BB5">
            <w:pPr>
              <w:kinsoku w:val="0"/>
              <w:overflowPunct w:val="0"/>
              <w:autoSpaceDE w:val="0"/>
              <w:autoSpaceDN w:val="0"/>
              <w:adjustRightInd w:val="0"/>
              <w:snapToGrid w:val="0"/>
              <w:ind w:left="285" w:hangingChars="150" w:hanging="285"/>
              <w:rPr>
                <w:rFonts w:ascii="Arial" w:eastAsia="黑体" w:hAnsi="Arial" w:cs="Arial"/>
                <w:color w:val="000000"/>
                <w:sz w:val="19"/>
                <w:szCs w:val="19"/>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 w:val="19"/>
                <w:szCs w:val="19"/>
              </w:rPr>
            </w:pPr>
            <w:r>
              <w:rPr>
                <w:rFonts w:ascii="Arial" w:eastAsia="黑体" w:hAnsi="Arial" w:cs="Arial"/>
                <w:sz w:val="19"/>
                <w:szCs w:val="19"/>
              </w:rPr>
              <w:fldChar w:fldCharType="begin"/>
            </w:r>
            <w:r>
              <w:rPr>
                <w:rFonts w:ascii="Arial" w:eastAsia="黑体" w:hAnsi="Arial" w:cs="Arial"/>
                <w:sz w:val="19"/>
                <w:szCs w:val="19"/>
              </w:rPr>
              <w:instrText xml:space="preserve">DOCPROPERTY </w:instrText>
            </w:r>
            <w:r>
              <w:rPr>
                <w:rFonts w:ascii="Arial" w:eastAsia="黑体" w:hAnsi="Arial" w:cs="Arial"/>
                <w:sz w:val="19"/>
                <w:szCs w:val="19"/>
              </w:rPr>
              <w:instrText>当期会计期间</w:instrText>
            </w:r>
            <w:r>
              <w:rPr>
                <w:rFonts w:ascii="Arial" w:eastAsia="黑体" w:hAnsi="Arial" w:cs="Arial"/>
                <w:sz w:val="19"/>
                <w:szCs w:val="19"/>
              </w:rPr>
              <w:fldChar w:fldCharType="separate"/>
            </w:r>
            <w:r>
              <w:rPr>
                <w:rFonts w:ascii="Arial" w:eastAsia="黑体" w:hAnsi="Arial" w:cs="Arial"/>
                <w:sz w:val="19"/>
                <w:szCs w:val="19"/>
              </w:rPr>
              <w:t>2023</w:t>
            </w:r>
            <w:r>
              <w:rPr>
                <w:rFonts w:ascii="Arial" w:eastAsia="黑体" w:hAnsi="Arial" w:cs="Arial"/>
                <w:sz w:val="19"/>
                <w:szCs w:val="19"/>
              </w:rPr>
              <w:fldChar w:fldCharType="end"/>
            </w:r>
            <w:r>
              <w:rPr>
                <w:rFonts w:ascii="Arial" w:eastAsia="黑体" w:hAnsi="Arial" w:cs="Arial"/>
                <w:sz w:val="19"/>
                <w:szCs w:val="19"/>
              </w:rPr>
              <w:t>年</w:t>
            </w:r>
            <w:r>
              <w:rPr>
                <w:rFonts w:ascii="Arial" w:eastAsia="黑体" w:hAnsi="Arial" w:cs="Arial"/>
                <w:sz w:val="19"/>
                <w:szCs w:val="19"/>
              </w:rPr>
              <w:t>1-6</w:t>
            </w:r>
            <w:r>
              <w:rPr>
                <w:rFonts w:ascii="Arial" w:eastAsia="黑体" w:hAnsi="Arial" w:cs="Arial"/>
                <w:sz w:val="19"/>
                <w:szCs w:val="19"/>
              </w:rPr>
              <w:t>月</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9"/>
                <w:szCs w:val="19"/>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9"/>
                <w:szCs w:val="19"/>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 w:val="19"/>
                <w:szCs w:val="19"/>
              </w:rPr>
            </w:pPr>
            <w:r>
              <w:rPr>
                <w:rFonts w:ascii="Arial" w:eastAsia="黑体" w:hAnsi="Arial" w:cs="Arial"/>
                <w:sz w:val="19"/>
                <w:szCs w:val="19"/>
              </w:rPr>
              <w:fldChar w:fldCharType="begin"/>
            </w:r>
            <w:r>
              <w:rPr>
                <w:rFonts w:ascii="Arial" w:eastAsia="黑体" w:hAnsi="Arial" w:cs="Arial"/>
                <w:sz w:val="19"/>
                <w:szCs w:val="19"/>
              </w:rPr>
              <w:instrText xml:space="preserve">DOCPROPERTY </w:instrText>
            </w:r>
            <w:r>
              <w:rPr>
                <w:rFonts w:ascii="Arial" w:eastAsia="黑体" w:hAnsi="Arial" w:cs="Arial"/>
                <w:sz w:val="19"/>
                <w:szCs w:val="19"/>
              </w:rPr>
              <w:instrText>对比会计期间</w:instrText>
            </w:r>
            <w:r>
              <w:rPr>
                <w:rFonts w:ascii="Arial" w:eastAsia="黑体" w:hAnsi="Arial" w:cs="Arial"/>
                <w:sz w:val="19"/>
                <w:szCs w:val="19"/>
              </w:rPr>
              <w:fldChar w:fldCharType="separate"/>
            </w:r>
            <w:r>
              <w:rPr>
                <w:rFonts w:ascii="Arial" w:eastAsia="黑体" w:hAnsi="Arial" w:cs="Arial"/>
                <w:sz w:val="19"/>
                <w:szCs w:val="19"/>
              </w:rPr>
              <w:t>2022</w:t>
            </w:r>
            <w:r>
              <w:rPr>
                <w:rFonts w:ascii="Arial" w:eastAsia="黑体" w:hAnsi="Arial" w:cs="Arial"/>
                <w:sz w:val="19"/>
                <w:szCs w:val="19"/>
              </w:rPr>
              <w:fldChar w:fldCharType="end"/>
            </w:r>
            <w:r>
              <w:rPr>
                <w:rFonts w:ascii="Arial" w:eastAsia="黑体" w:hAnsi="Arial" w:cs="Arial"/>
                <w:sz w:val="19"/>
                <w:szCs w:val="19"/>
              </w:rPr>
              <w:t>年</w:t>
            </w:r>
            <w:r>
              <w:rPr>
                <w:rFonts w:ascii="Arial" w:eastAsia="黑体" w:hAnsi="Arial" w:cs="Arial"/>
                <w:sz w:val="19"/>
                <w:szCs w:val="19"/>
              </w:rPr>
              <w:t>1-6</w:t>
            </w:r>
            <w:r>
              <w:rPr>
                <w:rFonts w:ascii="Arial" w:eastAsia="黑体" w:hAnsi="Arial" w:cs="Arial"/>
                <w:sz w:val="19"/>
                <w:szCs w:val="19"/>
              </w:rPr>
              <w:t>月</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9"/>
                <w:szCs w:val="19"/>
              </w:rPr>
            </w:pPr>
          </w:p>
        </w:tc>
      </w:tr>
      <w:tr w:rsidR="00AD5BB5">
        <w:trPr>
          <w:trHeight w:val="170"/>
        </w:trPr>
        <w:tc>
          <w:tcPr>
            <w:tcW w:w="3417" w:type="dxa"/>
            <w:tcBorders>
              <w:top w:val="nil"/>
              <w:left w:val="nil"/>
              <w:bottom w:val="nil"/>
              <w:right w:val="nil"/>
            </w:tcBorders>
            <w:shd w:val="clear" w:color="auto" w:fill="auto"/>
            <w:noWrap/>
          </w:tcPr>
          <w:p w:rsidR="00AD5BB5" w:rsidRDefault="00AD5BB5">
            <w:pPr>
              <w:kinsoku w:val="0"/>
              <w:overflowPunct w:val="0"/>
              <w:autoSpaceDE w:val="0"/>
              <w:autoSpaceDN w:val="0"/>
              <w:adjustRightInd w:val="0"/>
              <w:snapToGrid w:val="0"/>
              <w:ind w:left="285" w:hangingChars="150" w:hanging="285"/>
              <w:rPr>
                <w:rFonts w:ascii="Arial" w:eastAsia="黑体" w:hAnsi="Arial" w:cs="Arial"/>
                <w:color w:val="000000"/>
                <w:sz w:val="19"/>
                <w:szCs w:val="19"/>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c>
          <w:tcPr>
            <w:tcW w:w="223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9"/>
                <w:szCs w:val="19"/>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9"/>
                <w:szCs w:val="19"/>
              </w:rPr>
            </w:pPr>
          </w:p>
        </w:tc>
        <w:tc>
          <w:tcPr>
            <w:tcW w:w="223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19"/>
                <w:szCs w:val="19"/>
              </w:rPr>
            </w:pPr>
          </w:p>
        </w:tc>
      </w:tr>
      <w:tr w:rsidR="00AD5BB5">
        <w:trPr>
          <w:trHeight w:val="170"/>
        </w:trPr>
        <w:tc>
          <w:tcPr>
            <w:tcW w:w="3417"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190" w:hangingChars="100" w:hanging="190"/>
              <w:rPr>
                <w:rFonts w:ascii="Arial" w:eastAsia="黑体" w:hAnsi="Arial" w:cs="Arial"/>
                <w:color w:val="000000"/>
                <w:sz w:val="19"/>
                <w:szCs w:val="19"/>
              </w:rPr>
            </w:pPr>
            <w:r>
              <w:rPr>
                <w:rFonts w:ascii="Arial" w:eastAsia="黑体" w:hAnsi="Arial" w:cs="Arial"/>
                <w:snapToGrid w:val="0"/>
                <w:sz w:val="19"/>
                <w:szCs w:val="19"/>
              </w:rPr>
              <w:t>利息收入</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c>
          <w:tcPr>
            <w:tcW w:w="223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c>
          <w:tcPr>
            <w:tcW w:w="223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r>
      <w:tr w:rsidR="00AD5BB5">
        <w:trPr>
          <w:trHeight w:val="170"/>
        </w:trPr>
        <w:tc>
          <w:tcPr>
            <w:tcW w:w="3417"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Chars="80" w:left="358" w:hangingChars="100" w:hanging="190"/>
              <w:rPr>
                <w:rFonts w:ascii="Arial" w:eastAsia="黑体" w:hAnsi="Arial" w:cs="Arial"/>
                <w:color w:val="000000"/>
                <w:sz w:val="19"/>
                <w:szCs w:val="19"/>
              </w:rPr>
            </w:pPr>
            <w:r>
              <w:rPr>
                <w:rFonts w:ascii="Arial" w:eastAsia="黑体" w:hAnsi="Arial" w:cs="Arial"/>
                <w:snapToGrid w:val="0"/>
                <w:sz w:val="19"/>
                <w:szCs w:val="19"/>
              </w:rPr>
              <w:t>存放中央银行款项</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19"/>
                <w:szCs w:val="19"/>
              </w:rPr>
            </w:pPr>
            <w:r>
              <w:rPr>
                <w:rFonts w:ascii="Arial" w:eastAsia="黑体" w:hAnsi="Arial" w:cs="Arial"/>
                <w:snapToGrid w:val="0"/>
                <w:sz w:val="19"/>
                <w:szCs w:val="19"/>
              </w:rPr>
              <w:t>112,431,369.64</w:t>
            </w:r>
          </w:p>
        </w:tc>
        <w:tc>
          <w:tcPr>
            <w:tcW w:w="112"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rPr>
                <w:rFonts w:ascii="Arial" w:eastAsia="黑体" w:hAnsi="Arial" w:cs="Arial"/>
                <w:snapToGrid w:val="0"/>
                <w:sz w:val="19"/>
                <w:szCs w:val="19"/>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19"/>
                <w:szCs w:val="19"/>
              </w:rPr>
            </w:pPr>
            <w:r>
              <w:rPr>
                <w:rFonts w:ascii="Arial" w:eastAsia="黑体" w:hAnsi="Arial" w:cs="Arial"/>
                <w:snapToGrid w:val="0"/>
                <w:sz w:val="19"/>
                <w:szCs w:val="19"/>
              </w:rPr>
              <w:t>113,690,721.67</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r>
      <w:tr w:rsidR="00AD5BB5">
        <w:trPr>
          <w:trHeight w:val="170"/>
        </w:trPr>
        <w:tc>
          <w:tcPr>
            <w:tcW w:w="3417" w:type="dxa"/>
            <w:tcBorders>
              <w:top w:val="nil"/>
              <w:left w:val="nil"/>
              <w:bottom w:val="nil"/>
              <w:right w:val="nil"/>
            </w:tcBorders>
            <w:shd w:val="clear" w:color="auto" w:fill="auto"/>
            <w:noWrap/>
          </w:tcPr>
          <w:p w:rsidR="00AD5BB5" w:rsidRDefault="00F87FF6">
            <w:pPr>
              <w:overflowPunct w:val="0"/>
              <w:autoSpaceDE w:val="0"/>
              <w:autoSpaceDN w:val="0"/>
              <w:ind w:leftChars="84" w:left="366" w:hangingChars="100" w:hanging="190"/>
              <w:rPr>
                <w:rFonts w:ascii="Arial" w:eastAsia="黑体" w:hAnsi="Arial" w:cs="Arial"/>
                <w:snapToGrid w:val="0"/>
                <w:sz w:val="19"/>
                <w:szCs w:val="19"/>
              </w:rPr>
            </w:pPr>
            <w:r>
              <w:rPr>
                <w:rFonts w:ascii="Arial" w:eastAsia="黑体" w:hAnsi="Arial" w:cs="Arial"/>
                <w:snapToGrid w:val="0"/>
                <w:sz w:val="19"/>
                <w:szCs w:val="19"/>
              </w:rPr>
              <w:t>存放同业及其他金融机构款项</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19"/>
                <w:szCs w:val="19"/>
              </w:rPr>
            </w:pPr>
            <w:r>
              <w:rPr>
                <w:rFonts w:ascii="Arial" w:eastAsia="黑体" w:hAnsi="Arial" w:cs="Arial"/>
                <w:snapToGrid w:val="0"/>
                <w:sz w:val="19"/>
                <w:szCs w:val="19"/>
              </w:rPr>
              <w:t>90,064,771.90</w:t>
            </w:r>
          </w:p>
        </w:tc>
        <w:tc>
          <w:tcPr>
            <w:tcW w:w="112"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rPr>
                <w:rFonts w:ascii="Arial" w:eastAsia="黑体" w:hAnsi="Arial" w:cs="Arial"/>
                <w:snapToGrid w:val="0"/>
                <w:sz w:val="19"/>
                <w:szCs w:val="19"/>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19"/>
                <w:szCs w:val="19"/>
              </w:rPr>
            </w:pPr>
            <w:r>
              <w:rPr>
                <w:rFonts w:ascii="Arial" w:eastAsia="黑体" w:hAnsi="Arial" w:cs="Arial"/>
                <w:snapToGrid w:val="0"/>
                <w:sz w:val="19"/>
                <w:szCs w:val="19"/>
              </w:rPr>
              <w:t>236,585,459.72</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r>
      <w:tr w:rsidR="00AD5BB5">
        <w:trPr>
          <w:trHeight w:val="170"/>
        </w:trPr>
        <w:tc>
          <w:tcPr>
            <w:tcW w:w="3417"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Chars="80" w:left="358" w:hangingChars="100" w:hanging="190"/>
              <w:rPr>
                <w:rFonts w:ascii="Arial" w:eastAsia="黑体" w:hAnsi="Arial" w:cs="Arial"/>
                <w:color w:val="000000"/>
                <w:sz w:val="19"/>
                <w:szCs w:val="19"/>
              </w:rPr>
            </w:pPr>
            <w:r>
              <w:rPr>
                <w:rFonts w:ascii="Arial" w:eastAsia="黑体" w:hAnsi="Arial" w:cs="Arial"/>
                <w:snapToGrid w:val="0"/>
                <w:sz w:val="19"/>
                <w:szCs w:val="19"/>
              </w:rPr>
              <w:t>拆出资金</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19"/>
                <w:szCs w:val="19"/>
              </w:rPr>
            </w:pPr>
            <w:r>
              <w:rPr>
                <w:rFonts w:ascii="Arial" w:eastAsia="黑体" w:hAnsi="Arial" w:cs="Arial"/>
                <w:snapToGrid w:val="0"/>
                <w:sz w:val="19"/>
                <w:szCs w:val="19"/>
              </w:rPr>
              <w:t>287,598,097.21</w:t>
            </w:r>
          </w:p>
        </w:tc>
        <w:tc>
          <w:tcPr>
            <w:tcW w:w="112"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rPr>
                <w:rFonts w:ascii="Arial" w:eastAsia="黑体" w:hAnsi="Arial" w:cs="Arial"/>
                <w:snapToGrid w:val="0"/>
                <w:sz w:val="19"/>
                <w:szCs w:val="19"/>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19"/>
                <w:szCs w:val="19"/>
              </w:rPr>
            </w:pPr>
            <w:r>
              <w:rPr>
                <w:rFonts w:ascii="Arial" w:eastAsia="黑体" w:hAnsi="Arial" w:cs="Arial"/>
                <w:snapToGrid w:val="0"/>
                <w:sz w:val="19"/>
                <w:szCs w:val="19"/>
              </w:rPr>
              <w:t>186,197,073.53</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r>
      <w:tr w:rsidR="00AD5BB5">
        <w:trPr>
          <w:trHeight w:val="170"/>
        </w:trPr>
        <w:tc>
          <w:tcPr>
            <w:tcW w:w="3417"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Chars="80" w:left="358" w:hangingChars="100" w:hanging="190"/>
              <w:rPr>
                <w:rFonts w:ascii="Arial" w:eastAsia="黑体" w:hAnsi="Arial" w:cs="Arial"/>
                <w:snapToGrid w:val="0"/>
                <w:sz w:val="19"/>
                <w:szCs w:val="19"/>
              </w:rPr>
            </w:pPr>
            <w:r>
              <w:rPr>
                <w:rFonts w:ascii="Arial" w:eastAsia="黑体" w:hAnsi="Arial" w:cs="Arial"/>
                <w:snapToGrid w:val="0"/>
                <w:sz w:val="19"/>
                <w:szCs w:val="19"/>
              </w:rPr>
              <w:t>买入返售金融资产</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19"/>
                <w:szCs w:val="19"/>
              </w:rPr>
            </w:pPr>
            <w:r>
              <w:rPr>
                <w:rFonts w:ascii="Arial" w:eastAsia="黑体" w:hAnsi="Arial" w:cs="Arial"/>
                <w:snapToGrid w:val="0"/>
                <w:sz w:val="19"/>
                <w:szCs w:val="19"/>
              </w:rPr>
              <w:t>12,139,631.81</w:t>
            </w:r>
          </w:p>
        </w:tc>
        <w:tc>
          <w:tcPr>
            <w:tcW w:w="112"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rPr>
                <w:rFonts w:ascii="Arial" w:eastAsia="黑体" w:hAnsi="Arial" w:cs="Arial"/>
                <w:snapToGrid w:val="0"/>
                <w:sz w:val="19"/>
                <w:szCs w:val="19"/>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19"/>
                <w:szCs w:val="19"/>
              </w:rPr>
            </w:pPr>
            <w:r>
              <w:rPr>
                <w:rFonts w:ascii="Arial" w:eastAsia="黑体" w:hAnsi="Arial" w:cs="Arial"/>
                <w:snapToGrid w:val="0"/>
                <w:sz w:val="19"/>
                <w:szCs w:val="19"/>
              </w:rPr>
              <w:t>15,430,118.47</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r>
      <w:tr w:rsidR="00AD5BB5">
        <w:trPr>
          <w:trHeight w:val="170"/>
        </w:trPr>
        <w:tc>
          <w:tcPr>
            <w:tcW w:w="3417"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Chars="80" w:left="358" w:hangingChars="100" w:hanging="190"/>
              <w:rPr>
                <w:rFonts w:ascii="Arial" w:eastAsia="黑体" w:hAnsi="Arial" w:cs="Arial"/>
                <w:snapToGrid w:val="0"/>
                <w:sz w:val="19"/>
                <w:szCs w:val="19"/>
              </w:rPr>
            </w:pPr>
            <w:r>
              <w:rPr>
                <w:rFonts w:ascii="Arial" w:eastAsia="黑体" w:hAnsi="Arial" w:cs="Arial"/>
                <w:snapToGrid w:val="0"/>
                <w:sz w:val="19"/>
                <w:szCs w:val="19"/>
              </w:rPr>
              <w:t>发放贷款及垫款</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c>
          <w:tcPr>
            <w:tcW w:w="223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6" w:right="13"/>
              <w:jc w:val="right"/>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rPr>
                <w:rFonts w:ascii="Arial" w:eastAsia="黑体" w:hAnsi="Arial" w:cs="Arial"/>
                <w:snapToGrid w:val="0"/>
                <w:sz w:val="19"/>
                <w:szCs w:val="19"/>
              </w:rPr>
            </w:pPr>
          </w:p>
        </w:tc>
        <w:tc>
          <w:tcPr>
            <w:tcW w:w="223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6" w:right="13"/>
              <w:jc w:val="right"/>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r>
      <w:tr w:rsidR="00AD5BB5">
        <w:trPr>
          <w:trHeight w:val="170"/>
        </w:trPr>
        <w:tc>
          <w:tcPr>
            <w:tcW w:w="3417"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Chars="80" w:left="358" w:hangingChars="100" w:hanging="190"/>
              <w:rPr>
                <w:rFonts w:ascii="Arial" w:eastAsia="黑体" w:hAnsi="Arial" w:cs="Arial"/>
                <w:snapToGrid w:val="0"/>
                <w:sz w:val="19"/>
                <w:szCs w:val="19"/>
              </w:rPr>
            </w:pPr>
            <w:r>
              <w:rPr>
                <w:rFonts w:ascii="Arial" w:eastAsia="黑体" w:hAnsi="Arial" w:cs="Arial"/>
                <w:snapToGrid w:val="0"/>
                <w:sz w:val="19"/>
                <w:szCs w:val="19"/>
              </w:rPr>
              <w:t>—</w:t>
            </w:r>
            <w:r>
              <w:rPr>
                <w:rFonts w:ascii="Arial" w:eastAsia="黑体" w:hAnsi="Arial" w:cs="Arial"/>
                <w:snapToGrid w:val="0"/>
                <w:sz w:val="19"/>
                <w:szCs w:val="19"/>
              </w:rPr>
              <w:t>贷款</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19"/>
                <w:szCs w:val="19"/>
              </w:rPr>
            </w:pPr>
            <w:r>
              <w:rPr>
                <w:rFonts w:ascii="Arial" w:eastAsia="黑体" w:hAnsi="Arial" w:cs="Arial"/>
                <w:snapToGrid w:val="0"/>
                <w:sz w:val="19"/>
                <w:szCs w:val="19"/>
              </w:rPr>
              <w:t>4,206,006,425.34</w:t>
            </w:r>
          </w:p>
        </w:tc>
        <w:tc>
          <w:tcPr>
            <w:tcW w:w="112"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rPr>
                <w:rFonts w:ascii="Arial" w:eastAsia="黑体" w:hAnsi="Arial" w:cs="Arial"/>
                <w:snapToGrid w:val="0"/>
                <w:sz w:val="19"/>
                <w:szCs w:val="19"/>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19"/>
                <w:szCs w:val="19"/>
              </w:rPr>
            </w:pPr>
            <w:r>
              <w:rPr>
                <w:rFonts w:ascii="Arial" w:eastAsia="黑体" w:hAnsi="Arial" w:cs="Arial"/>
                <w:snapToGrid w:val="0"/>
                <w:sz w:val="19"/>
                <w:szCs w:val="19"/>
              </w:rPr>
              <w:t>4,089,273,119.30</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r>
      <w:tr w:rsidR="00AD5BB5">
        <w:trPr>
          <w:trHeight w:val="170"/>
        </w:trPr>
        <w:tc>
          <w:tcPr>
            <w:tcW w:w="3417"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Chars="80" w:left="358" w:hangingChars="100" w:hanging="190"/>
              <w:rPr>
                <w:rFonts w:ascii="Arial" w:eastAsia="黑体" w:hAnsi="Arial" w:cs="Arial"/>
                <w:snapToGrid w:val="0"/>
                <w:sz w:val="19"/>
                <w:szCs w:val="19"/>
              </w:rPr>
            </w:pPr>
            <w:r>
              <w:rPr>
                <w:rFonts w:ascii="Arial" w:eastAsia="黑体" w:hAnsi="Arial" w:cs="Arial"/>
                <w:snapToGrid w:val="0"/>
                <w:sz w:val="19"/>
                <w:szCs w:val="19"/>
              </w:rPr>
              <w:t>—</w:t>
            </w:r>
            <w:r>
              <w:rPr>
                <w:rFonts w:ascii="Arial" w:eastAsia="黑体" w:hAnsi="Arial" w:cs="Arial"/>
                <w:snapToGrid w:val="0"/>
                <w:sz w:val="19"/>
                <w:szCs w:val="19"/>
              </w:rPr>
              <w:t>贴现</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19"/>
                <w:szCs w:val="19"/>
              </w:rPr>
            </w:pPr>
            <w:r>
              <w:rPr>
                <w:rFonts w:ascii="Arial" w:eastAsia="黑体" w:hAnsi="Arial" w:cs="Arial"/>
                <w:snapToGrid w:val="0"/>
                <w:sz w:val="19"/>
                <w:szCs w:val="19"/>
              </w:rPr>
              <w:t>167,214,839.96</w:t>
            </w:r>
          </w:p>
        </w:tc>
        <w:tc>
          <w:tcPr>
            <w:tcW w:w="112"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rPr>
                <w:rFonts w:ascii="Arial" w:eastAsia="黑体" w:hAnsi="Arial" w:cs="Arial"/>
                <w:snapToGrid w:val="0"/>
                <w:sz w:val="19"/>
                <w:szCs w:val="19"/>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19"/>
                <w:szCs w:val="19"/>
              </w:rPr>
            </w:pPr>
            <w:r>
              <w:rPr>
                <w:rFonts w:ascii="Arial" w:eastAsia="黑体" w:hAnsi="Arial" w:cs="Arial"/>
                <w:snapToGrid w:val="0"/>
                <w:sz w:val="19"/>
                <w:szCs w:val="19"/>
              </w:rPr>
              <w:t>204,880,298.89</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r>
      <w:tr w:rsidR="00AD5BB5">
        <w:trPr>
          <w:trHeight w:val="170"/>
        </w:trPr>
        <w:tc>
          <w:tcPr>
            <w:tcW w:w="3417"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Chars="80" w:left="358" w:hangingChars="100" w:hanging="190"/>
              <w:rPr>
                <w:rFonts w:ascii="Arial" w:eastAsia="黑体" w:hAnsi="Arial" w:cs="Arial"/>
                <w:snapToGrid w:val="0"/>
                <w:sz w:val="19"/>
                <w:szCs w:val="19"/>
              </w:rPr>
            </w:pPr>
            <w:r>
              <w:rPr>
                <w:rFonts w:ascii="Arial" w:eastAsia="黑体" w:hAnsi="Arial" w:cs="Arial"/>
                <w:snapToGrid w:val="0"/>
                <w:sz w:val="19"/>
                <w:szCs w:val="19"/>
              </w:rPr>
              <w:t>债券及其他投资</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c>
          <w:tcPr>
            <w:tcW w:w="2237"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19"/>
                <w:szCs w:val="19"/>
              </w:rPr>
            </w:pPr>
            <w:r>
              <w:rPr>
                <w:rFonts w:ascii="Arial" w:eastAsia="黑体" w:hAnsi="Arial" w:cs="Arial"/>
                <w:snapToGrid w:val="0"/>
                <w:sz w:val="19"/>
                <w:szCs w:val="19"/>
              </w:rPr>
              <w:t>1,350,376,447.97</w:t>
            </w:r>
          </w:p>
        </w:tc>
        <w:tc>
          <w:tcPr>
            <w:tcW w:w="112"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rPr>
                <w:rFonts w:ascii="Arial" w:eastAsia="黑体" w:hAnsi="Arial" w:cs="Arial"/>
                <w:snapToGrid w:val="0"/>
                <w:sz w:val="19"/>
                <w:szCs w:val="19"/>
              </w:rPr>
            </w:pPr>
          </w:p>
        </w:tc>
        <w:tc>
          <w:tcPr>
            <w:tcW w:w="2237"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19"/>
                <w:szCs w:val="19"/>
              </w:rPr>
            </w:pPr>
            <w:r>
              <w:rPr>
                <w:rFonts w:ascii="Arial" w:eastAsia="黑体" w:hAnsi="Arial" w:cs="Arial"/>
                <w:snapToGrid w:val="0"/>
                <w:sz w:val="19"/>
                <w:szCs w:val="19"/>
              </w:rPr>
              <w:t>1,244,519,874.44</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r>
      <w:tr w:rsidR="00AD5BB5">
        <w:trPr>
          <w:trHeight w:val="170"/>
        </w:trPr>
        <w:tc>
          <w:tcPr>
            <w:tcW w:w="3417" w:type="dxa"/>
            <w:tcBorders>
              <w:top w:val="nil"/>
              <w:left w:val="nil"/>
              <w:bottom w:val="nil"/>
              <w:right w:val="nil"/>
            </w:tcBorders>
            <w:shd w:val="clear" w:color="auto" w:fill="auto"/>
            <w:noWrap/>
          </w:tcPr>
          <w:p w:rsidR="00AD5BB5" w:rsidRDefault="00AD5BB5">
            <w:pPr>
              <w:kinsoku w:val="0"/>
              <w:overflowPunct w:val="0"/>
              <w:autoSpaceDE w:val="0"/>
              <w:autoSpaceDN w:val="0"/>
              <w:adjustRightInd w:val="0"/>
              <w:snapToGrid w:val="0"/>
              <w:ind w:leftChars="80" w:left="453" w:hangingChars="150" w:hanging="285"/>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c>
          <w:tcPr>
            <w:tcW w:w="2237"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6" w:right="13"/>
              <w:jc w:val="right"/>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rPr>
                <w:rFonts w:ascii="Arial" w:eastAsia="黑体" w:hAnsi="Arial" w:cs="Arial"/>
                <w:snapToGrid w:val="0"/>
                <w:sz w:val="19"/>
                <w:szCs w:val="19"/>
              </w:rPr>
            </w:pPr>
          </w:p>
        </w:tc>
        <w:tc>
          <w:tcPr>
            <w:tcW w:w="2237"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6" w:right="13"/>
              <w:jc w:val="right"/>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r>
      <w:tr w:rsidR="00AD5BB5">
        <w:trPr>
          <w:trHeight w:val="170"/>
        </w:trPr>
        <w:tc>
          <w:tcPr>
            <w:tcW w:w="3417"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190" w:hangingChars="100" w:hanging="190"/>
              <w:rPr>
                <w:rFonts w:ascii="Arial" w:eastAsia="黑体" w:hAnsi="Arial" w:cs="Arial"/>
                <w:color w:val="000000"/>
                <w:sz w:val="19"/>
                <w:szCs w:val="19"/>
              </w:rPr>
            </w:pPr>
            <w:r>
              <w:rPr>
                <w:rFonts w:ascii="Arial" w:eastAsia="黑体" w:hAnsi="Arial" w:cs="Arial"/>
                <w:snapToGrid w:val="0"/>
                <w:sz w:val="19"/>
                <w:szCs w:val="19"/>
              </w:rPr>
              <w:t>小计</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c>
          <w:tcPr>
            <w:tcW w:w="2237"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19"/>
                <w:szCs w:val="19"/>
              </w:rPr>
            </w:pPr>
            <w:r>
              <w:rPr>
                <w:rFonts w:ascii="Arial" w:eastAsia="黑体" w:hAnsi="Arial" w:cs="Arial"/>
                <w:snapToGrid w:val="0"/>
                <w:sz w:val="19"/>
                <w:szCs w:val="19"/>
              </w:rPr>
              <w:t>6,225,831,583.83</w:t>
            </w:r>
          </w:p>
        </w:tc>
        <w:tc>
          <w:tcPr>
            <w:tcW w:w="112"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rPr>
                <w:rFonts w:ascii="Arial" w:eastAsia="黑体" w:hAnsi="Arial" w:cs="Arial"/>
                <w:snapToGrid w:val="0"/>
                <w:sz w:val="19"/>
                <w:szCs w:val="19"/>
              </w:rPr>
            </w:pPr>
          </w:p>
        </w:tc>
        <w:tc>
          <w:tcPr>
            <w:tcW w:w="2237"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19"/>
                <w:szCs w:val="19"/>
              </w:rPr>
            </w:pPr>
            <w:r>
              <w:rPr>
                <w:rFonts w:ascii="Arial" w:eastAsia="黑体" w:hAnsi="Arial" w:cs="Arial"/>
                <w:snapToGrid w:val="0"/>
                <w:sz w:val="19"/>
                <w:szCs w:val="19"/>
              </w:rPr>
              <w:t>6,090,576,666.02</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r>
      <w:tr w:rsidR="00AD5BB5">
        <w:trPr>
          <w:trHeight w:val="170"/>
        </w:trPr>
        <w:tc>
          <w:tcPr>
            <w:tcW w:w="3417" w:type="dxa"/>
            <w:tcBorders>
              <w:top w:val="nil"/>
              <w:left w:val="nil"/>
              <w:bottom w:val="nil"/>
              <w:right w:val="nil"/>
            </w:tcBorders>
            <w:shd w:val="clear" w:color="auto" w:fill="auto"/>
            <w:noWrap/>
          </w:tcPr>
          <w:p w:rsidR="00AD5BB5" w:rsidRDefault="00AD5BB5">
            <w:pPr>
              <w:kinsoku w:val="0"/>
              <w:overflowPunct w:val="0"/>
              <w:autoSpaceDE w:val="0"/>
              <w:autoSpaceDN w:val="0"/>
              <w:adjustRightInd w:val="0"/>
              <w:snapToGrid w:val="0"/>
              <w:ind w:left="285" w:hangingChars="150" w:hanging="285"/>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c>
          <w:tcPr>
            <w:tcW w:w="2237"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6" w:right="13"/>
              <w:jc w:val="right"/>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c>
          <w:tcPr>
            <w:tcW w:w="2237"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6" w:right="13"/>
              <w:jc w:val="right"/>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r>
      <w:tr w:rsidR="00AD5BB5">
        <w:trPr>
          <w:trHeight w:val="170"/>
        </w:trPr>
        <w:tc>
          <w:tcPr>
            <w:tcW w:w="3417"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760" w:hangingChars="400" w:hanging="760"/>
              <w:rPr>
                <w:rFonts w:ascii="Arial" w:eastAsia="黑体" w:hAnsi="Arial" w:cs="Arial"/>
                <w:snapToGrid w:val="0"/>
                <w:sz w:val="19"/>
                <w:szCs w:val="19"/>
              </w:rPr>
            </w:pPr>
            <w:r>
              <w:rPr>
                <w:rFonts w:ascii="Arial" w:eastAsia="黑体" w:hAnsi="Arial" w:cs="Arial"/>
                <w:snapToGrid w:val="0"/>
                <w:sz w:val="19"/>
                <w:szCs w:val="19"/>
              </w:rPr>
              <w:t>其中：已减值金融资产利息收入</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c>
          <w:tcPr>
            <w:tcW w:w="2237"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19"/>
                <w:szCs w:val="19"/>
              </w:rPr>
            </w:pPr>
            <w:r>
              <w:rPr>
                <w:rFonts w:ascii="Arial" w:eastAsia="黑体" w:hAnsi="Arial" w:cs="Arial"/>
                <w:snapToGrid w:val="0"/>
                <w:sz w:val="19"/>
                <w:szCs w:val="19"/>
              </w:rPr>
              <w:t>13,914,103.10</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c>
          <w:tcPr>
            <w:tcW w:w="2237"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19"/>
                <w:szCs w:val="19"/>
              </w:rPr>
            </w:pPr>
            <w:r>
              <w:rPr>
                <w:rFonts w:ascii="Arial" w:eastAsia="黑体" w:hAnsi="Arial" w:cs="Arial"/>
                <w:snapToGrid w:val="0"/>
                <w:sz w:val="19"/>
                <w:szCs w:val="19"/>
              </w:rPr>
              <w:t>16,826,004.69</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r>
      <w:tr w:rsidR="00AD5BB5">
        <w:trPr>
          <w:trHeight w:val="170"/>
        </w:trPr>
        <w:tc>
          <w:tcPr>
            <w:tcW w:w="3417" w:type="dxa"/>
            <w:tcBorders>
              <w:top w:val="nil"/>
              <w:left w:val="nil"/>
              <w:bottom w:val="nil"/>
              <w:right w:val="nil"/>
            </w:tcBorders>
            <w:shd w:val="clear" w:color="auto" w:fill="auto"/>
            <w:noWrap/>
          </w:tcPr>
          <w:p w:rsidR="00AD5BB5" w:rsidRDefault="00AD5BB5">
            <w:pPr>
              <w:kinsoku w:val="0"/>
              <w:overflowPunct w:val="0"/>
              <w:autoSpaceDE w:val="0"/>
              <w:autoSpaceDN w:val="0"/>
              <w:adjustRightInd w:val="0"/>
              <w:snapToGrid w:val="0"/>
              <w:ind w:left="285" w:hangingChars="150" w:hanging="285"/>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c>
          <w:tcPr>
            <w:tcW w:w="2237" w:type="dxa"/>
            <w:tcBorders>
              <w:top w:val="single" w:sz="4" w:space="0" w:color="auto"/>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jc w:val="right"/>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c>
          <w:tcPr>
            <w:tcW w:w="2237"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r>
      <w:tr w:rsidR="00AD5BB5">
        <w:trPr>
          <w:trHeight w:val="170"/>
        </w:trPr>
        <w:tc>
          <w:tcPr>
            <w:tcW w:w="3417"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190" w:hangingChars="100" w:hanging="190"/>
              <w:rPr>
                <w:rFonts w:ascii="Arial" w:eastAsia="黑体" w:hAnsi="Arial" w:cs="Arial"/>
                <w:snapToGrid w:val="0"/>
                <w:sz w:val="19"/>
                <w:szCs w:val="19"/>
              </w:rPr>
            </w:pPr>
            <w:r>
              <w:rPr>
                <w:rFonts w:ascii="Arial" w:eastAsia="黑体" w:hAnsi="Arial" w:cs="Arial"/>
                <w:snapToGrid w:val="0"/>
                <w:sz w:val="19"/>
                <w:szCs w:val="19"/>
              </w:rPr>
              <w:t>利息支出</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c>
          <w:tcPr>
            <w:tcW w:w="2237"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jc w:val="right"/>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c>
          <w:tcPr>
            <w:tcW w:w="223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r>
      <w:tr w:rsidR="00AD5BB5">
        <w:trPr>
          <w:trHeight w:val="170"/>
        </w:trPr>
        <w:tc>
          <w:tcPr>
            <w:tcW w:w="3417"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Chars="80" w:left="358" w:hangingChars="100" w:hanging="190"/>
              <w:rPr>
                <w:rFonts w:ascii="Arial" w:eastAsia="黑体" w:hAnsi="Arial" w:cs="Arial"/>
                <w:snapToGrid w:val="0"/>
                <w:sz w:val="19"/>
                <w:szCs w:val="19"/>
              </w:rPr>
            </w:pPr>
            <w:r>
              <w:rPr>
                <w:rFonts w:ascii="Arial" w:eastAsia="黑体" w:hAnsi="Arial" w:cs="Arial"/>
                <w:snapToGrid w:val="0"/>
                <w:sz w:val="19"/>
                <w:szCs w:val="19"/>
              </w:rPr>
              <w:t>向中央银行借款</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19"/>
                <w:szCs w:val="19"/>
              </w:rPr>
            </w:pPr>
            <w:r>
              <w:rPr>
                <w:rFonts w:ascii="Arial" w:eastAsia="黑体" w:hAnsi="Arial" w:cs="Arial"/>
                <w:snapToGrid w:val="0"/>
                <w:sz w:val="19"/>
                <w:szCs w:val="19"/>
              </w:rPr>
              <w:t>84,718,610.05</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napToGrid w:val="0"/>
                <w:sz w:val="19"/>
                <w:szCs w:val="19"/>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19"/>
                <w:szCs w:val="19"/>
              </w:rPr>
            </w:pPr>
            <w:r>
              <w:rPr>
                <w:rFonts w:ascii="Arial" w:eastAsia="黑体" w:hAnsi="Arial" w:cs="Arial"/>
                <w:snapToGrid w:val="0"/>
                <w:sz w:val="19"/>
                <w:szCs w:val="19"/>
              </w:rPr>
              <w:t>92,525,458.33</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r>
      <w:tr w:rsidR="00AD5BB5">
        <w:trPr>
          <w:trHeight w:val="170"/>
        </w:trPr>
        <w:tc>
          <w:tcPr>
            <w:tcW w:w="3417"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Chars="80" w:left="358" w:hangingChars="100" w:hanging="190"/>
              <w:rPr>
                <w:rFonts w:ascii="Arial" w:eastAsia="黑体" w:hAnsi="Arial" w:cs="Arial"/>
                <w:snapToGrid w:val="0"/>
                <w:sz w:val="19"/>
                <w:szCs w:val="19"/>
              </w:rPr>
            </w:pPr>
            <w:r>
              <w:rPr>
                <w:rFonts w:ascii="Arial" w:eastAsia="黑体" w:hAnsi="Arial" w:cs="Arial"/>
                <w:snapToGrid w:val="0"/>
                <w:sz w:val="19"/>
                <w:szCs w:val="19"/>
              </w:rPr>
              <w:t>同业及其他金融机构存放款项</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19"/>
                <w:szCs w:val="19"/>
              </w:rPr>
            </w:pPr>
            <w:r>
              <w:rPr>
                <w:rFonts w:ascii="Arial" w:eastAsia="黑体" w:hAnsi="Arial" w:cs="Arial"/>
                <w:sz w:val="19"/>
              </w:rPr>
              <w:t>201,835,509.65</w:t>
            </w:r>
          </w:p>
        </w:tc>
        <w:tc>
          <w:tcPr>
            <w:tcW w:w="112"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rPr>
                <w:rFonts w:ascii="Arial" w:eastAsia="黑体" w:hAnsi="Arial" w:cs="Arial"/>
                <w:snapToGrid w:val="0"/>
                <w:sz w:val="19"/>
                <w:szCs w:val="19"/>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19"/>
                <w:szCs w:val="19"/>
              </w:rPr>
            </w:pPr>
            <w:r>
              <w:rPr>
                <w:rFonts w:ascii="Arial" w:eastAsia="黑体" w:hAnsi="Arial" w:cs="Arial"/>
                <w:snapToGrid w:val="0"/>
                <w:sz w:val="19"/>
                <w:szCs w:val="19"/>
              </w:rPr>
              <w:t>68,264,048.01</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r>
      <w:tr w:rsidR="00AD5BB5">
        <w:trPr>
          <w:trHeight w:val="170"/>
        </w:trPr>
        <w:tc>
          <w:tcPr>
            <w:tcW w:w="3417"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Chars="80" w:left="358" w:hangingChars="100" w:hanging="190"/>
              <w:rPr>
                <w:rFonts w:ascii="Arial" w:eastAsia="黑体" w:hAnsi="Arial" w:cs="Arial"/>
                <w:snapToGrid w:val="0"/>
                <w:sz w:val="19"/>
                <w:szCs w:val="19"/>
              </w:rPr>
            </w:pPr>
            <w:r>
              <w:rPr>
                <w:rFonts w:ascii="Arial" w:eastAsia="黑体" w:hAnsi="Arial" w:cs="Arial"/>
                <w:snapToGrid w:val="0"/>
                <w:sz w:val="19"/>
                <w:szCs w:val="19"/>
              </w:rPr>
              <w:t>拆入资金</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19"/>
                <w:szCs w:val="19"/>
              </w:rPr>
            </w:pPr>
            <w:r>
              <w:rPr>
                <w:rFonts w:ascii="Arial" w:eastAsia="黑体" w:hAnsi="Arial" w:cs="Arial"/>
                <w:snapToGrid w:val="0"/>
                <w:sz w:val="19"/>
                <w:szCs w:val="19"/>
              </w:rPr>
              <w:t>412,352,167.12</w:t>
            </w:r>
          </w:p>
        </w:tc>
        <w:tc>
          <w:tcPr>
            <w:tcW w:w="112"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rPr>
                <w:rFonts w:ascii="Arial" w:eastAsia="黑体" w:hAnsi="Arial" w:cs="Arial"/>
                <w:snapToGrid w:val="0"/>
                <w:sz w:val="19"/>
                <w:szCs w:val="19"/>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19"/>
                <w:szCs w:val="19"/>
              </w:rPr>
            </w:pPr>
            <w:r>
              <w:rPr>
                <w:rFonts w:ascii="Arial" w:eastAsia="黑体" w:hAnsi="Arial" w:cs="Arial"/>
                <w:snapToGrid w:val="0"/>
                <w:sz w:val="19"/>
                <w:szCs w:val="19"/>
              </w:rPr>
              <w:t>313,260,059.03</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r>
      <w:tr w:rsidR="00AD5BB5">
        <w:trPr>
          <w:trHeight w:val="170"/>
        </w:trPr>
        <w:tc>
          <w:tcPr>
            <w:tcW w:w="3417"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Chars="80" w:left="358" w:hangingChars="100" w:hanging="190"/>
              <w:rPr>
                <w:rFonts w:ascii="Arial" w:eastAsia="黑体" w:hAnsi="Arial" w:cs="Arial"/>
                <w:snapToGrid w:val="0"/>
                <w:sz w:val="19"/>
                <w:szCs w:val="19"/>
              </w:rPr>
            </w:pPr>
            <w:r>
              <w:rPr>
                <w:rFonts w:ascii="Arial" w:eastAsia="黑体" w:hAnsi="Arial" w:cs="Arial"/>
                <w:snapToGrid w:val="0"/>
                <w:sz w:val="19"/>
                <w:szCs w:val="19"/>
              </w:rPr>
              <w:t>卖出回购金融资产款</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19"/>
                <w:szCs w:val="19"/>
              </w:rPr>
            </w:pPr>
            <w:r>
              <w:rPr>
                <w:rFonts w:ascii="Arial" w:eastAsia="黑体" w:hAnsi="Arial" w:cs="Arial"/>
                <w:snapToGrid w:val="0"/>
                <w:sz w:val="19"/>
                <w:szCs w:val="19"/>
              </w:rPr>
              <w:t>135,942,725.57</w:t>
            </w:r>
          </w:p>
        </w:tc>
        <w:tc>
          <w:tcPr>
            <w:tcW w:w="112"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rPr>
                <w:rFonts w:ascii="Arial" w:eastAsia="黑体" w:hAnsi="Arial" w:cs="Arial"/>
                <w:snapToGrid w:val="0"/>
                <w:sz w:val="19"/>
                <w:szCs w:val="19"/>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19"/>
                <w:szCs w:val="19"/>
              </w:rPr>
            </w:pPr>
            <w:r>
              <w:rPr>
                <w:rFonts w:ascii="Arial" w:eastAsia="黑体" w:hAnsi="Arial" w:cs="Arial"/>
                <w:snapToGrid w:val="0"/>
                <w:sz w:val="19"/>
                <w:szCs w:val="19"/>
              </w:rPr>
              <w:t>160,431,413.73</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r>
      <w:tr w:rsidR="00AD5BB5">
        <w:trPr>
          <w:trHeight w:val="170"/>
        </w:trPr>
        <w:tc>
          <w:tcPr>
            <w:tcW w:w="3417"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Chars="80" w:left="358" w:hangingChars="100" w:hanging="190"/>
              <w:rPr>
                <w:rFonts w:ascii="Arial" w:eastAsia="黑体" w:hAnsi="Arial" w:cs="Arial"/>
                <w:snapToGrid w:val="0"/>
                <w:sz w:val="19"/>
                <w:szCs w:val="19"/>
              </w:rPr>
            </w:pPr>
            <w:r>
              <w:rPr>
                <w:rFonts w:ascii="Arial" w:eastAsia="黑体" w:hAnsi="Arial" w:cs="Arial"/>
                <w:snapToGrid w:val="0"/>
                <w:sz w:val="19"/>
                <w:szCs w:val="19"/>
              </w:rPr>
              <w:t>吸收存款</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19"/>
                <w:szCs w:val="19"/>
              </w:rPr>
            </w:pPr>
            <w:r>
              <w:rPr>
                <w:rFonts w:ascii="Arial" w:eastAsia="黑体" w:hAnsi="Arial" w:cs="Arial"/>
                <w:sz w:val="19"/>
              </w:rPr>
              <w:t>2,217,410,695.23</w:t>
            </w:r>
          </w:p>
        </w:tc>
        <w:tc>
          <w:tcPr>
            <w:tcW w:w="112"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rPr>
                <w:rFonts w:ascii="Arial" w:eastAsia="黑体" w:hAnsi="Arial" w:cs="Arial"/>
                <w:snapToGrid w:val="0"/>
                <w:sz w:val="19"/>
                <w:szCs w:val="19"/>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19"/>
                <w:szCs w:val="19"/>
              </w:rPr>
            </w:pPr>
            <w:r>
              <w:rPr>
                <w:rFonts w:ascii="Arial" w:eastAsia="黑体" w:hAnsi="Arial" w:cs="Arial"/>
                <w:snapToGrid w:val="0"/>
                <w:sz w:val="19"/>
                <w:szCs w:val="19"/>
              </w:rPr>
              <w:t>2,261,005,443.81</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r>
      <w:tr w:rsidR="00AD5BB5">
        <w:trPr>
          <w:trHeight w:val="170"/>
        </w:trPr>
        <w:tc>
          <w:tcPr>
            <w:tcW w:w="3417"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Chars="80" w:left="358" w:hangingChars="100" w:hanging="190"/>
              <w:rPr>
                <w:rFonts w:ascii="Arial" w:eastAsia="黑体" w:hAnsi="Arial" w:cs="Arial"/>
                <w:snapToGrid w:val="0"/>
                <w:sz w:val="19"/>
                <w:szCs w:val="19"/>
              </w:rPr>
            </w:pPr>
            <w:r>
              <w:rPr>
                <w:rFonts w:ascii="Arial" w:eastAsia="黑体" w:hAnsi="Arial" w:cs="Arial"/>
                <w:snapToGrid w:val="0"/>
                <w:sz w:val="19"/>
                <w:szCs w:val="19"/>
              </w:rPr>
              <w:t>应付债券</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c>
          <w:tcPr>
            <w:tcW w:w="2237"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19"/>
                <w:szCs w:val="19"/>
              </w:rPr>
            </w:pPr>
            <w:r>
              <w:rPr>
                <w:rFonts w:ascii="Arial" w:eastAsia="黑体" w:hAnsi="Arial" w:cs="Arial"/>
                <w:snapToGrid w:val="0"/>
                <w:sz w:val="19"/>
                <w:szCs w:val="19"/>
              </w:rPr>
              <w:t>935,446,676.03</w:t>
            </w:r>
          </w:p>
        </w:tc>
        <w:tc>
          <w:tcPr>
            <w:tcW w:w="112"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rPr>
                <w:rFonts w:ascii="Arial" w:eastAsia="黑体" w:hAnsi="Arial" w:cs="Arial"/>
                <w:snapToGrid w:val="0"/>
                <w:sz w:val="19"/>
                <w:szCs w:val="19"/>
              </w:rPr>
            </w:pPr>
          </w:p>
        </w:tc>
        <w:tc>
          <w:tcPr>
            <w:tcW w:w="2237"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19"/>
                <w:szCs w:val="19"/>
              </w:rPr>
            </w:pPr>
            <w:r>
              <w:rPr>
                <w:rFonts w:ascii="Arial" w:eastAsia="黑体" w:hAnsi="Arial" w:cs="Arial"/>
                <w:snapToGrid w:val="0"/>
                <w:sz w:val="19"/>
                <w:szCs w:val="19"/>
              </w:rPr>
              <w:t>920,377,165.93</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r>
      <w:tr w:rsidR="00AD5BB5">
        <w:trPr>
          <w:trHeight w:val="170"/>
        </w:trPr>
        <w:tc>
          <w:tcPr>
            <w:tcW w:w="3417" w:type="dxa"/>
            <w:tcBorders>
              <w:top w:val="nil"/>
              <w:left w:val="nil"/>
              <w:bottom w:val="nil"/>
              <w:right w:val="nil"/>
            </w:tcBorders>
            <w:shd w:val="clear" w:color="auto" w:fill="auto"/>
            <w:noWrap/>
          </w:tcPr>
          <w:p w:rsidR="00AD5BB5" w:rsidRDefault="00AD5BB5">
            <w:pPr>
              <w:kinsoku w:val="0"/>
              <w:overflowPunct w:val="0"/>
              <w:autoSpaceDE w:val="0"/>
              <w:autoSpaceDN w:val="0"/>
              <w:adjustRightInd w:val="0"/>
              <w:snapToGrid w:val="0"/>
              <w:ind w:leftChars="80" w:left="453" w:hangingChars="150" w:hanging="285"/>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c>
          <w:tcPr>
            <w:tcW w:w="2237"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6" w:right="13"/>
              <w:jc w:val="right"/>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rPr>
                <w:rFonts w:ascii="Arial" w:eastAsia="黑体" w:hAnsi="Arial" w:cs="Arial"/>
                <w:snapToGrid w:val="0"/>
                <w:sz w:val="19"/>
                <w:szCs w:val="19"/>
              </w:rPr>
            </w:pPr>
          </w:p>
        </w:tc>
        <w:tc>
          <w:tcPr>
            <w:tcW w:w="2237"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6" w:right="13"/>
              <w:jc w:val="right"/>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r>
      <w:tr w:rsidR="00AD5BB5">
        <w:trPr>
          <w:trHeight w:val="170"/>
        </w:trPr>
        <w:tc>
          <w:tcPr>
            <w:tcW w:w="3417"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190" w:hangingChars="100" w:hanging="190"/>
              <w:rPr>
                <w:rFonts w:ascii="Arial" w:eastAsia="黑体" w:hAnsi="Arial" w:cs="Arial"/>
                <w:snapToGrid w:val="0"/>
                <w:sz w:val="19"/>
                <w:szCs w:val="19"/>
              </w:rPr>
            </w:pPr>
            <w:r>
              <w:rPr>
                <w:rFonts w:ascii="Arial" w:eastAsia="黑体" w:hAnsi="Arial" w:cs="Arial"/>
                <w:snapToGrid w:val="0"/>
                <w:sz w:val="19"/>
                <w:szCs w:val="19"/>
              </w:rPr>
              <w:t>小计</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c>
          <w:tcPr>
            <w:tcW w:w="2237"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19"/>
                <w:szCs w:val="19"/>
              </w:rPr>
            </w:pPr>
            <w:r>
              <w:rPr>
                <w:rFonts w:ascii="Arial" w:eastAsia="黑体" w:hAnsi="Arial" w:cs="Arial"/>
                <w:snapToGrid w:val="0"/>
                <w:sz w:val="19"/>
                <w:szCs w:val="19"/>
              </w:rPr>
              <w:t>3,987,706,383.65</w:t>
            </w:r>
          </w:p>
        </w:tc>
        <w:tc>
          <w:tcPr>
            <w:tcW w:w="112"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rPr>
                <w:rFonts w:ascii="Arial" w:eastAsia="黑体" w:hAnsi="Arial" w:cs="Arial"/>
                <w:snapToGrid w:val="0"/>
                <w:sz w:val="19"/>
                <w:szCs w:val="19"/>
              </w:rPr>
            </w:pPr>
          </w:p>
        </w:tc>
        <w:tc>
          <w:tcPr>
            <w:tcW w:w="2237"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19"/>
                <w:szCs w:val="19"/>
              </w:rPr>
            </w:pPr>
            <w:r>
              <w:rPr>
                <w:rFonts w:ascii="Arial" w:eastAsia="黑体" w:hAnsi="Arial" w:cs="Arial"/>
                <w:snapToGrid w:val="0"/>
                <w:sz w:val="19"/>
                <w:szCs w:val="19"/>
              </w:rPr>
              <w:t>3,815,863,588.84</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r>
      <w:tr w:rsidR="00AD5BB5">
        <w:trPr>
          <w:trHeight w:val="170"/>
        </w:trPr>
        <w:tc>
          <w:tcPr>
            <w:tcW w:w="3417" w:type="dxa"/>
            <w:tcBorders>
              <w:top w:val="nil"/>
              <w:left w:val="nil"/>
              <w:bottom w:val="nil"/>
              <w:right w:val="nil"/>
            </w:tcBorders>
            <w:shd w:val="clear" w:color="auto" w:fill="auto"/>
            <w:noWrap/>
          </w:tcPr>
          <w:p w:rsidR="00AD5BB5" w:rsidRDefault="00AD5BB5">
            <w:pPr>
              <w:kinsoku w:val="0"/>
              <w:overflowPunct w:val="0"/>
              <w:autoSpaceDE w:val="0"/>
              <w:autoSpaceDN w:val="0"/>
              <w:adjustRightInd w:val="0"/>
              <w:snapToGrid w:val="0"/>
              <w:ind w:left="285" w:hangingChars="150" w:hanging="285"/>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c>
          <w:tcPr>
            <w:tcW w:w="2237"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6" w:right="13"/>
              <w:jc w:val="right"/>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rPr>
                <w:rFonts w:ascii="Arial" w:eastAsia="黑体" w:hAnsi="Arial" w:cs="Arial"/>
                <w:snapToGrid w:val="0"/>
                <w:sz w:val="19"/>
                <w:szCs w:val="19"/>
              </w:rPr>
            </w:pPr>
          </w:p>
        </w:tc>
        <w:tc>
          <w:tcPr>
            <w:tcW w:w="2237"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6" w:right="13"/>
              <w:jc w:val="right"/>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r>
      <w:tr w:rsidR="00AD5BB5">
        <w:trPr>
          <w:trHeight w:val="170"/>
        </w:trPr>
        <w:tc>
          <w:tcPr>
            <w:tcW w:w="3417"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190" w:hangingChars="100" w:hanging="190"/>
              <w:rPr>
                <w:rFonts w:ascii="Arial" w:eastAsia="黑体" w:hAnsi="Arial" w:cs="Arial"/>
                <w:snapToGrid w:val="0"/>
                <w:sz w:val="19"/>
                <w:szCs w:val="19"/>
              </w:rPr>
            </w:pPr>
            <w:r>
              <w:rPr>
                <w:rFonts w:ascii="Arial" w:eastAsia="黑体" w:hAnsi="Arial" w:cs="Arial"/>
                <w:snapToGrid w:val="0"/>
                <w:sz w:val="19"/>
                <w:szCs w:val="19"/>
              </w:rPr>
              <w:t>利息净收入</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c>
          <w:tcPr>
            <w:tcW w:w="2237" w:type="dxa"/>
            <w:tcBorders>
              <w:top w:val="nil"/>
              <w:left w:val="nil"/>
              <w:bottom w:val="doub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19"/>
                <w:szCs w:val="19"/>
              </w:rPr>
            </w:pPr>
            <w:r>
              <w:rPr>
                <w:rFonts w:ascii="Arial" w:eastAsia="黑体" w:hAnsi="Arial" w:cs="Arial"/>
                <w:snapToGrid w:val="0"/>
                <w:sz w:val="19"/>
                <w:szCs w:val="19"/>
              </w:rPr>
              <w:t>2,238,125,200.18</w:t>
            </w:r>
          </w:p>
        </w:tc>
        <w:tc>
          <w:tcPr>
            <w:tcW w:w="112"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rPr>
                <w:rFonts w:ascii="Arial" w:eastAsia="黑体" w:hAnsi="Arial" w:cs="Arial"/>
                <w:snapToGrid w:val="0"/>
                <w:sz w:val="19"/>
                <w:szCs w:val="19"/>
              </w:rPr>
            </w:pPr>
          </w:p>
        </w:tc>
        <w:tc>
          <w:tcPr>
            <w:tcW w:w="112" w:type="dxa"/>
            <w:tcBorders>
              <w:top w:val="nil"/>
              <w:left w:val="nil"/>
              <w:bottom w:val="nil"/>
              <w:right w:val="nil"/>
            </w:tcBorders>
            <w:shd w:val="clear" w:color="auto" w:fill="auto"/>
            <w:noWrap/>
            <w:vAlign w:val="bottom"/>
          </w:tcPr>
          <w:p w:rsidR="00AD5BB5" w:rsidRDefault="00AD5BB5">
            <w:pPr>
              <w:tabs>
                <w:tab w:val="left" w:pos="1558"/>
              </w:tabs>
              <w:kinsoku w:val="0"/>
              <w:overflowPunct w:val="0"/>
              <w:autoSpaceDE w:val="0"/>
              <w:autoSpaceDN w:val="0"/>
              <w:adjustRightInd w:val="0"/>
              <w:snapToGrid w:val="0"/>
              <w:ind w:rightChars="29" w:right="61"/>
              <w:rPr>
                <w:rFonts w:ascii="Arial" w:eastAsia="黑体" w:hAnsi="Arial" w:cs="Arial"/>
                <w:snapToGrid w:val="0"/>
                <w:sz w:val="19"/>
                <w:szCs w:val="19"/>
              </w:rPr>
            </w:pPr>
          </w:p>
        </w:tc>
        <w:tc>
          <w:tcPr>
            <w:tcW w:w="2237" w:type="dxa"/>
            <w:tcBorders>
              <w:top w:val="nil"/>
              <w:left w:val="nil"/>
              <w:bottom w:val="doub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 w:val="19"/>
                <w:szCs w:val="19"/>
              </w:rPr>
            </w:pPr>
            <w:r>
              <w:rPr>
                <w:rFonts w:ascii="Arial" w:eastAsia="黑体" w:hAnsi="Arial" w:cs="Arial"/>
                <w:snapToGrid w:val="0"/>
                <w:sz w:val="19"/>
                <w:szCs w:val="19"/>
              </w:rPr>
              <w:t>2,274,713,077.18</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9"/>
                <w:szCs w:val="19"/>
              </w:rPr>
            </w:pPr>
          </w:p>
        </w:tc>
      </w:tr>
    </w:tbl>
    <w:p w:rsidR="00AD5BB5" w:rsidRDefault="00F87FF6">
      <w:pPr>
        <w:rPr>
          <w:rFonts w:ascii="Arial" w:eastAsia="黑体" w:hAnsi="Arial" w:cs="Arial"/>
          <w:b/>
          <w:bCs/>
          <w:snapToGrid w:val="0"/>
          <w:szCs w:val="21"/>
        </w:rPr>
      </w:pPr>
      <w:r>
        <w:rPr>
          <w:rFonts w:ascii="Arial" w:eastAsia="黑体" w:hAnsi="Arial" w:cs="Arial"/>
          <w:b/>
          <w:bCs/>
          <w:snapToGrid w:val="0"/>
          <w:szCs w:val="21"/>
        </w:rPr>
        <w:br w:type="page"/>
      </w:r>
    </w:p>
    <w:p w:rsidR="00AD5BB5" w:rsidRDefault="00AD5BB5">
      <w:pPr>
        <w:overflowPunct w:val="0"/>
        <w:autoSpaceDE w:val="0"/>
        <w:autoSpaceDN w:val="0"/>
        <w:rPr>
          <w:rFonts w:ascii="Arial" w:eastAsia="黑体" w:hAnsi="Arial" w:cs="Arial"/>
          <w:b/>
          <w:bCs/>
          <w:snapToGrid w:val="0"/>
          <w:szCs w:val="21"/>
        </w:rPr>
      </w:pPr>
    </w:p>
    <w:p w:rsidR="00AD5BB5" w:rsidRDefault="00AD5BB5">
      <w:pPr>
        <w:overflowPunct w:val="0"/>
        <w:autoSpaceDE w:val="0"/>
        <w:autoSpaceDN w:val="0"/>
        <w:rPr>
          <w:rFonts w:ascii="Arial" w:eastAsia="黑体" w:hAnsi="Arial" w:cs="Arial"/>
          <w:b/>
          <w:bCs/>
          <w:snapToGrid w:val="0"/>
          <w:szCs w:val="21"/>
        </w:rPr>
      </w:pPr>
    </w:p>
    <w:p w:rsidR="00AD5BB5" w:rsidRDefault="00F87FF6">
      <w:pPr>
        <w:overflowPunct w:val="0"/>
        <w:autoSpaceDE w:val="0"/>
        <w:autoSpaceDN w:val="0"/>
        <w:rPr>
          <w:rFonts w:ascii="Arial" w:eastAsia="黑体" w:hAnsi="Arial" w:cs="Arial"/>
          <w:b/>
          <w:bCs/>
          <w:snapToGrid w:val="0"/>
          <w:szCs w:val="21"/>
        </w:rPr>
      </w:pPr>
      <w:bookmarkStart w:id="223" w:name="afsaddin_WithXu_4a99ae46ef114b809af095a6"/>
      <w:r>
        <w:rPr>
          <w:rFonts w:ascii="Arial" w:eastAsia="黑体" w:hAnsi="Arial" w:cs="Arial"/>
          <w:b/>
          <w:bCs/>
          <w:snapToGrid w:val="0"/>
          <w:szCs w:val="21"/>
        </w:rPr>
        <w:t>五、</w:t>
      </w:r>
      <w:r>
        <w:rPr>
          <w:rFonts w:ascii="Arial" w:eastAsia="黑体" w:hAnsi="Arial" w:cs="Arial"/>
          <w:b/>
          <w:bCs/>
          <w:snapToGrid w:val="0"/>
          <w:szCs w:val="21"/>
        </w:rPr>
        <w:tab/>
      </w:r>
      <w:r>
        <w:rPr>
          <w:rFonts w:ascii="Arial" w:eastAsia="黑体" w:hAnsi="Arial" w:cs="Arial"/>
          <w:b/>
          <w:bCs/>
          <w:snapToGrid w:val="0"/>
          <w:szCs w:val="21"/>
        </w:rPr>
        <w:t>合并财务报表主要项目注释（续）</w:t>
      </w:r>
      <w:bookmarkEnd w:id="223"/>
    </w:p>
    <w:p w:rsidR="00AD5BB5" w:rsidRDefault="00AD5BB5">
      <w:pPr>
        <w:overflowPunct w:val="0"/>
        <w:autoSpaceDE w:val="0"/>
        <w:autoSpaceDN w:val="0"/>
        <w:rPr>
          <w:rFonts w:ascii="Arial" w:eastAsia="黑体" w:hAnsi="Arial" w:cs="Arial"/>
          <w:b/>
          <w:bCs/>
          <w:snapToGrid w:val="0"/>
          <w:szCs w:val="21"/>
        </w:rPr>
      </w:pPr>
    </w:p>
    <w:p w:rsidR="00AD5BB5" w:rsidRDefault="00F87FF6">
      <w:pPr>
        <w:pStyle w:val="af5"/>
        <w:keepNext w:val="0"/>
        <w:keepLines w:val="0"/>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224" w:name="afsaddin_WithXu_0a2b4573325d4a1c91de9ea0"/>
      <w:bookmarkStart w:id="225" w:name="afsaddin_Section_b15e44e5ef5348f5b82e425"/>
      <w:bookmarkEnd w:id="224"/>
      <w:r>
        <w:rPr>
          <w:rFonts w:ascii="Arial" w:eastAsia="黑体" w:hAnsi="Arial" w:cs="Arial" w:hint="default"/>
          <w:bCs w:val="0"/>
          <w:snapToGrid w:val="0"/>
          <w:color w:val="auto"/>
          <w:sz w:val="21"/>
          <w:szCs w:val="21"/>
        </w:rPr>
        <w:t>37.</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手续费及佣金净收入</w:t>
      </w:r>
    </w:p>
    <w:bookmarkEnd w:id="225"/>
    <w:p w:rsidR="00AD5BB5" w:rsidRDefault="00AD5BB5">
      <w:pPr>
        <w:overflowPunct w:val="0"/>
        <w:autoSpaceDE w:val="0"/>
        <w:autoSpaceDN w:val="0"/>
        <w:adjustRightInd w:val="0"/>
        <w:snapToGrid w:val="0"/>
        <w:textAlignment w:val="bottom"/>
        <w:rPr>
          <w:rFonts w:ascii="Arial" w:eastAsia="黑体" w:hAnsi="Arial" w:cs="Arial"/>
          <w:snapToGrid w:val="0"/>
          <w:color w:val="000000"/>
          <w:szCs w:val="21"/>
        </w:rPr>
      </w:pPr>
    </w:p>
    <w:tbl>
      <w:tblPr>
        <w:tblW w:w="0" w:type="auto"/>
        <w:tblLayout w:type="fixed"/>
        <w:tblCellMar>
          <w:left w:w="0" w:type="dxa"/>
          <w:right w:w="0" w:type="dxa"/>
        </w:tblCellMar>
        <w:tblLook w:val="04A0" w:firstRow="1" w:lastRow="0" w:firstColumn="1" w:lastColumn="0" w:noHBand="0" w:noVBand="1"/>
        <w:tblCaption w:val="b6737731-11a0-486c-b5bf-fe1549d562c5"/>
        <w:tblDescription w:val="{&quot;UUID&quot;:&quot;afsaddin_tabledata_2_56437_b6737731-11a0-486c-b5bf-fe1549d562c5&quot;,&quot;TitleRowCount&quot;:2,&quot;SplitedTable&quot;:false,&quot;FirstTableId&quot;:&quot;b6737731-11a0-486c-b5bf-fe1549d562c5&quot;}"/>
      </w:tblPr>
      <w:tblGrid>
        <w:gridCol w:w="3417"/>
        <w:gridCol w:w="112"/>
        <w:gridCol w:w="2252"/>
        <w:gridCol w:w="112"/>
        <w:gridCol w:w="112"/>
        <w:gridCol w:w="2237"/>
        <w:gridCol w:w="112"/>
      </w:tblGrid>
      <w:tr w:rsidR="00AD5BB5">
        <w:trPr>
          <w:trHeight w:val="170"/>
        </w:trPr>
        <w:tc>
          <w:tcPr>
            <w:tcW w:w="3417" w:type="dxa"/>
            <w:tcBorders>
              <w:top w:val="nil"/>
              <w:left w:val="nil"/>
              <w:bottom w:val="nil"/>
              <w:right w:val="nil"/>
            </w:tcBorders>
            <w:shd w:val="clear" w:color="auto" w:fill="auto"/>
            <w:noWrap/>
          </w:tcPr>
          <w:p w:rsidR="00AD5BB5" w:rsidRDefault="00AD5BB5">
            <w:pPr>
              <w:kinsoku w:val="0"/>
              <w:overflowPunct w:val="0"/>
              <w:autoSpaceDE w:val="0"/>
              <w:autoSpaceDN w:val="0"/>
              <w:adjustRightInd w:val="0"/>
              <w:snapToGrid w:val="0"/>
              <w:ind w:left="315" w:hangingChars="150" w:hanging="315"/>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52"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DOCPROPERTY </w:instrText>
            </w:r>
            <w:r>
              <w:rPr>
                <w:rFonts w:ascii="Arial" w:eastAsia="黑体" w:hAnsi="Arial" w:cs="Arial"/>
                <w:szCs w:val="21"/>
              </w:rPr>
              <w:instrText>当期会计期间</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fldChar w:fldCharType="end"/>
            </w:r>
            <w:r>
              <w:rPr>
                <w:rFonts w:ascii="Arial" w:eastAsia="黑体" w:hAnsi="Arial" w:cs="Arial"/>
                <w:szCs w:val="21"/>
              </w:rPr>
              <w:t>年</w:t>
            </w:r>
            <w:r>
              <w:rPr>
                <w:rFonts w:ascii="Arial" w:eastAsia="黑体" w:hAnsi="Arial" w:cs="Arial"/>
                <w:szCs w:val="21"/>
              </w:rPr>
              <w:t>1-6</w:t>
            </w:r>
            <w:r>
              <w:rPr>
                <w:rFonts w:ascii="Arial" w:eastAsia="黑体" w:hAnsi="Arial" w:cs="Arial"/>
                <w:szCs w:val="21"/>
              </w:rPr>
              <w:t>月</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DOCPROPERTY </w:instrText>
            </w:r>
            <w:r>
              <w:rPr>
                <w:rFonts w:ascii="Arial" w:eastAsia="黑体" w:hAnsi="Arial" w:cs="Arial"/>
                <w:szCs w:val="21"/>
              </w:rPr>
              <w:instrText>对比会计期间</w:instrText>
            </w:r>
            <w:r>
              <w:rPr>
                <w:rFonts w:ascii="Arial" w:eastAsia="黑体" w:hAnsi="Arial" w:cs="Arial"/>
                <w:szCs w:val="21"/>
              </w:rPr>
              <w:fldChar w:fldCharType="separate"/>
            </w:r>
            <w:r>
              <w:rPr>
                <w:rFonts w:ascii="Arial" w:eastAsia="黑体" w:hAnsi="Arial" w:cs="Arial"/>
                <w:szCs w:val="21"/>
              </w:rPr>
              <w:t>2022</w:t>
            </w:r>
            <w:r>
              <w:rPr>
                <w:rFonts w:ascii="Arial" w:eastAsia="黑体" w:hAnsi="Arial" w:cs="Arial"/>
                <w:szCs w:val="21"/>
              </w:rPr>
              <w:fldChar w:fldCharType="end"/>
            </w:r>
            <w:r>
              <w:rPr>
                <w:rFonts w:ascii="Arial" w:eastAsia="黑体" w:hAnsi="Arial" w:cs="Arial"/>
                <w:szCs w:val="21"/>
              </w:rPr>
              <w:t>年</w:t>
            </w:r>
            <w:r>
              <w:rPr>
                <w:rFonts w:ascii="Arial" w:eastAsia="黑体" w:hAnsi="Arial" w:cs="Arial"/>
                <w:szCs w:val="21"/>
              </w:rPr>
              <w:t>1-6</w:t>
            </w:r>
            <w:r>
              <w:rPr>
                <w:rFonts w:ascii="Arial" w:eastAsia="黑体" w:hAnsi="Arial" w:cs="Arial"/>
                <w:szCs w:val="21"/>
              </w:rPr>
              <w:t>月</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r>
      <w:tr w:rsidR="00AD5BB5">
        <w:trPr>
          <w:trHeight w:val="170"/>
        </w:trPr>
        <w:tc>
          <w:tcPr>
            <w:tcW w:w="3417" w:type="dxa"/>
            <w:tcBorders>
              <w:top w:val="nil"/>
              <w:left w:val="nil"/>
              <w:bottom w:val="nil"/>
              <w:right w:val="nil"/>
            </w:tcBorders>
            <w:shd w:val="clear" w:color="auto" w:fill="auto"/>
            <w:noWrap/>
          </w:tcPr>
          <w:p w:rsidR="00AD5BB5" w:rsidRDefault="00AD5BB5">
            <w:pPr>
              <w:kinsoku w:val="0"/>
              <w:overflowPunct w:val="0"/>
              <w:autoSpaceDE w:val="0"/>
              <w:autoSpaceDN w:val="0"/>
              <w:adjustRightInd w:val="0"/>
              <w:snapToGrid w:val="0"/>
              <w:ind w:left="315" w:hangingChars="150" w:hanging="315"/>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5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30" w:right="63"/>
              <w:jc w:val="right"/>
              <w:rPr>
                <w:rFonts w:ascii="Arial" w:eastAsia="黑体" w:hAnsi="Arial" w:cs="Arial"/>
                <w:snapToGrid w:val="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223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30" w:right="63"/>
              <w:jc w:val="right"/>
              <w:rPr>
                <w:rFonts w:ascii="Arial" w:eastAsia="黑体" w:hAnsi="Arial" w:cs="Arial"/>
                <w:snapToGrid w:val="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r>
      <w:tr w:rsidR="00AD5BB5">
        <w:trPr>
          <w:trHeight w:val="170"/>
        </w:trPr>
        <w:tc>
          <w:tcPr>
            <w:tcW w:w="3417"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snapToGrid w:val="0"/>
                <w:szCs w:val="21"/>
              </w:rPr>
              <w:t>手续费及佣金收入</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5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30" w:right="63"/>
              <w:jc w:val="right"/>
              <w:rPr>
                <w:rFonts w:ascii="Arial" w:eastAsia="黑体" w:hAnsi="Arial" w:cs="Arial"/>
                <w:snapToGrid w:val="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3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30" w:right="63"/>
              <w:jc w:val="right"/>
              <w:rPr>
                <w:rFonts w:ascii="Arial" w:eastAsia="黑体" w:hAnsi="Arial" w:cs="Arial"/>
                <w:snapToGrid w:val="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417"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color w:val="000000"/>
                <w:szCs w:val="21"/>
              </w:rPr>
            </w:pPr>
            <w:r>
              <w:rPr>
                <w:rFonts w:ascii="Arial" w:eastAsia="黑体" w:hAnsi="Arial" w:cs="Arial"/>
                <w:snapToGrid w:val="0"/>
                <w:szCs w:val="21"/>
              </w:rPr>
              <w:t>代理业务</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52"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Cs w:val="21"/>
              </w:rPr>
            </w:pPr>
            <w:r>
              <w:rPr>
                <w:rFonts w:ascii="Arial" w:eastAsia="黑体" w:hAnsi="Arial" w:cs="Arial"/>
                <w:snapToGrid w:val="0"/>
                <w:szCs w:val="21"/>
              </w:rPr>
              <w:t>165,966,179.44</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Cs w:val="21"/>
              </w:rPr>
            </w:pPr>
            <w:r>
              <w:rPr>
                <w:rFonts w:ascii="Arial" w:eastAsia="黑体" w:hAnsi="Arial" w:cs="Arial"/>
              </w:rPr>
              <w:t>100,136,128.91</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FF0000"/>
                <w:szCs w:val="21"/>
              </w:rPr>
            </w:pPr>
          </w:p>
        </w:tc>
      </w:tr>
      <w:tr w:rsidR="00AD5BB5">
        <w:trPr>
          <w:trHeight w:val="170"/>
        </w:trPr>
        <w:tc>
          <w:tcPr>
            <w:tcW w:w="3417"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snapToGrid w:val="0"/>
                <w:szCs w:val="21"/>
              </w:rPr>
            </w:pPr>
            <w:r>
              <w:rPr>
                <w:rFonts w:ascii="Arial" w:eastAsia="黑体" w:hAnsi="Arial" w:cs="Arial"/>
                <w:snapToGrid w:val="0"/>
                <w:szCs w:val="21"/>
              </w:rPr>
              <w:t>债券承分销手续费</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52"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Cs w:val="21"/>
              </w:rPr>
            </w:pPr>
            <w:r>
              <w:rPr>
                <w:rFonts w:ascii="Arial" w:eastAsia="黑体" w:hAnsi="Arial" w:cs="Arial"/>
                <w:snapToGrid w:val="0"/>
                <w:szCs w:val="21"/>
              </w:rPr>
              <w:t>64,373,919.67</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Cs w:val="21"/>
              </w:rPr>
            </w:pPr>
            <w:r>
              <w:rPr>
                <w:rFonts w:ascii="Arial" w:eastAsia="黑体" w:hAnsi="Arial" w:cs="Arial"/>
              </w:rPr>
              <w:t>61,328,739.35</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417"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snapToGrid w:val="0"/>
                <w:szCs w:val="21"/>
              </w:rPr>
            </w:pPr>
            <w:r>
              <w:rPr>
                <w:rFonts w:ascii="Arial" w:eastAsia="黑体" w:hAnsi="Arial" w:cs="Arial"/>
                <w:snapToGrid w:val="0"/>
                <w:szCs w:val="21"/>
              </w:rPr>
              <w:t>担保及承诺业务</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52"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Cs w:val="21"/>
              </w:rPr>
            </w:pPr>
            <w:r>
              <w:rPr>
                <w:rFonts w:ascii="Arial" w:eastAsia="黑体" w:hAnsi="Arial" w:cs="Arial"/>
                <w:snapToGrid w:val="0"/>
                <w:szCs w:val="21"/>
              </w:rPr>
              <w:t>42,501,918.35</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Cs w:val="21"/>
              </w:rPr>
            </w:pPr>
            <w:r>
              <w:rPr>
                <w:rFonts w:ascii="Arial" w:eastAsia="黑体" w:hAnsi="Arial" w:cs="Arial"/>
              </w:rPr>
              <w:t>43,504,641.54</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417"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snapToGrid w:val="0"/>
                <w:szCs w:val="21"/>
              </w:rPr>
            </w:pPr>
            <w:r>
              <w:rPr>
                <w:rFonts w:ascii="Arial" w:eastAsia="黑体" w:hAnsi="Arial" w:cs="Arial"/>
                <w:snapToGrid w:val="0"/>
                <w:szCs w:val="21"/>
              </w:rPr>
              <w:t>理财业务</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52"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Cs w:val="21"/>
              </w:rPr>
            </w:pPr>
            <w:r>
              <w:rPr>
                <w:rFonts w:ascii="Arial" w:eastAsia="黑体" w:hAnsi="Arial" w:cs="Arial"/>
                <w:snapToGrid w:val="0"/>
                <w:szCs w:val="21"/>
              </w:rPr>
              <w:t>19,573,388.09</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Cs w:val="21"/>
              </w:rPr>
            </w:pPr>
            <w:r>
              <w:rPr>
                <w:rFonts w:ascii="Arial" w:eastAsia="黑体" w:hAnsi="Arial" w:cs="Arial"/>
              </w:rPr>
              <w:t>52,034,930.17</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417"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snapToGrid w:val="0"/>
                <w:szCs w:val="21"/>
              </w:rPr>
            </w:pPr>
            <w:r>
              <w:rPr>
                <w:rFonts w:ascii="Arial" w:eastAsia="黑体" w:hAnsi="Arial" w:cs="Arial"/>
                <w:snapToGrid w:val="0"/>
                <w:szCs w:val="21"/>
              </w:rPr>
              <w:t>银行卡业务</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52"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Cs w:val="21"/>
              </w:rPr>
            </w:pPr>
            <w:r>
              <w:rPr>
                <w:rFonts w:ascii="Arial" w:eastAsia="黑体" w:hAnsi="Arial" w:cs="Arial"/>
              </w:rPr>
              <w:t>17,828,665.80</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Cs w:val="21"/>
              </w:rPr>
            </w:pPr>
            <w:r>
              <w:rPr>
                <w:rFonts w:ascii="Arial" w:eastAsia="黑体" w:hAnsi="Arial" w:cs="Arial"/>
              </w:rPr>
              <w:t>26,753,293.02</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417"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snapToGrid w:val="0"/>
                <w:szCs w:val="21"/>
              </w:rPr>
            </w:pPr>
            <w:r>
              <w:rPr>
                <w:rFonts w:ascii="Arial" w:eastAsia="黑体" w:hAnsi="Arial" w:cs="Arial"/>
                <w:snapToGrid w:val="0"/>
                <w:szCs w:val="21"/>
              </w:rPr>
              <w:t>支付结算业务</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52"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Cs w:val="21"/>
              </w:rPr>
            </w:pPr>
            <w:r>
              <w:rPr>
                <w:rFonts w:ascii="Arial" w:eastAsia="黑体" w:hAnsi="Arial" w:cs="Arial"/>
              </w:rPr>
              <w:t>7,377,627.64</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Cs w:val="21"/>
              </w:rPr>
            </w:pPr>
            <w:r>
              <w:rPr>
                <w:rFonts w:ascii="Arial" w:eastAsia="黑体" w:hAnsi="Arial" w:cs="Arial"/>
              </w:rPr>
              <w:t>5,259,808.35</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417"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snapToGrid w:val="0"/>
                <w:szCs w:val="21"/>
              </w:rPr>
            </w:pPr>
            <w:r>
              <w:rPr>
                <w:rFonts w:ascii="Arial" w:eastAsia="黑体" w:hAnsi="Arial" w:cs="Arial"/>
                <w:snapToGrid w:val="0"/>
                <w:szCs w:val="21"/>
              </w:rPr>
              <w:t>委托业务</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52"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Cs w:val="21"/>
              </w:rPr>
            </w:pPr>
            <w:r>
              <w:rPr>
                <w:rFonts w:ascii="Arial" w:eastAsia="黑体" w:hAnsi="Arial" w:cs="Arial"/>
              </w:rPr>
              <w:t>877,236.73</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Cs w:val="21"/>
              </w:rPr>
            </w:pPr>
            <w:r>
              <w:rPr>
                <w:rFonts w:ascii="Arial" w:eastAsia="黑体" w:hAnsi="Arial" w:cs="Arial"/>
                <w:snapToGrid w:val="0"/>
                <w:szCs w:val="21"/>
              </w:rPr>
              <w:t>3,774,731.60</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417"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snapToGrid w:val="0"/>
                <w:szCs w:val="21"/>
              </w:rPr>
            </w:pPr>
            <w:r>
              <w:rPr>
                <w:rFonts w:ascii="Arial" w:eastAsia="黑体" w:hAnsi="Arial" w:cs="Arial"/>
                <w:snapToGrid w:val="0"/>
                <w:szCs w:val="21"/>
              </w:rPr>
              <w:t>其他</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52"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Cs w:val="21"/>
              </w:rPr>
            </w:pPr>
            <w:r>
              <w:rPr>
                <w:rFonts w:ascii="Arial" w:eastAsia="黑体" w:hAnsi="Arial" w:cs="Arial"/>
              </w:rPr>
              <w:t>13,097,548.28</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37"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Cs w:val="21"/>
              </w:rPr>
            </w:pPr>
            <w:r>
              <w:rPr>
                <w:rFonts w:ascii="Arial" w:eastAsia="黑体" w:hAnsi="Arial" w:cs="Arial"/>
              </w:rPr>
              <w:t>18,817,369.47</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417" w:type="dxa"/>
            <w:tcBorders>
              <w:top w:val="nil"/>
              <w:left w:val="nil"/>
              <w:bottom w:val="nil"/>
              <w:right w:val="nil"/>
            </w:tcBorders>
            <w:shd w:val="clear" w:color="auto" w:fill="auto"/>
            <w:noWrap/>
          </w:tcPr>
          <w:p w:rsidR="00AD5BB5" w:rsidRDefault="00AD5BB5">
            <w:pPr>
              <w:kinsoku w:val="0"/>
              <w:overflowPunct w:val="0"/>
              <w:autoSpaceDE w:val="0"/>
              <w:autoSpaceDN w:val="0"/>
              <w:adjustRightInd w:val="0"/>
              <w:snapToGrid w:val="0"/>
              <w:ind w:leftChars="88" w:left="500" w:hangingChars="150" w:hanging="315"/>
              <w:rPr>
                <w:rFonts w:ascii="Arial" w:eastAsia="黑体" w:hAnsi="Arial" w:cs="Arial"/>
                <w:snapToGrid w:val="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52"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6" w:right="13"/>
              <w:jc w:val="right"/>
              <w:rPr>
                <w:rFonts w:ascii="Arial" w:eastAsia="黑体" w:hAnsi="Arial" w:cs="Arial"/>
                <w:snapToGrid w:val="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37"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6" w:right="13"/>
              <w:jc w:val="right"/>
              <w:rPr>
                <w:rFonts w:ascii="Arial" w:eastAsia="黑体" w:hAnsi="Arial" w:cs="Arial"/>
                <w:snapToGrid w:val="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417"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snapToGrid w:val="0"/>
                <w:szCs w:val="21"/>
              </w:rPr>
              <w:t>小计</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52"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Cs w:val="21"/>
              </w:rPr>
            </w:pPr>
            <w:r>
              <w:rPr>
                <w:rFonts w:ascii="Arial" w:eastAsia="黑体" w:hAnsi="Arial" w:cs="Arial"/>
              </w:rPr>
              <w:t>331,596,484.00</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37"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Cs w:val="21"/>
              </w:rPr>
            </w:pPr>
            <w:r>
              <w:rPr>
                <w:rFonts w:ascii="Arial" w:eastAsia="黑体" w:hAnsi="Arial" w:cs="Arial"/>
                <w:snapToGrid w:val="0"/>
                <w:szCs w:val="21"/>
              </w:rPr>
              <w:t>311,609,642.41</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417" w:type="dxa"/>
            <w:tcBorders>
              <w:top w:val="nil"/>
              <w:left w:val="nil"/>
              <w:bottom w:val="nil"/>
              <w:right w:val="nil"/>
            </w:tcBorders>
            <w:shd w:val="clear" w:color="auto" w:fill="auto"/>
            <w:noWrap/>
          </w:tcPr>
          <w:p w:rsidR="00AD5BB5" w:rsidRDefault="00AD5BB5">
            <w:pPr>
              <w:kinsoku w:val="0"/>
              <w:overflowPunct w:val="0"/>
              <w:autoSpaceDE w:val="0"/>
              <w:autoSpaceDN w:val="0"/>
              <w:adjustRightInd w:val="0"/>
              <w:snapToGrid w:val="0"/>
              <w:ind w:left="315" w:hangingChars="150" w:hanging="315"/>
              <w:rPr>
                <w:rFonts w:ascii="Arial" w:eastAsia="黑体" w:hAnsi="Arial" w:cs="Arial"/>
                <w:snapToGrid w:val="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52"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6" w:right="13"/>
              <w:jc w:val="right"/>
              <w:rPr>
                <w:rFonts w:ascii="Arial" w:eastAsia="黑体" w:hAnsi="Arial" w:cs="Arial"/>
                <w:snapToGrid w:val="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37"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6" w:right="13"/>
              <w:jc w:val="right"/>
              <w:rPr>
                <w:rFonts w:ascii="Arial" w:eastAsia="黑体" w:hAnsi="Arial" w:cs="Arial"/>
                <w:snapToGrid w:val="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417"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手续费及佣金支出</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5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6" w:right="13"/>
              <w:jc w:val="right"/>
              <w:rPr>
                <w:rFonts w:ascii="Arial" w:eastAsia="黑体" w:hAnsi="Arial" w:cs="Arial"/>
                <w:snapToGrid w:val="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3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6" w:right="13"/>
              <w:jc w:val="right"/>
              <w:rPr>
                <w:rFonts w:ascii="Arial" w:eastAsia="黑体" w:hAnsi="Arial" w:cs="Arial"/>
                <w:snapToGrid w:val="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4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snapToGrid w:val="0"/>
                <w:szCs w:val="21"/>
              </w:rPr>
            </w:pPr>
            <w:r>
              <w:rPr>
                <w:rFonts w:ascii="Arial" w:eastAsia="黑体" w:hAnsi="Arial" w:cs="Arial"/>
                <w:snapToGrid w:val="0"/>
                <w:szCs w:val="21"/>
              </w:rPr>
              <w:t>支付结算与代理业务</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52"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Cs w:val="21"/>
              </w:rPr>
            </w:pPr>
            <w:r>
              <w:rPr>
                <w:rFonts w:ascii="Arial" w:eastAsia="黑体" w:hAnsi="Arial" w:cs="Arial"/>
              </w:rPr>
              <w:t>124,625,922.86</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Cs w:val="21"/>
              </w:rPr>
            </w:pPr>
            <w:r>
              <w:rPr>
                <w:rFonts w:ascii="Arial" w:eastAsia="黑体" w:hAnsi="Arial" w:cs="Arial"/>
              </w:rPr>
              <w:t>65,185,072.39</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4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snapToGrid w:val="0"/>
                <w:szCs w:val="21"/>
              </w:rPr>
            </w:pPr>
            <w:r>
              <w:rPr>
                <w:rFonts w:ascii="Arial" w:eastAsia="黑体" w:hAnsi="Arial" w:cs="Arial"/>
                <w:snapToGrid w:val="0"/>
                <w:szCs w:val="21"/>
              </w:rPr>
              <w:t>银行卡业务</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52"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Cs w:val="21"/>
              </w:rPr>
            </w:pPr>
            <w:r>
              <w:rPr>
                <w:rFonts w:ascii="Arial" w:eastAsia="黑体" w:hAnsi="Arial" w:cs="Arial"/>
                <w:snapToGrid w:val="0"/>
                <w:szCs w:val="21"/>
              </w:rPr>
              <w:t>5,142,678.09</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3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Cs w:val="21"/>
              </w:rPr>
            </w:pPr>
            <w:r>
              <w:rPr>
                <w:rFonts w:ascii="Arial" w:eastAsia="黑体" w:hAnsi="Arial" w:cs="Arial"/>
              </w:rPr>
              <w:t>4,769,303.49</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4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snapToGrid w:val="0"/>
                <w:szCs w:val="21"/>
              </w:rPr>
            </w:pPr>
            <w:r>
              <w:rPr>
                <w:rFonts w:ascii="Arial" w:eastAsia="黑体" w:hAnsi="Arial" w:cs="Arial"/>
                <w:snapToGrid w:val="0"/>
                <w:szCs w:val="21"/>
              </w:rPr>
              <w:t>其他</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52"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Cs w:val="21"/>
              </w:rPr>
            </w:pPr>
            <w:r>
              <w:rPr>
                <w:rFonts w:ascii="Arial" w:eastAsia="黑体" w:hAnsi="Arial" w:cs="Arial"/>
              </w:rPr>
              <w:t>6,487,593.76</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37"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Cs w:val="21"/>
              </w:rPr>
            </w:pPr>
            <w:r>
              <w:rPr>
                <w:rFonts w:ascii="Arial" w:eastAsia="黑体" w:hAnsi="Arial" w:cs="Arial"/>
              </w:rPr>
              <w:t>2,379,375.81</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417" w:type="dxa"/>
            <w:tcBorders>
              <w:top w:val="nil"/>
              <w:left w:val="nil"/>
              <w:bottom w:val="nil"/>
              <w:right w:val="nil"/>
            </w:tcBorders>
            <w:shd w:val="clear" w:color="auto" w:fill="auto"/>
            <w:noWrap/>
          </w:tcPr>
          <w:p w:rsidR="00AD5BB5" w:rsidRDefault="00AD5BB5">
            <w:pPr>
              <w:kinsoku w:val="0"/>
              <w:overflowPunct w:val="0"/>
              <w:autoSpaceDE w:val="0"/>
              <w:autoSpaceDN w:val="0"/>
              <w:adjustRightInd w:val="0"/>
              <w:snapToGrid w:val="0"/>
              <w:ind w:leftChars="88" w:left="500" w:hangingChars="150" w:hanging="315"/>
              <w:rPr>
                <w:rFonts w:ascii="Arial" w:eastAsia="黑体" w:hAnsi="Arial" w:cs="Arial"/>
                <w:snapToGrid w:val="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52"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6" w:right="13"/>
              <w:jc w:val="right"/>
              <w:rPr>
                <w:rFonts w:ascii="Arial" w:eastAsia="黑体" w:hAnsi="Arial" w:cs="Arial"/>
                <w:snapToGrid w:val="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37"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6" w:right="13"/>
              <w:jc w:val="right"/>
              <w:rPr>
                <w:rFonts w:ascii="Arial" w:eastAsia="黑体" w:hAnsi="Arial" w:cs="Arial"/>
                <w:snapToGrid w:val="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417"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小计</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52"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Cs w:val="21"/>
              </w:rPr>
            </w:pPr>
            <w:r>
              <w:rPr>
                <w:rFonts w:ascii="Arial" w:eastAsia="黑体" w:hAnsi="Arial" w:cs="Arial"/>
              </w:rPr>
              <w:t>136,256,194.71</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37"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Cs w:val="21"/>
              </w:rPr>
            </w:pPr>
            <w:r>
              <w:rPr>
                <w:rFonts w:ascii="Arial" w:eastAsia="黑体" w:hAnsi="Arial" w:cs="Arial"/>
                <w:snapToGrid w:val="0"/>
                <w:szCs w:val="21"/>
              </w:rPr>
              <w:t>72,333,751.69</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417" w:type="dxa"/>
            <w:tcBorders>
              <w:top w:val="nil"/>
              <w:left w:val="nil"/>
              <w:bottom w:val="nil"/>
              <w:right w:val="nil"/>
            </w:tcBorders>
            <w:shd w:val="clear" w:color="auto" w:fill="auto"/>
            <w:noWrap/>
          </w:tcPr>
          <w:p w:rsidR="00AD5BB5" w:rsidRDefault="00AD5BB5">
            <w:pPr>
              <w:kinsoku w:val="0"/>
              <w:overflowPunct w:val="0"/>
              <w:autoSpaceDE w:val="0"/>
              <w:autoSpaceDN w:val="0"/>
              <w:adjustRightInd w:val="0"/>
              <w:snapToGrid w:val="0"/>
              <w:ind w:left="315" w:hangingChars="150" w:hanging="315"/>
              <w:rPr>
                <w:rFonts w:ascii="Arial" w:eastAsia="黑体" w:hAnsi="Arial" w:cs="Arial"/>
                <w:snapToGrid w:val="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52"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6" w:right="13"/>
              <w:jc w:val="right"/>
              <w:rPr>
                <w:rFonts w:ascii="Arial" w:eastAsia="黑体" w:hAnsi="Arial" w:cs="Arial"/>
                <w:snapToGrid w:val="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37"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6" w:right="13"/>
              <w:jc w:val="right"/>
              <w:rPr>
                <w:rFonts w:ascii="Arial" w:eastAsia="黑体" w:hAnsi="Arial" w:cs="Arial"/>
                <w:snapToGrid w:val="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70"/>
        </w:trPr>
        <w:tc>
          <w:tcPr>
            <w:tcW w:w="3417" w:type="dxa"/>
            <w:tcBorders>
              <w:top w:val="nil"/>
              <w:left w:val="nil"/>
              <w:bottom w:val="nil"/>
              <w:right w:val="nil"/>
            </w:tcBorders>
            <w:shd w:val="clear" w:color="auto" w:fill="auto"/>
            <w:noWrap/>
          </w:tcPr>
          <w:p w:rsidR="00AD5BB5" w:rsidRDefault="00F87FF6">
            <w:pPr>
              <w:tabs>
                <w:tab w:val="left" w:pos="2181"/>
              </w:tabs>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手续费及佣金净收入</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52" w:type="dxa"/>
            <w:tcBorders>
              <w:top w:val="nil"/>
              <w:left w:val="nil"/>
              <w:bottom w:val="doub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Cs w:val="21"/>
              </w:rPr>
            </w:pPr>
            <w:r>
              <w:rPr>
                <w:rFonts w:ascii="Arial" w:eastAsia="黑体" w:hAnsi="Arial" w:cs="Arial"/>
                <w:snapToGrid w:val="0"/>
                <w:szCs w:val="21"/>
              </w:rPr>
              <w:t>195,340,289.29</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37" w:type="dxa"/>
            <w:tcBorders>
              <w:top w:val="nil"/>
              <w:left w:val="nil"/>
              <w:bottom w:val="doub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Cs w:val="21"/>
              </w:rPr>
            </w:pPr>
            <w:r>
              <w:rPr>
                <w:rFonts w:ascii="Arial" w:eastAsia="黑体" w:hAnsi="Arial" w:cs="Arial"/>
                <w:snapToGrid w:val="0"/>
                <w:szCs w:val="21"/>
              </w:rPr>
              <w:t>239,275,890.72</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bl>
    <w:p w:rsidR="00AD5BB5" w:rsidRDefault="00AD5BB5">
      <w:pPr>
        <w:overflowPunct w:val="0"/>
        <w:autoSpaceDE w:val="0"/>
        <w:autoSpaceDN w:val="0"/>
        <w:adjustRightInd w:val="0"/>
        <w:snapToGrid w:val="0"/>
        <w:textAlignment w:val="bottom"/>
        <w:rPr>
          <w:rFonts w:ascii="Arial" w:eastAsia="黑体" w:hAnsi="Arial" w:cs="Arial"/>
          <w:snapToGrid w:val="0"/>
          <w:color w:val="000000"/>
          <w:szCs w:val="21"/>
        </w:rPr>
      </w:pPr>
    </w:p>
    <w:p w:rsidR="00AD5BB5" w:rsidRDefault="00F87FF6">
      <w:pPr>
        <w:pStyle w:val="af5"/>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226" w:name="afsaddin_Section_0545f090bd4044038379c1f"/>
      <w:r>
        <w:rPr>
          <w:rFonts w:ascii="Arial" w:eastAsia="黑体" w:hAnsi="Arial" w:cs="Arial" w:hint="default"/>
          <w:bCs w:val="0"/>
          <w:snapToGrid w:val="0"/>
          <w:color w:val="auto"/>
          <w:sz w:val="21"/>
          <w:szCs w:val="21"/>
        </w:rPr>
        <w:t>38.</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投资收益</w:t>
      </w:r>
    </w:p>
    <w:bookmarkEnd w:id="226"/>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6053541d-b9d5-412b-8626-91b0c1e77ef7"/>
        <w:tblDescription w:val="{&quot;UUID&quot;:&quot;afsaddin_tabledata_2_56437_6053541d-b9d5-412b-8626-91b0c1e77ef7&quot;,&quot;TitleRowCount&quot;:2,&quot;SplitedTable&quot;:false,&quot;FirstTableId&quot;:&quot;6053541d-b9d5-412b-8626-91b0c1e77ef7&quot;}"/>
      </w:tblPr>
      <w:tblGrid>
        <w:gridCol w:w="3417"/>
        <w:gridCol w:w="112"/>
        <w:gridCol w:w="2237"/>
        <w:gridCol w:w="112"/>
        <w:gridCol w:w="112"/>
        <w:gridCol w:w="2237"/>
        <w:gridCol w:w="112"/>
      </w:tblGrid>
      <w:tr w:rsidR="00AD5BB5">
        <w:tc>
          <w:tcPr>
            <w:tcW w:w="341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3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DOCPROPERTY </w:instrText>
            </w:r>
            <w:r>
              <w:rPr>
                <w:rFonts w:ascii="Arial" w:eastAsia="黑体" w:hAnsi="Arial" w:cs="Arial"/>
                <w:szCs w:val="21"/>
              </w:rPr>
              <w:instrText>当期会计期间</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fldChar w:fldCharType="end"/>
            </w:r>
            <w:r>
              <w:rPr>
                <w:rFonts w:ascii="Arial" w:eastAsia="黑体" w:hAnsi="Arial" w:cs="Arial"/>
                <w:szCs w:val="21"/>
              </w:rPr>
              <w:t>年</w:t>
            </w:r>
            <w:r>
              <w:rPr>
                <w:rFonts w:ascii="Arial" w:eastAsia="黑体" w:hAnsi="Arial" w:cs="Arial"/>
                <w:szCs w:val="21"/>
              </w:rPr>
              <w:t>1-6</w:t>
            </w:r>
            <w:r>
              <w:rPr>
                <w:rFonts w:ascii="Arial" w:eastAsia="黑体" w:hAnsi="Arial" w:cs="Arial"/>
                <w:szCs w:val="21"/>
              </w:rPr>
              <w:t>月</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223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DOCPROPERTY </w:instrText>
            </w:r>
            <w:r>
              <w:rPr>
                <w:rFonts w:ascii="Arial" w:eastAsia="黑体" w:hAnsi="Arial" w:cs="Arial"/>
                <w:szCs w:val="21"/>
              </w:rPr>
              <w:instrText>对比会计期间</w:instrText>
            </w:r>
            <w:r>
              <w:rPr>
                <w:rFonts w:ascii="Arial" w:eastAsia="黑体" w:hAnsi="Arial" w:cs="Arial"/>
                <w:szCs w:val="21"/>
              </w:rPr>
              <w:fldChar w:fldCharType="separate"/>
            </w:r>
            <w:r>
              <w:rPr>
                <w:rFonts w:ascii="Arial" w:eastAsia="黑体" w:hAnsi="Arial" w:cs="Arial"/>
                <w:szCs w:val="21"/>
              </w:rPr>
              <w:t>2022</w:t>
            </w:r>
            <w:r>
              <w:rPr>
                <w:rFonts w:ascii="Arial" w:eastAsia="黑体" w:hAnsi="Arial" w:cs="Arial"/>
                <w:szCs w:val="21"/>
              </w:rPr>
              <w:fldChar w:fldCharType="end"/>
            </w:r>
            <w:r>
              <w:rPr>
                <w:rFonts w:ascii="Arial" w:eastAsia="黑体" w:hAnsi="Arial" w:cs="Arial"/>
                <w:szCs w:val="21"/>
              </w:rPr>
              <w:t>年</w:t>
            </w:r>
            <w:r>
              <w:rPr>
                <w:rFonts w:ascii="Arial" w:eastAsia="黑体" w:hAnsi="Arial" w:cs="Arial"/>
                <w:szCs w:val="21"/>
              </w:rPr>
              <w:t>1-6</w:t>
            </w:r>
            <w:r>
              <w:rPr>
                <w:rFonts w:ascii="Arial" w:eastAsia="黑体" w:hAnsi="Arial" w:cs="Arial"/>
                <w:szCs w:val="21"/>
              </w:rPr>
              <w:t>月</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r>
      <w:tr w:rsidR="00AD5BB5">
        <w:tc>
          <w:tcPr>
            <w:tcW w:w="341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37"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2237"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rightChars="30" w:right="63"/>
              <w:jc w:val="right"/>
              <w:rPr>
                <w:rFonts w:ascii="Arial" w:eastAsia="黑体" w:hAnsi="Arial" w:cs="Arial"/>
                <w:snapToGrid w:val="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r>
      <w:tr w:rsidR="00AD5BB5">
        <w:tc>
          <w:tcPr>
            <w:tcW w:w="3417" w:type="dxa"/>
            <w:tcBorders>
              <w:top w:val="nil"/>
              <w:left w:val="nil"/>
              <w:bottom w:val="nil"/>
              <w:right w:val="nil"/>
            </w:tcBorders>
            <w:shd w:val="clear" w:color="000000" w:fill="auto"/>
            <w:vAlign w:val="bottom"/>
          </w:tcPr>
          <w:p w:rsidR="00AD5BB5" w:rsidRDefault="00F87FF6">
            <w:pPr>
              <w:kinsoku w:val="0"/>
              <w:overflowPunct w:val="0"/>
              <w:autoSpaceDE w:val="0"/>
              <w:autoSpaceDN w:val="0"/>
              <w:adjustRightInd w:val="0"/>
              <w:snapToGrid w:val="0"/>
              <w:ind w:leftChars="1" w:left="225" w:rightChars="85" w:right="178" w:hangingChars="106" w:hanging="223"/>
              <w:rPr>
                <w:rFonts w:ascii="Arial" w:eastAsia="黑体" w:hAnsi="Arial" w:cs="Arial"/>
                <w:szCs w:val="21"/>
              </w:rPr>
            </w:pPr>
            <w:r>
              <w:rPr>
                <w:rFonts w:ascii="Arial" w:eastAsia="黑体" w:hAnsi="Arial" w:cs="Arial"/>
                <w:szCs w:val="21"/>
              </w:rPr>
              <w:t>以公允价值计量且其变动计入当期损益的金融工具交易净收益</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3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Cs w:val="21"/>
              </w:rPr>
            </w:pPr>
            <w:r>
              <w:rPr>
                <w:rFonts w:ascii="Arial" w:eastAsia="黑体" w:hAnsi="Arial" w:cs="Arial"/>
                <w:snapToGrid w:val="0"/>
                <w:szCs w:val="21"/>
              </w:rPr>
              <w:t>110,779,873.84</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3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Cs w:val="21"/>
              </w:rPr>
            </w:pPr>
            <w:r>
              <w:rPr>
                <w:rFonts w:ascii="Arial" w:eastAsia="黑体" w:hAnsi="Arial" w:cs="Arial"/>
                <w:snapToGrid w:val="0"/>
                <w:szCs w:val="21"/>
              </w:rPr>
              <w:t>260,562,523.69</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417" w:type="dxa"/>
            <w:tcBorders>
              <w:top w:val="nil"/>
              <w:left w:val="nil"/>
              <w:bottom w:val="nil"/>
              <w:right w:val="nil"/>
            </w:tcBorders>
            <w:shd w:val="clear" w:color="000000" w:fill="auto"/>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其他债权投资交易收益</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3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Cs w:val="21"/>
              </w:rPr>
            </w:pPr>
            <w:r>
              <w:rPr>
                <w:rFonts w:ascii="Arial" w:eastAsia="黑体" w:hAnsi="Arial" w:cs="Arial"/>
                <w:snapToGrid w:val="0"/>
                <w:szCs w:val="21"/>
              </w:rPr>
              <w:t>18,852,770.25</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3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Cs w:val="21"/>
              </w:rPr>
            </w:pPr>
            <w:r>
              <w:rPr>
                <w:rFonts w:ascii="Arial" w:eastAsia="黑体" w:hAnsi="Arial" w:cs="Arial"/>
                <w:snapToGrid w:val="0"/>
                <w:szCs w:val="21"/>
              </w:rPr>
              <w:t>60,457,315.04</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417" w:type="dxa"/>
            <w:tcBorders>
              <w:top w:val="nil"/>
              <w:left w:val="nil"/>
              <w:bottom w:val="nil"/>
              <w:right w:val="nil"/>
            </w:tcBorders>
            <w:shd w:val="clear" w:color="000000" w:fill="auto"/>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衍生金融工具收益</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37"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Cs w:val="21"/>
              </w:rPr>
            </w:pPr>
            <w:r>
              <w:rPr>
                <w:rFonts w:ascii="Arial" w:eastAsia="黑体" w:hAnsi="Arial" w:cs="Arial"/>
                <w:snapToGrid w:val="0"/>
                <w:szCs w:val="21"/>
              </w:rPr>
              <w:t>15,778,541.59</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37"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Cs w:val="21"/>
              </w:rPr>
            </w:pPr>
            <w:r>
              <w:rPr>
                <w:rFonts w:ascii="Arial" w:eastAsia="黑体" w:hAnsi="Arial" w:cs="Arial"/>
                <w:snapToGrid w:val="0"/>
                <w:szCs w:val="21"/>
              </w:rPr>
              <w:t>5,620,759.73</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41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37"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6" w:right="13"/>
              <w:jc w:val="right"/>
              <w:rPr>
                <w:rFonts w:ascii="Arial" w:eastAsia="黑体" w:hAnsi="Arial" w:cs="Arial"/>
                <w:snapToGrid w:val="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37"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6" w:right="13"/>
              <w:jc w:val="right"/>
              <w:rPr>
                <w:rFonts w:ascii="Arial" w:eastAsia="黑体" w:hAnsi="Arial" w:cs="Arial"/>
                <w:snapToGrid w:val="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r>
      <w:tr w:rsidR="00AD5BB5">
        <w:tc>
          <w:tcPr>
            <w:tcW w:w="34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合计</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37"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Cs w:val="21"/>
              </w:rPr>
            </w:pPr>
            <w:r>
              <w:rPr>
                <w:rFonts w:ascii="Arial" w:eastAsia="黑体" w:hAnsi="Arial" w:cs="Arial"/>
                <w:snapToGrid w:val="0"/>
                <w:szCs w:val="21"/>
              </w:rPr>
              <w:t>145,411,185.68</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37"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rightChars="6" w:right="13"/>
              <w:jc w:val="right"/>
              <w:rPr>
                <w:rFonts w:ascii="Arial" w:eastAsia="黑体" w:hAnsi="Arial" w:cs="Arial"/>
                <w:snapToGrid w:val="0"/>
                <w:szCs w:val="21"/>
              </w:rPr>
            </w:pPr>
            <w:r>
              <w:rPr>
                <w:rFonts w:ascii="Arial" w:eastAsia="黑体" w:hAnsi="Arial" w:cs="Arial"/>
                <w:snapToGrid w:val="0"/>
                <w:szCs w:val="21"/>
              </w:rPr>
              <w:t>326,640,598.46</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bl>
    <w:p w:rsidR="00AD5BB5" w:rsidRDefault="00AD5BB5">
      <w:pPr>
        <w:overflowPunct w:val="0"/>
        <w:autoSpaceDE w:val="0"/>
        <w:autoSpaceDN w:val="0"/>
        <w:adjustRightInd w:val="0"/>
        <w:snapToGrid w:val="0"/>
        <w:textAlignment w:val="bottom"/>
        <w:rPr>
          <w:rFonts w:ascii="Arial" w:eastAsia="黑体" w:hAnsi="Arial" w:cs="Arial"/>
          <w:snapToGrid w:val="0"/>
          <w:color w:val="000000"/>
          <w:szCs w:val="21"/>
        </w:rPr>
      </w:pPr>
    </w:p>
    <w:p w:rsidR="00AD5BB5" w:rsidRDefault="00F87FF6">
      <w:pPr>
        <w:pStyle w:val="af5"/>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227" w:name="afsaddin_WithXu_90fba457902043e783fd8299"/>
      <w:bookmarkStart w:id="228" w:name="afsaddin_Section_309c15f0eb2947c8b8306cf"/>
      <w:bookmarkEnd w:id="227"/>
      <w:r>
        <w:rPr>
          <w:rFonts w:ascii="Arial" w:eastAsia="黑体" w:hAnsi="Arial" w:cs="Arial" w:hint="default"/>
          <w:bCs w:val="0"/>
          <w:snapToGrid w:val="0"/>
          <w:color w:val="auto"/>
          <w:sz w:val="21"/>
          <w:szCs w:val="21"/>
        </w:rPr>
        <w:t>39.</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公允价值变动收益</w:t>
      </w:r>
      <w:r>
        <w:rPr>
          <w:rFonts w:ascii="Arial" w:eastAsia="黑体" w:hAnsi="Arial" w:cs="Arial" w:hint="default"/>
          <w:bCs w:val="0"/>
          <w:snapToGrid w:val="0"/>
          <w:color w:val="auto"/>
          <w:sz w:val="21"/>
          <w:szCs w:val="21"/>
        </w:rPr>
        <w:t>/</w:t>
      </w:r>
      <w:r>
        <w:rPr>
          <w:rFonts w:ascii="Arial" w:eastAsia="黑体" w:hAnsi="Arial" w:cs="Arial" w:hint="default"/>
          <w:bCs w:val="0"/>
          <w:snapToGrid w:val="0"/>
          <w:color w:val="auto"/>
          <w:sz w:val="21"/>
          <w:szCs w:val="21"/>
        </w:rPr>
        <w:t>（损失）</w:t>
      </w:r>
    </w:p>
    <w:bookmarkEnd w:id="228"/>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2f8f0223-3d6e-40ca-b0b9-8e0624bd2ef7"/>
        <w:tblDescription w:val="{&quot;UUID&quot;:&quot;afsaddin_tabledata_2_56437_2f8f0223-3d6e-40ca-b0b9-8e0624bd2ef7&quot;,&quot;TitleRowCount&quot;:2,&quot;SplitedTable&quot;:false,&quot;FirstTableId&quot;:&quot;2f8f0223-3d6e-40ca-b0b9-8e0624bd2ef7&quot;}"/>
      </w:tblPr>
      <w:tblGrid>
        <w:gridCol w:w="3878"/>
        <w:gridCol w:w="112"/>
        <w:gridCol w:w="1987"/>
        <w:gridCol w:w="112"/>
        <w:gridCol w:w="112"/>
        <w:gridCol w:w="1984"/>
        <w:gridCol w:w="112"/>
      </w:tblGrid>
      <w:tr w:rsidR="00AD5BB5">
        <w:tc>
          <w:tcPr>
            <w:tcW w:w="387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jc w:val="right"/>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DOCPROPERTY </w:instrText>
            </w:r>
            <w:r>
              <w:rPr>
                <w:rFonts w:ascii="Arial" w:eastAsia="黑体" w:hAnsi="Arial" w:cs="Arial"/>
                <w:szCs w:val="21"/>
              </w:rPr>
              <w:instrText>当期会计期间</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fldChar w:fldCharType="end"/>
            </w:r>
            <w:r>
              <w:rPr>
                <w:rFonts w:ascii="Arial" w:eastAsia="黑体" w:hAnsi="Arial" w:cs="Arial"/>
                <w:szCs w:val="21"/>
              </w:rPr>
              <w:t>年</w:t>
            </w:r>
            <w:r>
              <w:rPr>
                <w:rFonts w:ascii="Arial" w:eastAsia="黑体" w:hAnsi="Arial" w:cs="Arial"/>
                <w:szCs w:val="21"/>
              </w:rPr>
              <w:t>1-6</w:t>
            </w:r>
            <w:r>
              <w:rPr>
                <w:rFonts w:ascii="Arial" w:eastAsia="黑体" w:hAnsi="Arial" w:cs="Arial"/>
                <w:szCs w:val="21"/>
              </w:rPr>
              <w:t>月</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DOCPROPERTY </w:instrText>
            </w:r>
            <w:r>
              <w:rPr>
                <w:rFonts w:ascii="Arial" w:eastAsia="黑体" w:hAnsi="Arial" w:cs="Arial"/>
                <w:szCs w:val="21"/>
              </w:rPr>
              <w:instrText>对比会计期间</w:instrText>
            </w:r>
            <w:r>
              <w:rPr>
                <w:rFonts w:ascii="Arial" w:eastAsia="黑体" w:hAnsi="Arial" w:cs="Arial"/>
                <w:szCs w:val="21"/>
              </w:rPr>
              <w:fldChar w:fldCharType="separate"/>
            </w:r>
            <w:r>
              <w:rPr>
                <w:rFonts w:ascii="Arial" w:eastAsia="黑体" w:hAnsi="Arial" w:cs="Arial"/>
                <w:szCs w:val="21"/>
              </w:rPr>
              <w:t>2022</w:t>
            </w:r>
            <w:r>
              <w:rPr>
                <w:rFonts w:ascii="Arial" w:eastAsia="黑体" w:hAnsi="Arial" w:cs="Arial"/>
                <w:szCs w:val="21"/>
              </w:rPr>
              <w:fldChar w:fldCharType="end"/>
            </w:r>
            <w:r>
              <w:rPr>
                <w:rFonts w:ascii="Arial" w:eastAsia="黑体" w:hAnsi="Arial" w:cs="Arial"/>
                <w:szCs w:val="21"/>
              </w:rPr>
              <w:t>年</w:t>
            </w:r>
            <w:r>
              <w:rPr>
                <w:rFonts w:ascii="Arial" w:eastAsia="黑体" w:hAnsi="Arial" w:cs="Arial"/>
                <w:szCs w:val="21"/>
              </w:rPr>
              <w:t>1-6</w:t>
            </w:r>
            <w:r>
              <w:rPr>
                <w:rFonts w:ascii="Arial" w:eastAsia="黑体" w:hAnsi="Arial" w:cs="Arial"/>
                <w:szCs w:val="21"/>
              </w:rPr>
              <w:t>月</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7"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AD5BB5">
            <w:pPr>
              <w:tabs>
                <w:tab w:val="right" w:pos="1431"/>
              </w:tabs>
              <w:kinsoku w:val="0"/>
              <w:overflowPunct w:val="0"/>
              <w:autoSpaceDE w:val="0"/>
              <w:autoSpaceDN w:val="0"/>
              <w:adjustRightInd w:val="0"/>
              <w:snapToGrid w:val="0"/>
              <w:jc w:val="right"/>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r>
      <w:tr w:rsidR="00AD5BB5">
        <w:tc>
          <w:tcPr>
            <w:tcW w:w="3878" w:type="dxa"/>
            <w:tcBorders>
              <w:top w:val="nil"/>
              <w:left w:val="nil"/>
              <w:bottom w:val="nil"/>
              <w:right w:val="nil"/>
            </w:tcBorders>
            <w:shd w:val="clear" w:color="000000" w:fill="auto"/>
            <w:noWrap/>
          </w:tcPr>
          <w:p w:rsidR="00AD5BB5" w:rsidRDefault="00F87FF6">
            <w:pPr>
              <w:tabs>
                <w:tab w:val="left" w:pos="5812"/>
                <w:tab w:val="left" w:pos="5954"/>
              </w:tabs>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交易性金融资产</w:t>
            </w:r>
          </w:p>
        </w:tc>
        <w:tc>
          <w:tcPr>
            <w:tcW w:w="112" w:type="dxa"/>
            <w:tcBorders>
              <w:top w:val="nil"/>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000000" w:fill="auto"/>
            <w:noWrap/>
            <w:vAlign w:val="bottom"/>
          </w:tcPr>
          <w:p w:rsidR="00AD5BB5" w:rsidRDefault="00F87FF6">
            <w:pPr>
              <w:tabs>
                <w:tab w:val="left" w:pos="1408"/>
                <w:tab w:val="left" w:pos="1556"/>
                <w:tab w:val="left" w:pos="5812"/>
                <w:tab w:val="left" w:pos="5954"/>
              </w:tabs>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177,792,345.58</w:t>
            </w:r>
          </w:p>
        </w:tc>
        <w:tc>
          <w:tcPr>
            <w:tcW w:w="112" w:type="dxa"/>
            <w:tcBorders>
              <w:top w:val="nil"/>
              <w:left w:val="nil"/>
              <w:bottom w:val="nil"/>
              <w:right w:val="nil"/>
            </w:tcBorders>
            <w:shd w:val="clear" w:color="auto" w:fill="auto"/>
            <w:noWrap/>
            <w:vAlign w:val="bottom"/>
          </w:tcPr>
          <w:p w:rsidR="00AD5BB5" w:rsidRDefault="00AD5BB5">
            <w:pPr>
              <w:tabs>
                <w:tab w:val="left" w:pos="1664"/>
                <w:tab w:val="left" w:pos="5812"/>
                <w:tab w:val="left" w:pos="5954"/>
              </w:tabs>
              <w:kinsoku w:val="0"/>
              <w:overflowPunct w:val="0"/>
              <w:autoSpaceDE w:val="0"/>
              <w:autoSpaceDN w:val="0"/>
              <w:adjustRightInd w:val="0"/>
              <w:snapToGrid w:val="0"/>
              <w:ind w:rightChars="28" w:right="59"/>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F87FF6">
            <w:pPr>
              <w:tabs>
                <w:tab w:val="left" w:pos="1408"/>
                <w:tab w:val="left" w:pos="1556"/>
                <w:tab w:val="left" w:pos="5812"/>
                <w:tab w:val="left" w:pos="5954"/>
              </w:tabs>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(101,594,967.71</w:t>
            </w:r>
          </w:p>
        </w:tc>
        <w:tc>
          <w:tcPr>
            <w:tcW w:w="112" w:type="dxa"/>
            <w:tcBorders>
              <w:top w:val="nil"/>
              <w:left w:val="nil"/>
              <w:bottom w:val="nil"/>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rPr>
                <w:rFonts w:ascii="Arial" w:eastAsia="黑体" w:hAnsi="Arial" w:cs="Arial"/>
                <w:color w:val="000000"/>
                <w:szCs w:val="21"/>
              </w:rPr>
            </w:pPr>
            <w:r>
              <w:rPr>
                <w:rFonts w:ascii="Arial" w:eastAsia="黑体" w:hAnsi="Arial" w:cs="Arial"/>
                <w:color w:val="000000"/>
                <w:szCs w:val="21"/>
              </w:rPr>
              <w:t>)</w:t>
            </w:r>
          </w:p>
        </w:tc>
      </w:tr>
      <w:tr w:rsidR="00AD5BB5">
        <w:tc>
          <w:tcPr>
            <w:tcW w:w="3878" w:type="dxa"/>
            <w:tcBorders>
              <w:top w:val="nil"/>
              <w:left w:val="nil"/>
              <w:bottom w:val="nil"/>
              <w:right w:val="nil"/>
            </w:tcBorders>
            <w:shd w:val="clear" w:color="000000" w:fill="auto"/>
            <w:noWrap/>
          </w:tcPr>
          <w:p w:rsidR="00AD5BB5" w:rsidRDefault="00F87FF6">
            <w:pPr>
              <w:tabs>
                <w:tab w:val="left" w:pos="5812"/>
                <w:tab w:val="left" w:pos="5954"/>
              </w:tabs>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snapToGrid w:val="0"/>
                <w:szCs w:val="21"/>
              </w:rPr>
              <w:t>衍生金融工具</w:t>
            </w:r>
          </w:p>
        </w:tc>
        <w:tc>
          <w:tcPr>
            <w:tcW w:w="112" w:type="dxa"/>
            <w:tcBorders>
              <w:top w:val="nil"/>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single" w:sz="4" w:space="0" w:color="auto"/>
              <w:right w:val="nil"/>
            </w:tcBorders>
            <w:shd w:val="clear" w:color="000000" w:fill="auto"/>
            <w:noWrap/>
            <w:vAlign w:val="bottom"/>
          </w:tcPr>
          <w:p w:rsidR="00AD5BB5" w:rsidRDefault="00F87FF6">
            <w:pPr>
              <w:tabs>
                <w:tab w:val="left" w:pos="1408"/>
                <w:tab w:val="left" w:pos="1556"/>
                <w:tab w:val="left" w:pos="5812"/>
                <w:tab w:val="left" w:pos="5954"/>
              </w:tabs>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(32,037,246.31</w:t>
            </w:r>
          </w:p>
        </w:tc>
        <w:tc>
          <w:tcPr>
            <w:tcW w:w="112" w:type="dxa"/>
            <w:tcBorders>
              <w:top w:val="nil"/>
              <w:left w:val="nil"/>
              <w:bottom w:val="nil"/>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rPr>
                <w:rFonts w:ascii="Arial" w:eastAsia="黑体" w:hAnsi="Arial" w:cs="Arial"/>
                <w:color w:val="000000"/>
                <w:szCs w:val="21"/>
              </w:rPr>
            </w:pPr>
            <w:r>
              <w:rPr>
                <w:rFonts w:ascii="Arial" w:eastAsia="黑体" w:hAnsi="Arial" w:cs="Arial"/>
                <w:color w:val="000000"/>
                <w:szCs w:val="21"/>
              </w:rPr>
              <w:t>)</w:t>
            </w:r>
          </w:p>
        </w:tc>
        <w:tc>
          <w:tcPr>
            <w:tcW w:w="112" w:type="dxa"/>
            <w:tcBorders>
              <w:top w:val="nil"/>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rPr>
                <w:rFonts w:ascii="Arial" w:eastAsia="黑体" w:hAnsi="Arial" w:cs="Arial"/>
                <w:color w:val="000000"/>
                <w:szCs w:val="21"/>
              </w:rPr>
            </w:pPr>
          </w:p>
        </w:tc>
        <w:tc>
          <w:tcPr>
            <w:tcW w:w="1984" w:type="dxa"/>
            <w:tcBorders>
              <w:top w:val="nil"/>
              <w:left w:val="nil"/>
              <w:bottom w:val="single" w:sz="4" w:space="0" w:color="auto"/>
              <w:right w:val="nil"/>
            </w:tcBorders>
            <w:shd w:val="clear" w:color="000000" w:fill="auto"/>
            <w:noWrap/>
            <w:vAlign w:val="bottom"/>
          </w:tcPr>
          <w:p w:rsidR="00AD5BB5" w:rsidRDefault="00F87FF6">
            <w:pPr>
              <w:tabs>
                <w:tab w:val="left" w:pos="5812"/>
                <w:tab w:val="left" w:pos="5954"/>
              </w:tabs>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(12,923,932.41</w:t>
            </w:r>
          </w:p>
        </w:tc>
        <w:tc>
          <w:tcPr>
            <w:tcW w:w="112" w:type="dxa"/>
            <w:tcBorders>
              <w:top w:val="nil"/>
              <w:left w:val="nil"/>
              <w:bottom w:val="nil"/>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rPr>
                <w:rFonts w:ascii="Arial" w:eastAsia="黑体" w:hAnsi="Arial" w:cs="Arial"/>
                <w:color w:val="000000"/>
                <w:szCs w:val="21"/>
              </w:rPr>
            </w:pPr>
            <w:r>
              <w:rPr>
                <w:rFonts w:ascii="Arial" w:eastAsia="黑体" w:hAnsi="Arial" w:cs="Arial"/>
                <w:color w:val="000000"/>
                <w:szCs w:val="21"/>
              </w:rPr>
              <w:t>)</w:t>
            </w:r>
          </w:p>
        </w:tc>
      </w:tr>
      <w:tr w:rsidR="00AD5BB5">
        <w:trPr>
          <w:trHeight w:val="170"/>
        </w:trPr>
        <w:tc>
          <w:tcPr>
            <w:tcW w:w="3878" w:type="dxa"/>
            <w:tcBorders>
              <w:top w:val="nil"/>
              <w:left w:val="nil"/>
              <w:bottom w:val="nil"/>
              <w:right w:val="nil"/>
            </w:tcBorders>
            <w:shd w:val="clear" w:color="auto" w:fill="auto"/>
            <w:noWrap/>
            <w:vAlign w:val="bottom"/>
          </w:tcPr>
          <w:p w:rsidR="00AD5BB5" w:rsidRDefault="00AD5BB5">
            <w:pPr>
              <w:tabs>
                <w:tab w:val="left" w:pos="431"/>
                <w:tab w:val="left" w:pos="5812"/>
                <w:tab w:val="left" w:pos="5954"/>
              </w:tabs>
              <w:kinsoku w:val="0"/>
              <w:overflowPunct w:val="0"/>
              <w:autoSpaceDE w:val="0"/>
              <w:autoSpaceDN w:val="0"/>
              <w:adjustRightInd w:val="0"/>
              <w:snapToGrid w:val="0"/>
              <w:ind w:left="315" w:hangingChars="150" w:hanging="315"/>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rPr>
                <w:rFonts w:ascii="Arial" w:eastAsia="黑体" w:hAnsi="Arial" w:cs="Arial"/>
                <w:szCs w:val="21"/>
              </w:rPr>
            </w:pPr>
          </w:p>
        </w:tc>
        <w:tc>
          <w:tcPr>
            <w:tcW w:w="1987" w:type="dxa"/>
            <w:tcBorders>
              <w:top w:val="single" w:sz="4" w:space="0" w:color="auto"/>
              <w:left w:val="nil"/>
              <w:bottom w:val="nil"/>
              <w:right w:val="nil"/>
            </w:tcBorders>
            <w:shd w:val="clear" w:color="auto" w:fill="auto"/>
            <w:noWrap/>
            <w:vAlign w:val="bottom"/>
          </w:tcPr>
          <w:p w:rsidR="00AD5BB5" w:rsidRDefault="00AD5BB5">
            <w:pPr>
              <w:tabs>
                <w:tab w:val="left" w:pos="1408"/>
                <w:tab w:val="left" w:pos="1556"/>
                <w:tab w:val="left" w:pos="5812"/>
                <w:tab w:val="left" w:pos="5954"/>
              </w:tabs>
              <w:kinsoku w:val="0"/>
              <w:overflowPunct w:val="0"/>
              <w:autoSpaceDE w:val="0"/>
              <w:autoSpaceDN w:val="0"/>
              <w:adjustRightInd w:val="0"/>
              <w:snapToGrid w:val="0"/>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rPr>
                <w:rFonts w:ascii="Arial" w:eastAsia="黑体" w:hAnsi="Arial" w:cs="Arial"/>
                <w:color w:val="000000"/>
                <w:szCs w:val="21"/>
              </w:rPr>
            </w:pPr>
          </w:p>
        </w:tc>
        <w:tc>
          <w:tcPr>
            <w:tcW w:w="1984" w:type="dxa"/>
            <w:tcBorders>
              <w:top w:val="single" w:sz="4" w:space="0" w:color="auto"/>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rPr>
                <w:rFonts w:ascii="Arial" w:eastAsia="黑体" w:hAnsi="Arial" w:cs="Arial"/>
                <w:szCs w:val="21"/>
              </w:rPr>
            </w:pPr>
          </w:p>
        </w:tc>
      </w:tr>
      <w:tr w:rsidR="00AD5BB5">
        <w:tc>
          <w:tcPr>
            <w:tcW w:w="3878" w:type="dxa"/>
            <w:tcBorders>
              <w:top w:val="nil"/>
              <w:left w:val="nil"/>
              <w:bottom w:val="nil"/>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合计</w:t>
            </w:r>
          </w:p>
        </w:tc>
        <w:tc>
          <w:tcPr>
            <w:tcW w:w="112" w:type="dxa"/>
            <w:tcBorders>
              <w:top w:val="nil"/>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rPr>
                <w:rFonts w:ascii="Arial" w:eastAsia="黑体" w:hAnsi="Arial" w:cs="Arial"/>
                <w:szCs w:val="21"/>
              </w:rPr>
            </w:pPr>
          </w:p>
        </w:tc>
        <w:tc>
          <w:tcPr>
            <w:tcW w:w="1987" w:type="dxa"/>
            <w:tcBorders>
              <w:top w:val="nil"/>
              <w:left w:val="nil"/>
              <w:bottom w:val="double" w:sz="4" w:space="0" w:color="auto"/>
              <w:right w:val="nil"/>
            </w:tcBorders>
            <w:shd w:val="clear" w:color="000000" w:fill="auto"/>
            <w:noWrap/>
            <w:vAlign w:val="bottom"/>
          </w:tcPr>
          <w:p w:rsidR="00AD5BB5" w:rsidRDefault="00F87FF6">
            <w:pPr>
              <w:tabs>
                <w:tab w:val="left" w:pos="1408"/>
                <w:tab w:val="left" w:pos="1556"/>
                <w:tab w:val="left" w:pos="5812"/>
                <w:tab w:val="left" w:pos="5954"/>
              </w:tabs>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145,755,099.27</w:t>
            </w:r>
          </w:p>
        </w:tc>
        <w:tc>
          <w:tcPr>
            <w:tcW w:w="112" w:type="dxa"/>
            <w:tcBorders>
              <w:top w:val="nil"/>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rPr>
                <w:rFonts w:ascii="Arial" w:eastAsia="黑体" w:hAnsi="Arial" w:cs="Arial"/>
                <w:color w:val="000000"/>
                <w:szCs w:val="21"/>
              </w:rPr>
            </w:pPr>
          </w:p>
        </w:tc>
        <w:tc>
          <w:tcPr>
            <w:tcW w:w="1984" w:type="dxa"/>
            <w:tcBorders>
              <w:top w:val="nil"/>
              <w:left w:val="nil"/>
              <w:bottom w:val="double" w:sz="4" w:space="0" w:color="auto"/>
              <w:right w:val="nil"/>
            </w:tcBorders>
            <w:shd w:val="clear" w:color="000000" w:fill="auto"/>
            <w:noWrap/>
            <w:vAlign w:val="bottom"/>
          </w:tcPr>
          <w:p w:rsidR="00AD5BB5" w:rsidRDefault="00F87FF6">
            <w:pPr>
              <w:tabs>
                <w:tab w:val="left" w:pos="5812"/>
                <w:tab w:val="left" w:pos="5954"/>
              </w:tabs>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(114,518,900.12</w:t>
            </w:r>
          </w:p>
        </w:tc>
        <w:tc>
          <w:tcPr>
            <w:tcW w:w="112" w:type="dxa"/>
            <w:tcBorders>
              <w:top w:val="nil"/>
              <w:left w:val="nil"/>
              <w:bottom w:val="nil"/>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rPr>
                <w:rFonts w:ascii="Arial" w:eastAsia="黑体" w:hAnsi="Arial" w:cs="Arial"/>
                <w:color w:val="000000"/>
                <w:szCs w:val="21"/>
              </w:rPr>
            </w:pPr>
            <w:r>
              <w:rPr>
                <w:rFonts w:ascii="Arial" w:eastAsia="黑体" w:hAnsi="Arial" w:cs="Arial"/>
                <w:color w:val="000000"/>
                <w:szCs w:val="21"/>
              </w:rPr>
              <w:t>)</w:t>
            </w:r>
          </w:p>
        </w:tc>
      </w:tr>
    </w:tbl>
    <w:p w:rsidR="00AD5BB5" w:rsidRDefault="00F87FF6">
      <w:pPr>
        <w:rPr>
          <w:rFonts w:ascii="Arial" w:eastAsia="黑体" w:hAnsi="Arial" w:cs="Arial"/>
          <w:snapToGrid w:val="0"/>
          <w:sz w:val="22"/>
          <w:szCs w:val="21"/>
        </w:rPr>
      </w:pPr>
      <w:r>
        <w:rPr>
          <w:rFonts w:ascii="Arial" w:eastAsia="黑体" w:hAnsi="Arial" w:cs="Arial"/>
          <w:snapToGrid w:val="0"/>
          <w:sz w:val="22"/>
          <w:szCs w:val="21"/>
        </w:rPr>
        <w:br w:type="page"/>
      </w:r>
    </w:p>
    <w:p w:rsidR="00AD5BB5" w:rsidRDefault="00AD5BB5">
      <w:pPr>
        <w:tabs>
          <w:tab w:val="left" w:pos="5812"/>
          <w:tab w:val="left" w:pos="5954"/>
        </w:tabs>
        <w:overflowPunct w:val="0"/>
        <w:autoSpaceDE w:val="0"/>
        <w:autoSpaceDN w:val="0"/>
        <w:rPr>
          <w:rFonts w:ascii="Arial" w:eastAsia="黑体" w:hAnsi="Arial" w:cs="Arial"/>
          <w:snapToGrid w:val="0"/>
          <w:szCs w:val="21"/>
        </w:rPr>
      </w:pPr>
    </w:p>
    <w:p w:rsidR="00AD5BB5" w:rsidRDefault="00AD5BB5">
      <w:pPr>
        <w:tabs>
          <w:tab w:val="left" w:pos="5812"/>
          <w:tab w:val="left" w:pos="5954"/>
        </w:tabs>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b/>
          <w:snapToGrid w:val="0"/>
          <w:szCs w:val="21"/>
        </w:rPr>
      </w:pPr>
      <w:bookmarkStart w:id="229" w:name="afsaddin_WithXu_955170f6639345cc87cad004"/>
      <w:r>
        <w:rPr>
          <w:rFonts w:ascii="Arial" w:eastAsia="黑体" w:hAnsi="Arial" w:cs="Arial"/>
          <w:b/>
          <w:snapToGrid w:val="0"/>
          <w:szCs w:val="21"/>
        </w:rPr>
        <w:t>五、</w:t>
      </w:r>
      <w:r>
        <w:rPr>
          <w:rFonts w:ascii="Arial" w:eastAsia="黑体" w:hAnsi="Arial" w:cs="Arial"/>
          <w:b/>
          <w:snapToGrid w:val="0"/>
          <w:szCs w:val="21"/>
        </w:rPr>
        <w:tab/>
      </w:r>
      <w:r>
        <w:rPr>
          <w:rFonts w:ascii="Arial" w:eastAsia="黑体" w:hAnsi="Arial" w:cs="Arial"/>
          <w:b/>
          <w:snapToGrid w:val="0"/>
          <w:szCs w:val="21"/>
        </w:rPr>
        <w:t>合并财务报表主要项目注释（续）</w:t>
      </w:r>
      <w:bookmarkEnd w:id="229"/>
    </w:p>
    <w:p w:rsidR="00AD5BB5" w:rsidRDefault="00AD5BB5">
      <w:pPr>
        <w:overflowPunct w:val="0"/>
        <w:autoSpaceDE w:val="0"/>
        <w:autoSpaceDN w:val="0"/>
        <w:rPr>
          <w:rFonts w:ascii="Arial" w:eastAsia="黑体" w:hAnsi="Arial" w:cs="Arial"/>
          <w:snapToGrid w:val="0"/>
          <w:szCs w:val="21"/>
        </w:rPr>
      </w:pPr>
    </w:p>
    <w:p w:rsidR="00AD5BB5" w:rsidRDefault="00F87FF6">
      <w:pPr>
        <w:pStyle w:val="af5"/>
        <w:tabs>
          <w:tab w:val="left" w:pos="5812"/>
          <w:tab w:val="left" w:pos="5954"/>
        </w:tabs>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230" w:name="afsaddin_Section_7feae4961b314e6a9ef627d"/>
      <w:r>
        <w:rPr>
          <w:rFonts w:ascii="Arial" w:eastAsia="黑体" w:hAnsi="Arial" w:cs="Arial" w:hint="default"/>
          <w:bCs w:val="0"/>
          <w:snapToGrid w:val="0"/>
          <w:color w:val="auto"/>
          <w:sz w:val="21"/>
          <w:szCs w:val="21"/>
        </w:rPr>
        <w:t>40.</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税金及附加</w:t>
      </w:r>
    </w:p>
    <w:bookmarkEnd w:id="230"/>
    <w:p w:rsidR="00AD5BB5" w:rsidRDefault="00AD5BB5">
      <w:pPr>
        <w:tabs>
          <w:tab w:val="left" w:pos="5812"/>
          <w:tab w:val="left" w:pos="5954"/>
        </w:tabs>
        <w:overflowPunct w:val="0"/>
        <w:autoSpaceDE w:val="0"/>
        <w:autoSpaceDN w:val="0"/>
        <w:rPr>
          <w:rFonts w:ascii="Arial" w:eastAsia="黑体" w:hAnsi="Arial" w:cs="Arial"/>
          <w:bCs/>
          <w:snapToGrid w:val="0"/>
          <w:szCs w:val="21"/>
        </w:rPr>
      </w:pPr>
    </w:p>
    <w:tbl>
      <w:tblPr>
        <w:tblW w:w="0" w:type="auto"/>
        <w:tblLayout w:type="fixed"/>
        <w:tblCellMar>
          <w:left w:w="0" w:type="dxa"/>
          <w:right w:w="0" w:type="dxa"/>
        </w:tblCellMar>
        <w:tblLook w:val="04A0" w:firstRow="1" w:lastRow="0" w:firstColumn="1" w:lastColumn="0" w:noHBand="0" w:noVBand="1"/>
        <w:tblCaption w:val="4a151512-5316-4f5d-9004-eefbd898f89f"/>
        <w:tblDescription w:val="{&quot;UUID&quot;:&quot;afsaddin_tabledata_2_56437_4a151512-5316-4f5d-9004-eefbd898f89f&quot;,&quot;TitleRowCount&quot;:2,&quot;SplitedTable&quot;:false,&quot;FirstTableId&quot;:&quot;4a151512-5316-4f5d-9004-eefbd898f89f&quot;}"/>
      </w:tblPr>
      <w:tblGrid>
        <w:gridCol w:w="3878"/>
        <w:gridCol w:w="112"/>
        <w:gridCol w:w="1987"/>
        <w:gridCol w:w="112"/>
        <w:gridCol w:w="112"/>
        <w:gridCol w:w="1984"/>
        <w:gridCol w:w="112"/>
      </w:tblGrid>
      <w:tr w:rsidR="00AD5BB5">
        <w:tc>
          <w:tcPr>
            <w:tcW w:w="3878" w:type="dxa"/>
            <w:tcBorders>
              <w:top w:val="nil"/>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ind w:left="315" w:hangingChars="150" w:hanging="315"/>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rPr>
                <w:rFonts w:ascii="Arial" w:eastAsia="黑体" w:hAnsi="Arial" w:cs="Arial"/>
                <w:szCs w:val="21"/>
              </w:rPr>
            </w:pPr>
          </w:p>
        </w:tc>
        <w:tc>
          <w:tcPr>
            <w:tcW w:w="198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DOCPROPERTY </w:instrText>
            </w:r>
            <w:r>
              <w:rPr>
                <w:rFonts w:ascii="Arial" w:eastAsia="黑体" w:hAnsi="Arial" w:cs="Arial"/>
                <w:szCs w:val="21"/>
              </w:rPr>
              <w:instrText>当期会计期间</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fldChar w:fldCharType="end"/>
            </w:r>
            <w:r>
              <w:rPr>
                <w:rFonts w:ascii="Arial" w:eastAsia="黑体" w:hAnsi="Arial" w:cs="Arial"/>
                <w:szCs w:val="21"/>
              </w:rPr>
              <w:t>年</w:t>
            </w:r>
            <w:r>
              <w:rPr>
                <w:rFonts w:ascii="Arial" w:eastAsia="黑体" w:hAnsi="Arial" w:cs="Arial"/>
                <w:szCs w:val="21"/>
              </w:rPr>
              <w:t>1-6</w:t>
            </w:r>
            <w:r>
              <w:rPr>
                <w:rFonts w:ascii="Arial" w:eastAsia="黑体" w:hAnsi="Arial" w:cs="Arial"/>
                <w:szCs w:val="21"/>
              </w:rPr>
              <w:t>月</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DOCPROPERTY </w:instrText>
            </w:r>
            <w:r>
              <w:rPr>
                <w:rFonts w:ascii="Arial" w:eastAsia="黑体" w:hAnsi="Arial" w:cs="Arial"/>
                <w:szCs w:val="21"/>
              </w:rPr>
              <w:instrText>对比会计期间</w:instrText>
            </w:r>
            <w:r>
              <w:rPr>
                <w:rFonts w:ascii="Arial" w:eastAsia="黑体" w:hAnsi="Arial" w:cs="Arial"/>
                <w:szCs w:val="21"/>
              </w:rPr>
              <w:fldChar w:fldCharType="separate"/>
            </w:r>
            <w:r>
              <w:rPr>
                <w:rFonts w:ascii="Arial" w:eastAsia="黑体" w:hAnsi="Arial" w:cs="Arial"/>
                <w:szCs w:val="21"/>
              </w:rPr>
              <w:t>2022</w:t>
            </w:r>
            <w:r>
              <w:rPr>
                <w:rFonts w:ascii="Arial" w:eastAsia="黑体" w:hAnsi="Arial" w:cs="Arial"/>
                <w:szCs w:val="21"/>
              </w:rPr>
              <w:fldChar w:fldCharType="end"/>
            </w:r>
            <w:r>
              <w:rPr>
                <w:rFonts w:ascii="Arial" w:eastAsia="黑体" w:hAnsi="Arial" w:cs="Arial"/>
                <w:szCs w:val="21"/>
              </w:rPr>
              <w:t>年</w:t>
            </w:r>
            <w:r>
              <w:rPr>
                <w:rFonts w:ascii="Arial" w:eastAsia="黑体" w:hAnsi="Arial" w:cs="Arial"/>
                <w:szCs w:val="21"/>
              </w:rPr>
              <w:t>1-6</w:t>
            </w:r>
            <w:r>
              <w:rPr>
                <w:rFonts w:ascii="Arial" w:eastAsia="黑体" w:hAnsi="Arial" w:cs="Arial"/>
                <w:szCs w:val="21"/>
              </w:rPr>
              <w:t>月</w:t>
            </w:r>
          </w:p>
        </w:tc>
        <w:tc>
          <w:tcPr>
            <w:tcW w:w="112" w:type="dxa"/>
            <w:tcBorders>
              <w:top w:val="nil"/>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jc w:val="right"/>
              <w:rPr>
                <w:rFonts w:ascii="Arial" w:eastAsia="黑体" w:hAnsi="Arial" w:cs="Arial"/>
                <w:color w:val="000000"/>
                <w:szCs w:val="21"/>
              </w:rPr>
            </w:pPr>
          </w:p>
        </w:tc>
      </w:tr>
      <w:tr w:rsidR="00AD5BB5">
        <w:tc>
          <w:tcPr>
            <w:tcW w:w="3878" w:type="dxa"/>
            <w:tcBorders>
              <w:top w:val="nil"/>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ind w:left="315" w:hangingChars="150" w:hanging="315"/>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rPr>
                <w:rFonts w:ascii="Arial" w:eastAsia="黑体" w:hAnsi="Arial" w:cs="Arial"/>
                <w:szCs w:val="21"/>
              </w:rPr>
            </w:pPr>
          </w:p>
        </w:tc>
        <w:tc>
          <w:tcPr>
            <w:tcW w:w="1987" w:type="dxa"/>
            <w:tcBorders>
              <w:top w:val="nil"/>
              <w:left w:val="nil"/>
              <w:bottom w:val="nil"/>
              <w:right w:val="nil"/>
            </w:tcBorders>
            <w:shd w:val="clear" w:color="000000" w:fill="auto"/>
            <w:noWrap/>
            <w:vAlign w:val="bottom"/>
          </w:tcPr>
          <w:p w:rsidR="00AD5BB5" w:rsidRDefault="00AD5BB5">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jc w:val="right"/>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jc w:val="right"/>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AD5BB5">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jc w:val="right"/>
              <w:rPr>
                <w:rFonts w:ascii="Arial" w:eastAsia="黑体" w:hAnsi="Arial" w:cs="Arial"/>
                <w:szCs w:val="21"/>
              </w:rPr>
            </w:pPr>
          </w:p>
        </w:tc>
      </w:tr>
      <w:tr w:rsidR="00AD5BB5">
        <w:tc>
          <w:tcPr>
            <w:tcW w:w="3878" w:type="dxa"/>
            <w:tcBorders>
              <w:top w:val="nil"/>
              <w:left w:val="nil"/>
              <w:bottom w:val="nil"/>
              <w:right w:val="nil"/>
            </w:tcBorders>
            <w:shd w:val="clear" w:color="000000" w:fill="auto"/>
            <w:noWrap/>
            <w:vAlign w:val="bottom"/>
          </w:tcPr>
          <w:p w:rsidR="00AD5BB5" w:rsidRDefault="00F87FF6">
            <w:pPr>
              <w:tabs>
                <w:tab w:val="left" w:pos="5812"/>
                <w:tab w:val="left" w:pos="5954"/>
              </w:tabs>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snapToGrid w:val="0"/>
                <w:szCs w:val="21"/>
              </w:rPr>
              <w:t>城市维护建设税</w:t>
            </w:r>
          </w:p>
        </w:tc>
        <w:tc>
          <w:tcPr>
            <w:tcW w:w="112" w:type="dxa"/>
            <w:tcBorders>
              <w:top w:val="nil"/>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000000"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16,392,102.26</w:t>
            </w:r>
          </w:p>
        </w:tc>
        <w:tc>
          <w:tcPr>
            <w:tcW w:w="112" w:type="dxa"/>
            <w:tcBorders>
              <w:top w:val="nil"/>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17,931,501.93</w:t>
            </w:r>
          </w:p>
        </w:tc>
        <w:tc>
          <w:tcPr>
            <w:tcW w:w="112" w:type="dxa"/>
            <w:tcBorders>
              <w:top w:val="nil"/>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napToGrid w:val="0"/>
                <w:szCs w:val="21"/>
              </w:rPr>
              <w:t>教育费附加</w:t>
            </w:r>
          </w:p>
        </w:tc>
        <w:tc>
          <w:tcPr>
            <w:tcW w:w="112" w:type="dxa"/>
            <w:tcBorders>
              <w:top w:val="nil"/>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rPr>
                <w:rFonts w:ascii="Arial" w:eastAsia="黑体" w:hAnsi="Arial" w:cs="Arial"/>
                <w:szCs w:val="21"/>
              </w:rPr>
            </w:pPr>
          </w:p>
        </w:tc>
        <w:tc>
          <w:tcPr>
            <w:tcW w:w="1987" w:type="dxa"/>
            <w:tcBorders>
              <w:top w:val="nil"/>
              <w:left w:val="nil"/>
              <w:bottom w:val="nil"/>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11,620,812.72</w:t>
            </w:r>
          </w:p>
        </w:tc>
        <w:tc>
          <w:tcPr>
            <w:tcW w:w="112" w:type="dxa"/>
            <w:tcBorders>
              <w:top w:val="nil"/>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nil"/>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12,808,215.66</w:t>
            </w:r>
          </w:p>
        </w:tc>
        <w:tc>
          <w:tcPr>
            <w:tcW w:w="112" w:type="dxa"/>
            <w:tcBorders>
              <w:top w:val="nil"/>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rPr>
                <w:rFonts w:ascii="Arial" w:eastAsia="黑体" w:hAnsi="Arial" w:cs="Arial"/>
                <w:szCs w:val="21"/>
              </w:rPr>
            </w:pPr>
          </w:p>
        </w:tc>
      </w:tr>
      <w:tr w:rsidR="00AD5BB5">
        <w:tc>
          <w:tcPr>
            <w:tcW w:w="387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其他</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single" w:sz="4" w:space="0" w:color="auto"/>
              <w:right w:val="nil"/>
            </w:tcBorders>
            <w:shd w:val="clear" w:color="000000"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7,932,922.65</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4" w:type="dxa"/>
            <w:tcBorders>
              <w:top w:val="nil"/>
              <w:left w:val="nil"/>
              <w:bottom w:val="single" w:sz="4" w:space="0" w:color="auto"/>
              <w:right w:val="nil"/>
            </w:tcBorders>
            <w:shd w:val="clear" w:color="000000"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7,320,011.81</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napToGrid w:val="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single" w:sz="4" w:space="0" w:color="auto"/>
              <w:left w:val="nil"/>
              <w:bottom w:val="nil"/>
              <w:right w:val="nil"/>
            </w:tcBorders>
            <w:shd w:val="clear" w:color="000000" w:fill="auto"/>
            <w:noWrap/>
            <w:vAlign w:val="bottom"/>
          </w:tcPr>
          <w:p w:rsidR="00AD5BB5" w:rsidRDefault="00AD5BB5">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4" w:type="dxa"/>
            <w:tcBorders>
              <w:top w:val="single" w:sz="4" w:space="0" w:color="auto"/>
              <w:left w:val="nil"/>
              <w:bottom w:val="nil"/>
              <w:right w:val="nil"/>
            </w:tcBorders>
            <w:shd w:val="clear" w:color="000000" w:fill="auto"/>
            <w:noWrap/>
            <w:vAlign w:val="bottom"/>
          </w:tcPr>
          <w:p w:rsidR="00AD5BB5" w:rsidRDefault="00AD5BB5">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合计</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7" w:type="dxa"/>
            <w:tcBorders>
              <w:top w:val="nil"/>
              <w:left w:val="nil"/>
              <w:bottom w:val="double" w:sz="4" w:space="0" w:color="auto"/>
              <w:right w:val="nil"/>
            </w:tcBorders>
            <w:shd w:val="clear" w:color="000000"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35,945,837.63</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double" w:sz="4" w:space="0" w:color="auto"/>
              <w:right w:val="nil"/>
            </w:tcBorders>
            <w:shd w:val="clear" w:color="000000"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38,059,729.40</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bl>
    <w:p w:rsidR="00AD5BB5" w:rsidRDefault="00AD5BB5">
      <w:pPr>
        <w:overflowPunct w:val="0"/>
        <w:autoSpaceDE w:val="0"/>
        <w:autoSpaceDN w:val="0"/>
        <w:rPr>
          <w:rFonts w:ascii="Arial" w:eastAsia="黑体" w:hAnsi="Arial" w:cs="Arial"/>
          <w:snapToGrid w:val="0"/>
          <w:szCs w:val="21"/>
        </w:rPr>
      </w:pPr>
    </w:p>
    <w:p w:rsidR="00AD5BB5" w:rsidRDefault="00F87FF6">
      <w:pPr>
        <w:pStyle w:val="af5"/>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231" w:name="afsaddin_Section_a2d8e1e5933b40a6908b32d"/>
      <w:r>
        <w:rPr>
          <w:rFonts w:ascii="Arial" w:eastAsia="黑体" w:hAnsi="Arial" w:cs="Arial" w:hint="default"/>
          <w:bCs w:val="0"/>
          <w:snapToGrid w:val="0"/>
          <w:color w:val="auto"/>
          <w:sz w:val="21"/>
          <w:szCs w:val="21"/>
        </w:rPr>
        <w:t>41.</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业务及管理费</w:t>
      </w:r>
    </w:p>
    <w:bookmarkEnd w:id="231"/>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ac9213bb-eae5-433c-a883-78c81efed102"/>
        <w:tblDescription w:val="{&quot;UUID&quot;:&quot;afsaddin_tabledata_2_56437_ac9213bb-eae5-433c-a883-78c81efed102&quot;,&quot;TitleRowCount&quot;:2,&quot;SplitedTable&quot;:false,&quot;FirstTableId&quot;:&quot;ac9213bb-eae5-433c-a883-78c81efed102&quot;}"/>
      </w:tblPr>
      <w:tblGrid>
        <w:gridCol w:w="3878"/>
        <w:gridCol w:w="112"/>
        <w:gridCol w:w="1987"/>
        <w:gridCol w:w="112"/>
        <w:gridCol w:w="112"/>
        <w:gridCol w:w="1984"/>
        <w:gridCol w:w="112"/>
      </w:tblGrid>
      <w:tr w:rsidR="00AD5BB5">
        <w:tc>
          <w:tcPr>
            <w:tcW w:w="387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DOCPROPERTY </w:instrText>
            </w:r>
            <w:r>
              <w:rPr>
                <w:rFonts w:ascii="Arial" w:eastAsia="黑体" w:hAnsi="Arial" w:cs="Arial"/>
                <w:szCs w:val="21"/>
              </w:rPr>
              <w:instrText>当期会计期间</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fldChar w:fldCharType="end"/>
            </w:r>
            <w:r>
              <w:rPr>
                <w:rFonts w:ascii="Arial" w:eastAsia="黑体" w:hAnsi="Arial" w:cs="Arial"/>
                <w:szCs w:val="21"/>
              </w:rPr>
              <w:t>年</w:t>
            </w:r>
            <w:r>
              <w:rPr>
                <w:rFonts w:ascii="Arial" w:eastAsia="黑体" w:hAnsi="Arial" w:cs="Arial"/>
                <w:szCs w:val="21"/>
              </w:rPr>
              <w:t>1-6</w:t>
            </w:r>
            <w:r>
              <w:rPr>
                <w:rFonts w:ascii="Arial" w:eastAsia="黑体" w:hAnsi="Arial" w:cs="Arial"/>
                <w:szCs w:val="21"/>
              </w:rPr>
              <w:t>月</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DOCPROPERTY </w:instrText>
            </w:r>
            <w:r>
              <w:rPr>
                <w:rFonts w:ascii="Arial" w:eastAsia="黑体" w:hAnsi="Arial" w:cs="Arial"/>
                <w:szCs w:val="21"/>
              </w:rPr>
              <w:instrText>对比会计期间</w:instrText>
            </w:r>
            <w:r>
              <w:rPr>
                <w:rFonts w:ascii="Arial" w:eastAsia="黑体" w:hAnsi="Arial" w:cs="Arial"/>
                <w:szCs w:val="21"/>
              </w:rPr>
              <w:fldChar w:fldCharType="separate"/>
            </w:r>
            <w:r>
              <w:rPr>
                <w:rFonts w:ascii="Arial" w:eastAsia="黑体" w:hAnsi="Arial" w:cs="Arial"/>
                <w:szCs w:val="21"/>
              </w:rPr>
              <w:t>2022</w:t>
            </w:r>
            <w:r>
              <w:rPr>
                <w:rFonts w:ascii="Arial" w:eastAsia="黑体" w:hAnsi="Arial" w:cs="Arial"/>
                <w:szCs w:val="21"/>
              </w:rPr>
              <w:fldChar w:fldCharType="end"/>
            </w:r>
            <w:r>
              <w:rPr>
                <w:rFonts w:ascii="Arial" w:eastAsia="黑体" w:hAnsi="Arial" w:cs="Arial"/>
                <w:szCs w:val="21"/>
              </w:rPr>
              <w:t>年</w:t>
            </w:r>
            <w:r>
              <w:rPr>
                <w:rFonts w:ascii="Arial" w:eastAsia="黑体" w:hAnsi="Arial" w:cs="Arial"/>
                <w:szCs w:val="21"/>
              </w:rPr>
              <w:t>1-6</w:t>
            </w:r>
            <w:r>
              <w:rPr>
                <w:rFonts w:ascii="Arial" w:eastAsia="黑体" w:hAnsi="Arial" w:cs="Arial"/>
                <w:szCs w:val="21"/>
              </w:rPr>
              <w:t>月</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r>
      <w:tr w:rsidR="00AD5BB5">
        <w:tc>
          <w:tcPr>
            <w:tcW w:w="387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000000" w:fill="auto"/>
            <w:noWrap/>
            <w:vAlign w:val="bottom"/>
          </w:tcPr>
          <w:p w:rsidR="00AD5BB5" w:rsidRDefault="00AD5BB5">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984" w:type="dxa"/>
            <w:tcBorders>
              <w:top w:val="nil"/>
              <w:left w:val="nil"/>
              <w:bottom w:val="nil"/>
              <w:right w:val="nil"/>
            </w:tcBorders>
            <w:shd w:val="clear" w:color="000000" w:fill="auto"/>
            <w:noWrap/>
            <w:vAlign w:val="bottom"/>
          </w:tcPr>
          <w:p w:rsidR="00AD5BB5" w:rsidRDefault="00AD5BB5">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r>
      <w:tr w:rsidR="00AD5BB5">
        <w:tc>
          <w:tcPr>
            <w:tcW w:w="3878"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员工成本</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2"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4" w:type="dxa"/>
            <w:tcBorders>
              <w:top w:val="nil"/>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szCs w:val="21"/>
              </w:rPr>
            </w:pPr>
            <w:r>
              <w:rPr>
                <w:rFonts w:ascii="Arial" w:eastAsia="黑体" w:hAnsi="Arial" w:cs="Arial"/>
                <w:szCs w:val="21"/>
              </w:rPr>
              <w:t>—</w:t>
            </w:r>
            <w:r>
              <w:rPr>
                <w:rFonts w:ascii="Arial" w:eastAsia="黑体" w:hAnsi="Arial" w:cs="Arial"/>
                <w:szCs w:val="21"/>
              </w:rPr>
              <w:t>工资、奖金、津贴和补贴</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582,519,257.40</w:t>
            </w:r>
          </w:p>
        </w:tc>
        <w:tc>
          <w:tcPr>
            <w:tcW w:w="112"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4" w:type="dxa"/>
            <w:tcBorders>
              <w:top w:val="nil"/>
              <w:left w:val="nil"/>
              <w:bottom w:val="nil"/>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541,994,576.08</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szCs w:val="21"/>
              </w:rPr>
            </w:pPr>
            <w:proofErr w:type="gramStart"/>
            <w:r>
              <w:rPr>
                <w:rFonts w:ascii="Arial" w:eastAsia="黑体" w:hAnsi="Arial" w:cs="Arial"/>
                <w:szCs w:val="21"/>
              </w:rPr>
              <w:t>—</w:t>
            </w:r>
            <w:r>
              <w:rPr>
                <w:rFonts w:ascii="Arial" w:eastAsia="黑体" w:hAnsi="Arial" w:cs="Arial"/>
                <w:szCs w:val="21"/>
              </w:rPr>
              <w:t>职工</w:t>
            </w:r>
            <w:proofErr w:type="gramEnd"/>
            <w:r>
              <w:rPr>
                <w:rFonts w:ascii="Arial" w:eastAsia="黑体" w:hAnsi="Arial" w:cs="Arial"/>
                <w:szCs w:val="21"/>
              </w:rPr>
              <w:t>福利费</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13,904,528.67</w:t>
            </w:r>
          </w:p>
        </w:tc>
        <w:tc>
          <w:tcPr>
            <w:tcW w:w="112"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4" w:type="dxa"/>
            <w:tcBorders>
              <w:top w:val="nil"/>
              <w:left w:val="nil"/>
              <w:bottom w:val="nil"/>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14,640,066.36</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szCs w:val="21"/>
              </w:rPr>
            </w:pPr>
            <w:r>
              <w:rPr>
                <w:rFonts w:ascii="Arial" w:eastAsia="黑体" w:hAnsi="Arial" w:cs="Arial"/>
                <w:szCs w:val="21"/>
              </w:rPr>
              <w:t>—</w:t>
            </w:r>
            <w:r>
              <w:rPr>
                <w:rFonts w:ascii="Arial" w:eastAsia="黑体" w:hAnsi="Arial" w:cs="Arial"/>
                <w:szCs w:val="21"/>
              </w:rPr>
              <w:t>社会保险</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49,054,541.89</w:t>
            </w:r>
          </w:p>
        </w:tc>
        <w:tc>
          <w:tcPr>
            <w:tcW w:w="112"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4" w:type="dxa"/>
            <w:tcBorders>
              <w:top w:val="nil"/>
              <w:left w:val="nil"/>
              <w:bottom w:val="nil"/>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39,815,541.39</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szCs w:val="21"/>
              </w:rPr>
            </w:pPr>
            <w:r>
              <w:rPr>
                <w:rFonts w:ascii="Arial" w:eastAsia="黑体" w:hAnsi="Arial" w:cs="Arial"/>
                <w:szCs w:val="21"/>
              </w:rPr>
              <w:t>—</w:t>
            </w:r>
            <w:r>
              <w:rPr>
                <w:rFonts w:ascii="Arial" w:eastAsia="黑体" w:hAnsi="Arial" w:cs="Arial"/>
                <w:szCs w:val="21"/>
              </w:rPr>
              <w:t>企业年金</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36,036,613.34</w:t>
            </w:r>
          </w:p>
        </w:tc>
        <w:tc>
          <w:tcPr>
            <w:tcW w:w="112"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4" w:type="dxa"/>
            <w:tcBorders>
              <w:top w:val="nil"/>
              <w:left w:val="nil"/>
              <w:bottom w:val="nil"/>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30,927,915.33</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szCs w:val="21"/>
              </w:rPr>
            </w:pPr>
            <w:r>
              <w:rPr>
                <w:rFonts w:ascii="Arial" w:eastAsia="黑体" w:hAnsi="Arial" w:cs="Arial"/>
                <w:szCs w:val="21"/>
              </w:rPr>
              <w:t>—</w:t>
            </w:r>
            <w:r>
              <w:rPr>
                <w:rFonts w:ascii="Arial" w:eastAsia="黑体" w:hAnsi="Arial" w:cs="Arial"/>
                <w:szCs w:val="21"/>
              </w:rPr>
              <w:t>住房公积金</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36,468,589.96</w:t>
            </w:r>
          </w:p>
        </w:tc>
        <w:tc>
          <w:tcPr>
            <w:tcW w:w="112"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4" w:type="dxa"/>
            <w:tcBorders>
              <w:top w:val="nil"/>
              <w:left w:val="nil"/>
              <w:bottom w:val="nil"/>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28,257,471.00</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szCs w:val="21"/>
              </w:rPr>
            </w:pPr>
            <w:r>
              <w:rPr>
                <w:rFonts w:ascii="Arial" w:eastAsia="黑体" w:hAnsi="Arial" w:cs="Arial"/>
                <w:szCs w:val="21"/>
              </w:rPr>
              <w:t>—</w:t>
            </w:r>
            <w:r>
              <w:rPr>
                <w:rFonts w:ascii="Arial" w:eastAsia="黑体" w:hAnsi="Arial" w:cs="Arial"/>
                <w:szCs w:val="21"/>
              </w:rPr>
              <w:t>工会经费和职工教育经费</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12,962,400.70</w:t>
            </w:r>
          </w:p>
        </w:tc>
        <w:tc>
          <w:tcPr>
            <w:tcW w:w="112"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4" w:type="dxa"/>
            <w:tcBorders>
              <w:top w:val="nil"/>
              <w:left w:val="nil"/>
              <w:bottom w:val="nil"/>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7,124,464.68</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szCs w:val="21"/>
              </w:rPr>
            </w:pPr>
            <w:proofErr w:type="gramStart"/>
            <w:r>
              <w:rPr>
                <w:rFonts w:ascii="Arial" w:eastAsia="黑体" w:hAnsi="Arial" w:cs="Arial"/>
                <w:szCs w:val="21"/>
              </w:rPr>
              <w:t>—</w:t>
            </w:r>
            <w:r>
              <w:rPr>
                <w:rFonts w:ascii="Arial" w:eastAsia="黑体" w:hAnsi="Arial" w:cs="Arial"/>
                <w:szCs w:val="21"/>
              </w:rPr>
              <w:t>其他</w:t>
            </w:r>
            <w:proofErr w:type="gramEnd"/>
            <w:r>
              <w:rPr>
                <w:rFonts w:ascii="Arial" w:eastAsia="黑体" w:hAnsi="Arial" w:cs="Arial"/>
                <w:szCs w:val="21"/>
              </w:rPr>
              <w:t>福利支出</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single" w:sz="4" w:space="0" w:color="auto"/>
              <w:right w:val="nil"/>
            </w:tcBorders>
            <w:shd w:val="clear" w:color="000000"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1,026,382.77</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single" w:sz="4" w:space="0" w:color="auto"/>
              <w:right w:val="nil"/>
            </w:tcBorders>
            <w:shd w:val="clear" w:color="000000"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482,467.65</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napToGrid w:val="0"/>
                <w:szCs w:val="21"/>
              </w:rPr>
              <w:t>小计</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7" w:type="dxa"/>
            <w:tcBorders>
              <w:top w:val="single" w:sz="4" w:space="0" w:color="auto"/>
              <w:left w:val="nil"/>
              <w:bottom w:val="single" w:sz="4" w:space="0" w:color="auto"/>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731,972,314.73</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single" w:sz="4" w:space="0" w:color="auto"/>
              <w:left w:val="nil"/>
              <w:bottom w:val="single" w:sz="4" w:space="0" w:color="auto"/>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663,242,502.49</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r>
      <w:tr w:rsidR="00AD5BB5">
        <w:tc>
          <w:tcPr>
            <w:tcW w:w="387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single" w:sz="4" w:space="0" w:color="auto"/>
              <w:left w:val="nil"/>
              <w:bottom w:val="nil"/>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 xml:space="preserve">　</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single" w:sz="4" w:space="0" w:color="auto"/>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物业及设备支出</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szCs w:val="21"/>
              </w:rPr>
            </w:pPr>
            <w:r>
              <w:rPr>
                <w:rFonts w:ascii="Arial" w:eastAsia="黑体" w:hAnsi="Arial" w:cs="Arial"/>
                <w:szCs w:val="21"/>
              </w:rPr>
              <w:t>—</w:t>
            </w:r>
            <w:r>
              <w:rPr>
                <w:rFonts w:ascii="Arial" w:eastAsia="黑体" w:hAnsi="Arial" w:cs="Arial"/>
                <w:szCs w:val="21"/>
              </w:rPr>
              <w:t>折旧摊销</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143,152,815.41</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nil"/>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122,836,405.62</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szCs w:val="21"/>
              </w:rPr>
            </w:pPr>
            <w:r>
              <w:rPr>
                <w:rFonts w:ascii="Arial" w:eastAsia="黑体" w:hAnsi="Arial" w:cs="Arial"/>
                <w:szCs w:val="21"/>
              </w:rPr>
              <w:t>—</w:t>
            </w:r>
            <w:r>
              <w:rPr>
                <w:rFonts w:ascii="Arial" w:eastAsia="黑体" w:hAnsi="Arial" w:cs="Arial"/>
                <w:szCs w:val="21"/>
              </w:rPr>
              <w:t>租赁费</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2,900,022.23</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nil"/>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3,073,950.65</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szCs w:val="21"/>
              </w:rPr>
            </w:pPr>
            <w:r>
              <w:rPr>
                <w:rFonts w:ascii="Arial" w:eastAsia="黑体" w:hAnsi="Arial" w:cs="Arial"/>
                <w:szCs w:val="21"/>
              </w:rPr>
              <w:t>—</w:t>
            </w:r>
            <w:r>
              <w:rPr>
                <w:rFonts w:ascii="Arial" w:eastAsia="黑体" w:hAnsi="Arial" w:cs="Arial"/>
                <w:szCs w:val="21"/>
              </w:rPr>
              <w:t>租赁负债利息支出</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8,987,012.80</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nil"/>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8,290,616.51</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szCs w:val="21"/>
              </w:rPr>
            </w:pPr>
            <w:r>
              <w:rPr>
                <w:rFonts w:ascii="Arial" w:eastAsia="黑体" w:hAnsi="Arial" w:cs="Arial"/>
                <w:szCs w:val="21"/>
              </w:rPr>
              <w:t>—</w:t>
            </w:r>
            <w:r>
              <w:rPr>
                <w:rFonts w:ascii="Arial" w:eastAsia="黑体" w:hAnsi="Arial" w:cs="Arial"/>
                <w:szCs w:val="21"/>
              </w:rPr>
              <w:t>电子设备运转费</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single" w:sz="4" w:space="0" w:color="auto"/>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14,629,975.48</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single" w:sz="4" w:space="0" w:color="auto"/>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8,854,688.67</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小计</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single" w:sz="4" w:space="0" w:color="auto"/>
              <w:left w:val="nil"/>
              <w:bottom w:val="single" w:sz="4" w:space="0" w:color="auto"/>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169,669,825.92</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single" w:sz="4" w:space="0" w:color="auto"/>
              <w:left w:val="nil"/>
              <w:bottom w:val="single" w:sz="4" w:space="0" w:color="auto"/>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143,055,661.45</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single" w:sz="4" w:space="0" w:color="auto"/>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single" w:sz="4" w:space="0" w:color="auto"/>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其他办公及行政费用</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single" w:sz="4" w:space="0" w:color="auto"/>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180,310,296.95</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single" w:sz="4" w:space="0" w:color="auto"/>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142,821,756.12</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single" w:sz="4" w:space="0" w:color="auto"/>
              <w:left w:val="nil"/>
              <w:bottom w:val="nil"/>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 xml:space="preserve">　</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single" w:sz="4" w:space="0" w:color="auto"/>
              <w:left w:val="nil"/>
              <w:bottom w:val="nil"/>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 xml:space="preserve">　</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合计</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7" w:type="dxa"/>
            <w:tcBorders>
              <w:top w:val="nil"/>
              <w:left w:val="nil"/>
              <w:bottom w:val="double" w:sz="4" w:space="0" w:color="auto"/>
              <w:right w:val="nil"/>
            </w:tcBorders>
            <w:shd w:val="clear" w:color="000000"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1,081,952,437.60</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double" w:sz="4" w:space="0" w:color="auto"/>
              <w:right w:val="nil"/>
            </w:tcBorders>
            <w:shd w:val="clear" w:color="000000"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949,119,920.06</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bl>
    <w:p w:rsidR="00AD5BB5" w:rsidRDefault="00F87FF6">
      <w:pPr>
        <w:rPr>
          <w:rFonts w:ascii="Arial" w:eastAsia="黑体" w:hAnsi="Arial" w:cs="Arial"/>
          <w:b/>
          <w:bCs/>
          <w:snapToGrid w:val="0"/>
          <w:szCs w:val="21"/>
        </w:rPr>
      </w:pPr>
      <w:r>
        <w:rPr>
          <w:rFonts w:ascii="Arial" w:eastAsia="黑体" w:hAnsi="Arial" w:cs="Arial"/>
          <w:b/>
          <w:bCs/>
          <w:snapToGrid w:val="0"/>
          <w:szCs w:val="21"/>
        </w:rPr>
        <w:br w:type="page"/>
      </w:r>
    </w:p>
    <w:p w:rsidR="00AD5BB5" w:rsidRDefault="00AD5BB5">
      <w:pPr>
        <w:overflowPunct w:val="0"/>
        <w:autoSpaceDE w:val="0"/>
        <w:autoSpaceDN w:val="0"/>
        <w:adjustRightInd w:val="0"/>
        <w:snapToGrid w:val="0"/>
        <w:ind w:left="720" w:hanging="720"/>
        <w:textAlignment w:val="bottom"/>
        <w:rPr>
          <w:rFonts w:ascii="Arial" w:eastAsia="黑体" w:hAnsi="Arial" w:cs="Arial"/>
          <w:b/>
          <w:bCs/>
          <w:snapToGrid w:val="0"/>
          <w:szCs w:val="21"/>
        </w:rPr>
      </w:pPr>
    </w:p>
    <w:p w:rsidR="00AD5BB5" w:rsidRDefault="00AD5BB5">
      <w:pPr>
        <w:overflowPunct w:val="0"/>
        <w:autoSpaceDE w:val="0"/>
        <w:autoSpaceDN w:val="0"/>
        <w:adjustRightInd w:val="0"/>
        <w:snapToGrid w:val="0"/>
        <w:ind w:left="720" w:hanging="720"/>
        <w:textAlignment w:val="bottom"/>
        <w:rPr>
          <w:rFonts w:ascii="Arial" w:eastAsia="黑体" w:hAnsi="Arial" w:cs="Arial"/>
          <w:b/>
          <w:bCs/>
          <w:snapToGrid w:val="0"/>
          <w:szCs w:val="21"/>
        </w:rPr>
      </w:pPr>
    </w:p>
    <w:p w:rsidR="00AD5BB5" w:rsidRDefault="00F87FF6">
      <w:pPr>
        <w:overflowPunct w:val="0"/>
        <w:autoSpaceDE w:val="0"/>
        <w:autoSpaceDN w:val="0"/>
        <w:adjustRightInd w:val="0"/>
        <w:snapToGrid w:val="0"/>
        <w:textAlignment w:val="bottom"/>
        <w:rPr>
          <w:rFonts w:ascii="Arial" w:eastAsia="黑体" w:hAnsi="Arial" w:cs="Arial"/>
          <w:b/>
          <w:bCs/>
          <w:snapToGrid w:val="0"/>
          <w:szCs w:val="21"/>
        </w:rPr>
      </w:pPr>
      <w:bookmarkStart w:id="232" w:name="afsaddin_WithXu_f57a9bcfd1bb4cd59db68495"/>
      <w:r>
        <w:rPr>
          <w:rFonts w:ascii="Arial" w:eastAsia="黑体" w:hAnsi="Arial" w:cs="Arial"/>
          <w:b/>
          <w:bCs/>
          <w:snapToGrid w:val="0"/>
          <w:szCs w:val="21"/>
        </w:rPr>
        <w:t>五、</w:t>
      </w:r>
      <w:r>
        <w:rPr>
          <w:rFonts w:ascii="Arial" w:eastAsia="黑体" w:hAnsi="Arial" w:cs="Arial"/>
          <w:b/>
          <w:bCs/>
          <w:snapToGrid w:val="0"/>
          <w:szCs w:val="21"/>
        </w:rPr>
        <w:tab/>
      </w:r>
      <w:r>
        <w:rPr>
          <w:rFonts w:ascii="Arial" w:eastAsia="黑体" w:hAnsi="Arial" w:cs="Arial"/>
          <w:b/>
          <w:bCs/>
          <w:snapToGrid w:val="0"/>
          <w:szCs w:val="21"/>
        </w:rPr>
        <w:t>合并财务报表主要项目注释（续）</w:t>
      </w:r>
      <w:bookmarkEnd w:id="232"/>
    </w:p>
    <w:p w:rsidR="00AD5BB5" w:rsidRDefault="00AD5BB5">
      <w:pPr>
        <w:overflowPunct w:val="0"/>
        <w:autoSpaceDE w:val="0"/>
        <w:autoSpaceDN w:val="0"/>
        <w:adjustRightInd w:val="0"/>
        <w:snapToGrid w:val="0"/>
        <w:ind w:left="720" w:hanging="720"/>
        <w:textAlignment w:val="bottom"/>
        <w:rPr>
          <w:rFonts w:ascii="Arial" w:eastAsia="黑体" w:hAnsi="Arial" w:cs="Arial"/>
          <w:b/>
          <w:bCs/>
          <w:snapToGrid w:val="0"/>
          <w:szCs w:val="21"/>
        </w:rPr>
      </w:pPr>
    </w:p>
    <w:p w:rsidR="00AD5BB5" w:rsidRDefault="00F87FF6">
      <w:pPr>
        <w:pStyle w:val="af5"/>
        <w:keepNext w:val="0"/>
        <w:keepLines w:val="0"/>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233" w:name="afsaddin_WithXu_be4e005c36c240b5bfd7fbbf"/>
      <w:bookmarkStart w:id="234" w:name="afsaddin_Section_95868447f8c045eeb04f60a"/>
      <w:bookmarkEnd w:id="233"/>
      <w:r>
        <w:rPr>
          <w:rFonts w:ascii="Arial" w:eastAsia="黑体" w:hAnsi="Arial" w:cs="Arial" w:hint="default"/>
          <w:bCs w:val="0"/>
          <w:snapToGrid w:val="0"/>
          <w:color w:val="auto"/>
          <w:sz w:val="21"/>
          <w:szCs w:val="21"/>
        </w:rPr>
        <w:t>42.</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信用减值损失</w:t>
      </w:r>
    </w:p>
    <w:bookmarkEnd w:id="234"/>
    <w:p w:rsidR="00AD5BB5" w:rsidRDefault="00AD5BB5">
      <w:pPr>
        <w:tabs>
          <w:tab w:val="decimal" w:pos="4560"/>
          <w:tab w:val="decimal" w:pos="6240"/>
          <w:tab w:val="decimal" w:pos="6600"/>
          <w:tab w:val="decimal" w:pos="8280"/>
        </w:tabs>
        <w:overflowPunct w:val="0"/>
        <w:autoSpaceDE w:val="0"/>
        <w:autoSpaceDN w:val="0"/>
        <w:adjustRightInd w:val="0"/>
        <w:snapToGrid w:val="0"/>
        <w:textAlignment w:val="bottom"/>
        <w:rPr>
          <w:rFonts w:ascii="Arial" w:eastAsia="黑体" w:hAnsi="Arial" w:cs="Arial"/>
          <w:snapToGrid w:val="0"/>
          <w:szCs w:val="21"/>
          <w:u w:val="double"/>
        </w:rPr>
      </w:pPr>
    </w:p>
    <w:tbl>
      <w:tblPr>
        <w:tblW w:w="0" w:type="auto"/>
        <w:tblLayout w:type="fixed"/>
        <w:tblCellMar>
          <w:left w:w="0" w:type="dxa"/>
          <w:right w:w="0" w:type="dxa"/>
        </w:tblCellMar>
        <w:tblLook w:val="04A0" w:firstRow="1" w:lastRow="0" w:firstColumn="1" w:lastColumn="0" w:noHBand="0" w:noVBand="1"/>
        <w:tblCaption w:val="ef73697f-4f1e-4ddc-a819-21ca37d22d88"/>
        <w:tblDescription w:val="{&quot;UUID&quot;:&quot;afsaddin_tabledata_2_56437_ef73697f-4f1e-4ddc-a819-21ca37d22d88&quot;,&quot;TitleRowCount&quot;:2,&quot;SplitedTable&quot;:false,&quot;FirstTableId&quot;:&quot;ef73697f-4f1e-4ddc-a819-21ca37d22d88&quot;}"/>
      </w:tblPr>
      <w:tblGrid>
        <w:gridCol w:w="3878"/>
        <w:gridCol w:w="112"/>
        <w:gridCol w:w="1987"/>
        <w:gridCol w:w="112"/>
        <w:gridCol w:w="112"/>
        <w:gridCol w:w="1984"/>
        <w:gridCol w:w="112"/>
      </w:tblGrid>
      <w:tr w:rsidR="00AD5BB5">
        <w:tc>
          <w:tcPr>
            <w:tcW w:w="387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jc w:val="right"/>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98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DOCPROPERTY </w:instrText>
            </w:r>
            <w:r>
              <w:rPr>
                <w:rFonts w:ascii="Arial" w:eastAsia="黑体" w:hAnsi="Arial" w:cs="Arial"/>
                <w:szCs w:val="21"/>
              </w:rPr>
              <w:instrText>当期会计期间</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fldChar w:fldCharType="end"/>
            </w:r>
            <w:r>
              <w:rPr>
                <w:rFonts w:ascii="Arial" w:eastAsia="黑体" w:hAnsi="Arial" w:cs="Arial"/>
                <w:szCs w:val="21"/>
              </w:rPr>
              <w:t>年</w:t>
            </w:r>
            <w:r>
              <w:rPr>
                <w:rFonts w:ascii="Arial" w:eastAsia="黑体" w:hAnsi="Arial" w:cs="Arial"/>
                <w:szCs w:val="21"/>
              </w:rPr>
              <w:t>1-6</w:t>
            </w:r>
            <w:r>
              <w:rPr>
                <w:rFonts w:ascii="Arial" w:eastAsia="黑体" w:hAnsi="Arial" w:cs="Arial"/>
                <w:szCs w:val="21"/>
              </w:rPr>
              <w:t>月</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DOCPROPERTY </w:instrText>
            </w:r>
            <w:r>
              <w:rPr>
                <w:rFonts w:ascii="Arial" w:eastAsia="黑体" w:hAnsi="Arial" w:cs="Arial"/>
                <w:szCs w:val="21"/>
              </w:rPr>
              <w:instrText>对比会计期间</w:instrText>
            </w:r>
            <w:r>
              <w:rPr>
                <w:rFonts w:ascii="Arial" w:eastAsia="黑体" w:hAnsi="Arial" w:cs="Arial"/>
                <w:szCs w:val="21"/>
              </w:rPr>
              <w:fldChar w:fldCharType="separate"/>
            </w:r>
            <w:r>
              <w:rPr>
                <w:rFonts w:ascii="Arial" w:eastAsia="黑体" w:hAnsi="Arial" w:cs="Arial"/>
                <w:szCs w:val="21"/>
              </w:rPr>
              <w:t>2022</w:t>
            </w:r>
            <w:r>
              <w:rPr>
                <w:rFonts w:ascii="Arial" w:eastAsia="黑体" w:hAnsi="Arial" w:cs="Arial"/>
                <w:szCs w:val="21"/>
              </w:rPr>
              <w:fldChar w:fldCharType="end"/>
            </w:r>
            <w:r>
              <w:rPr>
                <w:rFonts w:ascii="Arial" w:eastAsia="黑体" w:hAnsi="Arial" w:cs="Arial"/>
                <w:szCs w:val="21"/>
              </w:rPr>
              <w:t>年</w:t>
            </w:r>
            <w:r>
              <w:rPr>
                <w:rFonts w:ascii="Arial" w:eastAsia="黑体" w:hAnsi="Arial" w:cs="Arial"/>
                <w:szCs w:val="21"/>
              </w:rPr>
              <w:t>1-6</w:t>
            </w:r>
            <w:r>
              <w:rPr>
                <w:rFonts w:ascii="Arial" w:eastAsia="黑体" w:hAnsi="Arial" w:cs="Arial"/>
                <w:szCs w:val="21"/>
              </w:rPr>
              <w:t>月</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7"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r>
      <w:tr w:rsidR="00AD5BB5">
        <w:tc>
          <w:tcPr>
            <w:tcW w:w="3878"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存放同业及其他金融机构款项减值损失</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(26,159,418.26</w:t>
            </w:r>
          </w:p>
        </w:tc>
        <w:tc>
          <w:tcPr>
            <w:tcW w:w="112"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210"/>
              <w:rPr>
                <w:rFonts w:ascii="Arial" w:eastAsia="黑体" w:hAnsi="Arial" w:cs="Arial"/>
                <w:szCs w:val="21"/>
              </w:rPr>
            </w:pPr>
            <w:r>
              <w:rPr>
                <w:rFonts w:ascii="Arial" w:eastAsia="黑体" w:hAnsi="Arial" w:cs="Arial"/>
                <w:szCs w:val="21"/>
              </w:rPr>
              <w:t>)</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(63,052,961.00</w:t>
            </w:r>
          </w:p>
        </w:tc>
        <w:tc>
          <w:tcPr>
            <w:tcW w:w="112"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szCs w:val="21"/>
              </w:rPr>
            </w:pPr>
            <w:r>
              <w:rPr>
                <w:rFonts w:ascii="Arial" w:eastAsia="黑体" w:hAnsi="Arial" w:cs="Arial"/>
                <w:szCs w:val="21"/>
              </w:rPr>
              <w:t>)</w:t>
            </w:r>
          </w:p>
        </w:tc>
      </w:tr>
      <w:tr w:rsidR="00AD5BB5">
        <w:tc>
          <w:tcPr>
            <w:tcW w:w="3878"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拆出资金减值损失</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ind w:rightChars="6" w:right="13"/>
              <w:jc w:val="right"/>
              <w:rPr>
                <w:rFonts w:ascii="Arial" w:eastAsia="黑体" w:hAnsi="Arial" w:cs="Arial"/>
                <w:color w:val="000000"/>
                <w:szCs w:val="21"/>
              </w:rPr>
            </w:pPr>
            <w:r>
              <w:rPr>
                <w:rFonts w:ascii="Arial" w:eastAsia="黑体" w:hAnsi="Arial" w:cs="Arial"/>
                <w:color w:val="000000"/>
                <w:szCs w:val="21"/>
              </w:rPr>
              <w:t>(108,100,394.00</w:t>
            </w:r>
          </w:p>
        </w:tc>
        <w:tc>
          <w:tcPr>
            <w:tcW w:w="112"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szCs w:val="21"/>
              </w:rPr>
            </w:pPr>
            <w:r>
              <w:rPr>
                <w:rFonts w:ascii="Arial" w:eastAsia="黑体" w:hAnsi="Arial" w:cs="Arial"/>
                <w:szCs w:val="21"/>
              </w:rPr>
              <w:t>)</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17,534,834.81</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r>
      <w:tr w:rsidR="00AD5BB5">
        <w:tc>
          <w:tcPr>
            <w:tcW w:w="3878"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买入返售金融资产减值损失</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ind w:rightChars="6" w:right="13"/>
              <w:jc w:val="right"/>
              <w:rPr>
                <w:rFonts w:ascii="Arial" w:eastAsia="黑体" w:hAnsi="Arial" w:cs="Arial"/>
                <w:color w:val="000000"/>
                <w:szCs w:val="21"/>
              </w:rPr>
            </w:pPr>
            <w:r>
              <w:rPr>
                <w:rFonts w:ascii="Arial" w:eastAsia="黑体" w:hAnsi="Arial" w:cs="Arial"/>
                <w:color w:val="000000"/>
                <w:szCs w:val="21"/>
              </w:rPr>
              <w:t>(12,663,050.95</w:t>
            </w:r>
          </w:p>
        </w:tc>
        <w:tc>
          <w:tcPr>
            <w:tcW w:w="112"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szCs w:val="21"/>
              </w:rPr>
            </w:pPr>
            <w:r>
              <w:rPr>
                <w:rFonts w:ascii="Arial" w:eastAsia="黑体" w:hAnsi="Arial" w:cs="Arial"/>
                <w:szCs w:val="21"/>
              </w:rPr>
              <w:t>)</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1,212,898.96</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r>
      <w:tr w:rsidR="00AD5BB5">
        <w:tc>
          <w:tcPr>
            <w:tcW w:w="3878"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发放贷款及垫款减值损失</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ind w:rightChars="6" w:right="13"/>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r>
      <w:tr w:rsidR="00AD5BB5">
        <w:tc>
          <w:tcPr>
            <w:tcW w:w="3878"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snapToGrid w:val="0"/>
                <w:szCs w:val="21"/>
              </w:rPr>
            </w:pPr>
            <w:r>
              <w:rPr>
                <w:rFonts w:ascii="Arial" w:eastAsia="黑体" w:hAnsi="Arial" w:cs="Arial"/>
                <w:snapToGrid w:val="0"/>
                <w:szCs w:val="21"/>
              </w:rPr>
              <w:t>—</w:t>
            </w:r>
            <w:r>
              <w:rPr>
                <w:rFonts w:ascii="Arial" w:eastAsia="黑体" w:hAnsi="Arial" w:cs="Arial"/>
                <w:snapToGrid w:val="0"/>
                <w:szCs w:val="21"/>
              </w:rPr>
              <w:t>以摊</w:t>
            </w:r>
            <w:proofErr w:type="gramStart"/>
            <w:r>
              <w:rPr>
                <w:rFonts w:ascii="Arial" w:eastAsia="黑体" w:hAnsi="Arial" w:cs="Arial"/>
                <w:snapToGrid w:val="0"/>
                <w:szCs w:val="21"/>
              </w:rPr>
              <w:t>余成本</w:t>
            </w:r>
            <w:proofErr w:type="gramEnd"/>
            <w:r>
              <w:rPr>
                <w:rFonts w:ascii="Arial" w:eastAsia="黑体" w:hAnsi="Arial" w:cs="Arial"/>
                <w:snapToGrid w:val="0"/>
                <w:szCs w:val="21"/>
              </w:rPr>
              <w:t>计量的发放贷款及垫款</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ind w:rightChars="6" w:right="13"/>
              <w:jc w:val="right"/>
              <w:rPr>
                <w:rFonts w:ascii="Arial" w:eastAsia="黑体" w:hAnsi="Arial" w:cs="Arial"/>
                <w:color w:val="000000"/>
                <w:szCs w:val="21"/>
              </w:rPr>
            </w:pPr>
            <w:r>
              <w:rPr>
                <w:rFonts w:ascii="Arial" w:eastAsia="黑体" w:hAnsi="Arial" w:cs="Arial"/>
              </w:rPr>
              <w:t>350,797,634.13</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459,539,496.01</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r>
      <w:tr w:rsidR="00AD5BB5">
        <w:tc>
          <w:tcPr>
            <w:tcW w:w="3878"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Chars="87" w:left="630" w:hangingChars="213" w:hanging="447"/>
              <w:rPr>
                <w:rFonts w:ascii="Arial" w:eastAsia="黑体" w:hAnsi="Arial" w:cs="Arial"/>
                <w:color w:val="000000"/>
                <w:szCs w:val="21"/>
              </w:rPr>
            </w:pPr>
            <w:r>
              <w:rPr>
                <w:rFonts w:ascii="Arial" w:eastAsia="黑体" w:hAnsi="Arial" w:cs="Arial"/>
                <w:snapToGrid w:val="0"/>
                <w:szCs w:val="21"/>
              </w:rPr>
              <w:t>—</w:t>
            </w:r>
            <w:r>
              <w:rPr>
                <w:rFonts w:ascii="Arial" w:eastAsia="黑体" w:hAnsi="Arial" w:cs="Arial"/>
                <w:snapToGrid w:val="0"/>
                <w:szCs w:val="21"/>
              </w:rPr>
              <w:t>以公允价值计量且其变动计入其他综合收益的发放贷款及垫款</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ind w:rightChars="6" w:right="13"/>
              <w:jc w:val="right"/>
              <w:rPr>
                <w:rFonts w:ascii="Arial" w:eastAsia="黑体" w:hAnsi="Arial" w:cs="Arial"/>
                <w:color w:val="000000"/>
                <w:szCs w:val="21"/>
              </w:rPr>
            </w:pPr>
            <w:r>
              <w:rPr>
                <w:rFonts w:ascii="Arial" w:eastAsia="黑体" w:hAnsi="Arial" w:cs="Arial"/>
                <w:color w:val="000000"/>
                <w:szCs w:val="21"/>
              </w:rPr>
              <w:t>(6,973,584.04</w:t>
            </w:r>
          </w:p>
        </w:tc>
        <w:tc>
          <w:tcPr>
            <w:tcW w:w="112"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210"/>
              <w:rPr>
                <w:rFonts w:ascii="Arial" w:eastAsia="黑体" w:hAnsi="Arial" w:cs="Arial"/>
                <w:szCs w:val="21"/>
              </w:rPr>
            </w:pPr>
            <w:r>
              <w:rPr>
                <w:rFonts w:ascii="Arial" w:eastAsia="黑体" w:hAnsi="Arial" w:cs="Arial"/>
                <w:szCs w:val="21"/>
              </w:rPr>
              <w:t>)</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29,607,347.05</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r>
      <w:tr w:rsidR="00AD5BB5">
        <w:tc>
          <w:tcPr>
            <w:tcW w:w="3878"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金融投资减值损失</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ind w:rightChars="6" w:right="13"/>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r>
      <w:tr w:rsidR="00AD5BB5">
        <w:tc>
          <w:tcPr>
            <w:tcW w:w="3878"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snapToGrid w:val="0"/>
                <w:szCs w:val="21"/>
              </w:rPr>
            </w:pPr>
            <w:r>
              <w:rPr>
                <w:rFonts w:ascii="Arial" w:eastAsia="黑体" w:hAnsi="Arial" w:cs="Arial"/>
                <w:snapToGrid w:val="0"/>
                <w:szCs w:val="21"/>
              </w:rPr>
              <w:t>—</w:t>
            </w:r>
            <w:r>
              <w:rPr>
                <w:rFonts w:ascii="Arial" w:eastAsia="黑体" w:hAnsi="Arial" w:cs="Arial"/>
                <w:snapToGrid w:val="0"/>
                <w:szCs w:val="21"/>
              </w:rPr>
              <w:t>债权投资</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auto" w:fill="auto"/>
            <w:noWrap/>
            <w:vAlign w:val="bottom"/>
          </w:tcPr>
          <w:p w:rsidR="00AD5BB5" w:rsidRDefault="00F87FF6">
            <w:pPr>
              <w:tabs>
                <w:tab w:val="left" w:pos="5812"/>
                <w:tab w:val="left" w:pos="5954"/>
              </w:tabs>
              <w:kinsoku w:val="0"/>
              <w:overflowPunct w:val="0"/>
              <w:autoSpaceDE w:val="0"/>
              <w:autoSpaceDN w:val="0"/>
              <w:adjustRightInd w:val="0"/>
              <w:snapToGrid w:val="0"/>
              <w:ind w:rightChars="6" w:right="13"/>
              <w:jc w:val="right"/>
              <w:rPr>
                <w:rFonts w:ascii="Arial" w:eastAsia="黑体" w:hAnsi="Arial" w:cs="Arial"/>
                <w:color w:val="000000"/>
                <w:szCs w:val="21"/>
              </w:rPr>
            </w:pPr>
            <w:r>
              <w:rPr>
                <w:rFonts w:ascii="Arial" w:eastAsia="黑体" w:hAnsi="Arial" w:cs="Arial"/>
                <w:color w:val="000000"/>
                <w:szCs w:val="21"/>
              </w:rPr>
              <w:t>93,168,252.69</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21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18,355,255.38</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snapToGrid w:val="0"/>
                <w:szCs w:val="21"/>
              </w:rPr>
            </w:pPr>
            <w:proofErr w:type="gramStart"/>
            <w:r>
              <w:rPr>
                <w:rFonts w:ascii="Arial" w:eastAsia="黑体" w:hAnsi="Arial" w:cs="Arial"/>
                <w:snapToGrid w:val="0"/>
                <w:szCs w:val="21"/>
              </w:rPr>
              <w:t>—</w:t>
            </w:r>
            <w:r>
              <w:rPr>
                <w:rFonts w:ascii="Arial" w:eastAsia="黑体" w:hAnsi="Arial" w:cs="Arial"/>
                <w:snapToGrid w:val="0"/>
                <w:szCs w:val="21"/>
              </w:rPr>
              <w:t>其他</w:t>
            </w:r>
            <w:proofErr w:type="gramEnd"/>
            <w:r>
              <w:rPr>
                <w:rFonts w:ascii="Arial" w:eastAsia="黑体" w:hAnsi="Arial" w:cs="Arial"/>
                <w:snapToGrid w:val="0"/>
                <w:szCs w:val="21"/>
              </w:rPr>
              <w:t>债权投资</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000000" w:fill="auto"/>
            <w:noWrap/>
            <w:vAlign w:val="bottom"/>
          </w:tcPr>
          <w:p w:rsidR="00AD5BB5" w:rsidRDefault="00F87FF6">
            <w:pPr>
              <w:tabs>
                <w:tab w:val="left" w:pos="5812"/>
                <w:tab w:val="left" w:pos="5954"/>
              </w:tabs>
              <w:kinsoku w:val="0"/>
              <w:overflowPunct w:val="0"/>
              <w:autoSpaceDE w:val="0"/>
              <w:autoSpaceDN w:val="0"/>
              <w:adjustRightInd w:val="0"/>
              <w:snapToGrid w:val="0"/>
              <w:ind w:rightChars="6" w:right="13"/>
              <w:jc w:val="right"/>
              <w:rPr>
                <w:rFonts w:ascii="Arial" w:eastAsia="黑体" w:hAnsi="Arial" w:cs="Arial"/>
                <w:color w:val="000000"/>
                <w:szCs w:val="21"/>
              </w:rPr>
            </w:pPr>
            <w:r>
              <w:rPr>
                <w:rFonts w:ascii="Arial" w:eastAsia="黑体" w:hAnsi="Arial" w:cs="Arial"/>
                <w:color w:val="000000"/>
                <w:szCs w:val="21"/>
              </w:rPr>
              <w:t>51,657,976.82</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20,417,229.98</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信用承诺</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000000" w:fill="auto"/>
            <w:noWrap/>
            <w:vAlign w:val="bottom"/>
          </w:tcPr>
          <w:p w:rsidR="00AD5BB5" w:rsidRDefault="00F87FF6">
            <w:pPr>
              <w:tabs>
                <w:tab w:val="left" w:pos="5812"/>
                <w:tab w:val="left" w:pos="5954"/>
              </w:tabs>
              <w:kinsoku w:val="0"/>
              <w:overflowPunct w:val="0"/>
              <w:autoSpaceDE w:val="0"/>
              <w:autoSpaceDN w:val="0"/>
              <w:adjustRightInd w:val="0"/>
              <w:snapToGrid w:val="0"/>
              <w:ind w:rightChars="6" w:right="13"/>
              <w:jc w:val="right"/>
              <w:rPr>
                <w:rFonts w:ascii="Arial" w:eastAsia="黑体" w:hAnsi="Arial" w:cs="Arial"/>
                <w:color w:val="000000"/>
                <w:szCs w:val="21"/>
              </w:rPr>
            </w:pPr>
            <w:r>
              <w:rPr>
                <w:rFonts w:ascii="Arial" w:eastAsia="黑体" w:hAnsi="Arial" w:cs="Arial"/>
              </w:rPr>
              <w:t>(160,974,434.37</w:t>
            </w:r>
          </w:p>
        </w:tc>
        <w:tc>
          <w:tcPr>
            <w:tcW w:w="112"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210"/>
              <w:rPr>
                <w:rFonts w:ascii="Arial" w:eastAsia="黑体" w:hAnsi="Arial" w:cs="Arial"/>
                <w:color w:val="000000"/>
                <w:szCs w:val="21"/>
              </w:rPr>
            </w:pPr>
            <w:r>
              <w:rPr>
                <w:rFonts w:ascii="Arial" w:eastAsia="黑体" w:hAnsi="Arial" w:cs="Arial"/>
                <w:color w:val="000000"/>
                <w:szCs w:val="21"/>
              </w:rPr>
              <w:t>)</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78,693,542.17</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000000" w:fill="auto"/>
            <w:noWrap/>
          </w:tcPr>
          <w:p w:rsidR="00AD5BB5" w:rsidRDefault="00F87FF6">
            <w:pPr>
              <w:kinsoku w:val="0"/>
              <w:overflowPunct w:val="0"/>
              <w:autoSpaceDE w:val="0"/>
              <w:autoSpaceDN w:val="0"/>
              <w:adjustRightInd w:val="0"/>
              <w:snapToGrid w:val="0"/>
              <w:ind w:left="210" w:hangingChars="100" w:hanging="210"/>
              <w:rPr>
                <w:rFonts w:ascii="Arial" w:eastAsia="黑体" w:hAnsi="Arial" w:cs="Arial"/>
                <w:snapToGrid w:val="0"/>
                <w:szCs w:val="21"/>
              </w:rPr>
            </w:pPr>
            <w:r>
              <w:rPr>
                <w:rFonts w:ascii="Arial" w:eastAsia="黑体" w:hAnsi="Arial" w:cs="Arial"/>
                <w:snapToGrid w:val="0"/>
                <w:szCs w:val="21"/>
              </w:rPr>
              <w:t>其他应收款减值损失</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single" w:sz="4" w:space="0" w:color="auto"/>
              <w:right w:val="nil"/>
            </w:tcBorders>
            <w:shd w:val="clear" w:color="000000" w:fill="auto"/>
            <w:noWrap/>
            <w:vAlign w:val="bottom"/>
          </w:tcPr>
          <w:p w:rsidR="00AD5BB5" w:rsidRDefault="00F87FF6">
            <w:pPr>
              <w:tabs>
                <w:tab w:val="left" w:pos="5812"/>
                <w:tab w:val="left" w:pos="5954"/>
              </w:tabs>
              <w:kinsoku w:val="0"/>
              <w:overflowPunct w:val="0"/>
              <w:autoSpaceDE w:val="0"/>
              <w:autoSpaceDN w:val="0"/>
              <w:adjustRightInd w:val="0"/>
              <w:snapToGrid w:val="0"/>
              <w:ind w:rightChars="6" w:right="13"/>
              <w:jc w:val="right"/>
              <w:rPr>
                <w:rFonts w:ascii="Arial" w:eastAsia="黑体" w:hAnsi="Arial" w:cs="Arial"/>
                <w:color w:val="000000"/>
                <w:szCs w:val="21"/>
              </w:rPr>
            </w:pPr>
            <w:r>
              <w:rPr>
                <w:rFonts w:ascii="Arial" w:eastAsia="黑体" w:hAnsi="Arial" w:cs="Arial"/>
                <w:color w:val="000000"/>
                <w:szCs w:val="21"/>
              </w:rPr>
              <w:t>9,069,852.37</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723,566.76</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7" w:type="dxa"/>
            <w:tcBorders>
              <w:top w:val="single" w:sz="4" w:space="0" w:color="auto"/>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r>
      <w:tr w:rsidR="00AD5BB5">
        <w:tc>
          <w:tcPr>
            <w:tcW w:w="387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合计</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7" w:type="dxa"/>
            <w:tcBorders>
              <w:top w:val="nil"/>
              <w:left w:val="nil"/>
              <w:bottom w:val="double" w:sz="4" w:space="0" w:color="auto"/>
              <w:right w:val="nil"/>
            </w:tcBorders>
            <w:shd w:val="clear" w:color="000000" w:fill="auto"/>
            <w:noWrap/>
            <w:vAlign w:val="bottom"/>
          </w:tcPr>
          <w:p w:rsidR="00AD5BB5" w:rsidRDefault="00F87FF6">
            <w:pPr>
              <w:tabs>
                <w:tab w:val="left" w:pos="5812"/>
                <w:tab w:val="left" w:pos="5954"/>
              </w:tabs>
              <w:kinsoku w:val="0"/>
              <w:overflowPunct w:val="0"/>
              <w:autoSpaceDE w:val="0"/>
              <w:autoSpaceDN w:val="0"/>
              <w:adjustRightInd w:val="0"/>
              <w:snapToGrid w:val="0"/>
              <w:ind w:rightChars="12" w:right="25"/>
              <w:jc w:val="right"/>
              <w:rPr>
                <w:rFonts w:ascii="Arial" w:eastAsia="黑体" w:hAnsi="Arial" w:cs="Arial"/>
                <w:color w:val="000000"/>
                <w:szCs w:val="21"/>
              </w:rPr>
            </w:pPr>
            <w:r>
              <w:rPr>
                <w:rFonts w:ascii="Arial" w:eastAsia="黑体" w:hAnsi="Arial" w:cs="Arial"/>
              </w:rPr>
              <w:t>189,822,834.39</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563,031,210.12</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bl>
    <w:p w:rsidR="00AD5BB5" w:rsidRDefault="00AD5BB5">
      <w:pPr>
        <w:overflowPunct w:val="0"/>
        <w:autoSpaceDE w:val="0"/>
        <w:autoSpaceDN w:val="0"/>
        <w:rPr>
          <w:rFonts w:ascii="Arial" w:eastAsia="黑体" w:hAnsi="Arial" w:cs="Arial"/>
          <w:bCs/>
          <w:snapToGrid w:val="0"/>
          <w:szCs w:val="21"/>
        </w:rPr>
      </w:pPr>
    </w:p>
    <w:p w:rsidR="00AD5BB5" w:rsidRDefault="00F87FF6">
      <w:pPr>
        <w:pStyle w:val="af5"/>
        <w:keepNext w:val="0"/>
        <w:keepLines w:val="0"/>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235" w:name="afsaddin_Section_fa5418b8dec74acbad3c49e"/>
      <w:r>
        <w:rPr>
          <w:rFonts w:ascii="Arial" w:eastAsia="黑体" w:hAnsi="Arial" w:cs="Arial" w:hint="default"/>
          <w:bCs w:val="0"/>
          <w:snapToGrid w:val="0"/>
          <w:color w:val="auto"/>
          <w:sz w:val="21"/>
          <w:szCs w:val="21"/>
        </w:rPr>
        <w:t>43.</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营业外收入</w:t>
      </w:r>
    </w:p>
    <w:bookmarkEnd w:id="235"/>
    <w:p w:rsidR="00AD5BB5" w:rsidRDefault="00AD5BB5">
      <w:pPr>
        <w:overflowPunct w:val="0"/>
        <w:autoSpaceDE w:val="0"/>
        <w:autoSpaceDN w:val="0"/>
        <w:rPr>
          <w:rFonts w:ascii="Arial" w:eastAsia="黑体" w:hAnsi="Arial" w:cs="Arial"/>
          <w:bCs/>
          <w:snapToGrid w:val="0"/>
          <w:szCs w:val="21"/>
        </w:rPr>
      </w:pPr>
    </w:p>
    <w:tbl>
      <w:tblPr>
        <w:tblW w:w="0" w:type="auto"/>
        <w:tblLayout w:type="fixed"/>
        <w:tblCellMar>
          <w:left w:w="0" w:type="dxa"/>
          <w:right w:w="0" w:type="dxa"/>
        </w:tblCellMar>
        <w:tblLook w:val="04A0" w:firstRow="1" w:lastRow="0" w:firstColumn="1" w:lastColumn="0" w:noHBand="0" w:noVBand="1"/>
        <w:tblCaption w:val="5e13e085-95bc-4768-ad0a-0e84c443b069"/>
        <w:tblDescription w:val="{&quot;UUID&quot;:&quot;afsaddin_tabledata_2_56437_5e13e085-95bc-4768-ad0a-0e84c443b069&quot;,&quot;TitleRowCount&quot;:2,&quot;SplitedTable&quot;:false,&quot;FirstTableId&quot;:&quot;5e13e085-95bc-4768-ad0a-0e84c443b069&quot;}"/>
      </w:tblPr>
      <w:tblGrid>
        <w:gridCol w:w="3878"/>
        <w:gridCol w:w="112"/>
        <w:gridCol w:w="1987"/>
        <w:gridCol w:w="112"/>
        <w:gridCol w:w="112"/>
        <w:gridCol w:w="1984"/>
        <w:gridCol w:w="112"/>
      </w:tblGrid>
      <w:tr w:rsidR="00AD5BB5">
        <w:tc>
          <w:tcPr>
            <w:tcW w:w="387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DOCPROPERTY </w:instrText>
            </w:r>
            <w:r>
              <w:rPr>
                <w:rFonts w:ascii="Arial" w:eastAsia="黑体" w:hAnsi="Arial" w:cs="Arial"/>
                <w:szCs w:val="21"/>
              </w:rPr>
              <w:instrText>当期会计期间</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fldChar w:fldCharType="end"/>
            </w:r>
            <w:r>
              <w:rPr>
                <w:rFonts w:ascii="Arial" w:eastAsia="黑体" w:hAnsi="Arial" w:cs="Arial"/>
                <w:szCs w:val="21"/>
              </w:rPr>
              <w:t>年</w:t>
            </w:r>
            <w:r>
              <w:rPr>
                <w:rFonts w:ascii="Arial" w:eastAsia="黑体" w:hAnsi="Arial" w:cs="Arial"/>
                <w:szCs w:val="21"/>
              </w:rPr>
              <w:t>1-6</w:t>
            </w:r>
            <w:r>
              <w:rPr>
                <w:rFonts w:ascii="Arial" w:eastAsia="黑体" w:hAnsi="Arial" w:cs="Arial"/>
                <w:szCs w:val="21"/>
              </w:rPr>
              <w:t>月</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DOCPROPERTY </w:instrText>
            </w:r>
            <w:r>
              <w:rPr>
                <w:rFonts w:ascii="Arial" w:eastAsia="黑体" w:hAnsi="Arial" w:cs="Arial"/>
                <w:szCs w:val="21"/>
              </w:rPr>
              <w:instrText>对比会计期间</w:instrText>
            </w:r>
            <w:r>
              <w:rPr>
                <w:rFonts w:ascii="Arial" w:eastAsia="黑体" w:hAnsi="Arial" w:cs="Arial"/>
                <w:szCs w:val="21"/>
              </w:rPr>
              <w:fldChar w:fldCharType="separate"/>
            </w:r>
            <w:r>
              <w:rPr>
                <w:rFonts w:ascii="Arial" w:eastAsia="黑体" w:hAnsi="Arial" w:cs="Arial"/>
                <w:szCs w:val="21"/>
              </w:rPr>
              <w:t>2022</w:t>
            </w:r>
            <w:r>
              <w:rPr>
                <w:rFonts w:ascii="Arial" w:eastAsia="黑体" w:hAnsi="Arial" w:cs="Arial"/>
                <w:szCs w:val="21"/>
              </w:rPr>
              <w:fldChar w:fldCharType="end"/>
            </w:r>
            <w:r>
              <w:rPr>
                <w:rFonts w:ascii="Arial" w:eastAsia="黑体" w:hAnsi="Arial" w:cs="Arial"/>
                <w:szCs w:val="21"/>
              </w:rPr>
              <w:t>年</w:t>
            </w:r>
            <w:r>
              <w:rPr>
                <w:rFonts w:ascii="Arial" w:eastAsia="黑体" w:hAnsi="Arial" w:cs="Arial"/>
                <w:szCs w:val="21"/>
              </w:rPr>
              <w:t>1-6</w:t>
            </w:r>
            <w:r>
              <w:rPr>
                <w:rFonts w:ascii="Arial" w:eastAsia="黑体" w:hAnsi="Arial" w:cs="Arial"/>
                <w:szCs w:val="21"/>
              </w:rPr>
              <w:t>月</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Chars="-46" w:left="14" w:hangingChars="53" w:hanging="111"/>
              <w:jc w:val="right"/>
              <w:rPr>
                <w:rFonts w:ascii="Arial" w:eastAsia="黑体" w:hAnsi="Arial" w:cs="Arial"/>
                <w:color w:val="000000"/>
                <w:szCs w:val="21"/>
              </w:rPr>
            </w:pPr>
          </w:p>
        </w:tc>
      </w:tr>
      <w:tr w:rsidR="00AD5BB5">
        <w:tc>
          <w:tcPr>
            <w:tcW w:w="387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7" w:type="dxa"/>
            <w:tcBorders>
              <w:top w:val="nil"/>
              <w:left w:val="nil"/>
              <w:bottom w:val="nil"/>
              <w:right w:val="nil"/>
            </w:tcBorders>
            <w:shd w:val="clear" w:color="000000" w:fill="auto"/>
            <w:noWrap/>
            <w:vAlign w:val="bottom"/>
          </w:tcPr>
          <w:p w:rsidR="00AD5BB5" w:rsidRDefault="00AD5BB5">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AD5BB5">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r>
      <w:tr w:rsidR="00AD5BB5">
        <w:tc>
          <w:tcPr>
            <w:tcW w:w="387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与日常活动无关的政府补助</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000000"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1,013,883.22</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986,086.02</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proofErr w:type="gramStart"/>
            <w:r>
              <w:rPr>
                <w:rFonts w:ascii="Arial" w:eastAsia="黑体" w:hAnsi="Arial" w:cs="Arial"/>
                <w:color w:val="000000"/>
                <w:szCs w:val="21"/>
              </w:rPr>
              <w:t>久悬未取款</w:t>
            </w:r>
            <w:proofErr w:type="gramEnd"/>
            <w:r>
              <w:rPr>
                <w:rFonts w:ascii="Arial" w:eastAsia="黑体" w:hAnsi="Arial" w:cs="Arial"/>
                <w:color w:val="000000"/>
                <w:szCs w:val="21"/>
              </w:rPr>
              <w:t>项收入</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000000"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7,536.66</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49,991.98</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bCs/>
                <w:snapToGrid w:val="0"/>
                <w:szCs w:val="21"/>
              </w:rPr>
              <w:t>其他</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single" w:sz="4" w:space="0" w:color="auto"/>
              <w:right w:val="nil"/>
            </w:tcBorders>
            <w:shd w:val="clear" w:color="000000"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354,647.30</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single" w:sz="4" w:space="0" w:color="auto"/>
              <w:right w:val="nil"/>
            </w:tcBorders>
            <w:shd w:val="clear" w:color="000000"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1,204,125.28</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7" w:type="dxa"/>
            <w:tcBorders>
              <w:top w:val="single" w:sz="4" w:space="0" w:color="auto"/>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single" w:sz="4" w:space="0" w:color="auto"/>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r>
      <w:tr w:rsidR="00AD5BB5">
        <w:tc>
          <w:tcPr>
            <w:tcW w:w="387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合计</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7" w:type="dxa"/>
            <w:tcBorders>
              <w:top w:val="nil"/>
              <w:left w:val="nil"/>
              <w:bottom w:val="double" w:sz="4" w:space="0" w:color="auto"/>
              <w:right w:val="nil"/>
            </w:tcBorders>
            <w:shd w:val="clear" w:color="000000"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1,376,067.18</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double" w:sz="4" w:space="0" w:color="auto"/>
              <w:right w:val="nil"/>
            </w:tcBorders>
            <w:shd w:val="clear" w:color="000000"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2,240,203.28</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bl>
    <w:p w:rsidR="00AD5BB5" w:rsidRDefault="00AD5BB5">
      <w:pPr>
        <w:overflowPunct w:val="0"/>
        <w:autoSpaceDE w:val="0"/>
        <w:autoSpaceDN w:val="0"/>
        <w:adjustRightInd w:val="0"/>
        <w:snapToGrid w:val="0"/>
        <w:textAlignment w:val="bottom"/>
        <w:rPr>
          <w:rFonts w:ascii="Arial" w:eastAsia="黑体" w:hAnsi="Arial" w:cs="Arial"/>
          <w:snapToGrid w:val="0"/>
          <w:szCs w:val="21"/>
        </w:rPr>
      </w:pPr>
    </w:p>
    <w:p w:rsidR="00AD5BB5" w:rsidRDefault="00F87FF6">
      <w:pPr>
        <w:pStyle w:val="af5"/>
        <w:keepNext w:val="0"/>
        <w:keepLines w:val="0"/>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236" w:name="afsaddin_Section_e9de2ffd668048488697df4"/>
      <w:r>
        <w:rPr>
          <w:rFonts w:ascii="Arial" w:eastAsia="黑体" w:hAnsi="Arial" w:cs="Arial" w:hint="default"/>
          <w:bCs w:val="0"/>
          <w:snapToGrid w:val="0"/>
          <w:color w:val="auto"/>
          <w:sz w:val="21"/>
          <w:szCs w:val="21"/>
        </w:rPr>
        <w:t>44.</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营业外支出</w:t>
      </w:r>
    </w:p>
    <w:bookmarkEnd w:id="236"/>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71361be7-d63a-4dce-9dbe-f3fa8231cac0"/>
        <w:tblDescription w:val="{&quot;UUID&quot;:&quot;afsaddin_tabledata_2_56437_71361be7-d63a-4dce-9dbe-f3fa8231cac0&quot;,&quot;TitleRowCount&quot;:2,&quot;SplitedTable&quot;:false,&quot;FirstTableId&quot;:&quot;71361be7-d63a-4dce-9dbe-f3fa8231cac0&quot;}"/>
      </w:tblPr>
      <w:tblGrid>
        <w:gridCol w:w="3878"/>
        <w:gridCol w:w="112"/>
        <w:gridCol w:w="1987"/>
        <w:gridCol w:w="112"/>
        <w:gridCol w:w="112"/>
        <w:gridCol w:w="1984"/>
        <w:gridCol w:w="112"/>
      </w:tblGrid>
      <w:tr w:rsidR="00AD5BB5">
        <w:tc>
          <w:tcPr>
            <w:tcW w:w="387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DOCPROPERTY </w:instrText>
            </w:r>
            <w:r>
              <w:rPr>
                <w:rFonts w:ascii="Arial" w:eastAsia="黑体" w:hAnsi="Arial" w:cs="Arial"/>
                <w:szCs w:val="21"/>
              </w:rPr>
              <w:instrText>当期会计期间</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fldChar w:fldCharType="end"/>
            </w:r>
            <w:r>
              <w:rPr>
                <w:rFonts w:ascii="Arial" w:eastAsia="黑体" w:hAnsi="Arial" w:cs="Arial"/>
                <w:szCs w:val="21"/>
              </w:rPr>
              <w:t>年</w:t>
            </w:r>
            <w:r>
              <w:rPr>
                <w:rFonts w:ascii="Arial" w:eastAsia="黑体" w:hAnsi="Arial" w:cs="Arial"/>
                <w:szCs w:val="21"/>
              </w:rPr>
              <w:t>1-6</w:t>
            </w:r>
            <w:r>
              <w:rPr>
                <w:rFonts w:ascii="Arial" w:eastAsia="黑体" w:hAnsi="Arial" w:cs="Arial"/>
                <w:szCs w:val="21"/>
              </w:rPr>
              <w:t>月</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DOCPROPERTY </w:instrText>
            </w:r>
            <w:r>
              <w:rPr>
                <w:rFonts w:ascii="Arial" w:eastAsia="黑体" w:hAnsi="Arial" w:cs="Arial"/>
                <w:szCs w:val="21"/>
              </w:rPr>
              <w:instrText>对比会计期间</w:instrText>
            </w:r>
            <w:r>
              <w:rPr>
                <w:rFonts w:ascii="Arial" w:eastAsia="黑体" w:hAnsi="Arial" w:cs="Arial"/>
                <w:szCs w:val="21"/>
              </w:rPr>
              <w:fldChar w:fldCharType="separate"/>
            </w:r>
            <w:r>
              <w:rPr>
                <w:rFonts w:ascii="Arial" w:eastAsia="黑体" w:hAnsi="Arial" w:cs="Arial"/>
                <w:szCs w:val="21"/>
              </w:rPr>
              <w:t>2022</w:t>
            </w:r>
            <w:r>
              <w:rPr>
                <w:rFonts w:ascii="Arial" w:eastAsia="黑体" w:hAnsi="Arial" w:cs="Arial"/>
                <w:szCs w:val="21"/>
              </w:rPr>
              <w:fldChar w:fldCharType="end"/>
            </w:r>
            <w:r>
              <w:rPr>
                <w:rFonts w:ascii="Arial" w:eastAsia="黑体" w:hAnsi="Arial" w:cs="Arial"/>
                <w:szCs w:val="21"/>
              </w:rPr>
              <w:t>年</w:t>
            </w:r>
            <w:r>
              <w:rPr>
                <w:rFonts w:ascii="Arial" w:eastAsia="黑体" w:hAnsi="Arial" w:cs="Arial"/>
                <w:szCs w:val="21"/>
              </w:rPr>
              <w:t>1-6</w:t>
            </w:r>
            <w:r>
              <w:rPr>
                <w:rFonts w:ascii="Arial" w:eastAsia="黑体" w:hAnsi="Arial" w:cs="Arial"/>
                <w:szCs w:val="21"/>
              </w:rPr>
              <w:t>月</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r>
      <w:tr w:rsidR="00AD5BB5">
        <w:tc>
          <w:tcPr>
            <w:tcW w:w="387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7" w:type="dxa"/>
            <w:tcBorders>
              <w:top w:val="nil"/>
              <w:left w:val="nil"/>
              <w:bottom w:val="nil"/>
              <w:right w:val="nil"/>
            </w:tcBorders>
            <w:shd w:val="clear" w:color="000000" w:fill="auto"/>
            <w:noWrap/>
            <w:vAlign w:val="bottom"/>
          </w:tcPr>
          <w:p w:rsidR="00AD5BB5" w:rsidRDefault="00AD5BB5">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AD5BB5">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r>
      <w:tr w:rsidR="00AD5BB5">
        <w:tc>
          <w:tcPr>
            <w:tcW w:w="3878" w:type="dxa"/>
            <w:tcBorders>
              <w:top w:val="nil"/>
              <w:left w:val="nil"/>
              <w:bottom w:val="nil"/>
              <w:right w:val="nil"/>
            </w:tcBorders>
            <w:shd w:val="clear" w:color="000000" w:fill="auto"/>
            <w:noWrap/>
            <w:vAlign w:val="center"/>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公益救济性捐赠支出</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000000"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908,000.00</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2,184,642.93</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000000" w:fill="auto"/>
            <w:noWrap/>
            <w:vAlign w:val="center"/>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其他</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single" w:sz="4" w:space="0" w:color="auto"/>
              <w:right w:val="nil"/>
            </w:tcBorders>
            <w:shd w:val="clear" w:color="000000"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2,604,463.15</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single" w:sz="4" w:space="0" w:color="auto"/>
              <w:right w:val="nil"/>
            </w:tcBorders>
            <w:shd w:val="clear" w:color="000000"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1,858,443.77</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7" w:type="dxa"/>
            <w:tcBorders>
              <w:top w:val="single" w:sz="4" w:space="0" w:color="auto"/>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single" w:sz="4" w:space="0" w:color="auto"/>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r>
      <w:tr w:rsidR="00AD5BB5">
        <w:tc>
          <w:tcPr>
            <w:tcW w:w="387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合计</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7" w:type="dxa"/>
            <w:tcBorders>
              <w:top w:val="nil"/>
              <w:left w:val="nil"/>
              <w:bottom w:val="double" w:sz="4" w:space="0" w:color="auto"/>
              <w:right w:val="nil"/>
            </w:tcBorders>
            <w:shd w:val="clear" w:color="000000"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3,512,463.15</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double" w:sz="4" w:space="0" w:color="auto"/>
              <w:right w:val="nil"/>
            </w:tcBorders>
            <w:shd w:val="clear" w:color="000000"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4,043,086.70</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bl>
    <w:p w:rsidR="00AD5BB5" w:rsidRDefault="00AD5BB5">
      <w:pPr>
        <w:overflowPunct w:val="0"/>
        <w:autoSpaceDE w:val="0"/>
        <w:autoSpaceDN w:val="0"/>
        <w:adjustRightInd w:val="0"/>
        <w:snapToGrid w:val="0"/>
        <w:ind w:left="720" w:hanging="720"/>
        <w:textAlignment w:val="bottom"/>
        <w:rPr>
          <w:rFonts w:ascii="Arial" w:eastAsia="黑体" w:hAnsi="Arial" w:cs="Arial"/>
          <w:b/>
          <w:bCs/>
          <w:snapToGrid w:val="0"/>
          <w:szCs w:val="21"/>
        </w:rPr>
      </w:pPr>
    </w:p>
    <w:p w:rsidR="00AD5BB5" w:rsidRDefault="00F87FF6">
      <w:pPr>
        <w:pStyle w:val="af5"/>
        <w:keepNext w:val="0"/>
        <w:keepLines w:val="0"/>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237" w:name="afsaddin_WithXu_5ea94235a2ec424e949eeba8"/>
      <w:bookmarkStart w:id="238" w:name="afsaddin_Section_8d50091bbcd0464891d0398"/>
      <w:bookmarkEnd w:id="237"/>
      <w:r>
        <w:rPr>
          <w:rFonts w:ascii="Arial" w:eastAsia="黑体" w:hAnsi="Arial" w:cs="Arial" w:hint="default"/>
          <w:bCs w:val="0"/>
          <w:snapToGrid w:val="0"/>
          <w:color w:val="auto"/>
          <w:sz w:val="21"/>
          <w:szCs w:val="21"/>
        </w:rPr>
        <w:t>45.</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所得税费用</w:t>
      </w:r>
    </w:p>
    <w:bookmarkEnd w:id="238"/>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d0eead1f-f35f-4249-9f1b-ad9326eeaf5c"/>
        <w:tblDescription w:val="{&quot;UUID&quot;:&quot;afsaddin_tabledata_2_56437_d0eead1f-f35f-4249-9f1b-ad9326eeaf5c&quot;,&quot;TitleRowCount&quot;:2,&quot;SplitedTable&quot;:false,&quot;FirstTableId&quot;:&quot;d0eead1f-f35f-4249-9f1b-ad9326eeaf5c&quot;}"/>
      </w:tblPr>
      <w:tblGrid>
        <w:gridCol w:w="3878"/>
        <w:gridCol w:w="112"/>
        <w:gridCol w:w="1987"/>
        <w:gridCol w:w="112"/>
        <w:gridCol w:w="112"/>
        <w:gridCol w:w="1984"/>
        <w:gridCol w:w="112"/>
      </w:tblGrid>
      <w:tr w:rsidR="00AD5BB5">
        <w:tc>
          <w:tcPr>
            <w:tcW w:w="3878"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DOCPROPERTY </w:instrText>
            </w:r>
            <w:r>
              <w:rPr>
                <w:rFonts w:ascii="Arial" w:eastAsia="黑体" w:hAnsi="Arial" w:cs="Arial"/>
                <w:szCs w:val="21"/>
              </w:rPr>
              <w:instrText>当期会计期间</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fldChar w:fldCharType="end"/>
            </w:r>
            <w:r>
              <w:rPr>
                <w:rFonts w:ascii="Arial" w:eastAsia="黑体" w:hAnsi="Arial" w:cs="Arial"/>
                <w:szCs w:val="21"/>
              </w:rPr>
              <w:t>年</w:t>
            </w:r>
            <w:r>
              <w:rPr>
                <w:rFonts w:ascii="Arial" w:eastAsia="黑体" w:hAnsi="Arial" w:cs="Arial"/>
                <w:szCs w:val="21"/>
              </w:rPr>
              <w:t>1-6</w:t>
            </w:r>
            <w:r>
              <w:rPr>
                <w:rFonts w:ascii="Arial" w:eastAsia="黑体" w:hAnsi="Arial" w:cs="Arial"/>
                <w:szCs w:val="21"/>
              </w:rPr>
              <w:t>月</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DOCPROPERTY </w:instrText>
            </w:r>
            <w:r>
              <w:rPr>
                <w:rFonts w:ascii="Arial" w:eastAsia="黑体" w:hAnsi="Arial" w:cs="Arial"/>
                <w:szCs w:val="21"/>
              </w:rPr>
              <w:instrText>对比会计期间</w:instrText>
            </w:r>
            <w:r>
              <w:rPr>
                <w:rFonts w:ascii="Arial" w:eastAsia="黑体" w:hAnsi="Arial" w:cs="Arial"/>
                <w:szCs w:val="21"/>
              </w:rPr>
              <w:fldChar w:fldCharType="separate"/>
            </w:r>
            <w:r>
              <w:rPr>
                <w:rFonts w:ascii="Arial" w:eastAsia="黑体" w:hAnsi="Arial" w:cs="Arial"/>
                <w:szCs w:val="21"/>
              </w:rPr>
              <w:t>2022</w:t>
            </w:r>
            <w:r>
              <w:rPr>
                <w:rFonts w:ascii="Arial" w:eastAsia="黑体" w:hAnsi="Arial" w:cs="Arial"/>
                <w:szCs w:val="21"/>
              </w:rPr>
              <w:fldChar w:fldCharType="end"/>
            </w:r>
            <w:r>
              <w:rPr>
                <w:rFonts w:ascii="Arial" w:eastAsia="黑体" w:hAnsi="Arial" w:cs="Arial"/>
                <w:szCs w:val="21"/>
              </w:rPr>
              <w:t>年</w:t>
            </w:r>
            <w:r>
              <w:rPr>
                <w:rFonts w:ascii="Arial" w:eastAsia="黑体" w:hAnsi="Arial" w:cs="Arial"/>
                <w:szCs w:val="21"/>
              </w:rPr>
              <w:t>1-6</w:t>
            </w:r>
            <w:r>
              <w:rPr>
                <w:rFonts w:ascii="Arial" w:eastAsia="黑体" w:hAnsi="Arial" w:cs="Arial"/>
                <w:szCs w:val="21"/>
              </w:rPr>
              <w:t>月</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r>
      <w:tr w:rsidR="00AD5BB5">
        <w:tc>
          <w:tcPr>
            <w:tcW w:w="3878"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7" w:type="dxa"/>
            <w:tcBorders>
              <w:top w:val="nil"/>
              <w:left w:val="nil"/>
              <w:bottom w:val="nil"/>
              <w:right w:val="nil"/>
            </w:tcBorders>
            <w:shd w:val="clear" w:color="000000" w:fill="auto"/>
            <w:noWrap/>
            <w:vAlign w:val="bottom"/>
          </w:tcPr>
          <w:p w:rsidR="00AD5BB5" w:rsidRDefault="00AD5BB5">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AD5BB5">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r>
      <w:tr w:rsidR="00AD5BB5">
        <w:tc>
          <w:tcPr>
            <w:tcW w:w="387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当期所得税费用</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53,977,274.76</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218,542,927.87</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递延所得税费用（附注五、</w:t>
            </w:r>
            <w:r>
              <w:rPr>
                <w:rFonts w:ascii="Arial" w:eastAsia="黑体" w:hAnsi="Arial" w:cs="Arial"/>
                <w:color w:val="000000"/>
                <w:szCs w:val="21"/>
              </w:rPr>
              <w:t>15</w:t>
            </w:r>
            <w:r>
              <w:rPr>
                <w:rFonts w:ascii="Arial" w:eastAsia="黑体" w:hAnsi="Arial" w:cs="Arial"/>
                <w:color w:val="000000"/>
                <w:szCs w:val="21"/>
              </w:rPr>
              <w:t>）</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rPr>
              <w:t>118,348,217.18</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(177,814,805.70</w:t>
            </w:r>
          </w:p>
        </w:tc>
        <w:tc>
          <w:tcPr>
            <w:tcW w:w="112"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210"/>
              <w:rPr>
                <w:rFonts w:ascii="Arial" w:eastAsia="黑体" w:hAnsi="Arial" w:cs="Arial"/>
                <w:color w:val="000000"/>
                <w:szCs w:val="21"/>
              </w:rPr>
            </w:pPr>
            <w:r>
              <w:rPr>
                <w:rFonts w:ascii="Arial" w:eastAsia="黑体" w:hAnsi="Arial" w:cs="Arial"/>
                <w:color w:val="000000"/>
                <w:szCs w:val="21"/>
              </w:rPr>
              <w:t>)</w:t>
            </w:r>
          </w:p>
        </w:tc>
      </w:tr>
      <w:tr w:rsidR="00AD5BB5">
        <w:tc>
          <w:tcPr>
            <w:tcW w:w="387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7" w:type="dxa"/>
            <w:tcBorders>
              <w:top w:val="single" w:sz="4" w:space="0" w:color="auto"/>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single" w:sz="4" w:space="0" w:color="auto"/>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r>
      <w:tr w:rsidR="00AD5BB5">
        <w:tc>
          <w:tcPr>
            <w:tcW w:w="3878"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合计</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7" w:type="dxa"/>
            <w:tcBorders>
              <w:top w:val="nil"/>
              <w:left w:val="nil"/>
              <w:bottom w:val="double" w:sz="4" w:space="0" w:color="auto"/>
              <w:right w:val="nil"/>
            </w:tcBorders>
            <w:shd w:val="clear" w:color="000000" w:fill="auto"/>
            <w:noWrap/>
            <w:vAlign w:val="bottom"/>
          </w:tcPr>
          <w:p w:rsidR="00AD5BB5" w:rsidRDefault="00F87FF6">
            <w:pPr>
              <w:tabs>
                <w:tab w:val="left" w:pos="5812"/>
                <w:tab w:val="left" w:pos="5954"/>
              </w:tabs>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rPr>
              <w:t>172,325,491.94</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40,728,122.17</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bl>
    <w:p w:rsidR="00AD5BB5" w:rsidRDefault="00F87FF6">
      <w:pPr>
        <w:rPr>
          <w:rFonts w:ascii="Arial" w:eastAsia="黑体" w:hAnsi="Arial" w:cs="Arial"/>
          <w:szCs w:val="21"/>
        </w:rPr>
      </w:pPr>
      <w:r>
        <w:rPr>
          <w:rFonts w:ascii="Arial" w:eastAsia="黑体" w:hAnsi="Arial" w:cs="Arial"/>
          <w:szCs w:val="21"/>
        </w:rPr>
        <w:br w:type="page"/>
      </w:r>
    </w:p>
    <w:p w:rsidR="00AD5BB5" w:rsidRDefault="00AD5BB5">
      <w:pPr>
        <w:overflowPunct w:val="0"/>
        <w:autoSpaceDE w:val="0"/>
        <w:autoSpaceDN w:val="0"/>
        <w:rPr>
          <w:rFonts w:ascii="Arial" w:eastAsia="黑体" w:hAnsi="Arial" w:cs="Arial"/>
          <w:szCs w:val="21"/>
        </w:rPr>
      </w:pPr>
    </w:p>
    <w:p w:rsidR="00AD5BB5" w:rsidRDefault="00AD5BB5">
      <w:pPr>
        <w:overflowPunct w:val="0"/>
        <w:autoSpaceDE w:val="0"/>
        <w:autoSpaceDN w:val="0"/>
        <w:rPr>
          <w:rFonts w:ascii="Arial" w:eastAsia="黑体" w:hAnsi="Arial" w:cs="Arial"/>
          <w:szCs w:val="21"/>
        </w:rPr>
      </w:pPr>
    </w:p>
    <w:p w:rsidR="00AD5BB5" w:rsidRDefault="00F87FF6">
      <w:pPr>
        <w:overflowPunct w:val="0"/>
        <w:autoSpaceDE w:val="0"/>
        <w:autoSpaceDN w:val="0"/>
        <w:rPr>
          <w:rFonts w:ascii="Arial" w:eastAsia="黑体" w:hAnsi="Arial" w:cs="Arial"/>
          <w:b/>
          <w:szCs w:val="21"/>
        </w:rPr>
      </w:pPr>
      <w:bookmarkStart w:id="239" w:name="afsaddin_WithXu_abb0b7c5d2b64f399d673362"/>
      <w:r>
        <w:rPr>
          <w:rFonts w:ascii="Arial" w:eastAsia="黑体" w:hAnsi="Arial" w:cs="Arial"/>
          <w:b/>
          <w:szCs w:val="21"/>
        </w:rPr>
        <w:t>五、</w:t>
      </w:r>
      <w:r>
        <w:rPr>
          <w:rFonts w:ascii="Arial" w:eastAsia="黑体" w:hAnsi="Arial" w:cs="Arial"/>
          <w:b/>
          <w:szCs w:val="21"/>
        </w:rPr>
        <w:tab/>
      </w:r>
      <w:r>
        <w:rPr>
          <w:rFonts w:ascii="Arial" w:eastAsia="黑体" w:hAnsi="Arial" w:cs="Arial"/>
          <w:b/>
          <w:szCs w:val="21"/>
        </w:rPr>
        <w:t>合并财务报表主要项目注释（续）</w:t>
      </w:r>
      <w:bookmarkEnd w:id="239"/>
    </w:p>
    <w:p w:rsidR="00AD5BB5" w:rsidRDefault="00AD5BB5">
      <w:pPr>
        <w:overflowPunct w:val="0"/>
        <w:autoSpaceDE w:val="0"/>
        <w:autoSpaceDN w:val="0"/>
        <w:rPr>
          <w:rFonts w:ascii="Arial" w:eastAsia="黑体" w:hAnsi="Arial" w:cs="Arial"/>
          <w:szCs w:val="21"/>
        </w:rPr>
      </w:pPr>
    </w:p>
    <w:p w:rsidR="00AD5BB5" w:rsidRDefault="00F87FF6">
      <w:pPr>
        <w:overflowPunct w:val="0"/>
        <w:autoSpaceDE w:val="0"/>
        <w:autoSpaceDN w:val="0"/>
        <w:ind w:left="720" w:hanging="720"/>
        <w:rPr>
          <w:rFonts w:ascii="Arial" w:eastAsia="黑体" w:hAnsi="Arial" w:cs="Arial"/>
          <w:b/>
          <w:szCs w:val="21"/>
        </w:rPr>
      </w:pPr>
      <w:bookmarkStart w:id="240" w:name="afsaddin_WithXu_873adff63ca442569f4a97ad"/>
      <w:r>
        <w:rPr>
          <w:rFonts w:ascii="Arial" w:eastAsia="黑体" w:hAnsi="Arial" w:cs="Arial"/>
          <w:b/>
          <w:szCs w:val="21"/>
        </w:rPr>
        <w:t>45.</w:t>
      </w:r>
      <w:r>
        <w:rPr>
          <w:rFonts w:ascii="Arial" w:eastAsia="黑体" w:hAnsi="Arial" w:cs="Arial"/>
          <w:b/>
          <w:szCs w:val="21"/>
        </w:rPr>
        <w:tab/>
      </w:r>
      <w:r>
        <w:rPr>
          <w:rFonts w:ascii="Arial" w:eastAsia="黑体" w:hAnsi="Arial" w:cs="Arial"/>
          <w:b/>
          <w:szCs w:val="21"/>
        </w:rPr>
        <w:t>所得税费用（续）</w:t>
      </w:r>
      <w:bookmarkEnd w:id="240"/>
    </w:p>
    <w:p w:rsidR="00AD5BB5" w:rsidRDefault="00AD5BB5">
      <w:pPr>
        <w:overflowPunct w:val="0"/>
        <w:autoSpaceDE w:val="0"/>
        <w:autoSpaceDN w:val="0"/>
        <w:rPr>
          <w:rFonts w:ascii="Arial" w:eastAsia="黑体" w:hAnsi="Arial" w:cs="Arial"/>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所得税费用与利润总额的关系列示如下：</w:t>
      </w:r>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5c1eed5e-3839-4dba-a21b-d575143e8246"/>
        <w:tblDescription w:val="{&quot;UUID&quot;:&quot;afsaddin_tabledata_2_56437_5c1eed5e-3839-4dba-a21b-d575143e8246&quot;,&quot;TitleRowCount&quot;:2,&quot;SplitedTable&quot;:false,&quot;FirstTableId&quot;:&quot;5c1eed5e-3839-4dba-a21b-d575143e8246&quot;}"/>
      </w:tblPr>
      <w:tblGrid>
        <w:gridCol w:w="3878"/>
        <w:gridCol w:w="112"/>
        <w:gridCol w:w="1987"/>
        <w:gridCol w:w="112"/>
        <w:gridCol w:w="112"/>
        <w:gridCol w:w="1984"/>
        <w:gridCol w:w="112"/>
      </w:tblGrid>
      <w:tr w:rsidR="00AD5BB5">
        <w:tc>
          <w:tcPr>
            <w:tcW w:w="3878"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DOCPROPERTY </w:instrText>
            </w:r>
            <w:r>
              <w:rPr>
                <w:rFonts w:ascii="Arial" w:eastAsia="黑体" w:hAnsi="Arial" w:cs="Arial"/>
                <w:szCs w:val="21"/>
              </w:rPr>
              <w:instrText>当期会计期间</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fldChar w:fldCharType="end"/>
            </w:r>
            <w:r>
              <w:rPr>
                <w:rFonts w:ascii="Arial" w:eastAsia="黑体" w:hAnsi="Arial" w:cs="Arial"/>
                <w:szCs w:val="21"/>
              </w:rPr>
              <w:t>年</w:t>
            </w:r>
            <w:r>
              <w:rPr>
                <w:rFonts w:ascii="Arial" w:eastAsia="黑体" w:hAnsi="Arial" w:cs="Arial"/>
                <w:szCs w:val="21"/>
              </w:rPr>
              <w:t>1-6</w:t>
            </w:r>
            <w:r>
              <w:rPr>
                <w:rFonts w:ascii="Arial" w:eastAsia="黑体" w:hAnsi="Arial" w:cs="Arial"/>
                <w:szCs w:val="21"/>
              </w:rPr>
              <w:t>月</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DOCPROPERTY </w:instrText>
            </w:r>
            <w:r>
              <w:rPr>
                <w:rFonts w:ascii="Arial" w:eastAsia="黑体" w:hAnsi="Arial" w:cs="Arial"/>
                <w:szCs w:val="21"/>
              </w:rPr>
              <w:instrText>对比会计期间</w:instrText>
            </w:r>
            <w:r>
              <w:rPr>
                <w:rFonts w:ascii="Arial" w:eastAsia="黑体" w:hAnsi="Arial" w:cs="Arial"/>
                <w:szCs w:val="21"/>
              </w:rPr>
              <w:fldChar w:fldCharType="separate"/>
            </w:r>
            <w:r>
              <w:rPr>
                <w:rFonts w:ascii="Arial" w:eastAsia="黑体" w:hAnsi="Arial" w:cs="Arial"/>
                <w:szCs w:val="21"/>
              </w:rPr>
              <w:t>2022</w:t>
            </w:r>
            <w:r>
              <w:rPr>
                <w:rFonts w:ascii="Arial" w:eastAsia="黑体" w:hAnsi="Arial" w:cs="Arial"/>
                <w:szCs w:val="21"/>
              </w:rPr>
              <w:fldChar w:fldCharType="end"/>
            </w:r>
            <w:r>
              <w:rPr>
                <w:rFonts w:ascii="Arial" w:eastAsia="黑体" w:hAnsi="Arial" w:cs="Arial"/>
                <w:szCs w:val="21"/>
              </w:rPr>
              <w:t>年</w:t>
            </w:r>
            <w:r>
              <w:rPr>
                <w:rFonts w:ascii="Arial" w:eastAsia="黑体" w:hAnsi="Arial" w:cs="Arial"/>
                <w:szCs w:val="21"/>
              </w:rPr>
              <w:t>1-6</w:t>
            </w:r>
            <w:r>
              <w:rPr>
                <w:rFonts w:ascii="Arial" w:eastAsia="黑体" w:hAnsi="Arial" w:cs="Arial"/>
                <w:szCs w:val="21"/>
              </w:rPr>
              <w:t>月</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r>
      <w:tr w:rsidR="00AD5BB5">
        <w:tc>
          <w:tcPr>
            <w:tcW w:w="3878"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7" w:type="dxa"/>
            <w:tcBorders>
              <w:top w:val="nil"/>
              <w:left w:val="nil"/>
              <w:bottom w:val="nil"/>
              <w:right w:val="nil"/>
            </w:tcBorders>
            <w:shd w:val="clear" w:color="000000" w:fill="auto"/>
            <w:noWrap/>
            <w:vAlign w:val="bottom"/>
          </w:tcPr>
          <w:p w:rsidR="00AD5BB5" w:rsidRDefault="00AD5BB5">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AD5BB5">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r>
      <w:tr w:rsidR="00AD5BB5">
        <w:tc>
          <w:tcPr>
            <w:tcW w:w="387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利润总额</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rPr>
              <w:t>1,647,336,956.46</w:t>
            </w:r>
          </w:p>
        </w:tc>
        <w:tc>
          <w:tcPr>
            <w:tcW w:w="112"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1,302,450,020.98</w:t>
            </w:r>
          </w:p>
        </w:tc>
        <w:tc>
          <w:tcPr>
            <w:tcW w:w="112"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000000" w:fill="auto"/>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000000" w:fill="auto"/>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按法定税率计算的所得税费用</w:t>
            </w:r>
            <w:r>
              <w:rPr>
                <w:rFonts w:ascii="Arial" w:eastAsia="黑体" w:hAnsi="Arial" w:cs="Arial"/>
                <w:color w:val="000000"/>
                <w:szCs w:val="21"/>
              </w:rPr>
              <w:t>(25%)</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rPr>
              <w:t>411,834,239.12</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325,612,505.25</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000000" w:fill="auto"/>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不可抵扣支出</w:t>
            </w:r>
            <w:r>
              <w:rPr>
                <w:rFonts w:ascii="Arial" w:eastAsia="黑体" w:hAnsi="Arial" w:cs="Arial"/>
                <w:color w:val="000000"/>
                <w:szCs w:val="21"/>
              </w:rPr>
              <w:t xml:space="preserve"> (i)</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8,792,102.36</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3,220,033.53</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000000" w:fill="auto"/>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免税收入的影响</w:t>
            </w:r>
            <w:r>
              <w:rPr>
                <w:rFonts w:ascii="Arial" w:eastAsia="黑体" w:hAnsi="Arial" w:cs="Arial"/>
                <w:color w:val="000000"/>
                <w:szCs w:val="21"/>
              </w:rPr>
              <w:t xml:space="preserve"> (ii)</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(370,606,669.01</w:t>
            </w:r>
          </w:p>
        </w:tc>
        <w:tc>
          <w:tcPr>
            <w:tcW w:w="112"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Cs w:val="21"/>
              </w:rPr>
            </w:pPr>
            <w:r>
              <w:rPr>
                <w:rFonts w:ascii="Arial" w:eastAsia="黑体" w:hAnsi="Arial" w:cs="Arial"/>
                <w:color w:val="000000"/>
                <w:szCs w:val="21"/>
              </w:rPr>
              <w:t>)</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(304,364,158.55</w:t>
            </w:r>
          </w:p>
        </w:tc>
        <w:tc>
          <w:tcPr>
            <w:tcW w:w="112"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210"/>
              <w:rPr>
                <w:rFonts w:ascii="Arial" w:eastAsia="黑体" w:hAnsi="Arial" w:cs="Arial"/>
                <w:color w:val="000000"/>
                <w:szCs w:val="21"/>
              </w:rPr>
            </w:pPr>
            <w:r>
              <w:rPr>
                <w:rFonts w:ascii="Arial" w:eastAsia="黑体" w:hAnsi="Arial" w:cs="Arial"/>
                <w:color w:val="000000"/>
                <w:szCs w:val="21"/>
              </w:rPr>
              <w:t>)</w:t>
            </w:r>
          </w:p>
        </w:tc>
      </w:tr>
      <w:tr w:rsidR="00AD5BB5">
        <w:tc>
          <w:tcPr>
            <w:tcW w:w="387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以前年度调整</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(10,633,300.84</w:t>
            </w:r>
          </w:p>
        </w:tc>
        <w:tc>
          <w:tcPr>
            <w:tcW w:w="112"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Cs w:val="21"/>
              </w:rPr>
            </w:pPr>
            <w:r>
              <w:rPr>
                <w:rFonts w:ascii="Arial" w:eastAsia="黑体" w:hAnsi="Arial" w:cs="Arial"/>
                <w:color w:val="000000"/>
                <w:szCs w:val="21"/>
              </w:rPr>
              <w:t>)</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(1,430,342.85</w:t>
            </w:r>
          </w:p>
        </w:tc>
        <w:tc>
          <w:tcPr>
            <w:tcW w:w="112"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right="210"/>
              <w:rPr>
                <w:rFonts w:ascii="Arial" w:eastAsia="黑体" w:hAnsi="Arial" w:cs="Arial"/>
                <w:color w:val="000000"/>
                <w:szCs w:val="21"/>
              </w:rPr>
            </w:pPr>
            <w:r>
              <w:rPr>
                <w:rFonts w:ascii="Arial" w:eastAsia="黑体" w:hAnsi="Arial" w:cs="Arial"/>
                <w:color w:val="000000"/>
                <w:szCs w:val="21"/>
              </w:rPr>
              <w:t>)</w:t>
            </w:r>
          </w:p>
        </w:tc>
      </w:tr>
      <w:tr w:rsidR="00AD5BB5">
        <w:tc>
          <w:tcPr>
            <w:tcW w:w="387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其他</w:t>
            </w:r>
            <w:r>
              <w:rPr>
                <w:rFonts w:ascii="Arial" w:eastAsia="黑体" w:hAnsi="Arial" w:cs="Arial"/>
                <w:szCs w:val="21"/>
              </w:rPr>
              <w:t xml:space="preserve"> (iii)</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7"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rPr>
              <w:t>132,939,120.31</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17,690,084.79</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r>
      <w:tr w:rsidR="00AD5BB5">
        <w:tc>
          <w:tcPr>
            <w:tcW w:w="3878"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所得税费用</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rPr>
              <w:t>172,325,491.94</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40,728,122.17</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bl>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snapToGrid w:val="0"/>
          <w:szCs w:val="21"/>
        </w:rPr>
      </w:pPr>
      <w:r>
        <w:rPr>
          <w:rFonts w:ascii="Arial" w:eastAsia="黑体" w:hAnsi="Arial" w:cs="Arial"/>
          <w:snapToGrid w:val="0"/>
          <w:szCs w:val="21"/>
        </w:rPr>
        <w:t>(i)</w:t>
      </w:r>
      <w:r>
        <w:rPr>
          <w:rFonts w:ascii="Arial" w:eastAsia="黑体" w:hAnsi="Arial" w:cs="Arial"/>
          <w:snapToGrid w:val="0"/>
          <w:szCs w:val="21"/>
        </w:rPr>
        <w:tab/>
      </w:r>
      <w:r>
        <w:rPr>
          <w:rFonts w:ascii="Arial" w:eastAsia="黑体" w:hAnsi="Arial" w:cs="Arial"/>
          <w:snapToGrid w:val="0"/>
          <w:szCs w:val="21"/>
        </w:rPr>
        <w:t>不可抵扣支出主要是按税法规定不可税前抵扣的业务招待费等。</w:t>
      </w:r>
    </w:p>
    <w:p w:rsidR="00AD5BB5" w:rsidRDefault="00AD5BB5">
      <w:pPr>
        <w:overflowPunct w:val="0"/>
        <w:autoSpaceDE w:val="0"/>
        <w:autoSpaceDN w:val="0"/>
        <w:ind w:left="720" w:hanging="72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snapToGrid w:val="0"/>
          <w:szCs w:val="21"/>
        </w:rPr>
      </w:pPr>
      <w:r>
        <w:rPr>
          <w:rFonts w:ascii="Arial" w:eastAsia="黑体" w:hAnsi="Arial" w:cs="Arial"/>
          <w:snapToGrid w:val="0"/>
          <w:szCs w:val="21"/>
        </w:rPr>
        <w:t>(ii)</w:t>
      </w:r>
      <w:r>
        <w:rPr>
          <w:rFonts w:ascii="Arial" w:eastAsia="黑体" w:hAnsi="Arial" w:cs="Arial"/>
          <w:snapToGrid w:val="0"/>
          <w:szCs w:val="21"/>
        </w:rPr>
        <w:tab/>
      </w:r>
      <w:r>
        <w:rPr>
          <w:rFonts w:ascii="Arial" w:eastAsia="黑体" w:hAnsi="Arial" w:cs="Arial"/>
          <w:snapToGrid w:val="0"/>
          <w:szCs w:val="21"/>
        </w:rPr>
        <w:t>免税收入主要为中国国家债券和地方政府债券的利息收入。</w:t>
      </w:r>
    </w:p>
    <w:p w:rsidR="00AD5BB5" w:rsidRDefault="00AD5BB5">
      <w:pPr>
        <w:overflowPunct w:val="0"/>
        <w:autoSpaceDE w:val="0"/>
        <w:autoSpaceDN w:val="0"/>
        <w:ind w:left="720" w:hanging="72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snapToGrid w:val="0"/>
          <w:szCs w:val="21"/>
        </w:rPr>
      </w:pPr>
      <w:r>
        <w:rPr>
          <w:rFonts w:ascii="Arial" w:eastAsia="黑体" w:hAnsi="Arial" w:cs="Arial"/>
          <w:snapToGrid w:val="0"/>
          <w:szCs w:val="21"/>
        </w:rPr>
        <w:t>(iii)</w:t>
      </w:r>
      <w:r>
        <w:rPr>
          <w:rFonts w:ascii="Arial" w:eastAsia="黑体" w:hAnsi="Arial" w:cs="Arial"/>
          <w:snapToGrid w:val="0"/>
          <w:szCs w:val="21"/>
        </w:rPr>
        <w:tab/>
      </w:r>
      <w:r>
        <w:rPr>
          <w:rFonts w:ascii="Arial" w:eastAsia="黑体" w:hAnsi="Arial" w:cs="Arial"/>
          <w:snapToGrid w:val="0"/>
          <w:szCs w:val="21"/>
        </w:rPr>
        <w:t>其他主要为其他权益工具按照永续债利</w:t>
      </w:r>
      <w:proofErr w:type="gramStart"/>
      <w:r>
        <w:rPr>
          <w:rFonts w:ascii="Arial" w:eastAsia="黑体" w:hAnsi="Arial" w:cs="Arial"/>
          <w:snapToGrid w:val="0"/>
          <w:szCs w:val="21"/>
        </w:rPr>
        <w:t>息</w:t>
      </w:r>
      <w:proofErr w:type="gramEnd"/>
      <w:r>
        <w:rPr>
          <w:rFonts w:ascii="Arial" w:eastAsia="黑体" w:hAnsi="Arial" w:cs="Arial"/>
          <w:snapToGrid w:val="0"/>
          <w:szCs w:val="21"/>
        </w:rPr>
        <w:t>适用企业所得税政策进行扣除，及未确认递延所得税资产的贷款核销损失或资产减值准备。其中，未确认递延所得税资产的贷款核销损失或资产减值准备所对应的资产的核销损失在可预见未来达到税法相关规定的所得税前列支条件存在不确定性。</w:t>
      </w:r>
    </w:p>
    <w:p w:rsidR="00AD5BB5" w:rsidRDefault="00AD5BB5">
      <w:pPr>
        <w:overflowPunct w:val="0"/>
        <w:autoSpaceDE w:val="0"/>
        <w:autoSpaceDN w:val="0"/>
        <w:ind w:left="720" w:hanging="720"/>
        <w:rPr>
          <w:rFonts w:ascii="Arial" w:eastAsia="黑体" w:hAnsi="Arial" w:cs="Arial"/>
          <w:snapToGrid w:val="0"/>
          <w:szCs w:val="21"/>
        </w:rPr>
      </w:pPr>
    </w:p>
    <w:p w:rsidR="00AD5BB5" w:rsidRDefault="00F87FF6">
      <w:pPr>
        <w:pStyle w:val="af5"/>
        <w:keepNext w:val="0"/>
        <w:keepLines w:val="0"/>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241" w:name="afsaddin_Section_182be3c849444078885175d"/>
      <w:r>
        <w:rPr>
          <w:rFonts w:ascii="Arial" w:eastAsia="黑体" w:hAnsi="Arial" w:cs="Arial" w:hint="default"/>
          <w:bCs w:val="0"/>
          <w:snapToGrid w:val="0"/>
          <w:color w:val="auto"/>
          <w:sz w:val="21"/>
          <w:szCs w:val="21"/>
        </w:rPr>
        <w:t>46.</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每股收益</w:t>
      </w:r>
    </w:p>
    <w:bookmarkEnd w:id="241"/>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3be60d9c-0b06-4256-972c-4476ae776572"/>
        <w:tblDescription w:val="{&quot;UUID&quot;:&quot;afsaddin_tabledata_2_56437_3be60d9c-0b06-4256-972c-4476ae776572&quot;,&quot;TitleRowCount&quot;:3,&quot;SplitedTable&quot;:false,&quot;FirstTableId&quot;:&quot;3be60d9c-0b06-4256-972c-4476ae776572&quot;}"/>
      </w:tblPr>
      <w:tblGrid>
        <w:gridCol w:w="3878"/>
        <w:gridCol w:w="112"/>
        <w:gridCol w:w="1987"/>
        <w:gridCol w:w="112"/>
        <w:gridCol w:w="112"/>
        <w:gridCol w:w="1984"/>
        <w:gridCol w:w="112"/>
      </w:tblGrid>
      <w:tr w:rsidR="00AD5BB5">
        <w:tc>
          <w:tcPr>
            <w:tcW w:w="3878"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DOCPROPERTY </w:instrText>
            </w:r>
            <w:r>
              <w:rPr>
                <w:rFonts w:ascii="Arial" w:eastAsia="黑体" w:hAnsi="Arial" w:cs="Arial"/>
                <w:szCs w:val="21"/>
              </w:rPr>
              <w:instrText>当期会计期间</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fldChar w:fldCharType="end"/>
            </w:r>
            <w:r>
              <w:rPr>
                <w:rFonts w:ascii="Arial" w:eastAsia="黑体" w:hAnsi="Arial" w:cs="Arial"/>
                <w:szCs w:val="21"/>
              </w:rPr>
              <w:t>年</w:t>
            </w:r>
            <w:r>
              <w:rPr>
                <w:rFonts w:ascii="Arial" w:eastAsia="黑体" w:hAnsi="Arial" w:cs="Arial"/>
                <w:szCs w:val="21"/>
              </w:rPr>
              <w:t>1-6</w:t>
            </w:r>
            <w:r>
              <w:rPr>
                <w:rFonts w:ascii="Arial" w:eastAsia="黑体" w:hAnsi="Arial" w:cs="Arial"/>
                <w:szCs w:val="21"/>
              </w:rPr>
              <w:t>月</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DOCPROPERTY </w:instrText>
            </w:r>
            <w:r>
              <w:rPr>
                <w:rFonts w:ascii="Arial" w:eastAsia="黑体" w:hAnsi="Arial" w:cs="Arial"/>
                <w:szCs w:val="21"/>
              </w:rPr>
              <w:instrText>对比会计期间</w:instrText>
            </w:r>
            <w:r>
              <w:rPr>
                <w:rFonts w:ascii="Arial" w:eastAsia="黑体" w:hAnsi="Arial" w:cs="Arial"/>
                <w:szCs w:val="21"/>
              </w:rPr>
              <w:fldChar w:fldCharType="separate"/>
            </w:r>
            <w:r>
              <w:rPr>
                <w:rFonts w:ascii="Arial" w:eastAsia="黑体" w:hAnsi="Arial" w:cs="Arial"/>
                <w:szCs w:val="21"/>
              </w:rPr>
              <w:t>2022</w:t>
            </w:r>
            <w:r>
              <w:rPr>
                <w:rFonts w:ascii="Arial" w:eastAsia="黑体" w:hAnsi="Arial" w:cs="Arial"/>
                <w:szCs w:val="21"/>
              </w:rPr>
              <w:fldChar w:fldCharType="end"/>
            </w:r>
            <w:r>
              <w:rPr>
                <w:rFonts w:ascii="Arial" w:eastAsia="黑体" w:hAnsi="Arial" w:cs="Arial"/>
                <w:szCs w:val="21"/>
              </w:rPr>
              <w:t>年</w:t>
            </w:r>
            <w:r>
              <w:rPr>
                <w:rFonts w:ascii="Arial" w:eastAsia="黑体" w:hAnsi="Arial" w:cs="Arial"/>
                <w:szCs w:val="21"/>
              </w:rPr>
              <w:t>1-6</w:t>
            </w:r>
            <w:r>
              <w:rPr>
                <w:rFonts w:ascii="Arial" w:eastAsia="黑体" w:hAnsi="Arial" w:cs="Arial"/>
                <w:szCs w:val="21"/>
              </w:rPr>
              <w:t>月</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r>
      <w:tr w:rsidR="00AD5BB5">
        <w:tc>
          <w:tcPr>
            <w:tcW w:w="3878"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7" w:type="dxa"/>
            <w:tcBorders>
              <w:top w:val="nil"/>
              <w:left w:val="nil"/>
              <w:bottom w:val="nil"/>
              <w:right w:val="nil"/>
            </w:tcBorders>
            <w:shd w:val="clear" w:color="000000"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元</w:t>
            </w:r>
            <w:r>
              <w:rPr>
                <w:rFonts w:ascii="Arial" w:eastAsia="黑体" w:hAnsi="Arial" w:cs="Arial"/>
                <w:color w:val="000000"/>
                <w:szCs w:val="21"/>
              </w:rPr>
              <w:t>/</w:t>
            </w:r>
            <w:r>
              <w:rPr>
                <w:rFonts w:ascii="Arial" w:eastAsia="黑体" w:hAnsi="Arial" w:cs="Arial"/>
                <w:color w:val="000000"/>
                <w:szCs w:val="21"/>
              </w:rPr>
              <w:t>股</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元</w:t>
            </w:r>
            <w:r>
              <w:rPr>
                <w:rFonts w:ascii="Arial" w:eastAsia="黑体" w:hAnsi="Arial" w:cs="Arial"/>
                <w:color w:val="000000"/>
                <w:szCs w:val="21"/>
              </w:rPr>
              <w:t>/</w:t>
            </w:r>
            <w:r>
              <w:rPr>
                <w:rFonts w:ascii="Arial" w:eastAsia="黑体" w:hAnsi="Arial" w:cs="Arial"/>
                <w:color w:val="000000"/>
                <w:szCs w:val="21"/>
              </w:rPr>
              <w:t>股</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r>
      <w:tr w:rsidR="00AD5BB5">
        <w:tc>
          <w:tcPr>
            <w:tcW w:w="3878"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7" w:type="dxa"/>
            <w:tcBorders>
              <w:top w:val="nil"/>
              <w:left w:val="nil"/>
              <w:bottom w:val="nil"/>
              <w:right w:val="nil"/>
            </w:tcBorders>
            <w:shd w:val="clear" w:color="000000" w:fill="auto"/>
            <w:noWrap/>
            <w:vAlign w:val="bottom"/>
          </w:tcPr>
          <w:p w:rsidR="00AD5BB5" w:rsidRDefault="00AD5BB5">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AD5BB5">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r>
      <w:tr w:rsidR="00AD5BB5">
        <w:tc>
          <w:tcPr>
            <w:tcW w:w="387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基本每股收益</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r>
      <w:tr w:rsidR="00AD5BB5">
        <w:tc>
          <w:tcPr>
            <w:tcW w:w="387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color w:val="000000"/>
                <w:szCs w:val="21"/>
              </w:rPr>
            </w:pPr>
            <w:r>
              <w:rPr>
                <w:rFonts w:ascii="Arial" w:eastAsia="黑体" w:hAnsi="Arial" w:cs="Arial"/>
                <w:color w:val="000000"/>
                <w:szCs w:val="21"/>
              </w:rPr>
              <w:t>持续经营</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double" w:sz="4" w:space="0" w:color="auto"/>
              <w:right w:val="nil"/>
            </w:tcBorders>
            <w:shd w:val="clear" w:color="000000"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0.51</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double" w:sz="4" w:space="0" w:color="auto"/>
              <w:right w:val="nil"/>
            </w:tcBorders>
            <w:shd w:val="clear" w:color="000000"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0.44</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稀释每股收益</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double" w:sz="4" w:space="0" w:color="auto"/>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double" w:sz="4" w:space="0" w:color="auto"/>
              <w:left w:val="nil"/>
              <w:bottom w:val="nil"/>
              <w:right w:val="nil"/>
            </w:tcBorders>
            <w:shd w:val="clear" w:color="auto" w:fill="auto"/>
            <w:noWrap/>
            <w:vAlign w:val="bottom"/>
          </w:tcPr>
          <w:p w:rsidR="00AD5BB5" w:rsidRDefault="00AD5BB5">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r>
      <w:tr w:rsidR="00AD5BB5">
        <w:tc>
          <w:tcPr>
            <w:tcW w:w="387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Chars="82" w:left="382" w:hangingChars="100" w:hanging="210"/>
              <w:rPr>
                <w:rFonts w:ascii="Arial" w:eastAsia="黑体" w:hAnsi="Arial" w:cs="Arial"/>
                <w:color w:val="000000"/>
                <w:szCs w:val="21"/>
              </w:rPr>
            </w:pPr>
            <w:r>
              <w:rPr>
                <w:rFonts w:ascii="Arial" w:eastAsia="黑体" w:hAnsi="Arial" w:cs="Arial"/>
                <w:color w:val="000000"/>
                <w:szCs w:val="21"/>
              </w:rPr>
              <w:t>持续经营</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double" w:sz="4" w:space="0" w:color="auto"/>
              <w:right w:val="nil"/>
            </w:tcBorders>
            <w:shd w:val="clear" w:color="000000"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0.51</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double" w:sz="4" w:space="0" w:color="auto"/>
              <w:right w:val="nil"/>
            </w:tcBorders>
            <w:shd w:val="clear" w:color="000000" w:fill="auto"/>
            <w:noWrap/>
            <w:vAlign w:val="bottom"/>
          </w:tcPr>
          <w:p w:rsidR="00AD5BB5" w:rsidRDefault="00F87FF6">
            <w:pPr>
              <w:tabs>
                <w:tab w:val="left" w:pos="5812"/>
                <w:tab w:val="left" w:pos="5954"/>
              </w:tabs>
              <w:kinsoku w:val="0"/>
              <w:overflowPunct w:val="0"/>
              <w:autoSpaceDE w:val="0"/>
              <w:autoSpaceDN w:val="0"/>
              <w:adjustRightInd w:val="0"/>
              <w:snapToGrid w:val="0"/>
              <w:ind w:rightChars="29" w:right="61"/>
              <w:jc w:val="right"/>
              <w:rPr>
                <w:rFonts w:ascii="Arial" w:eastAsia="黑体" w:hAnsi="Arial" w:cs="Arial"/>
                <w:color w:val="000000"/>
                <w:szCs w:val="21"/>
              </w:rPr>
            </w:pPr>
            <w:r>
              <w:rPr>
                <w:rFonts w:ascii="Arial" w:eastAsia="黑体" w:hAnsi="Arial" w:cs="Arial"/>
                <w:color w:val="000000"/>
                <w:szCs w:val="21"/>
              </w:rPr>
              <w:t>0.44</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bl>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overflowPunct w:val="0"/>
        <w:autoSpaceDE w:val="0"/>
        <w:autoSpaceDN w:val="0"/>
        <w:adjustRightInd w:val="0"/>
        <w:snapToGrid w:val="0"/>
        <w:rPr>
          <w:rFonts w:ascii="Arial" w:eastAsia="黑体" w:hAnsi="Arial" w:cs="Arial"/>
          <w:snapToGrid w:val="0"/>
          <w:szCs w:val="21"/>
        </w:rPr>
      </w:pPr>
      <w:bookmarkStart w:id="242" w:name="afsaddin_WithXu_bc802f5078044518a5453b67"/>
      <w:bookmarkStart w:id="243" w:name="afsaddin_WithXu_6ac7789c186f41b0ba49b50e"/>
      <w:bookmarkEnd w:id="242"/>
      <w:bookmarkEnd w:id="243"/>
      <w:r>
        <w:rPr>
          <w:rFonts w:ascii="Arial" w:eastAsia="黑体" w:hAnsi="Arial" w:cs="Arial"/>
          <w:snapToGrid w:val="0"/>
          <w:szCs w:val="21"/>
        </w:rPr>
        <w:t>基本每股收益按照归属于本行普通股股东的当期净利润，除以发行在外普通股的加权平均数计算。</w:t>
      </w:r>
    </w:p>
    <w:p w:rsidR="00AD5BB5" w:rsidRDefault="00AD5BB5">
      <w:pPr>
        <w:overflowPunct w:val="0"/>
        <w:autoSpaceDE w:val="0"/>
        <w:autoSpaceDN w:val="0"/>
        <w:adjustRightInd w:val="0"/>
        <w:snapToGrid w:val="0"/>
        <w:ind w:left="720" w:hanging="720"/>
        <w:textAlignment w:val="bottom"/>
        <w:rPr>
          <w:rFonts w:ascii="Arial" w:eastAsia="黑体" w:hAnsi="Arial" w:cs="Arial"/>
          <w:b/>
          <w:bCs/>
          <w:snapToGrid w:val="0"/>
          <w:szCs w:val="21"/>
        </w:rPr>
      </w:pPr>
    </w:p>
    <w:p w:rsidR="00AD5BB5" w:rsidRDefault="00F87FF6">
      <w:pPr>
        <w:overflowPunct w:val="0"/>
        <w:autoSpaceDE w:val="0"/>
        <w:autoSpaceDN w:val="0"/>
        <w:adjustRightInd w:val="0"/>
        <w:snapToGrid w:val="0"/>
        <w:rPr>
          <w:rFonts w:ascii="Arial" w:eastAsia="黑体" w:hAnsi="Arial" w:cs="Arial"/>
          <w:snapToGrid w:val="0"/>
          <w:szCs w:val="21"/>
        </w:rPr>
      </w:pPr>
      <w:r>
        <w:rPr>
          <w:rFonts w:ascii="Arial" w:eastAsia="黑体" w:hAnsi="Arial" w:cs="Arial"/>
          <w:snapToGrid w:val="0"/>
          <w:szCs w:val="21"/>
        </w:rPr>
        <w:t>本集团无稀释性潜在普通股。</w:t>
      </w:r>
      <w:r>
        <w:rPr>
          <w:rFonts w:ascii="Arial" w:eastAsia="黑体" w:hAnsi="Arial" w:cs="Arial"/>
          <w:snapToGrid w:val="0"/>
          <w:sz w:val="22"/>
          <w:szCs w:val="21"/>
        </w:rPr>
        <w:br w:type="page"/>
      </w:r>
    </w:p>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overflowPunct w:val="0"/>
        <w:autoSpaceDE w:val="0"/>
        <w:autoSpaceDN w:val="0"/>
        <w:adjustRightInd w:val="0"/>
        <w:snapToGrid w:val="0"/>
        <w:rPr>
          <w:rFonts w:ascii="Arial" w:eastAsia="黑体" w:hAnsi="Arial" w:cs="Arial"/>
          <w:b/>
          <w:snapToGrid w:val="0"/>
          <w:szCs w:val="21"/>
        </w:rPr>
      </w:pPr>
      <w:bookmarkStart w:id="244" w:name="afsaddin_WithXu_08757c0dea8b4bd7a9d6615a"/>
      <w:r>
        <w:rPr>
          <w:rFonts w:ascii="Arial" w:eastAsia="黑体" w:hAnsi="Arial" w:cs="Arial"/>
          <w:b/>
          <w:snapToGrid w:val="0"/>
          <w:szCs w:val="21"/>
        </w:rPr>
        <w:t>五、</w:t>
      </w:r>
      <w:r>
        <w:rPr>
          <w:rFonts w:ascii="Arial" w:eastAsia="黑体" w:hAnsi="Arial" w:cs="Arial"/>
          <w:b/>
          <w:snapToGrid w:val="0"/>
          <w:szCs w:val="21"/>
        </w:rPr>
        <w:tab/>
      </w:r>
      <w:r>
        <w:rPr>
          <w:rFonts w:ascii="Arial" w:eastAsia="黑体" w:hAnsi="Arial" w:cs="Arial"/>
          <w:b/>
          <w:snapToGrid w:val="0"/>
          <w:szCs w:val="21"/>
        </w:rPr>
        <w:t>合并财务报表主要项目注释（续）</w:t>
      </w:r>
      <w:bookmarkEnd w:id="244"/>
    </w:p>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overflowPunct w:val="0"/>
        <w:autoSpaceDE w:val="0"/>
        <w:autoSpaceDN w:val="0"/>
        <w:adjustRightInd w:val="0"/>
        <w:snapToGrid w:val="0"/>
        <w:ind w:left="720" w:hanging="720"/>
        <w:rPr>
          <w:rFonts w:ascii="Arial" w:eastAsia="黑体" w:hAnsi="Arial" w:cs="Arial"/>
          <w:b/>
          <w:snapToGrid w:val="0"/>
          <w:szCs w:val="21"/>
        </w:rPr>
      </w:pPr>
      <w:bookmarkStart w:id="245" w:name="afsaddin_WithXu_2a8c3552040c4bb4847d24b4"/>
      <w:r>
        <w:rPr>
          <w:rFonts w:ascii="Arial" w:eastAsia="黑体" w:hAnsi="Arial" w:cs="Arial"/>
          <w:b/>
          <w:snapToGrid w:val="0"/>
          <w:szCs w:val="21"/>
        </w:rPr>
        <w:t>46.</w:t>
      </w:r>
      <w:r>
        <w:rPr>
          <w:rFonts w:ascii="Arial" w:eastAsia="黑体" w:hAnsi="Arial" w:cs="Arial"/>
          <w:b/>
          <w:snapToGrid w:val="0"/>
          <w:szCs w:val="21"/>
        </w:rPr>
        <w:tab/>
      </w:r>
      <w:r>
        <w:rPr>
          <w:rFonts w:ascii="Arial" w:eastAsia="黑体" w:hAnsi="Arial" w:cs="Arial"/>
          <w:b/>
          <w:snapToGrid w:val="0"/>
          <w:szCs w:val="21"/>
        </w:rPr>
        <w:t>每股收益（续）</w:t>
      </w:r>
      <w:bookmarkEnd w:id="245"/>
    </w:p>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基本每股收益与稀释每股收益的具体计算如下：</w:t>
      </w:r>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c6636179-e22a-417f-8bcf-7dad52993862"/>
        <w:tblDescription w:val="{&quot;UUID&quot;:&quot;afsaddin_tabledata_2_56437_c6636179-e22a-417f-8bcf-7dad52993862&quot;,&quot;TitleRowCount&quot;:2,&quot;SplitedTable&quot;:false,&quot;FirstTableId&quot;:&quot;c6636179-e22a-417f-8bcf-7dad52993862&quot;}"/>
      </w:tblPr>
      <w:tblGrid>
        <w:gridCol w:w="3906"/>
        <w:gridCol w:w="113"/>
        <w:gridCol w:w="2001"/>
        <w:gridCol w:w="113"/>
        <w:gridCol w:w="113"/>
        <w:gridCol w:w="1998"/>
        <w:gridCol w:w="113"/>
      </w:tblGrid>
      <w:tr w:rsidR="00AD5BB5">
        <w:tc>
          <w:tcPr>
            <w:tcW w:w="3906"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001"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DOCPROPERTY </w:instrText>
            </w:r>
            <w:r>
              <w:rPr>
                <w:rFonts w:ascii="Arial" w:eastAsia="黑体" w:hAnsi="Arial" w:cs="Arial"/>
                <w:szCs w:val="21"/>
              </w:rPr>
              <w:instrText>当期会计期间</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fldChar w:fldCharType="end"/>
            </w:r>
            <w:r>
              <w:rPr>
                <w:rFonts w:ascii="Arial" w:eastAsia="黑体" w:hAnsi="Arial" w:cs="Arial"/>
                <w:szCs w:val="21"/>
              </w:rPr>
              <w:t>年</w:t>
            </w:r>
            <w:r>
              <w:rPr>
                <w:rFonts w:ascii="Arial" w:eastAsia="黑体" w:hAnsi="Arial" w:cs="Arial"/>
                <w:szCs w:val="21"/>
              </w:rPr>
              <w:t>1-6</w:t>
            </w:r>
            <w:r>
              <w:rPr>
                <w:rFonts w:ascii="Arial" w:eastAsia="黑体" w:hAnsi="Arial" w:cs="Arial"/>
                <w:szCs w:val="21"/>
              </w:rPr>
              <w:t>月</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99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DOCPROPERTY </w:instrText>
            </w:r>
            <w:r>
              <w:rPr>
                <w:rFonts w:ascii="Arial" w:eastAsia="黑体" w:hAnsi="Arial" w:cs="Arial"/>
                <w:szCs w:val="21"/>
              </w:rPr>
              <w:instrText>对比会计期间</w:instrText>
            </w:r>
            <w:r>
              <w:rPr>
                <w:rFonts w:ascii="Arial" w:eastAsia="黑体" w:hAnsi="Arial" w:cs="Arial"/>
                <w:szCs w:val="21"/>
              </w:rPr>
              <w:fldChar w:fldCharType="separate"/>
            </w:r>
            <w:r>
              <w:rPr>
                <w:rFonts w:ascii="Arial" w:eastAsia="黑体" w:hAnsi="Arial" w:cs="Arial"/>
                <w:szCs w:val="21"/>
              </w:rPr>
              <w:t>2022</w:t>
            </w:r>
            <w:r>
              <w:rPr>
                <w:rFonts w:ascii="Arial" w:eastAsia="黑体" w:hAnsi="Arial" w:cs="Arial"/>
                <w:szCs w:val="21"/>
              </w:rPr>
              <w:fldChar w:fldCharType="end"/>
            </w:r>
            <w:r>
              <w:rPr>
                <w:rFonts w:ascii="Arial" w:eastAsia="黑体" w:hAnsi="Arial" w:cs="Arial"/>
                <w:szCs w:val="21"/>
              </w:rPr>
              <w:t>年</w:t>
            </w:r>
            <w:r>
              <w:rPr>
                <w:rFonts w:ascii="Arial" w:eastAsia="黑体" w:hAnsi="Arial" w:cs="Arial"/>
                <w:szCs w:val="21"/>
              </w:rPr>
              <w:t>1-6</w:t>
            </w:r>
            <w:r>
              <w:rPr>
                <w:rFonts w:ascii="Arial" w:eastAsia="黑体" w:hAnsi="Arial" w:cs="Arial"/>
                <w:szCs w:val="21"/>
              </w:rPr>
              <w:t>月</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r>
      <w:tr w:rsidR="00AD5BB5">
        <w:tc>
          <w:tcPr>
            <w:tcW w:w="3906"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001"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rightChars="32" w:right="67"/>
              <w:jc w:val="right"/>
              <w:rPr>
                <w:rFonts w:ascii="Arial" w:eastAsia="黑体" w:hAnsi="Arial" w:cs="Arial"/>
                <w:color w:val="000000"/>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998"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r>
      <w:tr w:rsidR="00AD5BB5">
        <w:tc>
          <w:tcPr>
            <w:tcW w:w="3906"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color w:val="000000"/>
                <w:szCs w:val="21"/>
              </w:rPr>
              <w:t>收益</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00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32" w:right="67"/>
              <w:jc w:val="right"/>
              <w:rPr>
                <w:rFonts w:ascii="Arial" w:eastAsia="黑体" w:hAnsi="Arial" w:cs="Arial"/>
                <w:color w:val="000000"/>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9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r>
      <w:tr w:rsidR="00AD5BB5">
        <w:tc>
          <w:tcPr>
            <w:tcW w:w="3906" w:type="dxa"/>
            <w:tcBorders>
              <w:top w:val="nil"/>
              <w:left w:val="nil"/>
              <w:bottom w:val="nil"/>
              <w:right w:val="nil"/>
            </w:tcBorders>
            <w:shd w:val="clear" w:color="auto" w:fill="auto"/>
            <w:noWrap/>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color w:val="000000"/>
                <w:szCs w:val="21"/>
              </w:rPr>
            </w:pPr>
            <w:r>
              <w:rPr>
                <w:rFonts w:ascii="Arial" w:eastAsia="黑体" w:hAnsi="Arial" w:cs="Arial"/>
                <w:color w:val="000000"/>
                <w:szCs w:val="21"/>
              </w:rPr>
              <w:t>归属于母公司股东的当期净利润</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001" w:type="dxa"/>
            <w:tcBorders>
              <w:top w:val="nil"/>
              <w:left w:val="nil"/>
              <w:bottom w:val="doub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5" w:right="10"/>
              <w:jc w:val="right"/>
              <w:rPr>
                <w:rFonts w:ascii="Arial" w:eastAsia="黑体" w:hAnsi="Arial" w:cs="Arial"/>
                <w:color w:val="000000"/>
                <w:szCs w:val="21"/>
              </w:rPr>
            </w:pPr>
            <w:r>
              <w:rPr>
                <w:rFonts w:ascii="Arial" w:eastAsia="黑体" w:hAnsi="Arial" w:cs="Arial"/>
              </w:rPr>
              <w:t>1,428,441,057.75</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98" w:type="dxa"/>
            <w:tcBorders>
              <w:top w:val="nil"/>
              <w:left w:val="nil"/>
              <w:bottom w:val="doub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4" w:right="8"/>
              <w:jc w:val="right"/>
              <w:rPr>
                <w:rFonts w:ascii="Arial" w:eastAsia="黑体" w:hAnsi="Arial" w:cs="Arial"/>
                <w:color w:val="000000"/>
                <w:szCs w:val="21"/>
              </w:rPr>
            </w:pPr>
            <w:r>
              <w:rPr>
                <w:rFonts w:ascii="Arial" w:eastAsia="黑体" w:hAnsi="Arial" w:cs="Arial"/>
                <w:color w:val="000000"/>
                <w:szCs w:val="21"/>
              </w:rPr>
              <w:t>1,232,285,900.62</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906"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Chars="88" w:left="815" w:hangingChars="300" w:hanging="630"/>
              <w:rPr>
                <w:rFonts w:ascii="Arial" w:eastAsia="黑体" w:hAnsi="Arial" w:cs="Arial"/>
                <w:color w:val="000000"/>
                <w:szCs w:val="21"/>
              </w:rPr>
            </w:pPr>
            <w:r>
              <w:rPr>
                <w:rFonts w:ascii="Arial" w:eastAsia="黑体" w:hAnsi="Arial" w:cs="Arial"/>
                <w:color w:val="000000"/>
                <w:szCs w:val="21"/>
              </w:rPr>
              <w:t>减：母公司永续债利息</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001" w:type="dxa"/>
            <w:tcBorders>
              <w:top w:val="double" w:sz="4" w:space="0" w:color="auto"/>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5" w:right="10"/>
              <w:jc w:val="right"/>
              <w:rPr>
                <w:rFonts w:ascii="Arial" w:eastAsia="黑体" w:hAnsi="Arial" w:cs="Arial"/>
                <w:color w:val="000000"/>
                <w:szCs w:val="21"/>
              </w:rPr>
            </w:pPr>
            <w:r>
              <w:rPr>
                <w:rFonts w:ascii="Arial" w:eastAsia="黑体" w:hAnsi="Arial" w:cs="Arial"/>
              </w:rPr>
              <w:t>(72,000,000.00</w:t>
            </w:r>
          </w:p>
        </w:tc>
        <w:tc>
          <w:tcPr>
            <w:tcW w:w="113"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Chars="-2" w:left="74" w:hangingChars="37" w:hanging="78"/>
              <w:rPr>
                <w:rFonts w:ascii="Arial" w:eastAsia="黑体" w:hAnsi="Arial" w:cs="Arial"/>
                <w:color w:val="000000"/>
                <w:szCs w:val="21"/>
              </w:rPr>
            </w:pPr>
            <w:r>
              <w:rPr>
                <w:rFonts w:ascii="Arial" w:eastAsia="黑体" w:hAnsi="Arial" w:cs="Arial"/>
              </w:rPr>
              <w:t>)</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98" w:type="dxa"/>
            <w:tcBorders>
              <w:top w:val="double" w:sz="4" w:space="0" w:color="auto"/>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4" w:right="8"/>
              <w:jc w:val="right"/>
              <w:rPr>
                <w:rFonts w:ascii="Arial" w:eastAsia="黑体" w:hAnsi="Arial" w:cs="Arial"/>
                <w:color w:val="000000"/>
                <w:szCs w:val="21"/>
              </w:rPr>
            </w:pPr>
            <w:r>
              <w:rPr>
                <w:rFonts w:ascii="Arial" w:eastAsia="黑体" w:hAnsi="Arial" w:cs="Arial"/>
                <w:color w:val="000000"/>
                <w:szCs w:val="21"/>
              </w:rPr>
              <w:t>(72,000,000.00</w:t>
            </w:r>
          </w:p>
        </w:tc>
        <w:tc>
          <w:tcPr>
            <w:tcW w:w="113"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Cs w:val="21"/>
              </w:rPr>
            </w:pPr>
            <w:r>
              <w:rPr>
                <w:rFonts w:ascii="Arial" w:eastAsia="黑体" w:hAnsi="Arial" w:cs="Arial"/>
                <w:color w:val="000000"/>
                <w:szCs w:val="21"/>
              </w:rPr>
              <w:t>)</w:t>
            </w:r>
          </w:p>
        </w:tc>
      </w:tr>
      <w:tr w:rsidR="00AD5BB5">
        <w:tc>
          <w:tcPr>
            <w:tcW w:w="3906"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Chars="88" w:left="395" w:hangingChars="100" w:hanging="210"/>
              <w:rPr>
                <w:rFonts w:ascii="Arial" w:eastAsia="黑体" w:hAnsi="Arial" w:cs="Arial"/>
                <w:color w:val="000000"/>
                <w:szCs w:val="21"/>
              </w:rPr>
            </w:pPr>
            <w:r>
              <w:rPr>
                <w:rFonts w:ascii="Arial" w:eastAsia="黑体" w:hAnsi="Arial" w:cs="Arial"/>
                <w:color w:val="000000"/>
                <w:szCs w:val="21"/>
              </w:rPr>
              <w:t>归属于母公司普通股股东的当期净利润</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001"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rightChars="5" w:right="10"/>
              <w:jc w:val="right"/>
              <w:rPr>
                <w:rFonts w:ascii="Arial" w:eastAsia="黑体" w:hAnsi="Arial" w:cs="Arial"/>
                <w:color w:val="000000"/>
                <w:szCs w:val="21"/>
              </w:rPr>
            </w:pPr>
            <w:r>
              <w:rPr>
                <w:rFonts w:ascii="Arial" w:eastAsia="黑体" w:hAnsi="Arial" w:cs="Arial"/>
              </w:rPr>
              <w:t>1,356,441,057.75</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98"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rightChars="4" w:right="8"/>
              <w:jc w:val="right"/>
              <w:rPr>
                <w:rFonts w:ascii="Arial" w:eastAsia="黑体" w:hAnsi="Arial" w:cs="Arial"/>
                <w:color w:val="000000"/>
                <w:szCs w:val="21"/>
              </w:rPr>
            </w:pPr>
            <w:r>
              <w:rPr>
                <w:rFonts w:ascii="Arial" w:eastAsia="黑体" w:hAnsi="Arial" w:cs="Arial"/>
                <w:color w:val="000000"/>
                <w:szCs w:val="21"/>
              </w:rPr>
              <w:t>1,160,285,900.62</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906"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股份</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001" w:type="dxa"/>
            <w:tcBorders>
              <w:top w:val="doub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rightChars="5" w:right="10"/>
              <w:jc w:val="right"/>
              <w:rPr>
                <w:rFonts w:ascii="Arial" w:eastAsia="黑体" w:hAnsi="Arial" w:cs="Arial"/>
                <w:color w:val="000000"/>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98" w:type="dxa"/>
            <w:tcBorders>
              <w:top w:val="doub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rightChars="4" w:right="8"/>
              <w:jc w:val="right"/>
              <w:rPr>
                <w:rFonts w:ascii="Arial" w:eastAsia="黑体" w:hAnsi="Arial" w:cs="Arial"/>
                <w:color w:val="000000"/>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906"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Chars="82" w:left="382" w:hangingChars="100" w:hanging="210"/>
              <w:rPr>
                <w:rFonts w:ascii="Arial" w:eastAsia="黑体" w:hAnsi="Arial" w:cs="Arial"/>
                <w:color w:val="000000"/>
                <w:szCs w:val="21"/>
              </w:rPr>
            </w:pPr>
            <w:r>
              <w:rPr>
                <w:rFonts w:ascii="Arial" w:eastAsia="黑体" w:hAnsi="Arial" w:cs="Arial"/>
                <w:color w:val="000000"/>
                <w:szCs w:val="21"/>
              </w:rPr>
              <w:t>本集团发行在外普通股的加权</w:t>
            </w:r>
          </w:p>
          <w:p w:rsidR="00AD5BB5" w:rsidRDefault="00F87FF6">
            <w:pPr>
              <w:kinsoku w:val="0"/>
              <w:overflowPunct w:val="0"/>
              <w:autoSpaceDE w:val="0"/>
              <w:autoSpaceDN w:val="0"/>
              <w:adjustRightInd w:val="0"/>
              <w:snapToGrid w:val="0"/>
              <w:ind w:leftChars="170" w:left="567" w:hangingChars="100" w:hanging="210"/>
              <w:rPr>
                <w:rFonts w:ascii="Arial" w:eastAsia="黑体" w:hAnsi="Arial" w:cs="Arial"/>
                <w:color w:val="000000"/>
                <w:szCs w:val="21"/>
              </w:rPr>
            </w:pPr>
            <w:r>
              <w:rPr>
                <w:rFonts w:ascii="Arial" w:eastAsia="黑体" w:hAnsi="Arial" w:cs="Arial"/>
                <w:color w:val="000000"/>
                <w:szCs w:val="21"/>
              </w:rPr>
              <w:t>平均数（股）</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001" w:type="dxa"/>
            <w:tcBorders>
              <w:top w:val="nil"/>
              <w:left w:val="nil"/>
              <w:bottom w:val="doub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5" w:right="10"/>
              <w:jc w:val="right"/>
              <w:rPr>
                <w:rFonts w:ascii="Arial" w:eastAsia="黑体" w:hAnsi="Arial" w:cs="Arial"/>
                <w:color w:val="000000"/>
                <w:szCs w:val="21"/>
              </w:rPr>
            </w:pPr>
            <w:r>
              <w:rPr>
                <w:rFonts w:ascii="Arial" w:eastAsia="黑体" w:hAnsi="Arial" w:cs="Arial"/>
                <w:color w:val="000000"/>
                <w:szCs w:val="21"/>
              </w:rPr>
              <w:t>2,639,127,888.00</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98" w:type="dxa"/>
            <w:tcBorders>
              <w:top w:val="nil"/>
              <w:left w:val="nil"/>
              <w:bottom w:val="doub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ind w:rightChars="4" w:right="8"/>
              <w:jc w:val="right"/>
              <w:rPr>
                <w:rFonts w:ascii="Arial" w:eastAsia="黑体" w:hAnsi="Arial" w:cs="Arial"/>
                <w:color w:val="000000"/>
                <w:szCs w:val="21"/>
              </w:rPr>
            </w:pPr>
            <w:r>
              <w:rPr>
                <w:rFonts w:ascii="Arial" w:eastAsia="黑体" w:hAnsi="Arial" w:cs="Arial"/>
                <w:color w:val="000000"/>
                <w:szCs w:val="21"/>
              </w:rPr>
              <w:t>2,639,127,888.00</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r>
      <w:tr w:rsidR="00AD5BB5">
        <w:tc>
          <w:tcPr>
            <w:tcW w:w="3906"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color w:val="000000"/>
                <w:szCs w:val="21"/>
              </w:rPr>
            </w:pPr>
          </w:p>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每股收益</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001" w:type="dxa"/>
            <w:tcBorders>
              <w:top w:val="double" w:sz="4" w:space="0" w:color="auto"/>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rightChars="5" w:right="10"/>
              <w:jc w:val="right"/>
              <w:rPr>
                <w:rFonts w:ascii="Arial" w:eastAsia="黑体" w:hAnsi="Arial" w:cs="Arial"/>
                <w:color w:val="000000"/>
                <w:szCs w:val="21"/>
              </w:rPr>
            </w:pPr>
            <w:r>
              <w:rPr>
                <w:rFonts w:ascii="Arial" w:eastAsia="黑体" w:hAnsi="Arial" w:cs="Arial"/>
                <w:color w:val="000000"/>
                <w:szCs w:val="21"/>
              </w:rPr>
              <w:t>0.51</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98" w:type="dxa"/>
            <w:tcBorders>
              <w:top w:val="double" w:sz="4" w:space="0" w:color="auto"/>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rightChars="4" w:right="8"/>
              <w:jc w:val="right"/>
              <w:rPr>
                <w:rFonts w:ascii="Arial" w:eastAsia="黑体" w:hAnsi="Arial" w:cs="Arial"/>
                <w:color w:val="000000"/>
                <w:szCs w:val="21"/>
              </w:rPr>
            </w:pPr>
            <w:r>
              <w:rPr>
                <w:rFonts w:ascii="Arial" w:eastAsia="黑体" w:hAnsi="Arial" w:cs="Arial"/>
                <w:color w:val="000000"/>
                <w:szCs w:val="21"/>
              </w:rPr>
              <w:t>0.44</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bl>
    <w:p w:rsidR="00AD5BB5" w:rsidRDefault="00AD5BB5">
      <w:pPr>
        <w:overflowPunct w:val="0"/>
        <w:autoSpaceDE w:val="0"/>
        <w:autoSpaceDN w:val="0"/>
        <w:rPr>
          <w:rFonts w:ascii="Arial" w:eastAsia="黑体" w:hAnsi="Arial" w:cs="Arial"/>
          <w:snapToGrid w:val="0"/>
          <w:szCs w:val="21"/>
        </w:rPr>
      </w:pPr>
    </w:p>
    <w:p w:rsidR="00AD5BB5" w:rsidRDefault="00F87FF6">
      <w:pPr>
        <w:pStyle w:val="af5"/>
        <w:keepNext w:val="0"/>
        <w:keepLines w:val="0"/>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246" w:name="afsaddin_WithXu_e7b7635a63fe45648a9eb8ff"/>
      <w:bookmarkStart w:id="247" w:name="afsaddin_Section_5a2a1466b1444bdeaf15f4f"/>
      <w:bookmarkEnd w:id="246"/>
      <w:r>
        <w:rPr>
          <w:rFonts w:ascii="Arial" w:eastAsia="黑体" w:hAnsi="Arial" w:cs="Arial" w:hint="default"/>
          <w:bCs w:val="0"/>
          <w:snapToGrid w:val="0"/>
          <w:color w:val="auto"/>
          <w:sz w:val="21"/>
          <w:szCs w:val="21"/>
        </w:rPr>
        <w:t>47.</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现金流量表项目注释</w:t>
      </w:r>
    </w:p>
    <w:bookmarkEnd w:id="247"/>
    <w:p w:rsidR="00AD5BB5" w:rsidRDefault="00AD5BB5">
      <w:pPr>
        <w:overflowPunct w:val="0"/>
        <w:autoSpaceDE w:val="0"/>
        <w:autoSpaceDN w:val="0"/>
        <w:rPr>
          <w:rFonts w:ascii="Arial" w:eastAsia="黑体" w:hAnsi="Arial" w:cs="Arial"/>
          <w:snapToGrid w:val="0"/>
          <w:szCs w:val="21"/>
        </w:rPr>
      </w:pPr>
    </w:p>
    <w:p w:rsidR="00AD5BB5" w:rsidRDefault="00F87FF6">
      <w:pPr>
        <w:pStyle w:val="Style1"/>
        <w:ind w:left="714" w:hanging="728"/>
        <w:rPr>
          <w:bCs w:val="0"/>
          <w:i w:val="0"/>
          <w:color w:val="auto"/>
          <w:kern w:val="0"/>
          <w:sz w:val="21"/>
          <w:szCs w:val="21"/>
        </w:rPr>
      </w:pPr>
      <w:bookmarkStart w:id="248" w:name="afsaddin_Section_e7739371a3b24ec2b87e881"/>
      <w:r>
        <w:rPr>
          <w:bCs w:val="0"/>
          <w:i w:val="0"/>
          <w:color w:val="auto"/>
          <w:kern w:val="0"/>
          <w:sz w:val="21"/>
          <w:szCs w:val="21"/>
        </w:rPr>
        <w:t>(1)</w:t>
      </w:r>
      <w:r>
        <w:rPr>
          <w:bCs w:val="0"/>
          <w:i w:val="0"/>
          <w:color w:val="auto"/>
          <w:kern w:val="0"/>
          <w:sz w:val="21"/>
          <w:szCs w:val="21"/>
        </w:rPr>
        <w:tab/>
      </w:r>
      <w:r>
        <w:rPr>
          <w:bCs w:val="0"/>
          <w:i w:val="0"/>
          <w:color w:val="auto"/>
          <w:kern w:val="0"/>
          <w:sz w:val="21"/>
          <w:szCs w:val="21"/>
        </w:rPr>
        <w:t>现金流量表项目注释</w:t>
      </w:r>
    </w:p>
    <w:bookmarkEnd w:id="248"/>
    <w:p w:rsidR="00AD5BB5" w:rsidRDefault="00AD5BB5">
      <w:pPr>
        <w:overflowPunct w:val="0"/>
        <w:autoSpaceDE w:val="0"/>
        <w:autoSpaceDN w:val="0"/>
        <w:rPr>
          <w:rFonts w:ascii="Arial" w:eastAsia="黑体" w:hAnsi="Arial" w:cs="Arial"/>
          <w:snapToGrid w:val="0"/>
          <w:szCs w:val="21"/>
        </w:rPr>
      </w:pPr>
    </w:p>
    <w:p w:rsidR="00AD5BB5" w:rsidRDefault="00F87FF6">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snapToGrid w:val="0"/>
          <w:szCs w:val="21"/>
        </w:rPr>
      </w:pPr>
      <w:r>
        <w:rPr>
          <w:rFonts w:ascii="Arial" w:eastAsia="黑体" w:hAnsi="Arial" w:cs="Arial"/>
          <w:snapToGrid w:val="0"/>
          <w:szCs w:val="21"/>
        </w:rPr>
        <w:t>将净利润调节为经营活动现金流量：</w:t>
      </w:r>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c8d9cd83-56df-432a-b0e0-1e48c5e718f1"/>
        <w:tblDescription w:val="{&quot;UUID&quot;:&quot;afsaddin_tabledata_2_56437_c8d9cd83-56df-432a-b0e0-1e48c5e718f1&quot;,&quot;TitleRowCount&quot;:2,&quot;SplitedTable&quot;:false,&quot;FirstTableId&quot;:&quot;c8d9cd83-56df-432a-b0e0-1e48c5e718f1&quot;}"/>
      </w:tblPr>
      <w:tblGrid>
        <w:gridCol w:w="4253"/>
        <w:gridCol w:w="112"/>
        <w:gridCol w:w="1850"/>
        <w:gridCol w:w="112"/>
        <w:gridCol w:w="112"/>
        <w:gridCol w:w="1848"/>
        <w:gridCol w:w="112"/>
      </w:tblGrid>
      <w:tr w:rsidR="00AD5BB5">
        <w:tc>
          <w:tcPr>
            <w:tcW w:w="4253"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850"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DOCPROPERTY </w:instrText>
            </w:r>
            <w:r>
              <w:rPr>
                <w:rFonts w:ascii="Arial" w:eastAsia="黑体" w:hAnsi="Arial" w:cs="Arial"/>
                <w:szCs w:val="21"/>
              </w:rPr>
              <w:instrText>当期会计期间</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fldChar w:fldCharType="end"/>
            </w:r>
            <w:r>
              <w:rPr>
                <w:rFonts w:ascii="Arial" w:eastAsia="黑体" w:hAnsi="Arial" w:cs="Arial"/>
                <w:szCs w:val="21"/>
              </w:rPr>
              <w:t>年</w:t>
            </w:r>
            <w:r>
              <w:rPr>
                <w:rFonts w:ascii="Arial" w:eastAsia="黑体" w:hAnsi="Arial" w:cs="Arial"/>
                <w:szCs w:val="21"/>
              </w:rPr>
              <w:t>1-6</w:t>
            </w:r>
            <w:r>
              <w:rPr>
                <w:rFonts w:ascii="Arial" w:eastAsia="黑体" w:hAnsi="Arial" w:cs="Arial"/>
                <w:szCs w:val="21"/>
              </w:rPr>
              <w:t>月</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Chars="-18" w:left="-38"/>
              <w:jc w:val="right"/>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Chars="-18" w:left="-38"/>
              <w:jc w:val="right"/>
              <w:rPr>
                <w:rFonts w:ascii="Arial" w:eastAsia="黑体" w:hAnsi="Arial" w:cs="Arial"/>
                <w:szCs w:val="21"/>
              </w:rPr>
            </w:pPr>
          </w:p>
        </w:tc>
        <w:tc>
          <w:tcPr>
            <w:tcW w:w="184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DOCPROPERTY </w:instrText>
            </w:r>
            <w:r>
              <w:rPr>
                <w:rFonts w:ascii="Arial" w:eastAsia="黑体" w:hAnsi="Arial" w:cs="Arial"/>
                <w:szCs w:val="21"/>
              </w:rPr>
              <w:instrText>对比会计期间</w:instrText>
            </w:r>
            <w:r>
              <w:rPr>
                <w:rFonts w:ascii="Arial" w:eastAsia="黑体" w:hAnsi="Arial" w:cs="Arial"/>
                <w:szCs w:val="21"/>
              </w:rPr>
              <w:fldChar w:fldCharType="separate"/>
            </w:r>
            <w:r>
              <w:rPr>
                <w:rFonts w:ascii="Arial" w:eastAsia="黑体" w:hAnsi="Arial" w:cs="Arial"/>
                <w:szCs w:val="21"/>
              </w:rPr>
              <w:t>2022</w:t>
            </w:r>
            <w:r>
              <w:rPr>
                <w:rFonts w:ascii="Arial" w:eastAsia="黑体" w:hAnsi="Arial" w:cs="Arial"/>
                <w:szCs w:val="21"/>
              </w:rPr>
              <w:fldChar w:fldCharType="end"/>
            </w:r>
            <w:r>
              <w:rPr>
                <w:rFonts w:ascii="Arial" w:eastAsia="黑体" w:hAnsi="Arial" w:cs="Arial"/>
                <w:szCs w:val="21"/>
              </w:rPr>
              <w:t>年</w:t>
            </w:r>
            <w:r>
              <w:rPr>
                <w:rFonts w:ascii="Arial" w:eastAsia="黑体" w:hAnsi="Arial" w:cs="Arial"/>
                <w:szCs w:val="21"/>
              </w:rPr>
              <w:t>1-6</w:t>
            </w:r>
            <w:r>
              <w:rPr>
                <w:rFonts w:ascii="Arial" w:eastAsia="黑体" w:hAnsi="Arial" w:cs="Arial"/>
                <w:szCs w:val="21"/>
              </w:rPr>
              <w:t>月</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r>
      <w:tr w:rsidR="00AD5BB5">
        <w:tc>
          <w:tcPr>
            <w:tcW w:w="4253"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85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Chars="-18" w:left="-38"/>
              <w:jc w:val="right"/>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Chars="-18" w:left="-38"/>
              <w:jc w:val="right"/>
              <w:rPr>
                <w:rFonts w:ascii="Arial" w:eastAsia="黑体" w:hAnsi="Arial" w:cs="Arial"/>
                <w:szCs w:val="21"/>
              </w:rPr>
            </w:pPr>
          </w:p>
        </w:tc>
        <w:tc>
          <w:tcPr>
            <w:tcW w:w="184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r>
      <w:tr w:rsidR="00AD5BB5">
        <w:tc>
          <w:tcPr>
            <w:tcW w:w="4253"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净利润</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850" w:type="dxa"/>
            <w:tcBorders>
              <w:top w:val="nil"/>
              <w:left w:val="nil"/>
              <w:bottom w:val="nil"/>
              <w:right w:val="nil"/>
            </w:tcBorders>
            <w:shd w:val="clear" w:color="auto" w:fill="auto"/>
            <w:noWrap/>
            <w:vAlign w:val="bottom"/>
          </w:tcPr>
          <w:p w:rsidR="00AD5BB5" w:rsidRDefault="00F87FF6">
            <w:pPr>
              <w:tabs>
                <w:tab w:val="left" w:pos="1578"/>
              </w:tabs>
              <w:kinsoku w:val="0"/>
              <w:overflowPunct w:val="0"/>
              <w:autoSpaceDE w:val="0"/>
              <w:autoSpaceDN w:val="0"/>
              <w:adjustRightInd w:val="0"/>
              <w:snapToGrid w:val="0"/>
              <w:ind w:rightChars="6" w:right="13"/>
              <w:jc w:val="right"/>
              <w:rPr>
                <w:rFonts w:ascii="Arial" w:eastAsia="黑体" w:hAnsi="Arial" w:cs="Arial"/>
                <w:color w:val="000000"/>
                <w:szCs w:val="21"/>
              </w:rPr>
            </w:pPr>
            <w:r>
              <w:rPr>
                <w:rFonts w:ascii="Arial" w:eastAsia="黑体" w:hAnsi="Arial" w:cs="Arial"/>
              </w:rPr>
              <w:t>1,475,011,464.52</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Chars="-18" w:left="-38"/>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Chars="-18" w:left="-38"/>
              <w:rPr>
                <w:rFonts w:ascii="Arial" w:eastAsia="黑体" w:hAnsi="Arial" w:cs="Arial"/>
                <w:szCs w:val="21"/>
              </w:rPr>
            </w:pPr>
          </w:p>
        </w:tc>
        <w:tc>
          <w:tcPr>
            <w:tcW w:w="1848" w:type="dxa"/>
            <w:tcBorders>
              <w:top w:val="nil"/>
              <w:left w:val="nil"/>
              <w:bottom w:val="nil"/>
              <w:right w:val="nil"/>
            </w:tcBorders>
            <w:shd w:val="clear" w:color="auto" w:fill="auto"/>
            <w:noWrap/>
            <w:vAlign w:val="bottom"/>
          </w:tcPr>
          <w:p w:rsidR="00AD5BB5" w:rsidRDefault="00F87FF6">
            <w:pPr>
              <w:tabs>
                <w:tab w:val="left" w:pos="1578"/>
              </w:tabs>
              <w:kinsoku w:val="0"/>
              <w:overflowPunct w:val="0"/>
              <w:autoSpaceDE w:val="0"/>
              <w:autoSpaceDN w:val="0"/>
              <w:adjustRightInd w:val="0"/>
              <w:snapToGrid w:val="0"/>
              <w:ind w:rightChars="5" w:right="10"/>
              <w:jc w:val="right"/>
              <w:rPr>
                <w:rFonts w:ascii="Arial" w:eastAsia="黑体" w:hAnsi="Arial" w:cs="Arial"/>
                <w:color w:val="000000"/>
                <w:szCs w:val="21"/>
              </w:rPr>
            </w:pPr>
            <w:r>
              <w:rPr>
                <w:rFonts w:ascii="Arial" w:eastAsia="黑体" w:hAnsi="Arial" w:cs="Arial"/>
                <w:color w:val="000000"/>
                <w:szCs w:val="21"/>
              </w:rPr>
              <w:t>1,261,721,898.81</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4253"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630" w:hangingChars="300" w:hanging="630"/>
              <w:rPr>
                <w:rFonts w:ascii="Arial" w:eastAsia="黑体" w:hAnsi="Arial" w:cs="Arial"/>
                <w:color w:val="000000"/>
                <w:szCs w:val="21"/>
              </w:rPr>
            </w:pPr>
            <w:r>
              <w:rPr>
                <w:rFonts w:ascii="Arial" w:eastAsia="黑体" w:hAnsi="Arial" w:cs="Arial"/>
                <w:color w:val="000000"/>
                <w:szCs w:val="21"/>
              </w:rPr>
              <w:t>加：信用减值损失及资产减值损失</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850" w:type="dxa"/>
            <w:tcBorders>
              <w:top w:val="nil"/>
              <w:left w:val="nil"/>
              <w:bottom w:val="nil"/>
              <w:right w:val="nil"/>
            </w:tcBorders>
            <w:shd w:val="clear" w:color="auto" w:fill="auto"/>
            <w:noWrap/>
            <w:vAlign w:val="bottom"/>
          </w:tcPr>
          <w:p w:rsidR="00AD5BB5" w:rsidRDefault="00F87FF6">
            <w:pPr>
              <w:tabs>
                <w:tab w:val="left" w:pos="1581"/>
              </w:tabs>
              <w:kinsoku w:val="0"/>
              <w:overflowPunct w:val="0"/>
              <w:autoSpaceDE w:val="0"/>
              <w:autoSpaceDN w:val="0"/>
              <w:adjustRightInd w:val="0"/>
              <w:snapToGrid w:val="0"/>
              <w:ind w:rightChars="6" w:right="13"/>
              <w:jc w:val="right"/>
              <w:rPr>
                <w:rFonts w:ascii="Arial" w:eastAsia="黑体" w:hAnsi="Arial" w:cs="Arial"/>
                <w:color w:val="000000"/>
                <w:szCs w:val="21"/>
              </w:rPr>
            </w:pPr>
            <w:r>
              <w:rPr>
                <w:rFonts w:ascii="Arial" w:eastAsia="黑体" w:hAnsi="Arial" w:cs="Arial"/>
              </w:rPr>
              <w:t>189,822,834.39</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Chars="-18" w:left="-38"/>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Chars="-18" w:left="-38"/>
              <w:rPr>
                <w:rFonts w:ascii="Arial" w:eastAsia="黑体" w:hAnsi="Arial" w:cs="Arial"/>
                <w:szCs w:val="21"/>
              </w:rPr>
            </w:pPr>
          </w:p>
        </w:tc>
        <w:tc>
          <w:tcPr>
            <w:tcW w:w="1848" w:type="dxa"/>
            <w:tcBorders>
              <w:top w:val="nil"/>
              <w:left w:val="nil"/>
              <w:bottom w:val="nil"/>
              <w:right w:val="nil"/>
            </w:tcBorders>
            <w:shd w:val="clear" w:color="auto" w:fill="auto"/>
            <w:noWrap/>
            <w:vAlign w:val="bottom"/>
          </w:tcPr>
          <w:p w:rsidR="00AD5BB5" w:rsidRDefault="00F87FF6">
            <w:pPr>
              <w:tabs>
                <w:tab w:val="left" w:pos="1578"/>
              </w:tabs>
              <w:kinsoku w:val="0"/>
              <w:overflowPunct w:val="0"/>
              <w:autoSpaceDE w:val="0"/>
              <w:autoSpaceDN w:val="0"/>
              <w:adjustRightInd w:val="0"/>
              <w:snapToGrid w:val="0"/>
              <w:ind w:rightChars="5" w:right="10"/>
              <w:jc w:val="right"/>
              <w:rPr>
                <w:rFonts w:ascii="Arial" w:eastAsia="黑体" w:hAnsi="Arial" w:cs="Arial"/>
                <w:color w:val="000000"/>
                <w:szCs w:val="21"/>
              </w:rPr>
            </w:pPr>
            <w:r>
              <w:rPr>
                <w:rFonts w:ascii="Arial" w:eastAsia="黑体" w:hAnsi="Arial" w:cs="Arial"/>
                <w:color w:val="000000"/>
                <w:szCs w:val="21"/>
              </w:rPr>
              <w:t>563,031,210.12</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4253"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Chars="178" w:left="584" w:hangingChars="100" w:hanging="210"/>
              <w:rPr>
                <w:rFonts w:ascii="Arial" w:eastAsia="黑体" w:hAnsi="Arial" w:cs="Arial"/>
                <w:color w:val="000000"/>
                <w:szCs w:val="21"/>
              </w:rPr>
            </w:pPr>
            <w:r>
              <w:rPr>
                <w:rFonts w:ascii="Arial" w:eastAsia="黑体" w:hAnsi="Arial" w:cs="Arial"/>
                <w:color w:val="000000"/>
                <w:szCs w:val="21"/>
              </w:rPr>
              <w:t>使用权资产折旧</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850" w:type="dxa"/>
            <w:tcBorders>
              <w:top w:val="nil"/>
              <w:left w:val="nil"/>
              <w:bottom w:val="nil"/>
              <w:right w:val="nil"/>
            </w:tcBorders>
            <w:shd w:val="clear" w:color="auto" w:fill="auto"/>
            <w:noWrap/>
            <w:vAlign w:val="bottom"/>
          </w:tcPr>
          <w:p w:rsidR="00AD5BB5" w:rsidRDefault="00F87FF6">
            <w:pPr>
              <w:tabs>
                <w:tab w:val="left" w:pos="1581"/>
              </w:tabs>
              <w:kinsoku w:val="0"/>
              <w:overflowPunct w:val="0"/>
              <w:autoSpaceDE w:val="0"/>
              <w:autoSpaceDN w:val="0"/>
              <w:adjustRightInd w:val="0"/>
              <w:snapToGrid w:val="0"/>
              <w:ind w:rightChars="6" w:right="13"/>
              <w:jc w:val="right"/>
              <w:rPr>
                <w:rFonts w:ascii="Arial" w:eastAsia="黑体" w:hAnsi="Arial" w:cs="Arial"/>
                <w:color w:val="000000"/>
                <w:szCs w:val="21"/>
              </w:rPr>
            </w:pPr>
            <w:r>
              <w:rPr>
                <w:rFonts w:ascii="Arial" w:eastAsia="黑体" w:hAnsi="Arial" w:cs="Arial"/>
                <w:color w:val="000000"/>
                <w:szCs w:val="21"/>
              </w:rPr>
              <w:t>56,927,518.75</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Chars="-18" w:left="-38"/>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Chars="-18" w:left="-38"/>
              <w:rPr>
                <w:rFonts w:ascii="Arial" w:eastAsia="黑体" w:hAnsi="Arial" w:cs="Arial"/>
                <w:szCs w:val="21"/>
              </w:rPr>
            </w:pPr>
          </w:p>
        </w:tc>
        <w:tc>
          <w:tcPr>
            <w:tcW w:w="1848" w:type="dxa"/>
            <w:tcBorders>
              <w:top w:val="nil"/>
              <w:left w:val="nil"/>
              <w:bottom w:val="nil"/>
              <w:right w:val="nil"/>
            </w:tcBorders>
            <w:shd w:val="clear" w:color="auto" w:fill="auto"/>
            <w:noWrap/>
            <w:vAlign w:val="bottom"/>
          </w:tcPr>
          <w:p w:rsidR="00AD5BB5" w:rsidRDefault="00F87FF6">
            <w:pPr>
              <w:tabs>
                <w:tab w:val="left" w:pos="1578"/>
              </w:tabs>
              <w:kinsoku w:val="0"/>
              <w:overflowPunct w:val="0"/>
              <w:autoSpaceDE w:val="0"/>
              <w:autoSpaceDN w:val="0"/>
              <w:adjustRightInd w:val="0"/>
              <w:snapToGrid w:val="0"/>
              <w:ind w:rightChars="5" w:right="10"/>
              <w:jc w:val="right"/>
              <w:rPr>
                <w:rFonts w:ascii="Arial" w:eastAsia="黑体" w:hAnsi="Arial" w:cs="Arial"/>
                <w:color w:val="000000"/>
                <w:szCs w:val="21"/>
              </w:rPr>
            </w:pPr>
            <w:r>
              <w:rPr>
                <w:rFonts w:ascii="Arial" w:eastAsia="黑体" w:hAnsi="Arial" w:cs="Arial"/>
                <w:color w:val="000000"/>
                <w:szCs w:val="21"/>
              </w:rPr>
              <w:t>55,472,266.84</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4253" w:type="dxa"/>
            <w:tcBorders>
              <w:top w:val="nil"/>
              <w:left w:val="nil"/>
              <w:bottom w:val="nil"/>
              <w:right w:val="nil"/>
            </w:tcBorders>
            <w:shd w:val="clear" w:color="auto" w:fill="auto"/>
            <w:noWrap/>
            <w:vAlign w:val="bottom"/>
          </w:tcPr>
          <w:p w:rsidR="00AD5BB5" w:rsidRDefault="00F87FF6">
            <w:pPr>
              <w:overflowPunct w:val="0"/>
              <w:autoSpaceDE w:val="0"/>
              <w:autoSpaceDN w:val="0"/>
              <w:adjustRightInd w:val="0"/>
              <w:ind w:leftChars="179" w:left="586" w:hangingChars="100" w:hanging="210"/>
              <w:rPr>
                <w:rFonts w:ascii="Arial" w:eastAsia="黑体" w:hAnsi="Arial" w:cs="Arial"/>
                <w:color w:val="000000"/>
                <w:szCs w:val="21"/>
              </w:rPr>
            </w:pPr>
            <w:r>
              <w:rPr>
                <w:rFonts w:ascii="Arial" w:eastAsia="黑体" w:hAnsi="Arial" w:cs="Arial"/>
                <w:color w:val="000000"/>
                <w:szCs w:val="21"/>
              </w:rPr>
              <w:t>固定资产、投资性房地产折旧</w:t>
            </w:r>
            <w:r>
              <w:rPr>
                <w:rFonts w:ascii="Arial" w:eastAsia="黑体" w:hAnsi="Arial" w:cs="Arial"/>
                <w:color w:val="000000"/>
                <w:szCs w:val="21"/>
              </w:rPr>
              <w:t>/</w:t>
            </w:r>
          </w:p>
          <w:p w:rsidR="00AD5BB5" w:rsidRDefault="00F87FF6">
            <w:pPr>
              <w:autoSpaceDE w:val="0"/>
              <w:autoSpaceDN w:val="0"/>
              <w:adjustRightInd w:val="0"/>
              <w:ind w:left="686" w:hanging="42"/>
              <w:rPr>
                <w:rFonts w:ascii="Arial" w:eastAsia="黑体" w:hAnsi="Arial" w:cs="Arial"/>
                <w:color w:val="000000"/>
                <w:szCs w:val="21"/>
              </w:rPr>
            </w:pPr>
            <w:r>
              <w:rPr>
                <w:rFonts w:ascii="Arial" w:eastAsia="黑体" w:hAnsi="Arial" w:cs="Arial"/>
                <w:color w:val="000000"/>
                <w:szCs w:val="21"/>
              </w:rPr>
              <w:t>摊销及无形资产、长期待摊</w:t>
            </w:r>
          </w:p>
          <w:p w:rsidR="00AD5BB5" w:rsidRDefault="00F87FF6">
            <w:pPr>
              <w:kinsoku w:val="0"/>
              <w:overflowPunct w:val="0"/>
              <w:autoSpaceDE w:val="0"/>
              <w:autoSpaceDN w:val="0"/>
              <w:adjustRightInd w:val="0"/>
              <w:snapToGrid w:val="0"/>
              <w:ind w:left="686" w:hanging="42"/>
              <w:rPr>
                <w:rFonts w:ascii="Arial" w:eastAsia="黑体" w:hAnsi="Arial" w:cs="Arial"/>
                <w:color w:val="000000"/>
                <w:szCs w:val="21"/>
              </w:rPr>
            </w:pPr>
            <w:r>
              <w:rPr>
                <w:rFonts w:ascii="Arial" w:eastAsia="黑体" w:hAnsi="Arial" w:cs="Arial"/>
                <w:color w:val="000000"/>
                <w:szCs w:val="21"/>
              </w:rPr>
              <w:t>费用摊销</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850" w:type="dxa"/>
            <w:tcBorders>
              <w:top w:val="nil"/>
              <w:left w:val="nil"/>
              <w:bottom w:val="nil"/>
              <w:right w:val="nil"/>
            </w:tcBorders>
            <w:shd w:val="clear" w:color="auto" w:fill="auto"/>
            <w:noWrap/>
            <w:vAlign w:val="bottom"/>
          </w:tcPr>
          <w:p w:rsidR="00AD5BB5" w:rsidRDefault="00F87FF6">
            <w:pPr>
              <w:tabs>
                <w:tab w:val="left" w:pos="1581"/>
              </w:tabs>
              <w:kinsoku w:val="0"/>
              <w:overflowPunct w:val="0"/>
              <w:autoSpaceDE w:val="0"/>
              <w:autoSpaceDN w:val="0"/>
              <w:adjustRightInd w:val="0"/>
              <w:snapToGrid w:val="0"/>
              <w:ind w:rightChars="6" w:right="13"/>
              <w:jc w:val="right"/>
              <w:rPr>
                <w:rFonts w:ascii="Arial" w:eastAsia="黑体" w:hAnsi="Arial" w:cs="Arial"/>
                <w:color w:val="000000"/>
                <w:szCs w:val="21"/>
              </w:rPr>
            </w:pPr>
            <w:r>
              <w:rPr>
                <w:rFonts w:ascii="Arial" w:eastAsia="黑体" w:hAnsi="Arial" w:cs="Arial"/>
                <w:color w:val="000000"/>
                <w:szCs w:val="21"/>
              </w:rPr>
              <w:t>86,464,079.53</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Chars="-18" w:left="-38"/>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Chars="-18" w:left="-38"/>
              <w:rPr>
                <w:rFonts w:ascii="Arial" w:eastAsia="黑体" w:hAnsi="Arial" w:cs="Arial"/>
                <w:szCs w:val="21"/>
              </w:rPr>
            </w:pPr>
          </w:p>
        </w:tc>
        <w:tc>
          <w:tcPr>
            <w:tcW w:w="1848" w:type="dxa"/>
            <w:tcBorders>
              <w:top w:val="nil"/>
              <w:left w:val="nil"/>
              <w:bottom w:val="nil"/>
              <w:right w:val="nil"/>
            </w:tcBorders>
            <w:shd w:val="clear" w:color="auto" w:fill="auto"/>
            <w:noWrap/>
            <w:vAlign w:val="bottom"/>
          </w:tcPr>
          <w:p w:rsidR="00AD5BB5" w:rsidRDefault="00F87FF6">
            <w:pPr>
              <w:tabs>
                <w:tab w:val="left" w:pos="1578"/>
              </w:tabs>
              <w:kinsoku w:val="0"/>
              <w:overflowPunct w:val="0"/>
              <w:autoSpaceDE w:val="0"/>
              <w:autoSpaceDN w:val="0"/>
              <w:adjustRightInd w:val="0"/>
              <w:snapToGrid w:val="0"/>
              <w:ind w:rightChars="5" w:right="10"/>
              <w:jc w:val="right"/>
              <w:rPr>
                <w:rFonts w:ascii="Arial" w:eastAsia="黑体" w:hAnsi="Arial" w:cs="Arial"/>
                <w:color w:val="000000"/>
                <w:szCs w:val="21"/>
              </w:rPr>
            </w:pPr>
            <w:r>
              <w:rPr>
                <w:rFonts w:ascii="Arial" w:eastAsia="黑体" w:hAnsi="Arial" w:cs="Arial"/>
                <w:color w:val="000000"/>
                <w:szCs w:val="21"/>
              </w:rPr>
              <w:t>67,602,921.65</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4253" w:type="dxa"/>
            <w:tcBorders>
              <w:top w:val="nil"/>
              <w:left w:val="nil"/>
              <w:bottom w:val="nil"/>
              <w:right w:val="nil"/>
            </w:tcBorders>
            <w:shd w:val="clear" w:color="auto" w:fill="auto"/>
            <w:noWrap/>
            <w:vAlign w:val="bottom"/>
          </w:tcPr>
          <w:p w:rsidR="00AD5BB5" w:rsidRDefault="00F87FF6">
            <w:pPr>
              <w:overflowPunct w:val="0"/>
              <w:autoSpaceDE w:val="0"/>
              <w:autoSpaceDN w:val="0"/>
              <w:adjustRightInd w:val="0"/>
              <w:ind w:left="424" w:hanging="32"/>
              <w:rPr>
                <w:rFonts w:ascii="Arial" w:eastAsia="黑体" w:hAnsi="Arial" w:cs="Arial"/>
                <w:color w:val="000000"/>
                <w:szCs w:val="21"/>
              </w:rPr>
            </w:pPr>
            <w:r>
              <w:rPr>
                <w:rFonts w:ascii="Arial" w:eastAsia="黑体" w:hAnsi="Arial" w:cs="Arial"/>
                <w:color w:val="000000"/>
                <w:szCs w:val="21"/>
              </w:rPr>
              <w:t>租赁负债的利息支出</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850" w:type="dxa"/>
            <w:tcBorders>
              <w:top w:val="nil"/>
              <w:left w:val="nil"/>
              <w:bottom w:val="nil"/>
              <w:right w:val="nil"/>
            </w:tcBorders>
            <w:shd w:val="clear" w:color="auto" w:fill="auto"/>
            <w:noWrap/>
            <w:vAlign w:val="bottom"/>
          </w:tcPr>
          <w:p w:rsidR="00AD5BB5" w:rsidRDefault="00F87FF6">
            <w:pPr>
              <w:tabs>
                <w:tab w:val="left" w:pos="1581"/>
              </w:tabs>
              <w:kinsoku w:val="0"/>
              <w:overflowPunct w:val="0"/>
              <w:autoSpaceDE w:val="0"/>
              <w:autoSpaceDN w:val="0"/>
              <w:adjustRightInd w:val="0"/>
              <w:snapToGrid w:val="0"/>
              <w:ind w:rightChars="6" w:right="13"/>
              <w:jc w:val="right"/>
              <w:rPr>
                <w:rFonts w:ascii="Arial" w:eastAsia="黑体" w:hAnsi="Arial" w:cs="Arial"/>
                <w:color w:val="000000"/>
                <w:szCs w:val="21"/>
              </w:rPr>
            </w:pPr>
            <w:r>
              <w:rPr>
                <w:rFonts w:ascii="Arial" w:eastAsia="黑体" w:hAnsi="Arial" w:cs="Arial"/>
                <w:color w:val="000000"/>
                <w:szCs w:val="21"/>
              </w:rPr>
              <w:t>8,987,012.80</w:t>
            </w:r>
          </w:p>
        </w:tc>
        <w:tc>
          <w:tcPr>
            <w:tcW w:w="112"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leftChars="-18" w:left="-38"/>
              <w:jc w:val="center"/>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Chars="-18" w:left="-38"/>
              <w:rPr>
                <w:rFonts w:ascii="Arial" w:eastAsia="黑体" w:hAnsi="Arial" w:cs="Arial"/>
                <w:szCs w:val="21"/>
              </w:rPr>
            </w:pPr>
          </w:p>
        </w:tc>
        <w:tc>
          <w:tcPr>
            <w:tcW w:w="1848" w:type="dxa"/>
            <w:tcBorders>
              <w:top w:val="nil"/>
              <w:left w:val="nil"/>
              <w:bottom w:val="nil"/>
              <w:right w:val="nil"/>
            </w:tcBorders>
            <w:shd w:val="clear" w:color="auto" w:fill="auto"/>
            <w:noWrap/>
            <w:vAlign w:val="bottom"/>
          </w:tcPr>
          <w:p w:rsidR="00AD5BB5" w:rsidRDefault="00F87FF6">
            <w:pPr>
              <w:tabs>
                <w:tab w:val="left" w:pos="1578"/>
              </w:tabs>
              <w:kinsoku w:val="0"/>
              <w:overflowPunct w:val="0"/>
              <w:autoSpaceDE w:val="0"/>
              <w:autoSpaceDN w:val="0"/>
              <w:adjustRightInd w:val="0"/>
              <w:snapToGrid w:val="0"/>
              <w:ind w:rightChars="5" w:right="10"/>
              <w:jc w:val="right"/>
              <w:rPr>
                <w:rFonts w:ascii="Arial" w:eastAsia="黑体" w:hAnsi="Arial" w:cs="Arial"/>
                <w:color w:val="000000"/>
                <w:szCs w:val="21"/>
              </w:rPr>
            </w:pPr>
            <w:r>
              <w:rPr>
                <w:rFonts w:ascii="Arial" w:eastAsia="黑体" w:hAnsi="Arial" w:cs="Arial"/>
                <w:color w:val="000000"/>
                <w:szCs w:val="21"/>
              </w:rPr>
              <w:t>8,290,616.51</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4253"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Chars="168" w:left="563" w:hangingChars="100" w:hanging="210"/>
              <w:rPr>
                <w:rFonts w:ascii="Arial" w:eastAsia="黑体" w:hAnsi="Arial" w:cs="Arial"/>
                <w:color w:val="000000"/>
                <w:szCs w:val="21"/>
              </w:rPr>
            </w:pPr>
            <w:proofErr w:type="gramStart"/>
            <w:r>
              <w:rPr>
                <w:rFonts w:ascii="Arial" w:eastAsia="黑体" w:hAnsi="Arial" w:cs="Arial"/>
                <w:color w:val="000000"/>
                <w:szCs w:val="21"/>
              </w:rPr>
              <w:t>处置非</w:t>
            </w:r>
            <w:proofErr w:type="gramEnd"/>
            <w:r>
              <w:rPr>
                <w:rFonts w:ascii="Arial" w:eastAsia="黑体" w:hAnsi="Arial" w:cs="Arial"/>
                <w:color w:val="000000"/>
                <w:szCs w:val="21"/>
              </w:rPr>
              <w:t>流动资产收益</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850" w:type="dxa"/>
            <w:tcBorders>
              <w:top w:val="nil"/>
              <w:left w:val="nil"/>
              <w:bottom w:val="nil"/>
              <w:right w:val="nil"/>
            </w:tcBorders>
            <w:shd w:val="clear" w:color="auto" w:fill="auto"/>
            <w:noWrap/>
            <w:vAlign w:val="bottom"/>
          </w:tcPr>
          <w:p w:rsidR="00AD5BB5" w:rsidRDefault="00F87FF6">
            <w:pPr>
              <w:tabs>
                <w:tab w:val="left" w:pos="1578"/>
              </w:tabs>
              <w:kinsoku w:val="0"/>
              <w:overflowPunct w:val="0"/>
              <w:autoSpaceDE w:val="0"/>
              <w:autoSpaceDN w:val="0"/>
              <w:adjustRightInd w:val="0"/>
              <w:snapToGrid w:val="0"/>
              <w:ind w:rightChars="6" w:right="13"/>
              <w:jc w:val="right"/>
              <w:rPr>
                <w:rFonts w:ascii="Arial" w:eastAsia="黑体" w:hAnsi="Arial" w:cs="Arial"/>
                <w:color w:val="000000"/>
                <w:szCs w:val="21"/>
              </w:rPr>
            </w:pPr>
            <w:r>
              <w:rPr>
                <w:rFonts w:ascii="Arial" w:eastAsia="黑体" w:hAnsi="Arial" w:cs="Arial"/>
                <w:color w:val="000000"/>
                <w:szCs w:val="21"/>
              </w:rPr>
              <w:t>(8,831,209.56</w:t>
            </w:r>
          </w:p>
        </w:tc>
        <w:tc>
          <w:tcPr>
            <w:tcW w:w="112"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Chars="-18" w:left="-38"/>
              <w:jc w:val="center"/>
              <w:rPr>
                <w:rFonts w:ascii="Arial" w:eastAsia="黑体" w:hAnsi="Arial" w:cs="Arial"/>
                <w:color w:val="000000"/>
                <w:szCs w:val="21"/>
              </w:rPr>
            </w:pPr>
            <w:r>
              <w:rPr>
                <w:rFonts w:ascii="Arial" w:eastAsia="黑体" w:hAnsi="Arial" w:cs="Arial"/>
                <w:color w:val="000000"/>
                <w:szCs w:val="21"/>
              </w:rPr>
              <w:t>)</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Chars="-18" w:left="-38"/>
              <w:rPr>
                <w:rFonts w:ascii="Arial" w:eastAsia="黑体" w:hAnsi="Arial" w:cs="Arial"/>
                <w:szCs w:val="21"/>
              </w:rPr>
            </w:pPr>
          </w:p>
        </w:tc>
        <w:tc>
          <w:tcPr>
            <w:tcW w:w="1848" w:type="dxa"/>
            <w:tcBorders>
              <w:top w:val="nil"/>
              <w:left w:val="nil"/>
              <w:bottom w:val="nil"/>
              <w:right w:val="nil"/>
            </w:tcBorders>
            <w:shd w:val="clear" w:color="auto" w:fill="auto"/>
            <w:noWrap/>
            <w:vAlign w:val="bottom"/>
          </w:tcPr>
          <w:p w:rsidR="00AD5BB5" w:rsidRDefault="00F87FF6">
            <w:pPr>
              <w:tabs>
                <w:tab w:val="left" w:pos="1578"/>
              </w:tabs>
              <w:kinsoku w:val="0"/>
              <w:overflowPunct w:val="0"/>
              <w:autoSpaceDE w:val="0"/>
              <w:autoSpaceDN w:val="0"/>
              <w:adjustRightInd w:val="0"/>
              <w:snapToGrid w:val="0"/>
              <w:ind w:rightChars="5" w:right="10"/>
              <w:jc w:val="right"/>
              <w:rPr>
                <w:rFonts w:ascii="Arial" w:eastAsia="黑体" w:hAnsi="Arial" w:cs="Arial"/>
                <w:color w:val="000000"/>
                <w:szCs w:val="21"/>
              </w:rPr>
            </w:pPr>
            <w:r>
              <w:rPr>
                <w:rFonts w:ascii="Arial" w:eastAsia="黑体" w:hAnsi="Arial" w:cs="Arial"/>
                <w:color w:val="000000"/>
                <w:szCs w:val="21"/>
              </w:rPr>
              <w:t>(487,294.10</w:t>
            </w:r>
          </w:p>
        </w:tc>
        <w:tc>
          <w:tcPr>
            <w:tcW w:w="112"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rPr>
                <w:rFonts w:ascii="Arial" w:eastAsia="黑体" w:hAnsi="Arial" w:cs="Arial"/>
                <w:color w:val="000000"/>
                <w:szCs w:val="21"/>
              </w:rPr>
            </w:pPr>
            <w:r>
              <w:rPr>
                <w:rFonts w:ascii="Arial" w:eastAsia="黑体" w:hAnsi="Arial" w:cs="Arial"/>
                <w:color w:val="000000"/>
                <w:szCs w:val="21"/>
              </w:rPr>
              <w:t>)</w:t>
            </w:r>
          </w:p>
        </w:tc>
      </w:tr>
      <w:tr w:rsidR="00AD5BB5">
        <w:tc>
          <w:tcPr>
            <w:tcW w:w="4253"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Chars="168" w:left="563" w:hangingChars="100" w:hanging="210"/>
              <w:rPr>
                <w:rFonts w:ascii="Arial" w:eastAsia="黑体" w:hAnsi="Arial" w:cs="Arial"/>
                <w:color w:val="000000"/>
                <w:szCs w:val="21"/>
              </w:rPr>
            </w:pPr>
            <w:r>
              <w:rPr>
                <w:rFonts w:ascii="Arial" w:eastAsia="黑体" w:hAnsi="Arial" w:cs="Arial"/>
                <w:color w:val="000000"/>
                <w:szCs w:val="21"/>
              </w:rPr>
              <w:t>投资利息收入</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850" w:type="dxa"/>
            <w:tcBorders>
              <w:top w:val="nil"/>
              <w:left w:val="nil"/>
              <w:bottom w:val="nil"/>
              <w:right w:val="nil"/>
            </w:tcBorders>
            <w:shd w:val="clear" w:color="auto" w:fill="auto"/>
            <w:noWrap/>
            <w:vAlign w:val="bottom"/>
          </w:tcPr>
          <w:p w:rsidR="00AD5BB5" w:rsidRDefault="00F87FF6">
            <w:pPr>
              <w:tabs>
                <w:tab w:val="left" w:pos="1578"/>
              </w:tabs>
              <w:kinsoku w:val="0"/>
              <w:overflowPunct w:val="0"/>
              <w:autoSpaceDE w:val="0"/>
              <w:autoSpaceDN w:val="0"/>
              <w:adjustRightInd w:val="0"/>
              <w:snapToGrid w:val="0"/>
              <w:ind w:rightChars="6" w:right="13"/>
              <w:jc w:val="right"/>
              <w:rPr>
                <w:rFonts w:ascii="Arial" w:eastAsia="黑体" w:hAnsi="Arial" w:cs="Arial"/>
                <w:color w:val="000000"/>
                <w:szCs w:val="21"/>
              </w:rPr>
            </w:pPr>
            <w:r>
              <w:rPr>
                <w:rFonts w:ascii="Arial" w:eastAsia="黑体" w:hAnsi="Arial" w:cs="Arial"/>
                <w:color w:val="000000"/>
                <w:szCs w:val="21"/>
              </w:rPr>
              <w:t>(1,350,376,447.97</w:t>
            </w:r>
          </w:p>
        </w:tc>
        <w:tc>
          <w:tcPr>
            <w:tcW w:w="112"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Chars="-18" w:left="-38"/>
              <w:jc w:val="center"/>
              <w:rPr>
                <w:rFonts w:ascii="Arial" w:eastAsia="黑体" w:hAnsi="Arial" w:cs="Arial"/>
                <w:color w:val="000000"/>
                <w:szCs w:val="21"/>
              </w:rPr>
            </w:pPr>
            <w:r>
              <w:rPr>
                <w:rFonts w:ascii="Arial" w:eastAsia="黑体" w:hAnsi="Arial" w:cs="Arial"/>
                <w:color w:val="000000"/>
                <w:szCs w:val="21"/>
              </w:rPr>
              <w:t>)</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Chars="-18" w:left="-38"/>
              <w:rPr>
                <w:rFonts w:ascii="Arial" w:eastAsia="黑体" w:hAnsi="Arial" w:cs="Arial"/>
                <w:szCs w:val="21"/>
              </w:rPr>
            </w:pPr>
          </w:p>
        </w:tc>
        <w:tc>
          <w:tcPr>
            <w:tcW w:w="1848" w:type="dxa"/>
            <w:tcBorders>
              <w:top w:val="nil"/>
              <w:left w:val="nil"/>
              <w:bottom w:val="nil"/>
              <w:right w:val="nil"/>
            </w:tcBorders>
            <w:shd w:val="clear" w:color="auto" w:fill="auto"/>
            <w:noWrap/>
            <w:vAlign w:val="bottom"/>
          </w:tcPr>
          <w:p w:rsidR="00AD5BB5" w:rsidRDefault="00F87FF6">
            <w:pPr>
              <w:tabs>
                <w:tab w:val="left" w:pos="1578"/>
              </w:tabs>
              <w:kinsoku w:val="0"/>
              <w:overflowPunct w:val="0"/>
              <w:autoSpaceDE w:val="0"/>
              <w:autoSpaceDN w:val="0"/>
              <w:adjustRightInd w:val="0"/>
              <w:snapToGrid w:val="0"/>
              <w:ind w:rightChars="5" w:right="10"/>
              <w:jc w:val="right"/>
              <w:rPr>
                <w:rFonts w:ascii="Arial" w:eastAsia="黑体" w:hAnsi="Arial" w:cs="Arial"/>
                <w:color w:val="000000"/>
                <w:szCs w:val="21"/>
              </w:rPr>
            </w:pPr>
            <w:r>
              <w:rPr>
                <w:rFonts w:ascii="Arial" w:eastAsia="黑体" w:hAnsi="Arial" w:cs="Arial"/>
                <w:color w:val="000000"/>
                <w:szCs w:val="21"/>
              </w:rPr>
              <w:t>(1,244,519,874.44</w:t>
            </w:r>
          </w:p>
        </w:tc>
        <w:tc>
          <w:tcPr>
            <w:tcW w:w="112"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right="210"/>
              <w:rPr>
                <w:rFonts w:ascii="Arial" w:eastAsia="黑体" w:hAnsi="Arial" w:cs="Arial"/>
                <w:color w:val="000000"/>
                <w:szCs w:val="21"/>
              </w:rPr>
            </w:pPr>
            <w:r>
              <w:rPr>
                <w:rFonts w:ascii="Arial" w:eastAsia="黑体" w:hAnsi="Arial" w:cs="Arial"/>
                <w:color w:val="000000"/>
                <w:szCs w:val="21"/>
              </w:rPr>
              <w:t>)</w:t>
            </w:r>
          </w:p>
        </w:tc>
      </w:tr>
      <w:tr w:rsidR="00AD5BB5">
        <w:tc>
          <w:tcPr>
            <w:tcW w:w="4253"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Chars="168" w:left="563" w:hangingChars="100" w:hanging="210"/>
              <w:rPr>
                <w:rFonts w:ascii="Arial" w:eastAsia="黑体" w:hAnsi="Arial" w:cs="Arial"/>
                <w:color w:val="000000"/>
                <w:szCs w:val="21"/>
              </w:rPr>
            </w:pPr>
            <w:r>
              <w:rPr>
                <w:rFonts w:ascii="Arial" w:eastAsia="黑体" w:hAnsi="Arial" w:cs="Arial"/>
                <w:color w:val="000000"/>
                <w:szCs w:val="21"/>
              </w:rPr>
              <w:t>投资收益</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850" w:type="dxa"/>
            <w:tcBorders>
              <w:top w:val="nil"/>
              <w:left w:val="nil"/>
              <w:bottom w:val="nil"/>
              <w:right w:val="nil"/>
            </w:tcBorders>
            <w:shd w:val="clear" w:color="auto" w:fill="auto"/>
            <w:noWrap/>
            <w:vAlign w:val="bottom"/>
          </w:tcPr>
          <w:p w:rsidR="00AD5BB5" w:rsidRDefault="00F87FF6">
            <w:pPr>
              <w:tabs>
                <w:tab w:val="left" w:pos="1578"/>
              </w:tabs>
              <w:kinsoku w:val="0"/>
              <w:overflowPunct w:val="0"/>
              <w:autoSpaceDE w:val="0"/>
              <w:autoSpaceDN w:val="0"/>
              <w:adjustRightInd w:val="0"/>
              <w:snapToGrid w:val="0"/>
              <w:ind w:rightChars="6" w:right="13"/>
              <w:jc w:val="right"/>
              <w:rPr>
                <w:rFonts w:ascii="Arial" w:eastAsia="黑体" w:hAnsi="Arial" w:cs="Arial"/>
                <w:color w:val="000000"/>
                <w:szCs w:val="21"/>
              </w:rPr>
            </w:pPr>
            <w:r>
              <w:rPr>
                <w:rFonts w:ascii="Arial" w:eastAsia="黑体" w:hAnsi="Arial" w:cs="Arial"/>
                <w:color w:val="000000"/>
                <w:szCs w:val="21"/>
              </w:rPr>
              <w:t>(145,411,185.68</w:t>
            </w:r>
          </w:p>
        </w:tc>
        <w:tc>
          <w:tcPr>
            <w:tcW w:w="112"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Chars="-18" w:left="-38"/>
              <w:jc w:val="center"/>
              <w:rPr>
                <w:rFonts w:ascii="Arial" w:eastAsia="黑体" w:hAnsi="Arial" w:cs="Arial"/>
                <w:color w:val="000000"/>
                <w:szCs w:val="21"/>
              </w:rPr>
            </w:pPr>
            <w:r>
              <w:rPr>
                <w:rFonts w:ascii="Arial" w:eastAsia="黑体" w:hAnsi="Arial" w:cs="Arial"/>
                <w:color w:val="000000"/>
                <w:szCs w:val="21"/>
              </w:rPr>
              <w:t>)</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Chars="-18" w:left="-38"/>
              <w:rPr>
                <w:rFonts w:ascii="Arial" w:eastAsia="黑体" w:hAnsi="Arial" w:cs="Arial"/>
                <w:szCs w:val="21"/>
              </w:rPr>
            </w:pPr>
          </w:p>
        </w:tc>
        <w:tc>
          <w:tcPr>
            <w:tcW w:w="1848" w:type="dxa"/>
            <w:tcBorders>
              <w:top w:val="nil"/>
              <w:left w:val="nil"/>
              <w:bottom w:val="nil"/>
              <w:right w:val="nil"/>
            </w:tcBorders>
            <w:shd w:val="clear" w:color="auto" w:fill="auto"/>
            <w:noWrap/>
            <w:vAlign w:val="bottom"/>
          </w:tcPr>
          <w:p w:rsidR="00AD5BB5" w:rsidRDefault="00F87FF6">
            <w:pPr>
              <w:tabs>
                <w:tab w:val="left" w:pos="1578"/>
              </w:tabs>
              <w:kinsoku w:val="0"/>
              <w:overflowPunct w:val="0"/>
              <w:autoSpaceDE w:val="0"/>
              <w:autoSpaceDN w:val="0"/>
              <w:adjustRightInd w:val="0"/>
              <w:snapToGrid w:val="0"/>
              <w:ind w:rightChars="5" w:right="10"/>
              <w:jc w:val="right"/>
              <w:rPr>
                <w:rFonts w:ascii="Arial" w:eastAsia="黑体" w:hAnsi="Arial" w:cs="Arial"/>
                <w:color w:val="000000"/>
                <w:szCs w:val="21"/>
              </w:rPr>
            </w:pPr>
            <w:r>
              <w:rPr>
                <w:rFonts w:ascii="Arial" w:eastAsia="黑体" w:hAnsi="Arial" w:cs="Arial"/>
                <w:color w:val="000000"/>
                <w:szCs w:val="21"/>
              </w:rPr>
              <w:t>(431,386,963.32</w:t>
            </w:r>
          </w:p>
        </w:tc>
        <w:tc>
          <w:tcPr>
            <w:tcW w:w="112"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right="210"/>
              <w:rPr>
                <w:rFonts w:ascii="Arial" w:eastAsia="黑体" w:hAnsi="Arial" w:cs="Arial"/>
                <w:color w:val="000000"/>
                <w:szCs w:val="21"/>
              </w:rPr>
            </w:pPr>
            <w:r>
              <w:rPr>
                <w:rFonts w:ascii="Arial" w:eastAsia="黑体" w:hAnsi="Arial" w:cs="Arial"/>
                <w:color w:val="000000"/>
                <w:szCs w:val="21"/>
              </w:rPr>
              <w:t>)</w:t>
            </w:r>
          </w:p>
        </w:tc>
      </w:tr>
      <w:tr w:rsidR="00AD5BB5">
        <w:tc>
          <w:tcPr>
            <w:tcW w:w="4253" w:type="dxa"/>
            <w:tcBorders>
              <w:top w:val="nil"/>
              <w:left w:val="nil"/>
              <w:bottom w:val="nil"/>
              <w:right w:val="nil"/>
            </w:tcBorders>
            <w:shd w:val="clear" w:color="auto" w:fill="auto"/>
            <w:noWrap/>
            <w:vAlign w:val="bottom"/>
          </w:tcPr>
          <w:p w:rsidR="00AD5BB5" w:rsidRDefault="00F87FF6">
            <w:pPr>
              <w:overflowPunct w:val="0"/>
              <w:autoSpaceDE w:val="0"/>
              <w:autoSpaceDN w:val="0"/>
              <w:adjustRightInd w:val="0"/>
              <w:ind w:left="424" w:hanging="32"/>
              <w:rPr>
                <w:rFonts w:ascii="Arial" w:eastAsia="黑体" w:hAnsi="Arial" w:cs="Arial"/>
                <w:color w:val="000000"/>
                <w:szCs w:val="21"/>
              </w:rPr>
            </w:pPr>
            <w:r>
              <w:rPr>
                <w:rFonts w:ascii="Arial" w:eastAsia="黑体" w:hAnsi="Arial" w:cs="Arial"/>
                <w:color w:val="000000"/>
                <w:szCs w:val="21"/>
              </w:rPr>
              <w:t>未实现的公允价值变动</w:t>
            </w:r>
            <w:r>
              <w:rPr>
                <w:rFonts w:ascii="Arial" w:eastAsia="黑体" w:hAnsi="Arial" w:cs="Arial" w:hint="eastAsia"/>
                <w:color w:val="000000"/>
                <w:szCs w:val="21"/>
              </w:rPr>
              <w:t>（</w:t>
            </w:r>
            <w:r>
              <w:rPr>
                <w:rFonts w:ascii="Arial" w:eastAsia="黑体" w:hAnsi="Arial" w:cs="Arial"/>
                <w:color w:val="000000"/>
                <w:szCs w:val="21"/>
              </w:rPr>
              <w:t>收益</w:t>
            </w:r>
            <w:r>
              <w:rPr>
                <w:rFonts w:ascii="Arial" w:eastAsia="黑体" w:hAnsi="Arial" w:cs="Arial" w:hint="eastAsia"/>
                <w:color w:val="000000"/>
                <w:szCs w:val="21"/>
              </w:rPr>
              <w:t>）</w:t>
            </w:r>
            <w:r>
              <w:rPr>
                <w:rFonts w:ascii="Arial" w:eastAsia="黑体" w:hAnsi="Arial" w:cs="Arial"/>
                <w:color w:val="000000"/>
                <w:szCs w:val="21"/>
              </w:rPr>
              <w:t>/</w:t>
            </w:r>
            <w:r>
              <w:rPr>
                <w:rFonts w:ascii="Arial" w:eastAsia="黑体" w:hAnsi="Arial" w:cs="Arial"/>
                <w:color w:val="000000"/>
                <w:szCs w:val="21"/>
              </w:rPr>
              <w:t>损失</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850" w:type="dxa"/>
            <w:tcBorders>
              <w:top w:val="nil"/>
              <w:left w:val="nil"/>
              <w:bottom w:val="nil"/>
              <w:right w:val="nil"/>
            </w:tcBorders>
            <w:shd w:val="clear" w:color="auto" w:fill="auto"/>
            <w:noWrap/>
            <w:vAlign w:val="bottom"/>
          </w:tcPr>
          <w:p w:rsidR="00AD5BB5" w:rsidRDefault="00F87FF6">
            <w:pPr>
              <w:tabs>
                <w:tab w:val="left" w:pos="1578"/>
              </w:tabs>
              <w:kinsoku w:val="0"/>
              <w:overflowPunct w:val="0"/>
              <w:autoSpaceDE w:val="0"/>
              <w:autoSpaceDN w:val="0"/>
              <w:adjustRightInd w:val="0"/>
              <w:snapToGrid w:val="0"/>
              <w:ind w:rightChars="6" w:right="13"/>
              <w:jc w:val="right"/>
              <w:rPr>
                <w:rFonts w:ascii="Arial" w:eastAsia="黑体" w:hAnsi="Arial" w:cs="Arial"/>
                <w:color w:val="000000"/>
                <w:szCs w:val="21"/>
              </w:rPr>
            </w:pPr>
            <w:r>
              <w:rPr>
                <w:rFonts w:ascii="Arial" w:eastAsia="黑体" w:hAnsi="Arial" w:cs="Arial"/>
                <w:color w:val="000000"/>
                <w:szCs w:val="21"/>
              </w:rPr>
              <w:t>(398,551,336.69</w:t>
            </w:r>
          </w:p>
        </w:tc>
        <w:tc>
          <w:tcPr>
            <w:tcW w:w="112"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Chars="-18" w:left="-38"/>
              <w:jc w:val="center"/>
              <w:rPr>
                <w:rFonts w:ascii="Arial" w:eastAsia="黑体" w:hAnsi="Arial" w:cs="Arial"/>
                <w:color w:val="000000"/>
                <w:szCs w:val="21"/>
              </w:rPr>
            </w:pPr>
            <w:r>
              <w:rPr>
                <w:rFonts w:ascii="Arial" w:eastAsia="黑体" w:hAnsi="Arial" w:cs="Arial"/>
                <w:color w:val="000000"/>
                <w:szCs w:val="21"/>
              </w:rPr>
              <w:t>)</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Chars="-18" w:left="-38"/>
              <w:rPr>
                <w:rFonts w:ascii="Arial" w:eastAsia="黑体" w:hAnsi="Arial" w:cs="Arial"/>
                <w:szCs w:val="21"/>
              </w:rPr>
            </w:pPr>
          </w:p>
        </w:tc>
        <w:tc>
          <w:tcPr>
            <w:tcW w:w="1848" w:type="dxa"/>
            <w:tcBorders>
              <w:top w:val="nil"/>
              <w:left w:val="nil"/>
              <w:bottom w:val="nil"/>
              <w:right w:val="nil"/>
            </w:tcBorders>
            <w:shd w:val="clear" w:color="auto" w:fill="auto"/>
            <w:noWrap/>
            <w:vAlign w:val="bottom"/>
          </w:tcPr>
          <w:p w:rsidR="00AD5BB5" w:rsidRDefault="00F87FF6">
            <w:pPr>
              <w:tabs>
                <w:tab w:val="left" w:pos="1578"/>
              </w:tabs>
              <w:kinsoku w:val="0"/>
              <w:overflowPunct w:val="0"/>
              <w:autoSpaceDE w:val="0"/>
              <w:autoSpaceDN w:val="0"/>
              <w:adjustRightInd w:val="0"/>
              <w:snapToGrid w:val="0"/>
              <w:ind w:rightChars="5" w:right="10"/>
              <w:jc w:val="right"/>
              <w:rPr>
                <w:rFonts w:ascii="Arial" w:eastAsia="黑体" w:hAnsi="Arial" w:cs="Arial"/>
                <w:color w:val="000000"/>
                <w:szCs w:val="21"/>
              </w:rPr>
            </w:pPr>
            <w:r>
              <w:rPr>
                <w:rFonts w:ascii="Arial" w:eastAsia="黑体" w:hAnsi="Arial" w:cs="Arial"/>
                <w:color w:val="000000"/>
                <w:szCs w:val="21"/>
              </w:rPr>
              <w:t>316,527,236.05</w:t>
            </w:r>
          </w:p>
        </w:tc>
        <w:tc>
          <w:tcPr>
            <w:tcW w:w="112"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4253"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Chars="168" w:left="563" w:hangingChars="100" w:hanging="210"/>
              <w:rPr>
                <w:rFonts w:ascii="Arial" w:eastAsia="黑体" w:hAnsi="Arial" w:cs="Arial"/>
                <w:color w:val="000000"/>
                <w:szCs w:val="21"/>
              </w:rPr>
            </w:pPr>
            <w:r>
              <w:rPr>
                <w:rFonts w:ascii="Arial" w:eastAsia="黑体" w:hAnsi="Arial" w:cs="Arial"/>
                <w:color w:val="000000"/>
                <w:szCs w:val="21"/>
              </w:rPr>
              <w:t>发行债券利息支出</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850" w:type="dxa"/>
            <w:tcBorders>
              <w:top w:val="nil"/>
              <w:left w:val="nil"/>
              <w:bottom w:val="nil"/>
              <w:right w:val="nil"/>
            </w:tcBorders>
            <w:shd w:val="clear" w:color="auto" w:fill="auto"/>
            <w:noWrap/>
            <w:vAlign w:val="bottom"/>
          </w:tcPr>
          <w:p w:rsidR="00AD5BB5" w:rsidRDefault="00F87FF6">
            <w:pPr>
              <w:tabs>
                <w:tab w:val="left" w:pos="1578"/>
              </w:tabs>
              <w:kinsoku w:val="0"/>
              <w:overflowPunct w:val="0"/>
              <w:autoSpaceDE w:val="0"/>
              <w:autoSpaceDN w:val="0"/>
              <w:adjustRightInd w:val="0"/>
              <w:snapToGrid w:val="0"/>
              <w:ind w:rightChars="6" w:right="13"/>
              <w:jc w:val="right"/>
              <w:rPr>
                <w:rFonts w:ascii="Arial" w:eastAsia="黑体" w:hAnsi="Arial" w:cs="Arial"/>
                <w:color w:val="000000"/>
                <w:szCs w:val="21"/>
              </w:rPr>
            </w:pPr>
            <w:r>
              <w:rPr>
                <w:rFonts w:ascii="Arial" w:eastAsia="黑体" w:hAnsi="Arial" w:cs="Arial"/>
                <w:color w:val="000000"/>
                <w:szCs w:val="21"/>
              </w:rPr>
              <w:t>935,446,676.03</w:t>
            </w:r>
          </w:p>
        </w:tc>
        <w:tc>
          <w:tcPr>
            <w:tcW w:w="112"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leftChars="-18" w:left="-38"/>
              <w:jc w:val="center"/>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Chars="-18" w:left="-38"/>
              <w:rPr>
                <w:rFonts w:ascii="Arial" w:eastAsia="黑体" w:hAnsi="Arial" w:cs="Arial"/>
                <w:szCs w:val="21"/>
              </w:rPr>
            </w:pPr>
          </w:p>
        </w:tc>
        <w:tc>
          <w:tcPr>
            <w:tcW w:w="1848" w:type="dxa"/>
            <w:tcBorders>
              <w:top w:val="nil"/>
              <w:left w:val="nil"/>
              <w:bottom w:val="nil"/>
              <w:right w:val="nil"/>
            </w:tcBorders>
            <w:shd w:val="clear" w:color="auto" w:fill="auto"/>
            <w:noWrap/>
            <w:vAlign w:val="bottom"/>
          </w:tcPr>
          <w:p w:rsidR="00AD5BB5" w:rsidRDefault="00F87FF6">
            <w:pPr>
              <w:tabs>
                <w:tab w:val="left" w:pos="1578"/>
              </w:tabs>
              <w:kinsoku w:val="0"/>
              <w:overflowPunct w:val="0"/>
              <w:autoSpaceDE w:val="0"/>
              <w:autoSpaceDN w:val="0"/>
              <w:adjustRightInd w:val="0"/>
              <w:snapToGrid w:val="0"/>
              <w:ind w:rightChars="5" w:right="10"/>
              <w:jc w:val="right"/>
              <w:rPr>
                <w:rFonts w:ascii="Arial" w:eastAsia="黑体" w:hAnsi="Arial" w:cs="Arial"/>
                <w:color w:val="000000"/>
                <w:szCs w:val="21"/>
              </w:rPr>
            </w:pPr>
            <w:r>
              <w:rPr>
                <w:rFonts w:ascii="Arial" w:eastAsia="黑体" w:hAnsi="Arial" w:cs="Arial"/>
                <w:color w:val="000000"/>
                <w:szCs w:val="21"/>
              </w:rPr>
              <w:t>920,377,165.93</w:t>
            </w:r>
          </w:p>
        </w:tc>
        <w:tc>
          <w:tcPr>
            <w:tcW w:w="112"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4253" w:type="dxa"/>
            <w:tcBorders>
              <w:top w:val="nil"/>
              <w:left w:val="nil"/>
              <w:bottom w:val="nil"/>
              <w:right w:val="nil"/>
            </w:tcBorders>
            <w:shd w:val="clear" w:color="auto" w:fill="auto"/>
            <w:noWrap/>
            <w:vAlign w:val="bottom"/>
          </w:tcPr>
          <w:p w:rsidR="00AD5BB5" w:rsidRDefault="00F87FF6">
            <w:pPr>
              <w:overflowPunct w:val="0"/>
              <w:autoSpaceDE w:val="0"/>
              <w:autoSpaceDN w:val="0"/>
              <w:adjustRightInd w:val="0"/>
              <w:ind w:left="424" w:hanging="18"/>
              <w:rPr>
                <w:rFonts w:ascii="Arial" w:eastAsia="黑体" w:hAnsi="Arial" w:cs="Arial"/>
                <w:color w:val="000000"/>
                <w:szCs w:val="21"/>
              </w:rPr>
            </w:pPr>
            <w:r>
              <w:rPr>
                <w:rFonts w:ascii="Arial" w:eastAsia="黑体" w:hAnsi="Arial" w:cs="Arial"/>
              </w:rPr>
              <w:t>递延所得税资产的减少</w:t>
            </w:r>
            <w:r>
              <w:rPr>
                <w:rFonts w:ascii="Arial" w:eastAsia="黑体" w:hAnsi="Arial" w:cs="Arial"/>
              </w:rPr>
              <w:t>/(</w:t>
            </w:r>
            <w:r>
              <w:rPr>
                <w:rFonts w:ascii="Arial" w:eastAsia="黑体" w:hAnsi="Arial" w:cs="Arial"/>
              </w:rPr>
              <w:t>增加）</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850" w:type="dxa"/>
            <w:tcBorders>
              <w:top w:val="nil"/>
              <w:left w:val="nil"/>
              <w:bottom w:val="nil"/>
              <w:right w:val="nil"/>
            </w:tcBorders>
            <w:shd w:val="clear" w:color="auto" w:fill="auto"/>
            <w:noWrap/>
            <w:vAlign w:val="bottom"/>
          </w:tcPr>
          <w:p w:rsidR="00AD5BB5" w:rsidRDefault="00F87FF6">
            <w:pPr>
              <w:tabs>
                <w:tab w:val="left" w:pos="1578"/>
              </w:tabs>
              <w:kinsoku w:val="0"/>
              <w:overflowPunct w:val="0"/>
              <w:autoSpaceDE w:val="0"/>
              <w:autoSpaceDN w:val="0"/>
              <w:adjustRightInd w:val="0"/>
              <w:snapToGrid w:val="0"/>
              <w:ind w:rightChars="6" w:right="13"/>
              <w:jc w:val="right"/>
              <w:rPr>
                <w:rFonts w:ascii="Arial" w:eastAsia="黑体" w:hAnsi="Arial" w:cs="Arial"/>
                <w:color w:val="000000"/>
                <w:szCs w:val="21"/>
              </w:rPr>
            </w:pPr>
            <w:r>
              <w:rPr>
                <w:rFonts w:ascii="Arial" w:eastAsia="黑体" w:hAnsi="Arial" w:cs="Arial"/>
              </w:rPr>
              <w:t>118,348,217.18</w:t>
            </w:r>
          </w:p>
        </w:tc>
        <w:tc>
          <w:tcPr>
            <w:tcW w:w="112"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leftChars="-18" w:left="-38"/>
              <w:jc w:val="center"/>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Chars="-18" w:left="-38"/>
              <w:rPr>
                <w:rFonts w:ascii="Arial" w:eastAsia="黑体" w:hAnsi="Arial" w:cs="Arial"/>
                <w:szCs w:val="21"/>
              </w:rPr>
            </w:pPr>
          </w:p>
        </w:tc>
        <w:tc>
          <w:tcPr>
            <w:tcW w:w="1848" w:type="dxa"/>
            <w:tcBorders>
              <w:top w:val="nil"/>
              <w:left w:val="nil"/>
              <w:bottom w:val="nil"/>
              <w:right w:val="nil"/>
            </w:tcBorders>
            <w:shd w:val="clear" w:color="auto" w:fill="auto"/>
            <w:noWrap/>
            <w:vAlign w:val="bottom"/>
          </w:tcPr>
          <w:p w:rsidR="00AD5BB5" w:rsidRDefault="00F87FF6">
            <w:pPr>
              <w:tabs>
                <w:tab w:val="left" w:pos="1578"/>
              </w:tabs>
              <w:kinsoku w:val="0"/>
              <w:overflowPunct w:val="0"/>
              <w:autoSpaceDE w:val="0"/>
              <w:autoSpaceDN w:val="0"/>
              <w:adjustRightInd w:val="0"/>
              <w:snapToGrid w:val="0"/>
              <w:ind w:rightChars="5" w:right="10"/>
              <w:jc w:val="right"/>
              <w:rPr>
                <w:rFonts w:ascii="Arial" w:eastAsia="黑体" w:hAnsi="Arial" w:cs="Arial"/>
                <w:color w:val="000000"/>
                <w:szCs w:val="21"/>
              </w:rPr>
            </w:pPr>
            <w:r>
              <w:rPr>
                <w:rFonts w:ascii="Arial" w:eastAsia="黑体" w:hAnsi="Arial" w:cs="Arial"/>
                <w:color w:val="000000"/>
                <w:szCs w:val="21"/>
              </w:rPr>
              <w:t>(177,814,805.70</w:t>
            </w:r>
          </w:p>
        </w:tc>
        <w:tc>
          <w:tcPr>
            <w:tcW w:w="112"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right="210"/>
              <w:rPr>
                <w:rFonts w:ascii="Arial" w:eastAsia="黑体" w:hAnsi="Arial" w:cs="Arial"/>
                <w:color w:val="000000"/>
                <w:szCs w:val="21"/>
              </w:rPr>
            </w:pPr>
            <w:r>
              <w:rPr>
                <w:rFonts w:ascii="Arial" w:eastAsia="黑体" w:hAnsi="Arial" w:cs="Arial"/>
                <w:color w:val="000000"/>
                <w:szCs w:val="21"/>
              </w:rPr>
              <w:t>)</w:t>
            </w:r>
          </w:p>
        </w:tc>
      </w:tr>
      <w:tr w:rsidR="00AD5BB5">
        <w:tc>
          <w:tcPr>
            <w:tcW w:w="4253"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Chars="168" w:left="563" w:hangingChars="100" w:hanging="210"/>
              <w:rPr>
                <w:rFonts w:ascii="Arial" w:eastAsia="黑体" w:hAnsi="Arial" w:cs="Arial"/>
                <w:color w:val="000000"/>
                <w:szCs w:val="21"/>
              </w:rPr>
            </w:pPr>
            <w:r>
              <w:rPr>
                <w:rFonts w:ascii="Arial" w:eastAsia="黑体" w:hAnsi="Arial" w:cs="Arial"/>
                <w:color w:val="000000"/>
                <w:szCs w:val="21"/>
              </w:rPr>
              <w:t>经营性应收项目的</w:t>
            </w:r>
            <w:r>
              <w:rPr>
                <w:rFonts w:ascii="Arial" w:eastAsia="黑体" w:hAnsi="Arial" w:cs="Arial"/>
              </w:rPr>
              <w:t>增加</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850" w:type="dxa"/>
            <w:tcBorders>
              <w:top w:val="nil"/>
              <w:left w:val="nil"/>
              <w:bottom w:val="nil"/>
              <w:right w:val="nil"/>
            </w:tcBorders>
            <w:shd w:val="clear" w:color="auto" w:fill="auto"/>
            <w:noWrap/>
            <w:vAlign w:val="bottom"/>
          </w:tcPr>
          <w:p w:rsidR="00AD5BB5" w:rsidRDefault="00F87FF6">
            <w:pPr>
              <w:tabs>
                <w:tab w:val="left" w:pos="1578"/>
              </w:tabs>
              <w:kinsoku w:val="0"/>
              <w:overflowPunct w:val="0"/>
              <w:autoSpaceDE w:val="0"/>
              <w:autoSpaceDN w:val="0"/>
              <w:adjustRightInd w:val="0"/>
              <w:snapToGrid w:val="0"/>
              <w:ind w:rightChars="6" w:right="13"/>
              <w:jc w:val="right"/>
              <w:rPr>
                <w:rFonts w:ascii="Arial" w:eastAsia="黑体" w:hAnsi="Arial" w:cs="Arial"/>
                <w:color w:val="000000"/>
                <w:szCs w:val="21"/>
              </w:rPr>
            </w:pPr>
            <w:r>
              <w:rPr>
                <w:rFonts w:ascii="Arial" w:eastAsia="黑体" w:hAnsi="Arial" w:cs="Arial"/>
              </w:rPr>
              <w:t>(1,878,244,450.21</w:t>
            </w:r>
          </w:p>
        </w:tc>
        <w:tc>
          <w:tcPr>
            <w:tcW w:w="112"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Chars="-18" w:left="-38"/>
              <w:jc w:val="center"/>
              <w:rPr>
                <w:rFonts w:ascii="Arial" w:eastAsia="黑体" w:hAnsi="Arial" w:cs="Arial"/>
                <w:color w:val="000000"/>
                <w:szCs w:val="21"/>
              </w:rPr>
            </w:pPr>
            <w:r>
              <w:rPr>
                <w:rFonts w:ascii="Arial" w:eastAsia="黑体" w:hAnsi="Arial" w:cs="Arial"/>
                <w:color w:val="000000"/>
                <w:szCs w:val="21"/>
              </w:rPr>
              <w:t>)</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Chars="-18" w:left="-38"/>
              <w:rPr>
                <w:rFonts w:ascii="Arial" w:eastAsia="黑体" w:hAnsi="Arial" w:cs="Arial"/>
                <w:color w:val="000000"/>
                <w:szCs w:val="21"/>
              </w:rPr>
            </w:pPr>
          </w:p>
        </w:tc>
        <w:tc>
          <w:tcPr>
            <w:tcW w:w="1848" w:type="dxa"/>
            <w:tcBorders>
              <w:top w:val="nil"/>
              <w:left w:val="nil"/>
              <w:bottom w:val="nil"/>
              <w:right w:val="nil"/>
            </w:tcBorders>
            <w:shd w:val="clear" w:color="auto" w:fill="auto"/>
            <w:noWrap/>
            <w:vAlign w:val="bottom"/>
          </w:tcPr>
          <w:p w:rsidR="00AD5BB5" w:rsidRDefault="00F87FF6">
            <w:pPr>
              <w:tabs>
                <w:tab w:val="left" w:pos="1578"/>
              </w:tabs>
              <w:kinsoku w:val="0"/>
              <w:overflowPunct w:val="0"/>
              <w:autoSpaceDE w:val="0"/>
              <w:autoSpaceDN w:val="0"/>
              <w:adjustRightInd w:val="0"/>
              <w:snapToGrid w:val="0"/>
              <w:ind w:rightChars="5" w:right="10"/>
              <w:jc w:val="right"/>
              <w:rPr>
                <w:rFonts w:ascii="Arial" w:eastAsia="黑体" w:hAnsi="Arial" w:cs="Arial"/>
                <w:color w:val="000000"/>
                <w:szCs w:val="21"/>
              </w:rPr>
            </w:pPr>
            <w:r>
              <w:rPr>
                <w:rFonts w:ascii="Arial" w:eastAsia="黑体" w:hAnsi="Arial" w:cs="Arial"/>
                <w:color w:val="000000"/>
                <w:szCs w:val="21"/>
              </w:rPr>
              <w:t>(7,721,571,287.41</w:t>
            </w:r>
          </w:p>
        </w:tc>
        <w:tc>
          <w:tcPr>
            <w:tcW w:w="112"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right="210"/>
              <w:rPr>
                <w:rFonts w:ascii="Arial" w:eastAsia="黑体" w:hAnsi="Arial" w:cs="Arial"/>
                <w:color w:val="000000"/>
                <w:szCs w:val="21"/>
              </w:rPr>
            </w:pPr>
            <w:r>
              <w:rPr>
                <w:rFonts w:ascii="Arial" w:eastAsia="黑体" w:hAnsi="Arial" w:cs="Arial"/>
                <w:color w:val="000000"/>
                <w:szCs w:val="21"/>
              </w:rPr>
              <w:t>)</w:t>
            </w:r>
          </w:p>
        </w:tc>
      </w:tr>
      <w:tr w:rsidR="00AD5BB5">
        <w:tc>
          <w:tcPr>
            <w:tcW w:w="4253"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Chars="168" w:left="563" w:hangingChars="100" w:hanging="210"/>
              <w:rPr>
                <w:rFonts w:ascii="Arial" w:eastAsia="黑体" w:hAnsi="Arial" w:cs="Arial"/>
                <w:color w:val="000000"/>
                <w:szCs w:val="21"/>
              </w:rPr>
            </w:pPr>
            <w:r>
              <w:rPr>
                <w:rFonts w:ascii="Arial" w:eastAsia="黑体" w:hAnsi="Arial" w:cs="Arial"/>
                <w:color w:val="000000"/>
                <w:szCs w:val="21"/>
              </w:rPr>
              <w:t>经营性应付项目的</w:t>
            </w:r>
            <w:r>
              <w:rPr>
                <w:rFonts w:ascii="Arial" w:eastAsia="黑体" w:hAnsi="Arial" w:cs="Arial" w:hint="eastAsia"/>
              </w:rPr>
              <w:t>（减少</w:t>
            </w:r>
            <w:r>
              <w:rPr>
                <w:rFonts w:ascii="Arial" w:eastAsia="黑体" w:hAnsi="Arial" w:cs="Arial"/>
              </w:rPr>
              <w:t>）</w:t>
            </w:r>
            <w:r>
              <w:rPr>
                <w:rFonts w:ascii="Arial" w:eastAsia="黑体" w:hAnsi="Arial" w:cs="Arial"/>
              </w:rPr>
              <w:t>/</w:t>
            </w:r>
            <w:r>
              <w:rPr>
                <w:rFonts w:ascii="Arial" w:eastAsia="黑体" w:hAnsi="Arial" w:cs="Arial" w:hint="eastAsia"/>
              </w:rPr>
              <w:t>增加</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850" w:type="dxa"/>
            <w:tcBorders>
              <w:top w:val="nil"/>
              <w:left w:val="nil"/>
              <w:bottom w:val="single" w:sz="4" w:space="0" w:color="auto"/>
              <w:right w:val="nil"/>
            </w:tcBorders>
            <w:shd w:val="clear" w:color="auto" w:fill="auto"/>
            <w:noWrap/>
            <w:vAlign w:val="bottom"/>
          </w:tcPr>
          <w:p w:rsidR="00AD5BB5" w:rsidRDefault="00F87FF6">
            <w:pPr>
              <w:tabs>
                <w:tab w:val="left" w:pos="1578"/>
              </w:tabs>
              <w:kinsoku w:val="0"/>
              <w:overflowPunct w:val="0"/>
              <w:autoSpaceDE w:val="0"/>
              <w:autoSpaceDN w:val="0"/>
              <w:adjustRightInd w:val="0"/>
              <w:snapToGrid w:val="0"/>
              <w:ind w:rightChars="6" w:right="13"/>
              <w:jc w:val="right"/>
              <w:rPr>
                <w:rFonts w:ascii="Arial" w:eastAsia="黑体" w:hAnsi="Arial" w:cs="Arial"/>
                <w:color w:val="000000"/>
                <w:szCs w:val="21"/>
              </w:rPr>
            </w:pPr>
            <w:r>
              <w:rPr>
                <w:rFonts w:ascii="Arial" w:eastAsia="黑体" w:hAnsi="Arial" w:cs="Arial"/>
              </w:rPr>
              <w:t>(26,521,163,196.53</w:t>
            </w:r>
          </w:p>
        </w:tc>
        <w:tc>
          <w:tcPr>
            <w:tcW w:w="112"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Chars="-18" w:left="-38"/>
              <w:jc w:val="center"/>
              <w:rPr>
                <w:rFonts w:ascii="Arial" w:eastAsia="黑体" w:hAnsi="Arial" w:cs="Arial"/>
                <w:color w:val="000000"/>
                <w:szCs w:val="21"/>
              </w:rPr>
            </w:pPr>
            <w:r>
              <w:rPr>
                <w:rFonts w:ascii="Arial" w:eastAsia="黑体" w:hAnsi="Arial" w:cs="Arial"/>
                <w:color w:val="000000"/>
                <w:szCs w:val="21"/>
              </w:rPr>
              <w:t>)</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Chars="-18" w:left="-38"/>
              <w:rPr>
                <w:rFonts w:ascii="Arial" w:eastAsia="黑体" w:hAnsi="Arial" w:cs="Arial"/>
                <w:szCs w:val="21"/>
              </w:rPr>
            </w:pPr>
          </w:p>
        </w:tc>
        <w:tc>
          <w:tcPr>
            <w:tcW w:w="1848" w:type="dxa"/>
            <w:tcBorders>
              <w:top w:val="nil"/>
              <w:left w:val="nil"/>
              <w:bottom w:val="single" w:sz="4" w:space="0" w:color="auto"/>
              <w:right w:val="nil"/>
            </w:tcBorders>
            <w:shd w:val="clear" w:color="auto" w:fill="auto"/>
            <w:noWrap/>
            <w:vAlign w:val="bottom"/>
          </w:tcPr>
          <w:p w:rsidR="00AD5BB5" w:rsidRDefault="00F87FF6">
            <w:pPr>
              <w:tabs>
                <w:tab w:val="left" w:pos="1578"/>
              </w:tabs>
              <w:kinsoku w:val="0"/>
              <w:overflowPunct w:val="0"/>
              <w:autoSpaceDE w:val="0"/>
              <w:autoSpaceDN w:val="0"/>
              <w:adjustRightInd w:val="0"/>
              <w:snapToGrid w:val="0"/>
              <w:ind w:rightChars="5" w:right="10"/>
              <w:jc w:val="right"/>
              <w:rPr>
                <w:rFonts w:ascii="Arial" w:eastAsia="黑体" w:hAnsi="Arial" w:cs="Arial"/>
                <w:color w:val="000000"/>
                <w:szCs w:val="21"/>
              </w:rPr>
            </w:pPr>
            <w:r>
              <w:rPr>
                <w:rFonts w:ascii="Arial" w:eastAsia="黑体" w:hAnsi="Arial" w:cs="Arial"/>
                <w:color w:val="000000"/>
                <w:szCs w:val="21"/>
              </w:rPr>
              <w:t>23,861,879,451.30</w:t>
            </w:r>
          </w:p>
        </w:tc>
        <w:tc>
          <w:tcPr>
            <w:tcW w:w="112"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425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850" w:type="dxa"/>
            <w:tcBorders>
              <w:top w:val="single" w:sz="4" w:space="0" w:color="auto"/>
              <w:left w:val="nil"/>
              <w:bottom w:val="nil"/>
              <w:right w:val="nil"/>
            </w:tcBorders>
            <w:shd w:val="clear" w:color="auto" w:fill="auto"/>
            <w:noWrap/>
            <w:vAlign w:val="bottom"/>
          </w:tcPr>
          <w:p w:rsidR="00AD5BB5" w:rsidRDefault="00AD5BB5">
            <w:pPr>
              <w:tabs>
                <w:tab w:val="left" w:pos="1578"/>
              </w:tabs>
              <w:kinsoku w:val="0"/>
              <w:overflowPunct w:val="0"/>
              <w:autoSpaceDE w:val="0"/>
              <w:autoSpaceDN w:val="0"/>
              <w:adjustRightInd w:val="0"/>
              <w:snapToGrid w:val="0"/>
              <w:ind w:rightChars="6" w:right="13"/>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leftChars="-18" w:left="-38"/>
              <w:jc w:val="center"/>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Chars="-18" w:left="-38"/>
              <w:rPr>
                <w:rFonts w:ascii="Arial" w:eastAsia="黑体" w:hAnsi="Arial" w:cs="Arial"/>
                <w:szCs w:val="21"/>
              </w:rPr>
            </w:pPr>
          </w:p>
        </w:tc>
        <w:tc>
          <w:tcPr>
            <w:tcW w:w="1848" w:type="dxa"/>
            <w:tcBorders>
              <w:top w:val="single" w:sz="4" w:space="0" w:color="auto"/>
              <w:left w:val="nil"/>
              <w:bottom w:val="nil"/>
              <w:right w:val="nil"/>
            </w:tcBorders>
            <w:shd w:val="clear" w:color="auto" w:fill="auto"/>
            <w:noWrap/>
            <w:vAlign w:val="bottom"/>
          </w:tcPr>
          <w:p w:rsidR="00AD5BB5" w:rsidRDefault="00AD5BB5">
            <w:pPr>
              <w:tabs>
                <w:tab w:val="left" w:pos="1578"/>
              </w:tabs>
              <w:kinsoku w:val="0"/>
              <w:overflowPunct w:val="0"/>
              <w:autoSpaceDE w:val="0"/>
              <w:autoSpaceDN w:val="0"/>
              <w:adjustRightInd w:val="0"/>
              <w:snapToGrid w:val="0"/>
              <w:ind w:rightChars="5" w:right="10"/>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rPr>
                <w:rFonts w:ascii="Arial" w:eastAsia="黑体" w:hAnsi="Arial" w:cs="Arial"/>
                <w:szCs w:val="21"/>
              </w:rPr>
            </w:pPr>
          </w:p>
        </w:tc>
      </w:tr>
      <w:tr w:rsidR="00AD5BB5">
        <w:tc>
          <w:tcPr>
            <w:tcW w:w="4253" w:type="dxa"/>
            <w:tcBorders>
              <w:top w:val="nil"/>
              <w:left w:val="nil"/>
              <w:bottom w:val="nil"/>
              <w:right w:val="nil"/>
            </w:tcBorders>
            <w:shd w:val="clear" w:color="auto" w:fill="auto"/>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经营活动（使用）</w:t>
            </w:r>
            <w:r>
              <w:rPr>
                <w:rFonts w:ascii="Arial" w:eastAsia="黑体" w:hAnsi="Arial" w:cs="Arial"/>
                <w:color w:val="000000"/>
                <w:szCs w:val="21"/>
              </w:rPr>
              <w:t>/</w:t>
            </w:r>
            <w:r>
              <w:rPr>
                <w:rFonts w:ascii="Arial" w:eastAsia="黑体" w:hAnsi="Arial" w:cs="Arial"/>
                <w:color w:val="000000"/>
                <w:szCs w:val="21"/>
              </w:rPr>
              <w:t>产生的现金流量净额</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850" w:type="dxa"/>
            <w:tcBorders>
              <w:top w:val="nil"/>
              <w:left w:val="nil"/>
              <w:bottom w:val="double" w:sz="4" w:space="0" w:color="auto"/>
              <w:right w:val="nil"/>
            </w:tcBorders>
            <w:shd w:val="clear" w:color="auto" w:fill="auto"/>
            <w:noWrap/>
            <w:vAlign w:val="bottom"/>
          </w:tcPr>
          <w:p w:rsidR="00AD5BB5" w:rsidRDefault="00F87FF6">
            <w:pPr>
              <w:tabs>
                <w:tab w:val="left" w:pos="1578"/>
              </w:tabs>
              <w:kinsoku w:val="0"/>
              <w:overflowPunct w:val="0"/>
              <w:autoSpaceDE w:val="0"/>
              <w:autoSpaceDN w:val="0"/>
              <w:adjustRightInd w:val="0"/>
              <w:snapToGrid w:val="0"/>
              <w:ind w:rightChars="6" w:right="13"/>
              <w:jc w:val="right"/>
              <w:rPr>
                <w:rFonts w:ascii="Arial" w:eastAsia="黑体" w:hAnsi="Arial" w:cs="Arial"/>
                <w:color w:val="000000"/>
                <w:szCs w:val="21"/>
              </w:rPr>
            </w:pPr>
            <w:r>
              <w:rPr>
                <w:rFonts w:ascii="Arial" w:eastAsia="黑体" w:hAnsi="Arial" w:cs="Arial"/>
              </w:rPr>
              <w:t>(27,431,570,023.44</w:t>
            </w:r>
          </w:p>
        </w:tc>
        <w:tc>
          <w:tcPr>
            <w:tcW w:w="112"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Chars="-18" w:left="-38"/>
              <w:jc w:val="center"/>
              <w:rPr>
                <w:rFonts w:ascii="Arial" w:eastAsia="黑体" w:hAnsi="Arial" w:cs="Arial"/>
                <w:color w:val="000000"/>
                <w:szCs w:val="21"/>
              </w:rPr>
            </w:pPr>
            <w:r>
              <w:rPr>
                <w:rFonts w:ascii="Arial" w:eastAsia="黑体" w:hAnsi="Arial" w:cs="Arial"/>
                <w:color w:val="000000"/>
                <w:szCs w:val="21"/>
              </w:rPr>
              <w:t>)</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Chars="-18" w:left="-38"/>
              <w:rPr>
                <w:rFonts w:ascii="Arial" w:eastAsia="黑体" w:hAnsi="Arial" w:cs="Arial"/>
                <w:szCs w:val="21"/>
              </w:rPr>
            </w:pPr>
          </w:p>
        </w:tc>
        <w:tc>
          <w:tcPr>
            <w:tcW w:w="1848" w:type="dxa"/>
            <w:tcBorders>
              <w:top w:val="nil"/>
              <w:left w:val="nil"/>
              <w:bottom w:val="double" w:sz="4" w:space="0" w:color="auto"/>
              <w:right w:val="nil"/>
            </w:tcBorders>
            <w:shd w:val="clear" w:color="auto" w:fill="auto"/>
            <w:noWrap/>
            <w:vAlign w:val="bottom"/>
          </w:tcPr>
          <w:p w:rsidR="00AD5BB5" w:rsidRDefault="00F87FF6">
            <w:pPr>
              <w:tabs>
                <w:tab w:val="left" w:pos="1578"/>
              </w:tabs>
              <w:kinsoku w:val="0"/>
              <w:overflowPunct w:val="0"/>
              <w:autoSpaceDE w:val="0"/>
              <w:autoSpaceDN w:val="0"/>
              <w:adjustRightInd w:val="0"/>
              <w:snapToGrid w:val="0"/>
              <w:ind w:rightChars="5" w:right="10"/>
              <w:jc w:val="right"/>
              <w:rPr>
                <w:rFonts w:ascii="Arial" w:eastAsia="黑体" w:hAnsi="Arial" w:cs="Arial"/>
                <w:color w:val="000000"/>
                <w:szCs w:val="21"/>
              </w:rPr>
            </w:pPr>
            <w:r>
              <w:rPr>
                <w:rFonts w:ascii="Arial" w:eastAsia="黑体" w:hAnsi="Arial" w:cs="Arial"/>
                <w:color w:val="000000"/>
                <w:szCs w:val="21"/>
              </w:rPr>
              <w:t>17,479,122,542.24</w:t>
            </w:r>
          </w:p>
        </w:tc>
        <w:tc>
          <w:tcPr>
            <w:tcW w:w="112"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right="210"/>
              <w:rPr>
                <w:rFonts w:ascii="Arial" w:eastAsia="黑体" w:hAnsi="Arial" w:cs="Arial"/>
                <w:color w:val="000000"/>
                <w:szCs w:val="21"/>
              </w:rPr>
            </w:pPr>
          </w:p>
        </w:tc>
      </w:tr>
    </w:tbl>
    <w:p w:rsidR="00AD5BB5" w:rsidRDefault="00F87FF6">
      <w:pPr>
        <w:rPr>
          <w:rFonts w:ascii="Arial" w:eastAsia="黑体" w:hAnsi="Arial" w:cs="Arial"/>
          <w:snapToGrid w:val="0"/>
          <w:sz w:val="22"/>
          <w:szCs w:val="21"/>
        </w:rPr>
      </w:pPr>
      <w:r>
        <w:rPr>
          <w:rFonts w:ascii="Arial" w:eastAsia="黑体" w:hAnsi="Arial" w:cs="Arial"/>
          <w:snapToGrid w:val="0"/>
          <w:sz w:val="22"/>
          <w:szCs w:val="21"/>
        </w:rPr>
        <w:br w:type="page"/>
      </w:r>
    </w:p>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b/>
          <w:snapToGrid w:val="0"/>
          <w:szCs w:val="21"/>
        </w:rPr>
      </w:pPr>
      <w:bookmarkStart w:id="249" w:name="afsaddin_WithXu_1f418c1797354366af2adeca"/>
      <w:r>
        <w:rPr>
          <w:rFonts w:ascii="Arial" w:eastAsia="黑体" w:hAnsi="Arial" w:cs="Arial"/>
          <w:b/>
          <w:snapToGrid w:val="0"/>
          <w:szCs w:val="21"/>
        </w:rPr>
        <w:t>五、</w:t>
      </w:r>
      <w:r>
        <w:rPr>
          <w:rFonts w:ascii="Arial" w:eastAsia="黑体" w:hAnsi="Arial" w:cs="Arial"/>
          <w:b/>
          <w:snapToGrid w:val="0"/>
          <w:szCs w:val="21"/>
        </w:rPr>
        <w:tab/>
      </w:r>
      <w:r>
        <w:rPr>
          <w:rFonts w:ascii="Arial" w:eastAsia="黑体" w:hAnsi="Arial" w:cs="Arial"/>
          <w:b/>
          <w:snapToGrid w:val="0"/>
          <w:szCs w:val="21"/>
        </w:rPr>
        <w:t>合并财务报表主要项目注释（续）</w:t>
      </w:r>
      <w:bookmarkEnd w:id="249"/>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250" w:name="afsaddin_WithXu_a6dbcf453a31452585475fcb"/>
      <w:r>
        <w:rPr>
          <w:rFonts w:ascii="Arial" w:eastAsia="黑体" w:hAnsi="Arial" w:cs="Arial"/>
          <w:b/>
          <w:snapToGrid w:val="0"/>
          <w:szCs w:val="21"/>
        </w:rPr>
        <w:t>47.</w:t>
      </w:r>
      <w:r>
        <w:rPr>
          <w:rFonts w:ascii="Arial" w:eastAsia="黑体" w:hAnsi="Arial" w:cs="Arial"/>
          <w:b/>
          <w:snapToGrid w:val="0"/>
          <w:szCs w:val="21"/>
        </w:rPr>
        <w:tab/>
      </w:r>
      <w:r>
        <w:rPr>
          <w:rFonts w:ascii="Arial" w:eastAsia="黑体" w:hAnsi="Arial" w:cs="Arial"/>
          <w:b/>
          <w:snapToGrid w:val="0"/>
          <w:szCs w:val="21"/>
        </w:rPr>
        <w:t>现金流量表项目注释（续）</w:t>
      </w:r>
      <w:bookmarkEnd w:id="250"/>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14" w:hanging="728"/>
        <w:rPr>
          <w:rFonts w:ascii="Arial" w:eastAsia="黑体" w:hAnsi="Arial" w:cs="Arial"/>
          <w:b/>
          <w:snapToGrid w:val="0"/>
          <w:szCs w:val="21"/>
        </w:rPr>
      </w:pPr>
      <w:bookmarkStart w:id="251" w:name="afsaddin_WithXu_c092b48ec9ac4005898ad52a"/>
      <w:r>
        <w:rPr>
          <w:rFonts w:ascii="Arial" w:eastAsia="黑体" w:hAnsi="Arial" w:cs="Arial"/>
          <w:b/>
          <w:snapToGrid w:val="0"/>
          <w:szCs w:val="21"/>
        </w:rPr>
        <w:t>(1)</w:t>
      </w:r>
      <w:r>
        <w:rPr>
          <w:rFonts w:ascii="Arial" w:eastAsia="黑体" w:hAnsi="Arial" w:cs="Arial"/>
          <w:b/>
          <w:snapToGrid w:val="0"/>
          <w:szCs w:val="21"/>
        </w:rPr>
        <w:tab/>
      </w:r>
      <w:r>
        <w:rPr>
          <w:rFonts w:ascii="Arial" w:eastAsia="黑体" w:hAnsi="Arial" w:cs="Arial"/>
          <w:b/>
          <w:snapToGrid w:val="0"/>
          <w:szCs w:val="21"/>
        </w:rPr>
        <w:t>现金流量表项目注释（续）</w:t>
      </w:r>
      <w:bookmarkEnd w:id="251"/>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现金及现金等价物净变动：</w:t>
      </w:r>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0710c119-ac29-4d24-8a12-9b2e6b562107"/>
        <w:tblDescription w:val="{&quot;UUID&quot;:&quot;afsaddin_tabledata_2_56437_0710c119-ac29-4d24-8a12-9b2e6b562107&quot;,&quot;TitleRowCount&quot;:2,&quot;SplitedTable&quot;:false,&quot;FirstTableId&quot;:&quot;0710c119-ac29-4d24-8a12-9b2e6b562107&quot;}"/>
      </w:tblPr>
      <w:tblGrid>
        <w:gridCol w:w="3878"/>
        <w:gridCol w:w="112"/>
        <w:gridCol w:w="1987"/>
        <w:gridCol w:w="112"/>
        <w:gridCol w:w="112"/>
        <w:gridCol w:w="1984"/>
        <w:gridCol w:w="112"/>
      </w:tblGrid>
      <w:tr w:rsidR="00AD5BB5">
        <w:tc>
          <w:tcPr>
            <w:tcW w:w="3878"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DOCPROPERTY </w:instrText>
            </w:r>
            <w:r>
              <w:rPr>
                <w:rFonts w:ascii="Arial" w:eastAsia="黑体" w:hAnsi="Arial" w:cs="Arial"/>
                <w:szCs w:val="21"/>
              </w:rPr>
              <w:instrText>当期会计期间</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fldChar w:fldCharType="end"/>
            </w:r>
            <w:r>
              <w:rPr>
                <w:rFonts w:ascii="Arial" w:eastAsia="黑体" w:hAnsi="Arial" w:cs="Arial"/>
                <w:szCs w:val="21"/>
              </w:rPr>
              <w:t>年</w:t>
            </w:r>
            <w:r>
              <w:rPr>
                <w:rFonts w:ascii="Arial" w:eastAsia="黑体" w:hAnsi="Arial" w:cs="Arial"/>
                <w:szCs w:val="21"/>
              </w:rPr>
              <w:t>1-6</w:t>
            </w:r>
            <w:r>
              <w:rPr>
                <w:rFonts w:ascii="Arial" w:eastAsia="黑体" w:hAnsi="Arial" w:cs="Arial"/>
                <w:szCs w:val="21"/>
              </w:rPr>
              <w:t>月</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25" w:right="53"/>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DOCPROPERTY </w:instrText>
            </w:r>
            <w:r>
              <w:rPr>
                <w:rFonts w:ascii="Arial" w:eastAsia="黑体" w:hAnsi="Arial" w:cs="Arial"/>
                <w:szCs w:val="21"/>
              </w:rPr>
              <w:instrText>对比会计期间</w:instrText>
            </w:r>
            <w:r>
              <w:rPr>
                <w:rFonts w:ascii="Arial" w:eastAsia="黑体" w:hAnsi="Arial" w:cs="Arial"/>
                <w:szCs w:val="21"/>
              </w:rPr>
              <w:fldChar w:fldCharType="separate"/>
            </w:r>
            <w:r>
              <w:rPr>
                <w:rFonts w:ascii="Arial" w:eastAsia="黑体" w:hAnsi="Arial" w:cs="Arial"/>
                <w:szCs w:val="21"/>
              </w:rPr>
              <w:t>2022</w:t>
            </w:r>
            <w:r>
              <w:rPr>
                <w:rFonts w:ascii="Arial" w:eastAsia="黑体" w:hAnsi="Arial" w:cs="Arial"/>
                <w:szCs w:val="21"/>
              </w:rPr>
              <w:fldChar w:fldCharType="end"/>
            </w:r>
            <w:r>
              <w:rPr>
                <w:rFonts w:ascii="Arial" w:eastAsia="黑体" w:hAnsi="Arial" w:cs="Arial"/>
                <w:szCs w:val="21"/>
              </w:rPr>
              <w:t>年</w:t>
            </w:r>
            <w:r>
              <w:rPr>
                <w:rFonts w:ascii="Arial" w:eastAsia="黑体" w:hAnsi="Arial" w:cs="Arial"/>
                <w:szCs w:val="21"/>
              </w:rPr>
              <w:t>1-6</w:t>
            </w:r>
            <w:r>
              <w:rPr>
                <w:rFonts w:ascii="Arial" w:eastAsia="黑体" w:hAnsi="Arial" w:cs="Arial"/>
                <w:szCs w:val="21"/>
              </w:rPr>
              <w:t>月</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r>
      <w:tr w:rsidR="00AD5BB5">
        <w:tc>
          <w:tcPr>
            <w:tcW w:w="3878"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984"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r>
      <w:tr w:rsidR="00AD5BB5">
        <w:tc>
          <w:tcPr>
            <w:tcW w:w="387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rPr>
              <w:t>现金的期末余额</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230,076,577.40</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226,032,330.12</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272"/>
        </w:trPr>
        <w:tc>
          <w:tcPr>
            <w:tcW w:w="387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630" w:hangingChars="300" w:hanging="630"/>
              <w:rPr>
                <w:rFonts w:ascii="Arial" w:eastAsia="黑体" w:hAnsi="Arial" w:cs="Arial"/>
                <w:color w:val="000000"/>
                <w:szCs w:val="21"/>
              </w:rPr>
            </w:pPr>
            <w:r>
              <w:rPr>
                <w:rFonts w:ascii="Arial" w:eastAsia="黑体" w:hAnsi="Arial" w:cs="Arial"/>
              </w:rPr>
              <w:t>减：现金的期初余额</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(232,517,983.41</w:t>
            </w:r>
          </w:p>
        </w:tc>
        <w:tc>
          <w:tcPr>
            <w:tcW w:w="112"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Cs w:val="21"/>
              </w:rPr>
            </w:pPr>
            <w:r>
              <w:rPr>
                <w:rFonts w:ascii="Arial" w:eastAsia="黑体" w:hAnsi="Arial" w:cs="Arial"/>
                <w:color w:val="000000"/>
                <w:szCs w:val="21"/>
              </w:rPr>
              <w:t>)</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(250,065,693.69</w:t>
            </w:r>
          </w:p>
        </w:tc>
        <w:tc>
          <w:tcPr>
            <w:tcW w:w="112"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Cs w:val="21"/>
              </w:rPr>
            </w:pPr>
            <w:r>
              <w:rPr>
                <w:rFonts w:ascii="Arial" w:eastAsia="黑体" w:hAnsi="Arial" w:cs="Arial"/>
                <w:color w:val="000000"/>
                <w:szCs w:val="21"/>
              </w:rPr>
              <w:t>)</w:t>
            </w:r>
          </w:p>
        </w:tc>
      </w:tr>
      <w:tr w:rsidR="00AD5BB5">
        <w:trPr>
          <w:trHeight w:val="135"/>
        </w:trPr>
        <w:tc>
          <w:tcPr>
            <w:tcW w:w="387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630" w:hangingChars="300" w:hanging="630"/>
              <w:rPr>
                <w:rFonts w:ascii="Arial" w:eastAsia="黑体" w:hAnsi="Arial" w:cs="Arial"/>
                <w:color w:val="000000"/>
                <w:szCs w:val="21"/>
              </w:rPr>
            </w:pPr>
            <w:r>
              <w:rPr>
                <w:rFonts w:ascii="Arial" w:eastAsia="黑体" w:hAnsi="Arial" w:cs="Arial"/>
              </w:rPr>
              <w:t>加：现金等价物的期末余额</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8,965,011,681.44</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19,302,973,695.09</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630" w:hangingChars="300" w:hanging="630"/>
              <w:rPr>
                <w:rFonts w:ascii="Arial" w:eastAsia="黑体" w:hAnsi="Arial" w:cs="Arial"/>
                <w:color w:val="000000"/>
                <w:szCs w:val="21"/>
              </w:rPr>
            </w:pPr>
            <w:r>
              <w:rPr>
                <w:rFonts w:ascii="Arial" w:eastAsia="黑体" w:hAnsi="Arial" w:cs="Arial"/>
              </w:rPr>
              <w:t>减：现金等价物的期初余额</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(31,796,460,086.21</w:t>
            </w:r>
          </w:p>
        </w:tc>
        <w:tc>
          <w:tcPr>
            <w:tcW w:w="112"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Cs w:val="21"/>
              </w:rPr>
            </w:pPr>
            <w:r>
              <w:rPr>
                <w:rFonts w:ascii="Arial" w:eastAsia="黑体" w:hAnsi="Arial" w:cs="Arial"/>
                <w:color w:val="000000"/>
                <w:szCs w:val="21"/>
              </w:rPr>
              <w:t>)</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(14,560,781,785.14</w:t>
            </w:r>
          </w:p>
        </w:tc>
        <w:tc>
          <w:tcPr>
            <w:tcW w:w="112"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Cs w:val="21"/>
              </w:rPr>
            </w:pPr>
            <w:r>
              <w:rPr>
                <w:rFonts w:ascii="Arial" w:eastAsia="黑体" w:hAnsi="Arial" w:cs="Arial"/>
                <w:color w:val="000000"/>
                <w:szCs w:val="21"/>
              </w:rPr>
              <w:t>)</w:t>
            </w:r>
          </w:p>
        </w:tc>
      </w:tr>
      <w:tr w:rsidR="00AD5BB5">
        <w:tc>
          <w:tcPr>
            <w:tcW w:w="387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7"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r>
      <w:tr w:rsidR="00AD5BB5">
        <w:tc>
          <w:tcPr>
            <w:tcW w:w="387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现金及现金等价物净（减少）</w:t>
            </w:r>
            <w:r>
              <w:rPr>
                <w:rFonts w:ascii="Arial" w:eastAsia="黑体" w:hAnsi="Arial" w:cs="Arial"/>
                <w:color w:val="000000"/>
                <w:szCs w:val="21"/>
              </w:rPr>
              <w:t>/</w:t>
            </w:r>
            <w:r>
              <w:rPr>
                <w:rFonts w:ascii="Arial" w:eastAsia="黑体" w:hAnsi="Arial" w:cs="Arial"/>
                <w:color w:val="000000"/>
                <w:szCs w:val="21"/>
              </w:rPr>
              <w:t>增加额</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(22,833,889,810.78</w:t>
            </w:r>
          </w:p>
        </w:tc>
        <w:tc>
          <w:tcPr>
            <w:tcW w:w="112"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Cs w:val="21"/>
              </w:rPr>
            </w:pPr>
            <w:r>
              <w:rPr>
                <w:rFonts w:ascii="Arial" w:eastAsia="黑体" w:hAnsi="Arial" w:cs="Arial"/>
                <w:color w:val="000000"/>
                <w:szCs w:val="21"/>
              </w:rPr>
              <w:t>)</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4,718,158,546.38</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bl>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adjustRightInd w:val="0"/>
        <w:snapToGrid w:val="0"/>
        <w:ind w:left="720" w:hanging="720"/>
        <w:textAlignment w:val="bottom"/>
        <w:rPr>
          <w:rFonts w:ascii="Arial" w:eastAsia="黑体" w:hAnsi="Arial" w:cs="Arial"/>
          <w:b/>
          <w:bCs/>
          <w:szCs w:val="21"/>
        </w:rPr>
      </w:pPr>
      <w:bookmarkStart w:id="252" w:name="afsaddin_WithXu_14300c7828954be3a15e0208"/>
      <w:bookmarkStart w:id="253" w:name="afsaddin_WithXu_158476afb1ff4f1a81fb3d03"/>
      <w:bookmarkStart w:id="254" w:name="afsaddin_WithXu_1dbc49211c5a42a7b44368ee"/>
      <w:bookmarkEnd w:id="252"/>
      <w:bookmarkEnd w:id="253"/>
      <w:bookmarkEnd w:id="254"/>
      <w:r>
        <w:rPr>
          <w:rFonts w:ascii="Arial" w:eastAsia="黑体" w:hAnsi="Arial" w:cs="Arial"/>
          <w:b/>
          <w:bCs/>
          <w:szCs w:val="21"/>
        </w:rPr>
        <w:t>(2)</w:t>
      </w:r>
      <w:r>
        <w:rPr>
          <w:rFonts w:ascii="Arial" w:eastAsia="黑体" w:hAnsi="Arial" w:cs="Arial"/>
          <w:b/>
          <w:bCs/>
          <w:szCs w:val="21"/>
        </w:rPr>
        <w:tab/>
      </w:r>
      <w:r>
        <w:rPr>
          <w:rFonts w:ascii="Arial" w:eastAsia="黑体" w:hAnsi="Arial" w:cs="Arial"/>
          <w:b/>
          <w:bCs/>
          <w:szCs w:val="21"/>
        </w:rPr>
        <w:t>现金及现金等价物</w:t>
      </w:r>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f6abd5c7-ec8e-4e92-b7a0-cc7e37b37774"/>
        <w:tblDescription w:val="{&quot;UUID&quot;:&quot;afsaddin_tabledata_2_56437_f6abd5c7-ec8e-4e92-b7a0-cc7e37b37774&quot;,&quot;TitleRowCount&quot;:2,&quot;SplitedTable&quot;:false,&quot;FirstTableId&quot;:&quot;f6abd5c7-ec8e-4e92-b7a0-cc7e37b37774&quot;}"/>
      </w:tblPr>
      <w:tblGrid>
        <w:gridCol w:w="3878"/>
        <w:gridCol w:w="112"/>
        <w:gridCol w:w="1987"/>
        <w:gridCol w:w="112"/>
        <w:gridCol w:w="112"/>
        <w:gridCol w:w="1984"/>
        <w:gridCol w:w="112"/>
      </w:tblGrid>
      <w:tr w:rsidR="00AD5BB5">
        <w:tc>
          <w:tcPr>
            <w:tcW w:w="3878"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当期资产负债表日</w:instrText>
            </w:r>
            <w:r>
              <w:rPr>
                <w:rFonts w:ascii="Arial" w:eastAsia="黑体" w:hAnsi="Arial" w:cs="Arial"/>
                <w:szCs w:val="21"/>
              </w:rPr>
              <w:instrText xml:space="preserve"> </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t>年</w:t>
            </w:r>
            <w:r>
              <w:rPr>
                <w:rFonts w:ascii="Arial" w:eastAsia="黑体" w:hAnsi="Arial" w:cs="Arial"/>
                <w:szCs w:val="21"/>
              </w:rPr>
              <w:t>6</w:t>
            </w:r>
            <w:r>
              <w:rPr>
                <w:rFonts w:ascii="Arial" w:eastAsia="黑体" w:hAnsi="Arial" w:cs="Arial"/>
                <w:szCs w:val="21"/>
              </w:rPr>
              <w:t>月</w:t>
            </w:r>
            <w:r>
              <w:rPr>
                <w:rFonts w:ascii="Arial" w:eastAsia="黑体" w:hAnsi="Arial" w:cs="Arial"/>
                <w:szCs w:val="21"/>
              </w:rPr>
              <w:t>30</w:t>
            </w:r>
            <w:r>
              <w:rPr>
                <w:rFonts w:ascii="Arial" w:eastAsia="黑体" w:hAnsi="Arial" w:cs="Arial"/>
                <w:szCs w:val="21"/>
              </w:rPr>
              <w:t>日</w:t>
            </w:r>
            <w:r>
              <w:rPr>
                <w:rFonts w:ascii="Arial" w:eastAsia="黑体" w:hAnsi="Arial" w:cs="Arial"/>
                <w:szCs w:val="21"/>
              </w:rPr>
              <w:fldChar w:fldCharType="end"/>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19" w:right="40"/>
              <w:jc w:val="right"/>
              <w:rPr>
                <w:rFonts w:ascii="Arial" w:eastAsia="黑体" w:hAnsi="Arial" w:cs="Arial"/>
                <w:szCs w:val="21"/>
              </w:rPr>
            </w:pPr>
            <w:r>
              <w:rPr>
                <w:rFonts w:ascii="Arial" w:eastAsia="黑体" w:hAnsi="Arial" w:cs="Arial"/>
                <w:szCs w:val="21"/>
              </w:rPr>
              <w:t>2022</w:t>
            </w:r>
            <w:r>
              <w:rPr>
                <w:rFonts w:ascii="Arial" w:eastAsia="黑体" w:hAnsi="Arial" w:cs="Arial"/>
                <w:szCs w:val="21"/>
              </w:rPr>
              <w:t>年</w:t>
            </w:r>
            <w:r>
              <w:rPr>
                <w:rFonts w:ascii="Arial" w:eastAsia="黑体" w:hAnsi="Arial" w:cs="Arial"/>
                <w:szCs w:val="21"/>
              </w:rPr>
              <w:t>6</w:t>
            </w:r>
            <w:r>
              <w:rPr>
                <w:rFonts w:ascii="Arial" w:eastAsia="黑体" w:hAnsi="Arial" w:cs="Arial"/>
                <w:szCs w:val="21"/>
              </w:rPr>
              <w:t>月</w:t>
            </w:r>
            <w:r>
              <w:rPr>
                <w:rFonts w:ascii="Arial" w:eastAsia="黑体" w:hAnsi="Arial" w:cs="Arial"/>
                <w:szCs w:val="21"/>
              </w:rPr>
              <w:t>30</w:t>
            </w:r>
            <w:r>
              <w:rPr>
                <w:rFonts w:ascii="Arial" w:eastAsia="黑体" w:hAnsi="Arial" w:cs="Arial"/>
                <w:szCs w:val="21"/>
              </w:rPr>
              <w:t>日</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r>
      <w:tr w:rsidR="00AD5BB5">
        <w:tc>
          <w:tcPr>
            <w:tcW w:w="3878"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984"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r>
      <w:tr w:rsidR="00AD5BB5">
        <w:tc>
          <w:tcPr>
            <w:tcW w:w="387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现金</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24" w:right="50"/>
              <w:jc w:val="right"/>
              <w:rPr>
                <w:rFonts w:ascii="Arial" w:eastAsia="黑体" w:hAnsi="Arial" w:cs="Arial"/>
                <w:color w:val="000000"/>
                <w:szCs w:val="21"/>
              </w:rPr>
            </w:pPr>
            <w:r>
              <w:rPr>
                <w:rFonts w:ascii="Arial" w:eastAsia="黑体" w:hAnsi="Arial" w:cs="Arial"/>
                <w:color w:val="000000"/>
                <w:szCs w:val="21"/>
              </w:rPr>
              <w:t>230,076,577.40</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27" w:right="57"/>
              <w:jc w:val="right"/>
              <w:rPr>
                <w:rFonts w:ascii="Arial" w:eastAsia="黑体" w:hAnsi="Arial" w:cs="Arial"/>
                <w:color w:val="000000"/>
                <w:szCs w:val="21"/>
              </w:rPr>
            </w:pPr>
            <w:r>
              <w:rPr>
                <w:rFonts w:ascii="Arial" w:eastAsia="黑体" w:hAnsi="Arial" w:cs="Arial"/>
                <w:color w:val="000000"/>
                <w:szCs w:val="21"/>
              </w:rPr>
              <w:t>226,032,330.12</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存放中央银行超额存款准备金</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24" w:right="50"/>
              <w:jc w:val="right"/>
              <w:rPr>
                <w:rFonts w:ascii="Arial" w:eastAsia="黑体" w:hAnsi="Arial" w:cs="Arial"/>
                <w:color w:val="000000"/>
                <w:szCs w:val="21"/>
              </w:rPr>
            </w:pPr>
            <w:r>
              <w:rPr>
                <w:rFonts w:ascii="Arial" w:eastAsia="黑体" w:hAnsi="Arial" w:cs="Arial"/>
                <w:color w:val="000000"/>
                <w:szCs w:val="21"/>
              </w:rPr>
              <w:t>4,310,536,906.75</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27" w:right="57"/>
              <w:jc w:val="right"/>
              <w:rPr>
                <w:rFonts w:ascii="Arial" w:eastAsia="黑体" w:hAnsi="Arial" w:cs="Arial"/>
                <w:color w:val="000000"/>
                <w:szCs w:val="21"/>
              </w:rPr>
            </w:pPr>
            <w:r>
              <w:rPr>
                <w:rFonts w:ascii="Arial" w:eastAsia="黑体" w:hAnsi="Arial" w:cs="Arial"/>
                <w:color w:val="000000"/>
                <w:szCs w:val="21"/>
              </w:rPr>
              <w:t>7,503,097,459.87</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原到期日不超过三个月的</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rightChars="24" w:right="50"/>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rightChars="27" w:right="57"/>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Chars="94" w:left="407" w:hangingChars="100" w:hanging="210"/>
              <w:rPr>
                <w:rFonts w:ascii="Arial" w:eastAsia="黑体" w:hAnsi="Arial" w:cs="Arial"/>
                <w:color w:val="000000"/>
                <w:szCs w:val="21"/>
              </w:rPr>
            </w:pPr>
            <w:r>
              <w:rPr>
                <w:rFonts w:ascii="Arial" w:eastAsia="黑体" w:hAnsi="Arial" w:cs="Arial"/>
                <w:color w:val="000000"/>
                <w:szCs w:val="21"/>
              </w:rPr>
              <w:t>—</w:t>
            </w:r>
            <w:r>
              <w:rPr>
                <w:rFonts w:ascii="Arial" w:eastAsia="黑体" w:hAnsi="Arial" w:cs="Arial"/>
                <w:color w:val="000000"/>
                <w:szCs w:val="21"/>
              </w:rPr>
              <w:t>存放同业及其他金融机构款项</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24" w:right="50"/>
              <w:jc w:val="right"/>
              <w:rPr>
                <w:rFonts w:ascii="Arial" w:eastAsia="黑体" w:hAnsi="Arial" w:cs="Arial"/>
                <w:color w:val="000000"/>
                <w:szCs w:val="21"/>
              </w:rPr>
            </w:pPr>
            <w:r>
              <w:rPr>
                <w:rFonts w:ascii="Arial" w:eastAsia="黑体" w:hAnsi="Arial" w:cs="Arial"/>
                <w:color w:val="000000"/>
                <w:szCs w:val="21"/>
              </w:rPr>
              <w:t>2,798,680,774.69</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27" w:right="57"/>
              <w:jc w:val="right"/>
              <w:rPr>
                <w:rFonts w:ascii="Arial" w:eastAsia="黑体" w:hAnsi="Arial" w:cs="Arial"/>
                <w:color w:val="000000"/>
                <w:szCs w:val="21"/>
              </w:rPr>
            </w:pPr>
            <w:r>
              <w:rPr>
                <w:rFonts w:ascii="Arial" w:eastAsia="黑体" w:hAnsi="Arial" w:cs="Arial"/>
                <w:color w:val="000000"/>
                <w:szCs w:val="21"/>
              </w:rPr>
              <w:t>3,104,522,235.22</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Chars="94" w:left="407" w:hangingChars="100" w:hanging="210"/>
              <w:rPr>
                <w:rFonts w:ascii="Arial" w:eastAsia="黑体" w:hAnsi="Arial" w:cs="Arial"/>
                <w:color w:val="000000"/>
                <w:szCs w:val="21"/>
              </w:rPr>
            </w:pPr>
            <w:r>
              <w:rPr>
                <w:rFonts w:ascii="Arial" w:eastAsia="黑体" w:hAnsi="Arial" w:cs="Arial"/>
                <w:color w:val="000000"/>
                <w:szCs w:val="21"/>
              </w:rPr>
              <w:t>—</w:t>
            </w:r>
            <w:r>
              <w:rPr>
                <w:rFonts w:ascii="Arial" w:eastAsia="黑体" w:hAnsi="Arial" w:cs="Arial"/>
                <w:color w:val="000000"/>
                <w:szCs w:val="21"/>
              </w:rPr>
              <w:t>拆出资金</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24" w:right="50"/>
              <w:jc w:val="right"/>
              <w:rPr>
                <w:rFonts w:ascii="Arial" w:eastAsia="黑体" w:hAnsi="Arial" w:cs="Arial"/>
                <w:color w:val="000000"/>
                <w:szCs w:val="21"/>
              </w:rPr>
            </w:pPr>
            <w:r>
              <w:rPr>
                <w:rFonts w:ascii="Arial" w:eastAsia="黑体" w:hAnsi="Arial" w:cs="Arial"/>
                <w:color w:val="000000"/>
                <w:szCs w:val="21"/>
              </w:rPr>
              <w:t>143,000,000.00</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4"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rightChars="27" w:right="57"/>
              <w:jc w:val="right"/>
              <w:rPr>
                <w:rFonts w:ascii="Arial" w:eastAsia="黑体" w:hAnsi="Arial" w:cs="Arial"/>
                <w:color w:val="000000"/>
                <w:szCs w:val="21"/>
              </w:rPr>
            </w:pPr>
            <w:r>
              <w:rPr>
                <w:rFonts w:ascii="Arial" w:eastAsia="黑体" w:hAnsi="Arial" w:cs="Arial"/>
                <w:color w:val="000000"/>
                <w:szCs w:val="21"/>
              </w:rPr>
              <w:t>-</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Chars="94" w:left="407" w:hangingChars="100" w:hanging="210"/>
              <w:rPr>
                <w:rFonts w:ascii="Arial" w:eastAsia="黑体" w:hAnsi="Arial" w:cs="Arial"/>
                <w:color w:val="000000"/>
                <w:szCs w:val="21"/>
              </w:rPr>
            </w:pPr>
            <w:r>
              <w:rPr>
                <w:rFonts w:ascii="Arial" w:eastAsia="黑体" w:hAnsi="Arial" w:cs="Arial"/>
                <w:color w:val="000000"/>
                <w:szCs w:val="21"/>
              </w:rPr>
              <w:t>—</w:t>
            </w:r>
            <w:r>
              <w:rPr>
                <w:rFonts w:ascii="Arial" w:eastAsia="黑体" w:hAnsi="Arial" w:cs="Arial"/>
                <w:color w:val="000000"/>
                <w:szCs w:val="21"/>
              </w:rPr>
              <w:t>买入返售金融资产</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single" w:sz="2"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rightChars="24" w:right="50"/>
              <w:jc w:val="right"/>
              <w:rPr>
                <w:rFonts w:ascii="Arial" w:eastAsia="黑体" w:hAnsi="Arial" w:cs="Arial"/>
                <w:color w:val="000000"/>
                <w:szCs w:val="21"/>
              </w:rPr>
            </w:pPr>
            <w:r>
              <w:rPr>
                <w:rFonts w:ascii="Arial" w:eastAsia="黑体" w:hAnsi="Arial" w:cs="Arial"/>
                <w:color w:val="000000"/>
                <w:szCs w:val="21"/>
              </w:rPr>
              <w:t>1,712,794,000.00</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4" w:type="dxa"/>
            <w:tcBorders>
              <w:top w:val="nil"/>
              <w:left w:val="nil"/>
              <w:bottom w:val="single" w:sz="2"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rightChars="27" w:right="57"/>
              <w:jc w:val="right"/>
              <w:rPr>
                <w:rFonts w:ascii="Arial" w:eastAsia="黑体" w:hAnsi="Arial" w:cs="Arial"/>
                <w:color w:val="000000"/>
                <w:szCs w:val="21"/>
              </w:rPr>
            </w:pPr>
            <w:r>
              <w:rPr>
                <w:rFonts w:ascii="Arial" w:eastAsia="黑体" w:hAnsi="Arial" w:cs="Arial"/>
                <w:color w:val="000000"/>
                <w:szCs w:val="21"/>
              </w:rPr>
              <w:t>8,695,354,000.00</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878"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Chars="100" w:left="420" w:hangingChars="100" w:hanging="210"/>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7" w:type="dxa"/>
            <w:tcBorders>
              <w:top w:val="single" w:sz="2"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24" w:right="50"/>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single" w:sz="2"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rightChars="27" w:right="57"/>
              <w:jc w:val="right"/>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r>
      <w:tr w:rsidR="00AD5BB5">
        <w:tc>
          <w:tcPr>
            <w:tcW w:w="387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现金及现金等价物余额</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987"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rightChars="24" w:right="50"/>
              <w:jc w:val="right"/>
              <w:rPr>
                <w:rFonts w:ascii="Arial" w:eastAsia="黑体" w:hAnsi="Arial" w:cs="Arial"/>
                <w:color w:val="000000"/>
                <w:szCs w:val="21"/>
              </w:rPr>
            </w:pPr>
            <w:r>
              <w:rPr>
                <w:rFonts w:ascii="Arial" w:eastAsia="黑体" w:hAnsi="Arial" w:cs="Arial"/>
                <w:color w:val="000000"/>
                <w:szCs w:val="21"/>
              </w:rPr>
              <w:t>9,195,088,258.84</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984"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ind w:rightChars="27" w:right="57"/>
              <w:jc w:val="right"/>
              <w:rPr>
                <w:rFonts w:ascii="Arial" w:eastAsia="黑体" w:hAnsi="Arial" w:cs="Arial"/>
                <w:color w:val="000000"/>
                <w:szCs w:val="21"/>
              </w:rPr>
            </w:pPr>
            <w:r>
              <w:rPr>
                <w:rFonts w:ascii="Arial" w:eastAsia="黑体" w:hAnsi="Arial" w:cs="Arial"/>
                <w:color w:val="000000"/>
                <w:szCs w:val="21"/>
              </w:rPr>
              <w:t>19,529,006,025.21</w:t>
            </w:r>
          </w:p>
        </w:tc>
        <w:tc>
          <w:tcPr>
            <w:tcW w:w="112"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bl>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pPr>
    </w:p>
    <w:p w:rsidR="00AD5BB5" w:rsidRDefault="00F87FF6">
      <w:pPr>
        <w:pStyle w:val="a3"/>
        <w:numPr>
          <w:ilvl w:val="0"/>
          <w:numId w:val="0"/>
        </w:numPr>
        <w:rPr>
          <w:sz w:val="21"/>
          <w:szCs w:val="21"/>
        </w:rPr>
      </w:pPr>
      <w:bookmarkStart w:id="255" w:name="afsaddin_Section_e523c7d6fe924aa7a70fc18"/>
      <w:r>
        <w:rPr>
          <w:sz w:val="21"/>
          <w:szCs w:val="21"/>
        </w:rPr>
        <w:t>六、</w:t>
      </w:r>
      <w:r>
        <w:rPr>
          <w:sz w:val="21"/>
          <w:szCs w:val="21"/>
        </w:rPr>
        <w:tab/>
      </w:r>
      <w:r>
        <w:rPr>
          <w:sz w:val="21"/>
          <w:szCs w:val="21"/>
        </w:rPr>
        <w:t>合并范围的变动</w:t>
      </w:r>
    </w:p>
    <w:bookmarkEnd w:id="255"/>
    <w:p w:rsidR="00AD5BB5" w:rsidRDefault="00AD5BB5">
      <w:pPr>
        <w:overflowPunct w:val="0"/>
        <w:autoSpaceDE w:val="0"/>
        <w:autoSpaceDN w:val="0"/>
        <w:rPr>
          <w:rFonts w:ascii="Arial" w:eastAsia="黑体" w:hAnsi="Arial" w:cs="Arial"/>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本年，本行无新纳入合并范围的子公司和结构化主体中的权益。</w:t>
      </w:r>
    </w:p>
    <w:p w:rsidR="00AD5BB5" w:rsidRDefault="00AD5BB5">
      <w:pPr>
        <w:overflowPunct w:val="0"/>
        <w:autoSpaceDE w:val="0"/>
        <w:autoSpaceDN w:val="0"/>
        <w:adjustRightInd w:val="0"/>
        <w:snapToGrid w:val="0"/>
        <w:textAlignment w:val="bottom"/>
        <w:rPr>
          <w:rFonts w:ascii="Arial" w:eastAsia="黑体" w:hAnsi="Arial" w:cs="Arial"/>
          <w:szCs w:val="21"/>
        </w:rPr>
      </w:pPr>
    </w:p>
    <w:p w:rsidR="00AD5BB5" w:rsidRDefault="00AD5BB5">
      <w:pPr>
        <w:overflowPunct w:val="0"/>
        <w:autoSpaceDE w:val="0"/>
        <w:autoSpaceDN w:val="0"/>
        <w:adjustRightInd w:val="0"/>
        <w:snapToGrid w:val="0"/>
        <w:textAlignment w:val="bottom"/>
        <w:rPr>
          <w:rFonts w:ascii="Arial" w:eastAsia="黑体" w:hAnsi="Arial" w:cs="Arial"/>
          <w:szCs w:val="21"/>
        </w:rPr>
      </w:pPr>
    </w:p>
    <w:p w:rsidR="00AD5BB5" w:rsidRDefault="00F87FF6">
      <w:pPr>
        <w:pStyle w:val="a3"/>
        <w:numPr>
          <w:ilvl w:val="0"/>
          <w:numId w:val="0"/>
        </w:numPr>
        <w:rPr>
          <w:sz w:val="21"/>
          <w:szCs w:val="21"/>
        </w:rPr>
      </w:pPr>
      <w:bookmarkStart w:id="256" w:name="afsaddin_Section_43df37c5d28e438992bd4f3"/>
      <w:r>
        <w:rPr>
          <w:sz w:val="21"/>
          <w:szCs w:val="21"/>
        </w:rPr>
        <w:t>七、</w:t>
      </w:r>
      <w:r>
        <w:rPr>
          <w:sz w:val="21"/>
          <w:szCs w:val="21"/>
        </w:rPr>
        <w:tab/>
      </w:r>
      <w:r>
        <w:rPr>
          <w:sz w:val="21"/>
          <w:szCs w:val="21"/>
        </w:rPr>
        <w:t>在其他主体中的权益</w:t>
      </w:r>
    </w:p>
    <w:bookmarkEnd w:id="256"/>
    <w:p w:rsidR="00AD5BB5" w:rsidRDefault="00AD5BB5">
      <w:pPr>
        <w:overflowPunct w:val="0"/>
        <w:autoSpaceDE w:val="0"/>
        <w:autoSpaceDN w:val="0"/>
        <w:rPr>
          <w:rFonts w:ascii="Arial" w:eastAsia="黑体" w:hAnsi="Arial" w:cs="Arial"/>
          <w:snapToGrid w:val="0"/>
          <w:szCs w:val="21"/>
        </w:rPr>
      </w:pPr>
    </w:p>
    <w:p w:rsidR="00AD5BB5" w:rsidRDefault="00F87FF6">
      <w:pPr>
        <w:pStyle w:val="af5"/>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257" w:name="afsaddin_Section_16c9c4a85051497b9c715fc"/>
      <w:r>
        <w:rPr>
          <w:rFonts w:ascii="Arial" w:eastAsia="黑体" w:hAnsi="Arial" w:cs="Arial" w:hint="default"/>
          <w:bCs w:val="0"/>
          <w:snapToGrid w:val="0"/>
          <w:color w:val="auto"/>
          <w:sz w:val="21"/>
          <w:szCs w:val="21"/>
        </w:rPr>
        <w:t>1.</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在子公司中的权益</w:t>
      </w:r>
    </w:p>
    <w:bookmarkEnd w:id="257"/>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于</w:t>
      </w: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当期资产负债表日</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2023</w:t>
      </w:r>
      <w:r>
        <w:rPr>
          <w:rFonts w:ascii="Arial" w:eastAsia="黑体" w:hAnsi="Arial" w:cs="Arial"/>
          <w:snapToGrid w:val="0"/>
          <w:szCs w:val="21"/>
        </w:rPr>
        <w:t>年</w:t>
      </w:r>
      <w:r>
        <w:rPr>
          <w:rFonts w:ascii="Arial" w:eastAsia="黑体" w:hAnsi="Arial" w:cs="Arial"/>
          <w:snapToGrid w:val="0"/>
          <w:szCs w:val="21"/>
        </w:rPr>
        <w:t>6</w:t>
      </w:r>
      <w:r>
        <w:rPr>
          <w:rFonts w:ascii="Arial" w:eastAsia="黑体" w:hAnsi="Arial" w:cs="Arial"/>
          <w:snapToGrid w:val="0"/>
          <w:szCs w:val="21"/>
        </w:rPr>
        <w:t>月</w:t>
      </w:r>
      <w:r>
        <w:rPr>
          <w:rFonts w:ascii="Arial" w:eastAsia="黑体" w:hAnsi="Arial" w:cs="Arial"/>
          <w:snapToGrid w:val="0"/>
          <w:szCs w:val="21"/>
        </w:rPr>
        <w:t>30</w:t>
      </w:r>
      <w:r>
        <w:rPr>
          <w:rFonts w:ascii="Arial" w:eastAsia="黑体" w:hAnsi="Arial" w:cs="Arial"/>
          <w:snapToGrid w:val="0"/>
          <w:szCs w:val="21"/>
        </w:rPr>
        <w:t>日</w:t>
      </w:r>
      <w:r>
        <w:rPr>
          <w:rFonts w:ascii="Arial" w:eastAsia="黑体" w:hAnsi="Arial" w:cs="Arial"/>
          <w:snapToGrid w:val="0"/>
          <w:szCs w:val="21"/>
        </w:rPr>
        <w:fldChar w:fldCharType="end"/>
      </w:r>
      <w:r>
        <w:rPr>
          <w:rFonts w:ascii="Arial" w:eastAsia="黑体" w:hAnsi="Arial" w:cs="Arial"/>
          <w:snapToGrid w:val="0"/>
          <w:szCs w:val="21"/>
        </w:rPr>
        <w:t>，本行</w:t>
      </w:r>
      <w:r>
        <w:rPr>
          <w:rFonts w:ascii="Arial" w:eastAsia="黑体" w:hAnsi="Arial" w:cs="Arial"/>
          <w:szCs w:val="21"/>
        </w:rPr>
        <w:t>子公司</w:t>
      </w:r>
      <w:r>
        <w:rPr>
          <w:rFonts w:ascii="Arial" w:eastAsia="黑体" w:hAnsi="Arial" w:cs="Arial"/>
          <w:snapToGrid w:val="0"/>
          <w:szCs w:val="21"/>
        </w:rPr>
        <w:t>的情况如下：</w:t>
      </w:r>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eefc3484-df94-4ef0-82cf-71374d104a82"/>
        <w:tblDescription w:val="{&quot;UUID&quot;:&quot;afsaddin_tabledata_2_56437_eefc3484-df94-4ef0-82cf-71374d104a82&quot;,&quot;TitleRowCount&quot;:3,&quot;SplitedTable&quot;:false,&quot;FirstTableId&quot;:&quot;eefc3484-df94-4ef0-82cf-71374d104a82&quot;}"/>
      </w:tblPr>
      <w:tblGrid>
        <w:gridCol w:w="1560"/>
        <w:gridCol w:w="101"/>
        <w:gridCol w:w="827"/>
        <w:gridCol w:w="101"/>
        <w:gridCol w:w="101"/>
        <w:gridCol w:w="649"/>
        <w:gridCol w:w="101"/>
        <w:gridCol w:w="101"/>
        <w:gridCol w:w="1641"/>
        <w:gridCol w:w="101"/>
        <w:gridCol w:w="101"/>
        <w:gridCol w:w="1304"/>
        <w:gridCol w:w="101"/>
        <w:gridCol w:w="101"/>
        <w:gridCol w:w="623"/>
        <w:gridCol w:w="101"/>
        <w:gridCol w:w="101"/>
        <w:gridCol w:w="507"/>
        <w:gridCol w:w="101"/>
      </w:tblGrid>
      <w:tr w:rsidR="00AD5BB5">
        <w:tc>
          <w:tcPr>
            <w:tcW w:w="1560" w:type="dxa"/>
            <w:tcBorders>
              <w:top w:val="nil"/>
              <w:left w:val="nil"/>
              <w:bottom w:val="nil"/>
              <w:right w:val="nil"/>
            </w:tcBorders>
            <w:shd w:val="clear" w:color="auto" w:fill="auto"/>
            <w:vAlign w:val="bottom"/>
          </w:tcPr>
          <w:p w:rsidR="00AD5BB5" w:rsidRDefault="00AD5BB5">
            <w:pPr>
              <w:autoSpaceDE w:val="0"/>
              <w:autoSpaceDN w:val="0"/>
              <w:ind w:left="240" w:hangingChars="150" w:hanging="240"/>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82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主要经营地</w:t>
            </w:r>
          </w:p>
        </w:tc>
        <w:tc>
          <w:tcPr>
            <w:tcW w:w="10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64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注册地</w:t>
            </w:r>
          </w:p>
        </w:tc>
        <w:tc>
          <w:tcPr>
            <w:tcW w:w="10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64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业务性质</w:t>
            </w:r>
          </w:p>
        </w:tc>
        <w:tc>
          <w:tcPr>
            <w:tcW w:w="10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30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注册资本</w:t>
            </w:r>
          </w:p>
        </w:tc>
        <w:tc>
          <w:tcPr>
            <w:tcW w:w="10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332" w:type="dxa"/>
            <w:gridSpan w:val="4"/>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持股比例</w:t>
            </w:r>
            <w:r>
              <w:rPr>
                <w:rFonts w:ascii="Arial" w:eastAsia="黑体" w:hAnsi="Arial" w:cs="Arial"/>
                <w:sz w:val="16"/>
                <w:szCs w:val="16"/>
              </w:rPr>
              <w:t>(%)</w:t>
            </w: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1560" w:type="dxa"/>
            <w:tcBorders>
              <w:top w:val="nil"/>
              <w:left w:val="nil"/>
              <w:bottom w:val="nil"/>
              <w:right w:val="nil"/>
            </w:tcBorders>
            <w:shd w:val="clear" w:color="auto" w:fill="auto"/>
            <w:vAlign w:val="bottom"/>
          </w:tcPr>
          <w:p w:rsidR="00AD5BB5" w:rsidRDefault="00AD5BB5">
            <w:pPr>
              <w:autoSpaceDE w:val="0"/>
              <w:autoSpaceDN w:val="0"/>
              <w:ind w:left="240" w:hangingChars="150" w:hanging="240"/>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827"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649"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64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304"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623"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直接</w:t>
            </w:r>
          </w:p>
        </w:tc>
        <w:tc>
          <w:tcPr>
            <w:tcW w:w="10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50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间接</w:t>
            </w:r>
          </w:p>
        </w:tc>
        <w:tc>
          <w:tcPr>
            <w:tcW w:w="10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r>
      <w:tr w:rsidR="00AD5BB5">
        <w:tc>
          <w:tcPr>
            <w:tcW w:w="1560" w:type="dxa"/>
            <w:tcBorders>
              <w:top w:val="nil"/>
              <w:left w:val="nil"/>
              <w:bottom w:val="nil"/>
              <w:right w:val="nil"/>
            </w:tcBorders>
            <w:shd w:val="clear" w:color="auto" w:fill="auto"/>
            <w:vAlign w:val="bottom"/>
          </w:tcPr>
          <w:p w:rsidR="00AD5BB5" w:rsidRDefault="00AD5BB5">
            <w:pPr>
              <w:autoSpaceDE w:val="0"/>
              <w:autoSpaceDN w:val="0"/>
              <w:ind w:left="240" w:hangingChars="150" w:hanging="240"/>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827"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649"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64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304"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623"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507"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r>
      <w:tr w:rsidR="00AD5BB5">
        <w:tc>
          <w:tcPr>
            <w:tcW w:w="1560" w:type="dxa"/>
            <w:tcBorders>
              <w:top w:val="nil"/>
              <w:left w:val="nil"/>
              <w:bottom w:val="nil"/>
              <w:right w:val="nil"/>
            </w:tcBorders>
            <w:shd w:val="clear" w:color="auto" w:fill="auto"/>
            <w:vAlign w:val="bottom"/>
          </w:tcPr>
          <w:p w:rsidR="00AD5BB5" w:rsidRDefault="00F87FF6">
            <w:pPr>
              <w:autoSpaceDE w:val="0"/>
              <w:autoSpaceDN w:val="0"/>
              <w:ind w:leftChars="1" w:left="154" w:hangingChars="95" w:hanging="152"/>
              <w:rPr>
                <w:rFonts w:ascii="Arial" w:eastAsia="黑体" w:hAnsi="Arial" w:cs="Arial"/>
                <w:sz w:val="16"/>
                <w:szCs w:val="16"/>
              </w:rPr>
            </w:pPr>
            <w:r>
              <w:rPr>
                <w:rFonts w:ascii="Arial" w:eastAsia="黑体" w:hAnsi="Arial" w:cs="Arial"/>
                <w:sz w:val="16"/>
                <w:szCs w:val="16"/>
              </w:rPr>
              <w:t>通过设立或投资等方式取得的子公司</w:t>
            </w: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827"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649"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64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623"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507"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r w:rsidR="00AD5BB5">
        <w:tc>
          <w:tcPr>
            <w:tcW w:w="1560" w:type="dxa"/>
            <w:tcBorders>
              <w:top w:val="nil"/>
              <w:left w:val="nil"/>
              <w:bottom w:val="nil"/>
              <w:right w:val="nil"/>
            </w:tcBorders>
            <w:shd w:val="clear" w:color="auto" w:fill="auto"/>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福建海西金融租赁有</w:t>
            </w:r>
          </w:p>
          <w:p w:rsidR="00AD5BB5" w:rsidRDefault="00F87FF6">
            <w:pPr>
              <w:autoSpaceDE w:val="0"/>
              <w:autoSpaceDN w:val="0"/>
              <w:ind w:leftChars="70" w:left="307" w:hangingChars="100" w:hanging="160"/>
              <w:rPr>
                <w:rFonts w:ascii="Arial" w:eastAsia="黑体" w:hAnsi="Arial" w:cs="Arial"/>
                <w:sz w:val="16"/>
                <w:szCs w:val="16"/>
              </w:rPr>
            </w:pPr>
            <w:proofErr w:type="gramStart"/>
            <w:r>
              <w:rPr>
                <w:rFonts w:ascii="Arial" w:eastAsia="黑体" w:hAnsi="Arial" w:cs="Arial"/>
                <w:sz w:val="16"/>
                <w:szCs w:val="16"/>
              </w:rPr>
              <w:t>限责任</w:t>
            </w:r>
            <w:proofErr w:type="gramEnd"/>
            <w:r>
              <w:rPr>
                <w:rFonts w:ascii="Arial" w:eastAsia="黑体" w:hAnsi="Arial" w:cs="Arial"/>
                <w:sz w:val="16"/>
                <w:szCs w:val="16"/>
              </w:rPr>
              <w:t>公司</w:t>
            </w: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82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福建泉州</w:t>
            </w: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64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福建泉州</w:t>
            </w: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64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融资租赁业务；</w:t>
            </w:r>
            <w:proofErr w:type="gramStart"/>
            <w:r>
              <w:rPr>
                <w:rFonts w:ascii="Arial" w:eastAsia="黑体" w:hAnsi="Arial" w:cs="Arial"/>
                <w:sz w:val="16"/>
                <w:szCs w:val="16"/>
              </w:rPr>
              <w:t>经银监</w:t>
            </w:r>
            <w:proofErr w:type="gramEnd"/>
            <w:r>
              <w:rPr>
                <w:rFonts w:ascii="Arial" w:eastAsia="黑体" w:hAnsi="Arial" w:cs="Arial"/>
                <w:sz w:val="16"/>
                <w:szCs w:val="16"/>
              </w:rPr>
              <w:t>会批准的其他业务。</w:t>
            </w: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1,200.000,000.00</w:t>
            </w: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623"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69.75%</w:t>
            </w: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c>
          <w:tcPr>
            <w:tcW w:w="50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1"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6"/>
                <w:szCs w:val="16"/>
              </w:rPr>
            </w:pPr>
          </w:p>
        </w:tc>
      </w:tr>
    </w:tbl>
    <w:p w:rsidR="00AD5BB5" w:rsidRDefault="00F87FF6">
      <w:pPr>
        <w:rPr>
          <w:rFonts w:ascii="Arial" w:eastAsia="黑体" w:hAnsi="Arial" w:cs="Arial"/>
          <w:bCs/>
          <w:szCs w:val="21"/>
        </w:rPr>
      </w:pPr>
      <w:r>
        <w:rPr>
          <w:rFonts w:ascii="Arial" w:eastAsia="黑体" w:hAnsi="Arial" w:cs="Arial"/>
          <w:bCs/>
          <w:szCs w:val="21"/>
        </w:rPr>
        <w:br w:type="page"/>
      </w:r>
    </w:p>
    <w:p w:rsidR="00AD5BB5" w:rsidRDefault="00AD5BB5">
      <w:pPr>
        <w:overflowPunct w:val="0"/>
        <w:autoSpaceDE w:val="0"/>
        <w:autoSpaceDN w:val="0"/>
        <w:adjustRightInd w:val="0"/>
        <w:snapToGrid w:val="0"/>
        <w:textAlignment w:val="bottom"/>
        <w:rPr>
          <w:rFonts w:ascii="Arial" w:eastAsia="黑体" w:hAnsi="Arial" w:cs="Arial"/>
          <w:bCs/>
          <w:szCs w:val="21"/>
        </w:rPr>
      </w:pPr>
    </w:p>
    <w:p w:rsidR="00AD5BB5" w:rsidRDefault="00AD5BB5">
      <w:pPr>
        <w:overflowPunct w:val="0"/>
        <w:autoSpaceDE w:val="0"/>
        <w:autoSpaceDN w:val="0"/>
        <w:adjustRightInd w:val="0"/>
        <w:snapToGrid w:val="0"/>
        <w:textAlignment w:val="bottom"/>
        <w:rPr>
          <w:rFonts w:ascii="Arial" w:eastAsia="黑体" w:hAnsi="Arial" w:cs="Arial"/>
          <w:bCs/>
          <w:szCs w:val="21"/>
        </w:rPr>
      </w:pPr>
    </w:p>
    <w:p w:rsidR="00AD5BB5" w:rsidRDefault="00F87FF6">
      <w:pPr>
        <w:overflowPunct w:val="0"/>
        <w:autoSpaceDE w:val="0"/>
        <w:autoSpaceDN w:val="0"/>
        <w:adjustRightInd w:val="0"/>
        <w:snapToGrid w:val="0"/>
        <w:textAlignment w:val="bottom"/>
        <w:rPr>
          <w:rFonts w:ascii="Arial" w:eastAsia="黑体" w:hAnsi="Arial" w:cs="Arial"/>
          <w:b/>
          <w:bCs/>
          <w:szCs w:val="21"/>
        </w:rPr>
      </w:pPr>
      <w:bookmarkStart w:id="258" w:name="afsaddin_WithXu_fc950a85ad7c49ffa296b6c2"/>
      <w:r>
        <w:rPr>
          <w:rFonts w:ascii="Arial" w:eastAsia="黑体" w:hAnsi="Arial" w:cs="Arial"/>
          <w:b/>
          <w:bCs/>
          <w:szCs w:val="21"/>
        </w:rPr>
        <w:t>七、</w:t>
      </w:r>
      <w:r>
        <w:rPr>
          <w:rFonts w:ascii="Arial" w:eastAsia="黑体" w:hAnsi="Arial" w:cs="Arial"/>
          <w:b/>
          <w:bCs/>
          <w:szCs w:val="21"/>
        </w:rPr>
        <w:tab/>
      </w:r>
      <w:r>
        <w:rPr>
          <w:rFonts w:ascii="Arial" w:eastAsia="黑体" w:hAnsi="Arial" w:cs="Arial"/>
          <w:b/>
          <w:bCs/>
          <w:szCs w:val="21"/>
        </w:rPr>
        <w:t>在其他主体中的权益（续）</w:t>
      </w:r>
      <w:bookmarkEnd w:id="258"/>
    </w:p>
    <w:p w:rsidR="00AD5BB5" w:rsidRDefault="00AD5BB5">
      <w:pPr>
        <w:overflowPunct w:val="0"/>
        <w:autoSpaceDE w:val="0"/>
        <w:autoSpaceDN w:val="0"/>
        <w:adjustRightInd w:val="0"/>
        <w:snapToGrid w:val="0"/>
        <w:textAlignment w:val="bottom"/>
        <w:rPr>
          <w:rFonts w:ascii="Arial" w:eastAsia="黑体" w:hAnsi="Arial" w:cs="Arial"/>
          <w:bCs/>
          <w:szCs w:val="21"/>
        </w:rPr>
      </w:pPr>
    </w:p>
    <w:p w:rsidR="00AD5BB5" w:rsidRDefault="00F87FF6">
      <w:pPr>
        <w:pStyle w:val="af5"/>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259" w:name="afsaddin_WithXu_112531e12b0442d6b0cb92bb"/>
      <w:bookmarkStart w:id="260" w:name="afsaddin_Section_976058e01a9e4fa2999b46f"/>
      <w:bookmarkStart w:id="261" w:name="_Hlk79402810"/>
      <w:bookmarkEnd w:id="259"/>
      <w:r>
        <w:rPr>
          <w:rFonts w:ascii="Arial" w:eastAsia="黑体" w:hAnsi="Arial" w:cs="Arial" w:hint="default"/>
          <w:bCs w:val="0"/>
          <w:snapToGrid w:val="0"/>
          <w:color w:val="auto"/>
          <w:sz w:val="21"/>
          <w:szCs w:val="21"/>
        </w:rPr>
        <w:t>2.</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在结构化主体中的权益</w:t>
      </w:r>
    </w:p>
    <w:bookmarkEnd w:id="260"/>
    <w:p w:rsidR="00AD5BB5" w:rsidRDefault="00AD5BB5">
      <w:pPr>
        <w:overflowPunct w:val="0"/>
        <w:autoSpaceDE w:val="0"/>
        <w:autoSpaceDN w:val="0"/>
        <w:adjustRightInd w:val="0"/>
        <w:snapToGrid w:val="0"/>
        <w:textAlignment w:val="bottom"/>
        <w:rPr>
          <w:rFonts w:ascii="Arial" w:eastAsia="黑体" w:hAnsi="Arial" w:cs="Arial"/>
          <w:snapToGrid w:val="0"/>
          <w:szCs w:val="21"/>
        </w:rPr>
      </w:pPr>
    </w:p>
    <w:p w:rsidR="00AD5BB5" w:rsidRDefault="00F87FF6">
      <w:pPr>
        <w:overflowPunct w:val="0"/>
        <w:autoSpaceDE w:val="0"/>
        <w:autoSpaceDN w:val="0"/>
        <w:rPr>
          <w:rFonts w:ascii="Arial" w:eastAsia="黑体" w:hAnsi="Arial" w:cs="Arial"/>
          <w:szCs w:val="21"/>
        </w:rPr>
      </w:pPr>
      <w:r>
        <w:rPr>
          <w:rFonts w:ascii="Arial" w:eastAsia="黑体" w:hAnsi="Arial" w:cs="Arial"/>
          <w:szCs w:val="21"/>
        </w:rPr>
        <w:t>本集团主要在金融投资、资产管理和资产证券化等业务中会涉及结构化主体，这些结构化主体通常以发行证券或其他方式募集资金以购买资产。本集团会分析判断是否对这些结构化主体存在控制，以确定是否将其纳入合并财务报表范围。本集团在结构化主体中的权益的相关信息如下：</w:t>
      </w:r>
    </w:p>
    <w:p w:rsidR="00AD5BB5" w:rsidRDefault="00AD5BB5">
      <w:pPr>
        <w:overflowPunct w:val="0"/>
        <w:autoSpaceDE w:val="0"/>
        <w:autoSpaceDN w:val="0"/>
        <w:rPr>
          <w:rFonts w:ascii="Arial" w:eastAsia="黑体" w:hAnsi="Arial" w:cs="Arial"/>
          <w:szCs w:val="21"/>
        </w:rPr>
      </w:pPr>
    </w:p>
    <w:p w:rsidR="00AD5BB5" w:rsidRDefault="00F87FF6">
      <w:pPr>
        <w:overflowPunct w:val="0"/>
        <w:autoSpaceDE w:val="0"/>
        <w:autoSpaceDN w:val="0"/>
        <w:outlineLvl w:val="3"/>
        <w:rPr>
          <w:rFonts w:ascii="Arial" w:eastAsia="黑体" w:hAnsi="Arial" w:cs="Arial"/>
          <w:b/>
          <w:bCs/>
          <w:szCs w:val="21"/>
        </w:rPr>
      </w:pPr>
      <w:bookmarkStart w:id="262" w:name="afsaddin_Section_6d029f792ebc470294907d7"/>
      <w:r>
        <w:rPr>
          <w:rFonts w:ascii="Arial" w:eastAsia="黑体" w:hAnsi="Arial" w:cs="Arial"/>
          <w:b/>
          <w:bCs/>
          <w:szCs w:val="21"/>
        </w:rPr>
        <w:t>2.1</w:t>
      </w:r>
      <w:r>
        <w:rPr>
          <w:rFonts w:ascii="Arial" w:eastAsia="黑体" w:hAnsi="Arial" w:cs="Arial"/>
          <w:b/>
          <w:bCs/>
          <w:szCs w:val="21"/>
        </w:rPr>
        <w:tab/>
      </w:r>
      <w:r>
        <w:rPr>
          <w:rFonts w:ascii="Arial" w:eastAsia="黑体" w:hAnsi="Arial" w:cs="Arial"/>
          <w:b/>
          <w:bCs/>
          <w:szCs w:val="21"/>
        </w:rPr>
        <w:t>本集团发起的结构化主体</w:t>
      </w:r>
    </w:p>
    <w:bookmarkEnd w:id="262"/>
    <w:p w:rsidR="00AD5BB5" w:rsidRDefault="00AD5BB5">
      <w:pPr>
        <w:overflowPunct w:val="0"/>
        <w:autoSpaceDE w:val="0"/>
        <w:autoSpaceDN w:val="0"/>
        <w:rPr>
          <w:rFonts w:ascii="Arial" w:eastAsia="黑体" w:hAnsi="Arial" w:cs="Arial"/>
          <w:szCs w:val="21"/>
        </w:rPr>
      </w:pPr>
    </w:p>
    <w:p w:rsidR="00AD5BB5" w:rsidRDefault="00F87FF6">
      <w:pPr>
        <w:overflowPunct w:val="0"/>
        <w:autoSpaceDE w:val="0"/>
        <w:autoSpaceDN w:val="0"/>
        <w:rPr>
          <w:rFonts w:ascii="Arial" w:eastAsia="黑体" w:hAnsi="Arial" w:cs="Arial"/>
          <w:szCs w:val="21"/>
        </w:rPr>
      </w:pPr>
      <w:bookmarkStart w:id="263" w:name="_Hlk79591864"/>
      <w:r>
        <w:rPr>
          <w:rFonts w:ascii="Arial" w:eastAsia="黑体" w:hAnsi="Arial" w:cs="Arial"/>
          <w:szCs w:val="21"/>
        </w:rPr>
        <w:t>本集团在开展理财业务过程中，设立了不同的目标界定明确且范围较窄的结构化主体，向客户提供专业化的投资机会。截至</w:t>
      </w: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当期资产负债表日</w:instrText>
      </w:r>
      <w:r>
        <w:rPr>
          <w:rFonts w:ascii="Arial" w:eastAsia="黑体" w:hAnsi="Arial" w:cs="Arial"/>
          <w:szCs w:val="21"/>
        </w:rPr>
        <w:instrText xml:space="preserve"> </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t>年</w:t>
      </w:r>
      <w:r>
        <w:rPr>
          <w:rFonts w:ascii="Arial" w:eastAsia="黑体" w:hAnsi="Arial" w:cs="Arial"/>
          <w:szCs w:val="21"/>
        </w:rPr>
        <w:t>6</w:t>
      </w:r>
      <w:r>
        <w:rPr>
          <w:rFonts w:ascii="Arial" w:eastAsia="黑体" w:hAnsi="Arial" w:cs="Arial"/>
          <w:szCs w:val="21"/>
        </w:rPr>
        <w:t>月</w:t>
      </w:r>
      <w:r>
        <w:rPr>
          <w:rFonts w:ascii="Arial" w:eastAsia="黑体" w:hAnsi="Arial" w:cs="Arial"/>
          <w:szCs w:val="21"/>
        </w:rPr>
        <w:t>30</w:t>
      </w:r>
      <w:r>
        <w:rPr>
          <w:rFonts w:ascii="Arial" w:eastAsia="黑体" w:hAnsi="Arial" w:cs="Arial"/>
          <w:szCs w:val="21"/>
        </w:rPr>
        <w:t>日</w:t>
      </w:r>
      <w:r>
        <w:rPr>
          <w:rFonts w:ascii="Arial" w:eastAsia="黑体" w:hAnsi="Arial" w:cs="Arial"/>
          <w:szCs w:val="21"/>
        </w:rPr>
        <w:fldChar w:fldCharType="end"/>
      </w:r>
      <w:r>
        <w:rPr>
          <w:rFonts w:ascii="Arial" w:eastAsia="黑体" w:hAnsi="Arial" w:cs="Arial"/>
          <w:szCs w:val="21"/>
        </w:rPr>
        <w:t>，本集团委托理财资金参见附注十、</w:t>
      </w:r>
      <w:r>
        <w:rPr>
          <w:rFonts w:ascii="Arial" w:eastAsia="黑体" w:hAnsi="Arial" w:cs="Arial"/>
          <w:szCs w:val="21"/>
        </w:rPr>
        <w:t>6</w:t>
      </w:r>
      <w:r>
        <w:rPr>
          <w:rFonts w:ascii="Arial" w:eastAsia="黑体" w:hAnsi="Arial" w:cs="Arial"/>
          <w:szCs w:val="21"/>
        </w:rPr>
        <w:t>，其中未合并的理财产品存量合计余额为人民币</w:t>
      </w:r>
      <w:r>
        <w:rPr>
          <w:rFonts w:ascii="Arial" w:eastAsia="黑体" w:hAnsi="Arial" w:cs="Arial"/>
          <w:szCs w:val="21"/>
        </w:rPr>
        <w:t>13,199,475,807.78</w:t>
      </w:r>
      <w:r>
        <w:rPr>
          <w:rFonts w:ascii="Arial" w:eastAsia="黑体" w:hAnsi="Arial" w:cs="Arial"/>
          <w:szCs w:val="21"/>
        </w:rPr>
        <w:t>元（</w:t>
      </w: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上期资产负债表日</w:instrText>
      </w:r>
      <w:r>
        <w:rPr>
          <w:rFonts w:ascii="Arial" w:eastAsia="黑体" w:hAnsi="Arial" w:cs="Arial"/>
          <w:szCs w:val="21"/>
        </w:rPr>
        <w:instrText xml:space="preserve"> </w:instrText>
      </w:r>
      <w:r>
        <w:rPr>
          <w:rFonts w:ascii="Arial" w:eastAsia="黑体" w:hAnsi="Arial" w:cs="Arial"/>
          <w:szCs w:val="21"/>
        </w:rPr>
        <w:fldChar w:fldCharType="separate"/>
      </w:r>
      <w:r>
        <w:rPr>
          <w:rFonts w:ascii="Arial" w:eastAsia="黑体" w:hAnsi="Arial" w:cs="Arial"/>
          <w:szCs w:val="21"/>
        </w:rPr>
        <w:t>2022</w:t>
      </w:r>
      <w:r>
        <w:rPr>
          <w:rFonts w:ascii="Arial" w:eastAsia="黑体" w:hAnsi="Arial" w:cs="Arial"/>
          <w:szCs w:val="21"/>
        </w:rPr>
        <w:t>年</w:t>
      </w:r>
      <w:r>
        <w:rPr>
          <w:rFonts w:ascii="Arial" w:eastAsia="黑体" w:hAnsi="Arial" w:cs="Arial"/>
          <w:szCs w:val="21"/>
        </w:rPr>
        <w:t>12</w:t>
      </w:r>
      <w:r>
        <w:rPr>
          <w:rFonts w:ascii="Arial" w:eastAsia="黑体" w:hAnsi="Arial" w:cs="Arial"/>
          <w:szCs w:val="21"/>
        </w:rPr>
        <w:t>月</w:t>
      </w:r>
      <w:r>
        <w:rPr>
          <w:rFonts w:ascii="Arial" w:eastAsia="黑体" w:hAnsi="Arial" w:cs="Arial"/>
          <w:szCs w:val="21"/>
        </w:rPr>
        <w:t>31</w:t>
      </w:r>
      <w:r>
        <w:rPr>
          <w:rFonts w:ascii="Arial" w:eastAsia="黑体" w:hAnsi="Arial" w:cs="Arial"/>
          <w:szCs w:val="21"/>
        </w:rPr>
        <w:t>日</w:t>
      </w:r>
      <w:r>
        <w:rPr>
          <w:rFonts w:ascii="Arial" w:eastAsia="黑体" w:hAnsi="Arial" w:cs="Arial"/>
          <w:szCs w:val="21"/>
        </w:rPr>
        <w:fldChar w:fldCharType="end"/>
      </w:r>
      <w:r>
        <w:rPr>
          <w:rFonts w:ascii="Arial" w:eastAsia="黑体" w:hAnsi="Arial" w:cs="Arial"/>
          <w:szCs w:val="21"/>
        </w:rPr>
        <w:t>：人民币</w:t>
      </w:r>
      <w:r>
        <w:rPr>
          <w:rFonts w:ascii="Arial" w:eastAsia="黑体" w:hAnsi="Arial" w:cs="Arial"/>
          <w:szCs w:val="21"/>
        </w:rPr>
        <w:t>12,301,871,417.61</w:t>
      </w:r>
      <w:r>
        <w:rPr>
          <w:rFonts w:ascii="Arial" w:eastAsia="黑体" w:hAnsi="Arial" w:cs="Arial"/>
          <w:szCs w:val="21"/>
        </w:rPr>
        <w:t>元）。截至</w:t>
      </w:r>
      <w:r>
        <w:rPr>
          <w:rFonts w:ascii="Arial" w:eastAsia="黑体" w:hAnsi="Arial" w:cs="Arial"/>
          <w:szCs w:val="21"/>
        </w:rPr>
        <w:t>2023</w:t>
      </w:r>
      <w:r>
        <w:rPr>
          <w:rFonts w:ascii="Arial" w:eastAsia="黑体" w:hAnsi="Arial" w:cs="Arial"/>
          <w:szCs w:val="21"/>
        </w:rPr>
        <w:t>年</w:t>
      </w:r>
      <w:r>
        <w:rPr>
          <w:rFonts w:ascii="Arial" w:eastAsia="黑体" w:hAnsi="Arial" w:cs="Arial"/>
          <w:szCs w:val="21"/>
        </w:rPr>
        <w:t>6</w:t>
      </w:r>
      <w:r>
        <w:rPr>
          <w:rFonts w:ascii="Arial" w:eastAsia="黑体" w:hAnsi="Arial" w:cs="Arial"/>
          <w:szCs w:val="21"/>
        </w:rPr>
        <w:t>月</w:t>
      </w:r>
      <w:r>
        <w:rPr>
          <w:rFonts w:ascii="Arial" w:eastAsia="黑体" w:hAnsi="Arial" w:cs="Arial"/>
          <w:szCs w:val="21"/>
        </w:rPr>
        <w:t>30</w:t>
      </w:r>
      <w:r>
        <w:rPr>
          <w:rFonts w:ascii="Arial" w:eastAsia="黑体" w:hAnsi="Arial" w:cs="Arial"/>
          <w:szCs w:val="21"/>
        </w:rPr>
        <w:t>日</w:t>
      </w:r>
      <w:proofErr w:type="gramStart"/>
      <w:r>
        <w:rPr>
          <w:rFonts w:ascii="Arial" w:eastAsia="黑体" w:hAnsi="Arial" w:cs="Arial"/>
          <w:szCs w:val="21"/>
        </w:rPr>
        <w:t>止</w:t>
      </w:r>
      <w:proofErr w:type="gramEnd"/>
      <w:r>
        <w:rPr>
          <w:rFonts w:ascii="Arial" w:eastAsia="黑体" w:hAnsi="Arial" w:cs="Arial"/>
          <w:szCs w:val="21"/>
        </w:rPr>
        <w:t>6</w:t>
      </w:r>
      <w:r>
        <w:rPr>
          <w:rFonts w:ascii="Arial" w:eastAsia="黑体" w:hAnsi="Arial" w:cs="Arial"/>
          <w:szCs w:val="21"/>
        </w:rPr>
        <w:t>个月期间，本集团自上述理财产品取得的手续费收入为人民币</w:t>
      </w:r>
      <w:r>
        <w:rPr>
          <w:rFonts w:ascii="Arial" w:eastAsia="黑体" w:hAnsi="Arial" w:cs="Arial"/>
          <w:szCs w:val="21"/>
        </w:rPr>
        <w:t>19,573,388.09</w:t>
      </w:r>
      <w:r>
        <w:rPr>
          <w:rFonts w:ascii="Arial" w:eastAsia="黑体" w:hAnsi="Arial" w:cs="Arial"/>
          <w:szCs w:val="21"/>
        </w:rPr>
        <w:t>元（截至</w:t>
      </w:r>
      <w:r>
        <w:rPr>
          <w:rFonts w:ascii="Arial" w:eastAsia="黑体" w:hAnsi="Arial" w:cs="Arial"/>
          <w:szCs w:val="21"/>
        </w:rPr>
        <w:t>2022</w:t>
      </w:r>
      <w:r>
        <w:rPr>
          <w:rFonts w:ascii="Arial" w:eastAsia="黑体" w:hAnsi="Arial" w:cs="Arial"/>
          <w:szCs w:val="21"/>
        </w:rPr>
        <w:t>年</w:t>
      </w:r>
      <w:r>
        <w:rPr>
          <w:rFonts w:ascii="Arial" w:eastAsia="黑体" w:hAnsi="Arial" w:cs="Arial"/>
          <w:szCs w:val="21"/>
        </w:rPr>
        <w:t>6</w:t>
      </w:r>
      <w:r>
        <w:rPr>
          <w:rFonts w:ascii="Arial" w:eastAsia="黑体" w:hAnsi="Arial" w:cs="Arial"/>
          <w:szCs w:val="21"/>
        </w:rPr>
        <w:t>月</w:t>
      </w:r>
      <w:r>
        <w:rPr>
          <w:rFonts w:ascii="Arial" w:eastAsia="黑体" w:hAnsi="Arial" w:cs="Arial"/>
          <w:szCs w:val="21"/>
        </w:rPr>
        <w:t>30</w:t>
      </w:r>
      <w:r>
        <w:rPr>
          <w:rFonts w:ascii="Arial" w:eastAsia="黑体" w:hAnsi="Arial" w:cs="Arial"/>
          <w:szCs w:val="21"/>
        </w:rPr>
        <w:t>日</w:t>
      </w:r>
      <w:proofErr w:type="gramStart"/>
      <w:r>
        <w:rPr>
          <w:rFonts w:ascii="Arial" w:eastAsia="黑体" w:hAnsi="Arial" w:cs="Arial"/>
          <w:szCs w:val="21"/>
        </w:rPr>
        <w:t>止</w:t>
      </w:r>
      <w:proofErr w:type="gramEnd"/>
      <w:r>
        <w:rPr>
          <w:rFonts w:ascii="Arial" w:eastAsia="黑体" w:hAnsi="Arial" w:cs="Arial"/>
          <w:szCs w:val="21"/>
        </w:rPr>
        <w:t>6</w:t>
      </w:r>
      <w:r>
        <w:rPr>
          <w:rFonts w:ascii="Arial" w:eastAsia="黑体" w:hAnsi="Arial" w:cs="Arial"/>
          <w:szCs w:val="21"/>
        </w:rPr>
        <w:t>个月期间：人民币</w:t>
      </w:r>
      <w:r>
        <w:rPr>
          <w:rFonts w:ascii="Arial" w:eastAsia="黑体" w:hAnsi="Arial" w:cs="Arial"/>
          <w:szCs w:val="21"/>
        </w:rPr>
        <w:t>52,034,930.17</w:t>
      </w:r>
      <w:r>
        <w:rPr>
          <w:rFonts w:ascii="Arial" w:eastAsia="黑体" w:hAnsi="Arial" w:cs="Arial"/>
          <w:szCs w:val="21"/>
        </w:rPr>
        <w:t>元）。</w:t>
      </w:r>
      <w:bookmarkEnd w:id="263"/>
    </w:p>
    <w:p w:rsidR="00AD5BB5" w:rsidRDefault="00AD5BB5">
      <w:pPr>
        <w:overflowPunct w:val="0"/>
        <w:autoSpaceDE w:val="0"/>
        <w:autoSpaceDN w:val="0"/>
        <w:rPr>
          <w:rFonts w:ascii="Arial" w:eastAsia="黑体" w:hAnsi="Arial" w:cs="Arial"/>
        </w:rPr>
      </w:pPr>
    </w:p>
    <w:p w:rsidR="00AD5BB5" w:rsidRDefault="00F87FF6">
      <w:pPr>
        <w:overflowPunct w:val="0"/>
        <w:autoSpaceDE w:val="0"/>
        <w:autoSpaceDN w:val="0"/>
        <w:outlineLvl w:val="3"/>
        <w:rPr>
          <w:rFonts w:ascii="Arial" w:eastAsia="黑体" w:hAnsi="Arial" w:cs="Arial"/>
          <w:b/>
          <w:bCs/>
          <w:szCs w:val="21"/>
        </w:rPr>
      </w:pPr>
      <w:bookmarkStart w:id="264" w:name="afsaddin_Section_7a0dc5a460ff479dbd08a0b"/>
      <w:r>
        <w:rPr>
          <w:rFonts w:ascii="Arial" w:eastAsia="黑体" w:hAnsi="Arial" w:cs="Arial"/>
          <w:b/>
          <w:bCs/>
          <w:szCs w:val="21"/>
        </w:rPr>
        <w:t>2.2</w:t>
      </w:r>
      <w:r>
        <w:rPr>
          <w:rFonts w:ascii="Arial" w:eastAsia="黑体" w:hAnsi="Arial" w:cs="Arial"/>
          <w:b/>
          <w:bCs/>
          <w:szCs w:val="21"/>
        </w:rPr>
        <w:tab/>
      </w:r>
      <w:r>
        <w:rPr>
          <w:rFonts w:ascii="Arial" w:eastAsia="黑体" w:hAnsi="Arial" w:cs="Arial"/>
          <w:b/>
          <w:bCs/>
          <w:szCs w:val="21"/>
        </w:rPr>
        <w:t>第三方机构发起的结构化主体</w:t>
      </w:r>
    </w:p>
    <w:bookmarkEnd w:id="264"/>
    <w:p w:rsidR="00AD5BB5" w:rsidRDefault="00AD5BB5">
      <w:pPr>
        <w:overflowPunct w:val="0"/>
        <w:autoSpaceDE w:val="0"/>
        <w:autoSpaceDN w:val="0"/>
        <w:rPr>
          <w:rFonts w:ascii="Arial" w:eastAsia="黑体" w:hAnsi="Arial" w:cs="Arial"/>
          <w:bCs/>
          <w:snapToGrid w:val="0"/>
          <w:szCs w:val="21"/>
        </w:rPr>
      </w:pPr>
    </w:p>
    <w:p w:rsidR="00AD5BB5" w:rsidRDefault="00F87FF6">
      <w:pPr>
        <w:overflowPunct w:val="0"/>
        <w:autoSpaceDE w:val="0"/>
        <w:autoSpaceDN w:val="0"/>
        <w:snapToGrid w:val="0"/>
        <w:rPr>
          <w:rFonts w:ascii="Arial" w:eastAsia="黑体" w:hAnsi="Arial" w:cs="Arial"/>
          <w:szCs w:val="21"/>
        </w:rPr>
      </w:pPr>
      <w:r>
        <w:rPr>
          <w:rFonts w:ascii="Arial" w:eastAsia="黑体" w:hAnsi="Arial" w:cs="Arial"/>
          <w:szCs w:val="21"/>
        </w:rPr>
        <w:t>本集团投资的未纳入合并范围内的结构化主体，包括基金、资产支持证券、资金信托计划及资产管理计划。截至</w:t>
      </w:r>
      <w:r>
        <w:rPr>
          <w:rFonts w:ascii="Arial" w:eastAsia="黑体" w:hAnsi="Arial" w:cs="Arial"/>
          <w:szCs w:val="21"/>
        </w:rPr>
        <w:t>2023</w:t>
      </w:r>
      <w:r>
        <w:rPr>
          <w:rFonts w:ascii="Arial" w:eastAsia="黑体" w:hAnsi="Arial" w:cs="Arial"/>
          <w:szCs w:val="21"/>
        </w:rPr>
        <w:t>年</w:t>
      </w:r>
      <w:r>
        <w:rPr>
          <w:rFonts w:ascii="Arial" w:eastAsia="黑体" w:hAnsi="Arial" w:cs="Arial"/>
          <w:szCs w:val="21"/>
        </w:rPr>
        <w:t>6</w:t>
      </w:r>
      <w:r>
        <w:rPr>
          <w:rFonts w:ascii="Arial" w:eastAsia="黑体" w:hAnsi="Arial" w:cs="Arial"/>
          <w:szCs w:val="21"/>
        </w:rPr>
        <w:t>月</w:t>
      </w:r>
      <w:r>
        <w:rPr>
          <w:rFonts w:ascii="Arial" w:eastAsia="黑体" w:hAnsi="Arial" w:cs="Arial"/>
          <w:szCs w:val="21"/>
        </w:rPr>
        <w:t>30</w:t>
      </w:r>
      <w:r>
        <w:rPr>
          <w:rFonts w:ascii="Arial" w:eastAsia="黑体" w:hAnsi="Arial" w:cs="Arial"/>
          <w:szCs w:val="21"/>
        </w:rPr>
        <w:t>日</w:t>
      </w:r>
      <w:proofErr w:type="gramStart"/>
      <w:r>
        <w:rPr>
          <w:rFonts w:ascii="Arial" w:eastAsia="黑体" w:hAnsi="Arial" w:cs="Arial"/>
          <w:szCs w:val="21"/>
        </w:rPr>
        <w:t>止</w:t>
      </w:r>
      <w:proofErr w:type="gramEnd"/>
      <w:r>
        <w:rPr>
          <w:rFonts w:ascii="Arial" w:eastAsia="黑体" w:hAnsi="Arial" w:cs="Arial"/>
          <w:szCs w:val="21"/>
        </w:rPr>
        <w:t>6</w:t>
      </w:r>
      <w:r>
        <w:rPr>
          <w:rFonts w:ascii="Arial" w:eastAsia="黑体" w:hAnsi="Arial" w:cs="Arial"/>
          <w:szCs w:val="21"/>
        </w:rPr>
        <w:t>个月期间，本集团并未对该类结构</w:t>
      </w:r>
      <w:proofErr w:type="gramStart"/>
      <w:r>
        <w:rPr>
          <w:rFonts w:ascii="Arial" w:eastAsia="黑体" w:hAnsi="Arial" w:cs="Arial"/>
          <w:szCs w:val="21"/>
        </w:rPr>
        <w:t>化主体</w:t>
      </w:r>
      <w:proofErr w:type="gramEnd"/>
      <w:r>
        <w:rPr>
          <w:rFonts w:ascii="Arial" w:eastAsia="黑体" w:hAnsi="Arial" w:cs="Arial"/>
          <w:szCs w:val="21"/>
        </w:rPr>
        <w:t>提供过流动性支持（截至</w:t>
      </w:r>
      <w:r>
        <w:rPr>
          <w:rFonts w:ascii="Arial" w:eastAsia="黑体" w:hAnsi="Arial" w:cs="Arial"/>
          <w:szCs w:val="21"/>
        </w:rPr>
        <w:t>2022</w:t>
      </w:r>
      <w:r>
        <w:rPr>
          <w:rFonts w:ascii="Arial" w:eastAsia="黑体" w:hAnsi="Arial" w:cs="Arial"/>
          <w:szCs w:val="21"/>
        </w:rPr>
        <w:t>年</w:t>
      </w:r>
      <w:r>
        <w:rPr>
          <w:rFonts w:ascii="Arial" w:eastAsia="黑体" w:hAnsi="Arial" w:cs="Arial"/>
          <w:szCs w:val="21"/>
        </w:rPr>
        <w:t>6</w:t>
      </w:r>
      <w:r>
        <w:rPr>
          <w:rFonts w:ascii="Arial" w:eastAsia="黑体" w:hAnsi="Arial" w:cs="Arial"/>
          <w:szCs w:val="21"/>
        </w:rPr>
        <w:t>月</w:t>
      </w:r>
      <w:r>
        <w:rPr>
          <w:rFonts w:ascii="Arial" w:eastAsia="黑体" w:hAnsi="Arial" w:cs="Arial"/>
          <w:szCs w:val="21"/>
        </w:rPr>
        <w:t>30</w:t>
      </w:r>
      <w:r>
        <w:rPr>
          <w:rFonts w:ascii="Arial" w:eastAsia="黑体" w:hAnsi="Arial" w:cs="Arial"/>
          <w:szCs w:val="21"/>
        </w:rPr>
        <w:t>日</w:t>
      </w:r>
      <w:proofErr w:type="gramStart"/>
      <w:r>
        <w:rPr>
          <w:rFonts w:ascii="Arial" w:eastAsia="黑体" w:hAnsi="Arial" w:cs="Arial"/>
          <w:szCs w:val="21"/>
        </w:rPr>
        <w:t>止</w:t>
      </w:r>
      <w:proofErr w:type="gramEnd"/>
      <w:r>
        <w:rPr>
          <w:rFonts w:ascii="Arial" w:eastAsia="黑体" w:hAnsi="Arial" w:cs="Arial"/>
          <w:szCs w:val="21"/>
        </w:rPr>
        <w:t>6</w:t>
      </w:r>
      <w:r>
        <w:rPr>
          <w:rFonts w:ascii="Arial" w:eastAsia="黑体" w:hAnsi="Arial" w:cs="Arial"/>
          <w:szCs w:val="21"/>
        </w:rPr>
        <w:t>个月期间：无）。</w:t>
      </w:r>
    </w:p>
    <w:p w:rsidR="00AD5BB5" w:rsidRDefault="00AD5BB5">
      <w:pPr>
        <w:overflowPunct w:val="0"/>
        <w:autoSpaceDE w:val="0"/>
        <w:autoSpaceDN w:val="0"/>
        <w:snapToGrid w:val="0"/>
        <w:rPr>
          <w:rFonts w:ascii="Arial" w:eastAsia="黑体" w:hAnsi="Arial" w:cs="Arial"/>
          <w:szCs w:val="21"/>
        </w:rPr>
      </w:pPr>
    </w:p>
    <w:p w:rsidR="00AD5BB5" w:rsidRDefault="00F87FF6">
      <w:pPr>
        <w:overflowPunct w:val="0"/>
        <w:autoSpaceDE w:val="0"/>
        <w:autoSpaceDN w:val="0"/>
        <w:snapToGrid w:val="0"/>
        <w:rPr>
          <w:rFonts w:ascii="Arial" w:eastAsia="黑体" w:hAnsi="Arial" w:cs="Arial"/>
          <w:szCs w:val="21"/>
        </w:rPr>
      </w:pPr>
      <w:r>
        <w:rPr>
          <w:rFonts w:ascii="Arial" w:eastAsia="黑体" w:hAnsi="Arial" w:cs="Arial"/>
          <w:szCs w:val="21"/>
        </w:rPr>
        <w:t>本集团通过直接投资在第三方机构发起的结构化主体中分占的权益列示如下：</w:t>
      </w:r>
    </w:p>
    <w:p w:rsidR="00AD5BB5" w:rsidRDefault="00AD5BB5">
      <w:pPr>
        <w:overflowPunct w:val="0"/>
        <w:autoSpaceDE w:val="0"/>
        <w:autoSpaceDN w:val="0"/>
        <w:snapToGrid w:val="0"/>
        <w:rPr>
          <w:rFonts w:ascii="Arial" w:eastAsia="黑体" w:hAnsi="Arial" w:cs="Arial"/>
          <w:szCs w:val="21"/>
        </w:rPr>
      </w:pPr>
    </w:p>
    <w:tbl>
      <w:tblPr>
        <w:tblW w:w="0" w:type="auto"/>
        <w:tblLayout w:type="fixed"/>
        <w:tblCellMar>
          <w:left w:w="0" w:type="dxa"/>
          <w:right w:w="0" w:type="dxa"/>
        </w:tblCellMar>
        <w:tblLook w:val="04A0" w:firstRow="1" w:lastRow="0" w:firstColumn="1" w:lastColumn="0" w:noHBand="0" w:noVBand="1"/>
        <w:tblCaption w:val="248907d2-aad7-4265-8172-e15df2ac2948"/>
        <w:tblDescription w:val="{&quot;UUID&quot;:&quot;afsaddin_tabledata_2_56437_248907d2-aad7-4265-8172-e15df2ac2948&quot;,&quot;TitleRowCount&quot;:2,&quot;SplitedTable&quot;:false,&quot;FirstTableId&quot;:&quot;248907d2-aad7-4265-8172-e15df2ac2948&quot;}"/>
      </w:tblPr>
      <w:tblGrid>
        <w:gridCol w:w="1587"/>
        <w:gridCol w:w="103"/>
        <w:gridCol w:w="1134"/>
        <w:gridCol w:w="103"/>
        <w:gridCol w:w="103"/>
        <w:gridCol w:w="1134"/>
        <w:gridCol w:w="103"/>
        <w:gridCol w:w="103"/>
        <w:gridCol w:w="1134"/>
        <w:gridCol w:w="103"/>
        <w:gridCol w:w="103"/>
        <w:gridCol w:w="1134"/>
        <w:gridCol w:w="103"/>
        <w:gridCol w:w="103"/>
        <w:gridCol w:w="1134"/>
        <w:gridCol w:w="103"/>
      </w:tblGrid>
      <w:tr w:rsidR="00AD5BB5">
        <w:tc>
          <w:tcPr>
            <w:tcW w:w="1587"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fldChar w:fldCharType="begin"/>
            </w:r>
            <w:r>
              <w:rPr>
                <w:rFonts w:ascii="Arial" w:eastAsia="黑体" w:hAnsi="Arial" w:cs="Arial"/>
                <w:sz w:val="13"/>
                <w:szCs w:val="13"/>
              </w:rPr>
              <w:instrText xml:space="preserve"> DOCPROPERTY </w:instrText>
            </w:r>
            <w:r>
              <w:rPr>
                <w:rFonts w:ascii="Arial" w:eastAsia="黑体" w:hAnsi="Arial" w:cs="Arial"/>
                <w:sz w:val="13"/>
                <w:szCs w:val="13"/>
              </w:rPr>
              <w:instrText>当期资产负债表日</w:instrText>
            </w:r>
            <w:r>
              <w:rPr>
                <w:rFonts w:ascii="Arial" w:eastAsia="黑体" w:hAnsi="Arial" w:cs="Arial"/>
                <w:sz w:val="13"/>
                <w:szCs w:val="13"/>
              </w:rPr>
              <w:instrText xml:space="preserve"> </w:instrText>
            </w:r>
            <w:r>
              <w:rPr>
                <w:rFonts w:ascii="Arial" w:eastAsia="黑体" w:hAnsi="Arial" w:cs="Arial"/>
                <w:sz w:val="13"/>
                <w:szCs w:val="13"/>
              </w:rPr>
              <w:fldChar w:fldCharType="separate"/>
            </w:r>
            <w:r>
              <w:rPr>
                <w:rFonts w:ascii="Arial" w:eastAsia="黑体" w:hAnsi="Arial" w:cs="Arial"/>
                <w:sz w:val="13"/>
                <w:szCs w:val="13"/>
              </w:rPr>
              <w:t>2023</w:t>
            </w:r>
            <w:r>
              <w:rPr>
                <w:rFonts w:ascii="Arial" w:eastAsia="黑体" w:hAnsi="Arial" w:cs="Arial"/>
                <w:sz w:val="13"/>
                <w:szCs w:val="13"/>
              </w:rPr>
              <w:t>年</w:t>
            </w:r>
            <w:r>
              <w:rPr>
                <w:rFonts w:ascii="Arial" w:eastAsia="黑体" w:hAnsi="Arial" w:cs="Arial"/>
                <w:sz w:val="13"/>
                <w:szCs w:val="13"/>
              </w:rPr>
              <w:t>6</w:t>
            </w:r>
            <w:r>
              <w:rPr>
                <w:rFonts w:ascii="Arial" w:eastAsia="黑体" w:hAnsi="Arial" w:cs="Arial"/>
                <w:sz w:val="13"/>
                <w:szCs w:val="13"/>
              </w:rPr>
              <w:t>月</w:t>
            </w:r>
            <w:r>
              <w:rPr>
                <w:rFonts w:ascii="Arial" w:eastAsia="黑体" w:hAnsi="Arial" w:cs="Arial"/>
                <w:sz w:val="13"/>
                <w:szCs w:val="13"/>
              </w:rPr>
              <w:t>30</w:t>
            </w:r>
            <w:r>
              <w:rPr>
                <w:rFonts w:ascii="Arial" w:eastAsia="黑体" w:hAnsi="Arial" w:cs="Arial"/>
                <w:sz w:val="13"/>
                <w:szCs w:val="13"/>
              </w:rPr>
              <w:t>日</w:t>
            </w:r>
            <w:r>
              <w:rPr>
                <w:rFonts w:ascii="Arial" w:eastAsia="黑体" w:hAnsi="Arial" w:cs="Arial"/>
                <w:sz w:val="13"/>
                <w:szCs w:val="13"/>
              </w:rPr>
              <w:fldChar w:fldCharType="end"/>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交易性金融资产</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债权投资</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其他债权投资</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合计</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最大损失敞口</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587" w:type="dxa"/>
            <w:tcBorders>
              <w:top w:val="nil"/>
              <w:left w:val="nil"/>
              <w:bottom w:val="nil"/>
              <w:right w:val="nil"/>
            </w:tcBorders>
            <w:vAlign w:val="bottom"/>
          </w:tcPr>
          <w:p w:rsidR="00AD5BB5" w:rsidRDefault="00AD5BB5">
            <w:pPr>
              <w:autoSpaceDE w:val="0"/>
              <w:autoSpaceDN w:val="0"/>
              <w:ind w:left="195" w:hangingChars="150" w:hanging="195"/>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587"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基金</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12,425,149,400.10</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12,425,149,400.10</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12,425,149,400.10</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587"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资产支持证券</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587" w:type="dxa"/>
            <w:tcBorders>
              <w:top w:val="nil"/>
              <w:left w:val="nil"/>
              <w:bottom w:val="nil"/>
              <w:right w:val="nil"/>
            </w:tcBorders>
            <w:vAlign w:val="bottom"/>
          </w:tcPr>
          <w:p w:rsidR="00AD5BB5" w:rsidRDefault="00F87FF6">
            <w:pPr>
              <w:autoSpaceDE w:val="0"/>
              <w:autoSpaceDN w:val="0"/>
              <w:ind w:leftChars="6" w:left="152" w:hangingChars="107" w:hanging="139"/>
              <w:rPr>
                <w:rFonts w:ascii="Arial" w:eastAsia="黑体" w:hAnsi="Arial" w:cs="Arial"/>
                <w:sz w:val="13"/>
                <w:szCs w:val="13"/>
              </w:rPr>
            </w:pPr>
            <w:r>
              <w:rPr>
                <w:rFonts w:ascii="Arial" w:eastAsia="黑体" w:hAnsi="Arial" w:cs="Arial"/>
                <w:sz w:val="13"/>
                <w:szCs w:val="13"/>
              </w:rPr>
              <w:t>信托投资计划及资产管理计划受益</w:t>
            </w:r>
            <w:proofErr w:type="gramStart"/>
            <w:r>
              <w:rPr>
                <w:rFonts w:ascii="Arial" w:eastAsia="黑体" w:hAnsi="Arial" w:cs="Arial"/>
                <w:sz w:val="13"/>
                <w:szCs w:val="13"/>
              </w:rPr>
              <w:t>权投资</w:t>
            </w:r>
            <w:proofErr w:type="gramEnd"/>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793,383,341.76</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793,383,341.76</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793,383,341.76</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587" w:type="dxa"/>
            <w:tcBorders>
              <w:top w:val="nil"/>
              <w:left w:val="nil"/>
              <w:bottom w:val="nil"/>
              <w:right w:val="nil"/>
            </w:tcBorders>
            <w:vAlign w:val="bottom"/>
          </w:tcPr>
          <w:p w:rsidR="00AD5BB5" w:rsidRDefault="00AD5BB5">
            <w:pPr>
              <w:autoSpaceDE w:val="0"/>
              <w:autoSpaceDN w:val="0"/>
              <w:ind w:left="195" w:hangingChars="150" w:hanging="195"/>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587"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合计</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12,425,149,400.10</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793,383,341.76</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13,218,532,741.86</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13,218,532,741.86</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bl>
    <w:p w:rsidR="00AD5BB5" w:rsidRDefault="00AD5BB5">
      <w:pPr>
        <w:overflowPunct w:val="0"/>
        <w:autoSpaceDE w:val="0"/>
        <w:autoSpaceDN w:val="0"/>
        <w:snapToGrid w:val="0"/>
        <w:rPr>
          <w:rFonts w:ascii="Arial" w:eastAsia="黑体" w:hAnsi="Arial" w:cs="Arial"/>
          <w:szCs w:val="21"/>
        </w:rPr>
      </w:pPr>
    </w:p>
    <w:tbl>
      <w:tblPr>
        <w:tblW w:w="0" w:type="auto"/>
        <w:tblLayout w:type="fixed"/>
        <w:tblCellMar>
          <w:left w:w="0" w:type="dxa"/>
          <w:right w:w="0" w:type="dxa"/>
        </w:tblCellMar>
        <w:tblLook w:val="04A0" w:firstRow="1" w:lastRow="0" w:firstColumn="1" w:lastColumn="0" w:noHBand="0" w:noVBand="1"/>
        <w:tblCaption w:val="2735985e-0fc9-42a2-be61-0ba1488d6b03"/>
        <w:tblDescription w:val="{&quot;UUID&quot;:&quot;afsaddin_tabledata_2_56437_2735985e-0fc9-42a2-be61-0ba1488d6b03&quot;,&quot;TitleRowCount&quot;:2,&quot;SplitedTable&quot;:false,&quot;FirstTableId&quot;:&quot;2735985e-0fc9-42a2-be61-0ba1488d6b03&quot;}"/>
      </w:tblPr>
      <w:tblGrid>
        <w:gridCol w:w="1587"/>
        <w:gridCol w:w="103"/>
        <w:gridCol w:w="1134"/>
        <w:gridCol w:w="103"/>
        <w:gridCol w:w="103"/>
        <w:gridCol w:w="1134"/>
        <w:gridCol w:w="103"/>
        <w:gridCol w:w="103"/>
        <w:gridCol w:w="1134"/>
        <w:gridCol w:w="103"/>
        <w:gridCol w:w="103"/>
        <w:gridCol w:w="1134"/>
        <w:gridCol w:w="103"/>
        <w:gridCol w:w="103"/>
        <w:gridCol w:w="1134"/>
        <w:gridCol w:w="103"/>
      </w:tblGrid>
      <w:tr w:rsidR="00AD5BB5">
        <w:tc>
          <w:tcPr>
            <w:tcW w:w="1587"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fldChar w:fldCharType="begin"/>
            </w:r>
            <w:r>
              <w:rPr>
                <w:rFonts w:ascii="Arial" w:eastAsia="黑体" w:hAnsi="Arial" w:cs="Arial"/>
                <w:sz w:val="13"/>
                <w:szCs w:val="13"/>
              </w:rPr>
              <w:instrText xml:space="preserve"> DOCPROPERTY </w:instrText>
            </w:r>
            <w:r>
              <w:rPr>
                <w:rFonts w:ascii="Arial" w:eastAsia="黑体" w:hAnsi="Arial" w:cs="Arial"/>
                <w:sz w:val="13"/>
                <w:szCs w:val="13"/>
              </w:rPr>
              <w:instrText>上期资产负债表日</w:instrText>
            </w:r>
            <w:r>
              <w:rPr>
                <w:rFonts w:ascii="Arial" w:eastAsia="黑体" w:hAnsi="Arial" w:cs="Arial"/>
                <w:sz w:val="13"/>
                <w:szCs w:val="13"/>
              </w:rPr>
              <w:instrText xml:space="preserve"> </w:instrText>
            </w:r>
            <w:r>
              <w:rPr>
                <w:rFonts w:ascii="Arial" w:eastAsia="黑体" w:hAnsi="Arial" w:cs="Arial"/>
                <w:sz w:val="13"/>
                <w:szCs w:val="13"/>
              </w:rPr>
              <w:fldChar w:fldCharType="separate"/>
            </w:r>
            <w:r>
              <w:rPr>
                <w:rFonts w:ascii="Arial" w:eastAsia="黑体" w:hAnsi="Arial" w:cs="Arial"/>
                <w:sz w:val="13"/>
                <w:szCs w:val="13"/>
              </w:rPr>
              <w:t>2022</w:t>
            </w:r>
            <w:r>
              <w:rPr>
                <w:rFonts w:ascii="Arial" w:eastAsia="黑体" w:hAnsi="Arial" w:cs="Arial"/>
                <w:sz w:val="13"/>
                <w:szCs w:val="13"/>
              </w:rPr>
              <w:t>年</w:t>
            </w:r>
            <w:r>
              <w:rPr>
                <w:rFonts w:ascii="Arial" w:eastAsia="黑体" w:hAnsi="Arial" w:cs="Arial"/>
                <w:sz w:val="13"/>
                <w:szCs w:val="13"/>
              </w:rPr>
              <w:t>12</w:t>
            </w:r>
            <w:r>
              <w:rPr>
                <w:rFonts w:ascii="Arial" w:eastAsia="黑体" w:hAnsi="Arial" w:cs="Arial"/>
                <w:sz w:val="13"/>
                <w:szCs w:val="13"/>
              </w:rPr>
              <w:t>月</w:t>
            </w:r>
            <w:r>
              <w:rPr>
                <w:rFonts w:ascii="Arial" w:eastAsia="黑体" w:hAnsi="Arial" w:cs="Arial"/>
                <w:sz w:val="13"/>
                <w:szCs w:val="13"/>
              </w:rPr>
              <w:t>31</w:t>
            </w:r>
            <w:r>
              <w:rPr>
                <w:rFonts w:ascii="Arial" w:eastAsia="黑体" w:hAnsi="Arial" w:cs="Arial"/>
                <w:sz w:val="13"/>
                <w:szCs w:val="13"/>
              </w:rPr>
              <w:t>日</w:t>
            </w:r>
            <w:r>
              <w:rPr>
                <w:rFonts w:ascii="Arial" w:eastAsia="黑体" w:hAnsi="Arial" w:cs="Arial"/>
                <w:sz w:val="13"/>
                <w:szCs w:val="13"/>
              </w:rPr>
              <w:fldChar w:fldCharType="end"/>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交易性金融资产</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债权投资</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其他债权投资</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合计</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最大损失敞口</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587" w:type="dxa"/>
            <w:tcBorders>
              <w:top w:val="nil"/>
              <w:left w:val="nil"/>
              <w:bottom w:val="nil"/>
              <w:right w:val="nil"/>
            </w:tcBorders>
            <w:vAlign w:val="bottom"/>
          </w:tcPr>
          <w:p w:rsidR="00AD5BB5" w:rsidRDefault="00AD5BB5">
            <w:pPr>
              <w:autoSpaceDE w:val="0"/>
              <w:autoSpaceDN w:val="0"/>
              <w:ind w:left="195" w:hangingChars="150" w:hanging="195"/>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587"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基金</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13,393,551,054.96</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13,393,551,054.96</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13,393,551,054.96</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587"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资产支持证券</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100,391,679.45</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100,391,679.45</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100,391,679.45</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587" w:type="dxa"/>
            <w:tcBorders>
              <w:top w:val="nil"/>
              <w:left w:val="nil"/>
              <w:bottom w:val="nil"/>
              <w:right w:val="nil"/>
            </w:tcBorders>
            <w:vAlign w:val="bottom"/>
          </w:tcPr>
          <w:p w:rsidR="00AD5BB5" w:rsidRDefault="00F87FF6">
            <w:pPr>
              <w:autoSpaceDE w:val="0"/>
              <w:autoSpaceDN w:val="0"/>
              <w:ind w:left="125" w:hangingChars="96" w:hanging="125"/>
              <w:rPr>
                <w:rFonts w:ascii="Arial" w:eastAsia="黑体" w:hAnsi="Arial" w:cs="Arial"/>
                <w:sz w:val="13"/>
                <w:szCs w:val="13"/>
              </w:rPr>
            </w:pPr>
            <w:r>
              <w:rPr>
                <w:rFonts w:ascii="Arial" w:eastAsia="黑体" w:hAnsi="Arial" w:cs="Arial"/>
                <w:sz w:val="13"/>
                <w:szCs w:val="13"/>
              </w:rPr>
              <w:t>信托投资计划及资产管理计划受益</w:t>
            </w:r>
            <w:proofErr w:type="gramStart"/>
            <w:r>
              <w:rPr>
                <w:rFonts w:ascii="Arial" w:eastAsia="黑体" w:hAnsi="Arial" w:cs="Arial"/>
                <w:sz w:val="13"/>
                <w:szCs w:val="13"/>
              </w:rPr>
              <w:t>权投资</w:t>
            </w:r>
            <w:proofErr w:type="gramEnd"/>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1,806,314,093.70</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1,806,314,093.70</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1,806,314,093.70</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587" w:type="dxa"/>
            <w:tcBorders>
              <w:top w:val="nil"/>
              <w:left w:val="nil"/>
              <w:bottom w:val="nil"/>
              <w:right w:val="nil"/>
            </w:tcBorders>
            <w:vAlign w:val="bottom"/>
          </w:tcPr>
          <w:p w:rsidR="00AD5BB5" w:rsidRDefault="00AD5BB5">
            <w:pPr>
              <w:autoSpaceDE w:val="0"/>
              <w:autoSpaceDN w:val="0"/>
              <w:ind w:left="195" w:hangingChars="150" w:hanging="195"/>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587"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合计</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13,393,551,054.96</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1,806,314,093.70</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100,391,679.45</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15,300,256,828.11</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13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15,300,256,828.11</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bl>
    <w:p w:rsidR="00AD5BB5" w:rsidRDefault="00AD5BB5">
      <w:pPr>
        <w:overflowPunct w:val="0"/>
        <w:autoSpaceDE w:val="0"/>
        <w:autoSpaceDN w:val="0"/>
        <w:adjustRightInd w:val="0"/>
        <w:snapToGrid w:val="0"/>
        <w:textAlignment w:val="bottom"/>
        <w:rPr>
          <w:rFonts w:ascii="Arial" w:eastAsia="黑体" w:hAnsi="Arial" w:cs="Arial"/>
          <w:b/>
          <w:bCs/>
          <w:szCs w:val="21"/>
        </w:rPr>
      </w:pPr>
      <w:bookmarkStart w:id="265" w:name="_Hlk79402832"/>
      <w:bookmarkEnd w:id="261"/>
    </w:p>
    <w:p w:rsidR="00AD5BB5" w:rsidRDefault="00AD5BB5">
      <w:pPr>
        <w:overflowPunct w:val="0"/>
        <w:autoSpaceDE w:val="0"/>
        <w:autoSpaceDN w:val="0"/>
        <w:adjustRightInd w:val="0"/>
        <w:snapToGrid w:val="0"/>
        <w:textAlignment w:val="bottom"/>
        <w:rPr>
          <w:rFonts w:ascii="Arial" w:eastAsia="黑体" w:hAnsi="Arial" w:cs="Arial"/>
          <w:b/>
          <w:bCs/>
          <w:szCs w:val="21"/>
        </w:rPr>
      </w:pPr>
    </w:p>
    <w:p w:rsidR="00AD5BB5" w:rsidRDefault="00F87FF6">
      <w:pPr>
        <w:overflowPunct w:val="0"/>
        <w:autoSpaceDE w:val="0"/>
        <w:autoSpaceDN w:val="0"/>
        <w:adjustRightInd w:val="0"/>
        <w:snapToGrid w:val="0"/>
        <w:ind w:left="720" w:hanging="720"/>
        <w:textAlignment w:val="bottom"/>
        <w:outlineLvl w:val="1"/>
        <w:rPr>
          <w:rFonts w:ascii="Arial" w:eastAsia="黑体" w:hAnsi="Arial" w:cs="Arial"/>
          <w:b/>
          <w:bCs/>
          <w:snapToGrid w:val="0"/>
          <w:szCs w:val="21"/>
        </w:rPr>
      </w:pPr>
      <w:bookmarkStart w:id="266" w:name="afsaddin_Section_430104a72d1c4acfa731e53"/>
      <w:r>
        <w:rPr>
          <w:rFonts w:ascii="Arial" w:eastAsia="黑体" w:hAnsi="Arial" w:cs="Arial"/>
          <w:b/>
          <w:bCs/>
          <w:szCs w:val="21"/>
        </w:rPr>
        <w:t>八、</w:t>
      </w:r>
      <w:r>
        <w:rPr>
          <w:rFonts w:ascii="Arial" w:eastAsia="黑体" w:hAnsi="Arial" w:cs="Arial"/>
          <w:b/>
          <w:bCs/>
          <w:szCs w:val="21"/>
        </w:rPr>
        <w:tab/>
      </w:r>
      <w:r>
        <w:rPr>
          <w:rFonts w:ascii="Arial" w:eastAsia="黑体" w:hAnsi="Arial" w:cs="Arial"/>
          <w:b/>
          <w:bCs/>
          <w:snapToGrid w:val="0"/>
          <w:szCs w:val="21"/>
        </w:rPr>
        <w:t>金融工具及其风险分析</w:t>
      </w:r>
    </w:p>
    <w:bookmarkEnd w:id="266"/>
    <w:p w:rsidR="00AD5BB5" w:rsidRDefault="00AD5BB5">
      <w:pPr>
        <w:tabs>
          <w:tab w:val="left" w:pos="567"/>
        </w:tabs>
        <w:overflowPunct w:val="0"/>
        <w:autoSpaceDE w:val="0"/>
        <w:autoSpaceDN w:val="0"/>
        <w:snapToGrid w:val="0"/>
        <w:rPr>
          <w:rFonts w:ascii="Arial" w:eastAsia="黑体" w:hAnsi="Arial" w:cs="Arial"/>
          <w:b/>
        </w:rPr>
      </w:pPr>
    </w:p>
    <w:p w:rsidR="00AD5BB5" w:rsidRDefault="00F87FF6">
      <w:pPr>
        <w:overflowPunct w:val="0"/>
        <w:autoSpaceDE w:val="0"/>
        <w:autoSpaceDN w:val="0"/>
        <w:adjustRightInd w:val="0"/>
        <w:snapToGrid w:val="0"/>
        <w:rPr>
          <w:rFonts w:ascii="Arial" w:eastAsia="黑体" w:hAnsi="Arial" w:cs="Arial"/>
          <w:snapToGrid w:val="0"/>
          <w:szCs w:val="21"/>
        </w:rPr>
      </w:pPr>
      <w:r>
        <w:rPr>
          <w:rFonts w:ascii="Arial" w:eastAsia="黑体" w:hAnsi="Arial" w:cs="Arial"/>
          <w:snapToGrid w:val="0"/>
          <w:szCs w:val="21"/>
        </w:rPr>
        <w:t>风险概述</w:t>
      </w:r>
    </w:p>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overflowPunct w:val="0"/>
        <w:autoSpaceDE w:val="0"/>
        <w:autoSpaceDN w:val="0"/>
        <w:adjustRightInd w:val="0"/>
        <w:snapToGrid w:val="0"/>
        <w:rPr>
          <w:rFonts w:ascii="Arial" w:eastAsia="黑体" w:hAnsi="Arial" w:cs="Arial"/>
          <w:snapToGrid w:val="0"/>
          <w:szCs w:val="21"/>
        </w:rPr>
      </w:pPr>
      <w:r>
        <w:rPr>
          <w:rFonts w:ascii="Arial" w:eastAsia="黑体" w:hAnsi="Arial" w:cs="Arial"/>
          <w:snapToGrid w:val="0"/>
          <w:szCs w:val="21"/>
        </w:rPr>
        <w:t>本集团从事的银行业务使本集团面临各种类型的风险。本集团通过持续的风险识别，评估、监控各类风险。本集团业务经营中主要面临信用风险、市场风险、流动性风险和操作风险。其中市场风险包括汇率风险、利率风险和其他价格风险。</w:t>
      </w:r>
    </w:p>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overflowPunct w:val="0"/>
        <w:autoSpaceDE w:val="0"/>
        <w:autoSpaceDN w:val="0"/>
        <w:adjustRightInd w:val="0"/>
        <w:snapToGrid w:val="0"/>
        <w:rPr>
          <w:rFonts w:ascii="Arial" w:eastAsia="黑体" w:hAnsi="Arial" w:cs="Arial"/>
          <w:snapToGrid w:val="0"/>
          <w:szCs w:val="21"/>
        </w:rPr>
      </w:pPr>
      <w:r>
        <w:rPr>
          <w:rFonts w:ascii="Arial" w:eastAsia="黑体" w:hAnsi="Arial" w:cs="Arial"/>
          <w:snapToGrid w:val="0"/>
          <w:szCs w:val="21"/>
        </w:rPr>
        <w:t>本集团从事风险管理的目标是在风险和收益之间取得适当的平衡，确保在合理的风险水平下安全、稳健经营。</w:t>
      </w:r>
      <w:r>
        <w:rPr>
          <w:rFonts w:ascii="Arial" w:eastAsia="黑体" w:hAnsi="Arial" w:cs="Arial"/>
          <w:snapToGrid w:val="0"/>
          <w:szCs w:val="21"/>
        </w:rPr>
        <w:br w:type="page"/>
      </w:r>
    </w:p>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overflowPunct w:val="0"/>
        <w:autoSpaceDE w:val="0"/>
        <w:autoSpaceDN w:val="0"/>
        <w:adjustRightInd w:val="0"/>
        <w:snapToGrid w:val="0"/>
        <w:ind w:left="720" w:hanging="720"/>
        <w:rPr>
          <w:rFonts w:ascii="Arial" w:eastAsia="黑体" w:hAnsi="Arial" w:cs="Arial"/>
          <w:b/>
          <w:snapToGrid w:val="0"/>
          <w:szCs w:val="21"/>
        </w:rPr>
      </w:pPr>
      <w:bookmarkStart w:id="267" w:name="afsaddin_WithXu_cd228acd13534cb8b4c7bf63"/>
      <w:r>
        <w:rPr>
          <w:rFonts w:ascii="Arial" w:eastAsia="黑体" w:hAnsi="Arial" w:cs="Arial"/>
          <w:b/>
          <w:snapToGrid w:val="0"/>
          <w:szCs w:val="21"/>
        </w:rPr>
        <w:t>八、</w:t>
      </w:r>
      <w:r>
        <w:rPr>
          <w:rFonts w:ascii="Arial" w:eastAsia="黑体" w:hAnsi="Arial" w:cs="Arial"/>
          <w:b/>
          <w:snapToGrid w:val="0"/>
          <w:szCs w:val="21"/>
        </w:rPr>
        <w:tab/>
      </w:r>
      <w:r>
        <w:rPr>
          <w:rFonts w:ascii="Arial" w:eastAsia="黑体" w:hAnsi="Arial" w:cs="Arial"/>
          <w:b/>
          <w:snapToGrid w:val="0"/>
          <w:szCs w:val="21"/>
        </w:rPr>
        <w:t>金融工具及其风险分析（续）</w:t>
      </w:r>
      <w:bookmarkEnd w:id="267"/>
    </w:p>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overflowPunct w:val="0"/>
        <w:autoSpaceDE w:val="0"/>
        <w:autoSpaceDN w:val="0"/>
        <w:adjustRightInd w:val="0"/>
        <w:snapToGrid w:val="0"/>
        <w:rPr>
          <w:rFonts w:ascii="Arial" w:eastAsia="黑体" w:hAnsi="Arial" w:cs="Arial"/>
          <w:snapToGrid w:val="0"/>
          <w:szCs w:val="21"/>
        </w:rPr>
      </w:pPr>
      <w:bookmarkStart w:id="268" w:name="afsaddin_WithXu_8750d5ff17194a4c81b477de"/>
      <w:bookmarkEnd w:id="268"/>
      <w:r>
        <w:rPr>
          <w:rFonts w:ascii="Arial" w:eastAsia="黑体" w:hAnsi="Arial" w:cs="Arial"/>
          <w:snapToGrid w:val="0"/>
          <w:szCs w:val="21"/>
        </w:rPr>
        <w:t>风险管理架构</w:t>
      </w:r>
    </w:p>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overflowPunct w:val="0"/>
        <w:autoSpaceDE w:val="0"/>
        <w:autoSpaceDN w:val="0"/>
        <w:adjustRightInd w:val="0"/>
        <w:snapToGrid w:val="0"/>
        <w:rPr>
          <w:rFonts w:ascii="Arial" w:eastAsia="黑体" w:hAnsi="Arial" w:cs="Arial"/>
          <w:snapToGrid w:val="0"/>
          <w:szCs w:val="21"/>
        </w:rPr>
      </w:pPr>
      <w:r>
        <w:rPr>
          <w:rFonts w:ascii="Arial" w:eastAsia="黑体" w:hAnsi="Arial" w:cs="Arial"/>
          <w:snapToGrid w:val="0"/>
          <w:szCs w:val="21"/>
        </w:rPr>
        <w:t>本集团董事会是风险管理的最高决策机构，负责审批重大风险管理政策和程序，监督高级管理层采取必要的措施识别、计量、监测和控制风险。本集团高级管理</w:t>
      </w:r>
      <w:proofErr w:type="gramStart"/>
      <w:r>
        <w:rPr>
          <w:rFonts w:ascii="Arial" w:eastAsia="黑体" w:hAnsi="Arial" w:cs="Arial"/>
          <w:snapToGrid w:val="0"/>
          <w:szCs w:val="21"/>
        </w:rPr>
        <w:t>层负责</w:t>
      </w:r>
      <w:proofErr w:type="gramEnd"/>
      <w:r>
        <w:rPr>
          <w:rFonts w:ascii="Arial" w:eastAsia="黑体" w:hAnsi="Arial" w:cs="Arial"/>
          <w:snapToGrid w:val="0"/>
          <w:szCs w:val="21"/>
        </w:rPr>
        <w:t>建立适应全面风险管理的经营管理架构，制定并推动执行相应的风险管理政策、制度和程序。本集团建立了风险管理三道防线架构，业务条线（包括各级分支机构、业务经营部门、业务支持职能部门）作为一道防线，承担风险管理直接责任，遵循各类风险管理政策、程序和限额，主动识别、评估和控制业务和产品可能涉及的各类风险；风险管理条线（风险管理职能部门）作为二道防线，负责制定风险管理制度框架、组织执行风险管理措施、指导一道防线执行风险政策及程序、开展风险监测及报告；内审部门作为三道防线，负责对业务条线和风险管理条线履职情况进行审计。</w:t>
      </w:r>
    </w:p>
    <w:p w:rsidR="00AD5BB5" w:rsidRDefault="00AD5BB5">
      <w:pPr>
        <w:overflowPunct w:val="0"/>
        <w:autoSpaceDE w:val="0"/>
        <w:autoSpaceDN w:val="0"/>
        <w:adjustRightInd w:val="0"/>
        <w:snapToGrid w:val="0"/>
        <w:rPr>
          <w:rFonts w:ascii="Arial" w:eastAsia="黑体" w:hAnsi="Arial" w:cs="Arial"/>
          <w:snapToGrid w:val="0"/>
          <w:szCs w:val="21"/>
        </w:rPr>
      </w:pPr>
      <w:bookmarkStart w:id="269" w:name="_Hlk16524801"/>
      <w:bookmarkStart w:id="270" w:name="_Hlk79402858"/>
      <w:bookmarkEnd w:id="265"/>
      <w:bookmarkEnd w:id="269"/>
    </w:p>
    <w:p w:rsidR="00AD5BB5" w:rsidRDefault="00F87FF6">
      <w:pPr>
        <w:pStyle w:val="af5"/>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271" w:name="afsaddin_Section_aee3fd81ad12431e9f62d38"/>
      <w:r>
        <w:rPr>
          <w:rFonts w:ascii="Arial" w:eastAsia="黑体" w:hAnsi="Arial" w:cs="Arial" w:hint="default"/>
          <w:bCs w:val="0"/>
          <w:snapToGrid w:val="0"/>
          <w:color w:val="auto"/>
          <w:sz w:val="21"/>
          <w:szCs w:val="21"/>
        </w:rPr>
        <w:t>1.</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信用风险</w:t>
      </w:r>
    </w:p>
    <w:bookmarkEnd w:id="271"/>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overflowPunct w:val="0"/>
        <w:autoSpaceDE w:val="0"/>
        <w:autoSpaceDN w:val="0"/>
        <w:adjustRightInd w:val="0"/>
        <w:snapToGrid w:val="0"/>
        <w:rPr>
          <w:rFonts w:ascii="Arial" w:eastAsia="黑体" w:hAnsi="Arial" w:cs="Arial"/>
          <w:snapToGrid w:val="0"/>
          <w:szCs w:val="21"/>
        </w:rPr>
      </w:pPr>
      <w:r>
        <w:rPr>
          <w:rFonts w:ascii="Arial" w:eastAsia="黑体" w:hAnsi="Arial" w:cs="Arial"/>
          <w:snapToGrid w:val="0"/>
          <w:szCs w:val="21"/>
        </w:rPr>
        <w:t>信用风险是指借款人或交易对手无法履行到期合同约定的义务而承担的风险。信用风险主要存在于本集团发放的各项贷款及垫款、担保与承诺，以及其他表外信用风险敞口。</w:t>
      </w:r>
    </w:p>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overflowPunct w:val="0"/>
        <w:autoSpaceDE w:val="0"/>
        <w:autoSpaceDN w:val="0"/>
        <w:adjustRightInd w:val="0"/>
        <w:snapToGrid w:val="0"/>
        <w:rPr>
          <w:rFonts w:ascii="Arial" w:eastAsia="黑体" w:hAnsi="Arial" w:cs="Arial"/>
          <w:snapToGrid w:val="0"/>
          <w:szCs w:val="21"/>
        </w:rPr>
      </w:pPr>
      <w:r>
        <w:rPr>
          <w:rFonts w:ascii="Arial" w:eastAsia="黑体" w:hAnsi="Arial" w:cs="Arial"/>
          <w:snapToGrid w:val="0"/>
          <w:szCs w:val="21"/>
        </w:rPr>
        <w:t>本集团对包括授</w:t>
      </w:r>
      <w:proofErr w:type="gramStart"/>
      <w:r>
        <w:rPr>
          <w:rFonts w:ascii="Arial" w:eastAsia="黑体" w:hAnsi="Arial" w:cs="Arial"/>
          <w:snapToGrid w:val="0"/>
          <w:szCs w:val="21"/>
        </w:rPr>
        <w:t>信调查</w:t>
      </w:r>
      <w:proofErr w:type="gramEnd"/>
      <w:r>
        <w:rPr>
          <w:rFonts w:ascii="Arial" w:eastAsia="黑体" w:hAnsi="Arial" w:cs="Arial"/>
          <w:snapToGrid w:val="0"/>
          <w:szCs w:val="21"/>
        </w:rPr>
        <w:t>和申报、授信审查审批、贷款发放贷后监控和不良贷款管理等环节的信贷业务全流程实行规范化管理。通过制定授信业务的相关管理办法并定期修订更新、不断调整和优化信贷投向和信贷结构，及时有效识别、计量和监控本集团的信用风险。本集团参照</w:t>
      </w:r>
      <w:r>
        <w:rPr>
          <w:rFonts w:ascii="Arial" w:eastAsia="黑体" w:hAnsi="Arial" w:cs="Arial" w:hint="eastAsia"/>
          <w:snapToGrid w:val="0"/>
          <w:szCs w:val="21"/>
        </w:rPr>
        <w:t>金融监管总局</w:t>
      </w:r>
      <w:r>
        <w:rPr>
          <w:rFonts w:ascii="Arial" w:eastAsia="黑体" w:hAnsi="Arial" w:cs="Arial"/>
          <w:snapToGrid w:val="0"/>
          <w:szCs w:val="21"/>
        </w:rPr>
        <w:t>制定的《贷款风险分类指引》和《小企业贷款风险分类办法（试行）》要求，制定九级分类实施细则，管理本集团的信用风险。</w:t>
      </w:r>
    </w:p>
    <w:p w:rsidR="00AD5BB5" w:rsidRDefault="00AD5BB5">
      <w:pPr>
        <w:overflowPunct w:val="0"/>
        <w:autoSpaceDE w:val="0"/>
        <w:autoSpaceDN w:val="0"/>
        <w:rPr>
          <w:rFonts w:ascii="Arial" w:eastAsia="黑体" w:hAnsi="Arial" w:cs="Arial"/>
          <w:bCs/>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本集团客户经理负责接收授信申请人的申请文件，对申请人进行贷前调查，评估申请人和申请业务的信用风险，提出信用评级建议。本集团根据授信审批权限，实行分行和总行分级审批制度。本集团在综合考虑申请人的信用状况、财务状况、抵质押物和保证情况、信贷组合总体信用风险、宏观调控政策以及法律法规限制等各种因素基础上，确定授信金额。本集团结合国家宏观调控趋势，加强信贷业务的政策动态指引和行业差异化管理，不断提高全行贷款结构分布的合理性。本集团设立放款中心，在放款之前审查相关授</w:t>
      </w:r>
      <w:proofErr w:type="gramStart"/>
      <w:r>
        <w:rPr>
          <w:rFonts w:ascii="Arial" w:eastAsia="黑体" w:hAnsi="Arial" w:cs="Arial"/>
          <w:snapToGrid w:val="0"/>
          <w:szCs w:val="21"/>
        </w:rPr>
        <w:t>信文件</w:t>
      </w:r>
      <w:proofErr w:type="gramEnd"/>
      <w:r>
        <w:rPr>
          <w:rFonts w:ascii="Arial" w:eastAsia="黑体" w:hAnsi="Arial" w:cs="Arial"/>
          <w:snapToGrid w:val="0"/>
          <w:szCs w:val="21"/>
        </w:rPr>
        <w:t>的合</w:t>
      </w:r>
      <w:proofErr w:type="gramStart"/>
      <w:r>
        <w:rPr>
          <w:rFonts w:ascii="Arial" w:eastAsia="黑体" w:hAnsi="Arial" w:cs="Arial"/>
          <w:snapToGrid w:val="0"/>
          <w:szCs w:val="21"/>
        </w:rPr>
        <w:t>规</w:t>
      </w:r>
      <w:proofErr w:type="gramEnd"/>
      <w:r>
        <w:rPr>
          <w:rFonts w:ascii="Arial" w:eastAsia="黑体" w:hAnsi="Arial" w:cs="Arial"/>
          <w:snapToGrid w:val="0"/>
          <w:szCs w:val="21"/>
        </w:rPr>
        <w:t>性、完整性和有效性。本集团客户经理负责实施贷后的定期和不定期监控。本集团利用风险预警系统等一系列的工具和方法，对本集团的授信实施日常风险监控。本集团的授信管理部、零售风险管理部负责对全行不良贷款的</w:t>
      </w:r>
      <w:r>
        <w:rPr>
          <w:rFonts w:ascii="Arial" w:eastAsia="黑体" w:hAnsi="Arial" w:cs="Arial" w:hint="eastAsia"/>
          <w:snapToGrid w:val="0"/>
          <w:szCs w:val="21"/>
        </w:rPr>
        <w:t>管理</w:t>
      </w:r>
      <w:r>
        <w:rPr>
          <w:rFonts w:ascii="Arial" w:eastAsia="黑体" w:hAnsi="Arial" w:cs="Arial"/>
          <w:snapToGrid w:val="0"/>
          <w:szCs w:val="21"/>
        </w:rPr>
        <w:t>，子公司福建海西金融租赁有限责任公司负责对自身不良贷款的</w:t>
      </w:r>
      <w:r>
        <w:rPr>
          <w:rFonts w:ascii="Arial" w:eastAsia="黑体" w:hAnsi="Arial" w:cs="Arial" w:hint="eastAsia"/>
          <w:snapToGrid w:val="0"/>
          <w:szCs w:val="21"/>
        </w:rPr>
        <w:t>管理</w:t>
      </w:r>
      <w:r>
        <w:rPr>
          <w:rFonts w:ascii="Arial" w:eastAsia="黑体" w:hAnsi="Arial" w:cs="Arial"/>
          <w:snapToGrid w:val="0"/>
          <w:szCs w:val="21"/>
        </w:rPr>
        <w:t>。对不良贷款，本集团主要通过</w:t>
      </w:r>
      <w:r>
        <w:rPr>
          <w:rFonts w:ascii="Arial" w:eastAsia="黑体" w:hAnsi="Arial" w:cs="Arial"/>
          <w:snapToGrid w:val="0"/>
          <w:szCs w:val="21"/>
        </w:rPr>
        <w:t>(1)</w:t>
      </w:r>
      <w:r>
        <w:rPr>
          <w:rFonts w:ascii="Arial" w:eastAsia="黑体" w:hAnsi="Arial" w:cs="Arial"/>
          <w:snapToGrid w:val="0"/>
          <w:szCs w:val="21"/>
        </w:rPr>
        <w:t>催收；</w:t>
      </w:r>
      <w:r>
        <w:rPr>
          <w:rFonts w:ascii="Arial" w:eastAsia="黑体" w:hAnsi="Arial" w:cs="Arial"/>
          <w:snapToGrid w:val="0"/>
          <w:szCs w:val="21"/>
        </w:rPr>
        <w:t>(2)</w:t>
      </w:r>
      <w:r>
        <w:rPr>
          <w:rFonts w:ascii="Arial" w:eastAsia="黑体" w:hAnsi="Arial" w:cs="Arial"/>
          <w:snapToGrid w:val="0"/>
          <w:szCs w:val="21"/>
        </w:rPr>
        <w:t>重组；</w:t>
      </w:r>
      <w:r>
        <w:rPr>
          <w:rFonts w:ascii="Arial" w:eastAsia="黑体" w:hAnsi="Arial" w:cs="Arial"/>
          <w:snapToGrid w:val="0"/>
          <w:szCs w:val="21"/>
        </w:rPr>
        <w:t>(3)</w:t>
      </w:r>
      <w:r>
        <w:rPr>
          <w:rFonts w:ascii="Arial" w:eastAsia="黑体" w:hAnsi="Arial" w:cs="Arial"/>
          <w:snapToGrid w:val="0"/>
          <w:szCs w:val="21"/>
        </w:rPr>
        <w:t>执行处置抵押物或向担保方追索；</w:t>
      </w:r>
      <w:r>
        <w:rPr>
          <w:rFonts w:ascii="Arial" w:eastAsia="黑体" w:hAnsi="Arial" w:cs="Arial"/>
          <w:snapToGrid w:val="0"/>
          <w:szCs w:val="21"/>
        </w:rPr>
        <w:t>(4)</w:t>
      </w:r>
      <w:r>
        <w:rPr>
          <w:rFonts w:ascii="Arial" w:eastAsia="黑体" w:hAnsi="Arial" w:cs="Arial"/>
          <w:snapToGrid w:val="0"/>
          <w:szCs w:val="21"/>
        </w:rPr>
        <w:t>诉讼或仲裁；</w:t>
      </w:r>
      <w:r>
        <w:rPr>
          <w:rFonts w:ascii="Arial" w:eastAsia="黑体" w:hAnsi="Arial" w:cs="Arial"/>
          <w:snapToGrid w:val="0"/>
          <w:szCs w:val="21"/>
        </w:rPr>
        <w:t>(5)</w:t>
      </w:r>
      <w:r>
        <w:rPr>
          <w:rFonts w:ascii="Arial" w:eastAsia="黑体" w:hAnsi="Arial" w:cs="Arial"/>
          <w:snapToGrid w:val="0"/>
          <w:szCs w:val="21"/>
        </w:rPr>
        <w:t>按监管规定核销等方式，对不良贷款进行</w:t>
      </w:r>
      <w:r>
        <w:rPr>
          <w:rFonts w:ascii="Arial" w:eastAsia="黑体" w:hAnsi="Arial" w:cs="Arial" w:hint="eastAsia"/>
          <w:snapToGrid w:val="0"/>
          <w:szCs w:val="21"/>
        </w:rPr>
        <w:t>处置</w:t>
      </w:r>
      <w:r>
        <w:rPr>
          <w:rFonts w:ascii="Arial" w:eastAsia="黑体" w:hAnsi="Arial" w:cs="Arial"/>
          <w:snapToGrid w:val="0"/>
          <w:szCs w:val="21"/>
        </w:rPr>
        <w:t>。</w:t>
      </w: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本集团实施承担信用风险的贷款承诺和</w:t>
      </w:r>
      <w:proofErr w:type="gramStart"/>
      <w:r>
        <w:rPr>
          <w:rFonts w:ascii="Arial" w:eastAsia="黑体" w:hAnsi="Arial" w:cs="Arial"/>
          <w:snapToGrid w:val="0"/>
          <w:szCs w:val="21"/>
        </w:rPr>
        <w:t>或</w:t>
      </w:r>
      <w:proofErr w:type="gramEnd"/>
      <w:r>
        <w:rPr>
          <w:rFonts w:ascii="Arial" w:eastAsia="黑体" w:hAnsi="Arial" w:cs="Arial"/>
          <w:snapToGrid w:val="0"/>
          <w:szCs w:val="21"/>
        </w:rPr>
        <w:t>有负债产生的风险在实质上与发放贷款及垫款的风险一致。因此，这些交易需要经过与贷款业务相同的申请、贷后</w:t>
      </w:r>
      <w:proofErr w:type="gramStart"/>
      <w:r>
        <w:rPr>
          <w:rFonts w:ascii="Arial" w:eastAsia="黑体" w:hAnsi="Arial" w:cs="Arial"/>
          <w:snapToGrid w:val="0"/>
          <w:szCs w:val="21"/>
        </w:rPr>
        <w:t>管理及抵质押</w:t>
      </w:r>
      <w:proofErr w:type="gramEnd"/>
      <w:r>
        <w:rPr>
          <w:rFonts w:ascii="Arial" w:eastAsia="黑体" w:hAnsi="Arial" w:cs="Arial"/>
          <w:snapToGrid w:val="0"/>
          <w:szCs w:val="21"/>
        </w:rPr>
        <w:t>担保要求。</w:t>
      </w:r>
    </w:p>
    <w:p w:rsidR="00AD5BB5" w:rsidRDefault="00AD5BB5">
      <w:pPr>
        <w:overflowPunct w:val="0"/>
        <w:autoSpaceDE w:val="0"/>
        <w:autoSpaceDN w:val="0"/>
        <w:adjustRightInd w:val="0"/>
        <w:snapToGrid w:val="0"/>
        <w:ind w:left="720" w:hanging="720"/>
        <w:textAlignment w:val="bottom"/>
        <w:rPr>
          <w:rFonts w:ascii="Arial" w:eastAsia="黑体" w:hAnsi="Arial" w:cs="Arial"/>
          <w:b/>
          <w:bCs/>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对资金业务（包括债券性投资）以及回购业务，本集团对涉及的同业及债券发行主体实行总行统一审查审批，并实行额度管理。本集团通过谨慎选择同业及发行主体、平衡信用风险与投资收益率、参考外部信用评级信息、审查调整投资额度等方式，对资金业务的信用风险进行管理。</w:t>
      </w:r>
      <w:r>
        <w:rPr>
          <w:rFonts w:ascii="Arial" w:eastAsia="黑体" w:hAnsi="Arial" w:cs="Arial"/>
          <w:snapToGrid w:val="0"/>
          <w:szCs w:val="21"/>
        </w:rPr>
        <w:br w:type="page"/>
      </w:r>
    </w:p>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272" w:name="afsaddin_WithXu_e3d51919e9e54576959e6c17"/>
      <w:r>
        <w:rPr>
          <w:rFonts w:ascii="Arial" w:eastAsia="黑体" w:hAnsi="Arial" w:cs="Arial"/>
          <w:b/>
          <w:snapToGrid w:val="0"/>
          <w:szCs w:val="21"/>
        </w:rPr>
        <w:t>八、</w:t>
      </w:r>
      <w:r>
        <w:rPr>
          <w:rFonts w:ascii="Arial" w:eastAsia="黑体" w:hAnsi="Arial" w:cs="Arial"/>
          <w:b/>
          <w:snapToGrid w:val="0"/>
          <w:szCs w:val="21"/>
        </w:rPr>
        <w:tab/>
      </w:r>
      <w:r>
        <w:rPr>
          <w:rFonts w:ascii="Arial" w:eastAsia="黑体" w:hAnsi="Arial" w:cs="Arial"/>
          <w:b/>
          <w:snapToGrid w:val="0"/>
          <w:szCs w:val="21"/>
        </w:rPr>
        <w:t>金融工具及其风险分析（续）</w:t>
      </w:r>
      <w:bookmarkEnd w:id="272"/>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273" w:name="afsaddin_WithXu_d41d2439483e4268a079fa23"/>
      <w:r>
        <w:rPr>
          <w:rFonts w:ascii="Arial" w:eastAsia="黑体" w:hAnsi="Arial" w:cs="Arial"/>
          <w:b/>
          <w:snapToGrid w:val="0"/>
          <w:szCs w:val="21"/>
        </w:rPr>
        <w:t>1.</w:t>
      </w:r>
      <w:r>
        <w:rPr>
          <w:rFonts w:ascii="Arial" w:eastAsia="黑体" w:hAnsi="Arial" w:cs="Arial"/>
          <w:b/>
          <w:snapToGrid w:val="0"/>
          <w:szCs w:val="21"/>
        </w:rPr>
        <w:tab/>
      </w:r>
      <w:r>
        <w:rPr>
          <w:rFonts w:ascii="Arial" w:eastAsia="黑体" w:hAnsi="Arial" w:cs="Arial"/>
          <w:b/>
          <w:snapToGrid w:val="0"/>
          <w:szCs w:val="21"/>
        </w:rPr>
        <w:t>信用风险（续）</w:t>
      </w:r>
      <w:bookmarkEnd w:id="273"/>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bookmarkStart w:id="274" w:name="afsaddin_WithXu_8d8664cb556345a7bada2de6"/>
      <w:bookmarkStart w:id="275" w:name="afsaddin_WithXu_53a0b7a9088549609864a022"/>
      <w:bookmarkEnd w:id="274"/>
      <w:bookmarkEnd w:id="275"/>
      <w:r>
        <w:rPr>
          <w:rFonts w:ascii="Arial" w:eastAsia="黑体" w:hAnsi="Arial" w:cs="Arial"/>
          <w:snapToGrid w:val="0"/>
          <w:szCs w:val="21"/>
        </w:rPr>
        <w:t>本集团制定了一系列政策，通过不同的手段缓解信用风险。其中获取抵质押物、保证金以及取得公司或个人的担保是本集团控制信用风险的重要手段之一。本集团规定了可接受的</w:t>
      </w:r>
      <w:proofErr w:type="gramStart"/>
      <w:r>
        <w:rPr>
          <w:rFonts w:ascii="Arial" w:eastAsia="黑体" w:hAnsi="Arial" w:cs="Arial"/>
          <w:snapToGrid w:val="0"/>
          <w:szCs w:val="21"/>
        </w:rPr>
        <w:t>特定抵</w:t>
      </w:r>
      <w:proofErr w:type="gramEnd"/>
      <w:r>
        <w:rPr>
          <w:rFonts w:ascii="Arial" w:eastAsia="黑体" w:hAnsi="Arial" w:cs="Arial"/>
          <w:snapToGrid w:val="0"/>
          <w:szCs w:val="21"/>
        </w:rPr>
        <w:t>质押物的种类，主要包括以下几个类型：</w:t>
      </w: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w:t>
      </w:r>
      <w:r>
        <w:rPr>
          <w:rFonts w:ascii="Arial" w:eastAsia="黑体" w:hAnsi="Arial" w:cs="Arial"/>
          <w:snapToGrid w:val="0"/>
          <w:szCs w:val="21"/>
        </w:rPr>
        <w:tab/>
      </w:r>
      <w:r>
        <w:rPr>
          <w:rFonts w:ascii="Arial" w:eastAsia="黑体" w:hAnsi="Arial" w:cs="Arial"/>
          <w:snapToGrid w:val="0"/>
          <w:szCs w:val="21"/>
        </w:rPr>
        <w:t>房产和土地使用权</w:t>
      </w: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w:t>
      </w:r>
      <w:r>
        <w:rPr>
          <w:rFonts w:ascii="Arial" w:eastAsia="黑体" w:hAnsi="Arial" w:cs="Arial"/>
          <w:snapToGrid w:val="0"/>
          <w:szCs w:val="21"/>
        </w:rPr>
        <w:tab/>
      </w:r>
      <w:r>
        <w:rPr>
          <w:rFonts w:ascii="Arial" w:eastAsia="黑体" w:hAnsi="Arial" w:cs="Arial"/>
          <w:snapToGrid w:val="0"/>
          <w:szCs w:val="21"/>
        </w:rPr>
        <w:t>现金及现金等价物</w:t>
      </w: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w:t>
      </w:r>
      <w:r>
        <w:rPr>
          <w:rFonts w:ascii="Arial" w:eastAsia="黑体" w:hAnsi="Arial" w:cs="Arial"/>
          <w:snapToGrid w:val="0"/>
          <w:szCs w:val="21"/>
        </w:rPr>
        <w:tab/>
      </w:r>
      <w:r>
        <w:rPr>
          <w:rFonts w:ascii="Arial" w:eastAsia="黑体" w:hAnsi="Arial" w:cs="Arial"/>
          <w:snapToGrid w:val="0"/>
          <w:szCs w:val="21"/>
        </w:rPr>
        <w:t>有价证券和收益证券</w:t>
      </w: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为了将信用风险降低到最低，对单笔贷款一旦识别出现减值迹象，本集团会调整授信方案，包括但不限于要求借款人追加抵质押物</w:t>
      </w:r>
      <w:r>
        <w:rPr>
          <w:rFonts w:ascii="Arial" w:eastAsia="黑体" w:hAnsi="Arial" w:cs="Arial"/>
          <w:snapToGrid w:val="0"/>
          <w:szCs w:val="21"/>
        </w:rPr>
        <w:t>/</w:t>
      </w:r>
      <w:r>
        <w:rPr>
          <w:rFonts w:ascii="Arial" w:eastAsia="黑体" w:hAnsi="Arial" w:cs="Arial"/>
          <w:snapToGrid w:val="0"/>
          <w:szCs w:val="21"/>
        </w:rPr>
        <w:t>保证人、缩减授</w:t>
      </w:r>
      <w:proofErr w:type="gramStart"/>
      <w:r>
        <w:rPr>
          <w:rFonts w:ascii="Arial" w:eastAsia="黑体" w:hAnsi="Arial" w:cs="Arial"/>
          <w:snapToGrid w:val="0"/>
          <w:szCs w:val="21"/>
        </w:rPr>
        <w:t>信金额</w:t>
      </w:r>
      <w:proofErr w:type="gramEnd"/>
      <w:r>
        <w:rPr>
          <w:rFonts w:ascii="Arial" w:eastAsia="黑体" w:hAnsi="Arial" w:cs="Arial"/>
          <w:snapToGrid w:val="0"/>
          <w:szCs w:val="21"/>
        </w:rPr>
        <w:t>或提前结清授信。</w:t>
      </w:r>
    </w:p>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pStyle w:val="aff2"/>
        <w:widowControl/>
        <w:numPr>
          <w:ilvl w:val="0"/>
          <w:numId w:val="34"/>
        </w:numPr>
        <w:overflowPunct w:val="0"/>
        <w:autoSpaceDE w:val="0"/>
        <w:autoSpaceDN w:val="0"/>
        <w:ind w:firstLineChars="0" w:hanging="845"/>
        <w:contextualSpacing/>
        <w:jc w:val="left"/>
        <w:outlineLvl w:val="3"/>
        <w:rPr>
          <w:rFonts w:ascii="Arial" w:eastAsia="黑体" w:hAnsi="Arial" w:cs="Arial"/>
          <w:b/>
          <w:bCs/>
          <w:snapToGrid w:val="0"/>
          <w:szCs w:val="21"/>
        </w:rPr>
      </w:pPr>
      <w:bookmarkStart w:id="276" w:name="afsaddin_Section_ab00403c5c4548259b39240"/>
      <w:r>
        <w:rPr>
          <w:rFonts w:ascii="Arial" w:eastAsia="黑体" w:hAnsi="Arial" w:cs="Arial"/>
          <w:b/>
          <w:bCs/>
          <w:snapToGrid w:val="0"/>
          <w:szCs w:val="21"/>
        </w:rPr>
        <w:t>信贷风险减值分析和准备金计提政策</w:t>
      </w:r>
    </w:p>
    <w:bookmarkEnd w:id="276"/>
    <w:p w:rsidR="00AD5BB5" w:rsidRDefault="00AD5BB5">
      <w:pPr>
        <w:overflowPunct w:val="0"/>
        <w:autoSpaceDE w:val="0"/>
        <w:autoSpaceDN w:val="0"/>
        <w:rPr>
          <w:rFonts w:ascii="Arial" w:eastAsia="黑体" w:hAnsi="Arial" w:cs="Arial"/>
          <w:snapToGrid w:val="0"/>
          <w:szCs w:val="21"/>
        </w:rPr>
      </w:pPr>
    </w:p>
    <w:p w:rsidR="00AD5BB5" w:rsidRDefault="00F87FF6">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i/>
          <w:szCs w:val="21"/>
          <w:u w:val="single"/>
        </w:rPr>
      </w:pPr>
      <w:r>
        <w:rPr>
          <w:rFonts w:ascii="Arial" w:eastAsia="黑体" w:hAnsi="Arial" w:cs="Arial"/>
          <w:bCs/>
          <w:i/>
          <w:szCs w:val="21"/>
          <w:u w:val="single"/>
        </w:rPr>
        <w:t>预期信用损失计量</w:t>
      </w:r>
    </w:p>
    <w:p w:rsidR="00AD5BB5" w:rsidRDefault="00AD5BB5">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i/>
          <w:szCs w:val="21"/>
          <w:u w:val="single"/>
        </w:rPr>
      </w:pPr>
    </w:p>
    <w:p w:rsidR="00AD5BB5" w:rsidRDefault="00F87FF6">
      <w:pPr>
        <w:pStyle w:val="aff2"/>
        <w:widowControl/>
        <w:numPr>
          <w:ilvl w:val="0"/>
          <w:numId w:val="35"/>
        </w:numPr>
        <w:tabs>
          <w:tab w:val="left" w:pos="2520"/>
          <w:tab w:val="decimal" w:pos="5250"/>
          <w:tab w:val="decimal" w:pos="6510"/>
          <w:tab w:val="decimal" w:pos="7035"/>
          <w:tab w:val="decimal" w:pos="8295"/>
        </w:tabs>
        <w:overflowPunct w:val="0"/>
        <w:autoSpaceDE w:val="0"/>
        <w:autoSpaceDN w:val="0"/>
        <w:adjustRightInd w:val="0"/>
        <w:snapToGrid w:val="0"/>
        <w:ind w:left="720" w:firstLineChars="0" w:hanging="720"/>
        <w:outlineLvl w:val="4"/>
        <w:rPr>
          <w:rFonts w:ascii="Arial" w:eastAsia="黑体" w:hAnsi="Arial" w:cs="Arial"/>
          <w:bCs/>
          <w:szCs w:val="21"/>
        </w:rPr>
      </w:pPr>
      <w:bookmarkStart w:id="277" w:name="afsaddin_Section_ff72b9ff365f4651b2c7236"/>
      <w:r>
        <w:rPr>
          <w:rFonts w:ascii="Arial" w:eastAsia="黑体" w:hAnsi="Arial" w:cs="Arial"/>
          <w:bCs/>
          <w:szCs w:val="21"/>
        </w:rPr>
        <w:t>金融工具风险阶段划分</w:t>
      </w:r>
    </w:p>
    <w:bookmarkEnd w:id="277"/>
    <w:p w:rsidR="00AD5BB5" w:rsidRDefault="00AD5BB5">
      <w:pPr>
        <w:pStyle w:val="aff2"/>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p>
    <w:p w:rsidR="00AD5BB5" w:rsidRDefault="00F87FF6">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r>
        <w:rPr>
          <w:rFonts w:ascii="Arial" w:eastAsia="黑体" w:hAnsi="Arial" w:cs="Arial"/>
          <w:bCs/>
          <w:szCs w:val="21"/>
        </w:rPr>
        <w:t>本集团基于金融工具信用风险自初始确认后是否已显著增加，将各笔业务划分入三个风险阶段，计提预期信用损失。</w:t>
      </w:r>
    </w:p>
    <w:p w:rsidR="00AD5BB5" w:rsidRDefault="00AD5BB5">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p>
    <w:p w:rsidR="00AD5BB5" w:rsidRDefault="00F87FF6">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r>
        <w:rPr>
          <w:rFonts w:ascii="Arial" w:eastAsia="黑体" w:hAnsi="Arial" w:cs="Arial"/>
          <w:bCs/>
          <w:szCs w:val="21"/>
        </w:rPr>
        <w:t>金融工具三个阶段的主要定义列示如下</w:t>
      </w:r>
      <w:r>
        <w:rPr>
          <w:rFonts w:ascii="Arial" w:eastAsia="黑体" w:hAnsi="Arial" w:cs="Arial"/>
          <w:bCs/>
          <w:szCs w:val="21"/>
        </w:rPr>
        <w:t>:</w:t>
      </w:r>
    </w:p>
    <w:p w:rsidR="00AD5BB5" w:rsidRDefault="00AD5BB5">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p>
    <w:p w:rsidR="00AD5BB5" w:rsidRDefault="00F87FF6">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r>
        <w:rPr>
          <w:rFonts w:ascii="Arial" w:eastAsia="黑体" w:hAnsi="Arial" w:cs="Arial"/>
          <w:bCs/>
          <w:szCs w:val="21"/>
        </w:rPr>
        <w:t>阶段</w:t>
      </w:r>
      <w:proofErr w:type="gramStart"/>
      <w:r>
        <w:rPr>
          <w:rFonts w:ascii="Arial" w:eastAsia="黑体" w:hAnsi="Arial" w:cs="Arial"/>
          <w:bCs/>
          <w:szCs w:val="21"/>
        </w:rPr>
        <w:t>一</w:t>
      </w:r>
      <w:proofErr w:type="gramEnd"/>
      <w:r>
        <w:rPr>
          <w:rFonts w:ascii="Arial" w:eastAsia="黑体" w:hAnsi="Arial" w:cs="Arial"/>
          <w:bCs/>
          <w:szCs w:val="21"/>
        </w:rPr>
        <w:t>：自初始确认后信用风险未显著增加的金融工具。需确认金融工具未来</w:t>
      </w:r>
      <w:r>
        <w:rPr>
          <w:rFonts w:ascii="Arial" w:eastAsia="黑体" w:hAnsi="Arial" w:cs="Arial"/>
          <w:bCs/>
          <w:szCs w:val="21"/>
        </w:rPr>
        <w:t>12</w:t>
      </w:r>
      <w:r>
        <w:rPr>
          <w:rFonts w:ascii="Arial" w:eastAsia="黑体" w:hAnsi="Arial" w:cs="Arial"/>
          <w:bCs/>
          <w:szCs w:val="21"/>
        </w:rPr>
        <w:t>个月内的预期信用损失金额。</w:t>
      </w:r>
    </w:p>
    <w:p w:rsidR="00AD5BB5" w:rsidRDefault="00AD5BB5">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p>
    <w:p w:rsidR="00AD5BB5" w:rsidRDefault="00F87FF6">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r>
        <w:rPr>
          <w:rFonts w:ascii="Arial" w:eastAsia="黑体" w:hAnsi="Arial" w:cs="Arial"/>
          <w:bCs/>
          <w:szCs w:val="21"/>
        </w:rPr>
        <w:t>阶段二：自初始确认起信用风险显著增加，但尚未客观减值证据的金融工具。需确认金融工具在剩余存续期内的预期信用损失金额。</w:t>
      </w:r>
    </w:p>
    <w:p w:rsidR="00AD5BB5" w:rsidRDefault="00AD5BB5">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p>
    <w:p w:rsidR="00AD5BB5" w:rsidRDefault="00F87FF6">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r>
        <w:rPr>
          <w:rFonts w:ascii="Arial" w:eastAsia="黑体" w:hAnsi="Arial" w:cs="Arial"/>
          <w:bCs/>
          <w:szCs w:val="21"/>
        </w:rPr>
        <w:t>阶段三：在资产负债表</w:t>
      </w:r>
      <w:proofErr w:type="gramStart"/>
      <w:r>
        <w:rPr>
          <w:rFonts w:ascii="Arial" w:eastAsia="黑体" w:hAnsi="Arial" w:cs="Arial"/>
          <w:bCs/>
          <w:szCs w:val="21"/>
        </w:rPr>
        <w:t>日存在</w:t>
      </w:r>
      <w:proofErr w:type="gramEnd"/>
      <w:r>
        <w:rPr>
          <w:rFonts w:ascii="Arial" w:eastAsia="黑体" w:hAnsi="Arial" w:cs="Arial"/>
          <w:bCs/>
          <w:szCs w:val="21"/>
        </w:rPr>
        <w:t>客观减值证据的金融资产。需确认金融工具在剩余存续期内的预期信用损失金额。</w:t>
      </w:r>
    </w:p>
    <w:p w:rsidR="00AD5BB5" w:rsidRDefault="00AD5BB5">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p>
    <w:p w:rsidR="00AD5BB5" w:rsidRDefault="00F87FF6">
      <w:pPr>
        <w:pStyle w:val="aff2"/>
        <w:widowControl/>
        <w:numPr>
          <w:ilvl w:val="0"/>
          <w:numId w:val="35"/>
        </w:numPr>
        <w:tabs>
          <w:tab w:val="left" w:pos="2520"/>
          <w:tab w:val="decimal" w:pos="5250"/>
          <w:tab w:val="decimal" w:pos="6510"/>
          <w:tab w:val="decimal" w:pos="7035"/>
          <w:tab w:val="decimal" w:pos="8295"/>
        </w:tabs>
        <w:overflowPunct w:val="0"/>
        <w:autoSpaceDE w:val="0"/>
        <w:autoSpaceDN w:val="0"/>
        <w:adjustRightInd w:val="0"/>
        <w:snapToGrid w:val="0"/>
        <w:ind w:left="720" w:firstLineChars="0" w:hanging="720"/>
        <w:outlineLvl w:val="4"/>
        <w:rPr>
          <w:rFonts w:ascii="Arial" w:eastAsia="黑体" w:hAnsi="Arial" w:cs="Arial"/>
          <w:bCs/>
          <w:szCs w:val="21"/>
        </w:rPr>
      </w:pPr>
      <w:bookmarkStart w:id="278" w:name="afsaddin_Section_d3d001c15536407ebd5dde8"/>
      <w:r>
        <w:rPr>
          <w:rFonts w:ascii="Arial" w:eastAsia="黑体" w:hAnsi="Arial" w:cs="Arial"/>
          <w:bCs/>
          <w:szCs w:val="21"/>
        </w:rPr>
        <w:t>信用风险显著增加</w:t>
      </w:r>
    </w:p>
    <w:bookmarkEnd w:id="278"/>
    <w:p w:rsidR="00AD5BB5" w:rsidRDefault="00AD5BB5">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p>
    <w:p w:rsidR="00AD5BB5" w:rsidRDefault="00F87FF6">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r>
        <w:rPr>
          <w:rFonts w:ascii="Arial" w:eastAsia="黑体" w:hAnsi="Arial" w:cs="Arial"/>
          <w:bCs/>
          <w:szCs w:val="21"/>
        </w:rPr>
        <w:t>本集团在每个资产负债表日评估相关金融工具的信用风险自初始确认后是否已增加。在确定信用风险自初始确认后是否显著增加时，本集团考虑无须付出不必要的额外成本或努力即可获得的合理且有依据的信息，包括基于本集团历史数据的定性及定量分析、外部信用风险评级以及前瞻性信息。本集团以单项金融工具或者具有相似信用风险特征的金融工具组合为基础，比较金融工具在资产负债表日发生违约的风险与在初始确认日发生违约的风险，以确定金融工具预计存续期内发生违约风险的变化情况。</w:t>
      </w:r>
    </w:p>
    <w:p w:rsidR="00AD5BB5" w:rsidRDefault="00AD5BB5">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p>
    <w:p w:rsidR="00AD5BB5" w:rsidRDefault="00F87FF6">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r>
        <w:rPr>
          <w:rFonts w:ascii="Arial" w:eastAsia="黑体" w:hAnsi="Arial" w:cs="Arial"/>
          <w:bCs/>
          <w:szCs w:val="21"/>
        </w:rPr>
        <w:t>当触发以下一个或多个定量、定性标准或上限指标时，本集团认为金融工具的信用风险已发生显著增加：</w:t>
      </w:r>
    </w:p>
    <w:p w:rsidR="00AD5BB5" w:rsidRDefault="00AD5BB5">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p>
    <w:p w:rsidR="00AD5BB5" w:rsidRDefault="00F87FF6">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
          <w:szCs w:val="21"/>
        </w:rPr>
      </w:pPr>
      <w:r>
        <w:rPr>
          <w:rFonts w:ascii="Arial" w:eastAsia="黑体" w:hAnsi="Arial" w:cs="Arial"/>
          <w:b/>
          <w:szCs w:val="21"/>
        </w:rPr>
        <w:t>上限指标</w:t>
      </w:r>
    </w:p>
    <w:p w:rsidR="00AD5BB5" w:rsidRDefault="00F87FF6">
      <w:pPr>
        <w:pStyle w:val="aff2"/>
        <w:numPr>
          <w:ilvl w:val="0"/>
          <w:numId w:val="36"/>
        </w:numPr>
        <w:tabs>
          <w:tab w:val="left" w:pos="2520"/>
          <w:tab w:val="decimal" w:pos="5250"/>
          <w:tab w:val="decimal" w:pos="6510"/>
          <w:tab w:val="decimal" w:pos="7035"/>
          <w:tab w:val="decimal" w:pos="8295"/>
        </w:tabs>
        <w:overflowPunct w:val="0"/>
        <w:autoSpaceDE w:val="0"/>
        <w:autoSpaceDN w:val="0"/>
        <w:adjustRightInd w:val="0"/>
        <w:snapToGrid w:val="0"/>
        <w:ind w:left="720" w:firstLineChars="0" w:hanging="720"/>
        <w:contextualSpacing/>
        <w:rPr>
          <w:rFonts w:ascii="Arial" w:eastAsia="黑体" w:hAnsi="Arial" w:cs="Arial"/>
          <w:bCs/>
          <w:szCs w:val="21"/>
        </w:rPr>
      </w:pPr>
      <w:r>
        <w:rPr>
          <w:rFonts w:ascii="Arial" w:eastAsia="黑体" w:hAnsi="Arial" w:cs="Arial"/>
          <w:bCs/>
          <w:szCs w:val="21"/>
        </w:rPr>
        <w:t>债务人的合同款项（包括本金及利息）逾期超过</w:t>
      </w:r>
      <w:r>
        <w:rPr>
          <w:rFonts w:ascii="Arial" w:eastAsia="黑体" w:hAnsi="Arial" w:cs="Arial"/>
          <w:bCs/>
          <w:szCs w:val="21"/>
        </w:rPr>
        <w:t>30</w:t>
      </w:r>
      <w:r>
        <w:rPr>
          <w:rFonts w:ascii="Arial" w:eastAsia="黑体" w:hAnsi="Arial" w:cs="Arial"/>
          <w:bCs/>
          <w:szCs w:val="21"/>
        </w:rPr>
        <w:t>天</w:t>
      </w:r>
      <w:r>
        <w:rPr>
          <w:rFonts w:ascii="Arial" w:eastAsia="黑体" w:hAnsi="Arial" w:cs="Arial"/>
          <w:bCs/>
          <w:kern w:val="0"/>
          <w:szCs w:val="21"/>
        </w:rPr>
        <w:br w:type="page"/>
      </w:r>
    </w:p>
    <w:p w:rsidR="00AD5BB5" w:rsidRDefault="00AD5BB5">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
          <w:bCs/>
          <w:color w:val="000000"/>
          <w:szCs w:val="21"/>
        </w:rPr>
      </w:pPr>
    </w:p>
    <w:p w:rsidR="00AD5BB5" w:rsidRDefault="00AD5BB5">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
          <w:bCs/>
          <w:color w:val="000000"/>
          <w:szCs w:val="21"/>
        </w:rPr>
      </w:pPr>
    </w:p>
    <w:p w:rsidR="00AD5BB5" w:rsidRDefault="00F87FF6">
      <w:pPr>
        <w:overflowPunct w:val="0"/>
        <w:autoSpaceDE w:val="0"/>
        <w:autoSpaceDN w:val="0"/>
        <w:adjustRightInd w:val="0"/>
        <w:snapToGrid w:val="0"/>
        <w:ind w:left="720" w:hanging="720"/>
        <w:rPr>
          <w:rFonts w:ascii="Arial" w:eastAsia="黑体" w:hAnsi="Arial" w:cs="Arial"/>
          <w:b/>
          <w:bCs/>
          <w:color w:val="000000"/>
          <w:szCs w:val="21"/>
        </w:rPr>
      </w:pPr>
      <w:bookmarkStart w:id="279" w:name="afsaddin_WithXu_e60a8b8f9e404cddb6232c68"/>
      <w:r>
        <w:rPr>
          <w:rFonts w:ascii="Arial" w:eastAsia="黑体" w:hAnsi="Arial" w:cs="Arial"/>
          <w:b/>
          <w:bCs/>
          <w:color w:val="000000"/>
          <w:szCs w:val="21"/>
        </w:rPr>
        <w:t>八、</w:t>
      </w:r>
      <w:r>
        <w:rPr>
          <w:rFonts w:ascii="Arial" w:eastAsia="黑体" w:hAnsi="Arial" w:cs="Arial"/>
          <w:b/>
          <w:bCs/>
          <w:color w:val="000000"/>
          <w:szCs w:val="21"/>
        </w:rPr>
        <w:tab/>
      </w:r>
      <w:r>
        <w:rPr>
          <w:rFonts w:ascii="Arial" w:eastAsia="黑体" w:hAnsi="Arial" w:cs="Arial"/>
          <w:b/>
          <w:bCs/>
          <w:color w:val="000000"/>
          <w:szCs w:val="21"/>
        </w:rPr>
        <w:t>金融工具及其风险分析（续）</w:t>
      </w:r>
      <w:bookmarkEnd w:id="279"/>
    </w:p>
    <w:p w:rsidR="00AD5BB5" w:rsidRDefault="00AD5BB5">
      <w:pPr>
        <w:overflowPunct w:val="0"/>
        <w:autoSpaceDE w:val="0"/>
        <w:autoSpaceDN w:val="0"/>
        <w:adjustRightInd w:val="0"/>
        <w:snapToGrid w:val="0"/>
        <w:rPr>
          <w:rFonts w:ascii="Arial" w:eastAsia="黑体" w:hAnsi="Arial" w:cs="Arial"/>
          <w:b/>
          <w:bCs/>
          <w:color w:val="000000"/>
          <w:szCs w:val="21"/>
        </w:rPr>
      </w:pPr>
    </w:p>
    <w:p w:rsidR="00AD5BB5" w:rsidRDefault="00F87FF6">
      <w:pPr>
        <w:overflowPunct w:val="0"/>
        <w:autoSpaceDE w:val="0"/>
        <w:autoSpaceDN w:val="0"/>
        <w:adjustRightInd w:val="0"/>
        <w:snapToGrid w:val="0"/>
        <w:ind w:left="720" w:hanging="720"/>
        <w:rPr>
          <w:rFonts w:ascii="Arial" w:eastAsia="黑体" w:hAnsi="Arial" w:cs="Arial"/>
          <w:b/>
          <w:bCs/>
          <w:color w:val="000000"/>
          <w:szCs w:val="21"/>
        </w:rPr>
      </w:pPr>
      <w:bookmarkStart w:id="280" w:name="afsaddin_WithXu_1aaae50339d748c2af8bf6e1"/>
      <w:r>
        <w:rPr>
          <w:rFonts w:ascii="Arial" w:eastAsia="黑体" w:hAnsi="Arial" w:cs="Arial"/>
          <w:b/>
          <w:bCs/>
          <w:color w:val="000000"/>
          <w:szCs w:val="21"/>
        </w:rPr>
        <w:t>1.</w:t>
      </w:r>
      <w:r>
        <w:rPr>
          <w:rFonts w:ascii="Arial" w:eastAsia="黑体" w:hAnsi="Arial" w:cs="Arial"/>
          <w:b/>
          <w:bCs/>
          <w:color w:val="000000"/>
          <w:szCs w:val="21"/>
        </w:rPr>
        <w:tab/>
      </w:r>
      <w:r>
        <w:rPr>
          <w:rFonts w:ascii="Arial" w:eastAsia="黑体" w:hAnsi="Arial" w:cs="Arial"/>
          <w:b/>
          <w:bCs/>
          <w:color w:val="000000"/>
          <w:szCs w:val="21"/>
        </w:rPr>
        <w:t>信用风险（续）</w:t>
      </w:r>
      <w:bookmarkEnd w:id="280"/>
    </w:p>
    <w:p w:rsidR="00AD5BB5" w:rsidRDefault="00AD5BB5">
      <w:pPr>
        <w:overflowPunct w:val="0"/>
        <w:autoSpaceDE w:val="0"/>
        <w:autoSpaceDN w:val="0"/>
        <w:adjustRightInd w:val="0"/>
        <w:snapToGrid w:val="0"/>
        <w:rPr>
          <w:rFonts w:ascii="Arial" w:eastAsia="黑体" w:hAnsi="Arial" w:cs="Arial"/>
          <w:b/>
          <w:bCs/>
          <w:color w:val="000000"/>
          <w:szCs w:val="21"/>
        </w:rPr>
      </w:pPr>
    </w:p>
    <w:p w:rsidR="00AD5BB5" w:rsidRDefault="00F87FF6">
      <w:pPr>
        <w:overflowPunct w:val="0"/>
        <w:autoSpaceDE w:val="0"/>
        <w:autoSpaceDN w:val="0"/>
        <w:adjustRightInd w:val="0"/>
        <w:snapToGrid w:val="0"/>
        <w:ind w:left="720" w:hanging="845"/>
        <w:rPr>
          <w:rFonts w:ascii="Arial" w:eastAsia="黑体" w:hAnsi="Arial" w:cs="Arial"/>
          <w:b/>
          <w:bCs/>
          <w:color w:val="000000"/>
          <w:szCs w:val="21"/>
        </w:rPr>
      </w:pPr>
      <w:bookmarkStart w:id="281" w:name="afsaddin_WithXu_915fe15712d3492aaeda06e6"/>
      <w:r>
        <w:rPr>
          <w:rFonts w:ascii="Arial" w:eastAsia="黑体" w:hAnsi="Arial" w:cs="Arial"/>
          <w:b/>
          <w:bCs/>
          <w:color w:val="000000"/>
          <w:szCs w:val="21"/>
        </w:rPr>
        <w:t>（</w:t>
      </w:r>
      <w:r>
        <w:rPr>
          <w:rFonts w:ascii="Arial" w:eastAsia="黑体" w:hAnsi="Arial" w:cs="Arial"/>
          <w:b/>
          <w:bCs/>
          <w:color w:val="000000"/>
          <w:szCs w:val="21"/>
        </w:rPr>
        <w:t>1</w:t>
      </w:r>
      <w:r>
        <w:rPr>
          <w:rFonts w:ascii="Arial" w:eastAsia="黑体" w:hAnsi="Arial" w:cs="Arial"/>
          <w:b/>
          <w:bCs/>
          <w:color w:val="000000"/>
          <w:szCs w:val="21"/>
        </w:rPr>
        <w:t>）</w:t>
      </w:r>
      <w:r>
        <w:rPr>
          <w:rFonts w:ascii="Arial" w:eastAsia="黑体" w:hAnsi="Arial" w:cs="Arial"/>
          <w:b/>
          <w:bCs/>
          <w:color w:val="000000"/>
          <w:szCs w:val="21"/>
        </w:rPr>
        <w:tab/>
      </w:r>
      <w:r>
        <w:rPr>
          <w:rFonts w:ascii="Arial" w:eastAsia="黑体" w:hAnsi="Arial" w:cs="Arial"/>
          <w:b/>
          <w:bCs/>
          <w:color w:val="000000"/>
          <w:szCs w:val="21"/>
        </w:rPr>
        <w:t>信贷风险减值分析和准备金计提政策（续）</w:t>
      </w:r>
      <w:bookmarkEnd w:id="281"/>
    </w:p>
    <w:p w:rsidR="00AD5BB5" w:rsidRDefault="00AD5BB5">
      <w:pPr>
        <w:overflowPunct w:val="0"/>
        <w:autoSpaceDE w:val="0"/>
        <w:autoSpaceDN w:val="0"/>
        <w:adjustRightInd w:val="0"/>
        <w:snapToGrid w:val="0"/>
        <w:rPr>
          <w:rFonts w:ascii="Arial" w:eastAsia="黑体" w:hAnsi="Arial" w:cs="Arial"/>
          <w:b/>
          <w:bCs/>
          <w:color w:val="000000"/>
          <w:szCs w:val="21"/>
        </w:rPr>
      </w:pPr>
    </w:p>
    <w:p w:rsidR="00AD5BB5" w:rsidRDefault="00F87FF6">
      <w:pPr>
        <w:tabs>
          <w:tab w:val="left" w:pos="2520"/>
          <w:tab w:val="decimal" w:pos="5250"/>
          <w:tab w:val="decimal" w:pos="6510"/>
          <w:tab w:val="decimal" w:pos="7035"/>
          <w:tab w:val="decimal" w:pos="8295"/>
        </w:tabs>
        <w:overflowPunct w:val="0"/>
        <w:autoSpaceDE w:val="0"/>
        <w:autoSpaceDN w:val="0"/>
        <w:adjustRightInd w:val="0"/>
        <w:snapToGrid w:val="0"/>
        <w:ind w:left="720" w:hanging="720"/>
        <w:rPr>
          <w:rFonts w:ascii="Arial" w:eastAsia="黑体" w:hAnsi="Arial" w:cs="Arial"/>
          <w:bCs/>
          <w:color w:val="000000"/>
          <w:szCs w:val="21"/>
        </w:rPr>
      </w:pPr>
      <w:bookmarkStart w:id="282" w:name="afsaddin_WithXu_64b92ddfaefc47ba9d2b244b"/>
      <w:r>
        <w:rPr>
          <w:rFonts w:ascii="Arial" w:eastAsia="黑体" w:hAnsi="Arial" w:cs="Arial"/>
          <w:bCs/>
          <w:color w:val="000000"/>
          <w:szCs w:val="21"/>
        </w:rPr>
        <w:t>(B)</w:t>
      </w:r>
      <w:r>
        <w:rPr>
          <w:rFonts w:ascii="Arial" w:eastAsia="黑体" w:hAnsi="Arial" w:cs="Arial"/>
          <w:bCs/>
          <w:color w:val="000000"/>
          <w:szCs w:val="21"/>
        </w:rPr>
        <w:tab/>
      </w:r>
      <w:r>
        <w:rPr>
          <w:rFonts w:ascii="Arial" w:eastAsia="黑体" w:hAnsi="Arial" w:cs="Arial"/>
          <w:bCs/>
          <w:color w:val="000000"/>
          <w:szCs w:val="21"/>
        </w:rPr>
        <w:t>信用风险显著增加（续）</w:t>
      </w:r>
      <w:bookmarkEnd w:id="282"/>
    </w:p>
    <w:p w:rsidR="00AD5BB5" w:rsidRDefault="00AD5BB5">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
          <w:bCs/>
          <w:color w:val="000000"/>
          <w:szCs w:val="21"/>
        </w:rPr>
      </w:pPr>
    </w:p>
    <w:p w:rsidR="00AD5BB5" w:rsidRDefault="00F87FF6">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
          <w:bCs/>
          <w:szCs w:val="21"/>
        </w:rPr>
      </w:pPr>
      <w:bookmarkStart w:id="283" w:name="afsaddin_WithXu_ac07b08b2b944d30aaac2547"/>
      <w:bookmarkStart w:id="284" w:name="afsaddin_WithXu_eb7c9b6c3bda496aa7238e0a"/>
      <w:bookmarkStart w:id="285" w:name="afsaddin_WithXu_6c422aa2e37b430392a398fd"/>
      <w:bookmarkStart w:id="286" w:name="afsaddin_WithXu_95b2e2f4d0c840d7be3663b4"/>
      <w:bookmarkEnd w:id="283"/>
      <w:bookmarkEnd w:id="284"/>
      <w:bookmarkEnd w:id="285"/>
      <w:bookmarkEnd w:id="286"/>
      <w:r>
        <w:rPr>
          <w:rFonts w:ascii="Arial" w:eastAsia="黑体" w:hAnsi="Arial" w:cs="Arial"/>
          <w:b/>
          <w:bCs/>
          <w:szCs w:val="21"/>
        </w:rPr>
        <w:t>其他标准</w:t>
      </w:r>
    </w:p>
    <w:p w:rsidR="00AD5BB5" w:rsidRDefault="00F87FF6">
      <w:pPr>
        <w:pStyle w:val="aff2"/>
        <w:numPr>
          <w:ilvl w:val="0"/>
          <w:numId w:val="37"/>
        </w:numPr>
        <w:tabs>
          <w:tab w:val="left" w:pos="2520"/>
          <w:tab w:val="decimal" w:pos="5250"/>
          <w:tab w:val="decimal" w:pos="6510"/>
          <w:tab w:val="decimal" w:pos="7035"/>
          <w:tab w:val="decimal" w:pos="8295"/>
        </w:tabs>
        <w:overflowPunct w:val="0"/>
        <w:autoSpaceDE w:val="0"/>
        <w:autoSpaceDN w:val="0"/>
        <w:adjustRightInd w:val="0"/>
        <w:snapToGrid w:val="0"/>
        <w:ind w:left="720" w:firstLineChars="0" w:hanging="720"/>
        <w:contextualSpacing/>
        <w:rPr>
          <w:rFonts w:ascii="Arial" w:eastAsia="黑体" w:hAnsi="Arial" w:cs="Arial"/>
          <w:bCs/>
          <w:szCs w:val="21"/>
        </w:rPr>
      </w:pPr>
      <w:r>
        <w:rPr>
          <w:rFonts w:ascii="Arial" w:eastAsia="黑体" w:hAnsi="Arial" w:cs="Arial"/>
          <w:bCs/>
          <w:szCs w:val="21"/>
        </w:rPr>
        <w:t>债务人经营或财务状况发生重大不利变动</w:t>
      </w:r>
    </w:p>
    <w:p w:rsidR="00AD5BB5" w:rsidRDefault="00F87FF6">
      <w:pPr>
        <w:pStyle w:val="aff2"/>
        <w:numPr>
          <w:ilvl w:val="0"/>
          <w:numId w:val="37"/>
        </w:numPr>
        <w:tabs>
          <w:tab w:val="left" w:pos="2520"/>
          <w:tab w:val="decimal" w:pos="5250"/>
          <w:tab w:val="decimal" w:pos="6510"/>
          <w:tab w:val="decimal" w:pos="7035"/>
          <w:tab w:val="decimal" w:pos="8295"/>
        </w:tabs>
        <w:overflowPunct w:val="0"/>
        <w:autoSpaceDE w:val="0"/>
        <w:autoSpaceDN w:val="0"/>
        <w:adjustRightInd w:val="0"/>
        <w:snapToGrid w:val="0"/>
        <w:ind w:left="720" w:firstLineChars="0" w:hanging="720"/>
        <w:contextualSpacing/>
        <w:rPr>
          <w:rFonts w:ascii="Arial" w:eastAsia="黑体" w:hAnsi="Arial" w:cs="Arial"/>
          <w:bCs/>
          <w:szCs w:val="21"/>
        </w:rPr>
      </w:pPr>
      <w:r>
        <w:rPr>
          <w:rFonts w:ascii="Arial" w:eastAsia="黑体" w:hAnsi="Arial" w:cs="Arial"/>
          <w:bCs/>
          <w:szCs w:val="21"/>
        </w:rPr>
        <w:t>五级分类为关注类</w:t>
      </w:r>
    </w:p>
    <w:p w:rsidR="00AD5BB5" w:rsidRDefault="00AD5BB5">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p>
    <w:p w:rsidR="00AD5BB5" w:rsidRDefault="00F87FF6">
      <w:pPr>
        <w:pStyle w:val="aff2"/>
        <w:widowControl/>
        <w:numPr>
          <w:ilvl w:val="0"/>
          <w:numId w:val="35"/>
        </w:numPr>
        <w:tabs>
          <w:tab w:val="left" w:pos="2520"/>
          <w:tab w:val="decimal" w:pos="5250"/>
          <w:tab w:val="decimal" w:pos="6510"/>
          <w:tab w:val="decimal" w:pos="7035"/>
          <w:tab w:val="decimal" w:pos="8295"/>
        </w:tabs>
        <w:overflowPunct w:val="0"/>
        <w:autoSpaceDE w:val="0"/>
        <w:autoSpaceDN w:val="0"/>
        <w:adjustRightInd w:val="0"/>
        <w:snapToGrid w:val="0"/>
        <w:ind w:left="720" w:firstLineChars="0" w:hanging="720"/>
        <w:outlineLvl w:val="4"/>
        <w:rPr>
          <w:rFonts w:ascii="Arial" w:eastAsia="黑体" w:hAnsi="Arial" w:cs="Arial"/>
          <w:bCs/>
          <w:szCs w:val="21"/>
        </w:rPr>
      </w:pPr>
      <w:bookmarkStart w:id="287" w:name="afsaddin_Section_e0088e959d1f4ac5b7f2340"/>
      <w:r>
        <w:rPr>
          <w:rFonts w:ascii="Arial" w:eastAsia="黑体" w:hAnsi="Arial" w:cs="Arial"/>
          <w:bCs/>
          <w:szCs w:val="21"/>
        </w:rPr>
        <w:t>违约及已发生信用减值资产的定义</w:t>
      </w:r>
    </w:p>
    <w:bookmarkEnd w:id="287"/>
    <w:p w:rsidR="00AD5BB5" w:rsidRDefault="00AD5BB5">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p>
    <w:p w:rsidR="00AD5BB5" w:rsidRDefault="00F87FF6">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r>
        <w:rPr>
          <w:rFonts w:ascii="Arial" w:eastAsia="黑体" w:hAnsi="Arial" w:cs="Arial"/>
          <w:bCs/>
          <w:szCs w:val="21"/>
        </w:rPr>
        <w:t>在确定是否发生信用减值时，本集团所采用的标准，与内部针对相关金融工具的信用风险管理目标保持一致，同时考虑定量及定性指标。本集团评估债务人是否发生信用减值时，主要考虑以下因素：</w:t>
      </w:r>
    </w:p>
    <w:p w:rsidR="00AD5BB5" w:rsidRDefault="00F87FF6">
      <w:pPr>
        <w:pStyle w:val="aff2"/>
        <w:numPr>
          <w:ilvl w:val="0"/>
          <w:numId w:val="38"/>
        </w:numPr>
        <w:tabs>
          <w:tab w:val="left" w:pos="2520"/>
          <w:tab w:val="decimal" w:pos="5250"/>
          <w:tab w:val="decimal" w:pos="6510"/>
          <w:tab w:val="decimal" w:pos="7035"/>
          <w:tab w:val="decimal" w:pos="8295"/>
        </w:tabs>
        <w:overflowPunct w:val="0"/>
        <w:autoSpaceDE w:val="0"/>
        <w:autoSpaceDN w:val="0"/>
        <w:adjustRightInd w:val="0"/>
        <w:snapToGrid w:val="0"/>
        <w:ind w:left="720" w:firstLineChars="0" w:hanging="720"/>
        <w:contextualSpacing/>
        <w:rPr>
          <w:rFonts w:ascii="Arial" w:eastAsia="黑体" w:hAnsi="Arial" w:cs="Arial"/>
          <w:bCs/>
          <w:szCs w:val="21"/>
        </w:rPr>
      </w:pPr>
      <w:r>
        <w:rPr>
          <w:rFonts w:ascii="Arial" w:eastAsia="黑体" w:hAnsi="Arial" w:cs="Arial"/>
          <w:bCs/>
          <w:szCs w:val="21"/>
        </w:rPr>
        <w:t>发行方或债务人发生重大财务困难；</w:t>
      </w:r>
    </w:p>
    <w:p w:rsidR="00AD5BB5" w:rsidRDefault="00F87FF6">
      <w:pPr>
        <w:pStyle w:val="aff2"/>
        <w:numPr>
          <w:ilvl w:val="0"/>
          <w:numId w:val="38"/>
        </w:numPr>
        <w:tabs>
          <w:tab w:val="left" w:pos="2520"/>
          <w:tab w:val="decimal" w:pos="5250"/>
          <w:tab w:val="decimal" w:pos="6510"/>
          <w:tab w:val="decimal" w:pos="7035"/>
          <w:tab w:val="decimal" w:pos="8295"/>
        </w:tabs>
        <w:overflowPunct w:val="0"/>
        <w:autoSpaceDE w:val="0"/>
        <w:autoSpaceDN w:val="0"/>
        <w:adjustRightInd w:val="0"/>
        <w:snapToGrid w:val="0"/>
        <w:ind w:left="720" w:firstLineChars="0" w:hanging="720"/>
        <w:contextualSpacing/>
        <w:rPr>
          <w:rFonts w:ascii="Arial" w:eastAsia="黑体" w:hAnsi="Arial" w:cs="Arial"/>
          <w:bCs/>
          <w:szCs w:val="21"/>
        </w:rPr>
      </w:pPr>
      <w:r>
        <w:rPr>
          <w:rFonts w:ascii="Arial" w:eastAsia="黑体" w:hAnsi="Arial" w:cs="Arial"/>
          <w:bCs/>
          <w:szCs w:val="21"/>
        </w:rPr>
        <w:t>债务人违反合约，如未能按期偿还利息或利息逾期未付或本金付款逾期未付等；</w:t>
      </w:r>
    </w:p>
    <w:p w:rsidR="00AD5BB5" w:rsidRDefault="00F87FF6">
      <w:pPr>
        <w:pStyle w:val="aff2"/>
        <w:numPr>
          <w:ilvl w:val="0"/>
          <w:numId w:val="38"/>
        </w:numPr>
        <w:tabs>
          <w:tab w:val="left" w:pos="2520"/>
          <w:tab w:val="decimal" w:pos="5250"/>
          <w:tab w:val="decimal" w:pos="6510"/>
          <w:tab w:val="decimal" w:pos="7035"/>
          <w:tab w:val="decimal" w:pos="8295"/>
        </w:tabs>
        <w:overflowPunct w:val="0"/>
        <w:autoSpaceDE w:val="0"/>
        <w:autoSpaceDN w:val="0"/>
        <w:adjustRightInd w:val="0"/>
        <w:snapToGrid w:val="0"/>
        <w:ind w:left="720" w:firstLineChars="0" w:hanging="720"/>
        <w:contextualSpacing/>
        <w:rPr>
          <w:rFonts w:ascii="Arial" w:eastAsia="黑体" w:hAnsi="Arial" w:cs="Arial"/>
          <w:bCs/>
          <w:szCs w:val="21"/>
        </w:rPr>
      </w:pPr>
      <w:r>
        <w:rPr>
          <w:rFonts w:ascii="Arial" w:eastAsia="黑体" w:hAnsi="Arial" w:cs="Arial"/>
          <w:bCs/>
          <w:szCs w:val="21"/>
        </w:rPr>
        <w:t>债权人出于与债务人财务困难有关的经济或合约考虑，给予债务人在任何其他情况下都不会做出的让步；</w:t>
      </w:r>
    </w:p>
    <w:p w:rsidR="00AD5BB5" w:rsidRDefault="00F87FF6">
      <w:pPr>
        <w:pStyle w:val="aff2"/>
        <w:numPr>
          <w:ilvl w:val="0"/>
          <w:numId w:val="38"/>
        </w:numPr>
        <w:tabs>
          <w:tab w:val="left" w:pos="2520"/>
          <w:tab w:val="decimal" w:pos="5250"/>
          <w:tab w:val="decimal" w:pos="6510"/>
          <w:tab w:val="decimal" w:pos="7035"/>
          <w:tab w:val="decimal" w:pos="8295"/>
        </w:tabs>
        <w:overflowPunct w:val="0"/>
        <w:autoSpaceDE w:val="0"/>
        <w:autoSpaceDN w:val="0"/>
        <w:adjustRightInd w:val="0"/>
        <w:snapToGrid w:val="0"/>
        <w:ind w:left="720" w:firstLineChars="0" w:hanging="720"/>
        <w:contextualSpacing/>
        <w:rPr>
          <w:rFonts w:ascii="Arial" w:eastAsia="黑体" w:hAnsi="Arial" w:cs="Arial"/>
          <w:bCs/>
          <w:szCs w:val="21"/>
        </w:rPr>
      </w:pPr>
      <w:r>
        <w:rPr>
          <w:rFonts w:ascii="Arial" w:eastAsia="黑体" w:hAnsi="Arial" w:cs="Arial"/>
          <w:bCs/>
          <w:szCs w:val="21"/>
        </w:rPr>
        <w:t>债务人很可能破产或进行其他财务重组；</w:t>
      </w:r>
    </w:p>
    <w:p w:rsidR="00AD5BB5" w:rsidRDefault="00F87FF6">
      <w:pPr>
        <w:pStyle w:val="aff2"/>
        <w:numPr>
          <w:ilvl w:val="0"/>
          <w:numId w:val="38"/>
        </w:numPr>
        <w:tabs>
          <w:tab w:val="left" w:pos="2520"/>
          <w:tab w:val="decimal" w:pos="5250"/>
          <w:tab w:val="decimal" w:pos="6510"/>
          <w:tab w:val="decimal" w:pos="7035"/>
          <w:tab w:val="decimal" w:pos="8295"/>
        </w:tabs>
        <w:overflowPunct w:val="0"/>
        <w:autoSpaceDE w:val="0"/>
        <w:autoSpaceDN w:val="0"/>
        <w:adjustRightInd w:val="0"/>
        <w:snapToGrid w:val="0"/>
        <w:ind w:left="720" w:firstLineChars="0" w:hanging="720"/>
        <w:contextualSpacing/>
        <w:rPr>
          <w:rFonts w:ascii="Arial" w:eastAsia="黑体" w:hAnsi="Arial" w:cs="Arial"/>
          <w:bCs/>
          <w:szCs w:val="21"/>
        </w:rPr>
      </w:pPr>
      <w:r>
        <w:rPr>
          <w:rFonts w:ascii="Arial" w:eastAsia="黑体" w:hAnsi="Arial" w:cs="Arial"/>
          <w:bCs/>
          <w:szCs w:val="21"/>
        </w:rPr>
        <w:t>因财务困难导致该金融资产的活跃市场消失；</w:t>
      </w:r>
    </w:p>
    <w:p w:rsidR="00AD5BB5" w:rsidRDefault="00F87FF6">
      <w:pPr>
        <w:pStyle w:val="aff2"/>
        <w:numPr>
          <w:ilvl w:val="0"/>
          <w:numId w:val="38"/>
        </w:numPr>
        <w:tabs>
          <w:tab w:val="left" w:pos="2520"/>
          <w:tab w:val="decimal" w:pos="5250"/>
          <w:tab w:val="decimal" w:pos="6510"/>
          <w:tab w:val="decimal" w:pos="7035"/>
          <w:tab w:val="decimal" w:pos="8295"/>
        </w:tabs>
        <w:overflowPunct w:val="0"/>
        <w:autoSpaceDE w:val="0"/>
        <w:autoSpaceDN w:val="0"/>
        <w:adjustRightInd w:val="0"/>
        <w:snapToGrid w:val="0"/>
        <w:ind w:left="720" w:firstLineChars="0" w:hanging="720"/>
        <w:contextualSpacing/>
        <w:rPr>
          <w:rFonts w:ascii="Arial" w:eastAsia="黑体" w:hAnsi="Arial" w:cs="Arial"/>
          <w:bCs/>
          <w:szCs w:val="21"/>
        </w:rPr>
      </w:pPr>
      <w:r>
        <w:rPr>
          <w:rFonts w:ascii="Arial" w:eastAsia="黑体" w:hAnsi="Arial" w:cs="Arial"/>
          <w:bCs/>
          <w:szCs w:val="21"/>
        </w:rPr>
        <w:t>以大幅折扣</w:t>
      </w:r>
      <w:proofErr w:type="gramStart"/>
      <w:r>
        <w:rPr>
          <w:rFonts w:ascii="Arial" w:eastAsia="黑体" w:hAnsi="Arial" w:cs="Arial"/>
          <w:bCs/>
          <w:szCs w:val="21"/>
        </w:rPr>
        <w:t>购买或源生</w:t>
      </w:r>
      <w:proofErr w:type="gramEnd"/>
      <w:r>
        <w:rPr>
          <w:rFonts w:ascii="Arial" w:eastAsia="黑体" w:hAnsi="Arial" w:cs="Arial"/>
          <w:bCs/>
          <w:szCs w:val="21"/>
        </w:rPr>
        <w:t>一项金融资产，该折扣反映了发生信用损失的事实；</w:t>
      </w:r>
    </w:p>
    <w:p w:rsidR="00AD5BB5" w:rsidRDefault="00F87FF6">
      <w:pPr>
        <w:pStyle w:val="aff2"/>
        <w:numPr>
          <w:ilvl w:val="0"/>
          <w:numId w:val="38"/>
        </w:numPr>
        <w:tabs>
          <w:tab w:val="left" w:pos="2520"/>
          <w:tab w:val="decimal" w:pos="5250"/>
          <w:tab w:val="decimal" w:pos="6510"/>
          <w:tab w:val="decimal" w:pos="7035"/>
          <w:tab w:val="decimal" w:pos="8295"/>
        </w:tabs>
        <w:overflowPunct w:val="0"/>
        <w:autoSpaceDE w:val="0"/>
        <w:autoSpaceDN w:val="0"/>
        <w:adjustRightInd w:val="0"/>
        <w:snapToGrid w:val="0"/>
        <w:ind w:left="720" w:firstLineChars="0" w:hanging="720"/>
        <w:contextualSpacing/>
        <w:rPr>
          <w:rFonts w:ascii="Arial" w:eastAsia="黑体" w:hAnsi="Arial" w:cs="Arial"/>
          <w:bCs/>
          <w:szCs w:val="21"/>
        </w:rPr>
      </w:pPr>
      <w:r>
        <w:rPr>
          <w:rFonts w:ascii="Arial" w:eastAsia="黑体" w:hAnsi="Arial" w:cs="Arial"/>
          <w:bCs/>
          <w:szCs w:val="21"/>
        </w:rPr>
        <w:t>债务人对本集团的本金、垫款、利息或投资的公司债券逾期超过</w:t>
      </w:r>
      <w:r>
        <w:rPr>
          <w:rFonts w:ascii="Arial" w:eastAsia="黑体" w:hAnsi="Arial" w:cs="Arial"/>
          <w:bCs/>
          <w:szCs w:val="21"/>
        </w:rPr>
        <w:t>90</w:t>
      </w:r>
      <w:r>
        <w:rPr>
          <w:rFonts w:ascii="Arial" w:eastAsia="黑体" w:hAnsi="Arial" w:cs="Arial"/>
          <w:bCs/>
          <w:szCs w:val="21"/>
        </w:rPr>
        <w:t>天；</w:t>
      </w:r>
    </w:p>
    <w:p w:rsidR="00AD5BB5" w:rsidRDefault="00F87FF6">
      <w:pPr>
        <w:pStyle w:val="aff2"/>
        <w:numPr>
          <w:ilvl w:val="0"/>
          <w:numId w:val="38"/>
        </w:numPr>
        <w:tabs>
          <w:tab w:val="left" w:pos="2520"/>
          <w:tab w:val="decimal" w:pos="5250"/>
          <w:tab w:val="decimal" w:pos="6510"/>
          <w:tab w:val="decimal" w:pos="7035"/>
          <w:tab w:val="decimal" w:pos="8295"/>
        </w:tabs>
        <w:overflowPunct w:val="0"/>
        <w:autoSpaceDE w:val="0"/>
        <w:autoSpaceDN w:val="0"/>
        <w:adjustRightInd w:val="0"/>
        <w:snapToGrid w:val="0"/>
        <w:ind w:left="720" w:firstLineChars="0" w:hanging="720"/>
        <w:contextualSpacing/>
        <w:rPr>
          <w:rFonts w:ascii="Arial" w:eastAsia="黑体" w:hAnsi="Arial" w:cs="Arial"/>
          <w:bCs/>
          <w:szCs w:val="21"/>
        </w:rPr>
      </w:pPr>
      <w:r>
        <w:rPr>
          <w:rFonts w:ascii="Arial" w:eastAsia="黑体" w:hAnsi="Arial" w:cs="Arial"/>
          <w:bCs/>
          <w:szCs w:val="21"/>
        </w:rPr>
        <w:t>其他表明金融资产发生减值的客观依据。</w:t>
      </w:r>
    </w:p>
    <w:p w:rsidR="00AD5BB5" w:rsidRDefault="00AD5BB5">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p>
    <w:p w:rsidR="00AD5BB5" w:rsidRDefault="00F87FF6">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r>
        <w:rPr>
          <w:rFonts w:ascii="Arial" w:eastAsia="黑体" w:hAnsi="Arial" w:cs="Arial"/>
          <w:bCs/>
          <w:szCs w:val="21"/>
        </w:rPr>
        <w:t>金融资产发生信用减值，有可能是多个事件的共同作用所致，未必是单独事件所致。</w:t>
      </w:r>
    </w:p>
    <w:p w:rsidR="00AD5BB5" w:rsidRDefault="00AD5BB5">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p>
    <w:p w:rsidR="00AD5BB5" w:rsidRDefault="00F87FF6">
      <w:pPr>
        <w:pStyle w:val="aff2"/>
        <w:widowControl/>
        <w:numPr>
          <w:ilvl w:val="0"/>
          <w:numId w:val="35"/>
        </w:numPr>
        <w:tabs>
          <w:tab w:val="left" w:pos="2520"/>
          <w:tab w:val="decimal" w:pos="5250"/>
          <w:tab w:val="decimal" w:pos="6510"/>
          <w:tab w:val="decimal" w:pos="7035"/>
          <w:tab w:val="decimal" w:pos="8295"/>
        </w:tabs>
        <w:overflowPunct w:val="0"/>
        <w:autoSpaceDE w:val="0"/>
        <w:autoSpaceDN w:val="0"/>
        <w:adjustRightInd w:val="0"/>
        <w:snapToGrid w:val="0"/>
        <w:ind w:left="720" w:firstLineChars="0" w:hanging="720"/>
        <w:outlineLvl w:val="4"/>
        <w:rPr>
          <w:rFonts w:ascii="Arial" w:eastAsia="黑体" w:hAnsi="Arial" w:cs="Arial"/>
          <w:bCs/>
          <w:szCs w:val="21"/>
        </w:rPr>
      </w:pPr>
      <w:bookmarkStart w:id="288" w:name="afsaddin_Section_a7f97e3201e34aeaa93f01a"/>
      <w:r>
        <w:rPr>
          <w:rFonts w:ascii="Arial" w:eastAsia="黑体" w:hAnsi="Arial" w:cs="Arial"/>
          <w:bCs/>
          <w:szCs w:val="21"/>
        </w:rPr>
        <w:t>对参数、假设及估计技术的说明</w:t>
      </w:r>
    </w:p>
    <w:bookmarkEnd w:id="288"/>
    <w:p w:rsidR="00AD5BB5" w:rsidRDefault="00AD5BB5">
      <w:pPr>
        <w:pStyle w:val="aff2"/>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p>
    <w:p w:rsidR="00AD5BB5" w:rsidRDefault="00F87FF6">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r>
        <w:rPr>
          <w:rFonts w:ascii="Arial" w:eastAsia="黑体" w:hAnsi="Arial" w:cs="Arial"/>
          <w:bCs/>
          <w:szCs w:val="21"/>
        </w:rPr>
        <w:t>根据信用风险是否发生显著增加以及资产是否已发生减值，本集团对不同的资产分别以</w:t>
      </w:r>
      <w:r>
        <w:rPr>
          <w:rFonts w:ascii="Arial" w:eastAsia="黑体" w:hAnsi="Arial" w:cs="Arial"/>
          <w:bCs/>
          <w:szCs w:val="21"/>
        </w:rPr>
        <w:t>12</w:t>
      </w:r>
      <w:r>
        <w:rPr>
          <w:rFonts w:ascii="Arial" w:eastAsia="黑体" w:hAnsi="Arial" w:cs="Arial"/>
          <w:bCs/>
          <w:szCs w:val="21"/>
        </w:rPr>
        <w:t>个月或整个存续期的预期信用损失计量减值损失。预期信用损失的关键计量参数包括违约概率、违约损失率和违约风险敞口。本集团以当前风险管理所使用的新巴塞尔协议为基础，根据《企业会计准则第</w:t>
      </w:r>
      <w:r>
        <w:rPr>
          <w:rFonts w:ascii="Arial" w:eastAsia="黑体" w:hAnsi="Arial" w:cs="Arial"/>
          <w:bCs/>
          <w:szCs w:val="21"/>
        </w:rPr>
        <w:t>22</w:t>
      </w:r>
      <w:r>
        <w:rPr>
          <w:rFonts w:ascii="Arial" w:eastAsia="黑体" w:hAnsi="Arial" w:cs="Arial"/>
          <w:bCs/>
          <w:szCs w:val="21"/>
        </w:rPr>
        <w:t>号</w:t>
      </w:r>
      <w:r>
        <w:rPr>
          <w:rFonts w:ascii="Arial" w:eastAsia="黑体" w:hAnsi="Arial" w:cs="Arial"/>
          <w:bCs/>
          <w:szCs w:val="21"/>
        </w:rPr>
        <w:t>—</w:t>
      </w:r>
      <w:r>
        <w:rPr>
          <w:rFonts w:ascii="Arial" w:eastAsia="黑体" w:hAnsi="Arial" w:cs="Arial"/>
          <w:bCs/>
          <w:szCs w:val="21"/>
        </w:rPr>
        <w:t>金融工具确认和计量》的要求，考虑历史统计数据（如交易对手评级、担保方式及抵押品类别、偿付款项等）的定量分析及前瞻性信息，建立违约概率、违约损失率及违约风险敞口模型。相关定义如下：</w:t>
      </w:r>
    </w:p>
    <w:p w:rsidR="00AD5BB5" w:rsidRDefault="00AD5BB5">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p>
    <w:p w:rsidR="00AD5BB5" w:rsidRDefault="00F87FF6">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r>
        <w:rPr>
          <w:rFonts w:ascii="Arial" w:eastAsia="黑体" w:hAnsi="Arial" w:cs="Arial"/>
          <w:bCs/>
          <w:szCs w:val="21"/>
        </w:rPr>
        <w:t>违约概率指债务人在未来</w:t>
      </w:r>
      <w:r>
        <w:rPr>
          <w:rFonts w:ascii="Arial" w:eastAsia="黑体" w:hAnsi="Arial" w:cs="Arial"/>
          <w:bCs/>
          <w:szCs w:val="21"/>
        </w:rPr>
        <w:t>12</w:t>
      </w:r>
      <w:r>
        <w:rPr>
          <w:rFonts w:ascii="Arial" w:eastAsia="黑体" w:hAnsi="Arial" w:cs="Arial"/>
          <w:bCs/>
          <w:szCs w:val="21"/>
        </w:rPr>
        <w:t>个月或在整个剩余存续期，无法履行其偿付义务的可能性。根据新巴塞尔协议</w:t>
      </w:r>
      <w:proofErr w:type="gramStart"/>
      <w:r>
        <w:rPr>
          <w:rFonts w:ascii="Arial" w:eastAsia="黑体" w:hAnsi="Arial" w:cs="Arial"/>
          <w:bCs/>
          <w:szCs w:val="21"/>
        </w:rPr>
        <w:t>下内部</w:t>
      </w:r>
      <w:proofErr w:type="gramEnd"/>
      <w:r>
        <w:rPr>
          <w:rFonts w:ascii="Arial" w:eastAsia="黑体" w:hAnsi="Arial" w:cs="Arial"/>
          <w:bCs/>
          <w:szCs w:val="21"/>
        </w:rPr>
        <w:t>评级法的结果，并考虑前瞻性信息及扣除审慎调整来调整本集团的违约概率，以反映当前宏观经济环境下债务人的时点违约概率。</w:t>
      </w:r>
    </w:p>
    <w:p w:rsidR="00AD5BB5" w:rsidRDefault="00AD5BB5">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p>
    <w:p w:rsidR="00AD5BB5" w:rsidRDefault="00F87FF6">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r>
        <w:rPr>
          <w:rFonts w:ascii="Arial" w:eastAsia="黑体" w:hAnsi="Arial" w:cs="Arial"/>
          <w:bCs/>
          <w:szCs w:val="21"/>
        </w:rPr>
        <w:t>违约损失率指本集团对违约风险引致之损失程度</w:t>
      </w:r>
      <w:proofErr w:type="gramStart"/>
      <w:r>
        <w:rPr>
          <w:rFonts w:ascii="Arial" w:eastAsia="黑体" w:hAnsi="Arial" w:cs="Arial"/>
          <w:bCs/>
          <w:szCs w:val="21"/>
        </w:rPr>
        <w:t>作出</w:t>
      </w:r>
      <w:proofErr w:type="gramEnd"/>
      <w:r>
        <w:rPr>
          <w:rFonts w:ascii="Arial" w:eastAsia="黑体" w:hAnsi="Arial" w:cs="Arial"/>
          <w:bCs/>
          <w:szCs w:val="21"/>
        </w:rPr>
        <w:t>的预期。根据交易对手的类型、追索的方式和优先级、以及抵押品类别不同，违约损失率也有所不同。违约损失率为违约发生时计算的未来</w:t>
      </w:r>
      <w:r>
        <w:rPr>
          <w:rFonts w:ascii="Arial" w:eastAsia="黑体" w:hAnsi="Arial" w:cs="Arial"/>
          <w:bCs/>
          <w:szCs w:val="21"/>
        </w:rPr>
        <w:t>12</w:t>
      </w:r>
      <w:r>
        <w:rPr>
          <w:rFonts w:ascii="Arial" w:eastAsia="黑体" w:hAnsi="Arial" w:cs="Arial"/>
          <w:bCs/>
          <w:szCs w:val="21"/>
        </w:rPr>
        <w:t>个月或整个剩余存续期风险敞口损失的百分比。</w:t>
      </w:r>
    </w:p>
    <w:p w:rsidR="00AD5BB5" w:rsidRDefault="00AD5BB5">
      <w:pPr>
        <w:overflowPunct w:val="0"/>
        <w:autoSpaceDE w:val="0"/>
        <w:autoSpaceDN w:val="0"/>
        <w:rPr>
          <w:rFonts w:ascii="Arial" w:eastAsia="黑体" w:hAnsi="Arial" w:cs="Arial"/>
          <w:snapToGrid w:val="0"/>
          <w:szCs w:val="21"/>
        </w:rPr>
      </w:pPr>
    </w:p>
    <w:p w:rsidR="00AD5BB5" w:rsidRDefault="00F87FF6">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r>
        <w:rPr>
          <w:rFonts w:ascii="Arial" w:eastAsia="黑体" w:hAnsi="Arial" w:cs="Arial"/>
          <w:bCs/>
          <w:szCs w:val="21"/>
        </w:rPr>
        <w:t>违约风险</w:t>
      </w:r>
      <w:proofErr w:type="gramStart"/>
      <w:r>
        <w:rPr>
          <w:rFonts w:ascii="Arial" w:eastAsia="黑体" w:hAnsi="Arial" w:cs="Arial"/>
          <w:bCs/>
          <w:szCs w:val="21"/>
        </w:rPr>
        <w:t>敞口指</w:t>
      </w:r>
      <w:proofErr w:type="gramEnd"/>
      <w:r>
        <w:rPr>
          <w:rFonts w:ascii="Arial" w:eastAsia="黑体" w:hAnsi="Arial" w:cs="Arial"/>
          <w:bCs/>
          <w:szCs w:val="21"/>
        </w:rPr>
        <w:t>在违约发生时，本集团在未来</w:t>
      </w:r>
      <w:r>
        <w:rPr>
          <w:rFonts w:ascii="Arial" w:eastAsia="黑体" w:hAnsi="Arial" w:cs="Arial"/>
          <w:bCs/>
          <w:szCs w:val="21"/>
        </w:rPr>
        <w:t>12</w:t>
      </w:r>
      <w:r>
        <w:rPr>
          <w:rFonts w:ascii="Arial" w:eastAsia="黑体" w:hAnsi="Arial" w:cs="Arial"/>
          <w:bCs/>
          <w:szCs w:val="21"/>
        </w:rPr>
        <w:t>个月或整个剩余存续期应获偿付的金额。</w:t>
      </w:r>
    </w:p>
    <w:p w:rsidR="00AD5BB5" w:rsidRDefault="00AD5BB5">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p>
    <w:p w:rsidR="00AD5BB5" w:rsidRDefault="00F87FF6">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r>
        <w:rPr>
          <w:rFonts w:ascii="Arial" w:eastAsia="黑体" w:hAnsi="Arial" w:cs="Arial"/>
          <w:bCs/>
          <w:szCs w:val="21"/>
        </w:rPr>
        <w:t>关于前瞻性信息以及如何将其纳入预期信用损失计算的说明，参见本附注后段。</w:t>
      </w:r>
      <w:r>
        <w:rPr>
          <w:rFonts w:ascii="Arial" w:eastAsia="黑体" w:hAnsi="Arial" w:cs="Arial"/>
          <w:bCs/>
          <w:szCs w:val="21"/>
        </w:rPr>
        <w:br w:type="page"/>
      </w:r>
    </w:p>
    <w:p w:rsidR="00AD5BB5" w:rsidRDefault="00AD5BB5">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p>
    <w:p w:rsidR="00AD5BB5" w:rsidRDefault="00AD5BB5">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p>
    <w:p w:rsidR="00AD5BB5" w:rsidRDefault="00F87FF6">
      <w:pPr>
        <w:overflowPunct w:val="0"/>
        <w:autoSpaceDE w:val="0"/>
        <w:autoSpaceDN w:val="0"/>
        <w:adjustRightInd w:val="0"/>
        <w:snapToGrid w:val="0"/>
        <w:ind w:left="720" w:hanging="720"/>
        <w:rPr>
          <w:rFonts w:ascii="Arial" w:eastAsia="黑体" w:hAnsi="Arial" w:cs="Arial"/>
          <w:b/>
          <w:bCs/>
          <w:szCs w:val="21"/>
        </w:rPr>
      </w:pPr>
      <w:bookmarkStart w:id="289" w:name="afsaddin_WithXu_483195a17c2944f88994a8c1"/>
      <w:r>
        <w:rPr>
          <w:rFonts w:ascii="Arial" w:eastAsia="黑体" w:hAnsi="Arial" w:cs="Arial"/>
          <w:b/>
          <w:bCs/>
          <w:szCs w:val="21"/>
        </w:rPr>
        <w:t>八、</w:t>
      </w:r>
      <w:r>
        <w:rPr>
          <w:rFonts w:ascii="Arial" w:eastAsia="黑体" w:hAnsi="Arial" w:cs="Arial"/>
          <w:b/>
          <w:bCs/>
          <w:szCs w:val="21"/>
        </w:rPr>
        <w:tab/>
      </w:r>
      <w:r>
        <w:rPr>
          <w:rFonts w:ascii="Arial" w:eastAsia="黑体" w:hAnsi="Arial" w:cs="Arial"/>
          <w:b/>
          <w:bCs/>
          <w:szCs w:val="21"/>
        </w:rPr>
        <w:t>金融工具及其风险分析（续）</w:t>
      </w:r>
      <w:bookmarkEnd w:id="289"/>
    </w:p>
    <w:p w:rsidR="00AD5BB5" w:rsidRDefault="00AD5BB5">
      <w:pPr>
        <w:overflowPunct w:val="0"/>
        <w:autoSpaceDE w:val="0"/>
        <w:autoSpaceDN w:val="0"/>
        <w:adjustRightInd w:val="0"/>
        <w:snapToGrid w:val="0"/>
        <w:rPr>
          <w:rFonts w:ascii="Arial" w:eastAsia="黑体" w:hAnsi="Arial" w:cs="Arial"/>
          <w:bCs/>
          <w:szCs w:val="21"/>
        </w:rPr>
      </w:pPr>
    </w:p>
    <w:p w:rsidR="00AD5BB5" w:rsidRDefault="00F87FF6">
      <w:pPr>
        <w:overflowPunct w:val="0"/>
        <w:autoSpaceDE w:val="0"/>
        <w:autoSpaceDN w:val="0"/>
        <w:adjustRightInd w:val="0"/>
        <w:snapToGrid w:val="0"/>
        <w:ind w:left="720" w:hanging="720"/>
        <w:rPr>
          <w:rFonts w:ascii="Arial" w:eastAsia="黑体" w:hAnsi="Arial" w:cs="Arial"/>
          <w:b/>
          <w:bCs/>
          <w:szCs w:val="21"/>
        </w:rPr>
      </w:pPr>
      <w:bookmarkStart w:id="290" w:name="afsaddin_WithXu_827666d6c42342f1827b56ca"/>
      <w:r>
        <w:rPr>
          <w:rFonts w:ascii="Arial" w:eastAsia="黑体" w:hAnsi="Arial" w:cs="Arial"/>
          <w:b/>
          <w:bCs/>
          <w:szCs w:val="21"/>
        </w:rPr>
        <w:t>1.</w:t>
      </w:r>
      <w:r>
        <w:rPr>
          <w:rFonts w:ascii="Arial" w:eastAsia="黑体" w:hAnsi="Arial" w:cs="Arial"/>
          <w:b/>
          <w:bCs/>
          <w:szCs w:val="21"/>
        </w:rPr>
        <w:tab/>
      </w:r>
      <w:r>
        <w:rPr>
          <w:rFonts w:ascii="Arial" w:eastAsia="黑体" w:hAnsi="Arial" w:cs="Arial"/>
          <w:b/>
          <w:bCs/>
          <w:szCs w:val="21"/>
        </w:rPr>
        <w:t>信用风险（续）</w:t>
      </w:r>
      <w:bookmarkEnd w:id="290"/>
    </w:p>
    <w:p w:rsidR="00AD5BB5" w:rsidRDefault="00AD5BB5">
      <w:pPr>
        <w:overflowPunct w:val="0"/>
        <w:autoSpaceDE w:val="0"/>
        <w:autoSpaceDN w:val="0"/>
        <w:adjustRightInd w:val="0"/>
        <w:snapToGrid w:val="0"/>
        <w:rPr>
          <w:rFonts w:ascii="Arial" w:eastAsia="黑体" w:hAnsi="Arial" w:cs="Arial"/>
          <w:bCs/>
          <w:szCs w:val="21"/>
        </w:rPr>
      </w:pPr>
    </w:p>
    <w:p w:rsidR="00AD5BB5" w:rsidRDefault="00F87FF6">
      <w:pPr>
        <w:overflowPunct w:val="0"/>
        <w:autoSpaceDE w:val="0"/>
        <w:autoSpaceDN w:val="0"/>
        <w:adjustRightInd w:val="0"/>
        <w:snapToGrid w:val="0"/>
        <w:ind w:left="720" w:hanging="845"/>
        <w:rPr>
          <w:rFonts w:ascii="Arial" w:eastAsia="黑体" w:hAnsi="Arial" w:cs="Arial"/>
          <w:b/>
          <w:bCs/>
          <w:szCs w:val="21"/>
        </w:rPr>
      </w:pPr>
      <w:bookmarkStart w:id="291" w:name="afsaddin_WithXu_432dfe05c8c0445aa0b81146"/>
      <w:r>
        <w:rPr>
          <w:rFonts w:ascii="Arial" w:eastAsia="黑体" w:hAnsi="Arial" w:cs="Arial"/>
          <w:b/>
          <w:bCs/>
          <w:szCs w:val="21"/>
        </w:rPr>
        <w:t>（</w:t>
      </w:r>
      <w:r>
        <w:rPr>
          <w:rFonts w:ascii="Arial" w:eastAsia="黑体" w:hAnsi="Arial" w:cs="Arial"/>
          <w:b/>
          <w:bCs/>
          <w:szCs w:val="21"/>
        </w:rPr>
        <w:t>1</w:t>
      </w:r>
      <w:r>
        <w:rPr>
          <w:rFonts w:ascii="Arial" w:eastAsia="黑体" w:hAnsi="Arial" w:cs="Arial"/>
          <w:b/>
          <w:bCs/>
          <w:szCs w:val="21"/>
        </w:rPr>
        <w:t>）</w:t>
      </w:r>
      <w:r>
        <w:rPr>
          <w:rFonts w:ascii="Arial" w:eastAsia="黑体" w:hAnsi="Arial" w:cs="Arial"/>
          <w:b/>
          <w:bCs/>
          <w:szCs w:val="21"/>
        </w:rPr>
        <w:tab/>
      </w:r>
      <w:r>
        <w:rPr>
          <w:rFonts w:ascii="Arial" w:eastAsia="黑体" w:hAnsi="Arial" w:cs="Arial"/>
          <w:b/>
          <w:bCs/>
          <w:szCs w:val="21"/>
        </w:rPr>
        <w:t>信贷风险减值分析和准备金计提政策（续）</w:t>
      </w:r>
      <w:bookmarkEnd w:id="291"/>
    </w:p>
    <w:p w:rsidR="00AD5BB5" w:rsidRDefault="00AD5BB5">
      <w:pPr>
        <w:overflowPunct w:val="0"/>
        <w:autoSpaceDE w:val="0"/>
        <w:autoSpaceDN w:val="0"/>
        <w:adjustRightInd w:val="0"/>
        <w:snapToGrid w:val="0"/>
        <w:rPr>
          <w:rFonts w:ascii="Arial" w:eastAsia="黑体" w:hAnsi="Arial" w:cs="Arial"/>
          <w:bCs/>
          <w:szCs w:val="21"/>
        </w:rPr>
      </w:pPr>
    </w:p>
    <w:p w:rsidR="00AD5BB5" w:rsidRDefault="00F87FF6">
      <w:pPr>
        <w:tabs>
          <w:tab w:val="left" w:pos="2520"/>
          <w:tab w:val="decimal" w:pos="5250"/>
          <w:tab w:val="decimal" w:pos="6510"/>
          <w:tab w:val="decimal" w:pos="7035"/>
          <w:tab w:val="decimal" w:pos="8295"/>
        </w:tabs>
        <w:overflowPunct w:val="0"/>
        <w:autoSpaceDE w:val="0"/>
        <w:autoSpaceDN w:val="0"/>
        <w:adjustRightInd w:val="0"/>
        <w:snapToGrid w:val="0"/>
        <w:ind w:left="720" w:hanging="720"/>
        <w:rPr>
          <w:rFonts w:ascii="Arial" w:eastAsia="黑体" w:hAnsi="Arial" w:cs="Arial"/>
          <w:bCs/>
          <w:szCs w:val="21"/>
        </w:rPr>
      </w:pPr>
      <w:bookmarkStart w:id="292" w:name="afsaddin_WithXu_c3a302e09731466eb2d9554c"/>
      <w:r>
        <w:rPr>
          <w:rFonts w:ascii="Arial" w:eastAsia="黑体" w:hAnsi="Arial" w:cs="Arial"/>
          <w:bCs/>
          <w:szCs w:val="21"/>
        </w:rPr>
        <w:t>(D)</w:t>
      </w:r>
      <w:r>
        <w:rPr>
          <w:rFonts w:ascii="Arial" w:eastAsia="黑体" w:hAnsi="Arial" w:cs="Arial"/>
          <w:bCs/>
          <w:szCs w:val="21"/>
        </w:rPr>
        <w:tab/>
      </w:r>
      <w:r>
        <w:rPr>
          <w:rFonts w:ascii="Arial" w:eastAsia="黑体" w:hAnsi="Arial" w:cs="Arial"/>
          <w:bCs/>
          <w:szCs w:val="21"/>
        </w:rPr>
        <w:t>对参数、假设及估计技术的说明（续）</w:t>
      </w:r>
      <w:bookmarkEnd w:id="292"/>
    </w:p>
    <w:p w:rsidR="00AD5BB5" w:rsidRDefault="00AD5BB5">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p>
    <w:p w:rsidR="00AD5BB5" w:rsidRDefault="00F87FF6">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bookmarkStart w:id="293" w:name="afsaddin_WithXu_bf97932dd14c42be962105a9"/>
      <w:bookmarkStart w:id="294" w:name="afsaddin_WithXu_3f2274cefa014b639c19eeab"/>
      <w:bookmarkStart w:id="295" w:name="afsaddin_WithXu_a2121a5d616c4f8e80e81998"/>
      <w:bookmarkStart w:id="296" w:name="afsaddin_WithXu_9fd6fd3a63794243949e020c"/>
      <w:bookmarkEnd w:id="293"/>
      <w:bookmarkEnd w:id="294"/>
      <w:bookmarkEnd w:id="295"/>
      <w:bookmarkEnd w:id="296"/>
      <w:r>
        <w:rPr>
          <w:rFonts w:ascii="Arial" w:eastAsia="黑体" w:hAnsi="Arial" w:cs="Arial"/>
          <w:bCs/>
          <w:szCs w:val="21"/>
        </w:rPr>
        <w:t>本集团定期监控并复核预期信用损失计算相关的假设包括各期限下的违约概率及担保品价值的变动情况。</w:t>
      </w:r>
    </w:p>
    <w:p w:rsidR="00AD5BB5" w:rsidRDefault="00AD5BB5">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p>
    <w:p w:rsidR="00AD5BB5" w:rsidRDefault="00F87FF6">
      <w:pPr>
        <w:tabs>
          <w:tab w:val="left" w:pos="840"/>
        </w:tabs>
        <w:overflowPunct w:val="0"/>
        <w:autoSpaceDE w:val="0"/>
        <w:autoSpaceDN w:val="0"/>
        <w:rPr>
          <w:rFonts w:ascii="Arial" w:eastAsia="黑体" w:hAnsi="Arial" w:cs="Arial"/>
          <w:bCs/>
          <w:szCs w:val="21"/>
        </w:rPr>
      </w:pPr>
      <w:r>
        <w:rPr>
          <w:rFonts w:ascii="Arial" w:eastAsia="黑体" w:hAnsi="Arial" w:cs="Arial"/>
          <w:bCs/>
          <w:szCs w:val="21"/>
        </w:rPr>
        <w:t>本报告期内，本集团考虑未来的宏观经济情况和借款人的信用状况，对估值技术或关键假设进行动态调整。</w:t>
      </w:r>
    </w:p>
    <w:p w:rsidR="00AD5BB5" w:rsidRDefault="00AD5BB5">
      <w:pPr>
        <w:tabs>
          <w:tab w:val="left" w:pos="840"/>
        </w:tabs>
        <w:overflowPunct w:val="0"/>
        <w:autoSpaceDE w:val="0"/>
        <w:autoSpaceDN w:val="0"/>
        <w:rPr>
          <w:rFonts w:ascii="Arial" w:eastAsia="黑体" w:hAnsi="Arial" w:cs="Arial"/>
          <w:szCs w:val="21"/>
        </w:rPr>
      </w:pPr>
    </w:p>
    <w:p w:rsidR="00AD5BB5" w:rsidRDefault="00F87FF6">
      <w:pPr>
        <w:pStyle w:val="aff2"/>
        <w:widowControl/>
        <w:numPr>
          <w:ilvl w:val="0"/>
          <w:numId w:val="35"/>
        </w:numPr>
        <w:tabs>
          <w:tab w:val="left" w:pos="2520"/>
          <w:tab w:val="decimal" w:pos="5250"/>
          <w:tab w:val="decimal" w:pos="6510"/>
          <w:tab w:val="decimal" w:pos="7035"/>
          <w:tab w:val="decimal" w:pos="8295"/>
        </w:tabs>
        <w:overflowPunct w:val="0"/>
        <w:autoSpaceDE w:val="0"/>
        <w:autoSpaceDN w:val="0"/>
        <w:adjustRightInd w:val="0"/>
        <w:snapToGrid w:val="0"/>
        <w:ind w:left="720" w:firstLineChars="0" w:hanging="720"/>
        <w:outlineLvl w:val="4"/>
        <w:rPr>
          <w:rFonts w:ascii="Arial" w:eastAsia="黑体" w:hAnsi="Arial" w:cs="Arial"/>
          <w:bCs/>
          <w:szCs w:val="21"/>
        </w:rPr>
      </w:pPr>
      <w:bookmarkStart w:id="297" w:name="afsaddin_Section_bde189e36713473380cfdb6"/>
      <w:r>
        <w:rPr>
          <w:rFonts w:ascii="Arial" w:eastAsia="黑体" w:hAnsi="Arial" w:cs="Arial"/>
          <w:bCs/>
          <w:szCs w:val="21"/>
        </w:rPr>
        <w:t>预期信用损失中已包含的前瞻性信息</w:t>
      </w:r>
    </w:p>
    <w:bookmarkEnd w:id="297"/>
    <w:p w:rsidR="00AD5BB5" w:rsidRDefault="00AD5BB5">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p>
    <w:p w:rsidR="00AD5BB5" w:rsidRDefault="00F87FF6">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r>
        <w:rPr>
          <w:rFonts w:ascii="Arial" w:eastAsia="黑体" w:hAnsi="Arial" w:cs="Arial"/>
          <w:bCs/>
          <w:szCs w:val="21"/>
        </w:rPr>
        <w:t>信用风险显著增加的评估及预期信用损失的计算均涉及前瞻性信息。本集团通过进行历史数据分析，识别出与预期信用损失相关的关键经济指标并进行了前瞻性调整，如消费者物价指数</w:t>
      </w:r>
      <w:r>
        <w:rPr>
          <w:rFonts w:ascii="Arial" w:eastAsia="黑体" w:hAnsi="Arial" w:cs="Arial"/>
          <w:bCs/>
          <w:szCs w:val="21"/>
        </w:rPr>
        <w:t>(CPI)</w:t>
      </w:r>
      <w:r>
        <w:rPr>
          <w:rFonts w:ascii="Arial" w:eastAsia="黑体" w:hAnsi="Arial" w:cs="Arial"/>
          <w:bCs/>
          <w:szCs w:val="21"/>
        </w:rPr>
        <w:t>、金融机构新增人民币贷款、进口金额当月同比、广义货币供应量增长率</w:t>
      </w:r>
      <w:r>
        <w:rPr>
          <w:rFonts w:ascii="Arial" w:eastAsia="黑体" w:hAnsi="Arial" w:cs="Arial"/>
          <w:bCs/>
          <w:szCs w:val="21"/>
        </w:rPr>
        <w:t>(M2)</w:t>
      </w:r>
      <w:r>
        <w:rPr>
          <w:rFonts w:ascii="Arial" w:eastAsia="黑体" w:hAnsi="Arial" w:cs="Arial"/>
          <w:bCs/>
          <w:szCs w:val="21"/>
        </w:rPr>
        <w:t>、国内生产总值当季同比增长率等。本集团对宏观经济指标池的各项指标定期进行预测。本集团通过构建计量模型得到历史上宏观经济指标与违约概率和违约损失率之间的关系，根据未来宏观指标预测值计算未来一定时期的违约概率和违约损失率。</w:t>
      </w:r>
    </w:p>
    <w:p w:rsidR="00AD5BB5" w:rsidRDefault="00AD5BB5">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p>
    <w:p w:rsidR="00AD5BB5" w:rsidRDefault="00F87FF6">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r>
        <w:rPr>
          <w:rFonts w:ascii="Arial" w:eastAsia="黑体" w:hAnsi="Arial" w:cs="Arial"/>
          <w:bCs/>
          <w:szCs w:val="21"/>
        </w:rPr>
        <w:t>这些经济指标对违约概率和违约损失率的影响，对不同的业务类型有所不同。本集团在此过程中应用了统计模型和专家判断相结合的方式，在统计模型测算结果的基础上，根据专家判断的结果，每季度对这些经济指标进行预测，并通过进行回归分析确定这些经济指标对违约概率和违约损失率的影响。</w:t>
      </w:r>
    </w:p>
    <w:p w:rsidR="00AD5BB5" w:rsidRDefault="00AD5BB5">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p>
    <w:p w:rsidR="00AD5BB5" w:rsidRDefault="00F87FF6">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r>
        <w:rPr>
          <w:rFonts w:ascii="Arial" w:eastAsia="黑体" w:hAnsi="Arial" w:cs="Arial"/>
          <w:bCs/>
          <w:szCs w:val="21"/>
        </w:rPr>
        <w:t>于截至</w:t>
      </w:r>
      <w:r>
        <w:rPr>
          <w:rFonts w:ascii="Arial" w:eastAsia="黑体" w:hAnsi="Arial" w:cs="Arial"/>
          <w:bCs/>
          <w:szCs w:val="21"/>
        </w:rPr>
        <w:t>2023</w:t>
      </w:r>
      <w:r>
        <w:rPr>
          <w:rFonts w:ascii="Arial" w:eastAsia="黑体" w:hAnsi="Arial" w:cs="Arial"/>
          <w:bCs/>
          <w:szCs w:val="21"/>
        </w:rPr>
        <w:t>年</w:t>
      </w:r>
      <w:r>
        <w:rPr>
          <w:rFonts w:ascii="Arial" w:eastAsia="黑体" w:hAnsi="Arial" w:cs="Arial"/>
          <w:bCs/>
          <w:szCs w:val="21"/>
        </w:rPr>
        <w:t>6</w:t>
      </w:r>
      <w:r>
        <w:rPr>
          <w:rFonts w:ascii="Arial" w:eastAsia="黑体" w:hAnsi="Arial" w:cs="Arial"/>
          <w:bCs/>
          <w:szCs w:val="21"/>
        </w:rPr>
        <w:t>月</w:t>
      </w:r>
      <w:r>
        <w:rPr>
          <w:rFonts w:ascii="Arial" w:eastAsia="黑体" w:hAnsi="Arial" w:cs="Arial"/>
          <w:bCs/>
          <w:szCs w:val="21"/>
        </w:rPr>
        <w:t>30</w:t>
      </w:r>
      <w:r>
        <w:rPr>
          <w:rFonts w:ascii="Arial" w:eastAsia="黑体" w:hAnsi="Arial" w:cs="Arial"/>
          <w:bCs/>
          <w:szCs w:val="21"/>
        </w:rPr>
        <w:t>日</w:t>
      </w:r>
      <w:proofErr w:type="gramStart"/>
      <w:r>
        <w:rPr>
          <w:rFonts w:ascii="Arial" w:eastAsia="黑体" w:hAnsi="Arial" w:cs="Arial"/>
          <w:bCs/>
          <w:szCs w:val="21"/>
        </w:rPr>
        <w:t>止</w:t>
      </w:r>
      <w:proofErr w:type="gramEnd"/>
      <w:r>
        <w:rPr>
          <w:rFonts w:ascii="Arial" w:eastAsia="黑体" w:hAnsi="Arial" w:cs="Arial"/>
          <w:bCs/>
          <w:szCs w:val="21"/>
        </w:rPr>
        <w:t>6</w:t>
      </w:r>
      <w:r>
        <w:rPr>
          <w:rFonts w:ascii="Arial" w:eastAsia="黑体" w:hAnsi="Arial" w:cs="Arial"/>
          <w:bCs/>
          <w:szCs w:val="21"/>
        </w:rPr>
        <w:t>个月期间，本集团考虑了不同的宏观经济情景，结合经济发展趋势，对关键经济指标进行前瞻性预测。以消费者物价指数增长率为例，基准情景下参考外部权威机构发布的预测值，乐观、</w:t>
      </w:r>
      <w:bookmarkStart w:id="298" w:name="_Hlk141204130"/>
      <w:r>
        <w:rPr>
          <w:rFonts w:ascii="Arial" w:eastAsia="黑体" w:hAnsi="Arial" w:cs="Arial"/>
          <w:bCs/>
          <w:szCs w:val="21"/>
        </w:rPr>
        <w:t>悲观和极度</w:t>
      </w:r>
      <w:bookmarkEnd w:id="298"/>
      <w:r>
        <w:rPr>
          <w:rFonts w:ascii="Arial" w:eastAsia="黑体" w:hAnsi="Arial" w:cs="Arial"/>
          <w:bCs/>
          <w:szCs w:val="21"/>
        </w:rPr>
        <w:t>悲观情景参考历史实际数据进行分析预测，本集团用于评估</w:t>
      </w:r>
      <w:r>
        <w:rPr>
          <w:rFonts w:ascii="Arial" w:eastAsia="黑体" w:hAnsi="Arial" w:cs="Arial"/>
          <w:bCs/>
          <w:szCs w:val="21"/>
        </w:rPr>
        <w:t>2023</w:t>
      </w:r>
      <w:r>
        <w:rPr>
          <w:rFonts w:ascii="Arial" w:eastAsia="黑体" w:hAnsi="Arial" w:cs="Arial"/>
          <w:bCs/>
          <w:szCs w:val="21"/>
        </w:rPr>
        <w:t>年</w:t>
      </w:r>
      <w:r>
        <w:rPr>
          <w:rFonts w:ascii="Arial" w:eastAsia="黑体" w:hAnsi="Arial" w:cs="Arial"/>
          <w:bCs/>
          <w:szCs w:val="21"/>
        </w:rPr>
        <w:t>6</w:t>
      </w:r>
      <w:r>
        <w:rPr>
          <w:rFonts w:ascii="Arial" w:eastAsia="黑体" w:hAnsi="Arial" w:cs="Arial"/>
          <w:bCs/>
          <w:szCs w:val="21"/>
        </w:rPr>
        <w:t>月</w:t>
      </w:r>
      <w:r>
        <w:rPr>
          <w:rFonts w:ascii="Arial" w:eastAsia="黑体" w:hAnsi="Arial" w:cs="Arial"/>
          <w:bCs/>
          <w:szCs w:val="21"/>
        </w:rPr>
        <w:t>30</w:t>
      </w:r>
      <w:r>
        <w:rPr>
          <w:rFonts w:ascii="Arial" w:eastAsia="黑体" w:hAnsi="Arial" w:cs="Arial"/>
          <w:bCs/>
          <w:szCs w:val="21"/>
        </w:rPr>
        <w:t>日的预期信用损失的消费者物价指数增长率（当月同比）在基准情景下的预测值为</w:t>
      </w:r>
      <w:r>
        <w:rPr>
          <w:rFonts w:ascii="Arial" w:eastAsia="黑体" w:hAnsi="Arial" w:cs="Arial"/>
          <w:bCs/>
          <w:szCs w:val="21"/>
        </w:rPr>
        <w:t>2.2%</w:t>
      </w:r>
      <w:r>
        <w:rPr>
          <w:rFonts w:ascii="Arial" w:eastAsia="黑体" w:hAnsi="Arial" w:cs="Arial"/>
          <w:bCs/>
          <w:szCs w:val="21"/>
        </w:rPr>
        <w:t>。</w:t>
      </w:r>
    </w:p>
    <w:p w:rsidR="00AD5BB5" w:rsidRDefault="00AD5BB5">
      <w:pPr>
        <w:overflowPunct w:val="0"/>
        <w:autoSpaceDE w:val="0"/>
        <w:autoSpaceDN w:val="0"/>
        <w:rPr>
          <w:rFonts w:ascii="Arial" w:eastAsia="黑体" w:hAnsi="Arial" w:cs="Arial"/>
          <w:snapToGrid w:val="0"/>
          <w:szCs w:val="21"/>
        </w:rPr>
      </w:pPr>
    </w:p>
    <w:p w:rsidR="00AD5BB5" w:rsidRDefault="00F87FF6">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r>
        <w:rPr>
          <w:rFonts w:ascii="Arial" w:eastAsia="黑体" w:hAnsi="Arial" w:cs="Arial"/>
          <w:bCs/>
          <w:szCs w:val="21"/>
        </w:rPr>
        <w:t>除了提供基准经济情景外，本集团结合统计模型及专家判断结果来确定其他可能的情景及其权重。本集团以加权的</w:t>
      </w:r>
      <w:r>
        <w:rPr>
          <w:rFonts w:ascii="Arial" w:eastAsia="黑体" w:hAnsi="Arial" w:cs="Arial"/>
          <w:bCs/>
          <w:szCs w:val="21"/>
        </w:rPr>
        <w:t>12</w:t>
      </w:r>
      <w:r>
        <w:rPr>
          <w:rFonts w:ascii="Arial" w:eastAsia="黑体" w:hAnsi="Arial" w:cs="Arial"/>
          <w:bCs/>
          <w:szCs w:val="21"/>
        </w:rPr>
        <w:t>个月预期信用损失（阶段一）或加权的整个存续期预期信用损失（阶段二及阶段三）计量相关的减值准备。上述加权信用损失是由各情景下预期信用损失乘以相应情景的权重计算得出。</w:t>
      </w:r>
    </w:p>
    <w:p w:rsidR="00AD5BB5" w:rsidRDefault="00AD5BB5">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p>
    <w:p w:rsidR="00AD5BB5" w:rsidRDefault="00F87FF6">
      <w:pPr>
        <w:pStyle w:val="aff2"/>
        <w:widowControl/>
        <w:numPr>
          <w:ilvl w:val="0"/>
          <w:numId w:val="35"/>
        </w:numPr>
        <w:tabs>
          <w:tab w:val="left" w:pos="2520"/>
          <w:tab w:val="decimal" w:pos="5250"/>
          <w:tab w:val="decimal" w:pos="6510"/>
          <w:tab w:val="decimal" w:pos="7035"/>
          <w:tab w:val="decimal" w:pos="8295"/>
        </w:tabs>
        <w:overflowPunct w:val="0"/>
        <w:autoSpaceDE w:val="0"/>
        <w:autoSpaceDN w:val="0"/>
        <w:adjustRightInd w:val="0"/>
        <w:snapToGrid w:val="0"/>
        <w:ind w:left="720" w:firstLineChars="0" w:hanging="720"/>
        <w:outlineLvl w:val="4"/>
        <w:rPr>
          <w:rFonts w:ascii="Arial" w:eastAsia="黑体" w:hAnsi="Arial" w:cs="Arial"/>
          <w:bCs/>
          <w:szCs w:val="21"/>
        </w:rPr>
      </w:pPr>
      <w:bookmarkStart w:id="299" w:name="afsaddin_Section_8634023c89f64838975c210"/>
      <w:r>
        <w:rPr>
          <w:rFonts w:ascii="Arial" w:eastAsia="黑体" w:hAnsi="Arial" w:cs="Arial"/>
          <w:bCs/>
          <w:szCs w:val="21"/>
        </w:rPr>
        <w:t>以组合方式计量损失准备</w:t>
      </w:r>
    </w:p>
    <w:bookmarkEnd w:id="299"/>
    <w:p w:rsidR="00AD5BB5" w:rsidRDefault="00AD5BB5">
      <w:pPr>
        <w:tabs>
          <w:tab w:val="left" w:pos="2520"/>
          <w:tab w:val="decimal" w:pos="5250"/>
          <w:tab w:val="decimal" w:pos="6510"/>
          <w:tab w:val="decimal" w:pos="7035"/>
          <w:tab w:val="decimal" w:pos="8295"/>
        </w:tabs>
        <w:overflowPunct w:val="0"/>
        <w:autoSpaceDE w:val="0"/>
        <w:autoSpaceDN w:val="0"/>
        <w:adjustRightInd w:val="0"/>
        <w:snapToGrid w:val="0"/>
        <w:ind w:left="709" w:right="84"/>
        <w:rPr>
          <w:rFonts w:ascii="Arial" w:eastAsia="黑体" w:hAnsi="Arial" w:cs="Arial"/>
          <w:snapToGrid w:val="0"/>
          <w:sz w:val="18"/>
          <w:szCs w:val="18"/>
        </w:rPr>
      </w:pPr>
    </w:p>
    <w:p w:rsidR="00AD5BB5" w:rsidRDefault="00F87FF6">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Cs w:val="21"/>
        </w:rPr>
      </w:pPr>
      <w:r>
        <w:rPr>
          <w:rFonts w:ascii="Arial" w:eastAsia="黑体" w:hAnsi="Arial" w:cs="Arial"/>
          <w:bCs/>
          <w:szCs w:val="21"/>
        </w:rPr>
        <w:t>按照组合方式计提预期信用损失准备时，本集团已将具有类似风险特征的敞口进行归类。在进行分组时，本集团获取了充分的信息，确保其统计上的可靠性。本集团采用产品类型和客户类型等对贷款进行组合计量。</w:t>
      </w:r>
      <w:bookmarkEnd w:id="270"/>
      <w:r>
        <w:rPr>
          <w:rFonts w:ascii="Arial" w:eastAsia="黑体" w:hAnsi="Arial" w:cs="Arial"/>
          <w:snapToGrid w:val="0"/>
          <w:szCs w:val="21"/>
        </w:rPr>
        <w:br w:type="page"/>
      </w:r>
    </w:p>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300" w:name="afsaddin_WithXu_5bd4f25070a24cfba16650a5"/>
      <w:r>
        <w:rPr>
          <w:rFonts w:ascii="Arial" w:eastAsia="黑体" w:hAnsi="Arial" w:cs="Arial"/>
          <w:b/>
          <w:snapToGrid w:val="0"/>
          <w:szCs w:val="21"/>
        </w:rPr>
        <w:t>八、</w:t>
      </w:r>
      <w:r>
        <w:rPr>
          <w:rFonts w:ascii="Arial" w:eastAsia="黑体" w:hAnsi="Arial" w:cs="Arial"/>
          <w:b/>
          <w:snapToGrid w:val="0"/>
          <w:szCs w:val="21"/>
        </w:rPr>
        <w:tab/>
      </w:r>
      <w:r>
        <w:rPr>
          <w:rFonts w:ascii="Arial" w:eastAsia="黑体" w:hAnsi="Arial" w:cs="Arial"/>
          <w:b/>
          <w:snapToGrid w:val="0"/>
          <w:szCs w:val="21"/>
        </w:rPr>
        <w:t>金融工具及其风险分析（续）</w:t>
      </w:r>
      <w:bookmarkEnd w:id="300"/>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301" w:name="afsaddin_WithXu_65dd0a8c43214072a340e4c0"/>
      <w:r>
        <w:rPr>
          <w:rFonts w:ascii="Arial" w:eastAsia="黑体" w:hAnsi="Arial" w:cs="Arial"/>
          <w:b/>
          <w:snapToGrid w:val="0"/>
          <w:szCs w:val="21"/>
        </w:rPr>
        <w:t>1.</w:t>
      </w:r>
      <w:r>
        <w:rPr>
          <w:rFonts w:ascii="Arial" w:eastAsia="黑体" w:hAnsi="Arial" w:cs="Arial"/>
          <w:b/>
          <w:snapToGrid w:val="0"/>
          <w:szCs w:val="21"/>
        </w:rPr>
        <w:tab/>
      </w:r>
      <w:r>
        <w:rPr>
          <w:rFonts w:ascii="Arial" w:eastAsia="黑体" w:hAnsi="Arial" w:cs="Arial"/>
          <w:b/>
          <w:snapToGrid w:val="0"/>
          <w:szCs w:val="21"/>
        </w:rPr>
        <w:t>信用风险（续）</w:t>
      </w:r>
      <w:bookmarkEnd w:id="301"/>
    </w:p>
    <w:p w:rsidR="00AD5BB5" w:rsidRDefault="00AD5BB5">
      <w:pPr>
        <w:overflowPunct w:val="0"/>
        <w:autoSpaceDE w:val="0"/>
        <w:autoSpaceDN w:val="0"/>
        <w:rPr>
          <w:rFonts w:ascii="Arial" w:eastAsia="黑体" w:hAnsi="Arial" w:cs="Arial"/>
          <w:snapToGrid w:val="0"/>
          <w:szCs w:val="21"/>
        </w:rPr>
      </w:pPr>
    </w:p>
    <w:p w:rsidR="00AD5BB5" w:rsidRDefault="00F87FF6">
      <w:pPr>
        <w:pStyle w:val="aff2"/>
        <w:widowControl/>
        <w:numPr>
          <w:ilvl w:val="0"/>
          <w:numId w:val="34"/>
        </w:numPr>
        <w:overflowPunct w:val="0"/>
        <w:autoSpaceDE w:val="0"/>
        <w:autoSpaceDN w:val="0"/>
        <w:ind w:firstLineChars="0" w:hanging="845"/>
        <w:contextualSpacing/>
        <w:jc w:val="left"/>
        <w:outlineLvl w:val="3"/>
        <w:rPr>
          <w:rFonts w:ascii="Arial" w:eastAsia="黑体" w:hAnsi="Arial" w:cs="Arial"/>
          <w:b/>
          <w:bCs/>
          <w:snapToGrid w:val="0"/>
          <w:szCs w:val="21"/>
        </w:rPr>
      </w:pPr>
      <w:bookmarkStart w:id="302" w:name="afsaddin_WithXu_acea013200bd42c09eea20e7"/>
      <w:bookmarkStart w:id="303" w:name="afsaddin_WithXu_03d8dce96e2f4b0897ebd7d2"/>
      <w:bookmarkStart w:id="304" w:name="afsaddin_Section_313b37a2133f45e5bb38ce3"/>
      <w:bookmarkEnd w:id="302"/>
      <w:bookmarkEnd w:id="303"/>
      <w:r>
        <w:rPr>
          <w:rFonts w:ascii="Arial" w:eastAsia="黑体" w:hAnsi="Arial" w:cs="Arial"/>
          <w:b/>
          <w:bCs/>
          <w:snapToGrid w:val="0"/>
          <w:szCs w:val="21"/>
        </w:rPr>
        <w:t>信用风险分析</w:t>
      </w:r>
    </w:p>
    <w:bookmarkEnd w:id="304"/>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snapToGrid w:val="0"/>
        <w:ind w:left="720" w:hanging="720"/>
        <w:outlineLvl w:val="4"/>
        <w:rPr>
          <w:rFonts w:ascii="Arial" w:eastAsia="黑体" w:hAnsi="Arial" w:cs="Arial"/>
          <w:b/>
          <w:bCs/>
          <w:szCs w:val="21"/>
        </w:rPr>
      </w:pPr>
      <w:bookmarkStart w:id="305" w:name="afsaddin_Section_182af4c0c4f54f87923195a"/>
      <w:r>
        <w:rPr>
          <w:rFonts w:ascii="Arial" w:eastAsia="黑体" w:hAnsi="Arial" w:cs="Arial"/>
          <w:b/>
          <w:bCs/>
          <w:szCs w:val="21"/>
        </w:rPr>
        <w:t>1.1</w:t>
      </w:r>
      <w:r>
        <w:rPr>
          <w:rFonts w:ascii="Arial" w:eastAsia="黑体" w:hAnsi="Arial" w:cs="Arial"/>
          <w:b/>
          <w:bCs/>
          <w:szCs w:val="21"/>
        </w:rPr>
        <w:tab/>
      </w:r>
      <w:r>
        <w:rPr>
          <w:rFonts w:ascii="Arial" w:eastAsia="黑体" w:hAnsi="Arial" w:cs="Arial"/>
          <w:b/>
          <w:bCs/>
          <w:szCs w:val="21"/>
        </w:rPr>
        <w:t>贷款及垫款（不含应计利息）按行业分类列示如下：</w:t>
      </w:r>
    </w:p>
    <w:bookmarkEnd w:id="305"/>
    <w:p w:rsidR="00AD5BB5" w:rsidRDefault="00AD5BB5">
      <w:pPr>
        <w:tabs>
          <w:tab w:val="left" w:pos="720"/>
        </w:tabs>
        <w:overflowPunct w:val="0"/>
        <w:autoSpaceDE w:val="0"/>
        <w:autoSpaceDN w:val="0"/>
        <w:snapToGrid w:val="0"/>
        <w:rPr>
          <w:rFonts w:ascii="Arial" w:eastAsia="黑体" w:hAnsi="Arial" w:cs="Arial"/>
          <w:b/>
          <w:sz w:val="18"/>
        </w:rPr>
      </w:pPr>
    </w:p>
    <w:tbl>
      <w:tblPr>
        <w:tblW w:w="8339" w:type="dxa"/>
        <w:tblLayout w:type="fixed"/>
        <w:tblCellMar>
          <w:left w:w="0" w:type="dxa"/>
          <w:right w:w="0" w:type="dxa"/>
        </w:tblCellMar>
        <w:tblLook w:val="04A0" w:firstRow="1" w:lastRow="0" w:firstColumn="1" w:lastColumn="0" w:noHBand="0" w:noVBand="1"/>
        <w:tblCaption w:val="dd833b41-5794-40b5-9f61-a0017793d6c0"/>
        <w:tblDescription w:val="{&quot;UUID&quot;:&quot;afsaddin_tabledata_2_56437_dd833b41-5794-40b5-9f61-a0017793d6c0&quot;,&quot;TitleRowCount&quot;:2,&quot;SplitedTable&quot;:false,&quot;FirstTableId&quot;:&quot;dd833b41-5794-40b5-9f61-a0017793d6c0&quot;}"/>
      </w:tblPr>
      <w:tblGrid>
        <w:gridCol w:w="2766"/>
        <w:gridCol w:w="106"/>
        <w:gridCol w:w="1759"/>
        <w:gridCol w:w="105"/>
        <w:gridCol w:w="105"/>
        <w:gridCol w:w="607"/>
        <w:gridCol w:w="105"/>
        <w:gridCol w:w="105"/>
        <w:gridCol w:w="1759"/>
        <w:gridCol w:w="105"/>
        <w:gridCol w:w="105"/>
        <w:gridCol w:w="607"/>
        <w:gridCol w:w="105"/>
      </w:tblGrid>
      <w:tr w:rsidR="00AD5BB5">
        <w:tc>
          <w:tcPr>
            <w:tcW w:w="2766" w:type="dxa"/>
            <w:tcBorders>
              <w:top w:val="nil"/>
              <w:left w:val="nil"/>
              <w:bottom w:val="nil"/>
              <w:right w:val="nil"/>
            </w:tcBorders>
            <w:shd w:val="clear" w:color="auto" w:fill="auto"/>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本集团</w:t>
            </w: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2576" w:type="dxa"/>
            <w:gridSpan w:val="4"/>
            <w:tcBorders>
              <w:top w:val="nil"/>
              <w:left w:val="nil"/>
              <w:bottom w:val="nil"/>
              <w:right w:val="nil"/>
            </w:tcBorders>
            <w:shd w:val="clear" w:color="auto" w:fill="auto"/>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 DOCPROPERTY </w:instrText>
            </w:r>
            <w:r>
              <w:rPr>
                <w:rFonts w:ascii="Arial" w:eastAsia="黑体" w:hAnsi="Arial" w:cs="Arial"/>
                <w:sz w:val="18"/>
                <w:szCs w:val="18"/>
              </w:rPr>
              <w:instrText>当期资产负债表日</w:instrText>
            </w:r>
            <w:r>
              <w:rPr>
                <w:rFonts w:ascii="Arial" w:eastAsia="黑体" w:hAnsi="Arial" w:cs="Arial"/>
                <w:sz w:val="18"/>
                <w:szCs w:val="18"/>
              </w:rPr>
              <w:instrText xml:space="preserve"> </w:instrText>
            </w:r>
            <w:r>
              <w:rPr>
                <w:rFonts w:ascii="Arial" w:eastAsia="黑体" w:hAnsi="Arial" w:cs="Arial"/>
                <w:sz w:val="18"/>
                <w:szCs w:val="18"/>
              </w:rPr>
              <w:fldChar w:fldCharType="separate"/>
            </w:r>
            <w:r>
              <w:rPr>
                <w:rFonts w:ascii="Arial" w:eastAsia="黑体" w:hAnsi="Arial" w:cs="Arial"/>
                <w:sz w:val="18"/>
                <w:szCs w:val="18"/>
              </w:rPr>
              <w:t>2023</w:t>
            </w:r>
            <w:r>
              <w:rPr>
                <w:rFonts w:ascii="Arial" w:eastAsia="黑体" w:hAnsi="Arial" w:cs="Arial"/>
                <w:sz w:val="18"/>
                <w:szCs w:val="18"/>
              </w:rPr>
              <w:t>年</w:t>
            </w:r>
            <w:r>
              <w:rPr>
                <w:rFonts w:ascii="Arial" w:eastAsia="黑体" w:hAnsi="Arial" w:cs="Arial"/>
                <w:sz w:val="18"/>
                <w:szCs w:val="18"/>
              </w:rPr>
              <w:t>6</w:t>
            </w:r>
            <w:r>
              <w:rPr>
                <w:rFonts w:ascii="Arial" w:eastAsia="黑体" w:hAnsi="Arial" w:cs="Arial"/>
                <w:sz w:val="18"/>
                <w:szCs w:val="18"/>
              </w:rPr>
              <w:t>月</w:t>
            </w:r>
            <w:r>
              <w:rPr>
                <w:rFonts w:ascii="Arial" w:eastAsia="黑体" w:hAnsi="Arial" w:cs="Arial"/>
                <w:sz w:val="18"/>
                <w:szCs w:val="18"/>
              </w:rPr>
              <w:t>30</w:t>
            </w:r>
            <w:r>
              <w:rPr>
                <w:rFonts w:ascii="Arial" w:eastAsia="黑体" w:hAnsi="Arial" w:cs="Arial"/>
                <w:sz w:val="18"/>
                <w:szCs w:val="18"/>
              </w:rPr>
              <w:t>日</w:t>
            </w:r>
            <w:r>
              <w:rPr>
                <w:rFonts w:ascii="Arial" w:eastAsia="黑体" w:hAnsi="Arial" w:cs="Arial"/>
                <w:sz w:val="18"/>
                <w:szCs w:val="18"/>
              </w:rPr>
              <w:fldChar w:fldCharType="end"/>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2576" w:type="dxa"/>
            <w:gridSpan w:val="4"/>
            <w:tcBorders>
              <w:top w:val="nil"/>
              <w:left w:val="nil"/>
              <w:bottom w:val="nil"/>
              <w:right w:val="nil"/>
            </w:tcBorders>
            <w:shd w:val="clear" w:color="auto" w:fill="auto"/>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2022</w:t>
            </w:r>
            <w:r>
              <w:rPr>
                <w:rFonts w:ascii="Arial" w:eastAsia="黑体" w:hAnsi="Arial" w:cs="Arial"/>
                <w:sz w:val="18"/>
                <w:szCs w:val="18"/>
              </w:rPr>
              <w:t>年</w:t>
            </w:r>
            <w:r>
              <w:rPr>
                <w:rFonts w:ascii="Arial" w:eastAsia="黑体" w:hAnsi="Arial" w:cs="Arial"/>
                <w:sz w:val="18"/>
                <w:szCs w:val="18"/>
              </w:rPr>
              <w:t>12</w:t>
            </w:r>
            <w:r>
              <w:rPr>
                <w:rFonts w:ascii="Arial" w:eastAsia="黑体" w:hAnsi="Arial" w:cs="Arial"/>
                <w:sz w:val="18"/>
                <w:szCs w:val="18"/>
              </w:rPr>
              <w:t>月</w:t>
            </w:r>
            <w:r>
              <w:rPr>
                <w:rFonts w:ascii="Arial" w:eastAsia="黑体" w:hAnsi="Arial" w:cs="Arial"/>
                <w:sz w:val="18"/>
                <w:szCs w:val="18"/>
              </w:rPr>
              <w:t>31</w:t>
            </w:r>
            <w:r>
              <w:rPr>
                <w:rFonts w:ascii="Arial" w:eastAsia="黑体" w:hAnsi="Arial" w:cs="Arial"/>
                <w:sz w:val="18"/>
                <w:szCs w:val="18"/>
              </w:rPr>
              <w:t>日</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766" w:type="dxa"/>
            <w:tcBorders>
              <w:top w:val="nil"/>
              <w:left w:val="nil"/>
              <w:bottom w:val="nil"/>
              <w:right w:val="nil"/>
            </w:tcBorders>
            <w:shd w:val="clear" w:color="auto" w:fill="auto"/>
            <w:vAlign w:val="bottom"/>
          </w:tcPr>
          <w:p w:rsidR="00AD5BB5" w:rsidRDefault="00AD5BB5">
            <w:pPr>
              <w:autoSpaceDE w:val="0"/>
              <w:autoSpaceDN w:val="0"/>
              <w:ind w:left="270" w:hangingChars="150" w:hanging="270"/>
              <w:rPr>
                <w:rFonts w:ascii="Arial" w:eastAsia="黑体" w:hAnsi="Arial" w:cs="Arial"/>
                <w:sz w:val="18"/>
                <w:szCs w:val="18"/>
              </w:rPr>
            </w:pP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75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贷款余额</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60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75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贷款余额</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60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766" w:type="dxa"/>
            <w:tcBorders>
              <w:top w:val="nil"/>
              <w:left w:val="nil"/>
              <w:bottom w:val="nil"/>
              <w:right w:val="nil"/>
            </w:tcBorders>
            <w:shd w:val="clear" w:color="auto" w:fill="auto"/>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企业贷款和垫款</w:t>
            </w: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759"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607"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759"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607"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766" w:type="dxa"/>
            <w:tcBorders>
              <w:top w:val="nil"/>
              <w:left w:val="nil"/>
              <w:bottom w:val="nil"/>
              <w:right w:val="nil"/>
            </w:tcBorders>
            <w:shd w:val="clear" w:color="auto" w:fill="auto"/>
            <w:vAlign w:val="bottom"/>
          </w:tcPr>
          <w:p w:rsidR="00AD5BB5" w:rsidRDefault="00F87FF6">
            <w:pPr>
              <w:autoSpaceDE w:val="0"/>
              <w:autoSpaceDN w:val="0"/>
              <w:ind w:leftChars="88" w:left="365" w:hangingChars="100" w:hanging="180"/>
              <w:rPr>
                <w:rFonts w:ascii="Arial" w:eastAsia="黑体" w:hAnsi="Arial" w:cs="Arial"/>
                <w:sz w:val="18"/>
                <w:szCs w:val="18"/>
              </w:rPr>
            </w:pPr>
            <w:r>
              <w:rPr>
                <w:rFonts w:ascii="Arial" w:eastAsia="黑体" w:hAnsi="Arial" w:cs="Arial"/>
                <w:sz w:val="18"/>
                <w:szCs w:val="18"/>
              </w:rPr>
              <w:t>—</w:t>
            </w:r>
            <w:r>
              <w:rPr>
                <w:rFonts w:ascii="Arial" w:eastAsia="黑体" w:hAnsi="Arial" w:cs="Arial"/>
                <w:sz w:val="18"/>
                <w:szCs w:val="18"/>
              </w:rPr>
              <w:t>批发和零售业</w:t>
            </w: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75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26,098,007,059.01 </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60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hint="eastAsia"/>
                <w:sz w:val="18"/>
                <w:szCs w:val="18"/>
              </w:rPr>
              <w:t xml:space="preserve">   12.97 </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75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24,013,844,408.87</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60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11.98</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766" w:type="dxa"/>
            <w:tcBorders>
              <w:top w:val="nil"/>
              <w:left w:val="nil"/>
              <w:bottom w:val="nil"/>
              <w:right w:val="nil"/>
            </w:tcBorders>
            <w:shd w:val="clear" w:color="auto" w:fill="auto"/>
            <w:vAlign w:val="bottom"/>
          </w:tcPr>
          <w:p w:rsidR="00AD5BB5" w:rsidRDefault="00F87FF6">
            <w:pPr>
              <w:autoSpaceDE w:val="0"/>
              <w:autoSpaceDN w:val="0"/>
              <w:ind w:leftChars="88" w:left="365" w:hangingChars="100" w:hanging="180"/>
              <w:rPr>
                <w:rFonts w:ascii="Arial" w:eastAsia="黑体" w:hAnsi="Arial" w:cs="Arial"/>
                <w:sz w:val="18"/>
                <w:szCs w:val="18"/>
              </w:rPr>
            </w:pPr>
            <w:r>
              <w:rPr>
                <w:rFonts w:ascii="Arial" w:eastAsia="黑体" w:hAnsi="Arial" w:cs="Arial"/>
                <w:sz w:val="18"/>
                <w:szCs w:val="18"/>
              </w:rPr>
              <w:t>—</w:t>
            </w:r>
            <w:r>
              <w:rPr>
                <w:rFonts w:ascii="Arial" w:eastAsia="黑体" w:hAnsi="Arial" w:cs="Arial"/>
                <w:sz w:val="18"/>
                <w:szCs w:val="18"/>
              </w:rPr>
              <w:t>制造业</w:t>
            </w: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75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20,244,809,067.39 </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60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hint="eastAsia"/>
                <w:sz w:val="18"/>
                <w:szCs w:val="18"/>
              </w:rPr>
              <w:t xml:space="preserve">   10.06 </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75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20,752,997,743.16</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60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10.36</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766" w:type="dxa"/>
            <w:tcBorders>
              <w:top w:val="nil"/>
              <w:left w:val="nil"/>
              <w:bottom w:val="nil"/>
              <w:right w:val="nil"/>
            </w:tcBorders>
            <w:shd w:val="clear" w:color="auto" w:fill="auto"/>
            <w:vAlign w:val="bottom"/>
          </w:tcPr>
          <w:p w:rsidR="00AD5BB5" w:rsidRDefault="00F87FF6">
            <w:pPr>
              <w:autoSpaceDE w:val="0"/>
              <w:autoSpaceDN w:val="0"/>
              <w:ind w:leftChars="88" w:left="365" w:hangingChars="100" w:hanging="180"/>
              <w:rPr>
                <w:rFonts w:ascii="Arial" w:eastAsia="黑体" w:hAnsi="Arial" w:cs="Arial"/>
                <w:sz w:val="18"/>
                <w:szCs w:val="18"/>
              </w:rPr>
            </w:pPr>
            <w:r>
              <w:rPr>
                <w:rFonts w:ascii="Arial" w:eastAsia="黑体" w:hAnsi="Arial" w:cs="Arial"/>
                <w:sz w:val="18"/>
                <w:szCs w:val="18"/>
              </w:rPr>
              <w:t>—</w:t>
            </w:r>
            <w:r>
              <w:rPr>
                <w:rFonts w:ascii="Arial" w:eastAsia="黑体" w:hAnsi="Arial" w:cs="Arial"/>
                <w:sz w:val="18"/>
                <w:szCs w:val="18"/>
              </w:rPr>
              <w:t>租赁和商务服务业</w:t>
            </w: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75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15,378,002,813.18 </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60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hint="eastAsia"/>
                <w:sz w:val="18"/>
                <w:szCs w:val="18"/>
              </w:rPr>
              <w:t xml:space="preserve">    7.64 </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75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14,550,434,953.49</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60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7.26</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766" w:type="dxa"/>
            <w:tcBorders>
              <w:top w:val="nil"/>
              <w:left w:val="nil"/>
              <w:bottom w:val="nil"/>
              <w:right w:val="nil"/>
            </w:tcBorders>
            <w:shd w:val="clear" w:color="auto" w:fill="auto"/>
            <w:vAlign w:val="bottom"/>
          </w:tcPr>
          <w:p w:rsidR="00AD5BB5" w:rsidRDefault="00F87FF6">
            <w:pPr>
              <w:autoSpaceDE w:val="0"/>
              <w:autoSpaceDN w:val="0"/>
              <w:ind w:leftChars="88" w:left="365" w:hangingChars="100" w:hanging="180"/>
              <w:rPr>
                <w:rFonts w:ascii="Arial" w:eastAsia="黑体" w:hAnsi="Arial" w:cs="Arial"/>
                <w:sz w:val="18"/>
                <w:szCs w:val="18"/>
              </w:rPr>
            </w:pPr>
            <w:r>
              <w:rPr>
                <w:rFonts w:ascii="Arial" w:eastAsia="黑体" w:hAnsi="Arial" w:cs="Arial"/>
                <w:sz w:val="18"/>
                <w:szCs w:val="18"/>
              </w:rPr>
              <w:t>—</w:t>
            </w:r>
            <w:r>
              <w:rPr>
                <w:rFonts w:ascii="Arial" w:eastAsia="黑体" w:hAnsi="Arial" w:cs="Arial"/>
                <w:sz w:val="18"/>
                <w:szCs w:val="18"/>
              </w:rPr>
              <w:t>建筑业</w:t>
            </w: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75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13,213,427,696.95 </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60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hint="eastAsia"/>
                <w:sz w:val="18"/>
                <w:szCs w:val="18"/>
              </w:rPr>
              <w:t xml:space="preserve">    6.57 </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75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12,254,847,210.58</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60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6.12</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766" w:type="dxa"/>
            <w:tcBorders>
              <w:top w:val="nil"/>
              <w:left w:val="nil"/>
              <w:bottom w:val="nil"/>
              <w:right w:val="nil"/>
            </w:tcBorders>
            <w:shd w:val="clear" w:color="auto" w:fill="auto"/>
            <w:vAlign w:val="bottom"/>
          </w:tcPr>
          <w:p w:rsidR="00AD5BB5" w:rsidRDefault="00F87FF6">
            <w:pPr>
              <w:autoSpaceDE w:val="0"/>
              <w:autoSpaceDN w:val="0"/>
              <w:ind w:leftChars="88" w:left="365" w:hangingChars="100" w:hanging="180"/>
              <w:rPr>
                <w:rFonts w:ascii="Arial" w:eastAsia="黑体" w:hAnsi="Arial" w:cs="Arial"/>
                <w:sz w:val="18"/>
                <w:szCs w:val="18"/>
              </w:rPr>
            </w:pPr>
            <w:r>
              <w:rPr>
                <w:rFonts w:ascii="Arial" w:eastAsia="黑体" w:hAnsi="Arial" w:cs="Arial"/>
                <w:sz w:val="18"/>
                <w:szCs w:val="18"/>
              </w:rPr>
              <w:t>—</w:t>
            </w:r>
            <w:r>
              <w:rPr>
                <w:rFonts w:ascii="Arial" w:eastAsia="黑体" w:hAnsi="Arial" w:cs="Arial"/>
                <w:sz w:val="18"/>
                <w:szCs w:val="18"/>
              </w:rPr>
              <w:t>房地产业</w:t>
            </w: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75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7,341,901,202.37 </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60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hint="eastAsia"/>
                <w:sz w:val="18"/>
                <w:szCs w:val="18"/>
              </w:rPr>
              <w:t xml:space="preserve">    3.65 </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75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8,423,969,162.42</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60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4.20</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766" w:type="dxa"/>
            <w:tcBorders>
              <w:top w:val="nil"/>
              <w:left w:val="nil"/>
              <w:bottom w:val="nil"/>
              <w:right w:val="nil"/>
            </w:tcBorders>
            <w:shd w:val="clear" w:color="auto" w:fill="auto"/>
            <w:vAlign w:val="bottom"/>
          </w:tcPr>
          <w:p w:rsidR="00AD5BB5" w:rsidRDefault="00F87FF6">
            <w:pPr>
              <w:autoSpaceDE w:val="0"/>
              <w:autoSpaceDN w:val="0"/>
              <w:ind w:leftChars="88" w:left="365" w:hangingChars="100" w:hanging="180"/>
              <w:rPr>
                <w:rFonts w:ascii="Arial" w:eastAsia="黑体" w:hAnsi="Arial" w:cs="Arial"/>
                <w:sz w:val="18"/>
                <w:szCs w:val="18"/>
              </w:rPr>
            </w:pPr>
            <w:r>
              <w:rPr>
                <w:rFonts w:ascii="Arial" w:eastAsia="黑体" w:hAnsi="Arial" w:cs="Arial"/>
                <w:sz w:val="18"/>
                <w:szCs w:val="18"/>
              </w:rPr>
              <w:t>—</w:t>
            </w:r>
            <w:r>
              <w:rPr>
                <w:rFonts w:ascii="Arial" w:eastAsia="黑体" w:hAnsi="Arial" w:cs="Arial"/>
                <w:sz w:val="18"/>
                <w:szCs w:val="18"/>
              </w:rPr>
              <w:t>水利、环境和公共设施管理业</w:t>
            </w: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75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6,157,622,675.59 </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60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hint="eastAsia"/>
                <w:sz w:val="18"/>
                <w:szCs w:val="18"/>
              </w:rPr>
              <w:t xml:space="preserve">    3.06 </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75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7,619,334,266.31</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60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3.80</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766" w:type="dxa"/>
            <w:tcBorders>
              <w:top w:val="nil"/>
              <w:left w:val="nil"/>
              <w:bottom w:val="nil"/>
              <w:right w:val="nil"/>
            </w:tcBorders>
            <w:shd w:val="clear" w:color="auto" w:fill="auto"/>
            <w:vAlign w:val="bottom"/>
          </w:tcPr>
          <w:p w:rsidR="00AD5BB5" w:rsidRDefault="00F87FF6">
            <w:pPr>
              <w:autoSpaceDE w:val="0"/>
              <w:autoSpaceDN w:val="0"/>
              <w:ind w:leftChars="88" w:left="365" w:hangingChars="100" w:hanging="180"/>
              <w:rPr>
                <w:rFonts w:ascii="Arial" w:eastAsia="黑体" w:hAnsi="Arial" w:cs="Arial"/>
                <w:sz w:val="18"/>
                <w:szCs w:val="18"/>
              </w:rPr>
            </w:pPr>
            <w:r>
              <w:rPr>
                <w:rFonts w:ascii="Arial" w:eastAsia="黑体" w:hAnsi="Arial" w:cs="Arial"/>
                <w:sz w:val="18"/>
                <w:szCs w:val="18"/>
              </w:rPr>
              <w:t>—</w:t>
            </w:r>
            <w:r>
              <w:rPr>
                <w:rFonts w:ascii="Arial" w:eastAsia="黑体" w:hAnsi="Arial" w:cs="Arial"/>
                <w:sz w:val="18"/>
                <w:szCs w:val="18"/>
              </w:rPr>
              <w:t>住宿和餐饮业</w:t>
            </w: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75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5,465,125,560.44 </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60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hint="eastAsia"/>
                <w:sz w:val="18"/>
                <w:szCs w:val="18"/>
              </w:rPr>
              <w:t xml:space="preserve">    2.72 </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75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5,504,670,851.29</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60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2.75</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766" w:type="dxa"/>
            <w:tcBorders>
              <w:top w:val="nil"/>
              <w:left w:val="nil"/>
              <w:bottom w:val="nil"/>
              <w:right w:val="nil"/>
            </w:tcBorders>
            <w:shd w:val="clear" w:color="auto" w:fill="auto"/>
            <w:vAlign w:val="bottom"/>
          </w:tcPr>
          <w:p w:rsidR="00AD5BB5" w:rsidRDefault="00F87FF6">
            <w:pPr>
              <w:autoSpaceDE w:val="0"/>
              <w:autoSpaceDN w:val="0"/>
              <w:ind w:leftChars="88" w:left="365" w:hangingChars="100" w:hanging="180"/>
              <w:rPr>
                <w:rFonts w:ascii="Arial" w:eastAsia="黑体" w:hAnsi="Arial" w:cs="Arial"/>
                <w:sz w:val="18"/>
                <w:szCs w:val="18"/>
              </w:rPr>
            </w:pPr>
            <w:proofErr w:type="gramStart"/>
            <w:r>
              <w:rPr>
                <w:rFonts w:ascii="Arial" w:eastAsia="黑体" w:hAnsi="Arial" w:cs="Arial"/>
                <w:sz w:val="18"/>
                <w:szCs w:val="18"/>
              </w:rPr>
              <w:t>—</w:t>
            </w:r>
            <w:r>
              <w:rPr>
                <w:rFonts w:ascii="Arial" w:eastAsia="黑体" w:hAnsi="Arial" w:cs="Arial"/>
                <w:sz w:val="18"/>
                <w:szCs w:val="18"/>
              </w:rPr>
              <w:t>交通</w:t>
            </w:r>
            <w:proofErr w:type="gramEnd"/>
            <w:r>
              <w:rPr>
                <w:rFonts w:ascii="Arial" w:eastAsia="黑体" w:hAnsi="Arial" w:cs="Arial"/>
                <w:sz w:val="18"/>
                <w:szCs w:val="18"/>
              </w:rPr>
              <w:t>运输、仓储和邮政业</w:t>
            </w: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75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1,991,178,878.73 </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60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hint="eastAsia"/>
                <w:sz w:val="18"/>
                <w:szCs w:val="18"/>
              </w:rPr>
              <w:t xml:space="preserve">    0.99 </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75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2,135,404,533.93</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60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1.07</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766" w:type="dxa"/>
            <w:tcBorders>
              <w:top w:val="nil"/>
              <w:left w:val="nil"/>
              <w:bottom w:val="nil"/>
              <w:right w:val="nil"/>
            </w:tcBorders>
            <w:shd w:val="clear" w:color="auto" w:fill="auto"/>
            <w:vAlign w:val="bottom"/>
          </w:tcPr>
          <w:p w:rsidR="00AD5BB5" w:rsidRDefault="00F87FF6">
            <w:pPr>
              <w:autoSpaceDE w:val="0"/>
              <w:autoSpaceDN w:val="0"/>
              <w:ind w:leftChars="88" w:left="365" w:hangingChars="100" w:hanging="180"/>
              <w:rPr>
                <w:rFonts w:ascii="Arial" w:eastAsia="黑体" w:hAnsi="Arial" w:cs="Arial"/>
                <w:sz w:val="18"/>
                <w:szCs w:val="18"/>
              </w:rPr>
            </w:pPr>
            <w:r>
              <w:rPr>
                <w:rFonts w:ascii="Arial" w:eastAsia="黑体" w:hAnsi="Arial" w:cs="Arial"/>
                <w:sz w:val="18"/>
                <w:szCs w:val="18"/>
              </w:rPr>
              <w:t>—</w:t>
            </w:r>
            <w:r>
              <w:rPr>
                <w:rFonts w:ascii="Arial" w:eastAsia="黑体" w:hAnsi="Arial" w:cs="Arial" w:hint="eastAsia"/>
                <w:sz w:val="18"/>
                <w:szCs w:val="18"/>
              </w:rPr>
              <w:t>电力、热力、燃气及水生产和供应业</w:t>
            </w: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75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1,693,028,833.97 </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60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hint="eastAsia"/>
                <w:sz w:val="18"/>
                <w:szCs w:val="18"/>
              </w:rPr>
              <w:t xml:space="preserve">    0.84 </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75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hint="eastAsia"/>
                <w:sz w:val="18"/>
                <w:szCs w:val="18"/>
              </w:rPr>
              <w:t xml:space="preserve">      1,710,269,937.74</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60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0.85</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766" w:type="dxa"/>
            <w:tcBorders>
              <w:top w:val="nil"/>
              <w:left w:val="nil"/>
              <w:bottom w:val="nil"/>
              <w:right w:val="nil"/>
            </w:tcBorders>
            <w:shd w:val="clear" w:color="auto" w:fill="auto"/>
            <w:vAlign w:val="bottom"/>
          </w:tcPr>
          <w:p w:rsidR="00AD5BB5" w:rsidRDefault="00F87FF6">
            <w:pPr>
              <w:autoSpaceDE w:val="0"/>
              <w:autoSpaceDN w:val="0"/>
              <w:ind w:leftChars="88" w:left="365" w:hangingChars="100" w:hanging="180"/>
              <w:rPr>
                <w:rFonts w:ascii="Arial" w:eastAsia="黑体" w:hAnsi="Arial" w:cs="Arial"/>
                <w:sz w:val="18"/>
                <w:szCs w:val="18"/>
              </w:rPr>
            </w:pPr>
            <w:proofErr w:type="gramStart"/>
            <w:r>
              <w:rPr>
                <w:rFonts w:ascii="Arial" w:eastAsia="黑体" w:hAnsi="Arial" w:cs="Arial"/>
                <w:sz w:val="18"/>
                <w:szCs w:val="18"/>
              </w:rPr>
              <w:t>—</w:t>
            </w:r>
            <w:r>
              <w:rPr>
                <w:rFonts w:ascii="Arial" w:eastAsia="黑体" w:hAnsi="Arial" w:cs="Arial"/>
                <w:sz w:val="18"/>
                <w:szCs w:val="18"/>
              </w:rPr>
              <w:t>其他</w:t>
            </w:r>
            <w:proofErr w:type="gramEnd"/>
            <w:r>
              <w:rPr>
                <w:rFonts w:ascii="Arial" w:eastAsia="黑体" w:hAnsi="Arial" w:cs="Arial"/>
                <w:sz w:val="18"/>
                <w:szCs w:val="18"/>
              </w:rPr>
              <w:t>行业</w:t>
            </w: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759"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6,525,607,131.62 </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60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hint="eastAsia"/>
                <w:sz w:val="18"/>
                <w:szCs w:val="18"/>
              </w:rPr>
              <w:t xml:space="preserve">    3.23 </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759"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6,671,928,984.84</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60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3.33</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766" w:type="dxa"/>
            <w:tcBorders>
              <w:top w:val="nil"/>
              <w:left w:val="nil"/>
              <w:bottom w:val="nil"/>
              <w:right w:val="nil"/>
            </w:tcBorders>
            <w:shd w:val="clear" w:color="auto" w:fill="auto"/>
            <w:vAlign w:val="bottom"/>
          </w:tcPr>
          <w:p w:rsidR="00AD5BB5" w:rsidRDefault="00AD5BB5">
            <w:pPr>
              <w:autoSpaceDE w:val="0"/>
              <w:autoSpaceDN w:val="0"/>
              <w:ind w:left="270" w:hangingChars="150" w:hanging="270"/>
              <w:rPr>
                <w:rFonts w:ascii="Arial" w:eastAsia="黑体" w:hAnsi="Arial" w:cs="Arial"/>
                <w:sz w:val="18"/>
                <w:szCs w:val="18"/>
              </w:rPr>
            </w:pP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759"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607"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759"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607"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766" w:type="dxa"/>
            <w:tcBorders>
              <w:top w:val="nil"/>
              <w:left w:val="nil"/>
              <w:bottom w:val="nil"/>
              <w:right w:val="nil"/>
            </w:tcBorders>
            <w:shd w:val="clear" w:color="auto" w:fill="auto"/>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企业贷款和垫款</w:t>
            </w: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759"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104,108,710,919.25</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60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51.73</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759"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103,637,702,052.63</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60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51.72</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766" w:type="dxa"/>
            <w:tcBorders>
              <w:top w:val="nil"/>
              <w:left w:val="nil"/>
              <w:bottom w:val="nil"/>
              <w:right w:val="nil"/>
            </w:tcBorders>
            <w:shd w:val="clear" w:color="auto" w:fill="auto"/>
            <w:vAlign w:val="bottom"/>
          </w:tcPr>
          <w:p w:rsidR="00AD5BB5" w:rsidRDefault="00AD5BB5">
            <w:pPr>
              <w:autoSpaceDE w:val="0"/>
              <w:autoSpaceDN w:val="0"/>
              <w:ind w:left="270" w:hangingChars="150" w:hanging="270"/>
              <w:rPr>
                <w:rFonts w:ascii="Arial" w:eastAsia="黑体" w:hAnsi="Arial" w:cs="Arial"/>
                <w:sz w:val="18"/>
                <w:szCs w:val="18"/>
              </w:rPr>
            </w:pP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759"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607"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759"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607"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766" w:type="dxa"/>
            <w:tcBorders>
              <w:top w:val="nil"/>
              <w:left w:val="nil"/>
              <w:bottom w:val="nil"/>
              <w:right w:val="nil"/>
            </w:tcBorders>
            <w:shd w:val="clear" w:color="auto" w:fill="auto"/>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个人贷款和垫款</w:t>
            </w: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75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75,990,190,732.39</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60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37.76</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759"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76,693,825,723.25</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60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38.27</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766" w:type="dxa"/>
            <w:tcBorders>
              <w:top w:val="nil"/>
              <w:left w:val="nil"/>
              <w:bottom w:val="nil"/>
              <w:right w:val="nil"/>
            </w:tcBorders>
            <w:shd w:val="clear" w:color="auto" w:fill="auto"/>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票据贴现</w:t>
            </w: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759"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21,159,652,248.05</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60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10.51</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759"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20,053,606,082.79</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60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10.01</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766" w:type="dxa"/>
            <w:tcBorders>
              <w:top w:val="nil"/>
              <w:left w:val="nil"/>
              <w:bottom w:val="nil"/>
              <w:right w:val="nil"/>
            </w:tcBorders>
            <w:shd w:val="clear" w:color="auto" w:fill="auto"/>
            <w:vAlign w:val="bottom"/>
          </w:tcPr>
          <w:p w:rsidR="00AD5BB5" w:rsidRDefault="00AD5BB5">
            <w:pPr>
              <w:autoSpaceDE w:val="0"/>
              <w:autoSpaceDN w:val="0"/>
              <w:ind w:left="270" w:hangingChars="150" w:hanging="270"/>
              <w:rPr>
                <w:rFonts w:ascii="Arial" w:eastAsia="黑体" w:hAnsi="Arial" w:cs="Arial"/>
                <w:sz w:val="18"/>
                <w:szCs w:val="18"/>
              </w:rPr>
            </w:pP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759"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607"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759"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607"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766" w:type="dxa"/>
            <w:tcBorders>
              <w:top w:val="nil"/>
              <w:left w:val="nil"/>
              <w:bottom w:val="nil"/>
              <w:right w:val="nil"/>
            </w:tcBorders>
            <w:shd w:val="clear" w:color="auto" w:fill="auto"/>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合计</w:t>
            </w: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759" w:type="dxa"/>
            <w:tcBorders>
              <w:top w:val="nil"/>
              <w:left w:val="nil"/>
              <w:bottom w:val="doub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201,258,553,899.69</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60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100.00</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759" w:type="dxa"/>
            <w:tcBorders>
              <w:top w:val="nil"/>
              <w:left w:val="nil"/>
              <w:bottom w:val="doub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200,385,133,858.67</w:t>
            </w: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60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100.00</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bl>
    <w:p w:rsidR="00AD5BB5" w:rsidRDefault="00AD5BB5">
      <w:pPr>
        <w:overflowPunct w:val="0"/>
        <w:autoSpaceDE w:val="0"/>
        <w:autoSpaceDN w:val="0"/>
        <w:adjustRightInd w:val="0"/>
        <w:snapToGrid w:val="0"/>
        <w:ind w:left="720" w:hanging="720"/>
        <w:textAlignment w:val="bottom"/>
        <w:rPr>
          <w:rFonts w:ascii="Arial" w:eastAsia="黑体" w:hAnsi="Arial" w:cs="Arial"/>
          <w:b/>
          <w:bCs/>
          <w:szCs w:val="21"/>
        </w:rPr>
      </w:pPr>
    </w:p>
    <w:p w:rsidR="00AD5BB5" w:rsidRDefault="00F87FF6">
      <w:pPr>
        <w:overflowPunct w:val="0"/>
        <w:autoSpaceDE w:val="0"/>
        <w:autoSpaceDN w:val="0"/>
        <w:snapToGrid w:val="0"/>
        <w:ind w:left="720" w:hanging="720"/>
        <w:outlineLvl w:val="4"/>
        <w:rPr>
          <w:rFonts w:ascii="Arial" w:eastAsia="黑体" w:hAnsi="Arial" w:cs="Arial"/>
          <w:b/>
          <w:bCs/>
          <w:sz w:val="22"/>
          <w:szCs w:val="22"/>
        </w:rPr>
      </w:pPr>
      <w:bookmarkStart w:id="306" w:name="afsaddin_Section_bddb9d5c33824c22a9b6c98"/>
      <w:r>
        <w:rPr>
          <w:rFonts w:ascii="Arial" w:eastAsia="黑体" w:hAnsi="Arial" w:cs="Arial"/>
          <w:b/>
          <w:bCs/>
          <w:sz w:val="22"/>
          <w:szCs w:val="22"/>
        </w:rPr>
        <w:t>1.2</w:t>
      </w:r>
      <w:r>
        <w:rPr>
          <w:rFonts w:ascii="Arial" w:eastAsia="黑体" w:hAnsi="Arial" w:cs="Arial"/>
          <w:b/>
          <w:bCs/>
          <w:sz w:val="22"/>
          <w:szCs w:val="22"/>
        </w:rPr>
        <w:tab/>
      </w:r>
      <w:r>
        <w:rPr>
          <w:rFonts w:ascii="Arial" w:eastAsia="黑体" w:hAnsi="Arial" w:cs="Arial"/>
          <w:b/>
          <w:bCs/>
          <w:sz w:val="22"/>
          <w:szCs w:val="22"/>
        </w:rPr>
        <w:t>金融资产信用风险集中度分析</w:t>
      </w:r>
    </w:p>
    <w:bookmarkEnd w:id="306"/>
    <w:p w:rsidR="00AD5BB5" w:rsidRDefault="00AD5BB5">
      <w:pPr>
        <w:overflowPunct w:val="0"/>
        <w:autoSpaceDE w:val="0"/>
        <w:autoSpaceDN w:val="0"/>
        <w:snapToGrid w:val="0"/>
        <w:rPr>
          <w:rFonts w:ascii="Arial" w:eastAsia="黑体" w:hAnsi="Arial" w:cs="Arial"/>
          <w:sz w:val="16"/>
          <w:szCs w:val="22"/>
        </w:rPr>
      </w:pPr>
    </w:p>
    <w:p w:rsidR="00AD5BB5" w:rsidRDefault="00F87FF6">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bCs/>
          <w:sz w:val="20"/>
        </w:rPr>
      </w:pPr>
      <w:r>
        <w:rPr>
          <w:rFonts w:ascii="Arial" w:eastAsia="黑体" w:hAnsi="Arial" w:cs="Arial"/>
          <w:bCs/>
          <w:sz w:val="20"/>
        </w:rPr>
        <w:t>本集团发放贷款及垫款信用风险集中度，是指因借款人集中于某一行业或地区，或共同具备某些经济特征，通常使信用风险相应提高。（</w:t>
      </w:r>
      <w:r>
        <w:rPr>
          <w:rFonts w:ascii="Arial" w:eastAsia="黑体" w:hAnsi="Arial" w:cs="Arial"/>
          <w:bCs/>
          <w:sz w:val="20"/>
        </w:rPr>
        <w:t>1</w:t>
      </w:r>
      <w:r>
        <w:rPr>
          <w:rFonts w:ascii="Arial" w:eastAsia="黑体" w:hAnsi="Arial" w:cs="Arial"/>
          <w:bCs/>
          <w:sz w:val="20"/>
        </w:rPr>
        <w:t>）本集团发放贷款及垫款行业集中度相关分析详见附注八、</w:t>
      </w:r>
      <w:r>
        <w:rPr>
          <w:rFonts w:ascii="Arial" w:eastAsia="黑体" w:hAnsi="Arial" w:cs="Arial"/>
          <w:bCs/>
          <w:sz w:val="20"/>
        </w:rPr>
        <w:t>1</w:t>
      </w:r>
      <w:r>
        <w:rPr>
          <w:rFonts w:ascii="Arial" w:eastAsia="黑体" w:hAnsi="Arial" w:cs="Arial"/>
          <w:bCs/>
          <w:sz w:val="20"/>
        </w:rPr>
        <w:t>、（</w:t>
      </w:r>
      <w:r>
        <w:rPr>
          <w:rFonts w:ascii="Arial" w:eastAsia="黑体" w:hAnsi="Arial" w:cs="Arial"/>
          <w:bCs/>
          <w:sz w:val="20"/>
        </w:rPr>
        <w:t>2</w:t>
      </w:r>
      <w:r>
        <w:rPr>
          <w:rFonts w:ascii="Arial" w:eastAsia="黑体" w:hAnsi="Arial" w:cs="Arial"/>
          <w:bCs/>
          <w:sz w:val="20"/>
        </w:rPr>
        <w:t>）、</w:t>
      </w:r>
      <w:r>
        <w:rPr>
          <w:rFonts w:ascii="Arial" w:eastAsia="黑体" w:hAnsi="Arial" w:cs="Arial"/>
          <w:bCs/>
          <w:sz w:val="20"/>
        </w:rPr>
        <w:t>1.1</w:t>
      </w:r>
      <w:r>
        <w:rPr>
          <w:rFonts w:ascii="Arial" w:eastAsia="黑体" w:hAnsi="Arial" w:cs="Arial"/>
          <w:bCs/>
          <w:sz w:val="20"/>
        </w:rPr>
        <w:t>；（</w:t>
      </w:r>
      <w:r>
        <w:rPr>
          <w:rFonts w:ascii="Arial" w:eastAsia="黑体" w:hAnsi="Arial" w:cs="Arial"/>
          <w:bCs/>
          <w:sz w:val="20"/>
        </w:rPr>
        <w:t>2</w:t>
      </w:r>
      <w:r>
        <w:rPr>
          <w:rFonts w:ascii="Arial" w:eastAsia="黑体" w:hAnsi="Arial" w:cs="Arial"/>
          <w:bCs/>
          <w:sz w:val="20"/>
        </w:rPr>
        <w:t>）本集团属于区域性城市商业银行，目前虽有九家异地分行及一家子公司，但除重庆分行外均位于福建省内，受限于地域经营，区域信贷风险集中度较高。</w:t>
      </w:r>
    </w:p>
    <w:p w:rsidR="00AD5BB5" w:rsidRDefault="00AD5BB5">
      <w:pPr>
        <w:overflowPunct w:val="0"/>
        <w:autoSpaceDE w:val="0"/>
        <w:autoSpaceDN w:val="0"/>
        <w:adjustRightInd w:val="0"/>
        <w:snapToGrid w:val="0"/>
        <w:textAlignment w:val="bottom"/>
        <w:rPr>
          <w:rFonts w:ascii="Arial" w:eastAsia="黑体" w:hAnsi="Arial" w:cs="Arial"/>
          <w:b/>
          <w:bCs/>
          <w:snapToGrid w:val="0"/>
          <w:szCs w:val="21"/>
        </w:rPr>
      </w:pPr>
    </w:p>
    <w:p w:rsidR="00AD5BB5" w:rsidRDefault="00AD5BB5">
      <w:pPr>
        <w:overflowPunct w:val="0"/>
        <w:autoSpaceDE w:val="0"/>
        <w:autoSpaceDN w:val="0"/>
        <w:snapToGrid w:val="0"/>
        <w:rPr>
          <w:rFonts w:ascii="Arial" w:eastAsia="黑体" w:hAnsi="Arial" w:cs="Arial"/>
          <w:b/>
          <w:bCs/>
          <w:snapToGrid w:val="0"/>
          <w:szCs w:val="21"/>
        </w:rPr>
      </w:pPr>
    </w:p>
    <w:p w:rsidR="00AD5BB5" w:rsidRDefault="00AD5BB5">
      <w:pPr>
        <w:overflowPunct w:val="0"/>
        <w:autoSpaceDE w:val="0"/>
        <w:autoSpaceDN w:val="0"/>
        <w:snapToGrid w:val="0"/>
        <w:rPr>
          <w:rFonts w:ascii="Arial" w:eastAsia="黑体" w:hAnsi="Arial" w:cs="Arial"/>
          <w:b/>
          <w:bCs/>
          <w:snapToGrid w:val="0"/>
          <w:szCs w:val="21"/>
        </w:rPr>
      </w:pPr>
    </w:p>
    <w:p w:rsidR="00AD5BB5" w:rsidRDefault="00AD5BB5">
      <w:pPr>
        <w:overflowPunct w:val="0"/>
        <w:autoSpaceDE w:val="0"/>
        <w:autoSpaceDN w:val="0"/>
        <w:snapToGrid w:val="0"/>
        <w:rPr>
          <w:rFonts w:ascii="Arial" w:eastAsia="黑体" w:hAnsi="Arial" w:cs="Arial"/>
          <w:b/>
          <w:bCs/>
          <w:snapToGrid w:val="0"/>
          <w:szCs w:val="21"/>
        </w:rPr>
      </w:pPr>
    </w:p>
    <w:p w:rsidR="00AD5BB5" w:rsidRDefault="00AD5BB5">
      <w:pPr>
        <w:overflowPunct w:val="0"/>
        <w:autoSpaceDE w:val="0"/>
        <w:autoSpaceDN w:val="0"/>
        <w:snapToGrid w:val="0"/>
        <w:rPr>
          <w:rFonts w:ascii="Arial" w:eastAsia="黑体" w:hAnsi="Arial" w:cs="Arial"/>
          <w:b/>
          <w:bCs/>
          <w:snapToGrid w:val="0"/>
          <w:szCs w:val="21"/>
        </w:rPr>
      </w:pPr>
    </w:p>
    <w:p w:rsidR="00AD5BB5" w:rsidRDefault="00AD5BB5">
      <w:pPr>
        <w:overflowPunct w:val="0"/>
        <w:autoSpaceDE w:val="0"/>
        <w:autoSpaceDN w:val="0"/>
        <w:snapToGrid w:val="0"/>
        <w:rPr>
          <w:rFonts w:ascii="Arial" w:eastAsia="黑体" w:hAnsi="Arial" w:cs="Arial"/>
          <w:b/>
          <w:bCs/>
          <w:snapToGrid w:val="0"/>
          <w:szCs w:val="21"/>
        </w:rPr>
      </w:pPr>
    </w:p>
    <w:p w:rsidR="00AD5BB5" w:rsidRDefault="00AD5BB5">
      <w:pPr>
        <w:overflowPunct w:val="0"/>
        <w:autoSpaceDE w:val="0"/>
        <w:autoSpaceDN w:val="0"/>
        <w:snapToGrid w:val="0"/>
        <w:rPr>
          <w:rFonts w:ascii="Arial" w:eastAsia="黑体" w:hAnsi="Arial" w:cs="Arial"/>
          <w:b/>
          <w:bCs/>
          <w:snapToGrid w:val="0"/>
          <w:szCs w:val="21"/>
        </w:rPr>
      </w:pPr>
    </w:p>
    <w:p w:rsidR="00AD5BB5" w:rsidRDefault="00AD5BB5">
      <w:pPr>
        <w:overflowPunct w:val="0"/>
        <w:autoSpaceDE w:val="0"/>
        <w:autoSpaceDN w:val="0"/>
        <w:snapToGrid w:val="0"/>
        <w:rPr>
          <w:rFonts w:ascii="Arial" w:eastAsia="黑体" w:hAnsi="Arial" w:cs="Arial"/>
          <w:b/>
          <w:bCs/>
          <w:snapToGrid w:val="0"/>
          <w:szCs w:val="21"/>
        </w:rPr>
      </w:pPr>
    </w:p>
    <w:p w:rsidR="00AD5BB5" w:rsidRDefault="00AD5BB5">
      <w:pPr>
        <w:overflowPunct w:val="0"/>
        <w:autoSpaceDE w:val="0"/>
        <w:autoSpaceDN w:val="0"/>
        <w:snapToGrid w:val="0"/>
        <w:rPr>
          <w:rFonts w:ascii="Arial" w:eastAsia="黑体" w:hAnsi="Arial" w:cs="Arial"/>
          <w:b/>
          <w:bCs/>
          <w:snapToGrid w:val="0"/>
          <w:szCs w:val="21"/>
        </w:rPr>
      </w:pPr>
    </w:p>
    <w:p w:rsidR="00AD5BB5" w:rsidRDefault="00AD5BB5">
      <w:pPr>
        <w:overflowPunct w:val="0"/>
        <w:autoSpaceDE w:val="0"/>
        <w:autoSpaceDN w:val="0"/>
        <w:snapToGrid w:val="0"/>
        <w:rPr>
          <w:rFonts w:ascii="Arial" w:eastAsia="黑体" w:hAnsi="Arial" w:cs="Arial"/>
          <w:b/>
          <w:bCs/>
          <w:snapToGrid w:val="0"/>
          <w:szCs w:val="21"/>
        </w:rPr>
      </w:pPr>
    </w:p>
    <w:p w:rsidR="00AD5BB5" w:rsidRDefault="00AD5BB5">
      <w:pPr>
        <w:overflowPunct w:val="0"/>
        <w:autoSpaceDE w:val="0"/>
        <w:autoSpaceDN w:val="0"/>
        <w:snapToGrid w:val="0"/>
        <w:rPr>
          <w:rFonts w:ascii="Arial" w:eastAsia="黑体" w:hAnsi="Arial" w:cs="Arial"/>
          <w:b/>
          <w:bCs/>
          <w:snapToGrid w:val="0"/>
          <w:szCs w:val="21"/>
        </w:rPr>
      </w:pPr>
    </w:p>
    <w:p w:rsidR="00AD5BB5" w:rsidRDefault="00AD5BB5">
      <w:pPr>
        <w:overflowPunct w:val="0"/>
        <w:autoSpaceDE w:val="0"/>
        <w:autoSpaceDN w:val="0"/>
        <w:snapToGrid w:val="0"/>
        <w:rPr>
          <w:rFonts w:ascii="Arial" w:eastAsia="黑体" w:hAnsi="Arial" w:cs="Arial"/>
        </w:rPr>
      </w:pPr>
    </w:p>
    <w:p w:rsidR="00AD5BB5" w:rsidRDefault="00AD5BB5">
      <w:pPr>
        <w:overflowPunct w:val="0"/>
        <w:autoSpaceDE w:val="0"/>
        <w:autoSpaceDN w:val="0"/>
        <w:snapToGrid w:val="0"/>
        <w:rPr>
          <w:rFonts w:ascii="Arial" w:eastAsia="黑体" w:hAnsi="Arial" w:cs="Arial"/>
        </w:rPr>
      </w:pPr>
    </w:p>
    <w:p w:rsidR="00AD5BB5" w:rsidRDefault="00F87FF6">
      <w:pPr>
        <w:overflowPunct w:val="0"/>
        <w:autoSpaceDE w:val="0"/>
        <w:autoSpaceDN w:val="0"/>
        <w:snapToGrid w:val="0"/>
        <w:ind w:left="720" w:hanging="720"/>
        <w:rPr>
          <w:rFonts w:ascii="Arial" w:eastAsia="黑体" w:hAnsi="Arial" w:cs="Arial"/>
          <w:b/>
        </w:rPr>
      </w:pPr>
      <w:bookmarkStart w:id="307" w:name="afsaddin_WithXu_a3d82df4b8fc418db2c9b37a"/>
      <w:r>
        <w:rPr>
          <w:rFonts w:ascii="Arial" w:eastAsia="黑体" w:hAnsi="Arial" w:cs="Arial"/>
          <w:b/>
        </w:rPr>
        <w:t>八、</w:t>
      </w:r>
      <w:r>
        <w:rPr>
          <w:rFonts w:ascii="Arial" w:eastAsia="黑体" w:hAnsi="Arial" w:cs="Arial"/>
          <w:b/>
        </w:rPr>
        <w:tab/>
      </w:r>
      <w:r>
        <w:rPr>
          <w:rFonts w:ascii="Arial" w:eastAsia="黑体" w:hAnsi="Arial" w:cs="Arial"/>
          <w:b/>
        </w:rPr>
        <w:t>金融工具及其风险分析（续）</w:t>
      </w:r>
      <w:bookmarkEnd w:id="307"/>
    </w:p>
    <w:p w:rsidR="00AD5BB5" w:rsidRDefault="00AD5BB5">
      <w:pPr>
        <w:overflowPunct w:val="0"/>
        <w:autoSpaceDE w:val="0"/>
        <w:autoSpaceDN w:val="0"/>
        <w:snapToGrid w:val="0"/>
        <w:rPr>
          <w:rFonts w:ascii="Arial" w:eastAsia="黑体" w:hAnsi="Arial" w:cs="Arial"/>
        </w:rPr>
      </w:pPr>
    </w:p>
    <w:p w:rsidR="00AD5BB5" w:rsidRDefault="00F87FF6">
      <w:pPr>
        <w:overflowPunct w:val="0"/>
        <w:autoSpaceDE w:val="0"/>
        <w:autoSpaceDN w:val="0"/>
        <w:snapToGrid w:val="0"/>
        <w:ind w:left="720" w:hanging="720"/>
        <w:rPr>
          <w:rFonts w:ascii="Arial" w:eastAsia="黑体" w:hAnsi="Arial" w:cs="Arial"/>
          <w:b/>
        </w:rPr>
      </w:pPr>
      <w:bookmarkStart w:id="308" w:name="afsaddin_WithXu_6186e4cdd9ae4bd8bb482da1"/>
      <w:r>
        <w:rPr>
          <w:rFonts w:ascii="Arial" w:eastAsia="黑体" w:hAnsi="Arial" w:cs="Arial"/>
          <w:b/>
        </w:rPr>
        <w:t>1.</w:t>
      </w:r>
      <w:r>
        <w:rPr>
          <w:rFonts w:ascii="Arial" w:eastAsia="黑体" w:hAnsi="Arial" w:cs="Arial"/>
          <w:b/>
        </w:rPr>
        <w:tab/>
      </w:r>
      <w:r>
        <w:rPr>
          <w:rFonts w:ascii="Arial" w:eastAsia="黑体" w:hAnsi="Arial" w:cs="Arial"/>
          <w:b/>
        </w:rPr>
        <w:t>信用风险（续）</w:t>
      </w:r>
      <w:bookmarkEnd w:id="308"/>
    </w:p>
    <w:p w:rsidR="00AD5BB5" w:rsidRDefault="00AD5BB5">
      <w:pPr>
        <w:overflowPunct w:val="0"/>
        <w:autoSpaceDE w:val="0"/>
        <w:autoSpaceDN w:val="0"/>
        <w:snapToGrid w:val="0"/>
        <w:rPr>
          <w:rFonts w:ascii="Arial" w:eastAsia="黑体" w:hAnsi="Arial" w:cs="Arial"/>
        </w:rPr>
      </w:pPr>
    </w:p>
    <w:p w:rsidR="00AD5BB5" w:rsidRDefault="00F87FF6">
      <w:pPr>
        <w:overflowPunct w:val="0"/>
        <w:autoSpaceDE w:val="0"/>
        <w:autoSpaceDN w:val="0"/>
        <w:snapToGrid w:val="0"/>
        <w:ind w:left="720" w:hanging="845"/>
        <w:rPr>
          <w:rFonts w:ascii="Arial" w:eastAsia="黑体" w:hAnsi="Arial" w:cs="Arial"/>
          <w:b/>
        </w:rPr>
      </w:pPr>
      <w:bookmarkStart w:id="309" w:name="afsaddin_WithXu_c03c2d6b54df4a87bbf3a2c1"/>
      <w:r>
        <w:rPr>
          <w:rFonts w:ascii="Arial" w:eastAsia="黑体" w:hAnsi="Arial" w:cs="Arial"/>
          <w:b/>
        </w:rPr>
        <w:t>（</w:t>
      </w:r>
      <w:r>
        <w:rPr>
          <w:rFonts w:ascii="Arial" w:eastAsia="黑体" w:hAnsi="Arial" w:cs="Arial"/>
          <w:b/>
        </w:rPr>
        <w:t>2</w:t>
      </w:r>
      <w:r>
        <w:rPr>
          <w:rFonts w:ascii="Arial" w:eastAsia="黑体" w:hAnsi="Arial" w:cs="Arial"/>
          <w:b/>
        </w:rPr>
        <w:t>）</w:t>
      </w:r>
      <w:r>
        <w:rPr>
          <w:rFonts w:ascii="Arial" w:eastAsia="黑体" w:hAnsi="Arial" w:cs="Arial"/>
          <w:b/>
        </w:rPr>
        <w:tab/>
      </w:r>
      <w:r>
        <w:rPr>
          <w:rFonts w:ascii="Arial" w:eastAsia="黑体" w:hAnsi="Arial" w:cs="Arial"/>
          <w:b/>
        </w:rPr>
        <w:t>信用风险分析（续）</w:t>
      </w:r>
      <w:bookmarkEnd w:id="309"/>
    </w:p>
    <w:p w:rsidR="00AD5BB5" w:rsidRDefault="00AD5BB5">
      <w:pPr>
        <w:overflowPunct w:val="0"/>
        <w:autoSpaceDE w:val="0"/>
        <w:autoSpaceDN w:val="0"/>
        <w:snapToGrid w:val="0"/>
        <w:rPr>
          <w:rFonts w:ascii="Arial" w:eastAsia="黑体" w:hAnsi="Arial" w:cs="Arial"/>
        </w:rPr>
      </w:pPr>
    </w:p>
    <w:p w:rsidR="00AD5BB5" w:rsidRDefault="00F87FF6">
      <w:pPr>
        <w:overflowPunct w:val="0"/>
        <w:autoSpaceDE w:val="0"/>
        <w:autoSpaceDN w:val="0"/>
        <w:snapToGrid w:val="0"/>
        <w:ind w:left="720" w:hanging="720"/>
        <w:rPr>
          <w:rFonts w:ascii="Arial" w:eastAsia="黑体" w:hAnsi="Arial" w:cs="Arial"/>
          <w:b/>
        </w:rPr>
      </w:pPr>
      <w:bookmarkStart w:id="310" w:name="afsaddin_WithXu_b28e1a038c554e1f8d77bb60"/>
      <w:r>
        <w:rPr>
          <w:rFonts w:ascii="Arial" w:eastAsia="黑体" w:hAnsi="Arial" w:cs="Arial"/>
          <w:b/>
        </w:rPr>
        <w:t>1.3</w:t>
      </w:r>
      <w:r>
        <w:rPr>
          <w:rFonts w:ascii="Arial" w:eastAsia="黑体" w:hAnsi="Arial" w:cs="Arial"/>
          <w:b/>
        </w:rPr>
        <w:tab/>
      </w:r>
      <w:r>
        <w:rPr>
          <w:rFonts w:ascii="Arial" w:eastAsia="黑体" w:hAnsi="Arial" w:cs="Arial"/>
          <w:b/>
        </w:rPr>
        <w:t>信用风险敞口</w:t>
      </w:r>
      <w:bookmarkEnd w:id="310"/>
    </w:p>
    <w:p w:rsidR="00AD5BB5" w:rsidRDefault="00AD5BB5">
      <w:pPr>
        <w:overflowPunct w:val="0"/>
        <w:autoSpaceDE w:val="0"/>
        <w:autoSpaceDN w:val="0"/>
        <w:snapToGrid w:val="0"/>
        <w:ind w:left="720" w:hanging="720"/>
        <w:rPr>
          <w:rFonts w:ascii="Arial" w:eastAsia="黑体" w:hAnsi="Arial" w:cs="Arial"/>
          <w:b/>
        </w:rPr>
      </w:pPr>
    </w:p>
    <w:p w:rsidR="00AD5BB5" w:rsidRDefault="00F87FF6">
      <w:pPr>
        <w:overflowPunct w:val="0"/>
        <w:autoSpaceDE w:val="0"/>
        <w:autoSpaceDN w:val="0"/>
        <w:snapToGrid w:val="0"/>
        <w:rPr>
          <w:rFonts w:ascii="Arial" w:eastAsia="黑体" w:hAnsi="Arial" w:cs="Arial"/>
          <w:b/>
        </w:rPr>
      </w:pPr>
      <w:r>
        <w:rPr>
          <w:rFonts w:ascii="Arial" w:eastAsia="黑体" w:hAnsi="Arial" w:cs="Arial"/>
          <w:szCs w:val="21"/>
        </w:rPr>
        <w:t>于资产负债表日，本集团不考虑任何可利用的抵押物及其他信用增</w:t>
      </w:r>
      <w:proofErr w:type="gramStart"/>
      <w:r>
        <w:rPr>
          <w:rFonts w:ascii="Arial" w:eastAsia="黑体" w:hAnsi="Arial" w:cs="Arial"/>
          <w:szCs w:val="21"/>
        </w:rPr>
        <w:t>级措施</w:t>
      </w:r>
      <w:proofErr w:type="gramEnd"/>
      <w:r>
        <w:rPr>
          <w:rFonts w:ascii="Arial" w:eastAsia="黑体" w:hAnsi="Arial" w:cs="Arial"/>
          <w:szCs w:val="21"/>
        </w:rPr>
        <w:t>的最大信用风险敞口情况如下：</w:t>
      </w:r>
    </w:p>
    <w:p w:rsidR="00AD5BB5" w:rsidRDefault="00AD5BB5">
      <w:pPr>
        <w:overflowPunct w:val="0"/>
        <w:autoSpaceDE w:val="0"/>
        <w:autoSpaceDN w:val="0"/>
        <w:snapToGrid w:val="0"/>
        <w:rPr>
          <w:rFonts w:ascii="Arial" w:eastAsia="黑体" w:hAnsi="Arial" w:cs="Arial"/>
        </w:rPr>
      </w:pPr>
    </w:p>
    <w:tbl>
      <w:tblPr>
        <w:tblW w:w="0" w:type="auto"/>
        <w:tblLayout w:type="fixed"/>
        <w:tblCellMar>
          <w:left w:w="0" w:type="dxa"/>
          <w:right w:w="0" w:type="dxa"/>
        </w:tblCellMar>
        <w:tblLook w:val="04A0" w:firstRow="1" w:lastRow="0" w:firstColumn="1" w:lastColumn="0" w:noHBand="0" w:noVBand="1"/>
        <w:tblCaption w:val="d5f87cfd-070d-4661-ac94-853846066471"/>
        <w:tblDescription w:val="{&quot;UUID&quot;:&quot;afsaddin_tabledata_2_56437_d5f87cfd-070d-4661-ac94-853846066471&quot;,&quot;TitleRowCount&quot;:2,&quot;SplitedTable&quot;:false,&quot;FirstTableId&quot;:&quot;d5f87cfd-070d-4661-ac94-853846066471&quot;}"/>
      </w:tblPr>
      <w:tblGrid>
        <w:gridCol w:w="3878"/>
        <w:gridCol w:w="112"/>
        <w:gridCol w:w="1987"/>
        <w:gridCol w:w="112"/>
        <w:gridCol w:w="112"/>
        <w:gridCol w:w="1984"/>
        <w:gridCol w:w="112"/>
      </w:tblGrid>
      <w:tr w:rsidR="00AD5BB5">
        <w:tc>
          <w:tcPr>
            <w:tcW w:w="3878"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bookmarkStart w:id="311" w:name="afsaddin_WithXu_adf4ac3d4da445eb909c8810"/>
            <w:bookmarkStart w:id="312" w:name="afsaddin_WithXu_eb5a75e38b0049988d638df2"/>
            <w:bookmarkStart w:id="313" w:name="afsaddin_WithXu_e5e3669bbe7541c0a96663d5"/>
            <w:bookmarkStart w:id="314" w:name="afsaddin_WithXu_daab844d313249e0bee7fee6"/>
            <w:bookmarkEnd w:id="311"/>
            <w:bookmarkEnd w:id="312"/>
            <w:bookmarkEnd w:id="313"/>
            <w:bookmarkEnd w:id="314"/>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当期资产负债表日</w:instrText>
            </w:r>
            <w:r>
              <w:rPr>
                <w:rFonts w:ascii="Arial" w:eastAsia="黑体" w:hAnsi="Arial" w:cs="Arial"/>
                <w:szCs w:val="21"/>
              </w:rPr>
              <w:instrText xml:space="preserve"> </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t>年</w:t>
            </w:r>
            <w:r>
              <w:rPr>
                <w:rFonts w:ascii="Arial" w:eastAsia="黑体" w:hAnsi="Arial" w:cs="Arial"/>
                <w:szCs w:val="21"/>
              </w:rPr>
              <w:t>6</w:t>
            </w:r>
            <w:r>
              <w:rPr>
                <w:rFonts w:ascii="Arial" w:eastAsia="黑体" w:hAnsi="Arial" w:cs="Arial"/>
                <w:szCs w:val="21"/>
              </w:rPr>
              <w:t>月</w:t>
            </w:r>
            <w:r>
              <w:rPr>
                <w:rFonts w:ascii="Arial" w:eastAsia="黑体" w:hAnsi="Arial" w:cs="Arial"/>
                <w:szCs w:val="21"/>
              </w:rPr>
              <w:t>30</w:t>
            </w:r>
            <w:r>
              <w:rPr>
                <w:rFonts w:ascii="Arial" w:eastAsia="黑体" w:hAnsi="Arial" w:cs="Arial"/>
                <w:szCs w:val="21"/>
              </w:rPr>
              <w:t>日</w:t>
            </w:r>
            <w:r>
              <w:rPr>
                <w:rFonts w:ascii="Arial" w:eastAsia="黑体" w:hAnsi="Arial" w:cs="Arial"/>
                <w:szCs w:val="21"/>
              </w:rPr>
              <w:fldChar w:fldCharType="end"/>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2022</w:t>
            </w:r>
            <w:r>
              <w:rPr>
                <w:rFonts w:ascii="Arial" w:eastAsia="黑体" w:hAnsi="Arial" w:cs="Arial"/>
                <w:szCs w:val="21"/>
              </w:rPr>
              <w:t>年</w:t>
            </w:r>
            <w:r>
              <w:rPr>
                <w:rFonts w:ascii="Arial" w:eastAsia="黑体" w:hAnsi="Arial" w:cs="Arial"/>
                <w:szCs w:val="21"/>
              </w:rPr>
              <w:t>12</w:t>
            </w:r>
            <w:r>
              <w:rPr>
                <w:rFonts w:ascii="Arial" w:eastAsia="黑体" w:hAnsi="Arial" w:cs="Arial"/>
                <w:szCs w:val="21"/>
              </w:rPr>
              <w:t>月</w:t>
            </w:r>
            <w:r>
              <w:rPr>
                <w:rFonts w:ascii="Arial" w:eastAsia="黑体" w:hAnsi="Arial" w:cs="Arial"/>
                <w:szCs w:val="21"/>
              </w:rPr>
              <w:t>31</w:t>
            </w:r>
            <w:r>
              <w:rPr>
                <w:rFonts w:ascii="Arial" w:eastAsia="黑体" w:hAnsi="Arial" w:cs="Arial"/>
                <w:szCs w:val="21"/>
              </w:rPr>
              <w:t>日</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存放中央银行款项</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21,306,408,833.52</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29,575,939,967.87</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存放同业及其他金融机构款项</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6,444,699,119.52</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10,107,660,595.11</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拆出资金</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17,675,663,248.86</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13,869,536,648.33</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买入返售金融资产</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1,712,499,474.63</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16,079,751,316.94</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发放贷款及垫款</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195,295,223,972.61</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194,155,097,541.24</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金融投资：</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F87FF6">
            <w:pPr>
              <w:autoSpaceDE w:val="0"/>
              <w:autoSpaceDN w:val="0"/>
              <w:ind w:leftChars="102" w:left="424" w:hangingChars="100" w:hanging="210"/>
              <w:rPr>
                <w:rFonts w:ascii="Arial" w:eastAsia="黑体" w:hAnsi="Arial" w:cs="Arial"/>
                <w:szCs w:val="21"/>
              </w:rPr>
            </w:pPr>
            <w:proofErr w:type="gramStart"/>
            <w:r>
              <w:rPr>
                <w:rFonts w:ascii="Arial" w:eastAsia="黑体" w:hAnsi="Arial" w:cs="Arial"/>
                <w:szCs w:val="21"/>
              </w:rPr>
              <w:t>—</w:t>
            </w:r>
            <w:r>
              <w:rPr>
                <w:rFonts w:ascii="Arial" w:eastAsia="黑体" w:hAnsi="Arial" w:cs="Arial"/>
                <w:szCs w:val="21"/>
              </w:rPr>
              <w:t>交易</w:t>
            </w:r>
            <w:proofErr w:type="gramEnd"/>
            <w:r>
              <w:rPr>
                <w:rFonts w:ascii="Arial" w:eastAsia="黑体" w:hAnsi="Arial" w:cs="Arial"/>
                <w:szCs w:val="21"/>
              </w:rPr>
              <w:t>性金融资产</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14,516,923,304.31</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15,749,732,446.14</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F87FF6">
            <w:pPr>
              <w:autoSpaceDE w:val="0"/>
              <w:autoSpaceDN w:val="0"/>
              <w:ind w:leftChars="102" w:left="424" w:hangingChars="100" w:hanging="210"/>
              <w:rPr>
                <w:rFonts w:ascii="Arial" w:eastAsia="黑体" w:hAnsi="Arial" w:cs="Arial"/>
                <w:szCs w:val="21"/>
              </w:rPr>
            </w:pPr>
            <w:r>
              <w:rPr>
                <w:rFonts w:ascii="Arial" w:eastAsia="黑体" w:hAnsi="Arial" w:cs="Arial"/>
                <w:szCs w:val="21"/>
              </w:rPr>
              <w:t>—</w:t>
            </w:r>
            <w:r>
              <w:rPr>
                <w:rFonts w:ascii="Arial" w:eastAsia="黑体" w:hAnsi="Arial" w:cs="Arial"/>
                <w:szCs w:val="21"/>
              </w:rPr>
              <w:t>债权投资</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49,917,651,439.32</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45,044,163,133.19</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F87FF6">
            <w:pPr>
              <w:autoSpaceDE w:val="0"/>
              <w:autoSpaceDN w:val="0"/>
              <w:ind w:leftChars="102" w:left="424" w:hangingChars="100" w:hanging="210"/>
              <w:rPr>
                <w:rFonts w:ascii="Arial" w:eastAsia="黑体" w:hAnsi="Arial" w:cs="Arial"/>
                <w:szCs w:val="21"/>
              </w:rPr>
            </w:pPr>
            <w:proofErr w:type="gramStart"/>
            <w:r>
              <w:rPr>
                <w:rFonts w:ascii="Arial" w:eastAsia="黑体" w:hAnsi="Arial" w:cs="Arial"/>
                <w:szCs w:val="21"/>
              </w:rPr>
              <w:t>—</w:t>
            </w:r>
            <w:r>
              <w:rPr>
                <w:rFonts w:ascii="Arial" w:eastAsia="黑体" w:hAnsi="Arial" w:cs="Arial"/>
                <w:szCs w:val="21"/>
              </w:rPr>
              <w:t>其他</w:t>
            </w:r>
            <w:proofErr w:type="gramEnd"/>
            <w:r>
              <w:rPr>
                <w:rFonts w:ascii="Arial" w:eastAsia="黑体" w:hAnsi="Arial" w:cs="Arial"/>
                <w:szCs w:val="21"/>
              </w:rPr>
              <w:t>债权投资</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38,698,026,779.20</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39,299,346,153.82</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其他金融资产</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1,003,523,753.00</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745,379,675.01</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表内信用风险敞口</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346,570,619,924.97</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364,626,607,477.65</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承诺事项</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51,504,953,192.69</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71,110,072,928.96</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最大信用风险敞口</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398,075,573,117.66</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435,736,680,406.61</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bl>
    <w:p w:rsidR="00AD5BB5" w:rsidRDefault="00AD5BB5">
      <w:pPr>
        <w:overflowPunct w:val="0"/>
        <w:autoSpaceDE w:val="0"/>
        <w:autoSpaceDN w:val="0"/>
        <w:snapToGrid w:val="0"/>
        <w:ind w:left="743"/>
        <w:rPr>
          <w:rFonts w:ascii="Arial" w:eastAsia="黑体" w:hAnsi="Arial" w:cs="Arial"/>
          <w:sz w:val="18"/>
        </w:rPr>
      </w:pPr>
    </w:p>
    <w:p w:rsidR="00AD5BB5" w:rsidRDefault="00AD5BB5">
      <w:pPr>
        <w:overflowPunct w:val="0"/>
        <w:autoSpaceDE w:val="0"/>
        <w:autoSpaceDN w:val="0"/>
        <w:rPr>
          <w:rFonts w:ascii="Arial" w:eastAsia="黑体" w:hAnsi="Arial" w:cs="Arial"/>
          <w:snapToGrid w:val="0"/>
          <w:szCs w:val="21"/>
        </w:rPr>
        <w:sectPr w:rsidR="00AD5BB5">
          <w:headerReference w:type="even" r:id="rId52"/>
          <w:headerReference w:type="default" r:id="rId53"/>
          <w:headerReference w:type="first" r:id="rId54"/>
          <w:pgSz w:w="11907" w:h="16840"/>
          <w:pgMar w:top="1440" w:right="1884" w:bottom="1440" w:left="1797" w:header="720" w:footer="720" w:gutter="0"/>
          <w:cols w:space="720"/>
          <w:titlePg/>
          <w:docGrid w:linePitch="360"/>
        </w:sectPr>
      </w:pPr>
    </w:p>
    <w:p w:rsidR="00AD5BB5" w:rsidRDefault="00AD5BB5">
      <w:pPr>
        <w:tabs>
          <w:tab w:val="left" w:pos="720"/>
        </w:tabs>
        <w:overflowPunct w:val="0"/>
        <w:autoSpaceDE w:val="0"/>
        <w:autoSpaceDN w:val="0"/>
        <w:snapToGrid w:val="0"/>
        <w:rPr>
          <w:rFonts w:ascii="Arial" w:eastAsia="黑体" w:hAnsi="Arial" w:cs="Arial"/>
          <w:b/>
          <w:szCs w:val="21"/>
        </w:rPr>
      </w:pPr>
    </w:p>
    <w:p w:rsidR="00AD5BB5" w:rsidRDefault="00AD5BB5">
      <w:pPr>
        <w:tabs>
          <w:tab w:val="left" w:pos="720"/>
        </w:tabs>
        <w:overflowPunct w:val="0"/>
        <w:autoSpaceDE w:val="0"/>
        <w:autoSpaceDN w:val="0"/>
        <w:snapToGrid w:val="0"/>
        <w:rPr>
          <w:rFonts w:ascii="Arial" w:eastAsia="黑体" w:hAnsi="Arial" w:cs="Arial"/>
          <w:b/>
          <w:szCs w:val="21"/>
        </w:rPr>
      </w:pPr>
    </w:p>
    <w:p w:rsidR="00AD5BB5" w:rsidRDefault="00F87FF6">
      <w:pPr>
        <w:overflowPunct w:val="0"/>
        <w:autoSpaceDE w:val="0"/>
        <w:autoSpaceDN w:val="0"/>
        <w:snapToGrid w:val="0"/>
        <w:ind w:left="720" w:hanging="720"/>
        <w:rPr>
          <w:rFonts w:ascii="Arial" w:eastAsia="黑体" w:hAnsi="Arial" w:cs="Arial"/>
          <w:b/>
          <w:szCs w:val="21"/>
        </w:rPr>
      </w:pPr>
      <w:bookmarkStart w:id="315" w:name="afsaddin_WithXu_47950c406e574afd8ce6174c"/>
      <w:r>
        <w:rPr>
          <w:rFonts w:ascii="Arial" w:eastAsia="黑体" w:hAnsi="Arial" w:cs="Arial"/>
          <w:b/>
          <w:szCs w:val="21"/>
        </w:rPr>
        <w:t>八、</w:t>
      </w:r>
      <w:r>
        <w:rPr>
          <w:rFonts w:ascii="Arial" w:eastAsia="黑体" w:hAnsi="Arial" w:cs="Arial"/>
          <w:b/>
          <w:szCs w:val="21"/>
        </w:rPr>
        <w:tab/>
      </w:r>
      <w:r>
        <w:rPr>
          <w:rFonts w:ascii="Arial" w:eastAsia="黑体" w:hAnsi="Arial" w:cs="Arial"/>
          <w:b/>
          <w:szCs w:val="21"/>
        </w:rPr>
        <w:t>金融工具及其风险分析（续）</w:t>
      </w:r>
      <w:bookmarkEnd w:id="315"/>
    </w:p>
    <w:p w:rsidR="00AD5BB5" w:rsidRDefault="00AD5BB5">
      <w:pPr>
        <w:overflowPunct w:val="0"/>
        <w:autoSpaceDE w:val="0"/>
        <w:autoSpaceDN w:val="0"/>
        <w:snapToGrid w:val="0"/>
        <w:rPr>
          <w:rFonts w:ascii="Arial" w:eastAsia="黑体" w:hAnsi="Arial" w:cs="Arial"/>
          <w:b/>
          <w:szCs w:val="21"/>
        </w:rPr>
      </w:pPr>
    </w:p>
    <w:p w:rsidR="00AD5BB5" w:rsidRDefault="00F87FF6">
      <w:pPr>
        <w:overflowPunct w:val="0"/>
        <w:autoSpaceDE w:val="0"/>
        <w:autoSpaceDN w:val="0"/>
        <w:snapToGrid w:val="0"/>
        <w:ind w:left="720" w:hanging="720"/>
        <w:rPr>
          <w:rFonts w:ascii="Arial" w:eastAsia="黑体" w:hAnsi="Arial" w:cs="Arial"/>
          <w:b/>
          <w:szCs w:val="21"/>
        </w:rPr>
      </w:pPr>
      <w:bookmarkStart w:id="316" w:name="afsaddin_WithXu_9053a0a176ea426dbc6c015e"/>
      <w:r>
        <w:rPr>
          <w:rFonts w:ascii="Arial" w:eastAsia="黑体" w:hAnsi="Arial" w:cs="Arial"/>
          <w:b/>
          <w:szCs w:val="21"/>
        </w:rPr>
        <w:t>1.</w:t>
      </w:r>
      <w:r>
        <w:rPr>
          <w:rFonts w:ascii="Arial" w:eastAsia="黑体" w:hAnsi="Arial" w:cs="Arial"/>
          <w:b/>
          <w:szCs w:val="21"/>
        </w:rPr>
        <w:tab/>
      </w:r>
      <w:r>
        <w:rPr>
          <w:rFonts w:ascii="Arial" w:eastAsia="黑体" w:hAnsi="Arial" w:cs="Arial"/>
          <w:b/>
          <w:szCs w:val="21"/>
        </w:rPr>
        <w:t>信用风险（续）</w:t>
      </w:r>
      <w:bookmarkEnd w:id="316"/>
    </w:p>
    <w:p w:rsidR="00AD5BB5" w:rsidRDefault="00AD5BB5">
      <w:pPr>
        <w:overflowPunct w:val="0"/>
        <w:autoSpaceDE w:val="0"/>
        <w:autoSpaceDN w:val="0"/>
        <w:snapToGrid w:val="0"/>
        <w:rPr>
          <w:rFonts w:ascii="Arial" w:eastAsia="黑体" w:hAnsi="Arial" w:cs="Arial"/>
          <w:b/>
          <w:szCs w:val="21"/>
        </w:rPr>
      </w:pPr>
    </w:p>
    <w:p w:rsidR="00AD5BB5" w:rsidRDefault="00F87FF6">
      <w:pPr>
        <w:overflowPunct w:val="0"/>
        <w:autoSpaceDE w:val="0"/>
        <w:autoSpaceDN w:val="0"/>
        <w:snapToGrid w:val="0"/>
        <w:ind w:left="720" w:hanging="845"/>
        <w:rPr>
          <w:rFonts w:ascii="Arial" w:eastAsia="黑体" w:hAnsi="Arial" w:cs="Arial"/>
          <w:b/>
          <w:szCs w:val="21"/>
        </w:rPr>
      </w:pPr>
      <w:bookmarkStart w:id="317" w:name="afsaddin_WithXu_cb5597f26a6645b9922bf8c9"/>
      <w:r>
        <w:rPr>
          <w:rFonts w:ascii="Arial" w:eastAsia="黑体" w:hAnsi="Arial" w:cs="Arial"/>
          <w:b/>
          <w:szCs w:val="21"/>
        </w:rPr>
        <w:t>（</w:t>
      </w:r>
      <w:r>
        <w:rPr>
          <w:rFonts w:ascii="Arial" w:eastAsia="黑体" w:hAnsi="Arial" w:cs="Arial"/>
          <w:b/>
          <w:szCs w:val="21"/>
        </w:rPr>
        <w:t>2</w:t>
      </w:r>
      <w:r>
        <w:rPr>
          <w:rFonts w:ascii="Arial" w:eastAsia="黑体" w:hAnsi="Arial" w:cs="Arial"/>
          <w:b/>
          <w:szCs w:val="21"/>
        </w:rPr>
        <w:t>）</w:t>
      </w:r>
      <w:r>
        <w:rPr>
          <w:rFonts w:ascii="Arial" w:eastAsia="黑体" w:hAnsi="Arial" w:cs="Arial"/>
          <w:b/>
          <w:szCs w:val="21"/>
        </w:rPr>
        <w:tab/>
      </w:r>
      <w:r>
        <w:rPr>
          <w:rFonts w:ascii="Arial" w:eastAsia="黑体" w:hAnsi="Arial" w:cs="Arial"/>
          <w:b/>
          <w:szCs w:val="21"/>
        </w:rPr>
        <w:t>信用风险分析（续）</w:t>
      </w:r>
      <w:bookmarkEnd w:id="317"/>
    </w:p>
    <w:p w:rsidR="00AD5BB5" w:rsidRDefault="00AD5BB5">
      <w:pPr>
        <w:overflowPunct w:val="0"/>
        <w:autoSpaceDE w:val="0"/>
        <w:autoSpaceDN w:val="0"/>
        <w:snapToGrid w:val="0"/>
        <w:rPr>
          <w:rFonts w:ascii="Arial" w:eastAsia="黑体" w:hAnsi="Arial" w:cs="Arial"/>
          <w:b/>
          <w:szCs w:val="21"/>
        </w:rPr>
      </w:pPr>
    </w:p>
    <w:p w:rsidR="00AD5BB5" w:rsidRDefault="00F87FF6">
      <w:pPr>
        <w:overflowPunct w:val="0"/>
        <w:autoSpaceDE w:val="0"/>
        <w:autoSpaceDN w:val="0"/>
        <w:snapToGrid w:val="0"/>
        <w:ind w:left="720" w:hanging="720"/>
        <w:outlineLvl w:val="4"/>
        <w:rPr>
          <w:rFonts w:ascii="Arial" w:eastAsia="黑体" w:hAnsi="Arial" w:cs="Arial"/>
          <w:b/>
          <w:bCs/>
          <w:snapToGrid w:val="0"/>
          <w:szCs w:val="21"/>
        </w:rPr>
      </w:pPr>
      <w:bookmarkStart w:id="318" w:name="afsaddin_WithXu_1537b2dc052c44b089772825"/>
      <w:bookmarkStart w:id="319" w:name="afsaddin_WithXu_194e32645f4d4a17a908d0eb"/>
      <w:bookmarkStart w:id="320" w:name="afsaddin_WithXu_e4fd545b6e8c4a1bac47b434"/>
      <w:bookmarkStart w:id="321" w:name="afsaddin_Section_2dd43a2ff4724fe4b27928a"/>
      <w:bookmarkEnd w:id="318"/>
      <w:bookmarkEnd w:id="319"/>
      <w:bookmarkEnd w:id="320"/>
      <w:r>
        <w:rPr>
          <w:rFonts w:ascii="Arial" w:eastAsia="黑体" w:hAnsi="Arial" w:cs="Arial"/>
          <w:b/>
          <w:bCs/>
          <w:snapToGrid w:val="0"/>
          <w:szCs w:val="21"/>
        </w:rPr>
        <w:t>1.4</w:t>
      </w:r>
      <w:r>
        <w:rPr>
          <w:rFonts w:ascii="Arial" w:eastAsia="黑体" w:hAnsi="Arial" w:cs="Arial"/>
          <w:b/>
          <w:bCs/>
          <w:snapToGrid w:val="0"/>
          <w:szCs w:val="21"/>
        </w:rPr>
        <w:tab/>
      </w:r>
      <w:r>
        <w:rPr>
          <w:rFonts w:ascii="Arial" w:eastAsia="黑体" w:hAnsi="Arial" w:cs="Arial"/>
          <w:b/>
          <w:bCs/>
          <w:snapToGrid w:val="0"/>
          <w:szCs w:val="21"/>
        </w:rPr>
        <w:t>信用质量分析</w:t>
      </w:r>
    </w:p>
    <w:bookmarkEnd w:id="321"/>
    <w:p w:rsidR="00AD5BB5" w:rsidRDefault="00AD5BB5">
      <w:pPr>
        <w:overflowPunct w:val="0"/>
        <w:autoSpaceDE w:val="0"/>
        <w:autoSpaceDN w:val="0"/>
        <w:rPr>
          <w:rFonts w:ascii="Arial" w:eastAsia="黑体" w:hAnsi="Arial" w:cs="Arial"/>
          <w:snapToGrid w:val="0"/>
          <w:sz w:val="15"/>
          <w:szCs w:val="15"/>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本集团各项金融资产（未扣除减值准备）的信用质量分析如下：</w:t>
      </w:r>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8cc69fba-c9b5-432d-9915-0610897dba8b"/>
        <w:tblDescription w:val="{&quot;UUID&quot;:&quot;afsaddin_tabledata_2_56437_8cc69fba-c9b5-432d-9915-0610897dba8b&quot;,&quot;TitleRowCount&quot;:3,&quot;SplitedTable&quot;:false,&quot;FirstTableId&quot;:&quot;8cc69fba-c9b5-432d-9915-0610897dba8b&quot;}"/>
      </w:tblPr>
      <w:tblGrid>
        <w:gridCol w:w="1641"/>
        <w:gridCol w:w="104"/>
        <w:gridCol w:w="1826"/>
        <w:gridCol w:w="104"/>
        <w:gridCol w:w="104"/>
        <w:gridCol w:w="1428"/>
        <w:gridCol w:w="104"/>
        <w:gridCol w:w="104"/>
        <w:gridCol w:w="1429"/>
        <w:gridCol w:w="105"/>
        <w:gridCol w:w="105"/>
        <w:gridCol w:w="1429"/>
        <w:gridCol w:w="105"/>
        <w:gridCol w:w="105"/>
        <w:gridCol w:w="1429"/>
        <w:gridCol w:w="105"/>
        <w:gridCol w:w="105"/>
        <w:gridCol w:w="1599"/>
        <w:gridCol w:w="105"/>
        <w:gridCol w:w="105"/>
        <w:gridCol w:w="1827"/>
        <w:gridCol w:w="105"/>
      </w:tblGrid>
      <w:tr w:rsidR="00AD5BB5">
        <w:tc>
          <w:tcPr>
            <w:tcW w:w="1641"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 DOCPROPERTY </w:instrText>
            </w:r>
            <w:r>
              <w:rPr>
                <w:rFonts w:ascii="Arial" w:eastAsia="黑体" w:hAnsi="Arial" w:cs="Arial"/>
                <w:sz w:val="18"/>
                <w:szCs w:val="18"/>
              </w:rPr>
              <w:instrText>当期资产负债表日</w:instrText>
            </w:r>
            <w:r>
              <w:rPr>
                <w:rFonts w:ascii="Arial" w:eastAsia="黑体" w:hAnsi="Arial" w:cs="Arial"/>
                <w:sz w:val="18"/>
                <w:szCs w:val="18"/>
              </w:rPr>
              <w:instrText xml:space="preserve"> </w:instrText>
            </w:r>
            <w:r>
              <w:rPr>
                <w:rFonts w:ascii="Arial" w:eastAsia="黑体" w:hAnsi="Arial" w:cs="Arial"/>
                <w:sz w:val="18"/>
                <w:szCs w:val="18"/>
              </w:rPr>
              <w:fldChar w:fldCharType="separate"/>
            </w:r>
            <w:r>
              <w:rPr>
                <w:rFonts w:ascii="Arial" w:eastAsia="黑体" w:hAnsi="Arial" w:cs="Arial"/>
                <w:sz w:val="18"/>
                <w:szCs w:val="18"/>
              </w:rPr>
              <w:t>2023</w:t>
            </w:r>
            <w:r>
              <w:rPr>
                <w:rFonts w:ascii="Arial" w:eastAsia="黑体" w:hAnsi="Arial" w:cs="Arial"/>
                <w:sz w:val="18"/>
                <w:szCs w:val="18"/>
              </w:rPr>
              <w:t>年</w:t>
            </w:r>
            <w:r>
              <w:rPr>
                <w:rFonts w:ascii="Arial" w:eastAsia="黑体" w:hAnsi="Arial" w:cs="Arial"/>
                <w:sz w:val="18"/>
                <w:szCs w:val="18"/>
              </w:rPr>
              <w:t>6</w:t>
            </w:r>
            <w:r>
              <w:rPr>
                <w:rFonts w:ascii="Arial" w:eastAsia="黑体" w:hAnsi="Arial" w:cs="Arial"/>
                <w:sz w:val="18"/>
                <w:szCs w:val="18"/>
              </w:rPr>
              <w:t>月</w:t>
            </w:r>
            <w:r>
              <w:rPr>
                <w:rFonts w:ascii="Arial" w:eastAsia="黑体" w:hAnsi="Arial" w:cs="Arial"/>
                <w:sz w:val="18"/>
                <w:szCs w:val="18"/>
              </w:rPr>
              <w:t>30</w:t>
            </w:r>
            <w:r>
              <w:rPr>
                <w:rFonts w:ascii="Arial" w:eastAsia="黑体" w:hAnsi="Arial" w:cs="Arial"/>
                <w:sz w:val="18"/>
                <w:szCs w:val="18"/>
              </w:rPr>
              <w:t>日</w:t>
            </w:r>
            <w:r>
              <w:rPr>
                <w:rFonts w:ascii="Arial" w:eastAsia="黑体" w:hAnsi="Arial" w:cs="Arial"/>
                <w:sz w:val="18"/>
                <w:szCs w:val="18"/>
              </w:rPr>
              <w:fldChar w:fldCharType="end"/>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6" w:type="dxa"/>
            <w:vMerge w:val="restart"/>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未逾期未减值</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6343" w:type="dxa"/>
            <w:gridSpan w:val="10"/>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已逾期未减值</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9" w:type="dxa"/>
            <w:vMerge w:val="restart"/>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已减值</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7" w:type="dxa"/>
            <w:vMerge w:val="restart"/>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合计</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641"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6" w:type="dxa"/>
            <w:vMerge/>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8"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w:t>
            </w:r>
            <w:r>
              <w:rPr>
                <w:rFonts w:ascii="Arial" w:eastAsia="黑体" w:hAnsi="Arial" w:cs="Arial"/>
                <w:sz w:val="18"/>
                <w:szCs w:val="18"/>
              </w:rPr>
              <w:t>个月内</w:t>
            </w:r>
          </w:p>
        </w:tc>
        <w:tc>
          <w:tcPr>
            <w:tcW w:w="104"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w:t>
            </w:r>
            <w:r>
              <w:rPr>
                <w:rFonts w:ascii="Arial" w:eastAsia="黑体" w:hAnsi="Arial" w:cs="Arial"/>
                <w:sz w:val="18"/>
                <w:szCs w:val="18"/>
              </w:rPr>
              <w:t>个月至</w:t>
            </w:r>
            <w:r>
              <w:rPr>
                <w:rFonts w:ascii="Arial" w:eastAsia="黑体" w:hAnsi="Arial" w:cs="Arial"/>
                <w:sz w:val="18"/>
                <w:szCs w:val="18"/>
              </w:rPr>
              <w:t>6</w:t>
            </w:r>
            <w:r>
              <w:rPr>
                <w:rFonts w:ascii="Arial" w:eastAsia="黑体" w:hAnsi="Arial" w:cs="Arial"/>
                <w:sz w:val="18"/>
                <w:szCs w:val="18"/>
              </w:rPr>
              <w:t>个月</w:t>
            </w:r>
          </w:p>
        </w:tc>
        <w:tc>
          <w:tcPr>
            <w:tcW w:w="10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6</w:t>
            </w:r>
            <w:r>
              <w:rPr>
                <w:rFonts w:ascii="Arial" w:eastAsia="黑体" w:hAnsi="Arial" w:cs="Arial"/>
                <w:sz w:val="18"/>
                <w:szCs w:val="18"/>
              </w:rPr>
              <w:t>个月至</w:t>
            </w:r>
            <w:r>
              <w:rPr>
                <w:rFonts w:ascii="Arial" w:eastAsia="黑体" w:hAnsi="Arial" w:cs="Arial"/>
                <w:sz w:val="18"/>
                <w:szCs w:val="18"/>
              </w:rPr>
              <w:t>1</w:t>
            </w:r>
            <w:r>
              <w:rPr>
                <w:rFonts w:ascii="Arial" w:eastAsia="黑体" w:hAnsi="Arial" w:cs="Arial"/>
                <w:sz w:val="18"/>
                <w:szCs w:val="18"/>
              </w:rPr>
              <w:t>年</w:t>
            </w:r>
          </w:p>
        </w:tc>
        <w:tc>
          <w:tcPr>
            <w:tcW w:w="10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w:t>
            </w:r>
            <w:r>
              <w:rPr>
                <w:rFonts w:ascii="Arial" w:eastAsia="黑体" w:hAnsi="Arial" w:cs="Arial"/>
                <w:sz w:val="18"/>
                <w:szCs w:val="18"/>
              </w:rPr>
              <w:t>年以上</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9" w:type="dxa"/>
            <w:vMerge/>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7" w:type="dxa"/>
            <w:vMerge/>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641" w:type="dxa"/>
            <w:tcBorders>
              <w:top w:val="nil"/>
              <w:left w:val="nil"/>
              <w:bottom w:val="nil"/>
              <w:right w:val="nil"/>
            </w:tcBorders>
            <w:vAlign w:val="bottom"/>
          </w:tcPr>
          <w:p w:rsidR="00AD5BB5" w:rsidRDefault="00AD5BB5">
            <w:pPr>
              <w:autoSpaceDE w:val="0"/>
              <w:autoSpaceDN w:val="0"/>
              <w:ind w:left="270" w:hangingChars="150" w:hanging="270"/>
              <w:jc w:val="center"/>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82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42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42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42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42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59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82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r>
      <w:tr w:rsidR="00AD5BB5">
        <w:tc>
          <w:tcPr>
            <w:tcW w:w="1641"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存放中央银行款项</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21,306,408,833.52</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hint="eastAsia"/>
                <w:sz w:val="18"/>
                <w:szCs w:val="18"/>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hint="eastAsia"/>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hint="eastAsia"/>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hint="eastAsia"/>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hint="eastAsia"/>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21,306,408,833.52</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641"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存放同业及其他金融</w:t>
            </w:r>
          </w:p>
          <w:p w:rsidR="00AD5BB5" w:rsidRDefault="00F87FF6">
            <w:pPr>
              <w:autoSpaceDE w:val="0"/>
              <w:autoSpaceDN w:val="0"/>
              <w:ind w:leftChars="76" w:left="340" w:hangingChars="100" w:hanging="180"/>
              <w:rPr>
                <w:rFonts w:ascii="Arial" w:eastAsia="黑体" w:hAnsi="Arial" w:cs="Arial"/>
                <w:sz w:val="18"/>
                <w:szCs w:val="18"/>
              </w:rPr>
            </w:pPr>
            <w:r>
              <w:rPr>
                <w:rFonts w:ascii="Arial" w:eastAsia="黑体" w:hAnsi="Arial" w:cs="Arial"/>
                <w:sz w:val="18"/>
                <w:szCs w:val="18"/>
              </w:rPr>
              <w:t>机构款项</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6,447,852,605.76</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hint="eastAsia"/>
                <w:sz w:val="18"/>
                <w:szCs w:val="18"/>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hint="eastAsia"/>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hint="eastAsia"/>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hint="eastAsia"/>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hint="eastAsia"/>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6,447,852,605.76</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641"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拆出资金</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17,776,167,605.55</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hint="eastAsia"/>
                <w:sz w:val="18"/>
                <w:szCs w:val="18"/>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hint="eastAsia"/>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hint="eastAsia"/>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hint="eastAsia"/>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hint="eastAsia"/>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17,776,167,605.55</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641"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买入返售金融资产</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1,712,890,286.20</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hint="eastAsia"/>
                <w:sz w:val="18"/>
                <w:szCs w:val="18"/>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hint="eastAsia"/>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hint="eastAsia"/>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hint="eastAsia"/>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hint="eastAsia"/>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1,712,890,286.20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641"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发放贷款及垫款</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198,519,600,840.20</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1,476,114,137.69</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hint="eastAsia"/>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hint="eastAsia"/>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1,609,467,828.61</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201,605,182,806.50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641"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交易性金融资产</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14,516,923,304.31</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14,516,923,304.31</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641"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债权投资</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50,048,555,765.98</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50,048,555,765.98</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641"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其他债权投资</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38,698,026,779.20</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38,698,026,779.20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641"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其他资产</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984,389,272.21</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16,277,090.25</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39,261,343.35</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1,039,927,705.81</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641"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8"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9"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641"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合计</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350,010,815,292.93</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1,492,391,227.94</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1,648,729,171.96</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353,151,935,692.83</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bl>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snapToGrid w:val="0"/>
        <w:ind w:left="709" w:rightChars="-4" w:right="-8" w:hanging="709"/>
        <w:rPr>
          <w:rFonts w:ascii="Arial" w:eastAsia="黑体" w:hAnsi="Arial" w:cs="Arial"/>
          <w:szCs w:val="21"/>
        </w:rPr>
      </w:pPr>
      <w:r>
        <w:rPr>
          <w:rFonts w:ascii="Arial" w:eastAsia="黑体" w:hAnsi="Arial" w:cs="Arial"/>
          <w:szCs w:val="21"/>
        </w:rPr>
        <w:t>注：</w:t>
      </w:r>
      <w:r>
        <w:rPr>
          <w:rFonts w:ascii="Arial" w:eastAsia="黑体" w:hAnsi="Arial" w:cs="Arial"/>
          <w:szCs w:val="21"/>
        </w:rPr>
        <w:tab/>
      </w:r>
      <w:r>
        <w:rPr>
          <w:rFonts w:ascii="Arial" w:eastAsia="黑体" w:hAnsi="Arial" w:cs="Arial"/>
          <w:szCs w:val="21"/>
        </w:rPr>
        <w:t>已减值贷款是指划分为阶段三的贷款及垫款。于</w:t>
      </w: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当期资产负债表日</w:instrText>
      </w:r>
      <w:r>
        <w:rPr>
          <w:rFonts w:ascii="Arial" w:eastAsia="黑体" w:hAnsi="Arial" w:cs="Arial"/>
          <w:szCs w:val="21"/>
        </w:rPr>
        <w:instrText xml:space="preserve"> </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t>年</w:t>
      </w:r>
      <w:r>
        <w:rPr>
          <w:rFonts w:ascii="Arial" w:eastAsia="黑体" w:hAnsi="Arial" w:cs="Arial"/>
          <w:szCs w:val="21"/>
        </w:rPr>
        <w:t>6</w:t>
      </w:r>
      <w:r>
        <w:rPr>
          <w:rFonts w:ascii="Arial" w:eastAsia="黑体" w:hAnsi="Arial" w:cs="Arial"/>
          <w:szCs w:val="21"/>
        </w:rPr>
        <w:t>月</w:t>
      </w:r>
      <w:r>
        <w:rPr>
          <w:rFonts w:ascii="Arial" w:eastAsia="黑体" w:hAnsi="Arial" w:cs="Arial"/>
          <w:szCs w:val="21"/>
        </w:rPr>
        <w:t>30</w:t>
      </w:r>
      <w:r>
        <w:rPr>
          <w:rFonts w:ascii="Arial" w:eastAsia="黑体" w:hAnsi="Arial" w:cs="Arial"/>
          <w:szCs w:val="21"/>
        </w:rPr>
        <w:t>日</w:t>
      </w:r>
      <w:r>
        <w:rPr>
          <w:rFonts w:ascii="Arial" w:eastAsia="黑体" w:hAnsi="Arial" w:cs="Arial"/>
          <w:szCs w:val="21"/>
        </w:rPr>
        <w:fldChar w:fldCharType="end"/>
      </w:r>
      <w:r>
        <w:rPr>
          <w:rFonts w:ascii="Arial" w:eastAsia="黑体" w:hAnsi="Arial" w:cs="Arial"/>
          <w:szCs w:val="21"/>
        </w:rPr>
        <w:t>，已减值贷款及垫款分别包括已逾期贷款人民币</w:t>
      </w:r>
      <w:r>
        <w:rPr>
          <w:rFonts w:ascii="Arial" w:eastAsia="黑体" w:hAnsi="Arial" w:cs="Arial"/>
          <w:szCs w:val="21"/>
        </w:rPr>
        <w:t>1,542,010,771.18</w:t>
      </w:r>
      <w:r>
        <w:rPr>
          <w:rFonts w:ascii="Arial" w:eastAsia="黑体" w:hAnsi="Arial" w:cs="Arial"/>
          <w:szCs w:val="21"/>
        </w:rPr>
        <w:t>元（</w:t>
      </w: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当期资产负债表日</w:instrText>
      </w:r>
      <w:r>
        <w:rPr>
          <w:rFonts w:ascii="Arial" w:eastAsia="黑体" w:hAnsi="Arial" w:cs="Arial"/>
          <w:szCs w:val="21"/>
        </w:rPr>
        <w:instrText xml:space="preserve"> </w:instrText>
      </w:r>
      <w:r>
        <w:rPr>
          <w:rFonts w:ascii="Arial" w:eastAsia="黑体" w:hAnsi="Arial" w:cs="Arial"/>
          <w:szCs w:val="21"/>
        </w:rPr>
        <w:fldChar w:fldCharType="separate"/>
      </w:r>
      <w:r>
        <w:rPr>
          <w:rFonts w:ascii="Arial" w:eastAsia="黑体" w:hAnsi="Arial" w:cs="Arial"/>
          <w:szCs w:val="21"/>
        </w:rPr>
        <w:t>2022</w:t>
      </w:r>
      <w:r>
        <w:rPr>
          <w:rFonts w:ascii="Arial" w:eastAsia="黑体" w:hAnsi="Arial" w:cs="Arial"/>
          <w:szCs w:val="21"/>
        </w:rPr>
        <w:t>年</w:t>
      </w:r>
      <w:r>
        <w:rPr>
          <w:rFonts w:ascii="Arial" w:eastAsia="黑体" w:hAnsi="Arial" w:cs="Arial" w:hint="eastAsia"/>
          <w:szCs w:val="21"/>
        </w:rPr>
        <w:t>1</w:t>
      </w:r>
      <w:r>
        <w:rPr>
          <w:rFonts w:ascii="Arial" w:eastAsia="黑体" w:hAnsi="Arial" w:cs="Arial"/>
          <w:szCs w:val="21"/>
        </w:rPr>
        <w:t>2</w:t>
      </w:r>
      <w:r>
        <w:rPr>
          <w:rFonts w:ascii="Arial" w:eastAsia="黑体" w:hAnsi="Arial" w:cs="Arial"/>
          <w:szCs w:val="21"/>
        </w:rPr>
        <w:t>月</w:t>
      </w:r>
      <w:r>
        <w:rPr>
          <w:rFonts w:ascii="Arial" w:eastAsia="黑体" w:hAnsi="Arial" w:cs="Arial"/>
          <w:szCs w:val="21"/>
        </w:rPr>
        <w:t>31</w:t>
      </w:r>
      <w:r>
        <w:rPr>
          <w:rFonts w:ascii="Arial" w:eastAsia="黑体" w:hAnsi="Arial" w:cs="Arial"/>
          <w:szCs w:val="21"/>
        </w:rPr>
        <w:t>日</w:t>
      </w:r>
      <w:r>
        <w:rPr>
          <w:rFonts w:ascii="Arial" w:eastAsia="黑体" w:hAnsi="Arial" w:cs="Arial"/>
          <w:szCs w:val="21"/>
        </w:rPr>
        <w:fldChar w:fldCharType="end"/>
      </w:r>
      <w:r>
        <w:rPr>
          <w:rFonts w:ascii="Arial" w:eastAsia="黑体" w:hAnsi="Arial" w:cs="Arial"/>
          <w:szCs w:val="21"/>
        </w:rPr>
        <w:t>：人民币</w:t>
      </w:r>
      <w:r>
        <w:rPr>
          <w:rFonts w:ascii="Arial" w:eastAsia="黑体" w:hAnsi="Arial" w:cs="Arial"/>
          <w:szCs w:val="21"/>
        </w:rPr>
        <w:t>1,360,125,096.40</w:t>
      </w:r>
      <w:r>
        <w:rPr>
          <w:rFonts w:ascii="Arial" w:eastAsia="黑体" w:hAnsi="Arial" w:cs="Arial"/>
          <w:szCs w:val="21"/>
        </w:rPr>
        <w:t>元），及未逾期贷款人民币</w:t>
      </w:r>
      <w:r>
        <w:rPr>
          <w:rFonts w:ascii="Arial" w:eastAsia="黑体" w:hAnsi="Arial" w:cs="Arial"/>
          <w:szCs w:val="21"/>
        </w:rPr>
        <w:t>67,457,057.43</w:t>
      </w:r>
      <w:r>
        <w:rPr>
          <w:rFonts w:ascii="Arial" w:eastAsia="黑体" w:hAnsi="Arial" w:cs="Arial"/>
          <w:szCs w:val="21"/>
        </w:rPr>
        <w:t>元（</w:t>
      </w: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上期资产负债表日</w:instrText>
      </w:r>
      <w:r>
        <w:rPr>
          <w:rFonts w:ascii="Arial" w:eastAsia="黑体" w:hAnsi="Arial" w:cs="Arial"/>
          <w:szCs w:val="21"/>
        </w:rPr>
        <w:instrText xml:space="preserve"> </w:instrText>
      </w:r>
      <w:r>
        <w:rPr>
          <w:rFonts w:ascii="Arial" w:eastAsia="黑体" w:hAnsi="Arial" w:cs="Arial"/>
          <w:szCs w:val="21"/>
        </w:rPr>
        <w:fldChar w:fldCharType="separate"/>
      </w:r>
      <w:r>
        <w:rPr>
          <w:rFonts w:ascii="Arial" w:eastAsia="黑体" w:hAnsi="Arial" w:cs="Arial"/>
          <w:szCs w:val="21"/>
        </w:rPr>
        <w:t>2022</w:t>
      </w:r>
      <w:r>
        <w:rPr>
          <w:rFonts w:ascii="Arial" w:eastAsia="黑体" w:hAnsi="Arial" w:cs="Arial"/>
          <w:szCs w:val="21"/>
        </w:rPr>
        <w:t>年</w:t>
      </w:r>
      <w:r>
        <w:rPr>
          <w:rFonts w:ascii="Arial" w:eastAsia="黑体" w:hAnsi="Arial" w:cs="Arial"/>
          <w:szCs w:val="21"/>
        </w:rPr>
        <w:t>12</w:t>
      </w:r>
      <w:r>
        <w:rPr>
          <w:rFonts w:ascii="Arial" w:eastAsia="黑体" w:hAnsi="Arial" w:cs="Arial"/>
          <w:szCs w:val="21"/>
        </w:rPr>
        <w:t>月</w:t>
      </w:r>
      <w:r>
        <w:rPr>
          <w:rFonts w:ascii="Arial" w:eastAsia="黑体" w:hAnsi="Arial" w:cs="Arial"/>
          <w:szCs w:val="21"/>
        </w:rPr>
        <w:t>31</w:t>
      </w:r>
      <w:r>
        <w:rPr>
          <w:rFonts w:ascii="Arial" w:eastAsia="黑体" w:hAnsi="Arial" w:cs="Arial"/>
          <w:szCs w:val="21"/>
        </w:rPr>
        <w:t>日</w:t>
      </w:r>
      <w:r>
        <w:rPr>
          <w:rFonts w:ascii="Arial" w:eastAsia="黑体" w:hAnsi="Arial" w:cs="Arial"/>
          <w:szCs w:val="21"/>
        </w:rPr>
        <w:fldChar w:fldCharType="end"/>
      </w:r>
      <w:r>
        <w:rPr>
          <w:rFonts w:ascii="Arial" w:eastAsia="黑体" w:hAnsi="Arial" w:cs="Arial"/>
          <w:szCs w:val="21"/>
        </w:rPr>
        <w:t>：人民币</w:t>
      </w:r>
      <w:r>
        <w:rPr>
          <w:rFonts w:ascii="Arial" w:eastAsia="黑体" w:hAnsi="Arial" w:cs="Arial"/>
          <w:szCs w:val="21"/>
        </w:rPr>
        <w:t>973,984,947.78</w:t>
      </w:r>
      <w:r>
        <w:rPr>
          <w:rFonts w:ascii="Arial" w:eastAsia="黑体" w:hAnsi="Arial" w:cs="Arial"/>
          <w:szCs w:val="21"/>
        </w:rPr>
        <w:t>元）。</w:t>
      </w:r>
    </w:p>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sectPr w:rsidR="00AD5BB5">
          <w:headerReference w:type="even" r:id="rId55"/>
          <w:headerReference w:type="default" r:id="rId56"/>
          <w:headerReference w:type="first" r:id="rId57"/>
          <w:pgSz w:w="16840" w:h="11907" w:orient="landscape"/>
          <w:pgMar w:top="1797" w:right="1440" w:bottom="1797" w:left="1440" w:header="720" w:footer="720" w:gutter="0"/>
          <w:cols w:space="720"/>
          <w:titlePg/>
          <w:docGrid w:linePitch="360"/>
        </w:sectPr>
      </w:pPr>
    </w:p>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322" w:name="afsaddin_WithXu_8c30bd59cf264f568db0d74c"/>
      <w:r>
        <w:rPr>
          <w:rFonts w:ascii="Arial" w:eastAsia="黑体" w:hAnsi="Arial" w:cs="Arial"/>
          <w:b/>
          <w:snapToGrid w:val="0"/>
          <w:szCs w:val="21"/>
        </w:rPr>
        <w:t>八、</w:t>
      </w:r>
      <w:r>
        <w:rPr>
          <w:rFonts w:ascii="Arial" w:eastAsia="黑体" w:hAnsi="Arial" w:cs="Arial"/>
          <w:b/>
          <w:snapToGrid w:val="0"/>
          <w:szCs w:val="21"/>
        </w:rPr>
        <w:tab/>
      </w:r>
      <w:r>
        <w:rPr>
          <w:rFonts w:ascii="Arial" w:eastAsia="黑体" w:hAnsi="Arial" w:cs="Arial"/>
          <w:b/>
          <w:snapToGrid w:val="0"/>
          <w:szCs w:val="21"/>
        </w:rPr>
        <w:t>金融工具及其风险分析（续）</w:t>
      </w:r>
      <w:bookmarkEnd w:id="322"/>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323" w:name="afsaddin_WithXu_956b0255102343e88d32f304"/>
      <w:r>
        <w:rPr>
          <w:rFonts w:ascii="Arial" w:eastAsia="黑体" w:hAnsi="Arial" w:cs="Arial"/>
          <w:b/>
          <w:snapToGrid w:val="0"/>
          <w:szCs w:val="21"/>
        </w:rPr>
        <w:t>1.</w:t>
      </w:r>
      <w:r>
        <w:rPr>
          <w:rFonts w:ascii="Arial" w:eastAsia="黑体" w:hAnsi="Arial" w:cs="Arial"/>
          <w:b/>
          <w:snapToGrid w:val="0"/>
          <w:szCs w:val="21"/>
        </w:rPr>
        <w:tab/>
      </w:r>
      <w:r>
        <w:rPr>
          <w:rFonts w:ascii="Arial" w:eastAsia="黑体" w:hAnsi="Arial" w:cs="Arial"/>
          <w:b/>
          <w:snapToGrid w:val="0"/>
          <w:szCs w:val="21"/>
        </w:rPr>
        <w:t>信用风险（续）</w:t>
      </w:r>
      <w:bookmarkEnd w:id="323"/>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845"/>
        <w:rPr>
          <w:rFonts w:ascii="Arial" w:eastAsia="黑体" w:hAnsi="Arial" w:cs="Arial"/>
          <w:b/>
          <w:snapToGrid w:val="0"/>
          <w:szCs w:val="21"/>
        </w:rPr>
      </w:pPr>
      <w:bookmarkStart w:id="324" w:name="afsaddin_WithXu_6a4cb1c87dea4a79ad5a144a"/>
      <w:r>
        <w:rPr>
          <w:rFonts w:ascii="Arial" w:eastAsia="黑体" w:hAnsi="Arial" w:cs="Arial"/>
          <w:b/>
          <w:snapToGrid w:val="0"/>
          <w:szCs w:val="21"/>
        </w:rPr>
        <w:t>（</w:t>
      </w:r>
      <w:r>
        <w:rPr>
          <w:rFonts w:ascii="Arial" w:eastAsia="黑体" w:hAnsi="Arial" w:cs="Arial"/>
          <w:b/>
          <w:snapToGrid w:val="0"/>
          <w:szCs w:val="21"/>
        </w:rPr>
        <w:t>2</w:t>
      </w:r>
      <w:r>
        <w:rPr>
          <w:rFonts w:ascii="Arial" w:eastAsia="黑体" w:hAnsi="Arial" w:cs="Arial"/>
          <w:b/>
          <w:snapToGrid w:val="0"/>
          <w:szCs w:val="21"/>
        </w:rPr>
        <w:t>）</w:t>
      </w:r>
      <w:r>
        <w:rPr>
          <w:rFonts w:ascii="Arial" w:eastAsia="黑体" w:hAnsi="Arial" w:cs="Arial"/>
          <w:b/>
          <w:snapToGrid w:val="0"/>
          <w:szCs w:val="21"/>
        </w:rPr>
        <w:tab/>
      </w:r>
      <w:r>
        <w:rPr>
          <w:rFonts w:ascii="Arial" w:eastAsia="黑体" w:hAnsi="Arial" w:cs="Arial"/>
          <w:b/>
          <w:snapToGrid w:val="0"/>
          <w:szCs w:val="21"/>
        </w:rPr>
        <w:t>信用风险分析（续）</w:t>
      </w:r>
      <w:bookmarkEnd w:id="324"/>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325" w:name="afsaddin_WithXu_848e67730d1541218d348c7c"/>
      <w:r>
        <w:rPr>
          <w:rFonts w:ascii="Arial" w:eastAsia="黑体" w:hAnsi="Arial" w:cs="Arial"/>
          <w:b/>
          <w:snapToGrid w:val="0"/>
          <w:szCs w:val="21"/>
        </w:rPr>
        <w:t>1.4</w:t>
      </w:r>
      <w:r>
        <w:rPr>
          <w:rFonts w:ascii="Arial" w:eastAsia="黑体" w:hAnsi="Arial" w:cs="Arial"/>
          <w:b/>
          <w:snapToGrid w:val="0"/>
          <w:szCs w:val="21"/>
        </w:rPr>
        <w:tab/>
      </w:r>
      <w:r>
        <w:rPr>
          <w:rFonts w:ascii="Arial" w:eastAsia="黑体" w:hAnsi="Arial" w:cs="Arial"/>
          <w:b/>
          <w:snapToGrid w:val="0"/>
          <w:szCs w:val="21"/>
        </w:rPr>
        <w:t>信用质量分析（续）</w:t>
      </w:r>
      <w:bookmarkEnd w:id="325"/>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993bbee0-b291-46cb-bcce-f196d1ed3e03"/>
        <w:tblDescription w:val="{&quot;UUID&quot;:&quot;afsaddin_tabledata_2_56437_993bbee0-b291-46cb-bcce-f196d1ed3e03&quot;,&quot;TitleRowCount&quot;:3,&quot;SplitedTable&quot;:false,&quot;FirstTableId&quot;:&quot;993bbee0-b291-46cb-bcce-f196d1ed3e03&quot;}"/>
      </w:tblPr>
      <w:tblGrid>
        <w:gridCol w:w="1641"/>
        <w:gridCol w:w="104"/>
        <w:gridCol w:w="1826"/>
        <w:gridCol w:w="104"/>
        <w:gridCol w:w="104"/>
        <w:gridCol w:w="1428"/>
        <w:gridCol w:w="104"/>
        <w:gridCol w:w="104"/>
        <w:gridCol w:w="1429"/>
        <w:gridCol w:w="105"/>
        <w:gridCol w:w="105"/>
        <w:gridCol w:w="1429"/>
        <w:gridCol w:w="105"/>
        <w:gridCol w:w="105"/>
        <w:gridCol w:w="1429"/>
        <w:gridCol w:w="105"/>
        <w:gridCol w:w="105"/>
        <w:gridCol w:w="1599"/>
        <w:gridCol w:w="105"/>
        <w:gridCol w:w="105"/>
        <w:gridCol w:w="1827"/>
        <w:gridCol w:w="105"/>
      </w:tblGrid>
      <w:tr w:rsidR="00AD5BB5">
        <w:tc>
          <w:tcPr>
            <w:tcW w:w="1641"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bookmarkStart w:id="326" w:name="afsaddin_WithXu_e4d51405ba124af1839799da"/>
            <w:bookmarkStart w:id="327" w:name="afsaddin_WithXu_4cbd8d433b244530a0b54724"/>
            <w:bookmarkStart w:id="328" w:name="afsaddin_WithXu_aeca1a507cac4b62a899b2f2"/>
            <w:bookmarkStart w:id="329" w:name="afsaddin_WithXu_57490e6d8e45470895e62dd5"/>
            <w:bookmarkEnd w:id="326"/>
            <w:bookmarkEnd w:id="327"/>
            <w:bookmarkEnd w:id="328"/>
            <w:bookmarkEnd w:id="329"/>
            <w:r>
              <w:rPr>
                <w:rFonts w:ascii="Arial" w:eastAsia="黑体" w:hAnsi="Arial" w:cs="Arial"/>
                <w:sz w:val="18"/>
                <w:szCs w:val="18"/>
              </w:rPr>
              <w:t>2022</w:t>
            </w:r>
            <w:r>
              <w:rPr>
                <w:rFonts w:ascii="Arial" w:eastAsia="黑体" w:hAnsi="Arial" w:cs="Arial"/>
                <w:sz w:val="18"/>
                <w:szCs w:val="18"/>
              </w:rPr>
              <w:t>年</w:t>
            </w:r>
            <w:r>
              <w:rPr>
                <w:rFonts w:ascii="Arial" w:eastAsia="黑体" w:hAnsi="Arial" w:cs="Arial"/>
                <w:sz w:val="18"/>
                <w:szCs w:val="18"/>
              </w:rPr>
              <w:t>12</w:t>
            </w:r>
            <w:r>
              <w:rPr>
                <w:rFonts w:ascii="Arial" w:eastAsia="黑体" w:hAnsi="Arial" w:cs="Arial"/>
                <w:sz w:val="18"/>
                <w:szCs w:val="18"/>
              </w:rPr>
              <w:t>月</w:t>
            </w:r>
            <w:r>
              <w:rPr>
                <w:rFonts w:ascii="Arial" w:eastAsia="黑体" w:hAnsi="Arial" w:cs="Arial"/>
                <w:sz w:val="18"/>
                <w:szCs w:val="18"/>
              </w:rPr>
              <w:t>31</w:t>
            </w:r>
            <w:r>
              <w:rPr>
                <w:rFonts w:ascii="Arial" w:eastAsia="黑体" w:hAnsi="Arial" w:cs="Arial"/>
                <w:sz w:val="18"/>
                <w:szCs w:val="18"/>
              </w:rPr>
              <w:t>日</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6" w:type="dxa"/>
            <w:vMerge w:val="restart"/>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未逾期未减值</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6343" w:type="dxa"/>
            <w:gridSpan w:val="10"/>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已逾期未减值</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9" w:type="dxa"/>
            <w:vMerge w:val="restart"/>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已减值</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7" w:type="dxa"/>
            <w:vMerge w:val="restart"/>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合计</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641"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6" w:type="dxa"/>
            <w:vMerge/>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8"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w:t>
            </w:r>
            <w:r>
              <w:rPr>
                <w:rFonts w:ascii="Arial" w:eastAsia="黑体" w:hAnsi="Arial" w:cs="Arial"/>
                <w:sz w:val="18"/>
                <w:szCs w:val="18"/>
              </w:rPr>
              <w:t>个月内</w:t>
            </w:r>
          </w:p>
        </w:tc>
        <w:tc>
          <w:tcPr>
            <w:tcW w:w="104"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w:t>
            </w:r>
            <w:r>
              <w:rPr>
                <w:rFonts w:ascii="Arial" w:eastAsia="黑体" w:hAnsi="Arial" w:cs="Arial"/>
                <w:sz w:val="18"/>
                <w:szCs w:val="18"/>
              </w:rPr>
              <w:t>个月至</w:t>
            </w:r>
            <w:r>
              <w:rPr>
                <w:rFonts w:ascii="Arial" w:eastAsia="黑体" w:hAnsi="Arial" w:cs="Arial"/>
                <w:sz w:val="18"/>
                <w:szCs w:val="18"/>
              </w:rPr>
              <w:t>6</w:t>
            </w:r>
            <w:r>
              <w:rPr>
                <w:rFonts w:ascii="Arial" w:eastAsia="黑体" w:hAnsi="Arial" w:cs="Arial"/>
                <w:sz w:val="18"/>
                <w:szCs w:val="18"/>
              </w:rPr>
              <w:t>个月</w:t>
            </w:r>
          </w:p>
        </w:tc>
        <w:tc>
          <w:tcPr>
            <w:tcW w:w="10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6</w:t>
            </w:r>
            <w:r>
              <w:rPr>
                <w:rFonts w:ascii="Arial" w:eastAsia="黑体" w:hAnsi="Arial" w:cs="Arial"/>
                <w:sz w:val="18"/>
                <w:szCs w:val="18"/>
              </w:rPr>
              <w:t>个月至</w:t>
            </w:r>
            <w:r>
              <w:rPr>
                <w:rFonts w:ascii="Arial" w:eastAsia="黑体" w:hAnsi="Arial" w:cs="Arial"/>
                <w:sz w:val="18"/>
                <w:szCs w:val="18"/>
              </w:rPr>
              <w:t>1</w:t>
            </w:r>
            <w:r>
              <w:rPr>
                <w:rFonts w:ascii="Arial" w:eastAsia="黑体" w:hAnsi="Arial" w:cs="Arial"/>
                <w:sz w:val="18"/>
                <w:szCs w:val="18"/>
              </w:rPr>
              <w:t>年</w:t>
            </w:r>
          </w:p>
        </w:tc>
        <w:tc>
          <w:tcPr>
            <w:tcW w:w="10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w:t>
            </w:r>
            <w:r>
              <w:rPr>
                <w:rFonts w:ascii="Arial" w:eastAsia="黑体" w:hAnsi="Arial" w:cs="Arial"/>
                <w:sz w:val="18"/>
                <w:szCs w:val="18"/>
              </w:rPr>
              <w:t>年以上</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9" w:type="dxa"/>
            <w:vMerge/>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7" w:type="dxa"/>
            <w:vMerge/>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641" w:type="dxa"/>
            <w:tcBorders>
              <w:top w:val="nil"/>
              <w:left w:val="nil"/>
              <w:bottom w:val="nil"/>
              <w:right w:val="nil"/>
            </w:tcBorders>
            <w:vAlign w:val="bottom"/>
          </w:tcPr>
          <w:p w:rsidR="00AD5BB5" w:rsidRDefault="00AD5BB5">
            <w:pPr>
              <w:autoSpaceDE w:val="0"/>
              <w:autoSpaceDN w:val="0"/>
              <w:ind w:left="270" w:hangingChars="150" w:hanging="270"/>
              <w:jc w:val="center"/>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82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42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42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42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42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59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82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r>
      <w:tr w:rsidR="00AD5BB5">
        <w:tc>
          <w:tcPr>
            <w:tcW w:w="1641"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存放中央银行款项</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29,575,939,967.87</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29,575,939,967.87</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641"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存放同业及其他金融</w:t>
            </w:r>
          </w:p>
          <w:p w:rsidR="00AD5BB5" w:rsidRDefault="00F87FF6">
            <w:pPr>
              <w:autoSpaceDE w:val="0"/>
              <w:autoSpaceDN w:val="0"/>
              <w:ind w:leftChars="76" w:left="340" w:hangingChars="100" w:hanging="180"/>
              <w:rPr>
                <w:rFonts w:ascii="Arial" w:eastAsia="黑体" w:hAnsi="Arial" w:cs="Arial"/>
                <w:sz w:val="18"/>
                <w:szCs w:val="18"/>
              </w:rPr>
            </w:pPr>
            <w:r>
              <w:rPr>
                <w:rFonts w:ascii="Arial" w:eastAsia="黑体" w:hAnsi="Arial" w:cs="Arial"/>
                <w:sz w:val="18"/>
                <w:szCs w:val="18"/>
              </w:rPr>
              <w:t>机构款项</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10,136,959,109.86</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10,136,959,109.86</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641"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拆出资金</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14,078,141,399.02</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14,078,141,399.02</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641"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买入返售金融资产</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16,092,805,179.46</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16,092,805,179.46</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641"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发放贷款及垫款</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197,423,571,273.15</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1,031,973,496.49</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2,334,110,044.18</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200,789,654,813.82</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641"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交易性金融资产</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15,749,732,446.14</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15,749,732,446.14</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641"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债权投资</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45,081,350,513.92</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130,700,000.00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45,212,050,513.92</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641"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其他债权投资</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39,299,346,153.82</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39,299,346,153.82</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641"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其他资产</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733,458,599.65</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8,977,351.67</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hint="eastAsia"/>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hint="eastAsia"/>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hint="eastAsia"/>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30,343,118.31</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772,779,069.63</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641"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641"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合计</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368,171,304,642.89</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1,040,950,848.16</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2,495,153,162.49</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2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371,707,408,653.54</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bl>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sectPr w:rsidR="00AD5BB5">
          <w:pgSz w:w="16840" w:h="11907" w:orient="landscape"/>
          <w:pgMar w:top="1797" w:right="1440" w:bottom="1797" w:left="1440" w:header="720" w:footer="720" w:gutter="0"/>
          <w:cols w:space="720"/>
          <w:titlePg/>
          <w:docGrid w:linePitch="360"/>
        </w:sectPr>
      </w:pPr>
    </w:p>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330" w:name="afsaddin_WithXu_86d85a1e156e409ca885c227"/>
      <w:r>
        <w:rPr>
          <w:rFonts w:ascii="Arial" w:eastAsia="黑体" w:hAnsi="Arial" w:cs="Arial"/>
          <w:b/>
          <w:snapToGrid w:val="0"/>
          <w:szCs w:val="21"/>
        </w:rPr>
        <w:t>八、</w:t>
      </w:r>
      <w:r>
        <w:rPr>
          <w:rFonts w:ascii="Arial" w:eastAsia="黑体" w:hAnsi="Arial" w:cs="Arial"/>
          <w:b/>
          <w:snapToGrid w:val="0"/>
          <w:szCs w:val="21"/>
        </w:rPr>
        <w:tab/>
      </w:r>
      <w:r>
        <w:rPr>
          <w:rFonts w:ascii="Arial" w:eastAsia="黑体" w:hAnsi="Arial" w:cs="Arial"/>
          <w:b/>
          <w:snapToGrid w:val="0"/>
          <w:szCs w:val="21"/>
        </w:rPr>
        <w:t>金融工具及其风险分析（续）</w:t>
      </w:r>
      <w:bookmarkEnd w:id="330"/>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331" w:name="afsaddin_WithXu_474d8bf467ff4f03a74d076c"/>
      <w:r>
        <w:rPr>
          <w:rFonts w:ascii="Arial" w:eastAsia="黑体" w:hAnsi="Arial" w:cs="Arial"/>
          <w:b/>
          <w:snapToGrid w:val="0"/>
          <w:szCs w:val="21"/>
        </w:rPr>
        <w:t>1.</w:t>
      </w:r>
      <w:r>
        <w:rPr>
          <w:rFonts w:ascii="Arial" w:eastAsia="黑体" w:hAnsi="Arial" w:cs="Arial"/>
          <w:b/>
          <w:snapToGrid w:val="0"/>
          <w:szCs w:val="21"/>
        </w:rPr>
        <w:tab/>
      </w:r>
      <w:r>
        <w:rPr>
          <w:rFonts w:ascii="Arial" w:eastAsia="黑体" w:hAnsi="Arial" w:cs="Arial"/>
          <w:b/>
          <w:snapToGrid w:val="0"/>
          <w:szCs w:val="21"/>
        </w:rPr>
        <w:t>信用风险（续）</w:t>
      </w:r>
      <w:bookmarkEnd w:id="331"/>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845"/>
        <w:rPr>
          <w:rFonts w:ascii="Arial" w:eastAsia="黑体" w:hAnsi="Arial" w:cs="Arial"/>
          <w:b/>
          <w:snapToGrid w:val="0"/>
          <w:szCs w:val="21"/>
        </w:rPr>
      </w:pPr>
      <w:bookmarkStart w:id="332" w:name="afsaddin_WithXu_33875505b9fb4bc4a8687fcb"/>
      <w:r>
        <w:rPr>
          <w:rFonts w:ascii="Arial" w:eastAsia="黑体" w:hAnsi="Arial" w:cs="Arial"/>
          <w:b/>
          <w:snapToGrid w:val="0"/>
          <w:szCs w:val="21"/>
        </w:rPr>
        <w:t>（</w:t>
      </w:r>
      <w:r>
        <w:rPr>
          <w:rFonts w:ascii="Arial" w:eastAsia="黑体" w:hAnsi="Arial" w:cs="Arial"/>
          <w:b/>
          <w:snapToGrid w:val="0"/>
          <w:szCs w:val="21"/>
        </w:rPr>
        <w:t>2</w:t>
      </w:r>
      <w:r>
        <w:rPr>
          <w:rFonts w:ascii="Arial" w:eastAsia="黑体" w:hAnsi="Arial" w:cs="Arial"/>
          <w:b/>
          <w:snapToGrid w:val="0"/>
          <w:szCs w:val="21"/>
        </w:rPr>
        <w:t>）</w:t>
      </w:r>
      <w:r>
        <w:rPr>
          <w:rFonts w:ascii="Arial" w:eastAsia="黑体" w:hAnsi="Arial" w:cs="Arial"/>
          <w:b/>
          <w:snapToGrid w:val="0"/>
          <w:szCs w:val="21"/>
        </w:rPr>
        <w:tab/>
      </w:r>
      <w:r>
        <w:rPr>
          <w:rFonts w:ascii="Arial" w:eastAsia="黑体" w:hAnsi="Arial" w:cs="Arial"/>
          <w:b/>
          <w:snapToGrid w:val="0"/>
          <w:szCs w:val="21"/>
        </w:rPr>
        <w:t>信用风险分析（续）</w:t>
      </w:r>
      <w:bookmarkEnd w:id="332"/>
    </w:p>
    <w:p w:rsidR="00AD5BB5" w:rsidRDefault="00AD5BB5">
      <w:pPr>
        <w:overflowPunct w:val="0"/>
        <w:autoSpaceDE w:val="0"/>
        <w:autoSpaceDN w:val="0"/>
        <w:rPr>
          <w:rFonts w:ascii="Arial" w:eastAsia="黑体" w:hAnsi="Arial" w:cs="Arial"/>
          <w:snapToGrid w:val="0"/>
          <w:szCs w:val="21"/>
        </w:rPr>
      </w:pPr>
    </w:p>
    <w:p w:rsidR="00AD5BB5" w:rsidRDefault="00F87FF6">
      <w:pPr>
        <w:pStyle w:val="aff2"/>
        <w:widowControl/>
        <w:overflowPunct w:val="0"/>
        <w:autoSpaceDE w:val="0"/>
        <w:autoSpaceDN w:val="0"/>
        <w:adjustRightInd w:val="0"/>
        <w:snapToGrid w:val="0"/>
        <w:ind w:left="720" w:firstLineChars="0" w:hanging="720"/>
        <w:contextualSpacing/>
        <w:textAlignment w:val="bottom"/>
        <w:outlineLvl w:val="4"/>
        <w:rPr>
          <w:rFonts w:ascii="Arial" w:eastAsia="黑体" w:hAnsi="Arial" w:cs="Arial"/>
          <w:b/>
          <w:bCs/>
          <w:snapToGrid w:val="0"/>
          <w:szCs w:val="21"/>
        </w:rPr>
      </w:pPr>
      <w:bookmarkStart w:id="333" w:name="afsaddin_WithXu_2466e22e29c84ceb8454a53e"/>
      <w:bookmarkStart w:id="334" w:name="afsaddin_WithXu_bd49e91eaafc4c769d4fe9d2"/>
      <w:bookmarkStart w:id="335" w:name="afsaddin_WithXu_b1da0ddfe296446f924db1e8"/>
      <w:bookmarkStart w:id="336" w:name="afsaddin_Section_61c9d5410c684b6586d5a10"/>
      <w:bookmarkEnd w:id="333"/>
      <w:bookmarkEnd w:id="334"/>
      <w:bookmarkEnd w:id="335"/>
      <w:r>
        <w:rPr>
          <w:rFonts w:ascii="Arial" w:eastAsia="黑体" w:hAnsi="Arial" w:cs="Arial"/>
          <w:b/>
          <w:bCs/>
          <w:snapToGrid w:val="0"/>
          <w:szCs w:val="21"/>
        </w:rPr>
        <w:t>1.5</w:t>
      </w:r>
      <w:r>
        <w:rPr>
          <w:rFonts w:ascii="Arial" w:eastAsia="黑体" w:hAnsi="Arial" w:cs="Arial"/>
          <w:b/>
          <w:bCs/>
          <w:snapToGrid w:val="0"/>
          <w:szCs w:val="21"/>
        </w:rPr>
        <w:tab/>
      </w:r>
      <w:r>
        <w:rPr>
          <w:rFonts w:ascii="Arial" w:eastAsia="黑体" w:hAnsi="Arial" w:cs="Arial"/>
          <w:b/>
          <w:bCs/>
          <w:snapToGrid w:val="0"/>
          <w:szCs w:val="21"/>
        </w:rPr>
        <w:t>发放贷款及垫款（不含应计利息）按五级分类及三阶段列示</w:t>
      </w:r>
    </w:p>
    <w:bookmarkEnd w:id="336"/>
    <w:p w:rsidR="00AD5BB5" w:rsidRDefault="00AD5BB5">
      <w:pPr>
        <w:pStyle w:val="aff2"/>
        <w:overflowPunct w:val="0"/>
        <w:autoSpaceDE w:val="0"/>
        <w:autoSpaceDN w:val="0"/>
        <w:adjustRightInd w:val="0"/>
        <w:snapToGrid w:val="0"/>
        <w:ind w:left="360" w:firstLine="422"/>
        <w:textAlignment w:val="bottom"/>
        <w:rPr>
          <w:rFonts w:ascii="Arial" w:eastAsia="黑体" w:hAnsi="Arial" w:cs="Arial"/>
          <w:b/>
          <w:bCs/>
          <w:snapToGrid w:val="0"/>
          <w:szCs w:val="21"/>
        </w:rPr>
      </w:pPr>
    </w:p>
    <w:tbl>
      <w:tblPr>
        <w:tblW w:w="0" w:type="auto"/>
        <w:tblLayout w:type="fixed"/>
        <w:tblCellMar>
          <w:left w:w="0" w:type="dxa"/>
          <w:right w:w="0" w:type="dxa"/>
        </w:tblCellMar>
        <w:tblLook w:val="04A0" w:firstRow="1" w:lastRow="0" w:firstColumn="1" w:lastColumn="0" w:noHBand="0" w:noVBand="1"/>
        <w:tblCaption w:val="4936bfd4-113e-4397-9674-1f51d2618d6f"/>
        <w:tblDescription w:val="{&quot;UUID&quot;:&quot;afsaddin_tabledata_2_56437_4936bfd4-113e-4397-9674-1f51d2618d6f&quot;,&quot;TitleRowCount&quot;:3,&quot;SplitedTable&quot;:false,&quot;FirstTableId&quot;:&quot;4936bfd4-113e-4397-9674-1f51d2618d6f&quot;}"/>
      </w:tblPr>
      <w:tblGrid>
        <w:gridCol w:w="851"/>
        <w:gridCol w:w="106"/>
        <w:gridCol w:w="1737"/>
        <w:gridCol w:w="106"/>
        <w:gridCol w:w="105"/>
        <w:gridCol w:w="1658"/>
        <w:gridCol w:w="105"/>
        <w:gridCol w:w="105"/>
        <w:gridCol w:w="1464"/>
        <w:gridCol w:w="105"/>
        <w:gridCol w:w="105"/>
        <w:gridCol w:w="1723"/>
        <w:gridCol w:w="105"/>
      </w:tblGrid>
      <w:tr w:rsidR="00AD5BB5">
        <w:tc>
          <w:tcPr>
            <w:tcW w:w="85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7213" w:type="dxa"/>
            <w:gridSpan w:val="10"/>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 DOCPROPERTY </w:instrText>
            </w:r>
            <w:r>
              <w:rPr>
                <w:rFonts w:ascii="Arial" w:eastAsia="黑体" w:hAnsi="Arial" w:cs="Arial"/>
                <w:sz w:val="18"/>
                <w:szCs w:val="18"/>
              </w:rPr>
              <w:instrText>当期资产负债表日</w:instrText>
            </w:r>
            <w:r>
              <w:rPr>
                <w:rFonts w:ascii="Arial" w:eastAsia="黑体" w:hAnsi="Arial" w:cs="Arial"/>
                <w:sz w:val="18"/>
                <w:szCs w:val="18"/>
              </w:rPr>
              <w:instrText xml:space="preserve"> </w:instrText>
            </w:r>
            <w:r>
              <w:rPr>
                <w:rFonts w:ascii="Arial" w:eastAsia="黑体" w:hAnsi="Arial" w:cs="Arial"/>
                <w:sz w:val="18"/>
                <w:szCs w:val="18"/>
              </w:rPr>
              <w:fldChar w:fldCharType="separate"/>
            </w:r>
            <w:r>
              <w:rPr>
                <w:rFonts w:ascii="Arial" w:eastAsia="黑体" w:hAnsi="Arial" w:cs="Arial"/>
                <w:sz w:val="18"/>
                <w:szCs w:val="18"/>
              </w:rPr>
              <w:t>2023</w:t>
            </w:r>
            <w:r>
              <w:rPr>
                <w:rFonts w:ascii="Arial" w:eastAsia="黑体" w:hAnsi="Arial" w:cs="Arial"/>
                <w:sz w:val="18"/>
                <w:szCs w:val="18"/>
              </w:rPr>
              <w:t>年</w:t>
            </w:r>
            <w:r>
              <w:rPr>
                <w:rFonts w:ascii="Arial" w:eastAsia="黑体" w:hAnsi="Arial" w:cs="Arial"/>
                <w:sz w:val="18"/>
                <w:szCs w:val="18"/>
              </w:rPr>
              <w:t>6</w:t>
            </w:r>
            <w:r>
              <w:rPr>
                <w:rFonts w:ascii="Arial" w:eastAsia="黑体" w:hAnsi="Arial" w:cs="Arial"/>
                <w:sz w:val="18"/>
                <w:szCs w:val="18"/>
              </w:rPr>
              <w:t>月</w:t>
            </w:r>
            <w:r>
              <w:rPr>
                <w:rFonts w:ascii="Arial" w:eastAsia="黑体" w:hAnsi="Arial" w:cs="Arial"/>
                <w:sz w:val="18"/>
                <w:szCs w:val="18"/>
              </w:rPr>
              <w:t>30</w:t>
            </w:r>
            <w:r>
              <w:rPr>
                <w:rFonts w:ascii="Arial" w:eastAsia="黑体" w:hAnsi="Arial" w:cs="Arial"/>
                <w:sz w:val="18"/>
                <w:szCs w:val="18"/>
              </w:rPr>
              <w:t>日</w:t>
            </w:r>
            <w:r>
              <w:rPr>
                <w:rFonts w:ascii="Arial" w:eastAsia="黑体" w:hAnsi="Arial" w:cs="Arial"/>
                <w:sz w:val="18"/>
                <w:szCs w:val="18"/>
              </w:rPr>
              <w:fldChar w:fldCharType="end"/>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85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737" w:type="dxa"/>
            <w:tcBorders>
              <w:top w:val="single" w:sz="4" w:space="0" w:color="auto"/>
              <w:left w:val="nil"/>
              <w:bottom w:val="single" w:sz="4" w:space="0" w:color="auto"/>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12</w:t>
            </w:r>
            <w:r>
              <w:rPr>
                <w:rFonts w:ascii="Arial" w:eastAsia="黑体" w:hAnsi="Arial" w:cs="Arial"/>
                <w:sz w:val="18"/>
                <w:szCs w:val="18"/>
              </w:rPr>
              <w:t>个月预期信用损失</w:t>
            </w:r>
          </w:p>
        </w:tc>
        <w:tc>
          <w:tcPr>
            <w:tcW w:w="106"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3332" w:type="dxa"/>
            <w:gridSpan w:val="4"/>
            <w:tcBorders>
              <w:top w:val="single" w:sz="4" w:space="0" w:color="auto"/>
              <w:left w:val="nil"/>
              <w:bottom w:val="single" w:sz="4" w:space="0" w:color="auto"/>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整个存续期预期信用损失</w:t>
            </w:r>
          </w:p>
        </w:tc>
        <w:tc>
          <w:tcPr>
            <w:tcW w:w="10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23"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85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737"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阶段</w:t>
            </w:r>
            <w:proofErr w:type="gramStart"/>
            <w:r>
              <w:rPr>
                <w:rFonts w:ascii="Arial" w:eastAsia="黑体" w:hAnsi="Arial" w:cs="Arial"/>
                <w:sz w:val="18"/>
                <w:szCs w:val="18"/>
              </w:rPr>
              <w:t>一</w:t>
            </w:r>
            <w:proofErr w:type="gramEnd"/>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58"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阶段二</w:t>
            </w:r>
          </w:p>
        </w:tc>
        <w:tc>
          <w:tcPr>
            <w:tcW w:w="10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64"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阶段三</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2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合计</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851"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正常</w:t>
            </w: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73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196,483,292,380.49</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58"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817,673,390.24</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6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2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197,300,965,770.73</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rPr>
          <w:trHeight w:val="227"/>
        </w:trPr>
        <w:tc>
          <w:tcPr>
            <w:tcW w:w="851"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关注</w:t>
            </w: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737"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1,172,457.61</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58"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2,347,133,450.29</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6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2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2,348,305,907.90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851"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次级</w:t>
            </w: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73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5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6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394,589,805.94</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2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394,589,805.94</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851"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可疑</w:t>
            </w: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73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5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6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471,893,575.09</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2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471,893,575.09</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851"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损失</w:t>
            </w: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73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5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6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742,798,840.03</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2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742,798,840.03</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85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73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5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6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2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851"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合计</w:t>
            </w: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73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196,484,464,838.10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5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3,164,806,840.53</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6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1,609,282,221.06</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2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201,258,553,899.69</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bl>
    <w:p w:rsidR="00AD5BB5" w:rsidRDefault="00AD5BB5">
      <w:pPr>
        <w:pStyle w:val="aff2"/>
        <w:overflowPunct w:val="0"/>
        <w:autoSpaceDE w:val="0"/>
        <w:autoSpaceDN w:val="0"/>
        <w:adjustRightInd w:val="0"/>
        <w:snapToGrid w:val="0"/>
        <w:ind w:left="360" w:firstLine="402"/>
        <w:textAlignment w:val="bottom"/>
        <w:rPr>
          <w:rFonts w:ascii="Arial" w:eastAsia="黑体" w:hAnsi="Arial" w:cs="Arial"/>
          <w:b/>
          <w:bCs/>
          <w:snapToGrid w:val="0"/>
          <w:sz w:val="20"/>
        </w:rPr>
      </w:pPr>
    </w:p>
    <w:tbl>
      <w:tblPr>
        <w:tblW w:w="0" w:type="auto"/>
        <w:tblLayout w:type="fixed"/>
        <w:tblCellMar>
          <w:left w:w="0" w:type="dxa"/>
          <w:right w:w="0" w:type="dxa"/>
        </w:tblCellMar>
        <w:tblLook w:val="04A0" w:firstRow="1" w:lastRow="0" w:firstColumn="1" w:lastColumn="0" w:noHBand="0" w:noVBand="1"/>
        <w:tblCaption w:val="2c2d6476-eecf-4ceb-acd6-cd960b2040e9"/>
        <w:tblDescription w:val="{&quot;UUID&quot;:&quot;afsaddin_tabledata_2_56437_2c2d6476-eecf-4ceb-acd6-cd960b2040e9&quot;,&quot;TitleRowCount&quot;:3,&quot;SplitedTable&quot;:false,&quot;FirstTableId&quot;:&quot;2c2d6476-eecf-4ceb-acd6-cd960b2040e9&quot;}"/>
      </w:tblPr>
      <w:tblGrid>
        <w:gridCol w:w="851"/>
        <w:gridCol w:w="106"/>
        <w:gridCol w:w="1737"/>
        <w:gridCol w:w="106"/>
        <w:gridCol w:w="105"/>
        <w:gridCol w:w="1658"/>
        <w:gridCol w:w="105"/>
        <w:gridCol w:w="105"/>
        <w:gridCol w:w="1464"/>
        <w:gridCol w:w="105"/>
        <w:gridCol w:w="105"/>
        <w:gridCol w:w="1775"/>
        <w:gridCol w:w="105"/>
      </w:tblGrid>
      <w:tr w:rsidR="00AD5BB5">
        <w:tc>
          <w:tcPr>
            <w:tcW w:w="85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7265" w:type="dxa"/>
            <w:gridSpan w:val="10"/>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2022</w:t>
            </w:r>
            <w:r>
              <w:rPr>
                <w:rFonts w:ascii="Arial" w:eastAsia="黑体" w:hAnsi="Arial" w:cs="Arial"/>
                <w:sz w:val="18"/>
                <w:szCs w:val="18"/>
              </w:rPr>
              <w:t>年</w:t>
            </w:r>
            <w:r>
              <w:rPr>
                <w:rFonts w:ascii="Arial" w:eastAsia="黑体" w:hAnsi="Arial" w:cs="Arial"/>
                <w:sz w:val="18"/>
                <w:szCs w:val="18"/>
              </w:rPr>
              <w:t>12</w:t>
            </w:r>
            <w:r>
              <w:rPr>
                <w:rFonts w:ascii="Arial" w:eastAsia="黑体" w:hAnsi="Arial" w:cs="Arial"/>
                <w:sz w:val="18"/>
                <w:szCs w:val="18"/>
              </w:rPr>
              <w:t>月</w:t>
            </w:r>
            <w:r>
              <w:rPr>
                <w:rFonts w:ascii="Arial" w:eastAsia="黑体" w:hAnsi="Arial" w:cs="Arial"/>
                <w:sz w:val="18"/>
                <w:szCs w:val="18"/>
              </w:rPr>
              <w:t>31</w:t>
            </w:r>
            <w:r>
              <w:rPr>
                <w:rFonts w:ascii="Arial" w:eastAsia="黑体" w:hAnsi="Arial" w:cs="Arial"/>
                <w:sz w:val="18"/>
                <w:szCs w:val="18"/>
              </w:rPr>
              <w:t>日</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85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737"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12</w:t>
            </w:r>
            <w:r>
              <w:rPr>
                <w:rFonts w:ascii="Arial" w:eastAsia="黑体" w:hAnsi="Arial" w:cs="Arial"/>
                <w:sz w:val="18"/>
                <w:szCs w:val="18"/>
              </w:rPr>
              <w:t>个月预期信用损失</w:t>
            </w:r>
          </w:p>
        </w:tc>
        <w:tc>
          <w:tcPr>
            <w:tcW w:w="106"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3332" w:type="dxa"/>
            <w:gridSpan w:val="4"/>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整个存续期预期信用损失</w:t>
            </w:r>
          </w:p>
        </w:tc>
        <w:tc>
          <w:tcPr>
            <w:tcW w:w="10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75"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85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73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阶段</w:t>
            </w:r>
            <w:proofErr w:type="gramStart"/>
            <w:r>
              <w:rPr>
                <w:rFonts w:ascii="Arial" w:eastAsia="黑体" w:hAnsi="Arial" w:cs="Arial"/>
                <w:sz w:val="18"/>
                <w:szCs w:val="18"/>
              </w:rPr>
              <w:t>一</w:t>
            </w:r>
            <w:proofErr w:type="gramEnd"/>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5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阶段二</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6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阶段三</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7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合计</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851"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正常</w:t>
            </w: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73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195,458,880,010.40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5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743,096,280.59</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6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7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196,201,976,290.99</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851"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关注</w:t>
            </w: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73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3,042,274.96</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5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1,877,523,997.72</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6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579,105,355.29</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7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2,459,671,627.97</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851"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次级</w:t>
            </w: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73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5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6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625,927,720.12</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7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625,927,720.12</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851"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可疑</w:t>
            </w: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73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5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6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676,341,426.19</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7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676,341,426.19</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851"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损失</w:t>
            </w: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73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5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6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421,216,793.40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7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421,216,793.40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85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73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5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6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7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851"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合计</w:t>
            </w: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73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195,461,922,285.36</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5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2,620,620,278.31</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6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2,302,591,295.00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7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200,385,133,858.67</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bl>
    <w:p w:rsidR="00AD5BB5" w:rsidRDefault="00AD5BB5">
      <w:pPr>
        <w:overflowPunct w:val="0"/>
        <w:autoSpaceDE w:val="0"/>
        <w:autoSpaceDN w:val="0"/>
        <w:rPr>
          <w:rFonts w:ascii="Arial" w:eastAsia="黑体" w:hAnsi="Arial" w:cs="Arial"/>
          <w:snapToGrid w:val="0"/>
          <w:szCs w:val="21"/>
        </w:rPr>
      </w:pPr>
    </w:p>
    <w:p w:rsidR="00AD5BB5" w:rsidRDefault="00F87FF6">
      <w:pPr>
        <w:pStyle w:val="aff2"/>
        <w:widowControl/>
        <w:overflowPunct w:val="0"/>
        <w:autoSpaceDE w:val="0"/>
        <w:autoSpaceDN w:val="0"/>
        <w:adjustRightInd w:val="0"/>
        <w:snapToGrid w:val="0"/>
        <w:ind w:left="720" w:firstLineChars="0" w:hanging="720"/>
        <w:contextualSpacing/>
        <w:textAlignment w:val="bottom"/>
        <w:outlineLvl w:val="4"/>
        <w:rPr>
          <w:rFonts w:ascii="Arial" w:eastAsia="黑体" w:hAnsi="Arial" w:cs="Arial"/>
          <w:b/>
          <w:bCs/>
          <w:snapToGrid w:val="0"/>
          <w:szCs w:val="21"/>
        </w:rPr>
      </w:pPr>
      <w:bookmarkStart w:id="337" w:name="afsaddin_Section_3302366112734cf0b0ed6b0"/>
      <w:r>
        <w:rPr>
          <w:rFonts w:ascii="Arial" w:eastAsia="黑体" w:hAnsi="Arial" w:cs="Arial"/>
          <w:b/>
          <w:bCs/>
          <w:snapToGrid w:val="0"/>
          <w:szCs w:val="21"/>
        </w:rPr>
        <w:t>1.6</w:t>
      </w:r>
      <w:r>
        <w:rPr>
          <w:rFonts w:ascii="Arial" w:eastAsia="黑体" w:hAnsi="Arial" w:cs="Arial"/>
          <w:b/>
          <w:bCs/>
          <w:snapToGrid w:val="0"/>
          <w:szCs w:val="21"/>
        </w:rPr>
        <w:tab/>
      </w:r>
      <w:r>
        <w:rPr>
          <w:rFonts w:ascii="Arial" w:eastAsia="黑体" w:hAnsi="Arial" w:cs="Arial"/>
          <w:b/>
          <w:bCs/>
          <w:snapToGrid w:val="0"/>
          <w:szCs w:val="21"/>
        </w:rPr>
        <w:t>债券资产</w:t>
      </w:r>
    </w:p>
    <w:bookmarkEnd w:id="337"/>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债券投资账面价值（不含应计利息）按外部信用评级及预期信用损失减值阶段列示如下：</w:t>
      </w:r>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ee8c5486-3e21-4e8c-881c-a1f13a827455"/>
        <w:tblDescription w:val="{&quot;UUID&quot;:&quot;afsaddin_tabledata_2_56437_ee8c5486-3e21-4e8c-881c-a1f13a827455&quot;,&quot;TitleRowCount&quot;:3,&quot;SplitedTable&quot;:false,&quot;FirstTableId&quot;:&quot;ee8c5486-3e21-4e8c-881c-a1f13a827455&quot;}"/>
      </w:tblPr>
      <w:tblGrid>
        <w:gridCol w:w="851"/>
        <w:gridCol w:w="106"/>
        <w:gridCol w:w="1899"/>
        <w:gridCol w:w="105"/>
        <w:gridCol w:w="105"/>
        <w:gridCol w:w="1491"/>
        <w:gridCol w:w="105"/>
        <w:gridCol w:w="105"/>
        <w:gridCol w:w="1476"/>
        <w:gridCol w:w="105"/>
        <w:gridCol w:w="105"/>
        <w:gridCol w:w="1789"/>
        <w:gridCol w:w="105"/>
      </w:tblGrid>
      <w:tr w:rsidR="00AD5BB5">
        <w:tc>
          <w:tcPr>
            <w:tcW w:w="85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7285" w:type="dxa"/>
            <w:gridSpan w:val="10"/>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 DOCPROPERTY </w:instrText>
            </w:r>
            <w:r>
              <w:rPr>
                <w:rFonts w:ascii="Arial" w:eastAsia="黑体" w:hAnsi="Arial" w:cs="Arial"/>
                <w:sz w:val="18"/>
                <w:szCs w:val="18"/>
              </w:rPr>
              <w:instrText>当期资产负债表日</w:instrText>
            </w:r>
            <w:r>
              <w:rPr>
                <w:rFonts w:ascii="Arial" w:eastAsia="黑体" w:hAnsi="Arial" w:cs="Arial"/>
                <w:sz w:val="18"/>
                <w:szCs w:val="18"/>
              </w:rPr>
              <w:instrText xml:space="preserve"> </w:instrText>
            </w:r>
            <w:r>
              <w:rPr>
                <w:rFonts w:ascii="Arial" w:eastAsia="黑体" w:hAnsi="Arial" w:cs="Arial"/>
                <w:sz w:val="18"/>
                <w:szCs w:val="18"/>
              </w:rPr>
              <w:fldChar w:fldCharType="separate"/>
            </w:r>
            <w:r>
              <w:rPr>
                <w:rFonts w:ascii="Arial" w:eastAsia="黑体" w:hAnsi="Arial" w:cs="Arial"/>
                <w:sz w:val="18"/>
                <w:szCs w:val="18"/>
              </w:rPr>
              <w:t>2023</w:t>
            </w:r>
            <w:r>
              <w:rPr>
                <w:rFonts w:ascii="Arial" w:eastAsia="黑体" w:hAnsi="Arial" w:cs="Arial"/>
                <w:sz w:val="18"/>
                <w:szCs w:val="18"/>
              </w:rPr>
              <w:t>年</w:t>
            </w:r>
            <w:r>
              <w:rPr>
                <w:rFonts w:ascii="Arial" w:eastAsia="黑体" w:hAnsi="Arial" w:cs="Arial"/>
                <w:sz w:val="18"/>
                <w:szCs w:val="18"/>
              </w:rPr>
              <w:t>6</w:t>
            </w:r>
            <w:r>
              <w:rPr>
                <w:rFonts w:ascii="Arial" w:eastAsia="黑体" w:hAnsi="Arial" w:cs="Arial"/>
                <w:sz w:val="18"/>
                <w:szCs w:val="18"/>
              </w:rPr>
              <w:t>月</w:t>
            </w:r>
            <w:r>
              <w:rPr>
                <w:rFonts w:ascii="Arial" w:eastAsia="黑体" w:hAnsi="Arial" w:cs="Arial"/>
                <w:sz w:val="18"/>
                <w:szCs w:val="18"/>
              </w:rPr>
              <w:t>30</w:t>
            </w:r>
            <w:r>
              <w:rPr>
                <w:rFonts w:ascii="Arial" w:eastAsia="黑体" w:hAnsi="Arial" w:cs="Arial"/>
                <w:sz w:val="18"/>
                <w:szCs w:val="18"/>
              </w:rPr>
              <w:t>日</w:t>
            </w:r>
            <w:r>
              <w:rPr>
                <w:rFonts w:ascii="Arial" w:eastAsia="黑体" w:hAnsi="Arial" w:cs="Arial"/>
                <w:sz w:val="18"/>
                <w:szCs w:val="18"/>
              </w:rPr>
              <w:fldChar w:fldCharType="end"/>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85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899" w:type="dxa"/>
            <w:tcBorders>
              <w:top w:val="single" w:sz="4" w:space="0" w:color="auto"/>
              <w:left w:val="nil"/>
              <w:bottom w:val="single" w:sz="4" w:space="0" w:color="auto"/>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12</w:t>
            </w:r>
            <w:r>
              <w:rPr>
                <w:rFonts w:ascii="Arial" w:eastAsia="黑体" w:hAnsi="Arial" w:cs="Arial"/>
                <w:sz w:val="18"/>
                <w:szCs w:val="18"/>
              </w:rPr>
              <w:t>个月预期信用损失</w:t>
            </w:r>
          </w:p>
        </w:tc>
        <w:tc>
          <w:tcPr>
            <w:tcW w:w="10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3177" w:type="dxa"/>
            <w:gridSpan w:val="4"/>
            <w:tcBorders>
              <w:top w:val="single" w:sz="4" w:space="0" w:color="auto"/>
              <w:left w:val="nil"/>
              <w:bottom w:val="single" w:sz="4" w:space="0" w:color="auto"/>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整个存续期预期信用损失</w:t>
            </w:r>
          </w:p>
        </w:tc>
        <w:tc>
          <w:tcPr>
            <w:tcW w:w="10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89"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85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899"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阶段</w:t>
            </w:r>
            <w:proofErr w:type="gramStart"/>
            <w:r>
              <w:rPr>
                <w:rFonts w:ascii="Arial" w:eastAsia="黑体" w:hAnsi="Arial" w:cs="Arial"/>
                <w:sz w:val="18"/>
                <w:szCs w:val="18"/>
              </w:rPr>
              <w:t>一</w:t>
            </w:r>
            <w:proofErr w:type="gramEnd"/>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91"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阶段二</w:t>
            </w:r>
          </w:p>
        </w:tc>
        <w:tc>
          <w:tcPr>
            <w:tcW w:w="10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76"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阶段三</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8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合计</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851"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无评级</w:t>
            </w: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89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36,352,613,520.04</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9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7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8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36,352,613,520.04</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851"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AAA</w:t>
            </w: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89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40,838,448,159.41</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9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7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8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40,838,448,159.41</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851"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AAA-</w:t>
            </w: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89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49,993,019.14</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9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7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8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49,993,019.14</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851"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AA+</w:t>
            </w: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89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2,683,720,611.98</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9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7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8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2,683,720,611.98</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851"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AA</w:t>
            </w: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89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4,612,511,065.02</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9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7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8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4,612,511,065.02</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851"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AA(2)</w:t>
            </w: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89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2,783,207,074.33</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91"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7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8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2,783,207,074.33</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85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89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9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7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8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851"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合计</w:t>
            </w: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89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87,320,493,449.92</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91"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7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8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87,320,493,449.92</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bl>
    <w:p w:rsidR="00AD5BB5" w:rsidRDefault="00F87FF6">
      <w:pPr>
        <w:rPr>
          <w:rFonts w:ascii="Arial" w:eastAsia="黑体" w:hAnsi="Arial" w:cs="Arial"/>
          <w:snapToGrid w:val="0"/>
          <w:szCs w:val="21"/>
        </w:rPr>
      </w:pPr>
      <w:r>
        <w:rPr>
          <w:rFonts w:ascii="Arial" w:eastAsia="黑体" w:hAnsi="Arial" w:cs="Arial"/>
          <w:snapToGrid w:val="0"/>
          <w:szCs w:val="21"/>
        </w:rPr>
        <w:br w:type="page"/>
      </w:r>
    </w:p>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338" w:name="afsaddin_WithXu_4845752ba2084126ac4957c1"/>
      <w:r>
        <w:rPr>
          <w:rFonts w:ascii="Arial" w:eastAsia="黑体" w:hAnsi="Arial" w:cs="Arial"/>
          <w:b/>
          <w:snapToGrid w:val="0"/>
          <w:szCs w:val="21"/>
        </w:rPr>
        <w:t>八、</w:t>
      </w:r>
      <w:r>
        <w:rPr>
          <w:rFonts w:ascii="Arial" w:eastAsia="黑体" w:hAnsi="Arial" w:cs="Arial"/>
          <w:b/>
          <w:snapToGrid w:val="0"/>
          <w:szCs w:val="21"/>
        </w:rPr>
        <w:tab/>
      </w:r>
      <w:r>
        <w:rPr>
          <w:rFonts w:ascii="Arial" w:eastAsia="黑体" w:hAnsi="Arial" w:cs="Arial"/>
          <w:b/>
          <w:snapToGrid w:val="0"/>
          <w:szCs w:val="21"/>
        </w:rPr>
        <w:t>金融工具及其风险分析（续）</w:t>
      </w:r>
      <w:bookmarkEnd w:id="338"/>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339" w:name="afsaddin_WithXu_d4f6ef5f62584084a140f6c7"/>
      <w:r>
        <w:rPr>
          <w:rFonts w:ascii="Arial" w:eastAsia="黑体" w:hAnsi="Arial" w:cs="Arial"/>
          <w:b/>
          <w:snapToGrid w:val="0"/>
          <w:szCs w:val="21"/>
        </w:rPr>
        <w:t>1.</w:t>
      </w:r>
      <w:r>
        <w:rPr>
          <w:rFonts w:ascii="Arial" w:eastAsia="黑体" w:hAnsi="Arial" w:cs="Arial"/>
          <w:b/>
          <w:snapToGrid w:val="0"/>
          <w:szCs w:val="21"/>
        </w:rPr>
        <w:tab/>
      </w:r>
      <w:r>
        <w:rPr>
          <w:rFonts w:ascii="Arial" w:eastAsia="黑体" w:hAnsi="Arial" w:cs="Arial"/>
          <w:b/>
          <w:snapToGrid w:val="0"/>
          <w:szCs w:val="21"/>
        </w:rPr>
        <w:t>信用风险（续）</w:t>
      </w:r>
      <w:bookmarkEnd w:id="339"/>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845"/>
        <w:rPr>
          <w:rFonts w:ascii="Arial" w:eastAsia="黑体" w:hAnsi="Arial" w:cs="Arial"/>
          <w:b/>
          <w:snapToGrid w:val="0"/>
          <w:szCs w:val="21"/>
        </w:rPr>
      </w:pPr>
      <w:bookmarkStart w:id="340" w:name="afsaddin_WithXu_bdd2487e0c034363badd77cc"/>
      <w:r>
        <w:rPr>
          <w:rFonts w:ascii="Arial" w:eastAsia="黑体" w:hAnsi="Arial" w:cs="Arial"/>
          <w:b/>
          <w:snapToGrid w:val="0"/>
          <w:szCs w:val="21"/>
        </w:rPr>
        <w:t>（</w:t>
      </w:r>
      <w:r>
        <w:rPr>
          <w:rFonts w:ascii="Arial" w:eastAsia="黑体" w:hAnsi="Arial" w:cs="Arial"/>
          <w:b/>
          <w:snapToGrid w:val="0"/>
          <w:szCs w:val="21"/>
        </w:rPr>
        <w:t>2</w:t>
      </w:r>
      <w:r>
        <w:rPr>
          <w:rFonts w:ascii="Arial" w:eastAsia="黑体" w:hAnsi="Arial" w:cs="Arial"/>
          <w:b/>
          <w:snapToGrid w:val="0"/>
          <w:szCs w:val="21"/>
        </w:rPr>
        <w:t>）</w:t>
      </w:r>
      <w:r>
        <w:rPr>
          <w:rFonts w:ascii="Arial" w:eastAsia="黑体" w:hAnsi="Arial" w:cs="Arial"/>
          <w:b/>
          <w:snapToGrid w:val="0"/>
          <w:szCs w:val="21"/>
        </w:rPr>
        <w:tab/>
      </w:r>
      <w:r>
        <w:rPr>
          <w:rFonts w:ascii="Arial" w:eastAsia="黑体" w:hAnsi="Arial" w:cs="Arial"/>
          <w:b/>
          <w:snapToGrid w:val="0"/>
          <w:szCs w:val="21"/>
        </w:rPr>
        <w:t>信用风险分析（续）</w:t>
      </w:r>
      <w:bookmarkEnd w:id="340"/>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341" w:name="afsaddin_WithXu_3726650107814bcf9bdf621b"/>
      <w:r>
        <w:rPr>
          <w:rFonts w:ascii="Arial" w:eastAsia="黑体" w:hAnsi="Arial" w:cs="Arial"/>
          <w:b/>
          <w:snapToGrid w:val="0"/>
          <w:szCs w:val="21"/>
        </w:rPr>
        <w:t>1.6</w:t>
      </w:r>
      <w:r>
        <w:rPr>
          <w:rFonts w:ascii="Arial" w:eastAsia="黑体" w:hAnsi="Arial" w:cs="Arial"/>
          <w:b/>
          <w:snapToGrid w:val="0"/>
          <w:szCs w:val="21"/>
        </w:rPr>
        <w:tab/>
      </w:r>
      <w:r>
        <w:rPr>
          <w:rFonts w:ascii="Arial" w:eastAsia="黑体" w:hAnsi="Arial" w:cs="Arial"/>
          <w:b/>
          <w:snapToGrid w:val="0"/>
          <w:szCs w:val="21"/>
        </w:rPr>
        <w:t>债券资产（续）</w:t>
      </w:r>
      <w:bookmarkEnd w:id="341"/>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3699d86e-d47a-4f9d-a6fd-014619b9e13d"/>
        <w:tblDescription w:val="{&quot;UUID&quot;:&quot;afsaddin_tabledata_2_56437_3699d86e-d47a-4f9d-a6fd-014619b9e13d&quot;,&quot;TitleRowCount&quot;:3,&quot;SplitedTable&quot;:false,&quot;FirstTableId&quot;:&quot;3699d86e-d47a-4f9d-a6fd-014619b9e13d&quot;}"/>
      </w:tblPr>
      <w:tblGrid>
        <w:gridCol w:w="851"/>
        <w:gridCol w:w="106"/>
        <w:gridCol w:w="121"/>
        <w:gridCol w:w="2058"/>
        <w:gridCol w:w="105"/>
        <w:gridCol w:w="105"/>
        <w:gridCol w:w="1316"/>
        <w:gridCol w:w="105"/>
        <w:gridCol w:w="105"/>
        <w:gridCol w:w="1196"/>
        <w:gridCol w:w="105"/>
        <w:gridCol w:w="105"/>
        <w:gridCol w:w="1843"/>
        <w:gridCol w:w="105"/>
      </w:tblGrid>
      <w:tr w:rsidR="00AD5BB5">
        <w:tc>
          <w:tcPr>
            <w:tcW w:w="85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bookmarkStart w:id="342" w:name="afsaddin_WithXu_6aa68210797c454c8c9bf272"/>
            <w:bookmarkStart w:id="343" w:name="afsaddin_WithXu_7ad217a096a24cd28daa4772"/>
            <w:bookmarkStart w:id="344" w:name="afsaddin_WithXu_397c8421f9624802bb6c96c3"/>
            <w:bookmarkStart w:id="345" w:name="afsaddin_WithXu_15448dd4988c4fb0b85a8aeb"/>
            <w:bookmarkEnd w:id="342"/>
            <w:bookmarkEnd w:id="343"/>
            <w:bookmarkEnd w:id="344"/>
            <w:bookmarkEnd w:id="345"/>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7043" w:type="dxa"/>
            <w:gridSpan w:val="10"/>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 DOCPROPERTY </w:instrText>
            </w:r>
            <w:r>
              <w:rPr>
                <w:rFonts w:ascii="Arial" w:eastAsia="黑体" w:hAnsi="Arial" w:cs="Arial"/>
                <w:sz w:val="18"/>
                <w:szCs w:val="18"/>
              </w:rPr>
              <w:instrText>上期资产负债表日</w:instrText>
            </w:r>
            <w:r>
              <w:rPr>
                <w:rFonts w:ascii="Arial" w:eastAsia="黑体" w:hAnsi="Arial" w:cs="Arial"/>
                <w:sz w:val="18"/>
                <w:szCs w:val="18"/>
              </w:rPr>
              <w:instrText xml:space="preserve"> </w:instrText>
            </w:r>
            <w:r>
              <w:rPr>
                <w:rFonts w:ascii="Arial" w:eastAsia="黑体" w:hAnsi="Arial" w:cs="Arial"/>
                <w:sz w:val="18"/>
                <w:szCs w:val="18"/>
              </w:rPr>
              <w:fldChar w:fldCharType="separate"/>
            </w:r>
            <w:r>
              <w:rPr>
                <w:rFonts w:ascii="Arial" w:eastAsia="黑体" w:hAnsi="Arial" w:cs="Arial"/>
                <w:sz w:val="18"/>
                <w:szCs w:val="18"/>
              </w:rPr>
              <w:t>2022</w:t>
            </w:r>
            <w:r>
              <w:rPr>
                <w:rFonts w:ascii="Arial" w:eastAsia="黑体" w:hAnsi="Arial" w:cs="Arial"/>
                <w:sz w:val="18"/>
                <w:szCs w:val="18"/>
              </w:rPr>
              <w:t>年</w:t>
            </w:r>
            <w:r>
              <w:rPr>
                <w:rFonts w:ascii="Arial" w:eastAsia="黑体" w:hAnsi="Arial" w:cs="Arial"/>
                <w:sz w:val="18"/>
                <w:szCs w:val="18"/>
              </w:rPr>
              <w:t>12</w:t>
            </w:r>
            <w:r>
              <w:rPr>
                <w:rFonts w:ascii="Arial" w:eastAsia="黑体" w:hAnsi="Arial" w:cs="Arial"/>
                <w:sz w:val="18"/>
                <w:szCs w:val="18"/>
              </w:rPr>
              <w:t>月</w:t>
            </w:r>
            <w:r>
              <w:rPr>
                <w:rFonts w:ascii="Arial" w:eastAsia="黑体" w:hAnsi="Arial" w:cs="Arial"/>
                <w:sz w:val="18"/>
                <w:szCs w:val="18"/>
              </w:rPr>
              <w:t>31</w:t>
            </w:r>
            <w:r>
              <w:rPr>
                <w:rFonts w:ascii="Arial" w:eastAsia="黑体" w:hAnsi="Arial" w:cs="Arial"/>
                <w:sz w:val="18"/>
                <w:szCs w:val="18"/>
              </w:rPr>
              <w:t>日</w:t>
            </w:r>
            <w:r>
              <w:rPr>
                <w:rFonts w:ascii="Arial" w:eastAsia="黑体" w:hAnsi="Arial" w:cs="Arial"/>
                <w:sz w:val="18"/>
                <w:szCs w:val="18"/>
              </w:rPr>
              <w:fldChar w:fldCharType="end"/>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85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21" w:type="dxa"/>
            <w:tcBorders>
              <w:top w:val="nil"/>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2058" w:type="dxa"/>
            <w:tcBorders>
              <w:top w:val="single" w:sz="4" w:space="0" w:color="auto"/>
              <w:left w:val="nil"/>
              <w:bottom w:val="single" w:sz="4" w:space="0" w:color="auto"/>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12</w:t>
            </w:r>
            <w:r>
              <w:rPr>
                <w:rFonts w:ascii="Arial" w:eastAsia="黑体" w:hAnsi="Arial" w:cs="Arial"/>
                <w:sz w:val="18"/>
                <w:szCs w:val="18"/>
              </w:rPr>
              <w:t>个月预期信用损失</w:t>
            </w:r>
          </w:p>
        </w:tc>
        <w:tc>
          <w:tcPr>
            <w:tcW w:w="10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722" w:type="dxa"/>
            <w:gridSpan w:val="4"/>
            <w:tcBorders>
              <w:top w:val="single" w:sz="4" w:space="0" w:color="auto"/>
              <w:left w:val="nil"/>
              <w:bottom w:val="single" w:sz="4" w:space="0" w:color="auto"/>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整个存续期预期信用损失</w:t>
            </w:r>
          </w:p>
        </w:tc>
        <w:tc>
          <w:tcPr>
            <w:tcW w:w="10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43"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85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2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2058"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阶段</w:t>
            </w:r>
            <w:proofErr w:type="gramStart"/>
            <w:r>
              <w:rPr>
                <w:rFonts w:ascii="Arial" w:eastAsia="黑体" w:hAnsi="Arial" w:cs="Arial"/>
                <w:sz w:val="18"/>
                <w:szCs w:val="18"/>
              </w:rPr>
              <w:t>一</w:t>
            </w:r>
            <w:proofErr w:type="gramEnd"/>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316"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阶段二</w:t>
            </w:r>
          </w:p>
        </w:tc>
        <w:tc>
          <w:tcPr>
            <w:tcW w:w="10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96"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阶段三</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4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合计</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851"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无评级</w:t>
            </w: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2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5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41,033,114,448.53</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31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9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4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41,033,114,448.53</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851"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AAA</w:t>
            </w: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2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5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34,761,709,506.33</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31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9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4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34,761,709,506.33</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851"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AAA-</w:t>
            </w: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2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5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49,998,018.51</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31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9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4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49,998,018.51</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851"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AA+</w:t>
            </w: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2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5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1,974,525,197.31</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31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9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4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1,974,525,197.31</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851"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AA</w:t>
            </w: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2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5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4,235,116,854.95</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31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9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4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4,235,116,854.95</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85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2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5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31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9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4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851"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合计</w:t>
            </w: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2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5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82,054,464,025.63</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31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9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4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82,054,464,025.63</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bl>
    <w:p w:rsidR="00AD5BB5" w:rsidRDefault="00AD5BB5">
      <w:pPr>
        <w:overflowPunct w:val="0"/>
        <w:autoSpaceDE w:val="0"/>
        <w:autoSpaceDN w:val="0"/>
        <w:rPr>
          <w:rFonts w:ascii="Arial" w:eastAsia="黑体" w:hAnsi="Arial" w:cs="Arial"/>
          <w:snapToGrid w:val="0"/>
          <w:szCs w:val="21"/>
        </w:rPr>
      </w:pPr>
    </w:p>
    <w:p w:rsidR="00AD5BB5" w:rsidRDefault="00F87FF6">
      <w:pPr>
        <w:pStyle w:val="aff2"/>
        <w:widowControl/>
        <w:overflowPunct w:val="0"/>
        <w:autoSpaceDE w:val="0"/>
        <w:autoSpaceDN w:val="0"/>
        <w:adjustRightInd w:val="0"/>
        <w:snapToGrid w:val="0"/>
        <w:ind w:left="720" w:firstLineChars="0" w:hanging="720"/>
        <w:contextualSpacing/>
        <w:textAlignment w:val="bottom"/>
        <w:outlineLvl w:val="4"/>
        <w:rPr>
          <w:rFonts w:ascii="Arial" w:eastAsia="黑体" w:hAnsi="Arial" w:cs="Arial"/>
          <w:b/>
          <w:bCs/>
          <w:snapToGrid w:val="0"/>
          <w:szCs w:val="21"/>
        </w:rPr>
      </w:pPr>
      <w:bookmarkStart w:id="346" w:name="afsaddin_Section_01998cc4097647358c6c8eb"/>
      <w:r>
        <w:rPr>
          <w:rFonts w:ascii="Arial" w:eastAsia="黑体" w:hAnsi="Arial" w:cs="Arial"/>
          <w:b/>
          <w:bCs/>
          <w:snapToGrid w:val="0"/>
          <w:szCs w:val="21"/>
        </w:rPr>
        <w:t>1.7</w:t>
      </w:r>
      <w:r>
        <w:rPr>
          <w:rFonts w:ascii="Arial" w:eastAsia="黑体" w:hAnsi="Arial" w:cs="Arial"/>
          <w:b/>
          <w:bCs/>
          <w:snapToGrid w:val="0"/>
          <w:szCs w:val="21"/>
        </w:rPr>
        <w:tab/>
      </w:r>
      <w:r>
        <w:rPr>
          <w:rFonts w:ascii="Arial" w:eastAsia="黑体" w:hAnsi="Arial" w:cs="Arial"/>
          <w:b/>
          <w:bCs/>
          <w:snapToGrid w:val="0"/>
          <w:szCs w:val="21"/>
        </w:rPr>
        <w:t>既未逾期也未减值的金融资产信用质量分析</w:t>
      </w:r>
    </w:p>
    <w:bookmarkEnd w:id="346"/>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于资产负债表日，既未逾期也未减值的发放贷款及垫款（不含应计利息）的五级分类评定列示如下：</w:t>
      </w:r>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39cde6b1-7ae4-4d70-90d7-3a9e15022474"/>
        <w:tblDescription w:val="{&quot;UUID&quot;:&quot;afsaddin_tabledata_2_56437_39cde6b1-7ae4-4d70-90d7-3a9e15022474&quot;,&quot;TitleRowCount&quot;:2,&quot;SplitedTable&quot;:false,&quot;FirstTableId&quot;:&quot;39cde6b1-7ae4-4d70-90d7-3a9e15022474&quot;}"/>
      </w:tblPr>
      <w:tblGrid>
        <w:gridCol w:w="3878"/>
        <w:gridCol w:w="112"/>
        <w:gridCol w:w="1987"/>
        <w:gridCol w:w="112"/>
        <w:gridCol w:w="112"/>
        <w:gridCol w:w="1984"/>
        <w:gridCol w:w="112"/>
      </w:tblGrid>
      <w:tr w:rsidR="00AD5BB5">
        <w:tc>
          <w:tcPr>
            <w:tcW w:w="3878"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当期资产负债表日</w:instrText>
            </w:r>
            <w:r>
              <w:rPr>
                <w:rFonts w:ascii="Arial" w:eastAsia="黑体" w:hAnsi="Arial" w:cs="Arial"/>
                <w:szCs w:val="21"/>
              </w:rPr>
              <w:instrText xml:space="preserve"> </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t>年</w:t>
            </w:r>
            <w:r>
              <w:rPr>
                <w:rFonts w:ascii="Arial" w:eastAsia="黑体" w:hAnsi="Arial" w:cs="Arial"/>
                <w:szCs w:val="21"/>
              </w:rPr>
              <w:t>6</w:t>
            </w:r>
            <w:r>
              <w:rPr>
                <w:rFonts w:ascii="Arial" w:eastAsia="黑体" w:hAnsi="Arial" w:cs="Arial"/>
                <w:szCs w:val="21"/>
              </w:rPr>
              <w:t>月</w:t>
            </w:r>
            <w:r>
              <w:rPr>
                <w:rFonts w:ascii="Arial" w:eastAsia="黑体" w:hAnsi="Arial" w:cs="Arial"/>
                <w:szCs w:val="21"/>
              </w:rPr>
              <w:t>30</w:t>
            </w:r>
            <w:r>
              <w:rPr>
                <w:rFonts w:ascii="Arial" w:eastAsia="黑体" w:hAnsi="Arial" w:cs="Arial"/>
                <w:szCs w:val="21"/>
              </w:rPr>
              <w:t>日</w:t>
            </w:r>
            <w:r>
              <w:rPr>
                <w:rFonts w:ascii="Arial" w:eastAsia="黑体" w:hAnsi="Arial" w:cs="Arial"/>
                <w:szCs w:val="21"/>
              </w:rPr>
              <w:fldChar w:fldCharType="end"/>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上期资产负债表日</w:instrText>
            </w:r>
            <w:r>
              <w:rPr>
                <w:rFonts w:ascii="Arial" w:eastAsia="黑体" w:hAnsi="Arial" w:cs="Arial"/>
                <w:szCs w:val="21"/>
              </w:rPr>
              <w:instrText xml:space="preserve"> </w:instrText>
            </w:r>
            <w:r>
              <w:rPr>
                <w:rFonts w:ascii="Arial" w:eastAsia="黑体" w:hAnsi="Arial" w:cs="Arial"/>
                <w:szCs w:val="21"/>
              </w:rPr>
              <w:fldChar w:fldCharType="separate"/>
            </w:r>
            <w:r>
              <w:rPr>
                <w:rFonts w:ascii="Arial" w:eastAsia="黑体" w:hAnsi="Arial" w:cs="Arial"/>
                <w:szCs w:val="21"/>
              </w:rPr>
              <w:t>2022</w:t>
            </w:r>
            <w:r>
              <w:rPr>
                <w:rFonts w:ascii="Arial" w:eastAsia="黑体" w:hAnsi="Arial" w:cs="Arial"/>
                <w:szCs w:val="21"/>
              </w:rPr>
              <w:t>年</w:t>
            </w:r>
            <w:r>
              <w:rPr>
                <w:rFonts w:ascii="Arial" w:eastAsia="黑体" w:hAnsi="Arial" w:cs="Arial"/>
                <w:szCs w:val="21"/>
              </w:rPr>
              <w:t>12</w:t>
            </w:r>
            <w:r>
              <w:rPr>
                <w:rFonts w:ascii="Arial" w:eastAsia="黑体" w:hAnsi="Arial" w:cs="Arial"/>
                <w:szCs w:val="21"/>
              </w:rPr>
              <w:t>月</w:t>
            </w:r>
            <w:r>
              <w:rPr>
                <w:rFonts w:ascii="Arial" w:eastAsia="黑体" w:hAnsi="Arial" w:cs="Arial"/>
                <w:szCs w:val="21"/>
              </w:rPr>
              <w:t>31</w:t>
            </w:r>
            <w:r>
              <w:rPr>
                <w:rFonts w:ascii="Arial" w:eastAsia="黑体" w:hAnsi="Arial" w:cs="Arial"/>
                <w:szCs w:val="21"/>
              </w:rPr>
              <w:t>日</w:t>
            </w:r>
            <w:r>
              <w:rPr>
                <w:rFonts w:ascii="Arial" w:eastAsia="黑体" w:hAnsi="Arial" w:cs="Arial"/>
                <w:szCs w:val="21"/>
              </w:rPr>
              <w:fldChar w:fldCharType="end"/>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正常</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196,995,344,687.63</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195,958,073,104.01</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关注</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1,177,812,853.31</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1,092,495,963.17</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合计</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198,173,157,540.94</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197,050,569,067.18</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bl>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管理层认为，于</w:t>
      </w: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当期资产负债表日</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2023</w:t>
      </w:r>
      <w:r>
        <w:rPr>
          <w:rFonts w:ascii="Arial" w:eastAsia="黑体" w:hAnsi="Arial" w:cs="Arial"/>
          <w:snapToGrid w:val="0"/>
          <w:szCs w:val="21"/>
        </w:rPr>
        <w:t>年</w:t>
      </w:r>
      <w:r>
        <w:rPr>
          <w:rFonts w:ascii="Arial" w:eastAsia="黑体" w:hAnsi="Arial" w:cs="Arial"/>
          <w:snapToGrid w:val="0"/>
          <w:szCs w:val="21"/>
        </w:rPr>
        <w:t>6</w:t>
      </w:r>
      <w:r>
        <w:rPr>
          <w:rFonts w:ascii="Arial" w:eastAsia="黑体" w:hAnsi="Arial" w:cs="Arial"/>
          <w:snapToGrid w:val="0"/>
          <w:szCs w:val="21"/>
        </w:rPr>
        <w:t>月</w:t>
      </w:r>
      <w:r>
        <w:rPr>
          <w:rFonts w:ascii="Arial" w:eastAsia="黑体" w:hAnsi="Arial" w:cs="Arial"/>
          <w:snapToGrid w:val="0"/>
          <w:szCs w:val="21"/>
        </w:rPr>
        <w:t>30</w:t>
      </w:r>
      <w:r>
        <w:rPr>
          <w:rFonts w:ascii="Arial" w:eastAsia="黑体" w:hAnsi="Arial" w:cs="Arial"/>
          <w:snapToGrid w:val="0"/>
          <w:szCs w:val="21"/>
        </w:rPr>
        <w:t>日</w:t>
      </w:r>
      <w:r>
        <w:rPr>
          <w:rFonts w:ascii="Arial" w:eastAsia="黑体" w:hAnsi="Arial" w:cs="Arial"/>
          <w:snapToGrid w:val="0"/>
          <w:szCs w:val="21"/>
        </w:rPr>
        <w:fldChar w:fldCharType="end"/>
      </w:r>
      <w:r>
        <w:rPr>
          <w:rFonts w:ascii="Arial" w:eastAsia="黑体" w:hAnsi="Arial" w:cs="Arial"/>
          <w:snapToGrid w:val="0"/>
          <w:szCs w:val="21"/>
        </w:rPr>
        <w:t>及</w:t>
      </w: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上期资产负债表日</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2022</w:t>
      </w:r>
      <w:r>
        <w:rPr>
          <w:rFonts w:ascii="Arial" w:eastAsia="黑体" w:hAnsi="Arial" w:cs="Arial"/>
          <w:snapToGrid w:val="0"/>
          <w:szCs w:val="21"/>
        </w:rPr>
        <w:t>年</w:t>
      </w:r>
      <w:r>
        <w:rPr>
          <w:rFonts w:ascii="Arial" w:eastAsia="黑体" w:hAnsi="Arial" w:cs="Arial"/>
          <w:snapToGrid w:val="0"/>
          <w:szCs w:val="21"/>
        </w:rPr>
        <w:t>12</w:t>
      </w:r>
      <w:r>
        <w:rPr>
          <w:rFonts w:ascii="Arial" w:eastAsia="黑体" w:hAnsi="Arial" w:cs="Arial"/>
          <w:snapToGrid w:val="0"/>
          <w:szCs w:val="21"/>
        </w:rPr>
        <w:t>月</w:t>
      </w:r>
      <w:r>
        <w:rPr>
          <w:rFonts w:ascii="Arial" w:eastAsia="黑体" w:hAnsi="Arial" w:cs="Arial"/>
          <w:snapToGrid w:val="0"/>
          <w:szCs w:val="21"/>
        </w:rPr>
        <w:t>31</w:t>
      </w:r>
      <w:r>
        <w:rPr>
          <w:rFonts w:ascii="Arial" w:eastAsia="黑体" w:hAnsi="Arial" w:cs="Arial"/>
          <w:snapToGrid w:val="0"/>
          <w:szCs w:val="21"/>
        </w:rPr>
        <w:t>日</w:t>
      </w:r>
      <w:r>
        <w:rPr>
          <w:rFonts w:ascii="Arial" w:eastAsia="黑体" w:hAnsi="Arial" w:cs="Arial"/>
          <w:snapToGrid w:val="0"/>
          <w:szCs w:val="21"/>
        </w:rPr>
        <w:fldChar w:fldCharType="end"/>
      </w:r>
      <w:r>
        <w:rPr>
          <w:rFonts w:ascii="Arial" w:eastAsia="黑体" w:hAnsi="Arial" w:cs="Arial"/>
          <w:snapToGrid w:val="0"/>
          <w:szCs w:val="21"/>
        </w:rPr>
        <w:t>，上述贷款</w:t>
      </w:r>
      <w:proofErr w:type="gramStart"/>
      <w:r>
        <w:rPr>
          <w:rFonts w:ascii="Arial" w:eastAsia="黑体" w:hAnsi="Arial" w:cs="Arial"/>
          <w:snapToGrid w:val="0"/>
          <w:szCs w:val="21"/>
        </w:rPr>
        <w:t>仅面临</w:t>
      </w:r>
      <w:proofErr w:type="gramEnd"/>
      <w:r>
        <w:rPr>
          <w:rFonts w:ascii="Arial" w:eastAsia="黑体" w:hAnsi="Arial" w:cs="Arial"/>
          <w:snapToGrid w:val="0"/>
          <w:szCs w:val="21"/>
        </w:rPr>
        <w:t>正常的商业风险，没有能够识别的客观证据表明其会发生减值。</w:t>
      </w:r>
    </w:p>
    <w:p w:rsidR="00AD5BB5" w:rsidRDefault="00AD5BB5">
      <w:pPr>
        <w:overflowPunct w:val="0"/>
        <w:autoSpaceDE w:val="0"/>
        <w:autoSpaceDN w:val="0"/>
        <w:rPr>
          <w:rFonts w:ascii="Arial" w:eastAsia="黑体" w:hAnsi="Arial" w:cs="Arial"/>
          <w:snapToGrid w:val="0"/>
          <w:szCs w:val="21"/>
        </w:rPr>
      </w:pPr>
    </w:p>
    <w:p w:rsidR="00AD5BB5" w:rsidRDefault="00F87FF6">
      <w:pPr>
        <w:pStyle w:val="aff2"/>
        <w:widowControl/>
        <w:overflowPunct w:val="0"/>
        <w:autoSpaceDE w:val="0"/>
        <w:autoSpaceDN w:val="0"/>
        <w:adjustRightInd w:val="0"/>
        <w:snapToGrid w:val="0"/>
        <w:ind w:left="720" w:firstLineChars="0" w:hanging="720"/>
        <w:contextualSpacing/>
        <w:textAlignment w:val="bottom"/>
        <w:outlineLvl w:val="4"/>
        <w:rPr>
          <w:rFonts w:ascii="Arial" w:eastAsia="黑体" w:hAnsi="Arial" w:cs="Arial"/>
          <w:b/>
          <w:bCs/>
          <w:snapToGrid w:val="0"/>
          <w:szCs w:val="21"/>
        </w:rPr>
      </w:pPr>
      <w:bookmarkStart w:id="347" w:name="afsaddin_Section_b0c90a3fff284fccb5de824"/>
      <w:r>
        <w:rPr>
          <w:rFonts w:ascii="Arial" w:eastAsia="黑体" w:hAnsi="Arial" w:cs="Arial"/>
          <w:b/>
          <w:bCs/>
          <w:snapToGrid w:val="0"/>
          <w:szCs w:val="21"/>
        </w:rPr>
        <w:t>1.8</w:t>
      </w:r>
      <w:r>
        <w:rPr>
          <w:rFonts w:ascii="Arial" w:eastAsia="黑体" w:hAnsi="Arial" w:cs="Arial"/>
          <w:b/>
          <w:bCs/>
          <w:snapToGrid w:val="0"/>
          <w:szCs w:val="21"/>
        </w:rPr>
        <w:tab/>
      </w:r>
      <w:r>
        <w:rPr>
          <w:rFonts w:ascii="Arial" w:eastAsia="黑体" w:hAnsi="Arial" w:cs="Arial"/>
          <w:b/>
          <w:bCs/>
          <w:snapToGrid w:val="0"/>
          <w:szCs w:val="21"/>
        </w:rPr>
        <w:t>抵押物公允价值</w:t>
      </w:r>
    </w:p>
    <w:bookmarkEnd w:id="347"/>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已减值金融资产抵押物于资产负债表日的公允价值：</w:t>
      </w:r>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09e1a6e2-a76b-493d-8c5d-479bf8873532"/>
        <w:tblDescription w:val="{&quot;UUID&quot;:&quot;afsaddin_tabledata_2_56437_09e1a6e2-a76b-493d-8c5d-479bf8873532&quot;,&quot;TitleRowCount&quot;:2,&quot;SplitedTable&quot;:false,&quot;FirstTableId&quot;:&quot;09e1a6e2-a76b-493d-8c5d-479bf8873532&quot;}"/>
      </w:tblPr>
      <w:tblGrid>
        <w:gridCol w:w="3878"/>
        <w:gridCol w:w="112"/>
        <w:gridCol w:w="1987"/>
        <w:gridCol w:w="112"/>
        <w:gridCol w:w="112"/>
        <w:gridCol w:w="1984"/>
        <w:gridCol w:w="112"/>
      </w:tblGrid>
      <w:tr w:rsidR="00AD5BB5">
        <w:tc>
          <w:tcPr>
            <w:tcW w:w="3878" w:type="dxa"/>
            <w:tcBorders>
              <w:top w:val="nil"/>
              <w:left w:val="nil"/>
              <w:bottom w:val="nil"/>
              <w:right w:val="nil"/>
            </w:tcBorders>
            <w:vAlign w:val="bottom"/>
          </w:tcPr>
          <w:p w:rsidR="00AD5BB5" w:rsidRDefault="00AD5BB5">
            <w:pPr>
              <w:autoSpaceDE w:val="0"/>
              <w:autoSpaceDN w:val="0"/>
              <w:ind w:left="315" w:hangingChars="150" w:hanging="315"/>
              <w:jc w:val="center"/>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center"/>
              <w:rPr>
                <w:rFonts w:ascii="Arial" w:eastAsia="黑体" w:hAnsi="Arial" w:cs="Arial"/>
                <w:szCs w:val="21"/>
              </w:rPr>
            </w:pPr>
          </w:p>
        </w:tc>
        <w:tc>
          <w:tcPr>
            <w:tcW w:w="198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当期资产负债表日</w:instrText>
            </w:r>
            <w:r>
              <w:rPr>
                <w:rFonts w:ascii="Arial" w:eastAsia="黑体" w:hAnsi="Arial" w:cs="Arial"/>
                <w:szCs w:val="21"/>
              </w:rPr>
              <w:instrText xml:space="preserve"> </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t>年</w:t>
            </w:r>
            <w:r>
              <w:rPr>
                <w:rFonts w:ascii="Arial" w:eastAsia="黑体" w:hAnsi="Arial" w:cs="Arial"/>
                <w:szCs w:val="21"/>
              </w:rPr>
              <w:t>6</w:t>
            </w:r>
            <w:r>
              <w:rPr>
                <w:rFonts w:ascii="Arial" w:eastAsia="黑体" w:hAnsi="Arial" w:cs="Arial"/>
                <w:szCs w:val="21"/>
              </w:rPr>
              <w:t>月</w:t>
            </w:r>
            <w:r>
              <w:rPr>
                <w:rFonts w:ascii="Arial" w:eastAsia="黑体" w:hAnsi="Arial" w:cs="Arial"/>
                <w:szCs w:val="21"/>
              </w:rPr>
              <w:t>30</w:t>
            </w:r>
            <w:r>
              <w:rPr>
                <w:rFonts w:ascii="Arial" w:eastAsia="黑体" w:hAnsi="Arial" w:cs="Arial"/>
                <w:szCs w:val="21"/>
              </w:rPr>
              <w:t>日</w:t>
            </w:r>
            <w:r>
              <w:rPr>
                <w:rFonts w:ascii="Arial" w:eastAsia="黑体" w:hAnsi="Arial" w:cs="Arial"/>
                <w:szCs w:val="21"/>
              </w:rPr>
              <w:fldChar w:fldCharType="end"/>
            </w:r>
          </w:p>
        </w:tc>
        <w:tc>
          <w:tcPr>
            <w:tcW w:w="112" w:type="dxa"/>
            <w:tcBorders>
              <w:top w:val="nil"/>
              <w:left w:val="nil"/>
              <w:bottom w:val="nil"/>
              <w:right w:val="nil"/>
            </w:tcBorders>
            <w:vAlign w:val="bottom"/>
          </w:tcPr>
          <w:p w:rsidR="00AD5BB5" w:rsidRDefault="00AD5BB5">
            <w:pPr>
              <w:autoSpaceDE w:val="0"/>
              <w:autoSpaceDN w:val="0"/>
              <w:jc w:val="center"/>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center"/>
              <w:rPr>
                <w:rFonts w:ascii="Arial" w:eastAsia="黑体" w:hAnsi="Arial" w:cs="Arial"/>
                <w:szCs w:val="21"/>
              </w:rPr>
            </w:pPr>
          </w:p>
        </w:tc>
        <w:tc>
          <w:tcPr>
            <w:tcW w:w="1984"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2022</w:t>
            </w:r>
            <w:r>
              <w:rPr>
                <w:rFonts w:ascii="Arial" w:eastAsia="黑体" w:hAnsi="Arial" w:cs="Arial"/>
                <w:szCs w:val="21"/>
              </w:rPr>
              <w:t>年</w:t>
            </w:r>
            <w:r>
              <w:rPr>
                <w:rFonts w:ascii="Arial" w:eastAsia="黑体" w:hAnsi="Arial" w:cs="Arial"/>
                <w:szCs w:val="21"/>
              </w:rPr>
              <w:t>12</w:t>
            </w:r>
            <w:r>
              <w:rPr>
                <w:rFonts w:ascii="Arial" w:eastAsia="黑体" w:hAnsi="Arial" w:cs="Arial"/>
                <w:szCs w:val="21"/>
              </w:rPr>
              <w:t>月</w:t>
            </w:r>
            <w:r>
              <w:rPr>
                <w:rFonts w:ascii="Arial" w:eastAsia="黑体" w:hAnsi="Arial" w:cs="Arial"/>
                <w:szCs w:val="21"/>
              </w:rPr>
              <w:t>31</w:t>
            </w:r>
            <w:r>
              <w:rPr>
                <w:rFonts w:ascii="Arial" w:eastAsia="黑体" w:hAnsi="Arial" w:cs="Arial"/>
                <w:szCs w:val="21"/>
              </w:rPr>
              <w:t>日</w:t>
            </w:r>
          </w:p>
        </w:tc>
        <w:tc>
          <w:tcPr>
            <w:tcW w:w="112" w:type="dxa"/>
            <w:tcBorders>
              <w:top w:val="nil"/>
              <w:left w:val="nil"/>
              <w:bottom w:val="nil"/>
              <w:right w:val="nil"/>
            </w:tcBorders>
            <w:vAlign w:val="bottom"/>
          </w:tcPr>
          <w:p w:rsidR="00AD5BB5" w:rsidRDefault="00AD5BB5">
            <w:pPr>
              <w:autoSpaceDE w:val="0"/>
              <w:autoSpaceDN w:val="0"/>
              <w:jc w:val="center"/>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hint="eastAsia"/>
                <w:szCs w:val="21"/>
              </w:rPr>
              <w:t>发放</w:t>
            </w:r>
            <w:r>
              <w:rPr>
                <w:rFonts w:ascii="Arial" w:eastAsia="黑体" w:hAnsi="Arial" w:cs="Arial"/>
                <w:szCs w:val="21"/>
              </w:rPr>
              <w:t>贷款及垫款</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1,010,840,636.35</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1,560,709,650.75</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债权投资</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130,700,000.00</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合计</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1,010,840,636.35</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1,691,409,650.75</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bl>
    <w:p w:rsidR="00AD5BB5" w:rsidRDefault="00F87FF6">
      <w:pPr>
        <w:rPr>
          <w:rFonts w:ascii="Arial" w:eastAsia="黑体" w:hAnsi="Arial" w:cs="Arial"/>
          <w:snapToGrid w:val="0"/>
          <w:szCs w:val="21"/>
        </w:rPr>
      </w:pPr>
      <w:r>
        <w:rPr>
          <w:rFonts w:ascii="Arial" w:eastAsia="黑体" w:hAnsi="Arial" w:cs="Arial"/>
          <w:snapToGrid w:val="0"/>
          <w:szCs w:val="21"/>
        </w:rPr>
        <w:br w:type="page"/>
      </w:r>
    </w:p>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348" w:name="afsaddin_WithXu_b6ceb15cb4a5469689549743"/>
      <w:r>
        <w:rPr>
          <w:rFonts w:ascii="Arial" w:eastAsia="黑体" w:hAnsi="Arial" w:cs="Arial"/>
          <w:b/>
          <w:snapToGrid w:val="0"/>
          <w:szCs w:val="21"/>
        </w:rPr>
        <w:t>八、</w:t>
      </w:r>
      <w:r>
        <w:rPr>
          <w:rFonts w:ascii="Arial" w:eastAsia="黑体" w:hAnsi="Arial" w:cs="Arial"/>
          <w:b/>
          <w:snapToGrid w:val="0"/>
          <w:szCs w:val="21"/>
        </w:rPr>
        <w:tab/>
      </w:r>
      <w:r>
        <w:rPr>
          <w:rFonts w:ascii="Arial" w:eastAsia="黑体" w:hAnsi="Arial" w:cs="Arial"/>
          <w:b/>
          <w:snapToGrid w:val="0"/>
          <w:szCs w:val="21"/>
        </w:rPr>
        <w:t>金融工具及其风险分析（续）</w:t>
      </w:r>
      <w:bookmarkEnd w:id="348"/>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349" w:name="afsaddin_WithXu_aee49e747d2a45908cb1d5d2"/>
      <w:r>
        <w:rPr>
          <w:rFonts w:ascii="Arial" w:eastAsia="黑体" w:hAnsi="Arial" w:cs="Arial"/>
          <w:b/>
          <w:snapToGrid w:val="0"/>
          <w:szCs w:val="21"/>
        </w:rPr>
        <w:t>1.</w:t>
      </w:r>
      <w:r>
        <w:rPr>
          <w:rFonts w:ascii="Arial" w:eastAsia="黑体" w:hAnsi="Arial" w:cs="Arial"/>
          <w:b/>
          <w:snapToGrid w:val="0"/>
          <w:szCs w:val="21"/>
        </w:rPr>
        <w:tab/>
      </w:r>
      <w:r>
        <w:rPr>
          <w:rFonts w:ascii="Arial" w:eastAsia="黑体" w:hAnsi="Arial" w:cs="Arial"/>
          <w:b/>
          <w:snapToGrid w:val="0"/>
          <w:szCs w:val="21"/>
        </w:rPr>
        <w:t>信用风险（续）</w:t>
      </w:r>
      <w:bookmarkEnd w:id="349"/>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845"/>
        <w:rPr>
          <w:rFonts w:ascii="Arial" w:eastAsia="黑体" w:hAnsi="Arial" w:cs="Arial"/>
          <w:b/>
          <w:snapToGrid w:val="0"/>
          <w:szCs w:val="21"/>
        </w:rPr>
      </w:pPr>
      <w:bookmarkStart w:id="350" w:name="afsaddin_WithXu_9155fd422889470bb90c97d2"/>
      <w:r>
        <w:rPr>
          <w:rFonts w:ascii="Arial" w:eastAsia="黑体" w:hAnsi="Arial" w:cs="Arial"/>
          <w:b/>
          <w:snapToGrid w:val="0"/>
          <w:szCs w:val="21"/>
        </w:rPr>
        <w:t>（</w:t>
      </w:r>
      <w:r>
        <w:rPr>
          <w:rFonts w:ascii="Arial" w:eastAsia="黑体" w:hAnsi="Arial" w:cs="Arial"/>
          <w:b/>
          <w:snapToGrid w:val="0"/>
          <w:szCs w:val="21"/>
        </w:rPr>
        <w:t>2</w:t>
      </w:r>
      <w:r>
        <w:rPr>
          <w:rFonts w:ascii="Arial" w:eastAsia="黑体" w:hAnsi="Arial" w:cs="Arial"/>
          <w:b/>
          <w:snapToGrid w:val="0"/>
          <w:szCs w:val="21"/>
        </w:rPr>
        <w:t>）</w:t>
      </w:r>
      <w:r>
        <w:rPr>
          <w:rFonts w:ascii="Arial" w:eastAsia="黑体" w:hAnsi="Arial" w:cs="Arial"/>
          <w:b/>
          <w:snapToGrid w:val="0"/>
          <w:szCs w:val="21"/>
        </w:rPr>
        <w:tab/>
      </w:r>
      <w:r>
        <w:rPr>
          <w:rFonts w:ascii="Arial" w:eastAsia="黑体" w:hAnsi="Arial" w:cs="Arial"/>
          <w:b/>
          <w:snapToGrid w:val="0"/>
          <w:szCs w:val="21"/>
        </w:rPr>
        <w:t>信用风险分析（续）</w:t>
      </w:r>
      <w:bookmarkEnd w:id="350"/>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351" w:name="afsaddin_WithXu_97bd16c2628345a6813b2f45"/>
      <w:r>
        <w:rPr>
          <w:rFonts w:ascii="Arial" w:eastAsia="黑体" w:hAnsi="Arial" w:cs="Arial"/>
          <w:b/>
          <w:snapToGrid w:val="0"/>
          <w:szCs w:val="21"/>
        </w:rPr>
        <w:t>1.8</w:t>
      </w:r>
      <w:r>
        <w:rPr>
          <w:rFonts w:ascii="Arial" w:eastAsia="黑体" w:hAnsi="Arial" w:cs="Arial"/>
          <w:b/>
          <w:snapToGrid w:val="0"/>
          <w:szCs w:val="21"/>
        </w:rPr>
        <w:tab/>
      </w:r>
      <w:r>
        <w:rPr>
          <w:rFonts w:ascii="Arial" w:eastAsia="黑体" w:hAnsi="Arial" w:cs="Arial"/>
          <w:b/>
          <w:snapToGrid w:val="0"/>
          <w:szCs w:val="21"/>
        </w:rPr>
        <w:t>抵押物公允价值（续）</w:t>
      </w:r>
      <w:bookmarkEnd w:id="351"/>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bookmarkStart w:id="352" w:name="afsaddin_WithXu_2d4c839b9a6a4c8da6697944"/>
      <w:bookmarkStart w:id="353" w:name="afsaddin_WithXu_67441ff4bff349b180f5e692"/>
      <w:bookmarkStart w:id="354" w:name="afsaddin_WithXu_8e4f5649615342a88c4b0d8b"/>
      <w:bookmarkStart w:id="355" w:name="afsaddin_WithXu_84caeb29ee6c40f3b21cca57"/>
      <w:bookmarkEnd w:id="352"/>
      <w:bookmarkEnd w:id="353"/>
      <w:bookmarkEnd w:id="354"/>
      <w:bookmarkEnd w:id="355"/>
      <w:r>
        <w:rPr>
          <w:rFonts w:ascii="Arial" w:eastAsia="黑体" w:hAnsi="Arial" w:cs="Arial"/>
          <w:snapToGrid w:val="0"/>
          <w:szCs w:val="21"/>
        </w:rPr>
        <w:t>已逾期未减值金融资产抵押物于资产负债表日的公允价值：</w:t>
      </w:r>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34c4ca60-2b7b-4923-83cb-a506b28e28f1"/>
        <w:tblDescription w:val="{&quot;UUID&quot;:&quot;afsaddin_tabledata_2_56437_34c4ca60-2b7b-4923-83cb-a506b28e28f1&quot;,&quot;TitleRowCount&quot;:2,&quot;SplitedTable&quot;:false,&quot;FirstTableId&quot;:&quot;34c4ca60-2b7b-4923-83cb-a506b28e28f1&quot;}"/>
      </w:tblPr>
      <w:tblGrid>
        <w:gridCol w:w="3878"/>
        <w:gridCol w:w="112"/>
        <w:gridCol w:w="1987"/>
        <w:gridCol w:w="112"/>
        <w:gridCol w:w="112"/>
        <w:gridCol w:w="1984"/>
        <w:gridCol w:w="112"/>
      </w:tblGrid>
      <w:tr w:rsidR="00AD5BB5">
        <w:tc>
          <w:tcPr>
            <w:tcW w:w="3878" w:type="dxa"/>
            <w:tcBorders>
              <w:top w:val="nil"/>
              <w:left w:val="nil"/>
              <w:bottom w:val="nil"/>
              <w:right w:val="nil"/>
            </w:tcBorders>
            <w:vAlign w:val="bottom"/>
          </w:tcPr>
          <w:p w:rsidR="00AD5BB5" w:rsidRDefault="00AD5BB5">
            <w:pPr>
              <w:autoSpaceDE w:val="0"/>
              <w:autoSpaceDN w:val="0"/>
              <w:ind w:left="315" w:hangingChars="150" w:hanging="315"/>
              <w:jc w:val="center"/>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center"/>
              <w:rPr>
                <w:rFonts w:ascii="Arial" w:eastAsia="黑体" w:hAnsi="Arial" w:cs="Arial"/>
                <w:szCs w:val="21"/>
              </w:rPr>
            </w:pPr>
          </w:p>
        </w:tc>
        <w:tc>
          <w:tcPr>
            <w:tcW w:w="198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当期资产负债表日</w:instrText>
            </w:r>
            <w:r>
              <w:rPr>
                <w:rFonts w:ascii="Arial" w:eastAsia="黑体" w:hAnsi="Arial" w:cs="Arial"/>
                <w:szCs w:val="21"/>
              </w:rPr>
              <w:instrText xml:space="preserve"> </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t>年</w:t>
            </w:r>
            <w:r>
              <w:rPr>
                <w:rFonts w:ascii="Arial" w:eastAsia="黑体" w:hAnsi="Arial" w:cs="Arial"/>
                <w:szCs w:val="21"/>
              </w:rPr>
              <w:t>6</w:t>
            </w:r>
            <w:r>
              <w:rPr>
                <w:rFonts w:ascii="Arial" w:eastAsia="黑体" w:hAnsi="Arial" w:cs="Arial"/>
                <w:szCs w:val="21"/>
              </w:rPr>
              <w:t>月</w:t>
            </w:r>
            <w:r>
              <w:rPr>
                <w:rFonts w:ascii="Arial" w:eastAsia="黑体" w:hAnsi="Arial" w:cs="Arial"/>
                <w:szCs w:val="21"/>
              </w:rPr>
              <w:t>30</w:t>
            </w:r>
            <w:r>
              <w:rPr>
                <w:rFonts w:ascii="Arial" w:eastAsia="黑体" w:hAnsi="Arial" w:cs="Arial"/>
                <w:szCs w:val="21"/>
              </w:rPr>
              <w:t>日</w:t>
            </w:r>
            <w:r>
              <w:rPr>
                <w:rFonts w:ascii="Arial" w:eastAsia="黑体" w:hAnsi="Arial" w:cs="Arial"/>
                <w:szCs w:val="21"/>
              </w:rPr>
              <w:fldChar w:fldCharType="end"/>
            </w:r>
          </w:p>
        </w:tc>
        <w:tc>
          <w:tcPr>
            <w:tcW w:w="112" w:type="dxa"/>
            <w:tcBorders>
              <w:top w:val="nil"/>
              <w:left w:val="nil"/>
              <w:bottom w:val="nil"/>
              <w:right w:val="nil"/>
            </w:tcBorders>
            <w:vAlign w:val="bottom"/>
          </w:tcPr>
          <w:p w:rsidR="00AD5BB5" w:rsidRDefault="00AD5BB5">
            <w:pPr>
              <w:autoSpaceDE w:val="0"/>
              <w:autoSpaceDN w:val="0"/>
              <w:jc w:val="center"/>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center"/>
              <w:rPr>
                <w:rFonts w:ascii="Arial" w:eastAsia="黑体" w:hAnsi="Arial" w:cs="Arial"/>
                <w:szCs w:val="21"/>
              </w:rPr>
            </w:pPr>
          </w:p>
        </w:tc>
        <w:tc>
          <w:tcPr>
            <w:tcW w:w="1984"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2022</w:t>
            </w:r>
            <w:r>
              <w:rPr>
                <w:rFonts w:ascii="Arial" w:eastAsia="黑体" w:hAnsi="Arial" w:cs="Arial"/>
                <w:szCs w:val="21"/>
              </w:rPr>
              <w:t>年</w:t>
            </w:r>
            <w:r>
              <w:rPr>
                <w:rFonts w:ascii="Arial" w:eastAsia="黑体" w:hAnsi="Arial" w:cs="Arial"/>
                <w:szCs w:val="21"/>
              </w:rPr>
              <w:t>12</w:t>
            </w:r>
            <w:r>
              <w:rPr>
                <w:rFonts w:ascii="Arial" w:eastAsia="黑体" w:hAnsi="Arial" w:cs="Arial"/>
                <w:szCs w:val="21"/>
              </w:rPr>
              <w:t>月</w:t>
            </w:r>
            <w:r>
              <w:rPr>
                <w:rFonts w:ascii="Arial" w:eastAsia="黑体" w:hAnsi="Arial" w:cs="Arial"/>
                <w:szCs w:val="21"/>
              </w:rPr>
              <w:t>31</w:t>
            </w:r>
            <w:r>
              <w:rPr>
                <w:rFonts w:ascii="Arial" w:eastAsia="黑体" w:hAnsi="Arial" w:cs="Arial"/>
                <w:szCs w:val="21"/>
              </w:rPr>
              <w:t>日</w:t>
            </w:r>
          </w:p>
        </w:tc>
        <w:tc>
          <w:tcPr>
            <w:tcW w:w="112" w:type="dxa"/>
            <w:tcBorders>
              <w:top w:val="nil"/>
              <w:left w:val="nil"/>
              <w:bottom w:val="nil"/>
              <w:right w:val="nil"/>
            </w:tcBorders>
            <w:vAlign w:val="bottom"/>
          </w:tcPr>
          <w:p w:rsidR="00AD5BB5" w:rsidRDefault="00AD5BB5">
            <w:pPr>
              <w:autoSpaceDE w:val="0"/>
              <w:autoSpaceDN w:val="0"/>
              <w:jc w:val="center"/>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hint="eastAsia"/>
                <w:szCs w:val="21"/>
              </w:rPr>
              <w:t>发放</w:t>
            </w:r>
            <w:r>
              <w:rPr>
                <w:rFonts w:ascii="Arial" w:eastAsia="黑体" w:hAnsi="Arial" w:cs="Arial"/>
                <w:szCs w:val="21"/>
              </w:rPr>
              <w:t>贷款及垫款</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1,206,617,107.67</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769,758,250.54</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合计</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1,206,617,107.67</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769,758,250.54</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bl>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上述抵押物的公允价值为管理层根据抵押物处置经验和目前市场状况、在可以取得的最新外部评估值的基础上进行调整而确定。抵押物主要为土地、房屋及建筑物</w:t>
      </w:r>
      <w:r>
        <w:rPr>
          <w:rFonts w:ascii="Arial" w:eastAsia="黑体" w:hAnsi="Arial" w:cs="Arial" w:hint="eastAsia"/>
          <w:snapToGrid w:val="0"/>
          <w:szCs w:val="21"/>
        </w:rPr>
        <w:t>、非上市银行股权等</w:t>
      </w:r>
      <w:r>
        <w:rPr>
          <w:rFonts w:ascii="Arial" w:eastAsia="黑体" w:hAnsi="Arial" w:cs="Arial"/>
          <w:snapToGrid w:val="0"/>
          <w:szCs w:val="21"/>
        </w:rPr>
        <w:t>。</w:t>
      </w:r>
    </w:p>
    <w:p w:rsidR="00AD5BB5" w:rsidRDefault="00AD5BB5">
      <w:pPr>
        <w:overflowPunct w:val="0"/>
        <w:autoSpaceDE w:val="0"/>
        <w:autoSpaceDN w:val="0"/>
        <w:rPr>
          <w:rFonts w:ascii="Arial" w:eastAsia="黑体" w:hAnsi="Arial" w:cs="Arial"/>
          <w:snapToGrid w:val="0"/>
          <w:szCs w:val="21"/>
        </w:rPr>
      </w:pPr>
    </w:p>
    <w:p w:rsidR="00AD5BB5" w:rsidRDefault="00F87FF6">
      <w:pPr>
        <w:pStyle w:val="aff2"/>
        <w:widowControl/>
        <w:overflowPunct w:val="0"/>
        <w:autoSpaceDE w:val="0"/>
        <w:autoSpaceDN w:val="0"/>
        <w:adjustRightInd w:val="0"/>
        <w:snapToGrid w:val="0"/>
        <w:ind w:left="720" w:firstLineChars="0" w:hanging="720"/>
        <w:contextualSpacing/>
        <w:textAlignment w:val="bottom"/>
        <w:outlineLvl w:val="4"/>
        <w:rPr>
          <w:rFonts w:ascii="Arial" w:eastAsia="黑体" w:hAnsi="Arial" w:cs="Arial"/>
          <w:b/>
          <w:bCs/>
          <w:snapToGrid w:val="0"/>
          <w:szCs w:val="21"/>
        </w:rPr>
      </w:pPr>
      <w:bookmarkStart w:id="356" w:name="afsaddin_Section_c9c11e11522645d4ae50e6d"/>
      <w:r>
        <w:rPr>
          <w:rFonts w:ascii="Arial" w:eastAsia="黑体" w:hAnsi="Arial" w:cs="Arial"/>
          <w:b/>
          <w:bCs/>
          <w:snapToGrid w:val="0"/>
          <w:szCs w:val="21"/>
        </w:rPr>
        <w:t>1.9</w:t>
      </w:r>
      <w:r>
        <w:rPr>
          <w:rFonts w:ascii="Arial" w:eastAsia="黑体" w:hAnsi="Arial" w:cs="Arial"/>
          <w:b/>
          <w:bCs/>
          <w:snapToGrid w:val="0"/>
          <w:szCs w:val="21"/>
        </w:rPr>
        <w:tab/>
      </w:r>
      <w:r>
        <w:rPr>
          <w:rFonts w:ascii="Arial" w:eastAsia="黑体" w:hAnsi="Arial" w:cs="Arial"/>
          <w:b/>
          <w:bCs/>
          <w:snapToGrid w:val="0"/>
          <w:szCs w:val="21"/>
        </w:rPr>
        <w:t>重组贷款</w:t>
      </w:r>
    </w:p>
    <w:bookmarkEnd w:id="356"/>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如果条件允许，本集团将力求重组贷款而不是取得担保物的所有权。这可能会涉及展期付款和达成新的贷款条件。一旦对条款进行重新协商，贷款将不再被视为逾期。管理层继续对重组贷款进行审阅，以确保其符合所有条件并且未来付款很可能发生。</w:t>
      </w: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adjustRightInd w:val="0"/>
        <w:snapToGrid w:val="0"/>
        <w:textAlignment w:val="bottom"/>
        <w:outlineLvl w:val="2"/>
        <w:rPr>
          <w:rFonts w:ascii="Arial" w:eastAsia="黑体" w:hAnsi="Arial" w:cs="Arial"/>
          <w:b/>
          <w:bCs/>
          <w:snapToGrid w:val="0"/>
          <w:szCs w:val="21"/>
        </w:rPr>
      </w:pPr>
      <w:bookmarkStart w:id="357" w:name="afsaddin_Section_8af028506d3a4c17bb42d41"/>
      <w:r>
        <w:rPr>
          <w:rFonts w:ascii="Arial" w:eastAsia="黑体" w:hAnsi="Arial" w:cs="Arial"/>
          <w:b/>
          <w:bCs/>
          <w:snapToGrid w:val="0"/>
          <w:szCs w:val="21"/>
        </w:rPr>
        <w:t>2.</w:t>
      </w:r>
      <w:r>
        <w:rPr>
          <w:rFonts w:ascii="Arial" w:eastAsia="黑体" w:hAnsi="Arial" w:cs="Arial"/>
          <w:b/>
          <w:bCs/>
          <w:snapToGrid w:val="0"/>
          <w:szCs w:val="21"/>
        </w:rPr>
        <w:tab/>
      </w:r>
      <w:r>
        <w:rPr>
          <w:rFonts w:ascii="Arial" w:eastAsia="黑体" w:hAnsi="Arial" w:cs="Arial"/>
          <w:b/>
          <w:bCs/>
          <w:snapToGrid w:val="0"/>
          <w:szCs w:val="21"/>
        </w:rPr>
        <w:t>流动性风险</w:t>
      </w:r>
    </w:p>
    <w:bookmarkEnd w:id="357"/>
    <w:p w:rsidR="00AD5BB5" w:rsidRDefault="00AD5BB5">
      <w:pPr>
        <w:overflowPunct w:val="0"/>
        <w:autoSpaceDE w:val="0"/>
        <w:autoSpaceDN w:val="0"/>
        <w:adjustRightInd w:val="0"/>
        <w:snapToGrid w:val="0"/>
        <w:ind w:left="720" w:hanging="720"/>
        <w:textAlignment w:val="bottom"/>
        <w:rPr>
          <w:rFonts w:ascii="Arial" w:eastAsia="黑体" w:hAnsi="Arial" w:cs="Arial"/>
          <w:b/>
          <w:bCs/>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流动性风险是指虽然有清偿能力，但无法及时获得充足资金或无法以合理成本及时获得充足资金以应对资产增长或支付到期债务的风险。资产和负债的期限或金额的不匹配，均可能导致流动性风险。本集团流动性风险管理的方法体系涵盖了流动性的事前计划、事中管理、事后调整以及应急计划的全部环节。并且根据监管部门对流动性风险监控的指标体系，按适用性原则，设计了一系列符合本集团实际的日常流动性监测指标体系，逐日监控有关指标限额的执行情况。</w:t>
      </w: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下表按照资产负债表日至合同到期日的剩余期限列示了本集团非衍生金融资产和负债的现金流，以及以总额和净额结算的衍生金融工具的现金流。</w:t>
      </w:r>
    </w:p>
    <w:p w:rsidR="00AD5BB5" w:rsidRDefault="00AD5BB5">
      <w:pPr>
        <w:overflowPunct w:val="0"/>
        <w:autoSpaceDE w:val="0"/>
        <w:autoSpaceDN w:val="0"/>
        <w:rPr>
          <w:rFonts w:ascii="Arial" w:eastAsia="黑体" w:hAnsi="Arial" w:cs="Arial"/>
          <w:snapToGrid w:val="0"/>
          <w:szCs w:val="21"/>
        </w:rPr>
        <w:sectPr w:rsidR="00AD5BB5">
          <w:headerReference w:type="even" r:id="rId58"/>
          <w:headerReference w:type="default" r:id="rId59"/>
          <w:headerReference w:type="first" r:id="rId60"/>
          <w:pgSz w:w="11907" w:h="16840"/>
          <w:pgMar w:top="1440" w:right="1797" w:bottom="1440" w:left="1797" w:header="720" w:footer="720" w:gutter="0"/>
          <w:cols w:space="720"/>
          <w:titlePg/>
          <w:docGrid w:linePitch="360"/>
        </w:sectPr>
      </w:pPr>
    </w:p>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358" w:name="afsaddin_WithXu_5788a58206f043d3b9d43cbe"/>
      <w:r>
        <w:rPr>
          <w:rFonts w:ascii="Arial" w:eastAsia="黑体" w:hAnsi="Arial" w:cs="Arial"/>
          <w:b/>
          <w:snapToGrid w:val="0"/>
          <w:szCs w:val="21"/>
        </w:rPr>
        <w:t>八、</w:t>
      </w:r>
      <w:r>
        <w:rPr>
          <w:rFonts w:ascii="Arial" w:eastAsia="黑体" w:hAnsi="Arial" w:cs="Arial"/>
          <w:b/>
          <w:snapToGrid w:val="0"/>
          <w:szCs w:val="21"/>
        </w:rPr>
        <w:tab/>
      </w:r>
      <w:r>
        <w:rPr>
          <w:rFonts w:ascii="Arial" w:eastAsia="黑体" w:hAnsi="Arial" w:cs="Arial"/>
          <w:b/>
          <w:snapToGrid w:val="0"/>
          <w:szCs w:val="21"/>
        </w:rPr>
        <w:t>金融工具及其风险分析（续）</w:t>
      </w:r>
      <w:bookmarkEnd w:id="358"/>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b/>
          <w:snapToGrid w:val="0"/>
          <w:szCs w:val="21"/>
        </w:rPr>
      </w:pPr>
      <w:bookmarkStart w:id="359" w:name="afsaddin_WithXu_3d75df87a8ae410392fdd0f1"/>
      <w:r>
        <w:rPr>
          <w:rFonts w:ascii="Arial" w:eastAsia="黑体" w:hAnsi="Arial" w:cs="Arial"/>
          <w:b/>
          <w:snapToGrid w:val="0"/>
          <w:szCs w:val="21"/>
        </w:rPr>
        <w:t>2.</w:t>
      </w:r>
      <w:r>
        <w:rPr>
          <w:rFonts w:ascii="Arial" w:eastAsia="黑体" w:hAnsi="Arial" w:cs="Arial"/>
          <w:b/>
          <w:snapToGrid w:val="0"/>
          <w:szCs w:val="21"/>
        </w:rPr>
        <w:tab/>
      </w:r>
      <w:r>
        <w:rPr>
          <w:rFonts w:ascii="Arial" w:eastAsia="黑体" w:hAnsi="Arial" w:cs="Arial"/>
          <w:b/>
          <w:snapToGrid w:val="0"/>
          <w:szCs w:val="21"/>
        </w:rPr>
        <w:t>流动性风险（续）</w:t>
      </w:r>
      <w:bookmarkEnd w:id="359"/>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adjustRightInd w:val="0"/>
        <w:snapToGrid w:val="0"/>
        <w:ind w:left="720" w:hanging="720"/>
        <w:textAlignment w:val="bottom"/>
        <w:rPr>
          <w:rFonts w:ascii="Arial" w:eastAsia="黑体" w:hAnsi="Arial" w:cs="Arial"/>
          <w:snapToGrid w:val="0"/>
          <w:szCs w:val="21"/>
        </w:rPr>
      </w:pPr>
      <w:bookmarkStart w:id="360" w:name="afsaddin_WithXu_dc3ee2a6bc5343fca90061e0"/>
      <w:bookmarkStart w:id="361" w:name="afsaddin_WithXu_a678953707e14522ab0f3f7d"/>
      <w:bookmarkEnd w:id="360"/>
      <w:bookmarkEnd w:id="361"/>
      <w:r>
        <w:rPr>
          <w:rFonts w:ascii="Arial" w:eastAsia="黑体" w:hAnsi="Arial" w:cs="Arial"/>
          <w:snapToGrid w:val="0"/>
          <w:szCs w:val="21"/>
        </w:rPr>
        <w:t>下表概括了金融工具按未折现的合同现金流量所作的到期期限分析：</w:t>
      </w:r>
    </w:p>
    <w:p w:rsidR="00AD5BB5" w:rsidRDefault="00AD5BB5">
      <w:pPr>
        <w:overflowPunct w:val="0"/>
        <w:autoSpaceDE w:val="0"/>
        <w:autoSpaceDN w:val="0"/>
        <w:adjustRightInd w:val="0"/>
        <w:snapToGrid w:val="0"/>
        <w:ind w:left="720" w:hanging="720"/>
        <w:textAlignment w:val="bottom"/>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ff0488cb-cfdd-4c05-9b46-05cf3ce03ca9"/>
        <w:tblDescription w:val="{&quot;UUID&quot;:&quot;afsaddin_tabledata_2_56437_ff0488cb-cfdd-4c05-9b46-05cf3ce03ca9&quot;,&quot;TitleRowCount&quot;:2,&quot;SplitedTable&quot;:false,&quot;FirstTableId&quot;:&quot;ff0488cb-cfdd-4c05-9b46-05cf3ce03ca9&quot;}"/>
      </w:tblPr>
      <w:tblGrid>
        <w:gridCol w:w="1747"/>
        <w:gridCol w:w="104"/>
        <w:gridCol w:w="1236"/>
        <w:gridCol w:w="104"/>
        <w:gridCol w:w="104"/>
        <w:gridCol w:w="1327"/>
        <w:gridCol w:w="104"/>
        <w:gridCol w:w="103"/>
        <w:gridCol w:w="1326"/>
        <w:gridCol w:w="103"/>
        <w:gridCol w:w="103"/>
        <w:gridCol w:w="1406"/>
        <w:gridCol w:w="23"/>
        <w:gridCol w:w="103"/>
        <w:gridCol w:w="1414"/>
        <w:gridCol w:w="103"/>
        <w:gridCol w:w="103"/>
        <w:gridCol w:w="1402"/>
        <w:gridCol w:w="27"/>
        <w:gridCol w:w="103"/>
        <w:gridCol w:w="1326"/>
        <w:gridCol w:w="103"/>
        <w:gridCol w:w="103"/>
        <w:gridCol w:w="1393"/>
        <w:gridCol w:w="103"/>
      </w:tblGrid>
      <w:tr w:rsidR="00AD5BB5">
        <w:tc>
          <w:tcPr>
            <w:tcW w:w="1747"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fldChar w:fldCharType="begin"/>
            </w:r>
            <w:r>
              <w:rPr>
                <w:rFonts w:ascii="Arial" w:eastAsia="黑体" w:hAnsi="Arial" w:cs="Arial"/>
                <w:sz w:val="15"/>
                <w:szCs w:val="15"/>
              </w:rPr>
              <w:instrText xml:space="preserve"> DOCPROPERTY </w:instrText>
            </w:r>
            <w:r>
              <w:rPr>
                <w:rFonts w:ascii="Arial" w:eastAsia="黑体" w:hAnsi="Arial" w:cs="Arial"/>
                <w:sz w:val="15"/>
                <w:szCs w:val="15"/>
              </w:rPr>
              <w:instrText>当期资产负债表日</w:instrText>
            </w:r>
            <w:r>
              <w:rPr>
                <w:rFonts w:ascii="Arial" w:eastAsia="黑体" w:hAnsi="Arial" w:cs="Arial"/>
                <w:sz w:val="15"/>
                <w:szCs w:val="15"/>
              </w:rPr>
              <w:instrText xml:space="preserve"> </w:instrText>
            </w:r>
            <w:r>
              <w:rPr>
                <w:rFonts w:ascii="Arial" w:eastAsia="黑体" w:hAnsi="Arial" w:cs="Arial"/>
                <w:sz w:val="15"/>
                <w:szCs w:val="15"/>
              </w:rPr>
              <w:fldChar w:fldCharType="separate"/>
            </w:r>
            <w:r>
              <w:rPr>
                <w:rFonts w:ascii="Arial" w:eastAsia="黑体" w:hAnsi="Arial" w:cs="Arial"/>
                <w:sz w:val="15"/>
                <w:szCs w:val="15"/>
              </w:rPr>
              <w:t>2023</w:t>
            </w:r>
            <w:r>
              <w:rPr>
                <w:rFonts w:ascii="Arial" w:eastAsia="黑体" w:hAnsi="Arial" w:cs="Arial"/>
                <w:sz w:val="15"/>
                <w:szCs w:val="15"/>
              </w:rPr>
              <w:t>年</w:t>
            </w:r>
            <w:r>
              <w:rPr>
                <w:rFonts w:ascii="Arial" w:eastAsia="黑体" w:hAnsi="Arial" w:cs="Arial"/>
                <w:sz w:val="15"/>
                <w:szCs w:val="15"/>
              </w:rPr>
              <w:t>6</w:t>
            </w:r>
            <w:r>
              <w:rPr>
                <w:rFonts w:ascii="Arial" w:eastAsia="黑体" w:hAnsi="Arial" w:cs="Arial"/>
                <w:sz w:val="15"/>
                <w:szCs w:val="15"/>
              </w:rPr>
              <w:t>月</w:t>
            </w:r>
            <w:r>
              <w:rPr>
                <w:rFonts w:ascii="Arial" w:eastAsia="黑体" w:hAnsi="Arial" w:cs="Arial"/>
                <w:sz w:val="15"/>
                <w:szCs w:val="15"/>
              </w:rPr>
              <w:t>30</w:t>
            </w:r>
            <w:r>
              <w:rPr>
                <w:rFonts w:ascii="Arial" w:eastAsia="黑体" w:hAnsi="Arial" w:cs="Arial"/>
                <w:sz w:val="15"/>
                <w:szCs w:val="15"/>
              </w:rPr>
              <w:t>日</w:t>
            </w:r>
            <w:r>
              <w:rPr>
                <w:rFonts w:ascii="Arial" w:eastAsia="黑体" w:hAnsi="Arial" w:cs="Arial"/>
                <w:sz w:val="15"/>
                <w:szCs w:val="15"/>
              </w:rPr>
              <w:fldChar w:fldCharType="end"/>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3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已逾期</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即时偿还</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3</w:t>
            </w:r>
            <w:r>
              <w:rPr>
                <w:rFonts w:ascii="Arial" w:eastAsia="黑体" w:hAnsi="Arial" w:cs="Arial"/>
                <w:sz w:val="15"/>
                <w:szCs w:val="15"/>
              </w:rPr>
              <w:t>个月内</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3</w:t>
            </w:r>
            <w:r>
              <w:rPr>
                <w:rFonts w:ascii="Arial" w:eastAsia="黑体" w:hAnsi="Arial" w:cs="Arial"/>
                <w:sz w:val="15"/>
                <w:szCs w:val="15"/>
              </w:rPr>
              <w:t>个月至</w:t>
            </w:r>
            <w:r>
              <w:rPr>
                <w:rFonts w:ascii="Arial" w:eastAsia="黑体" w:hAnsi="Arial" w:cs="Arial"/>
                <w:sz w:val="15"/>
                <w:szCs w:val="15"/>
              </w:rPr>
              <w:t>1</w:t>
            </w:r>
            <w:r>
              <w:rPr>
                <w:rFonts w:ascii="Arial" w:eastAsia="黑体" w:hAnsi="Arial" w:cs="Arial"/>
                <w:sz w:val="15"/>
                <w:szCs w:val="15"/>
              </w:rPr>
              <w:t>年</w:t>
            </w: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w:t>
            </w:r>
            <w:r>
              <w:rPr>
                <w:rFonts w:ascii="Arial" w:eastAsia="黑体" w:hAnsi="Arial" w:cs="Arial"/>
                <w:sz w:val="15"/>
                <w:szCs w:val="15"/>
              </w:rPr>
              <w:t>至</w:t>
            </w:r>
            <w:r>
              <w:rPr>
                <w:rFonts w:ascii="Arial" w:eastAsia="黑体" w:hAnsi="Arial" w:cs="Arial"/>
                <w:sz w:val="15"/>
                <w:szCs w:val="15"/>
              </w:rPr>
              <w:t>5</w:t>
            </w:r>
            <w:r>
              <w:rPr>
                <w:rFonts w:ascii="Arial" w:eastAsia="黑体" w:hAnsi="Arial" w:cs="Arial"/>
                <w:sz w:val="15"/>
                <w:szCs w:val="15"/>
              </w:rPr>
              <w:t>年</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5</w:t>
            </w:r>
            <w:r>
              <w:rPr>
                <w:rFonts w:ascii="Arial" w:eastAsia="黑体" w:hAnsi="Arial" w:cs="Arial"/>
                <w:sz w:val="15"/>
                <w:szCs w:val="15"/>
              </w:rPr>
              <w:t>年以上</w:t>
            </w:r>
          </w:p>
        </w:tc>
        <w:tc>
          <w:tcPr>
            <w:tcW w:w="2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无固定期限</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合计</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747" w:type="dxa"/>
            <w:tcBorders>
              <w:top w:val="nil"/>
              <w:left w:val="nil"/>
              <w:bottom w:val="nil"/>
              <w:right w:val="nil"/>
            </w:tcBorders>
            <w:vAlign w:val="bottom"/>
          </w:tcPr>
          <w:p w:rsidR="00AD5BB5" w:rsidRDefault="00AD5BB5">
            <w:pPr>
              <w:autoSpaceDE w:val="0"/>
              <w:autoSpaceDN w:val="0"/>
              <w:ind w:left="225" w:hangingChars="150" w:hanging="225"/>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3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2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747"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非衍生金融工具现金流</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3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2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747" w:type="dxa"/>
            <w:tcBorders>
              <w:top w:val="nil"/>
              <w:left w:val="nil"/>
              <w:bottom w:val="nil"/>
              <w:right w:val="nil"/>
            </w:tcBorders>
            <w:vAlign w:val="bottom"/>
          </w:tcPr>
          <w:p w:rsidR="00AD5BB5" w:rsidRDefault="00AD5BB5">
            <w:pPr>
              <w:autoSpaceDE w:val="0"/>
              <w:autoSpaceDN w:val="0"/>
              <w:ind w:left="225" w:hangingChars="150" w:hanging="225"/>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3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2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747" w:type="dxa"/>
            <w:tcBorders>
              <w:top w:val="nil"/>
              <w:left w:val="nil"/>
              <w:bottom w:val="nil"/>
              <w:right w:val="nil"/>
            </w:tcBorders>
            <w:vAlign w:val="bottom"/>
          </w:tcPr>
          <w:p w:rsidR="00AD5BB5" w:rsidRDefault="00F87FF6">
            <w:pPr>
              <w:autoSpaceDE w:val="0"/>
              <w:autoSpaceDN w:val="0"/>
              <w:ind w:left="151" w:hangingChars="100" w:hanging="151"/>
              <w:rPr>
                <w:rFonts w:ascii="Arial" w:eastAsia="黑体" w:hAnsi="Arial" w:cs="Arial"/>
                <w:b/>
                <w:bCs/>
                <w:sz w:val="15"/>
                <w:szCs w:val="15"/>
              </w:rPr>
            </w:pPr>
            <w:r>
              <w:rPr>
                <w:rFonts w:ascii="Arial" w:eastAsia="黑体" w:hAnsi="Arial" w:cs="Arial"/>
                <w:b/>
                <w:bCs/>
                <w:sz w:val="15"/>
                <w:szCs w:val="15"/>
              </w:rPr>
              <w:t>资产项目</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3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2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747"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现金及存放中央银行款项</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3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8,710,363,484.15</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52,294,073.03</w:t>
            </w: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2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12,773,827,853.74</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21,536,485,410.92</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747"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存放同业及其他金融机构款项和拆出资金</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3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2,798,717,317.59</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6,474,918,797.28</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14,195,090,426.44</w:t>
            </w: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1,473,258,769.58</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2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92,002.03</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24,942,077,312.92</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747"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买入返售金融资产</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3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1,712,890,286.20</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2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1,712,890,286.20</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747"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发放贷款及垫款</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3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1,436,325,552.15</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35,788,661,251.73</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71,635,102,122.01</w:t>
            </w: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59,778,363,922.81</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43,398,441,413.10</w:t>
            </w:r>
          </w:p>
        </w:tc>
        <w:tc>
          <w:tcPr>
            <w:tcW w:w="2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212,036,894,261.80</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747"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交易性金融资产</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3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4,999,332,226.41</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1,847,433,592.24</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1,684,782,719.04</w:t>
            </w: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5,971,525,581.09</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208,460,980.00</w:t>
            </w:r>
          </w:p>
        </w:tc>
        <w:tc>
          <w:tcPr>
            <w:tcW w:w="2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14,711,535,098.78</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747"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债权投资</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3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4,476,528,698.58</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5,643,082,260.35</w:t>
            </w: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19,035,691,879.04</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30,772,181,903.04</w:t>
            </w:r>
          </w:p>
        </w:tc>
        <w:tc>
          <w:tcPr>
            <w:tcW w:w="2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59,927,484,741.01</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747"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其他债权投资</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3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2,347,525,676.81</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6,660,132,722.28</w:t>
            </w: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29,565,187,447.12</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3,801,182,084.00</w:t>
            </w:r>
          </w:p>
        </w:tc>
        <w:tc>
          <w:tcPr>
            <w:tcW w:w="2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42,374,027,930.21</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747"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其他权益工具投资</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3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2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96,061,014.21</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96,061,014.21</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747"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其他资产</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3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24,496,462.86</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974,836,374.82</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47,050.00</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700,563.30</w:t>
            </w: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701,645.70</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2,741,656.32</w:t>
            </w:r>
          </w:p>
        </w:tc>
        <w:tc>
          <w:tcPr>
            <w:tcW w:w="2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1,003,523,753.00</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747" w:type="dxa"/>
            <w:tcBorders>
              <w:top w:val="nil"/>
              <w:left w:val="nil"/>
              <w:bottom w:val="nil"/>
              <w:right w:val="nil"/>
            </w:tcBorders>
            <w:vAlign w:val="bottom"/>
          </w:tcPr>
          <w:p w:rsidR="00AD5BB5" w:rsidRDefault="00AD5BB5">
            <w:pPr>
              <w:autoSpaceDE w:val="0"/>
              <w:autoSpaceDN w:val="0"/>
              <w:ind w:left="225" w:hangingChars="150" w:hanging="225"/>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3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2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747"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资产总额</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3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1,460,822,015.01</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17,483,249,402.97</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52,648,005,352.84</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99,871,184,886.45</w:t>
            </w: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115,824,729,245.34</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78,183,008,036.46</w:t>
            </w:r>
          </w:p>
        </w:tc>
        <w:tc>
          <w:tcPr>
            <w:tcW w:w="2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2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12,869,980,869.98</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378,340,979,809.05</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bl>
    <w:p w:rsidR="00AD5BB5" w:rsidRDefault="00AD5BB5">
      <w:pPr>
        <w:tabs>
          <w:tab w:val="left" w:pos="1162"/>
        </w:tabs>
        <w:overflowPunct w:val="0"/>
        <w:autoSpaceDE w:val="0"/>
        <w:autoSpaceDN w:val="0"/>
        <w:jc w:val="right"/>
        <w:rPr>
          <w:rFonts w:ascii="Arial" w:eastAsia="黑体" w:hAnsi="Arial" w:cs="Arial"/>
          <w:sz w:val="15"/>
          <w:szCs w:val="15"/>
        </w:rPr>
      </w:pPr>
    </w:p>
    <w:p w:rsidR="00AD5BB5" w:rsidRDefault="00AD5BB5">
      <w:pPr>
        <w:overflowPunct w:val="0"/>
        <w:autoSpaceDE w:val="0"/>
        <w:autoSpaceDN w:val="0"/>
        <w:rPr>
          <w:rFonts w:ascii="Arial" w:eastAsia="黑体" w:hAnsi="Arial" w:cs="Arial"/>
          <w:snapToGrid w:val="0"/>
          <w:szCs w:val="21"/>
        </w:rPr>
        <w:sectPr w:rsidR="00AD5BB5">
          <w:headerReference w:type="even" r:id="rId61"/>
          <w:headerReference w:type="default" r:id="rId62"/>
          <w:headerReference w:type="first" r:id="rId63"/>
          <w:pgSz w:w="16840" w:h="11907" w:orient="landscape"/>
          <w:pgMar w:top="1797" w:right="1440" w:bottom="1797" w:left="1440" w:header="720" w:footer="720" w:gutter="0"/>
          <w:cols w:space="720"/>
          <w:titlePg/>
          <w:docGrid w:linePitch="360"/>
        </w:sectPr>
      </w:pPr>
    </w:p>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362" w:name="afsaddin_WithXu_49c6118dc9934f4584e089e1"/>
      <w:r>
        <w:rPr>
          <w:rFonts w:ascii="Arial" w:eastAsia="黑体" w:hAnsi="Arial" w:cs="Arial"/>
          <w:b/>
          <w:snapToGrid w:val="0"/>
          <w:szCs w:val="21"/>
        </w:rPr>
        <w:t>八、</w:t>
      </w:r>
      <w:r>
        <w:rPr>
          <w:rFonts w:ascii="Arial" w:eastAsia="黑体" w:hAnsi="Arial" w:cs="Arial"/>
          <w:b/>
          <w:snapToGrid w:val="0"/>
          <w:szCs w:val="21"/>
        </w:rPr>
        <w:tab/>
      </w:r>
      <w:r>
        <w:rPr>
          <w:rFonts w:ascii="Arial" w:eastAsia="黑体" w:hAnsi="Arial" w:cs="Arial"/>
          <w:b/>
          <w:snapToGrid w:val="0"/>
          <w:szCs w:val="21"/>
        </w:rPr>
        <w:t>金融工具及其风险分析（续）</w:t>
      </w:r>
      <w:bookmarkEnd w:id="362"/>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b/>
          <w:snapToGrid w:val="0"/>
          <w:szCs w:val="21"/>
        </w:rPr>
      </w:pPr>
      <w:bookmarkStart w:id="363" w:name="afsaddin_WithXu_aee93b7664104faab7ec3ff1"/>
      <w:r>
        <w:rPr>
          <w:rFonts w:ascii="Arial" w:eastAsia="黑体" w:hAnsi="Arial" w:cs="Arial"/>
          <w:b/>
          <w:snapToGrid w:val="0"/>
          <w:szCs w:val="21"/>
        </w:rPr>
        <w:t>2.</w:t>
      </w:r>
      <w:r>
        <w:rPr>
          <w:rFonts w:ascii="Arial" w:eastAsia="黑体" w:hAnsi="Arial" w:cs="Arial"/>
          <w:b/>
          <w:snapToGrid w:val="0"/>
          <w:szCs w:val="21"/>
        </w:rPr>
        <w:tab/>
      </w:r>
      <w:r>
        <w:rPr>
          <w:rFonts w:ascii="Arial" w:eastAsia="黑体" w:hAnsi="Arial" w:cs="Arial"/>
          <w:b/>
          <w:snapToGrid w:val="0"/>
          <w:szCs w:val="21"/>
        </w:rPr>
        <w:t>流动性风险（续）</w:t>
      </w:r>
      <w:bookmarkEnd w:id="363"/>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9bcb2f78-b1ca-43f1-bcb7-7714e536b8d6"/>
        <w:tblDescription w:val="{&quot;UUID&quot;:&quot;afsaddin_tabledata_2_56437_9bcb2f78-b1ca-43f1-bcb7-7714e536b8d6&quot;,&quot;TitleRowCount&quot;:2,&quot;SplitedTable&quot;:false,&quot;FirstTableId&quot;:&quot;9bcb2f78-b1ca-43f1-bcb7-7714e536b8d6&quot;}"/>
      </w:tblPr>
      <w:tblGrid>
        <w:gridCol w:w="1871"/>
        <w:gridCol w:w="104"/>
        <w:gridCol w:w="1191"/>
        <w:gridCol w:w="104"/>
        <w:gridCol w:w="104"/>
        <w:gridCol w:w="1304"/>
        <w:gridCol w:w="104"/>
        <w:gridCol w:w="105"/>
        <w:gridCol w:w="1304"/>
        <w:gridCol w:w="105"/>
        <w:gridCol w:w="105"/>
        <w:gridCol w:w="1361"/>
        <w:gridCol w:w="105"/>
        <w:gridCol w:w="105"/>
        <w:gridCol w:w="1304"/>
        <w:gridCol w:w="105"/>
        <w:gridCol w:w="105"/>
        <w:gridCol w:w="1394"/>
        <w:gridCol w:w="20"/>
        <w:gridCol w:w="105"/>
        <w:gridCol w:w="1304"/>
        <w:gridCol w:w="105"/>
        <w:gridCol w:w="105"/>
        <w:gridCol w:w="1361"/>
        <w:gridCol w:w="105"/>
      </w:tblGrid>
      <w:tr w:rsidR="00AD5BB5">
        <w:tc>
          <w:tcPr>
            <w:tcW w:w="1871" w:type="dxa"/>
            <w:tcBorders>
              <w:top w:val="nil"/>
              <w:left w:val="nil"/>
              <w:bottom w:val="nil"/>
              <w:right w:val="nil"/>
            </w:tcBorders>
            <w:vAlign w:val="bottom"/>
          </w:tcPr>
          <w:bookmarkStart w:id="364" w:name="afsaddin_WithXu_e265a9b8341a4f5ba4e635a0"/>
          <w:bookmarkStart w:id="365" w:name="afsaddin_WithXu_ed72434f607444caa37039fb"/>
          <w:bookmarkEnd w:id="364"/>
          <w:bookmarkEnd w:id="365"/>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fldChar w:fldCharType="begin"/>
            </w:r>
            <w:r>
              <w:rPr>
                <w:rFonts w:ascii="Arial" w:eastAsia="黑体" w:hAnsi="Arial" w:cs="Arial"/>
                <w:sz w:val="15"/>
                <w:szCs w:val="15"/>
              </w:rPr>
              <w:instrText xml:space="preserve"> DOCPROPERTY </w:instrText>
            </w:r>
            <w:r>
              <w:rPr>
                <w:rFonts w:ascii="Arial" w:eastAsia="黑体" w:hAnsi="Arial" w:cs="Arial"/>
                <w:sz w:val="15"/>
                <w:szCs w:val="15"/>
              </w:rPr>
              <w:instrText>当期资产负债表日</w:instrText>
            </w:r>
            <w:r>
              <w:rPr>
                <w:rFonts w:ascii="Arial" w:eastAsia="黑体" w:hAnsi="Arial" w:cs="Arial"/>
                <w:sz w:val="15"/>
                <w:szCs w:val="15"/>
              </w:rPr>
              <w:instrText xml:space="preserve"> </w:instrText>
            </w:r>
            <w:r>
              <w:rPr>
                <w:rFonts w:ascii="Arial" w:eastAsia="黑体" w:hAnsi="Arial" w:cs="Arial"/>
                <w:sz w:val="15"/>
                <w:szCs w:val="15"/>
              </w:rPr>
              <w:fldChar w:fldCharType="separate"/>
            </w:r>
            <w:r>
              <w:rPr>
                <w:rFonts w:ascii="Arial" w:eastAsia="黑体" w:hAnsi="Arial" w:cs="Arial"/>
                <w:sz w:val="15"/>
                <w:szCs w:val="15"/>
              </w:rPr>
              <w:t>2023</w:t>
            </w:r>
            <w:r>
              <w:rPr>
                <w:rFonts w:ascii="Arial" w:eastAsia="黑体" w:hAnsi="Arial" w:cs="Arial"/>
                <w:sz w:val="15"/>
                <w:szCs w:val="15"/>
              </w:rPr>
              <w:t>年</w:t>
            </w:r>
            <w:r>
              <w:rPr>
                <w:rFonts w:ascii="Arial" w:eastAsia="黑体" w:hAnsi="Arial" w:cs="Arial"/>
                <w:sz w:val="15"/>
                <w:szCs w:val="15"/>
              </w:rPr>
              <w:t>6</w:t>
            </w:r>
            <w:r>
              <w:rPr>
                <w:rFonts w:ascii="Arial" w:eastAsia="黑体" w:hAnsi="Arial" w:cs="Arial"/>
                <w:sz w:val="15"/>
                <w:szCs w:val="15"/>
              </w:rPr>
              <w:t>月</w:t>
            </w:r>
            <w:r>
              <w:rPr>
                <w:rFonts w:ascii="Arial" w:eastAsia="黑体" w:hAnsi="Arial" w:cs="Arial"/>
                <w:sz w:val="15"/>
                <w:szCs w:val="15"/>
              </w:rPr>
              <w:t>30</w:t>
            </w:r>
            <w:r>
              <w:rPr>
                <w:rFonts w:ascii="Arial" w:eastAsia="黑体" w:hAnsi="Arial" w:cs="Arial"/>
                <w:sz w:val="15"/>
                <w:szCs w:val="15"/>
              </w:rPr>
              <w:t>日</w:t>
            </w:r>
            <w:r>
              <w:rPr>
                <w:rFonts w:ascii="Arial" w:eastAsia="黑体" w:hAnsi="Arial" w:cs="Arial"/>
                <w:sz w:val="15"/>
                <w:szCs w:val="15"/>
              </w:rPr>
              <w:fldChar w:fldCharType="end"/>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已逾期</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即时偿还</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3</w:t>
            </w:r>
            <w:r>
              <w:rPr>
                <w:rFonts w:ascii="Arial" w:eastAsia="黑体" w:hAnsi="Arial" w:cs="Arial"/>
                <w:sz w:val="15"/>
                <w:szCs w:val="15"/>
              </w:rPr>
              <w:t>个月内</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3</w:t>
            </w:r>
            <w:r>
              <w:rPr>
                <w:rFonts w:ascii="Arial" w:eastAsia="黑体" w:hAnsi="Arial" w:cs="Arial"/>
                <w:sz w:val="15"/>
                <w:szCs w:val="15"/>
              </w:rPr>
              <w:t>个月至</w:t>
            </w:r>
            <w:r>
              <w:rPr>
                <w:rFonts w:ascii="Arial" w:eastAsia="黑体" w:hAnsi="Arial" w:cs="Arial"/>
                <w:sz w:val="15"/>
                <w:szCs w:val="15"/>
              </w:rPr>
              <w:t>1</w:t>
            </w:r>
            <w:r>
              <w:rPr>
                <w:rFonts w:ascii="Arial" w:eastAsia="黑体" w:hAnsi="Arial" w:cs="Arial"/>
                <w:sz w:val="15"/>
                <w:szCs w:val="15"/>
              </w:rPr>
              <w:t>年</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w:t>
            </w:r>
            <w:r>
              <w:rPr>
                <w:rFonts w:ascii="Arial" w:eastAsia="黑体" w:hAnsi="Arial" w:cs="Arial"/>
                <w:sz w:val="15"/>
                <w:szCs w:val="15"/>
              </w:rPr>
              <w:t>至</w:t>
            </w:r>
            <w:r>
              <w:rPr>
                <w:rFonts w:ascii="Arial" w:eastAsia="黑体" w:hAnsi="Arial" w:cs="Arial"/>
                <w:sz w:val="15"/>
                <w:szCs w:val="15"/>
              </w:rPr>
              <w:t>5</w:t>
            </w:r>
            <w:r>
              <w:rPr>
                <w:rFonts w:ascii="Arial" w:eastAsia="黑体" w:hAnsi="Arial" w:cs="Arial"/>
                <w:sz w:val="15"/>
                <w:szCs w:val="15"/>
              </w:rPr>
              <w:t>年</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5</w:t>
            </w:r>
            <w:r>
              <w:rPr>
                <w:rFonts w:ascii="Arial" w:eastAsia="黑体" w:hAnsi="Arial" w:cs="Arial"/>
                <w:sz w:val="15"/>
                <w:szCs w:val="15"/>
              </w:rPr>
              <w:t>年以上</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无固定期限</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合计</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71" w:type="dxa"/>
            <w:tcBorders>
              <w:top w:val="nil"/>
              <w:left w:val="nil"/>
              <w:bottom w:val="nil"/>
              <w:right w:val="nil"/>
            </w:tcBorders>
            <w:vAlign w:val="bottom"/>
          </w:tcPr>
          <w:p w:rsidR="00AD5BB5" w:rsidRDefault="00AD5BB5">
            <w:pPr>
              <w:autoSpaceDE w:val="0"/>
              <w:autoSpaceDN w:val="0"/>
              <w:ind w:left="225" w:hangingChars="150" w:hanging="225"/>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71" w:type="dxa"/>
            <w:tcBorders>
              <w:top w:val="nil"/>
              <w:left w:val="nil"/>
              <w:bottom w:val="nil"/>
              <w:right w:val="nil"/>
            </w:tcBorders>
            <w:vAlign w:val="bottom"/>
          </w:tcPr>
          <w:p w:rsidR="00AD5BB5" w:rsidRDefault="00F87FF6">
            <w:pPr>
              <w:autoSpaceDE w:val="0"/>
              <w:autoSpaceDN w:val="0"/>
              <w:ind w:left="151" w:hangingChars="100" w:hanging="151"/>
              <w:rPr>
                <w:rFonts w:ascii="Arial" w:eastAsia="黑体" w:hAnsi="Arial" w:cs="Arial"/>
                <w:b/>
                <w:bCs/>
                <w:sz w:val="15"/>
                <w:szCs w:val="15"/>
              </w:rPr>
            </w:pPr>
            <w:r>
              <w:rPr>
                <w:rFonts w:ascii="Arial" w:eastAsia="黑体" w:hAnsi="Arial" w:cs="Arial"/>
                <w:b/>
                <w:bCs/>
                <w:sz w:val="15"/>
                <w:szCs w:val="15"/>
              </w:rPr>
              <w:t>负债项目</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71"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向中央银行借款</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1"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5,221,072,222.22</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3,238,061,094.65</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8,459,133,316.87</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71"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同业及其他金融机构存放款项和拆入资金</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1"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34,322,053.95</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9,020,832,507.64</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16,344,777,030.38</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9,955,096,358.34</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35,355,027,950.31</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71"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交易性金融负债</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1"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986,955.25</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102,138,486.30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103,125,441.55</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71"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卖出回购金融资产款</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1"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12,005,141,988.67</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1,289,334,319.90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13,294,476,308.57</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71"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吸收存款</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1"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68,092,982,235.64</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30,259,456,959.28</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35,741,904,351.47</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61,444,669,746.88</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607,270,500.34</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196,146,283,793.61</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71"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应付债券</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1"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18,397,600,000.00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48,073,675,000.00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12,422,700,000.00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78,893,975,000.00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71"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其他负债</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1"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1,335,362,851.41</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1,053,308,543.78</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620,500,770.66</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353,153,480.27</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4"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115,028,221.43</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55,585,249.56</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3,532,939,117.11</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71" w:type="dxa"/>
            <w:tcBorders>
              <w:top w:val="nil"/>
              <w:left w:val="nil"/>
              <w:bottom w:val="nil"/>
              <w:right w:val="nil"/>
            </w:tcBorders>
            <w:vAlign w:val="bottom"/>
          </w:tcPr>
          <w:p w:rsidR="00AD5BB5" w:rsidRDefault="00AD5BB5">
            <w:pPr>
              <w:autoSpaceDE w:val="0"/>
              <w:autoSpaceDN w:val="0"/>
              <w:ind w:left="225" w:hangingChars="150" w:hanging="225"/>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1"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4"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71"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负债总额</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1"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69,463,654,096.25</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76,059,550,707.89</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105,308,252,567.06</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84,175,619,585.49</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4"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722,298,721.77</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55,585,249.56</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335,784,960,928.02</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71" w:type="dxa"/>
            <w:tcBorders>
              <w:top w:val="nil"/>
              <w:left w:val="nil"/>
              <w:bottom w:val="nil"/>
              <w:right w:val="nil"/>
            </w:tcBorders>
            <w:vAlign w:val="bottom"/>
          </w:tcPr>
          <w:p w:rsidR="00AD5BB5" w:rsidRDefault="00AD5BB5">
            <w:pPr>
              <w:autoSpaceDE w:val="0"/>
              <w:autoSpaceDN w:val="0"/>
              <w:ind w:left="225" w:hangingChars="150" w:hanging="225"/>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1"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4"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71"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表内流动性净额</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1"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1,460,822,015.01</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single" w:sz="4" w:space="0" w:color="auto"/>
              <w:right w:val="nil"/>
            </w:tcBorders>
            <w:vAlign w:val="bottom"/>
          </w:tcPr>
          <w:p w:rsidR="00AD5BB5" w:rsidRDefault="00F87FF6">
            <w:pPr>
              <w:autoSpaceDE w:val="0"/>
              <w:autoSpaceDN w:val="0"/>
              <w:ind w:leftChars="-49" w:left="14" w:rightChars="7" w:right="15" w:hangingChars="78" w:hanging="117"/>
              <w:jc w:val="right"/>
              <w:rPr>
                <w:rFonts w:ascii="Arial" w:eastAsia="黑体" w:hAnsi="Arial" w:cs="Arial"/>
                <w:sz w:val="15"/>
                <w:szCs w:val="15"/>
              </w:rPr>
            </w:pPr>
            <w:r>
              <w:rPr>
                <w:rFonts w:ascii="Arial" w:eastAsia="黑体" w:hAnsi="Arial" w:cs="Arial"/>
                <w:sz w:val="15"/>
              </w:rPr>
              <w:t>(51,980,404,693.28</w:t>
            </w:r>
          </w:p>
        </w:tc>
        <w:tc>
          <w:tcPr>
            <w:tcW w:w="104" w:type="dxa"/>
            <w:tcBorders>
              <w:top w:val="nil"/>
              <w:left w:val="nil"/>
              <w:bottom w:val="nil"/>
              <w:right w:val="nil"/>
            </w:tcBorders>
            <w:vAlign w:val="bottom"/>
          </w:tcPr>
          <w:p w:rsidR="00AD5BB5" w:rsidRDefault="00F87FF6">
            <w:pPr>
              <w:autoSpaceDE w:val="0"/>
              <w:autoSpaceDN w:val="0"/>
              <w:rPr>
                <w:rFonts w:ascii="Arial" w:eastAsia="黑体" w:hAnsi="Arial" w:cs="Arial"/>
                <w:sz w:val="15"/>
                <w:szCs w:val="15"/>
              </w:rPr>
            </w:pPr>
            <w:r>
              <w:rPr>
                <w:rFonts w:ascii="Arial" w:eastAsia="黑体" w:hAnsi="Arial" w:cs="Arial"/>
                <w:sz w:val="15"/>
                <w:szCs w:val="15"/>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single" w:sz="4" w:space="0" w:color="auto"/>
              <w:right w:val="nil"/>
            </w:tcBorders>
            <w:vAlign w:val="bottom"/>
          </w:tcPr>
          <w:p w:rsidR="00AD5BB5" w:rsidRDefault="00F87FF6">
            <w:pPr>
              <w:autoSpaceDE w:val="0"/>
              <w:autoSpaceDN w:val="0"/>
              <w:ind w:leftChars="-60" w:left="18" w:rightChars="7" w:right="15" w:hangingChars="96" w:hanging="144"/>
              <w:jc w:val="right"/>
              <w:rPr>
                <w:rFonts w:ascii="Arial" w:eastAsia="黑体" w:hAnsi="Arial" w:cs="Arial"/>
                <w:sz w:val="15"/>
                <w:szCs w:val="15"/>
              </w:rPr>
            </w:pPr>
            <w:r>
              <w:rPr>
                <w:rFonts w:ascii="Arial" w:eastAsia="黑体" w:hAnsi="Arial" w:cs="Arial"/>
                <w:sz w:val="15"/>
              </w:rPr>
              <w:t>(23,411,545,355.05</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5"/>
                <w:szCs w:val="15"/>
              </w:rPr>
            </w:pPr>
            <w:r>
              <w:rPr>
                <w:rFonts w:ascii="Arial" w:eastAsia="黑体" w:hAnsi="Arial" w:cs="Arial"/>
                <w:sz w:val="15"/>
                <w:szCs w:val="15"/>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(5,437,067,680.61</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5"/>
                <w:szCs w:val="15"/>
              </w:rPr>
            </w:pPr>
            <w:r>
              <w:rPr>
                <w:rFonts w:ascii="Arial" w:eastAsia="黑体" w:hAnsi="Arial" w:cs="Arial"/>
                <w:sz w:val="15"/>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31,649,109,659.85</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4"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77,460,709,314.69</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12,814,395,620.42</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42,556,018,881.03</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71" w:type="dxa"/>
            <w:tcBorders>
              <w:top w:val="nil"/>
              <w:left w:val="nil"/>
              <w:bottom w:val="nil"/>
              <w:right w:val="nil"/>
            </w:tcBorders>
            <w:vAlign w:val="bottom"/>
          </w:tcPr>
          <w:p w:rsidR="00AD5BB5" w:rsidRDefault="00AD5BB5">
            <w:pPr>
              <w:autoSpaceDE w:val="0"/>
              <w:autoSpaceDN w:val="0"/>
              <w:ind w:left="225" w:hangingChars="150" w:hanging="225"/>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1"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4"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71"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表外承诺</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1"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2,997,314,037.31</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20,056,954,581.33</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20,004,689,849.81</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1,872,395,226.99</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4"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6,573,599,497.25</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szCs w:val="15"/>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51,504,953,192.69</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71" w:type="dxa"/>
            <w:tcBorders>
              <w:top w:val="nil"/>
              <w:left w:val="nil"/>
              <w:bottom w:val="nil"/>
              <w:right w:val="nil"/>
            </w:tcBorders>
            <w:vAlign w:val="bottom"/>
          </w:tcPr>
          <w:p w:rsidR="00AD5BB5" w:rsidRDefault="00AD5BB5">
            <w:pPr>
              <w:autoSpaceDE w:val="0"/>
              <w:autoSpaceDN w:val="0"/>
              <w:ind w:left="225" w:hangingChars="150" w:hanging="225"/>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1"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4"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71"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衍生金融工具现金流</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1" w:type="dxa"/>
            <w:tcBorders>
              <w:top w:val="nil"/>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4" w:type="dxa"/>
            <w:tcBorders>
              <w:top w:val="nil"/>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71" w:type="dxa"/>
            <w:tcBorders>
              <w:top w:val="nil"/>
              <w:left w:val="nil"/>
              <w:bottom w:val="nil"/>
              <w:right w:val="nil"/>
            </w:tcBorders>
            <w:vAlign w:val="bottom"/>
          </w:tcPr>
          <w:p w:rsidR="00AD5BB5" w:rsidRDefault="00AD5BB5">
            <w:pPr>
              <w:autoSpaceDE w:val="0"/>
              <w:autoSpaceDN w:val="0"/>
              <w:ind w:left="225" w:hangingChars="150" w:hanging="225"/>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1" w:type="dxa"/>
            <w:tcBorders>
              <w:top w:val="nil"/>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4" w:type="dxa"/>
            <w:tcBorders>
              <w:top w:val="nil"/>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71"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按总额结算的衍生金融工具</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1"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(29,693,882.64</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5"/>
                <w:szCs w:val="15"/>
              </w:rPr>
            </w:pPr>
            <w:r>
              <w:rPr>
                <w:rFonts w:ascii="Arial" w:eastAsia="黑体" w:hAnsi="Arial" w:cs="Arial"/>
                <w:sz w:val="15"/>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(21,583,488.68</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5"/>
                <w:szCs w:val="15"/>
              </w:rPr>
            </w:pPr>
            <w:r>
              <w:rPr>
                <w:rFonts w:ascii="Arial" w:eastAsia="黑体" w:hAnsi="Arial" w:cs="Arial"/>
                <w:sz w:val="15"/>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100,807,146.84</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49,529,775.52</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71"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流入合计</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1"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1,556,857,243.56</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4,056,943,777.84</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4,305,861,698.23</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nil"/>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9,919,662,719.63</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71"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流出合计</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1"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(1,586,551,126.20</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5"/>
                <w:szCs w:val="15"/>
              </w:rPr>
            </w:pPr>
            <w:r>
              <w:rPr>
                <w:rFonts w:ascii="Arial" w:eastAsia="黑体" w:hAnsi="Arial" w:cs="Arial"/>
                <w:sz w:val="15"/>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(4,078,527,266.52</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5"/>
                <w:szCs w:val="15"/>
              </w:rPr>
            </w:pPr>
            <w:r>
              <w:rPr>
                <w:rFonts w:ascii="Arial" w:eastAsia="黑体" w:hAnsi="Arial" w:cs="Arial"/>
                <w:sz w:val="15"/>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(4,205,054,551.39</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5"/>
                <w:szCs w:val="15"/>
              </w:rPr>
            </w:pPr>
            <w:r>
              <w:rPr>
                <w:rFonts w:ascii="Arial" w:eastAsia="黑体" w:hAnsi="Arial" w:cs="Arial"/>
                <w:sz w:val="15"/>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4"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(9,870,132,944.11</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5"/>
                <w:szCs w:val="15"/>
              </w:rPr>
            </w:pPr>
            <w:r>
              <w:rPr>
                <w:rFonts w:ascii="Arial" w:eastAsia="黑体" w:hAnsi="Arial" w:cs="Arial"/>
                <w:sz w:val="15"/>
              </w:rPr>
              <w:t>)</w:t>
            </w:r>
          </w:p>
        </w:tc>
      </w:tr>
      <w:tr w:rsidR="00AD5BB5">
        <w:tc>
          <w:tcPr>
            <w:tcW w:w="1871" w:type="dxa"/>
            <w:tcBorders>
              <w:top w:val="nil"/>
              <w:left w:val="nil"/>
              <w:bottom w:val="nil"/>
              <w:right w:val="nil"/>
            </w:tcBorders>
            <w:vAlign w:val="bottom"/>
          </w:tcPr>
          <w:p w:rsidR="00AD5BB5" w:rsidRDefault="00AD5BB5">
            <w:pPr>
              <w:autoSpaceDE w:val="0"/>
              <w:autoSpaceDN w:val="0"/>
              <w:ind w:left="225" w:hangingChars="150" w:hanging="225"/>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1"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4"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71"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按净额结算的衍生金融工具</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1"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(22,934,940.10</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5"/>
                <w:szCs w:val="15"/>
              </w:rPr>
            </w:pPr>
            <w:r>
              <w:rPr>
                <w:rFonts w:ascii="Arial" w:eastAsia="黑体" w:hAnsi="Arial" w:cs="Arial"/>
                <w:sz w:val="15"/>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40,035,627.60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(6,685,275.00</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5"/>
                <w:szCs w:val="15"/>
              </w:rPr>
            </w:pPr>
            <w:r>
              <w:rPr>
                <w:rFonts w:ascii="Arial" w:eastAsia="黑体" w:hAnsi="Arial" w:cs="Arial"/>
                <w:sz w:val="15"/>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4"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sing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10,415,412.50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71" w:type="dxa"/>
            <w:tcBorders>
              <w:top w:val="nil"/>
              <w:left w:val="nil"/>
              <w:bottom w:val="nil"/>
              <w:right w:val="nil"/>
            </w:tcBorders>
            <w:vAlign w:val="bottom"/>
          </w:tcPr>
          <w:p w:rsidR="00AD5BB5" w:rsidRDefault="00AD5BB5">
            <w:pPr>
              <w:autoSpaceDE w:val="0"/>
              <w:autoSpaceDN w:val="0"/>
              <w:ind w:left="225" w:hangingChars="150" w:hanging="225"/>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1"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4"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single" w:sz="4" w:space="0" w:color="auto"/>
              <w:left w:val="nil"/>
              <w:bottom w:val="nil"/>
              <w:right w:val="nil"/>
            </w:tcBorders>
            <w:vAlign w:val="bottom"/>
          </w:tcPr>
          <w:p w:rsidR="00AD5BB5" w:rsidRDefault="00AD5BB5">
            <w:pPr>
              <w:autoSpaceDE w:val="0"/>
              <w:autoSpaceDN w:val="0"/>
              <w:ind w:rightChars="7" w:right="15"/>
              <w:jc w:val="right"/>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71"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合计</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91" w:type="dxa"/>
            <w:tcBorders>
              <w:top w:val="nil"/>
              <w:left w:val="nil"/>
              <w:bottom w:val="doub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doub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doub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(52,628,822.74</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5"/>
                <w:szCs w:val="15"/>
              </w:rPr>
            </w:pPr>
            <w:r>
              <w:rPr>
                <w:rFonts w:ascii="Arial" w:eastAsia="黑体" w:hAnsi="Arial" w:cs="Arial"/>
                <w:sz w:val="15"/>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doub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18,452,138.92</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doub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94,121,871.84</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94" w:type="dxa"/>
            <w:tcBorders>
              <w:top w:val="nil"/>
              <w:left w:val="nil"/>
              <w:bottom w:val="doub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doub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1" w:type="dxa"/>
            <w:tcBorders>
              <w:top w:val="nil"/>
              <w:left w:val="nil"/>
              <w:bottom w:val="double" w:sz="4" w:space="0" w:color="auto"/>
              <w:right w:val="nil"/>
            </w:tcBorders>
            <w:vAlign w:val="bottom"/>
          </w:tcPr>
          <w:p w:rsidR="00AD5BB5" w:rsidRDefault="00F87FF6">
            <w:pPr>
              <w:autoSpaceDE w:val="0"/>
              <w:autoSpaceDN w:val="0"/>
              <w:ind w:rightChars="7" w:right="15"/>
              <w:jc w:val="right"/>
              <w:rPr>
                <w:rFonts w:ascii="Arial" w:eastAsia="黑体" w:hAnsi="Arial" w:cs="Arial"/>
                <w:sz w:val="15"/>
                <w:szCs w:val="15"/>
              </w:rPr>
            </w:pPr>
            <w:r>
              <w:rPr>
                <w:rFonts w:ascii="Arial" w:eastAsia="黑体" w:hAnsi="Arial" w:cs="Arial"/>
                <w:sz w:val="15"/>
              </w:rPr>
              <w:t>59,945,188.02</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bl>
    <w:p w:rsidR="00AD5BB5" w:rsidRDefault="00AD5BB5">
      <w:pPr>
        <w:overflowPunct w:val="0"/>
        <w:autoSpaceDE w:val="0"/>
        <w:autoSpaceDN w:val="0"/>
        <w:jc w:val="right"/>
        <w:rPr>
          <w:rFonts w:ascii="Arial" w:hAnsi="Arial" w:cs="Arial"/>
        </w:rPr>
        <w:sectPr w:rsidR="00AD5BB5">
          <w:pgSz w:w="16840" w:h="11907" w:orient="landscape"/>
          <w:pgMar w:top="1797" w:right="1440" w:bottom="1797" w:left="1440" w:header="720" w:footer="720" w:gutter="0"/>
          <w:cols w:space="720"/>
          <w:titlePg/>
          <w:docGrid w:linePitch="360"/>
        </w:sectPr>
      </w:pPr>
    </w:p>
    <w:p w:rsidR="00AD5BB5" w:rsidRDefault="00AD5BB5">
      <w:pPr>
        <w:overflowPunct w:val="0"/>
        <w:autoSpaceDE w:val="0"/>
        <w:autoSpaceDN w:val="0"/>
        <w:jc w:val="right"/>
        <w:rPr>
          <w:rFonts w:ascii="Arial" w:hAnsi="Arial" w:cs="Arial"/>
        </w:rPr>
      </w:pPr>
    </w:p>
    <w:p w:rsidR="00AD5BB5" w:rsidRDefault="00AD5BB5">
      <w:pPr>
        <w:overflowPunct w:val="0"/>
        <w:autoSpaceDE w:val="0"/>
        <w:autoSpaceDN w:val="0"/>
        <w:jc w:val="right"/>
        <w:rPr>
          <w:rFonts w:ascii="Arial" w:hAnsi="Arial" w:cs="Arial"/>
        </w:rPr>
      </w:pPr>
    </w:p>
    <w:p w:rsidR="00AD5BB5" w:rsidRDefault="00F87FF6">
      <w:pPr>
        <w:overflowPunct w:val="0"/>
        <w:autoSpaceDE w:val="0"/>
        <w:autoSpaceDN w:val="0"/>
        <w:ind w:left="720" w:hanging="720"/>
        <w:rPr>
          <w:rFonts w:ascii="Arial" w:eastAsia="黑体" w:hAnsi="Arial" w:cs="Arial"/>
          <w:b/>
        </w:rPr>
      </w:pPr>
      <w:bookmarkStart w:id="366" w:name="afsaddin_WithXu_26ada72d8c884a94ac22f05d"/>
      <w:r>
        <w:rPr>
          <w:rFonts w:ascii="Arial" w:eastAsia="黑体" w:hAnsi="Arial" w:cs="Arial"/>
          <w:b/>
        </w:rPr>
        <w:t>八、</w:t>
      </w:r>
      <w:r>
        <w:rPr>
          <w:rFonts w:ascii="Arial" w:eastAsia="黑体" w:hAnsi="Arial" w:cs="Arial"/>
          <w:b/>
        </w:rPr>
        <w:tab/>
      </w:r>
      <w:r>
        <w:rPr>
          <w:rFonts w:ascii="Arial" w:eastAsia="黑体" w:hAnsi="Arial" w:cs="Arial"/>
          <w:b/>
        </w:rPr>
        <w:t>金融工具及其风险分析（续）</w:t>
      </w:r>
      <w:bookmarkEnd w:id="366"/>
    </w:p>
    <w:p w:rsidR="00AD5BB5" w:rsidRDefault="00AD5BB5">
      <w:pPr>
        <w:overflowPunct w:val="0"/>
        <w:autoSpaceDE w:val="0"/>
        <w:autoSpaceDN w:val="0"/>
        <w:rPr>
          <w:rFonts w:ascii="Arial" w:hAnsi="Arial" w:cs="Arial"/>
        </w:rPr>
      </w:pPr>
    </w:p>
    <w:p w:rsidR="00AD5BB5" w:rsidRDefault="00F87FF6">
      <w:pPr>
        <w:overflowPunct w:val="0"/>
        <w:autoSpaceDE w:val="0"/>
        <w:autoSpaceDN w:val="0"/>
        <w:rPr>
          <w:rFonts w:ascii="Arial" w:eastAsia="黑体" w:hAnsi="Arial" w:cs="Arial"/>
          <w:b/>
        </w:rPr>
      </w:pPr>
      <w:bookmarkStart w:id="367" w:name="afsaddin_WithXu_b6a946d02ca3462f9f8b6046"/>
      <w:r>
        <w:rPr>
          <w:rFonts w:ascii="Arial" w:eastAsia="黑体" w:hAnsi="Arial" w:cs="Arial"/>
          <w:b/>
        </w:rPr>
        <w:t>2.</w:t>
      </w:r>
      <w:r>
        <w:rPr>
          <w:rFonts w:ascii="Arial" w:eastAsia="黑体" w:hAnsi="Arial" w:cs="Arial"/>
          <w:b/>
        </w:rPr>
        <w:tab/>
      </w:r>
      <w:r>
        <w:rPr>
          <w:rFonts w:ascii="Arial" w:eastAsia="黑体" w:hAnsi="Arial" w:cs="Arial"/>
          <w:b/>
        </w:rPr>
        <w:t>流动性风险（续）</w:t>
      </w:r>
      <w:bookmarkEnd w:id="367"/>
    </w:p>
    <w:p w:rsidR="00AD5BB5" w:rsidRDefault="00AD5BB5">
      <w:pPr>
        <w:overflowPunct w:val="0"/>
        <w:autoSpaceDE w:val="0"/>
        <w:autoSpaceDN w:val="0"/>
        <w:rPr>
          <w:rFonts w:ascii="Arial" w:hAnsi="Arial" w:cs="Arial"/>
        </w:rPr>
      </w:pPr>
    </w:p>
    <w:tbl>
      <w:tblPr>
        <w:tblW w:w="0" w:type="auto"/>
        <w:tblLayout w:type="fixed"/>
        <w:tblCellMar>
          <w:left w:w="0" w:type="dxa"/>
          <w:right w:w="0" w:type="dxa"/>
        </w:tblCellMar>
        <w:tblLook w:val="04A0" w:firstRow="1" w:lastRow="0" w:firstColumn="1" w:lastColumn="0" w:noHBand="0" w:noVBand="1"/>
        <w:tblCaption w:val="96875b9b-d7a3-402c-8359-b7092fd6df90"/>
        <w:tblDescription w:val="{&quot;UUID&quot;:&quot;afsaddin_tabledata_2_56437_96875b9b-d7a3-402c-8359-b7092fd6df90&quot;,&quot;TitleRowCount&quot;:2,&quot;SplitedTable&quot;:false,&quot;FirstTableId&quot;:&quot;96875b9b-d7a3-402c-8359-b7092fd6df90&quot;}"/>
      </w:tblPr>
      <w:tblGrid>
        <w:gridCol w:w="1456"/>
        <w:gridCol w:w="99"/>
        <w:gridCol w:w="1252"/>
        <w:gridCol w:w="20"/>
        <w:gridCol w:w="20"/>
        <w:gridCol w:w="1268"/>
        <w:gridCol w:w="25"/>
        <w:gridCol w:w="97"/>
        <w:gridCol w:w="1307"/>
        <w:gridCol w:w="113"/>
        <w:gridCol w:w="97"/>
        <w:gridCol w:w="1439"/>
        <w:gridCol w:w="20"/>
        <w:gridCol w:w="23"/>
        <w:gridCol w:w="1403"/>
        <w:gridCol w:w="20"/>
        <w:gridCol w:w="20"/>
        <w:gridCol w:w="1418"/>
        <w:gridCol w:w="141"/>
        <w:gridCol w:w="142"/>
        <w:gridCol w:w="1559"/>
        <w:gridCol w:w="142"/>
        <w:gridCol w:w="24"/>
        <w:gridCol w:w="1742"/>
        <w:gridCol w:w="97"/>
      </w:tblGrid>
      <w:tr w:rsidR="00AD5BB5">
        <w:tc>
          <w:tcPr>
            <w:tcW w:w="1456" w:type="dxa"/>
            <w:tcBorders>
              <w:top w:val="nil"/>
              <w:left w:val="nil"/>
              <w:bottom w:val="nil"/>
              <w:right w:val="nil"/>
            </w:tcBorders>
            <w:vAlign w:val="bottom"/>
          </w:tcPr>
          <w:bookmarkStart w:id="368" w:name="afsaddin_WithXu_89fb9e59cde041bab9c3d31c"/>
          <w:bookmarkStart w:id="369" w:name="afsaddin_WithXu_b50d6eea784643efb6b4ceaf"/>
          <w:bookmarkStart w:id="370" w:name="afsaddin_WithXu_d616c2888a9647288adebc1d"/>
          <w:bookmarkEnd w:id="368"/>
          <w:bookmarkEnd w:id="369"/>
          <w:bookmarkEnd w:id="370"/>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fldChar w:fldCharType="begin"/>
            </w:r>
            <w:r>
              <w:rPr>
                <w:rFonts w:ascii="Arial" w:eastAsia="黑体" w:hAnsi="Arial" w:cs="Arial"/>
                <w:sz w:val="15"/>
                <w:szCs w:val="15"/>
              </w:rPr>
              <w:instrText xml:space="preserve"> DOCPROPERTY </w:instrText>
            </w:r>
            <w:r>
              <w:rPr>
                <w:rFonts w:ascii="Arial" w:eastAsia="黑体" w:hAnsi="Arial" w:cs="Arial"/>
                <w:sz w:val="15"/>
                <w:szCs w:val="15"/>
              </w:rPr>
              <w:instrText>上期资产负债表日</w:instrText>
            </w:r>
            <w:r>
              <w:rPr>
                <w:rFonts w:ascii="Arial" w:eastAsia="黑体" w:hAnsi="Arial" w:cs="Arial"/>
                <w:sz w:val="15"/>
                <w:szCs w:val="15"/>
              </w:rPr>
              <w:instrText xml:space="preserve"> </w:instrText>
            </w:r>
            <w:r>
              <w:rPr>
                <w:rFonts w:ascii="Arial" w:eastAsia="黑体" w:hAnsi="Arial" w:cs="Arial"/>
                <w:sz w:val="15"/>
                <w:szCs w:val="15"/>
              </w:rPr>
              <w:fldChar w:fldCharType="separate"/>
            </w:r>
            <w:r>
              <w:rPr>
                <w:rFonts w:ascii="Arial" w:eastAsia="黑体" w:hAnsi="Arial" w:cs="Arial"/>
                <w:sz w:val="15"/>
                <w:szCs w:val="15"/>
              </w:rPr>
              <w:t>2022</w:t>
            </w:r>
            <w:r>
              <w:rPr>
                <w:rFonts w:ascii="Arial" w:eastAsia="黑体" w:hAnsi="Arial" w:cs="Arial"/>
                <w:sz w:val="15"/>
                <w:szCs w:val="15"/>
              </w:rPr>
              <w:t>年</w:t>
            </w:r>
            <w:r>
              <w:rPr>
                <w:rFonts w:ascii="Arial" w:eastAsia="黑体" w:hAnsi="Arial" w:cs="Arial"/>
                <w:sz w:val="15"/>
                <w:szCs w:val="15"/>
              </w:rPr>
              <w:t>12</w:t>
            </w:r>
            <w:r>
              <w:rPr>
                <w:rFonts w:ascii="Arial" w:eastAsia="黑体" w:hAnsi="Arial" w:cs="Arial"/>
                <w:sz w:val="15"/>
                <w:szCs w:val="15"/>
              </w:rPr>
              <w:t>月</w:t>
            </w:r>
            <w:r>
              <w:rPr>
                <w:rFonts w:ascii="Arial" w:eastAsia="黑体" w:hAnsi="Arial" w:cs="Arial"/>
                <w:sz w:val="15"/>
                <w:szCs w:val="15"/>
              </w:rPr>
              <w:t>31</w:t>
            </w:r>
            <w:r>
              <w:rPr>
                <w:rFonts w:ascii="Arial" w:eastAsia="黑体" w:hAnsi="Arial" w:cs="Arial"/>
                <w:sz w:val="15"/>
                <w:szCs w:val="15"/>
              </w:rPr>
              <w:t>日</w:t>
            </w:r>
            <w:r>
              <w:rPr>
                <w:rFonts w:ascii="Arial" w:eastAsia="黑体" w:hAnsi="Arial" w:cs="Arial"/>
                <w:sz w:val="15"/>
                <w:szCs w:val="15"/>
              </w:rPr>
              <w:fldChar w:fldCharType="end"/>
            </w:r>
          </w:p>
        </w:tc>
        <w:tc>
          <w:tcPr>
            <w:tcW w:w="99"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5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已逾期</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26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即时偿还</w:t>
            </w:r>
          </w:p>
        </w:tc>
        <w:tc>
          <w:tcPr>
            <w:tcW w:w="25"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9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3</w:t>
            </w:r>
            <w:r>
              <w:rPr>
                <w:rFonts w:ascii="Arial" w:eastAsia="黑体" w:hAnsi="Arial" w:cs="Arial"/>
                <w:sz w:val="15"/>
                <w:szCs w:val="15"/>
              </w:rPr>
              <w:t>个月内</w:t>
            </w:r>
          </w:p>
        </w:tc>
        <w:tc>
          <w:tcPr>
            <w:tcW w:w="113"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9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3</w:t>
            </w:r>
            <w:r>
              <w:rPr>
                <w:rFonts w:ascii="Arial" w:eastAsia="黑体" w:hAnsi="Arial" w:cs="Arial"/>
                <w:sz w:val="15"/>
                <w:szCs w:val="15"/>
              </w:rPr>
              <w:t>个月至</w:t>
            </w:r>
            <w:r>
              <w:rPr>
                <w:rFonts w:ascii="Arial" w:eastAsia="黑体" w:hAnsi="Arial" w:cs="Arial"/>
                <w:sz w:val="15"/>
                <w:szCs w:val="15"/>
              </w:rPr>
              <w:t>1</w:t>
            </w:r>
            <w:r>
              <w:rPr>
                <w:rFonts w:ascii="Arial" w:eastAsia="黑体" w:hAnsi="Arial" w:cs="Arial"/>
                <w:sz w:val="15"/>
                <w:szCs w:val="15"/>
              </w:rPr>
              <w:t>年</w:t>
            </w:r>
          </w:p>
        </w:tc>
        <w:tc>
          <w:tcPr>
            <w:tcW w:w="20"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3" w:type="dxa"/>
            <w:tcBorders>
              <w:top w:val="nil"/>
              <w:left w:val="nil"/>
              <w:bottom w:val="nil"/>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1</w:t>
            </w:r>
            <w:r>
              <w:rPr>
                <w:rFonts w:ascii="Arial" w:eastAsia="黑体" w:hAnsi="Arial" w:cs="Arial"/>
                <w:sz w:val="15"/>
              </w:rPr>
              <w:t>至</w:t>
            </w:r>
            <w:r>
              <w:rPr>
                <w:rFonts w:ascii="Arial" w:eastAsia="黑体" w:hAnsi="Arial" w:cs="Arial"/>
                <w:sz w:val="15"/>
              </w:rPr>
              <w:t>5</w:t>
            </w:r>
            <w:r>
              <w:rPr>
                <w:rFonts w:ascii="Arial" w:eastAsia="黑体" w:hAnsi="Arial" w:cs="Arial"/>
                <w:sz w:val="15"/>
              </w:rPr>
              <w:t>年</w:t>
            </w:r>
          </w:p>
        </w:tc>
        <w:tc>
          <w:tcPr>
            <w:tcW w:w="20" w:type="dxa"/>
            <w:tcBorders>
              <w:top w:val="nil"/>
              <w:left w:val="nil"/>
              <w:bottom w:val="nil"/>
              <w:right w:val="nil"/>
            </w:tcBorders>
            <w:vAlign w:val="bottom"/>
          </w:tcPr>
          <w:p w:rsidR="00AD5BB5" w:rsidRDefault="00AD5BB5">
            <w:pPr>
              <w:autoSpaceDE w:val="0"/>
              <w:autoSpaceDN w:val="0"/>
              <w:ind w:left="150" w:hangingChars="100" w:hanging="150"/>
              <w:jc w:val="right"/>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418" w:type="dxa"/>
            <w:tcBorders>
              <w:top w:val="nil"/>
              <w:left w:val="nil"/>
              <w:bottom w:val="nil"/>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5</w:t>
            </w:r>
            <w:r>
              <w:rPr>
                <w:rFonts w:ascii="Arial" w:eastAsia="黑体" w:hAnsi="Arial" w:cs="Arial"/>
                <w:sz w:val="15"/>
              </w:rPr>
              <w:t>年以上</w:t>
            </w:r>
          </w:p>
        </w:tc>
        <w:tc>
          <w:tcPr>
            <w:tcW w:w="141" w:type="dxa"/>
            <w:tcBorders>
              <w:top w:val="nil"/>
              <w:left w:val="nil"/>
              <w:bottom w:val="nil"/>
              <w:right w:val="nil"/>
            </w:tcBorders>
            <w:vAlign w:val="bottom"/>
          </w:tcPr>
          <w:p w:rsidR="00AD5BB5" w:rsidRDefault="00AD5BB5">
            <w:pPr>
              <w:autoSpaceDE w:val="0"/>
              <w:autoSpaceDN w:val="0"/>
              <w:ind w:left="150" w:hangingChars="100" w:hanging="150"/>
              <w:jc w:val="right"/>
              <w:rPr>
                <w:rFonts w:ascii="Arial" w:eastAsia="黑体" w:hAnsi="Arial" w:cs="Arial"/>
                <w:sz w:val="15"/>
                <w:szCs w:val="15"/>
              </w:rPr>
            </w:pPr>
          </w:p>
        </w:tc>
        <w:tc>
          <w:tcPr>
            <w:tcW w:w="142" w:type="dxa"/>
            <w:tcBorders>
              <w:top w:val="nil"/>
              <w:left w:val="nil"/>
              <w:bottom w:val="nil"/>
              <w:right w:val="nil"/>
            </w:tcBorders>
            <w:vAlign w:val="bottom"/>
          </w:tcPr>
          <w:p w:rsidR="00AD5BB5" w:rsidRDefault="00AD5BB5">
            <w:pPr>
              <w:autoSpaceDE w:val="0"/>
              <w:autoSpaceDN w:val="0"/>
              <w:ind w:left="150" w:hangingChars="100" w:hanging="150"/>
              <w:jc w:val="right"/>
              <w:rPr>
                <w:rFonts w:ascii="Arial" w:eastAsia="黑体" w:hAnsi="Arial" w:cs="Arial"/>
                <w:sz w:val="15"/>
                <w:szCs w:val="15"/>
              </w:rPr>
            </w:pPr>
          </w:p>
        </w:tc>
        <w:tc>
          <w:tcPr>
            <w:tcW w:w="1559" w:type="dxa"/>
            <w:tcBorders>
              <w:top w:val="nil"/>
              <w:left w:val="nil"/>
              <w:bottom w:val="nil"/>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无固定期限</w:t>
            </w:r>
          </w:p>
        </w:tc>
        <w:tc>
          <w:tcPr>
            <w:tcW w:w="142" w:type="dxa"/>
            <w:tcBorders>
              <w:top w:val="nil"/>
              <w:left w:val="nil"/>
              <w:bottom w:val="nil"/>
              <w:right w:val="nil"/>
            </w:tcBorders>
            <w:vAlign w:val="bottom"/>
          </w:tcPr>
          <w:p w:rsidR="00AD5BB5" w:rsidRDefault="00AD5BB5">
            <w:pPr>
              <w:autoSpaceDE w:val="0"/>
              <w:autoSpaceDN w:val="0"/>
              <w:ind w:left="150" w:hangingChars="100" w:hanging="150"/>
              <w:jc w:val="right"/>
              <w:rPr>
                <w:rFonts w:ascii="Arial" w:eastAsia="黑体" w:hAnsi="Arial" w:cs="Arial"/>
                <w:sz w:val="15"/>
                <w:szCs w:val="15"/>
              </w:rPr>
            </w:pPr>
          </w:p>
        </w:tc>
        <w:tc>
          <w:tcPr>
            <w:tcW w:w="24" w:type="dxa"/>
            <w:tcBorders>
              <w:top w:val="nil"/>
              <w:left w:val="nil"/>
              <w:bottom w:val="nil"/>
              <w:right w:val="nil"/>
            </w:tcBorders>
            <w:vAlign w:val="bottom"/>
          </w:tcPr>
          <w:p w:rsidR="00AD5BB5" w:rsidRDefault="00AD5BB5">
            <w:pPr>
              <w:autoSpaceDE w:val="0"/>
              <w:autoSpaceDN w:val="0"/>
              <w:ind w:left="150" w:hangingChars="100" w:hanging="150"/>
              <w:jc w:val="right"/>
              <w:rPr>
                <w:rFonts w:ascii="Arial" w:eastAsia="黑体" w:hAnsi="Arial" w:cs="Arial"/>
                <w:sz w:val="15"/>
                <w:szCs w:val="15"/>
              </w:rPr>
            </w:pPr>
          </w:p>
        </w:tc>
        <w:tc>
          <w:tcPr>
            <w:tcW w:w="1742" w:type="dxa"/>
            <w:tcBorders>
              <w:top w:val="nil"/>
              <w:left w:val="nil"/>
              <w:bottom w:val="nil"/>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合计</w:t>
            </w:r>
          </w:p>
        </w:tc>
        <w:tc>
          <w:tcPr>
            <w:tcW w:w="97"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r>
      <w:tr w:rsidR="00AD5BB5">
        <w:tc>
          <w:tcPr>
            <w:tcW w:w="1456" w:type="dxa"/>
            <w:tcBorders>
              <w:top w:val="nil"/>
              <w:left w:val="nil"/>
              <w:bottom w:val="nil"/>
              <w:right w:val="nil"/>
            </w:tcBorders>
            <w:vAlign w:val="bottom"/>
          </w:tcPr>
          <w:p w:rsidR="00AD5BB5" w:rsidRDefault="00AD5BB5">
            <w:pPr>
              <w:autoSpaceDE w:val="0"/>
              <w:autoSpaceDN w:val="0"/>
              <w:ind w:left="225" w:hangingChars="150" w:hanging="225"/>
              <w:rPr>
                <w:rFonts w:ascii="Arial" w:eastAsia="黑体" w:hAnsi="Arial" w:cs="Arial"/>
                <w:sz w:val="15"/>
                <w:szCs w:val="15"/>
              </w:rPr>
            </w:pPr>
          </w:p>
        </w:tc>
        <w:tc>
          <w:tcPr>
            <w:tcW w:w="99"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5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rPr>
                <w:rFonts w:ascii="Arial" w:hAnsi="Arial" w:cs="Arial"/>
              </w:rPr>
            </w:pPr>
          </w:p>
        </w:tc>
        <w:tc>
          <w:tcPr>
            <w:tcW w:w="126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25" w:type="dxa"/>
            <w:tcBorders>
              <w:top w:val="nil"/>
              <w:left w:val="nil"/>
              <w:bottom w:val="nil"/>
              <w:right w:val="nil"/>
            </w:tcBorders>
            <w:vAlign w:val="bottom"/>
          </w:tcPr>
          <w:p w:rsidR="00AD5BB5" w:rsidRDefault="00AD5BB5">
            <w:pPr>
              <w:rPr>
                <w:rFonts w:ascii="Arial" w:hAnsi="Arial" w:cs="Arial"/>
              </w:rPr>
            </w:pPr>
          </w:p>
        </w:tc>
        <w:tc>
          <w:tcPr>
            <w:tcW w:w="9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rPr>
                <w:rFonts w:ascii="Arial" w:hAnsi="Arial" w:cs="Arial"/>
              </w:rPr>
            </w:pPr>
          </w:p>
        </w:tc>
        <w:tc>
          <w:tcPr>
            <w:tcW w:w="9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3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rPr>
                <w:rFonts w:ascii="Arial" w:hAnsi="Arial" w:cs="Arial"/>
              </w:rPr>
            </w:pP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3" w:type="dxa"/>
            <w:tcBorders>
              <w:top w:val="nil"/>
              <w:left w:val="nil"/>
              <w:bottom w:val="nil"/>
              <w:right w:val="nil"/>
            </w:tcBorders>
            <w:vAlign w:val="bottom"/>
          </w:tcPr>
          <w:p w:rsidR="00AD5BB5" w:rsidRDefault="00AD5BB5">
            <w:pPr>
              <w:jc w:val="right"/>
              <w:rPr>
                <w:rFonts w:ascii="Arial" w:hAnsi="Arial" w:cs="Arial"/>
              </w:rPr>
            </w:pPr>
          </w:p>
        </w:tc>
        <w:tc>
          <w:tcPr>
            <w:tcW w:w="20" w:type="dxa"/>
            <w:tcBorders>
              <w:top w:val="nil"/>
              <w:left w:val="nil"/>
              <w:bottom w:val="nil"/>
              <w:right w:val="nil"/>
            </w:tcBorders>
            <w:vAlign w:val="bottom"/>
          </w:tcPr>
          <w:p w:rsidR="00AD5BB5" w:rsidRDefault="00AD5BB5">
            <w:pPr>
              <w:jc w:val="right"/>
              <w:rPr>
                <w:rFonts w:ascii="Arial" w:hAnsi="Arial" w:cs="Arial"/>
              </w:rPr>
            </w:pPr>
          </w:p>
        </w:tc>
        <w:tc>
          <w:tcPr>
            <w:tcW w:w="2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418" w:type="dxa"/>
            <w:tcBorders>
              <w:top w:val="nil"/>
              <w:left w:val="nil"/>
              <w:bottom w:val="nil"/>
              <w:right w:val="nil"/>
            </w:tcBorders>
            <w:vAlign w:val="bottom"/>
          </w:tcPr>
          <w:p w:rsidR="00AD5BB5" w:rsidRDefault="00AD5BB5">
            <w:pPr>
              <w:jc w:val="right"/>
              <w:rPr>
                <w:rFonts w:ascii="Arial" w:hAnsi="Arial" w:cs="Arial"/>
              </w:rPr>
            </w:pPr>
          </w:p>
        </w:tc>
        <w:tc>
          <w:tcPr>
            <w:tcW w:w="141" w:type="dxa"/>
            <w:tcBorders>
              <w:top w:val="nil"/>
              <w:left w:val="nil"/>
              <w:bottom w:val="nil"/>
              <w:right w:val="nil"/>
            </w:tcBorders>
            <w:vAlign w:val="bottom"/>
          </w:tcPr>
          <w:p w:rsidR="00AD5BB5" w:rsidRDefault="00AD5BB5">
            <w:pPr>
              <w:jc w:val="right"/>
              <w:rPr>
                <w:rFonts w:ascii="Arial" w:hAnsi="Arial" w:cs="Arial"/>
              </w:rPr>
            </w:pPr>
          </w:p>
        </w:tc>
        <w:tc>
          <w:tcPr>
            <w:tcW w:w="142" w:type="dxa"/>
            <w:tcBorders>
              <w:top w:val="nil"/>
              <w:left w:val="nil"/>
              <w:bottom w:val="nil"/>
              <w:right w:val="nil"/>
            </w:tcBorders>
            <w:vAlign w:val="bottom"/>
          </w:tcPr>
          <w:p w:rsidR="00AD5BB5" w:rsidRDefault="00AD5BB5">
            <w:pPr>
              <w:jc w:val="right"/>
              <w:rPr>
                <w:rFonts w:ascii="Arial" w:hAnsi="Arial" w:cs="Arial"/>
              </w:rPr>
            </w:pPr>
          </w:p>
        </w:tc>
        <w:tc>
          <w:tcPr>
            <w:tcW w:w="1559" w:type="dxa"/>
            <w:tcBorders>
              <w:top w:val="nil"/>
              <w:left w:val="nil"/>
              <w:bottom w:val="nil"/>
              <w:right w:val="nil"/>
            </w:tcBorders>
            <w:vAlign w:val="bottom"/>
          </w:tcPr>
          <w:p w:rsidR="00AD5BB5" w:rsidRDefault="00AD5BB5">
            <w:pPr>
              <w:jc w:val="right"/>
              <w:rPr>
                <w:rFonts w:ascii="Arial" w:hAnsi="Arial" w:cs="Arial"/>
              </w:rPr>
            </w:pPr>
          </w:p>
        </w:tc>
        <w:tc>
          <w:tcPr>
            <w:tcW w:w="142" w:type="dxa"/>
            <w:tcBorders>
              <w:top w:val="nil"/>
              <w:left w:val="nil"/>
              <w:bottom w:val="nil"/>
              <w:right w:val="nil"/>
            </w:tcBorders>
            <w:vAlign w:val="bottom"/>
          </w:tcPr>
          <w:p w:rsidR="00AD5BB5" w:rsidRDefault="00AD5BB5">
            <w:pPr>
              <w:jc w:val="right"/>
              <w:rPr>
                <w:rFonts w:ascii="Arial" w:hAnsi="Arial" w:cs="Arial"/>
              </w:rPr>
            </w:pPr>
          </w:p>
        </w:tc>
        <w:tc>
          <w:tcPr>
            <w:tcW w:w="24" w:type="dxa"/>
            <w:tcBorders>
              <w:top w:val="nil"/>
              <w:left w:val="nil"/>
              <w:bottom w:val="nil"/>
              <w:right w:val="nil"/>
            </w:tcBorders>
            <w:vAlign w:val="bottom"/>
          </w:tcPr>
          <w:p w:rsidR="00AD5BB5" w:rsidRDefault="00AD5BB5">
            <w:pPr>
              <w:jc w:val="right"/>
              <w:rPr>
                <w:rFonts w:ascii="Arial" w:hAnsi="Arial" w:cs="Arial"/>
              </w:rPr>
            </w:pPr>
          </w:p>
        </w:tc>
        <w:tc>
          <w:tcPr>
            <w:tcW w:w="1742" w:type="dxa"/>
            <w:tcBorders>
              <w:top w:val="nil"/>
              <w:left w:val="nil"/>
              <w:bottom w:val="nil"/>
              <w:right w:val="nil"/>
            </w:tcBorders>
            <w:vAlign w:val="bottom"/>
          </w:tcPr>
          <w:p w:rsidR="00AD5BB5" w:rsidRDefault="00AD5BB5">
            <w:pPr>
              <w:jc w:val="right"/>
              <w:rPr>
                <w:rFonts w:ascii="Arial" w:hAnsi="Arial" w:cs="Arial"/>
              </w:rPr>
            </w:pPr>
          </w:p>
        </w:tc>
        <w:tc>
          <w:tcPr>
            <w:tcW w:w="97" w:type="dxa"/>
            <w:tcBorders>
              <w:top w:val="nil"/>
              <w:left w:val="nil"/>
              <w:bottom w:val="nil"/>
              <w:right w:val="nil"/>
            </w:tcBorders>
            <w:vAlign w:val="bottom"/>
          </w:tcPr>
          <w:p w:rsidR="00AD5BB5" w:rsidRDefault="00AD5BB5">
            <w:pPr>
              <w:rPr>
                <w:rFonts w:ascii="Arial" w:hAnsi="Arial" w:cs="Arial"/>
              </w:rPr>
            </w:pPr>
          </w:p>
        </w:tc>
      </w:tr>
      <w:tr w:rsidR="00AD5BB5">
        <w:tc>
          <w:tcPr>
            <w:tcW w:w="1456"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非衍生金融工具现金流</w:t>
            </w:r>
          </w:p>
        </w:tc>
        <w:tc>
          <w:tcPr>
            <w:tcW w:w="99"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5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26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25"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9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9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3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3" w:type="dxa"/>
            <w:tcBorders>
              <w:top w:val="nil"/>
              <w:left w:val="nil"/>
              <w:bottom w:val="nil"/>
              <w:right w:val="nil"/>
            </w:tcBorders>
            <w:vAlign w:val="bottom"/>
          </w:tcPr>
          <w:p w:rsidR="00AD5BB5" w:rsidRDefault="00AD5BB5">
            <w:pPr>
              <w:autoSpaceDE w:val="0"/>
              <w:autoSpaceDN w:val="0"/>
              <w:ind w:left="150" w:hangingChars="100" w:hanging="150"/>
              <w:jc w:val="right"/>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8" w:type="dxa"/>
            <w:tcBorders>
              <w:top w:val="nil"/>
              <w:left w:val="nil"/>
              <w:bottom w:val="nil"/>
              <w:right w:val="nil"/>
            </w:tcBorders>
            <w:vAlign w:val="bottom"/>
          </w:tcPr>
          <w:p w:rsidR="00AD5BB5" w:rsidRDefault="00AD5BB5">
            <w:pPr>
              <w:autoSpaceDE w:val="0"/>
              <w:autoSpaceDN w:val="0"/>
              <w:ind w:left="150" w:hangingChars="100" w:hanging="150"/>
              <w:jc w:val="right"/>
              <w:rPr>
                <w:rFonts w:ascii="Arial" w:eastAsia="黑体" w:hAnsi="Arial" w:cs="Arial"/>
                <w:sz w:val="15"/>
                <w:szCs w:val="15"/>
              </w:rPr>
            </w:pPr>
          </w:p>
        </w:tc>
        <w:tc>
          <w:tcPr>
            <w:tcW w:w="141"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42"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559" w:type="dxa"/>
            <w:tcBorders>
              <w:top w:val="nil"/>
              <w:left w:val="nil"/>
              <w:bottom w:val="nil"/>
              <w:right w:val="nil"/>
            </w:tcBorders>
            <w:vAlign w:val="bottom"/>
          </w:tcPr>
          <w:p w:rsidR="00AD5BB5" w:rsidRDefault="00AD5BB5">
            <w:pPr>
              <w:autoSpaceDE w:val="0"/>
              <w:autoSpaceDN w:val="0"/>
              <w:ind w:left="150" w:hangingChars="100" w:hanging="150"/>
              <w:jc w:val="right"/>
              <w:rPr>
                <w:rFonts w:ascii="Arial" w:eastAsia="黑体" w:hAnsi="Arial" w:cs="Arial"/>
                <w:sz w:val="15"/>
                <w:szCs w:val="15"/>
              </w:rPr>
            </w:pPr>
          </w:p>
        </w:tc>
        <w:tc>
          <w:tcPr>
            <w:tcW w:w="142"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24"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742" w:type="dxa"/>
            <w:tcBorders>
              <w:top w:val="nil"/>
              <w:left w:val="nil"/>
              <w:bottom w:val="nil"/>
              <w:right w:val="nil"/>
            </w:tcBorders>
            <w:vAlign w:val="bottom"/>
          </w:tcPr>
          <w:p w:rsidR="00AD5BB5" w:rsidRDefault="00AD5BB5">
            <w:pPr>
              <w:autoSpaceDE w:val="0"/>
              <w:autoSpaceDN w:val="0"/>
              <w:ind w:left="150" w:hangingChars="100" w:hanging="150"/>
              <w:jc w:val="right"/>
              <w:rPr>
                <w:rFonts w:ascii="Arial" w:eastAsia="黑体" w:hAnsi="Arial" w:cs="Arial"/>
                <w:sz w:val="15"/>
                <w:szCs w:val="15"/>
              </w:rPr>
            </w:pPr>
          </w:p>
        </w:tc>
        <w:tc>
          <w:tcPr>
            <w:tcW w:w="97"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r>
      <w:tr w:rsidR="00AD5BB5">
        <w:tc>
          <w:tcPr>
            <w:tcW w:w="1456" w:type="dxa"/>
            <w:tcBorders>
              <w:top w:val="nil"/>
              <w:left w:val="nil"/>
              <w:bottom w:val="nil"/>
              <w:right w:val="nil"/>
            </w:tcBorders>
            <w:vAlign w:val="bottom"/>
          </w:tcPr>
          <w:p w:rsidR="00AD5BB5" w:rsidRDefault="00AD5BB5">
            <w:pPr>
              <w:autoSpaceDE w:val="0"/>
              <w:autoSpaceDN w:val="0"/>
              <w:ind w:left="225" w:hangingChars="150" w:hanging="225"/>
              <w:rPr>
                <w:rFonts w:ascii="Arial" w:eastAsia="黑体" w:hAnsi="Arial" w:cs="Arial"/>
                <w:sz w:val="15"/>
                <w:szCs w:val="15"/>
              </w:rPr>
            </w:pPr>
          </w:p>
        </w:tc>
        <w:tc>
          <w:tcPr>
            <w:tcW w:w="99"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5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rPr>
                <w:rFonts w:ascii="Arial" w:hAnsi="Arial" w:cs="Arial"/>
              </w:rPr>
            </w:pPr>
          </w:p>
        </w:tc>
        <w:tc>
          <w:tcPr>
            <w:tcW w:w="126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25" w:type="dxa"/>
            <w:tcBorders>
              <w:top w:val="nil"/>
              <w:left w:val="nil"/>
              <w:bottom w:val="nil"/>
              <w:right w:val="nil"/>
            </w:tcBorders>
            <w:vAlign w:val="bottom"/>
          </w:tcPr>
          <w:p w:rsidR="00AD5BB5" w:rsidRDefault="00AD5BB5">
            <w:pPr>
              <w:rPr>
                <w:rFonts w:ascii="Arial" w:hAnsi="Arial" w:cs="Arial"/>
              </w:rPr>
            </w:pPr>
          </w:p>
        </w:tc>
        <w:tc>
          <w:tcPr>
            <w:tcW w:w="9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rPr>
                <w:rFonts w:ascii="Arial" w:hAnsi="Arial" w:cs="Arial"/>
              </w:rPr>
            </w:pPr>
          </w:p>
        </w:tc>
        <w:tc>
          <w:tcPr>
            <w:tcW w:w="9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3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rPr>
                <w:rFonts w:ascii="Arial" w:hAnsi="Arial" w:cs="Arial"/>
              </w:rPr>
            </w:pP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3" w:type="dxa"/>
            <w:tcBorders>
              <w:top w:val="nil"/>
              <w:left w:val="nil"/>
              <w:bottom w:val="nil"/>
              <w:right w:val="nil"/>
            </w:tcBorders>
            <w:vAlign w:val="bottom"/>
          </w:tcPr>
          <w:p w:rsidR="00AD5BB5" w:rsidRDefault="00AD5BB5">
            <w:pPr>
              <w:jc w:val="right"/>
              <w:rPr>
                <w:rFonts w:ascii="Arial" w:hAnsi="Arial" w:cs="Arial"/>
              </w:rPr>
            </w:pPr>
          </w:p>
        </w:tc>
        <w:tc>
          <w:tcPr>
            <w:tcW w:w="20" w:type="dxa"/>
            <w:tcBorders>
              <w:top w:val="nil"/>
              <w:left w:val="nil"/>
              <w:bottom w:val="nil"/>
              <w:right w:val="nil"/>
            </w:tcBorders>
            <w:vAlign w:val="bottom"/>
          </w:tcPr>
          <w:p w:rsidR="00AD5BB5" w:rsidRDefault="00AD5BB5">
            <w:pPr>
              <w:rPr>
                <w:rFonts w:ascii="Arial" w:hAnsi="Arial" w:cs="Arial"/>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8" w:type="dxa"/>
            <w:tcBorders>
              <w:top w:val="nil"/>
              <w:left w:val="nil"/>
              <w:bottom w:val="nil"/>
              <w:right w:val="nil"/>
            </w:tcBorders>
            <w:vAlign w:val="bottom"/>
          </w:tcPr>
          <w:p w:rsidR="00AD5BB5" w:rsidRDefault="00AD5BB5">
            <w:pPr>
              <w:jc w:val="right"/>
              <w:rPr>
                <w:rFonts w:ascii="Arial" w:hAnsi="Arial" w:cs="Arial"/>
              </w:rPr>
            </w:pPr>
          </w:p>
        </w:tc>
        <w:tc>
          <w:tcPr>
            <w:tcW w:w="141" w:type="dxa"/>
            <w:tcBorders>
              <w:top w:val="nil"/>
              <w:left w:val="nil"/>
              <w:bottom w:val="nil"/>
              <w:right w:val="nil"/>
            </w:tcBorders>
            <w:vAlign w:val="bottom"/>
          </w:tcPr>
          <w:p w:rsidR="00AD5BB5" w:rsidRDefault="00AD5BB5">
            <w:pPr>
              <w:rPr>
                <w:rFonts w:ascii="Arial" w:hAnsi="Arial" w:cs="Arial"/>
              </w:rPr>
            </w:pPr>
          </w:p>
        </w:tc>
        <w:tc>
          <w:tcPr>
            <w:tcW w:w="142" w:type="dxa"/>
            <w:tcBorders>
              <w:top w:val="nil"/>
              <w:left w:val="nil"/>
              <w:bottom w:val="nil"/>
              <w:right w:val="nil"/>
            </w:tcBorders>
            <w:vAlign w:val="bottom"/>
          </w:tcPr>
          <w:p w:rsidR="00AD5BB5" w:rsidRDefault="00AD5BB5">
            <w:pPr>
              <w:rPr>
                <w:rFonts w:ascii="Arial" w:hAnsi="Arial" w:cs="Arial"/>
              </w:rPr>
            </w:pPr>
          </w:p>
        </w:tc>
        <w:tc>
          <w:tcPr>
            <w:tcW w:w="1559" w:type="dxa"/>
            <w:tcBorders>
              <w:top w:val="nil"/>
              <w:left w:val="nil"/>
              <w:bottom w:val="nil"/>
              <w:right w:val="nil"/>
            </w:tcBorders>
            <w:vAlign w:val="bottom"/>
          </w:tcPr>
          <w:p w:rsidR="00AD5BB5" w:rsidRDefault="00AD5BB5">
            <w:pPr>
              <w:jc w:val="right"/>
              <w:rPr>
                <w:rFonts w:ascii="Arial" w:hAnsi="Arial" w:cs="Arial"/>
              </w:rPr>
            </w:pPr>
          </w:p>
        </w:tc>
        <w:tc>
          <w:tcPr>
            <w:tcW w:w="142" w:type="dxa"/>
            <w:tcBorders>
              <w:top w:val="nil"/>
              <w:left w:val="nil"/>
              <w:bottom w:val="nil"/>
              <w:right w:val="nil"/>
            </w:tcBorders>
            <w:vAlign w:val="bottom"/>
          </w:tcPr>
          <w:p w:rsidR="00AD5BB5" w:rsidRDefault="00AD5BB5">
            <w:pPr>
              <w:rPr>
                <w:rFonts w:ascii="Arial" w:hAnsi="Arial" w:cs="Arial"/>
              </w:rPr>
            </w:pPr>
          </w:p>
        </w:tc>
        <w:tc>
          <w:tcPr>
            <w:tcW w:w="24" w:type="dxa"/>
            <w:tcBorders>
              <w:top w:val="nil"/>
              <w:left w:val="nil"/>
              <w:bottom w:val="nil"/>
              <w:right w:val="nil"/>
            </w:tcBorders>
            <w:vAlign w:val="bottom"/>
          </w:tcPr>
          <w:p w:rsidR="00AD5BB5" w:rsidRDefault="00AD5BB5">
            <w:pPr>
              <w:rPr>
                <w:rFonts w:ascii="Arial" w:hAnsi="Arial" w:cs="Arial"/>
              </w:rPr>
            </w:pPr>
          </w:p>
        </w:tc>
        <w:tc>
          <w:tcPr>
            <w:tcW w:w="1742" w:type="dxa"/>
            <w:tcBorders>
              <w:top w:val="nil"/>
              <w:left w:val="nil"/>
              <w:bottom w:val="nil"/>
              <w:right w:val="nil"/>
            </w:tcBorders>
            <w:vAlign w:val="bottom"/>
          </w:tcPr>
          <w:p w:rsidR="00AD5BB5" w:rsidRDefault="00AD5BB5">
            <w:pPr>
              <w:jc w:val="right"/>
              <w:rPr>
                <w:rFonts w:ascii="Arial" w:hAnsi="Arial" w:cs="Arial"/>
              </w:rPr>
            </w:pPr>
          </w:p>
        </w:tc>
        <w:tc>
          <w:tcPr>
            <w:tcW w:w="97" w:type="dxa"/>
            <w:tcBorders>
              <w:top w:val="nil"/>
              <w:left w:val="nil"/>
              <w:bottom w:val="nil"/>
              <w:right w:val="nil"/>
            </w:tcBorders>
            <w:vAlign w:val="bottom"/>
          </w:tcPr>
          <w:p w:rsidR="00AD5BB5" w:rsidRDefault="00AD5BB5">
            <w:pPr>
              <w:rPr>
                <w:rFonts w:ascii="Arial" w:hAnsi="Arial" w:cs="Arial"/>
              </w:rPr>
            </w:pPr>
          </w:p>
        </w:tc>
      </w:tr>
      <w:tr w:rsidR="00AD5BB5">
        <w:tc>
          <w:tcPr>
            <w:tcW w:w="1456"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资产项目</w:t>
            </w:r>
          </w:p>
        </w:tc>
        <w:tc>
          <w:tcPr>
            <w:tcW w:w="99"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5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26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25"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9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9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3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3" w:type="dxa"/>
            <w:tcBorders>
              <w:top w:val="nil"/>
              <w:left w:val="nil"/>
              <w:bottom w:val="nil"/>
              <w:right w:val="nil"/>
            </w:tcBorders>
            <w:vAlign w:val="bottom"/>
          </w:tcPr>
          <w:p w:rsidR="00AD5BB5" w:rsidRDefault="00AD5BB5">
            <w:pPr>
              <w:autoSpaceDE w:val="0"/>
              <w:autoSpaceDN w:val="0"/>
              <w:ind w:left="150" w:hangingChars="100" w:hanging="150"/>
              <w:jc w:val="right"/>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8" w:type="dxa"/>
            <w:tcBorders>
              <w:top w:val="nil"/>
              <w:left w:val="nil"/>
              <w:bottom w:val="nil"/>
              <w:right w:val="nil"/>
            </w:tcBorders>
            <w:vAlign w:val="bottom"/>
          </w:tcPr>
          <w:p w:rsidR="00AD5BB5" w:rsidRDefault="00AD5BB5">
            <w:pPr>
              <w:autoSpaceDE w:val="0"/>
              <w:autoSpaceDN w:val="0"/>
              <w:ind w:left="150" w:hangingChars="100" w:hanging="150"/>
              <w:jc w:val="right"/>
              <w:rPr>
                <w:rFonts w:ascii="Arial" w:eastAsia="黑体" w:hAnsi="Arial" w:cs="Arial"/>
                <w:sz w:val="15"/>
                <w:szCs w:val="15"/>
              </w:rPr>
            </w:pPr>
          </w:p>
        </w:tc>
        <w:tc>
          <w:tcPr>
            <w:tcW w:w="141"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42"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559" w:type="dxa"/>
            <w:tcBorders>
              <w:top w:val="nil"/>
              <w:left w:val="nil"/>
              <w:bottom w:val="nil"/>
              <w:right w:val="nil"/>
            </w:tcBorders>
            <w:vAlign w:val="bottom"/>
          </w:tcPr>
          <w:p w:rsidR="00AD5BB5" w:rsidRDefault="00AD5BB5">
            <w:pPr>
              <w:autoSpaceDE w:val="0"/>
              <w:autoSpaceDN w:val="0"/>
              <w:ind w:left="150" w:hangingChars="100" w:hanging="150"/>
              <w:jc w:val="right"/>
              <w:rPr>
                <w:rFonts w:ascii="Arial" w:eastAsia="黑体" w:hAnsi="Arial" w:cs="Arial"/>
                <w:sz w:val="15"/>
                <w:szCs w:val="15"/>
              </w:rPr>
            </w:pPr>
          </w:p>
        </w:tc>
        <w:tc>
          <w:tcPr>
            <w:tcW w:w="142"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24"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742" w:type="dxa"/>
            <w:tcBorders>
              <w:top w:val="nil"/>
              <w:left w:val="nil"/>
              <w:bottom w:val="nil"/>
              <w:right w:val="nil"/>
            </w:tcBorders>
            <w:vAlign w:val="bottom"/>
          </w:tcPr>
          <w:p w:rsidR="00AD5BB5" w:rsidRDefault="00AD5BB5">
            <w:pPr>
              <w:autoSpaceDE w:val="0"/>
              <w:autoSpaceDN w:val="0"/>
              <w:ind w:left="150" w:hangingChars="100" w:hanging="150"/>
              <w:jc w:val="right"/>
              <w:rPr>
                <w:rFonts w:ascii="Arial" w:eastAsia="黑体" w:hAnsi="Arial" w:cs="Arial"/>
                <w:sz w:val="15"/>
                <w:szCs w:val="15"/>
              </w:rPr>
            </w:pPr>
          </w:p>
        </w:tc>
        <w:tc>
          <w:tcPr>
            <w:tcW w:w="97"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r>
      <w:tr w:rsidR="00AD5BB5">
        <w:tc>
          <w:tcPr>
            <w:tcW w:w="1456"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现金及存放中央银行款项</w:t>
            </w:r>
          </w:p>
        </w:tc>
        <w:tc>
          <w:tcPr>
            <w:tcW w:w="99"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5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26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15,220,100,703.89</w:t>
            </w:r>
          </w:p>
        </w:tc>
        <w:tc>
          <w:tcPr>
            <w:tcW w:w="25"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9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9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36,105,216.01</w:t>
            </w:r>
          </w:p>
        </w:tc>
        <w:tc>
          <w:tcPr>
            <w:tcW w:w="20"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3" w:type="dxa"/>
            <w:tcBorders>
              <w:top w:val="nil"/>
              <w:left w:val="nil"/>
              <w:bottom w:val="nil"/>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w:t>
            </w:r>
          </w:p>
        </w:tc>
        <w:tc>
          <w:tcPr>
            <w:tcW w:w="20"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8" w:type="dxa"/>
            <w:tcBorders>
              <w:top w:val="nil"/>
              <w:left w:val="nil"/>
              <w:bottom w:val="nil"/>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w:t>
            </w:r>
          </w:p>
        </w:tc>
        <w:tc>
          <w:tcPr>
            <w:tcW w:w="141"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42"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559" w:type="dxa"/>
            <w:tcBorders>
              <w:top w:val="nil"/>
              <w:left w:val="nil"/>
              <w:bottom w:val="nil"/>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14,552,252,031.38</w:t>
            </w:r>
          </w:p>
        </w:tc>
        <w:tc>
          <w:tcPr>
            <w:tcW w:w="142"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24"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742" w:type="dxa"/>
            <w:tcBorders>
              <w:top w:val="nil"/>
              <w:left w:val="nil"/>
              <w:bottom w:val="nil"/>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29,808,457,951.28</w:t>
            </w:r>
          </w:p>
        </w:tc>
        <w:tc>
          <w:tcPr>
            <w:tcW w:w="97"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r>
      <w:tr w:rsidR="00AD5BB5">
        <w:tc>
          <w:tcPr>
            <w:tcW w:w="1456"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存放同业及其他金融机构款项和拆出资金</w:t>
            </w:r>
          </w:p>
        </w:tc>
        <w:tc>
          <w:tcPr>
            <w:tcW w:w="99"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5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26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3,239,854,365.06</w:t>
            </w:r>
          </w:p>
        </w:tc>
        <w:tc>
          <w:tcPr>
            <w:tcW w:w="25"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9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4,940,687,636.73</w:t>
            </w:r>
          </w:p>
        </w:tc>
        <w:tc>
          <w:tcPr>
            <w:tcW w:w="113"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9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14,934,349,607.66</w:t>
            </w:r>
          </w:p>
        </w:tc>
        <w:tc>
          <w:tcPr>
            <w:tcW w:w="20"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3" w:type="dxa"/>
            <w:tcBorders>
              <w:top w:val="nil"/>
              <w:left w:val="nil"/>
              <w:bottom w:val="nil"/>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1,543,051,985.43</w:t>
            </w:r>
          </w:p>
        </w:tc>
        <w:tc>
          <w:tcPr>
            <w:tcW w:w="20"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8" w:type="dxa"/>
            <w:tcBorders>
              <w:top w:val="nil"/>
              <w:left w:val="nil"/>
              <w:bottom w:val="nil"/>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w:t>
            </w:r>
          </w:p>
        </w:tc>
        <w:tc>
          <w:tcPr>
            <w:tcW w:w="141"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42"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559" w:type="dxa"/>
            <w:tcBorders>
              <w:top w:val="nil"/>
              <w:left w:val="nil"/>
              <w:bottom w:val="nil"/>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11,705,262.97</w:t>
            </w:r>
          </w:p>
        </w:tc>
        <w:tc>
          <w:tcPr>
            <w:tcW w:w="142"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24"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742" w:type="dxa"/>
            <w:tcBorders>
              <w:top w:val="nil"/>
              <w:left w:val="nil"/>
              <w:bottom w:val="nil"/>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24,669,648,857.85</w:t>
            </w:r>
          </w:p>
        </w:tc>
        <w:tc>
          <w:tcPr>
            <w:tcW w:w="97"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r>
      <w:tr w:rsidR="00AD5BB5">
        <w:tc>
          <w:tcPr>
            <w:tcW w:w="1456"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买入返售金融资产</w:t>
            </w:r>
          </w:p>
        </w:tc>
        <w:tc>
          <w:tcPr>
            <w:tcW w:w="99"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5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20"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68" w:type="dxa"/>
            <w:tcBorders>
              <w:top w:val="nil"/>
              <w:left w:val="nil"/>
              <w:bottom w:val="nil"/>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w:t>
            </w:r>
          </w:p>
        </w:tc>
        <w:tc>
          <w:tcPr>
            <w:tcW w:w="2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97"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307" w:type="dxa"/>
            <w:tcBorders>
              <w:top w:val="nil"/>
              <w:left w:val="nil"/>
              <w:bottom w:val="nil"/>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16,085,015,000.00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97"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439" w:type="dxa"/>
            <w:tcBorders>
              <w:top w:val="nil"/>
              <w:left w:val="nil"/>
              <w:bottom w:val="nil"/>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23"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40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41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55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w:t>
            </w: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2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74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16,085,015,000.00</w:t>
            </w:r>
          </w:p>
        </w:tc>
        <w:tc>
          <w:tcPr>
            <w:tcW w:w="9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456"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发放贷款及垫款</w:t>
            </w:r>
          </w:p>
        </w:tc>
        <w:tc>
          <w:tcPr>
            <w:tcW w:w="99"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5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1,244,310,273.29</w:t>
            </w:r>
          </w:p>
        </w:tc>
        <w:tc>
          <w:tcPr>
            <w:tcW w:w="20"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68" w:type="dxa"/>
            <w:tcBorders>
              <w:top w:val="nil"/>
              <w:left w:val="nil"/>
              <w:bottom w:val="nil"/>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w:t>
            </w:r>
          </w:p>
        </w:tc>
        <w:tc>
          <w:tcPr>
            <w:tcW w:w="25"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97"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307" w:type="dxa"/>
            <w:tcBorders>
              <w:top w:val="nil"/>
              <w:left w:val="nil"/>
              <w:bottom w:val="nil"/>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27,964,781,296.21</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97"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439" w:type="dxa"/>
            <w:tcBorders>
              <w:top w:val="nil"/>
              <w:left w:val="nil"/>
              <w:bottom w:val="nil"/>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81,033,297,948.19</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23"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40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66,883,059,605.76</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41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52,057,459,657.81</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55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w:t>
            </w: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24"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74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229,182,908,781.26</w:t>
            </w:r>
          </w:p>
        </w:tc>
        <w:tc>
          <w:tcPr>
            <w:tcW w:w="9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456"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交易性金融资产</w:t>
            </w:r>
          </w:p>
        </w:tc>
        <w:tc>
          <w:tcPr>
            <w:tcW w:w="99"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5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26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6,696,410,314.64</w:t>
            </w:r>
          </w:p>
        </w:tc>
        <w:tc>
          <w:tcPr>
            <w:tcW w:w="25"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9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2,959,792,215.93</w:t>
            </w:r>
          </w:p>
        </w:tc>
        <w:tc>
          <w:tcPr>
            <w:tcW w:w="113"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9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1,288,906,343.54</w:t>
            </w:r>
          </w:p>
        </w:tc>
        <w:tc>
          <w:tcPr>
            <w:tcW w:w="20"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3" w:type="dxa"/>
            <w:tcBorders>
              <w:top w:val="nil"/>
              <w:left w:val="nil"/>
              <w:bottom w:val="nil"/>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4,298,577,268.08</w:t>
            </w:r>
          </w:p>
        </w:tc>
        <w:tc>
          <w:tcPr>
            <w:tcW w:w="20"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8" w:type="dxa"/>
            <w:tcBorders>
              <w:top w:val="nil"/>
              <w:left w:val="nil"/>
              <w:bottom w:val="nil"/>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936,057,053.95</w:t>
            </w:r>
          </w:p>
        </w:tc>
        <w:tc>
          <w:tcPr>
            <w:tcW w:w="141"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42"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559" w:type="dxa"/>
            <w:tcBorders>
              <w:top w:val="nil"/>
              <w:left w:val="nil"/>
              <w:bottom w:val="nil"/>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w:t>
            </w:r>
          </w:p>
        </w:tc>
        <w:tc>
          <w:tcPr>
            <w:tcW w:w="142"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24"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742" w:type="dxa"/>
            <w:tcBorders>
              <w:top w:val="nil"/>
              <w:left w:val="nil"/>
              <w:bottom w:val="nil"/>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16,179,743,196.14</w:t>
            </w:r>
          </w:p>
        </w:tc>
        <w:tc>
          <w:tcPr>
            <w:tcW w:w="97"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r>
      <w:tr w:rsidR="00AD5BB5">
        <w:tc>
          <w:tcPr>
            <w:tcW w:w="1456"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债权投资</w:t>
            </w:r>
          </w:p>
        </w:tc>
        <w:tc>
          <w:tcPr>
            <w:tcW w:w="99"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5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49,452,168.96</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26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25"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9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658,271,130.80</w:t>
            </w:r>
          </w:p>
        </w:tc>
        <w:tc>
          <w:tcPr>
            <w:tcW w:w="113"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9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8,427,251,595.11</w:t>
            </w:r>
          </w:p>
        </w:tc>
        <w:tc>
          <w:tcPr>
            <w:tcW w:w="20"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3" w:type="dxa"/>
            <w:tcBorders>
              <w:top w:val="nil"/>
              <w:left w:val="nil"/>
              <w:bottom w:val="nil"/>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15,686,311,184.44</w:t>
            </w:r>
          </w:p>
        </w:tc>
        <w:tc>
          <w:tcPr>
            <w:tcW w:w="20"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8" w:type="dxa"/>
            <w:tcBorders>
              <w:top w:val="nil"/>
              <w:left w:val="nil"/>
              <w:bottom w:val="nil"/>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29,395,921,553.21</w:t>
            </w:r>
          </w:p>
        </w:tc>
        <w:tc>
          <w:tcPr>
            <w:tcW w:w="141"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42"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559" w:type="dxa"/>
            <w:tcBorders>
              <w:top w:val="nil"/>
              <w:left w:val="nil"/>
              <w:bottom w:val="nil"/>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w:t>
            </w:r>
          </w:p>
        </w:tc>
        <w:tc>
          <w:tcPr>
            <w:tcW w:w="142"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24"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742" w:type="dxa"/>
            <w:tcBorders>
              <w:top w:val="nil"/>
              <w:left w:val="nil"/>
              <w:bottom w:val="nil"/>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54,217,207,632.52</w:t>
            </w:r>
          </w:p>
        </w:tc>
        <w:tc>
          <w:tcPr>
            <w:tcW w:w="97"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r>
      <w:tr w:rsidR="00AD5BB5">
        <w:tc>
          <w:tcPr>
            <w:tcW w:w="1456"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其他债权投资</w:t>
            </w:r>
          </w:p>
        </w:tc>
        <w:tc>
          <w:tcPr>
            <w:tcW w:w="99"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5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26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25"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9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722,474,749.47</w:t>
            </w:r>
          </w:p>
        </w:tc>
        <w:tc>
          <w:tcPr>
            <w:tcW w:w="113"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9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3,908,866,852.73</w:t>
            </w:r>
          </w:p>
        </w:tc>
        <w:tc>
          <w:tcPr>
            <w:tcW w:w="20"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3" w:type="dxa"/>
            <w:tcBorders>
              <w:top w:val="nil"/>
              <w:left w:val="nil"/>
              <w:bottom w:val="nil"/>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33,180,209,909.62</w:t>
            </w:r>
          </w:p>
        </w:tc>
        <w:tc>
          <w:tcPr>
            <w:tcW w:w="20"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8" w:type="dxa"/>
            <w:tcBorders>
              <w:top w:val="nil"/>
              <w:left w:val="nil"/>
              <w:bottom w:val="nil"/>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5,862,342,296.00</w:t>
            </w:r>
          </w:p>
        </w:tc>
        <w:tc>
          <w:tcPr>
            <w:tcW w:w="141"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42"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559" w:type="dxa"/>
            <w:tcBorders>
              <w:top w:val="nil"/>
              <w:left w:val="nil"/>
              <w:bottom w:val="nil"/>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w:t>
            </w:r>
          </w:p>
        </w:tc>
        <w:tc>
          <w:tcPr>
            <w:tcW w:w="142"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24"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742" w:type="dxa"/>
            <w:tcBorders>
              <w:top w:val="nil"/>
              <w:left w:val="nil"/>
              <w:bottom w:val="nil"/>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43,673,893,807.82</w:t>
            </w:r>
          </w:p>
        </w:tc>
        <w:tc>
          <w:tcPr>
            <w:tcW w:w="97"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r>
      <w:tr w:rsidR="00AD5BB5">
        <w:tc>
          <w:tcPr>
            <w:tcW w:w="1456"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其他权益工具投资</w:t>
            </w:r>
          </w:p>
        </w:tc>
        <w:tc>
          <w:tcPr>
            <w:tcW w:w="99"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5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26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25"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9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9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3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20"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3" w:type="dxa"/>
            <w:tcBorders>
              <w:top w:val="nil"/>
              <w:left w:val="nil"/>
              <w:bottom w:val="nil"/>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w:t>
            </w:r>
          </w:p>
        </w:tc>
        <w:tc>
          <w:tcPr>
            <w:tcW w:w="20"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8" w:type="dxa"/>
            <w:tcBorders>
              <w:top w:val="nil"/>
              <w:left w:val="nil"/>
              <w:bottom w:val="nil"/>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w:t>
            </w:r>
          </w:p>
        </w:tc>
        <w:tc>
          <w:tcPr>
            <w:tcW w:w="141"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42"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559" w:type="dxa"/>
            <w:tcBorders>
              <w:top w:val="nil"/>
              <w:left w:val="nil"/>
              <w:bottom w:val="nil"/>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77,287,780.74</w:t>
            </w:r>
          </w:p>
        </w:tc>
        <w:tc>
          <w:tcPr>
            <w:tcW w:w="142"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24"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742" w:type="dxa"/>
            <w:tcBorders>
              <w:top w:val="nil"/>
              <w:left w:val="nil"/>
              <w:bottom w:val="nil"/>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77,287,780.74</w:t>
            </w:r>
          </w:p>
        </w:tc>
        <w:tc>
          <w:tcPr>
            <w:tcW w:w="97"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r>
      <w:tr w:rsidR="00AD5BB5">
        <w:tc>
          <w:tcPr>
            <w:tcW w:w="1456"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其他资产</w:t>
            </w:r>
          </w:p>
        </w:tc>
        <w:tc>
          <w:tcPr>
            <w:tcW w:w="99"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5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14,493,898.09</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26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576,050,566.08</w:t>
            </w:r>
          </w:p>
        </w:tc>
        <w:tc>
          <w:tcPr>
            <w:tcW w:w="25"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9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9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3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448,050.00</w:t>
            </w:r>
          </w:p>
        </w:tc>
        <w:tc>
          <w:tcPr>
            <w:tcW w:w="20"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3" w:type="dxa"/>
            <w:tcBorders>
              <w:top w:val="nil"/>
              <w:left w:val="nil"/>
              <w:bottom w:val="single" w:sz="2" w:space="0" w:color="auto"/>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817,288.30</w:t>
            </w:r>
          </w:p>
        </w:tc>
        <w:tc>
          <w:tcPr>
            <w:tcW w:w="20"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8" w:type="dxa"/>
            <w:tcBorders>
              <w:top w:val="nil"/>
              <w:left w:val="nil"/>
              <w:bottom w:val="single" w:sz="2" w:space="0" w:color="auto"/>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2,541,576.32</w:t>
            </w:r>
          </w:p>
        </w:tc>
        <w:tc>
          <w:tcPr>
            <w:tcW w:w="141"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42"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559" w:type="dxa"/>
            <w:tcBorders>
              <w:top w:val="nil"/>
              <w:left w:val="nil"/>
              <w:bottom w:val="single" w:sz="2" w:space="0" w:color="auto"/>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w:t>
            </w:r>
          </w:p>
        </w:tc>
        <w:tc>
          <w:tcPr>
            <w:tcW w:w="142"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24"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742" w:type="dxa"/>
            <w:tcBorders>
              <w:top w:val="nil"/>
              <w:left w:val="nil"/>
              <w:bottom w:val="single" w:sz="2" w:space="0" w:color="auto"/>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594,351,378.79</w:t>
            </w:r>
          </w:p>
        </w:tc>
        <w:tc>
          <w:tcPr>
            <w:tcW w:w="97"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r>
      <w:tr w:rsidR="00AD5BB5">
        <w:tc>
          <w:tcPr>
            <w:tcW w:w="1456" w:type="dxa"/>
            <w:tcBorders>
              <w:top w:val="nil"/>
              <w:left w:val="nil"/>
              <w:bottom w:val="nil"/>
              <w:right w:val="nil"/>
            </w:tcBorders>
            <w:vAlign w:val="bottom"/>
          </w:tcPr>
          <w:p w:rsidR="00AD5BB5" w:rsidRDefault="00AD5BB5">
            <w:pPr>
              <w:autoSpaceDE w:val="0"/>
              <w:autoSpaceDN w:val="0"/>
              <w:ind w:left="225" w:hangingChars="150" w:hanging="225"/>
              <w:rPr>
                <w:rFonts w:ascii="Arial" w:eastAsia="黑体" w:hAnsi="Arial" w:cs="Arial"/>
                <w:sz w:val="15"/>
                <w:szCs w:val="15"/>
              </w:rPr>
            </w:pPr>
          </w:p>
        </w:tc>
        <w:tc>
          <w:tcPr>
            <w:tcW w:w="99"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5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rPr>
                <w:rFonts w:ascii="Arial" w:hAnsi="Arial" w:cs="Arial"/>
              </w:rPr>
            </w:pPr>
          </w:p>
        </w:tc>
        <w:tc>
          <w:tcPr>
            <w:tcW w:w="126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25" w:type="dxa"/>
            <w:tcBorders>
              <w:top w:val="nil"/>
              <w:left w:val="nil"/>
              <w:bottom w:val="nil"/>
              <w:right w:val="nil"/>
            </w:tcBorders>
            <w:vAlign w:val="bottom"/>
          </w:tcPr>
          <w:p w:rsidR="00AD5BB5" w:rsidRDefault="00AD5BB5">
            <w:pPr>
              <w:rPr>
                <w:rFonts w:ascii="Arial" w:hAnsi="Arial" w:cs="Arial"/>
              </w:rPr>
            </w:pPr>
          </w:p>
        </w:tc>
        <w:tc>
          <w:tcPr>
            <w:tcW w:w="9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rPr>
                <w:rFonts w:ascii="Arial" w:hAnsi="Arial" w:cs="Arial"/>
              </w:rPr>
            </w:pPr>
          </w:p>
        </w:tc>
        <w:tc>
          <w:tcPr>
            <w:tcW w:w="9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3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rPr>
                <w:rFonts w:ascii="Arial" w:hAnsi="Arial" w:cs="Arial"/>
              </w:rPr>
            </w:pP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3" w:type="dxa"/>
            <w:tcBorders>
              <w:top w:val="single" w:sz="2" w:space="0" w:color="auto"/>
              <w:left w:val="nil"/>
              <w:bottom w:val="nil"/>
              <w:right w:val="nil"/>
            </w:tcBorders>
            <w:vAlign w:val="bottom"/>
          </w:tcPr>
          <w:p w:rsidR="00AD5BB5" w:rsidRDefault="00AD5BB5">
            <w:pPr>
              <w:jc w:val="right"/>
              <w:rPr>
                <w:rFonts w:ascii="Arial" w:hAnsi="Arial" w:cs="Arial"/>
              </w:rPr>
            </w:pPr>
          </w:p>
        </w:tc>
        <w:tc>
          <w:tcPr>
            <w:tcW w:w="20" w:type="dxa"/>
            <w:tcBorders>
              <w:top w:val="nil"/>
              <w:left w:val="nil"/>
              <w:bottom w:val="nil"/>
              <w:right w:val="nil"/>
            </w:tcBorders>
            <w:vAlign w:val="bottom"/>
          </w:tcPr>
          <w:p w:rsidR="00AD5BB5" w:rsidRDefault="00AD5BB5">
            <w:pPr>
              <w:rPr>
                <w:rFonts w:ascii="Arial" w:hAnsi="Arial" w:cs="Arial"/>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8" w:type="dxa"/>
            <w:tcBorders>
              <w:top w:val="single" w:sz="2" w:space="0" w:color="auto"/>
              <w:left w:val="nil"/>
              <w:bottom w:val="nil"/>
              <w:right w:val="nil"/>
            </w:tcBorders>
            <w:vAlign w:val="bottom"/>
          </w:tcPr>
          <w:p w:rsidR="00AD5BB5" w:rsidRDefault="00AD5BB5">
            <w:pPr>
              <w:jc w:val="right"/>
              <w:rPr>
                <w:rFonts w:ascii="Arial" w:hAnsi="Arial" w:cs="Arial"/>
              </w:rPr>
            </w:pPr>
          </w:p>
        </w:tc>
        <w:tc>
          <w:tcPr>
            <w:tcW w:w="141" w:type="dxa"/>
            <w:tcBorders>
              <w:top w:val="nil"/>
              <w:left w:val="nil"/>
              <w:bottom w:val="nil"/>
              <w:right w:val="nil"/>
            </w:tcBorders>
            <w:vAlign w:val="bottom"/>
          </w:tcPr>
          <w:p w:rsidR="00AD5BB5" w:rsidRDefault="00AD5BB5">
            <w:pPr>
              <w:rPr>
                <w:rFonts w:ascii="Arial" w:hAnsi="Arial" w:cs="Arial"/>
              </w:rPr>
            </w:pPr>
          </w:p>
        </w:tc>
        <w:tc>
          <w:tcPr>
            <w:tcW w:w="142" w:type="dxa"/>
            <w:tcBorders>
              <w:top w:val="nil"/>
              <w:left w:val="nil"/>
              <w:bottom w:val="nil"/>
              <w:right w:val="nil"/>
            </w:tcBorders>
            <w:vAlign w:val="bottom"/>
          </w:tcPr>
          <w:p w:rsidR="00AD5BB5" w:rsidRDefault="00AD5BB5">
            <w:pPr>
              <w:rPr>
                <w:rFonts w:ascii="Arial" w:hAnsi="Arial" w:cs="Arial"/>
              </w:rPr>
            </w:pPr>
          </w:p>
        </w:tc>
        <w:tc>
          <w:tcPr>
            <w:tcW w:w="1559" w:type="dxa"/>
            <w:tcBorders>
              <w:top w:val="single" w:sz="2" w:space="0" w:color="auto"/>
              <w:left w:val="nil"/>
              <w:bottom w:val="nil"/>
              <w:right w:val="nil"/>
            </w:tcBorders>
            <w:vAlign w:val="bottom"/>
          </w:tcPr>
          <w:p w:rsidR="00AD5BB5" w:rsidRDefault="00AD5BB5">
            <w:pPr>
              <w:jc w:val="right"/>
              <w:rPr>
                <w:rFonts w:ascii="Arial" w:hAnsi="Arial" w:cs="Arial"/>
              </w:rPr>
            </w:pPr>
          </w:p>
        </w:tc>
        <w:tc>
          <w:tcPr>
            <w:tcW w:w="142" w:type="dxa"/>
            <w:tcBorders>
              <w:top w:val="nil"/>
              <w:left w:val="nil"/>
              <w:bottom w:val="nil"/>
              <w:right w:val="nil"/>
            </w:tcBorders>
            <w:vAlign w:val="bottom"/>
          </w:tcPr>
          <w:p w:rsidR="00AD5BB5" w:rsidRDefault="00AD5BB5">
            <w:pPr>
              <w:rPr>
                <w:rFonts w:ascii="Arial" w:hAnsi="Arial" w:cs="Arial"/>
              </w:rPr>
            </w:pPr>
          </w:p>
        </w:tc>
        <w:tc>
          <w:tcPr>
            <w:tcW w:w="24" w:type="dxa"/>
            <w:tcBorders>
              <w:top w:val="nil"/>
              <w:left w:val="nil"/>
              <w:bottom w:val="nil"/>
              <w:right w:val="nil"/>
            </w:tcBorders>
            <w:vAlign w:val="bottom"/>
          </w:tcPr>
          <w:p w:rsidR="00AD5BB5" w:rsidRDefault="00AD5BB5">
            <w:pPr>
              <w:rPr>
                <w:rFonts w:ascii="Arial" w:hAnsi="Arial" w:cs="Arial"/>
              </w:rPr>
            </w:pPr>
          </w:p>
        </w:tc>
        <w:tc>
          <w:tcPr>
            <w:tcW w:w="1742" w:type="dxa"/>
            <w:tcBorders>
              <w:top w:val="single" w:sz="2" w:space="0" w:color="auto"/>
              <w:left w:val="nil"/>
              <w:bottom w:val="nil"/>
              <w:right w:val="nil"/>
            </w:tcBorders>
            <w:vAlign w:val="bottom"/>
          </w:tcPr>
          <w:p w:rsidR="00AD5BB5" w:rsidRDefault="00AD5BB5">
            <w:pPr>
              <w:jc w:val="right"/>
              <w:rPr>
                <w:rFonts w:ascii="Arial" w:hAnsi="Arial" w:cs="Arial"/>
              </w:rPr>
            </w:pPr>
          </w:p>
        </w:tc>
        <w:tc>
          <w:tcPr>
            <w:tcW w:w="97" w:type="dxa"/>
            <w:tcBorders>
              <w:top w:val="nil"/>
              <w:left w:val="nil"/>
              <w:bottom w:val="nil"/>
              <w:right w:val="nil"/>
            </w:tcBorders>
            <w:vAlign w:val="bottom"/>
          </w:tcPr>
          <w:p w:rsidR="00AD5BB5" w:rsidRDefault="00AD5BB5">
            <w:pPr>
              <w:rPr>
                <w:rFonts w:ascii="Arial" w:hAnsi="Arial" w:cs="Arial"/>
              </w:rPr>
            </w:pPr>
          </w:p>
        </w:tc>
      </w:tr>
      <w:tr w:rsidR="00AD5BB5">
        <w:tc>
          <w:tcPr>
            <w:tcW w:w="1456"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资产总额</w:t>
            </w:r>
          </w:p>
        </w:tc>
        <w:tc>
          <w:tcPr>
            <w:tcW w:w="99"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5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1,308,256,340.34</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26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25,732,415,949.67</w:t>
            </w:r>
          </w:p>
        </w:tc>
        <w:tc>
          <w:tcPr>
            <w:tcW w:w="25"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9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53,331,022,029.14</w:t>
            </w:r>
          </w:p>
        </w:tc>
        <w:tc>
          <w:tcPr>
            <w:tcW w:w="113"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9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3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109,629,225,613.24</w:t>
            </w:r>
          </w:p>
        </w:tc>
        <w:tc>
          <w:tcPr>
            <w:tcW w:w="20"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03" w:type="dxa"/>
            <w:tcBorders>
              <w:top w:val="nil"/>
              <w:left w:val="nil"/>
              <w:bottom w:val="double" w:sz="2" w:space="0" w:color="auto"/>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121,592,027,241.63</w:t>
            </w:r>
          </w:p>
        </w:tc>
        <w:tc>
          <w:tcPr>
            <w:tcW w:w="20"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8" w:type="dxa"/>
            <w:tcBorders>
              <w:top w:val="nil"/>
              <w:left w:val="nil"/>
              <w:bottom w:val="double" w:sz="2" w:space="0" w:color="auto"/>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88,254,322,137.29</w:t>
            </w:r>
          </w:p>
        </w:tc>
        <w:tc>
          <w:tcPr>
            <w:tcW w:w="141"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42"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559" w:type="dxa"/>
            <w:tcBorders>
              <w:top w:val="nil"/>
              <w:left w:val="nil"/>
              <w:bottom w:val="double" w:sz="2" w:space="0" w:color="auto"/>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14,641,245,075.09</w:t>
            </w:r>
          </w:p>
        </w:tc>
        <w:tc>
          <w:tcPr>
            <w:tcW w:w="142"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24"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c>
          <w:tcPr>
            <w:tcW w:w="1742" w:type="dxa"/>
            <w:tcBorders>
              <w:top w:val="nil"/>
              <w:left w:val="nil"/>
              <w:bottom w:val="double" w:sz="2" w:space="0" w:color="auto"/>
              <w:right w:val="nil"/>
            </w:tcBorders>
            <w:vAlign w:val="bottom"/>
          </w:tcPr>
          <w:p w:rsidR="00AD5BB5" w:rsidRDefault="00F87FF6">
            <w:pPr>
              <w:autoSpaceDE w:val="0"/>
              <w:autoSpaceDN w:val="0"/>
              <w:ind w:left="150" w:hangingChars="100" w:hanging="150"/>
              <w:jc w:val="right"/>
              <w:rPr>
                <w:rFonts w:ascii="Arial" w:eastAsia="黑体" w:hAnsi="Arial" w:cs="Arial"/>
                <w:sz w:val="15"/>
                <w:szCs w:val="15"/>
              </w:rPr>
            </w:pPr>
            <w:r>
              <w:rPr>
                <w:rFonts w:ascii="Arial" w:eastAsia="黑体" w:hAnsi="Arial" w:cs="Arial"/>
                <w:sz w:val="15"/>
              </w:rPr>
              <w:t>414,488,514,386.40</w:t>
            </w:r>
          </w:p>
        </w:tc>
        <w:tc>
          <w:tcPr>
            <w:tcW w:w="97" w:type="dxa"/>
            <w:tcBorders>
              <w:top w:val="nil"/>
              <w:left w:val="nil"/>
              <w:bottom w:val="nil"/>
              <w:right w:val="nil"/>
            </w:tcBorders>
            <w:vAlign w:val="bottom"/>
          </w:tcPr>
          <w:p w:rsidR="00AD5BB5" w:rsidRDefault="00AD5BB5">
            <w:pPr>
              <w:autoSpaceDE w:val="0"/>
              <w:autoSpaceDN w:val="0"/>
              <w:ind w:left="150" w:hangingChars="100" w:hanging="150"/>
              <w:rPr>
                <w:rFonts w:ascii="Arial" w:eastAsia="黑体" w:hAnsi="Arial" w:cs="Arial"/>
                <w:sz w:val="15"/>
                <w:szCs w:val="15"/>
              </w:rPr>
            </w:pPr>
          </w:p>
        </w:tc>
      </w:tr>
    </w:tbl>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sectPr w:rsidR="00AD5BB5">
          <w:pgSz w:w="16840" w:h="11907" w:orient="landscape"/>
          <w:pgMar w:top="1797" w:right="1440" w:bottom="1797" w:left="1440" w:header="720" w:footer="720" w:gutter="0"/>
          <w:cols w:space="720"/>
          <w:titlePg/>
          <w:docGrid w:linePitch="360"/>
        </w:sectPr>
      </w:pPr>
    </w:p>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371" w:name="afsaddin_WithXu_df26bba647904356a5b0022c"/>
      <w:r>
        <w:rPr>
          <w:rFonts w:ascii="Arial" w:eastAsia="黑体" w:hAnsi="Arial" w:cs="Arial"/>
          <w:b/>
          <w:snapToGrid w:val="0"/>
          <w:szCs w:val="21"/>
        </w:rPr>
        <w:t>八、</w:t>
      </w:r>
      <w:r>
        <w:rPr>
          <w:rFonts w:ascii="Arial" w:eastAsia="黑体" w:hAnsi="Arial" w:cs="Arial"/>
          <w:b/>
          <w:snapToGrid w:val="0"/>
          <w:szCs w:val="21"/>
        </w:rPr>
        <w:tab/>
      </w:r>
      <w:r>
        <w:rPr>
          <w:rFonts w:ascii="Arial" w:eastAsia="黑体" w:hAnsi="Arial" w:cs="Arial"/>
          <w:b/>
          <w:snapToGrid w:val="0"/>
          <w:szCs w:val="21"/>
        </w:rPr>
        <w:t>金融工具及其风险分析（续）</w:t>
      </w:r>
      <w:bookmarkEnd w:id="371"/>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b/>
          <w:snapToGrid w:val="0"/>
          <w:szCs w:val="21"/>
        </w:rPr>
      </w:pPr>
      <w:bookmarkStart w:id="372" w:name="afsaddin_WithXu_a9db055ce3c64e8997967104"/>
      <w:r>
        <w:rPr>
          <w:rFonts w:ascii="Arial" w:eastAsia="黑体" w:hAnsi="Arial" w:cs="Arial"/>
          <w:b/>
          <w:snapToGrid w:val="0"/>
          <w:szCs w:val="21"/>
        </w:rPr>
        <w:t>2.</w:t>
      </w:r>
      <w:r>
        <w:rPr>
          <w:rFonts w:ascii="Arial" w:eastAsia="黑体" w:hAnsi="Arial" w:cs="Arial"/>
          <w:b/>
          <w:snapToGrid w:val="0"/>
          <w:szCs w:val="21"/>
        </w:rPr>
        <w:tab/>
      </w:r>
      <w:r>
        <w:rPr>
          <w:rFonts w:ascii="Arial" w:eastAsia="黑体" w:hAnsi="Arial" w:cs="Arial"/>
          <w:b/>
          <w:snapToGrid w:val="0"/>
          <w:szCs w:val="21"/>
        </w:rPr>
        <w:t>流动性风险（续）</w:t>
      </w:r>
      <w:bookmarkEnd w:id="372"/>
    </w:p>
    <w:p w:rsidR="00AD5BB5" w:rsidRDefault="00AD5BB5">
      <w:pPr>
        <w:overflowPunct w:val="0"/>
        <w:autoSpaceDE w:val="0"/>
        <w:autoSpaceDN w:val="0"/>
        <w:rPr>
          <w:rFonts w:ascii="Arial" w:eastAsia="黑体" w:hAnsi="Arial" w:cs="Arial"/>
          <w:snapToGrid w:val="0"/>
          <w:szCs w:val="21"/>
        </w:rPr>
      </w:pPr>
    </w:p>
    <w:tbl>
      <w:tblPr>
        <w:tblW w:w="14046" w:type="dxa"/>
        <w:tblLayout w:type="fixed"/>
        <w:tblCellMar>
          <w:left w:w="0" w:type="dxa"/>
          <w:right w:w="0" w:type="dxa"/>
        </w:tblCellMar>
        <w:tblLook w:val="04A0" w:firstRow="1" w:lastRow="0" w:firstColumn="1" w:lastColumn="0" w:noHBand="0" w:noVBand="1"/>
        <w:tblCaption w:val="4ece4d6f-a1ad-47f6-8e23-75704abc1cc9"/>
        <w:tblDescription w:val="{&quot;UUID&quot;:&quot;afsaddin_tabledata_2_56437_4ece4d6f-a1ad-47f6-8e23-75704abc1cc9&quot;,&quot;TitleRowCount&quot;:2,&quot;SplitedTable&quot;:false,&quot;FirstTableId&quot;:&quot;4ece4d6f-a1ad-47f6-8e23-75704abc1cc9&quot;}"/>
      </w:tblPr>
      <w:tblGrid>
        <w:gridCol w:w="1814"/>
        <w:gridCol w:w="113"/>
        <w:gridCol w:w="1289"/>
        <w:gridCol w:w="113"/>
        <w:gridCol w:w="113"/>
        <w:gridCol w:w="1303"/>
        <w:gridCol w:w="113"/>
        <w:gridCol w:w="113"/>
        <w:gridCol w:w="1303"/>
        <w:gridCol w:w="113"/>
        <w:gridCol w:w="113"/>
        <w:gridCol w:w="1409"/>
        <w:gridCol w:w="57"/>
        <w:gridCol w:w="57"/>
        <w:gridCol w:w="1289"/>
        <w:gridCol w:w="113"/>
        <w:gridCol w:w="113"/>
        <w:gridCol w:w="1289"/>
        <w:gridCol w:w="113"/>
        <w:gridCol w:w="113"/>
        <w:gridCol w:w="1289"/>
        <w:gridCol w:w="113"/>
        <w:gridCol w:w="113"/>
        <w:gridCol w:w="1365"/>
        <w:gridCol w:w="113"/>
      </w:tblGrid>
      <w:tr w:rsidR="00AD5BB5">
        <w:tc>
          <w:tcPr>
            <w:tcW w:w="1814"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bookmarkStart w:id="373" w:name="afsaddin_WithXu_0bf29173f52f4d948a5ba92f"/>
            <w:bookmarkStart w:id="374" w:name="afsaddin_WithXu_0318633ee1174248ad851f8a"/>
            <w:bookmarkEnd w:id="373"/>
            <w:bookmarkEnd w:id="374"/>
            <w:r>
              <w:rPr>
                <w:rFonts w:ascii="Arial" w:eastAsia="黑体" w:hAnsi="Arial" w:cs="Arial"/>
                <w:sz w:val="15"/>
                <w:szCs w:val="15"/>
              </w:rPr>
              <w:t>2022</w:t>
            </w:r>
            <w:r>
              <w:rPr>
                <w:rFonts w:ascii="Arial" w:eastAsia="黑体" w:hAnsi="Arial" w:cs="Arial"/>
                <w:sz w:val="15"/>
                <w:szCs w:val="15"/>
              </w:rPr>
              <w:t>年</w:t>
            </w:r>
            <w:r>
              <w:rPr>
                <w:rFonts w:ascii="Arial" w:eastAsia="黑体" w:hAnsi="Arial" w:cs="Arial"/>
                <w:sz w:val="15"/>
                <w:szCs w:val="15"/>
              </w:rPr>
              <w:t>12</w:t>
            </w:r>
            <w:r>
              <w:rPr>
                <w:rFonts w:ascii="Arial" w:eastAsia="黑体" w:hAnsi="Arial" w:cs="Arial"/>
                <w:sz w:val="15"/>
                <w:szCs w:val="15"/>
              </w:rPr>
              <w:t>月</w:t>
            </w:r>
            <w:r>
              <w:rPr>
                <w:rFonts w:ascii="Arial" w:eastAsia="黑体" w:hAnsi="Arial" w:cs="Arial"/>
                <w:sz w:val="15"/>
                <w:szCs w:val="15"/>
              </w:rPr>
              <w:t>31</w:t>
            </w:r>
            <w:r>
              <w:rPr>
                <w:rFonts w:ascii="Arial" w:eastAsia="黑体" w:hAnsi="Arial" w:cs="Arial"/>
                <w:sz w:val="15"/>
                <w:szCs w:val="15"/>
              </w:rPr>
              <w:t>日</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已逾期</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即时偿还</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3</w:t>
            </w:r>
            <w:r>
              <w:rPr>
                <w:rFonts w:ascii="Arial" w:eastAsia="黑体" w:hAnsi="Arial" w:cs="Arial"/>
                <w:sz w:val="15"/>
                <w:szCs w:val="15"/>
              </w:rPr>
              <w:t>个月内</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3</w:t>
            </w:r>
            <w:r>
              <w:rPr>
                <w:rFonts w:ascii="Arial" w:eastAsia="黑体" w:hAnsi="Arial" w:cs="Arial"/>
                <w:sz w:val="15"/>
                <w:szCs w:val="15"/>
              </w:rPr>
              <w:t>个月至</w:t>
            </w:r>
            <w:r>
              <w:rPr>
                <w:rFonts w:ascii="Arial" w:eastAsia="黑体" w:hAnsi="Arial" w:cs="Arial"/>
                <w:sz w:val="15"/>
                <w:szCs w:val="15"/>
              </w:rPr>
              <w:t>1</w:t>
            </w:r>
            <w:r>
              <w:rPr>
                <w:rFonts w:ascii="Arial" w:eastAsia="黑体" w:hAnsi="Arial" w:cs="Arial"/>
                <w:sz w:val="15"/>
                <w:szCs w:val="15"/>
              </w:rPr>
              <w:t>年</w:t>
            </w: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w:t>
            </w:r>
            <w:r>
              <w:rPr>
                <w:rFonts w:ascii="Arial" w:eastAsia="黑体" w:hAnsi="Arial" w:cs="Arial"/>
                <w:sz w:val="15"/>
                <w:szCs w:val="15"/>
              </w:rPr>
              <w:t>至</w:t>
            </w:r>
            <w:r>
              <w:rPr>
                <w:rFonts w:ascii="Arial" w:eastAsia="黑体" w:hAnsi="Arial" w:cs="Arial"/>
                <w:sz w:val="15"/>
                <w:szCs w:val="15"/>
              </w:rPr>
              <w:t>5</w:t>
            </w:r>
            <w:r>
              <w:rPr>
                <w:rFonts w:ascii="Arial" w:eastAsia="黑体" w:hAnsi="Arial" w:cs="Arial"/>
                <w:sz w:val="15"/>
                <w:szCs w:val="15"/>
              </w:rPr>
              <w:t>年</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5</w:t>
            </w:r>
            <w:r>
              <w:rPr>
                <w:rFonts w:ascii="Arial" w:eastAsia="黑体" w:hAnsi="Arial" w:cs="Arial"/>
                <w:sz w:val="15"/>
                <w:szCs w:val="15"/>
              </w:rPr>
              <w:t>年以上</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无固定期限</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合计</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14" w:type="dxa"/>
            <w:tcBorders>
              <w:top w:val="nil"/>
              <w:left w:val="nil"/>
              <w:bottom w:val="nil"/>
              <w:right w:val="nil"/>
            </w:tcBorders>
            <w:vAlign w:val="bottom"/>
          </w:tcPr>
          <w:p w:rsidR="00AD5BB5" w:rsidRDefault="00AD5BB5">
            <w:pPr>
              <w:autoSpaceDE w:val="0"/>
              <w:autoSpaceDN w:val="0"/>
              <w:ind w:left="225" w:hangingChars="150" w:hanging="225"/>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14"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负债项目</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14"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向中央银行借款</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629,950,333.33</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8,359,046,000.00</w:t>
            </w: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8,988,996,333.33</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14" w:type="dxa"/>
            <w:tcBorders>
              <w:top w:val="nil"/>
              <w:left w:val="nil"/>
              <w:bottom w:val="nil"/>
              <w:right w:val="nil"/>
            </w:tcBorders>
            <w:vAlign w:val="bottom"/>
          </w:tcPr>
          <w:p w:rsidR="00AD5BB5" w:rsidRDefault="00F87FF6">
            <w:pPr>
              <w:autoSpaceDE w:val="0"/>
              <w:autoSpaceDN w:val="0"/>
              <w:ind w:leftChars="2" w:left="154" w:hangingChars="100" w:hanging="150"/>
              <w:rPr>
                <w:rFonts w:ascii="Arial" w:eastAsia="黑体" w:hAnsi="Arial" w:cs="Arial"/>
                <w:sz w:val="15"/>
                <w:szCs w:val="15"/>
              </w:rPr>
            </w:pPr>
            <w:r>
              <w:rPr>
                <w:rFonts w:ascii="Arial" w:eastAsia="黑体" w:hAnsi="Arial" w:cs="Arial"/>
                <w:sz w:val="15"/>
                <w:szCs w:val="15"/>
              </w:rPr>
              <w:t>同业及其他金融机构存放款项和拆入资金</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30,822,727.92</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13,295,575,185.09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11,287,106,842.69</w:t>
            </w: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12,639,247,648.14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37,252,752,403.84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14"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交易性金融负债</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2,849,303.95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2,849,303.95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14"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卖出回购金融资产款</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19,866,534,340.98</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19,866,534,340.98</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14"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吸收存款</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83,699,727,118.04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24,075,455,496.05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59,307,777,749.17</w:t>
            </w: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44,503,987,734.45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501,650,185.82</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212,088,598,283.53</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14"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应付债券</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15,920,000,000.00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42,381,275,000.00</w:t>
            </w: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12,993,875,000.00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71,295,150,000.00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14"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其他负债</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289,690,160.28</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575,384,895.79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581,969,025.85</w:t>
            </w: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349,330,251.19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111,061,284.92</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37,344,662.52</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1,944,780,280.55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14" w:type="dxa"/>
            <w:tcBorders>
              <w:top w:val="nil"/>
              <w:left w:val="nil"/>
              <w:bottom w:val="nil"/>
              <w:right w:val="nil"/>
            </w:tcBorders>
            <w:vAlign w:val="bottom"/>
          </w:tcPr>
          <w:p w:rsidR="00AD5BB5" w:rsidRDefault="00AD5BB5">
            <w:pPr>
              <w:autoSpaceDE w:val="0"/>
              <w:autoSpaceDN w:val="0"/>
              <w:ind w:left="225" w:hangingChars="150" w:hanging="225"/>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14"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负债总额</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84,023,089,310.19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74,362,900,251.24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121,917,174,617.71</w:t>
            </w: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70,486,440,633.78</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612,711,470.74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37,344,662.52</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351,439,660,946.18</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14" w:type="dxa"/>
            <w:tcBorders>
              <w:top w:val="nil"/>
              <w:left w:val="nil"/>
              <w:bottom w:val="nil"/>
              <w:right w:val="nil"/>
            </w:tcBorders>
            <w:vAlign w:val="bottom"/>
          </w:tcPr>
          <w:p w:rsidR="00AD5BB5" w:rsidRDefault="00AD5BB5">
            <w:pPr>
              <w:autoSpaceDE w:val="0"/>
              <w:autoSpaceDN w:val="0"/>
              <w:ind w:left="225" w:hangingChars="150" w:hanging="225"/>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14"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表内流动性净额</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1,308,256,340.34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(58,290,673,360.52</w:t>
            </w:r>
          </w:p>
        </w:tc>
        <w:tc>
          <w:tcPr>
            <w:tcW w:w="113" w:type="dxa"/>
            <w:tcBorders>
              <w:top w:val="nil"/>
              <w:left w:val="nil"/>
              <w:bottom w:val="nil"/>
              <w:right w:val="nil"/>
            </w:tcBorders>
            <w:vAlign w:val="bottom"/>
          </w:tcPr>
          <w:p w:rsidR="00AD5BB5" w:rsidRDefault="00F87FF6">
            <w:pPr>
              <w:autoSpaceDE w:val="0"/>
              <w:autoSpaceDN w:val="0"/>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(21,031,878,222.10</w:t>
            </w:r>
          </w:p>
        </w:tc>
        <w:tc>
          <w:tcPr>
            <w:tcW w:w="113" w:type="dxa"/>
            <w:tcBorders>
              <w:top w:val="nil"/>
              <w:left w:val="nil"/>
              <w:bottom w:val="nil"/>
              <w:right w:val="nil"/>
            </w:tcBorders>
            <w:vAlign w:val="bottom"/>
          </w:tcPr>
          <w:p w:rsidR="00AD5BB5" w:rsidRDefault="00F87FF6">
            <w:pPr>
              <w:autoSpaceDE w:val="0"/>
              <w:autoSpaceDN w:val="0"/>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(12,287,949,004.47</w:t>
            </w:r>
          </w:p>
        </w:tc>
        <w:tc>
          <w:tcPr>
            <w:tcW w:w="57" w:type="dxa"/>
            <w:tcBorders>
              <w:top w:val="nil"/>
              <w:left w:val="nil"/>
              <w:bottom w:val="nil"/>
              <w:right w:val="nil"/>
            </w:tcBorders>
            <w:vAlign w:val="bottom"/>
          </w:tcPr>
          <w:p w:rsidR="00AD5BB5" w:rsidRDefault="00F87FF6">
            <w:pPr>
              <w:autoSpaceDE w:val="0"/>
              <w:autoSpaceDN w:val="0"/>
              <w:rPr>
                <w:rFonts w:ascii="Arial" w:eastAsia="黑体" w:hAnsi="Arial" w:cs="Arial"/>
                <w:sz w:val="15"/>
                <w:szCs w:val="15"/>
              </w:rPr>
            </w:pPr>
            <w:r>
              <w:rPr>
                <w:rFonts w:ascii="Arial" w:eastAsia="黑体" w:hAnsi="Arial" w:cs="Arial"/>
                <w:sz w:val="15"/>
                <w:szCs w:val="15"/>
              </w:rPr>
              <w:t>)</w:t>
            </w: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rPr>
              <w:t>51,105,586,607.85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87,641,610,666.55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14,603,900,412.57</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63,048,853,440.22</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14" w:type="dxa"/>
            <w:tcBorders>
              <w:top w:val="nil"/>
              <w:left w:val="nil"/>
              <w:bottom w:val="nil"/>
              <w:right w:val="nil"/>
            </w:tcBorders>
            <w:vAlign w:val="bottom"/>
          </w:tcPr>
          <w:p w:rsidR="00AD5BB5" w:rsidRDefault="00AD5BB5">
            <w:pPr>
              <w:autoSpaceDE w:val="0"/>
              <w:autoSpaceDN w:val="0"/>
              <w:ind w:left="225" w:hangingChars="150" w:hanging="225"/>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14"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表外承诺</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3,731,801,463.26</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11,809,275,212.30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43,076,888,830.08</w:t>
            </w: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2,069,080,548.44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10,423,026,874.88</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71,110,072,928.96</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14" w:type="dxa"/>
            <w:tcBorders>
              <w:top w:val="nil"/>
              <w:left w:val="nil"/>
              <w:bottom w:val="nil"/>
              <w:right w:val="nil"/>
            </w:tcBorders>
            <w:vAlign w:val="bottom"/>
          </w:tcPr>
          <w:p w:rsidR="00AD5BB5" w:rsidRDefault="00AD5BB5">
            <w:pPr>
              <w:autoSpaceDE w:val="0"/>
              <w:autoSpaceDN w:val="0"/>
              <w:ind w:left="225" w:hangingChars="150" w:hanging="225"/>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14"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衍生金融工具现金流</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14" w:type="dxa"/>
            <w:tcBorders>
              <w:top w:val="nil"/>
              <w:left w:val="nil"/>
              <w:bottom w:val="nil"/>
              <w:right w:val="nil"/>
            </w:tcBorders>
            <w:vAlign w:val="bottom"/>
          </w:tcPr>
          <w:p w:rsidR="00AD5BB5" w:rsidRDefault="00AD5BB5">
            <w:pPr>
              <w:autoSpaceDE w:val="0"/>
              <w:autoSpaceDN w:val="0"/>
              <w:ind w:left="225" w:hangingChars="150" w:hanging="225"/>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14"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按总额结算的衍生金融工具</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(27,890,387.93</w:t>
            </w:r>
          </w:p>
        </w:tc>
        <w:tc>
          <w:tcPr>
            <w:tcW w:w="113" w:type="dxa"/>
            <w:tcBorders>
              <w:top w:val="nil"/>
              <w:left w:val="nil"/>
              <w:bottom w:val="nil"/>
              <w:right w:val="nil"/>
            </w:tcBorders>
            <w:vAlign w:val="bottom"/>
          </w:tcPr>
          <w:p w:rsidR="00AD5BB5" w:rsidRDefault="00F87FF6">
            <w:pPr>
              <w:autoSpaceDE w:val="0"/>
              <w:autoSpaceDN w:val="0"/>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83,524,977.14</w:t>
            </w: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(42,494,968.80</w:t>
            </w:r>
          </w:p>
        </w:tc>
        <w:tc>
          <w:tcPr>
            <w:tcW w:w="113" w:type="dxa"/>
            <w:tcBorders>
              <w:top w:val="nil"/>
              <w:left w:val="nil"/>
              <w:bottom w:val="nil"/>
              <w:right w:val="nil"/>
            </w:tcBorders>
            <w:vAlign w:val="bottom"/>
          </w:tcPr>
          <w:p w:rsidR="00AD5BB5" w:rsidRDefault="00F87FF6">
            <w:pPr>
              <w:autoSpaceDE w:val="0"/>
              <w:autoSpaceDN w:val="0"/>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13,139,620.41</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14"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流入合计</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5,549,587,898.34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4,154,910,677.95</w:t>
            </w: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5,547,809,380.41</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15,252,307,956.70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14"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流出合计</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(5,577,478,286.27</w:t>
            </w:r>
          </w:p>
        </w:tc>
        <w:tc>
          <w:tcPr>
            <w:tcW w:w="113" w:type="dxa"/>
            <w:tcBorders>
              <w:top w:val="nil"/>
              <w:left w:val="nil"/>
              <w:bottom w:val="nil"/>
              <w:right w:val="nil"/>
            </w:tcBorders>
            <w:vAlign w:val="bottom"/>
          </w:tcPr>
          <w:p w:rsidR="00AD5BB5" w:rsidRDefault="00F87FF6">
            <w:pPr>
              <w:autoSpaceDE w:val="0"/>
              <w:autoSpaceDN w:val="0"/>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(4,071,385,700.81</w:t>
            </w:r>
          </w:p>
        </w:tc>
        <w:tc>
          <w:tcPr>
            <w:tcW w:w="57" w:type="dxa"/>
            <w:tcBorders>
              <w:top w:val="nil"/>
              <w:left w:val="nil"/>
              <w:bottom w:val="nil"/>
              <w:right w:val="nil"/>
            </w:tcBorders>
            <w:vAlign w:val="bottom"/>
          </w:tcPr>
          <w:p w:rsidR="00AD5BB5" w:rsidRDefault="00F87FF6">
            <w:pPr>
              <w:autoSpaceDE w:val="0"/>
              <w:autoSpaceDN w:val="0"/>
              <w:rPr>
                <w:rFonts w:ascii="Arial" w:eastAsia="黑体" w:hAnsi="Arial" w:cs="Arial"/>
                <w:sz w:val="15"/>
                <w:szCs w:val="15"/>
              </w:rPr>
            </w:pPr>
            <w:r>
              <w:rPr>
                <w:rFonts w:ascii="Arial" w:eastAsia="黑体" w:hAnsi="Arial" w:cs="Arial"/>
                <w:sz w:val="15"/>
                <w:szCs w:val="15"/>
              </w:rPr>
              <w:t>)</w:t>
            </w: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(5,590,304,349.21</w:t>
            </w:r>
          </w:p>
        </w:tc>
        <w:tc>
          <w:tcPr>
            <w:tcW w:w="113" w:type="dxa"/>
            <w:tcBorders>
              <w:top w:val="nil"/>
              <w:left w:val="nil"/>
              <w:bottom w:val="nil"/>
              <w:right w:val="nil"/>
            </w:tcBorders>
            <w:vAlign w:val="bottom"/>
          </w:tcPr>
          <w:p w:rsidR="00AD5BB5" w:rsidRDefault="00F87FF6">
            <w:pPr>
              <w:autoSpaceDE w:val="0"/>
              <w:autoSpaceDN w:val="0"/>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(15,239,168,336.29</w:t>
            </w:r>
          </w:p>
        </w:tc>
        <w:tc>
          <w:tcPr>
            <w:tcW w:w="113" w:type="dxa"/>
            <w:tcBorders>
              <w:top w:val="nil"/>
              <w:left w:val="nil"/>
              <w:bottom w:val="nil"/>
              <w:right w:val="nil"/>
            </w:tcBorders>
            <w:vAlign w:val="bottom"/>
          </w:tcPr>
          <w:p w:rsidR="00AD5BB5" w:rsidRDefault="00F87FF6">
            <w:pPr>
              <w:autoSpaceDE w:val="0"/>
              <w:autoSpaceDN w:val="0"/>
              <w:rPr>
                <w:rFonts w:ascii="Arial" w:eastAsia="黑体" w:hAnsi="Arial" w:cs="Arial"/>
                <w:sz w:val="15"/>
                <w:szCs w:val="15"/>
              </w:rPr>
            </w:pPr>
            <w:r>
              <w:rPr>
                <w:rFonts w:ascii="Arial" w:eastAsia="黑体" w:hAnsi="Arial" w:cs="Arial"/>
                <w:sz w:val="15"/>
                <w:szCs w:val="15"/>
              </w:rPr>
              <w:t>)</w:t>
            </w:r>
          </w:p>
        </w:tc>
      </w:tr>
      <w:tr w:rsidR="00AD5BB5">
        <w:tc>
          <w:tcPr>
            <w:tcW w:w="1814" w:type="dxa"/>
            <w:tcBorders>
              <w:top w:val="nil"/>
              <w:left w:val="nil"/>
              <w:bottom w:val="nil"/>
              <w:right w:val="nil"/>
            </w:tcBorders>
            <w:vAlign w:val="bottom"/>
          </w:tcPr>
          <w:p w:rsidR="00AD5BB5" w:rsidRDefault="00AD5BB5">
            <w:pPr>
              <w:autoSpaceDE w:val="0"/>
              <w:autoSpaceDN w:val="0"/>
              <w:ind w:left="225" w:hangingChars="150" w:hanging="225"/>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14"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按净额结算的衍生金融工具</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(114,771,234.61</w:t>
            </w:r>
          </w:p>
        </w:tc>
        <w:tc>
          <w:tcPr>
            <w:tcW w:w="113" w:type="dxa"/>
            <w:tcBorders>
              <w:top w:val="nil"/>
              <w:left w:val="nil"/>
              <w:bottom w:val="nil"/>
              <w:right w:val="nil"/>
            </w:tcBorders>
            <w:vAlign w:val="bottom"/>
          </w:tcPr>
          <w:p w:rsidR="00AD5BB5" w:rsidRDefault="00F87FF6">
            <w:pPr>
              <w:autoSpaceDE w:val="0"/>
              <w:autoSpaceDN w:val="0"/>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(72,150,829.42</w:t>
            </w:r>
          </w:p>
        </w:tc>
        <w:tc>
          <w:tcPr>
            <w:tcW w:w="57" w:type="dxa"/>
            <w:tcBorders>
              <w:top w:val="nil"/>
              <w:left w:val="nil"/>
              <w:bottom w:val="nil"/>
              <w:right w:val="nil"/>
            </w:tcBorders>
            <w:vAlign w:val="bottom"/>
          </w:tcPr>
          <w:p w:rsidR="00AD5BB5" w:rsidRDefault="00F87FF6">
            <w:pPr>
              <w:autoSpaceDE w:val="0"/>
              <w:autoSpaceDN w:val="0"/>
              <w:rPr>
                <w:rFonts w:ascii="Arial" w:eastAsia="黑体" w:hAnsi="Arial" w:cs="Arial"/>
                <w:sz w:val="15"/>
                <w:szCs w:val="15"/>
              </w:rPr>
            </w:pPr>
            <w:r>
              <w:rPr>
                <w:rFonts w:ascii="Arial" w:eastAsia="黑体" w:hAnsi="Arial" w:cs="Arial"/>
                <w:sz w:val="15"/>
                <w:szCs w:val="15"/>
              </w:rPr>
              <w:t>)</w:t>
            </w: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(9,010,112.50</w:t>
            </w:r>
          </w:p>
        </w:tc>
        <w:tc>
          <w:tcPr>
            <w:tcW w:w="113" w:type="dxa"/>
            <w:tcBorders>
              <w:top w:val="nil"/>
              <w:left w:val="nil"/>
              <w:bottom w:val="nil"/>
              <w:right w:val="nil"/>
            </w:tcBorders>
            <w:vAlign w:val="bottom"/>
          </w:tcPr>
          <w:p w:rsidR="00AD5BB5" w:rsidRDefault="00F87FF6">
            <w:pPr>
              <w:autoSpaceDE w:val="0"/>
              <w:autoSpaceDN w:val="0"/>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(195,932,176.53</w:t>
            </w:r>
          </w:p>
        </w:tc>
        <w:tc>
          <w:tcPr>
            <w:tcW w:w="113" w:type="dxa"/>
            <w:tcBorders>
              <w:top w:val="nil"/>
              <w:left w:val="nil"/>
              <w:bottom w:val="nil"/>
              <w:right w:val="nil"/>
            </w:tcBorders>
            <w:vAlign w:val="bottom"/>
          </w:tcPr>
          <w:p w:rsidR="00AD5BB5" w:rsidRDefault="00F87FF6">
            <w:pPr>
              <w:autoSpaceDE w:val="0"/>
              <w:autoSpaceDN w:val="0"/>
              <w:rPr>
                <w:rFonts w:ascii="Arial" w:eastAsia="黑体" w:hAnsi="Arial" w:cs="Arial"/>
                <w:sz w:val="15"/>
                <w:szCs w:val="15"/>
              </w:rPr>
            </w:pPr>
            <w:r>
              <w:rPr>
                <w:rFonts w:ascii="Arial" w:eastAsia="黑体" w:hAnsi="Arial" w:cs="Arial"/>
                <w:sz w:val="15"/>
                <w:szCs w:val="15"/>
              </w:rPr>
              <w:t>)</w:t>
            </w:r>
          </w:p>
        </w:tc>
      </w:tr>
      <w:tr w:rsidR="00AD5BB5">
        <w:tc>
          <w:tcPr>
            <w:tcW w:w="1814" w:type="dxa"/>
            <w:tcBorders>
              <w:top w:val="nil"/>
              <w:left w:val="nil"/>
              <w:bottom w:val="nil"/>
              <w:right w:val="nil"/>
            </w:tcBorders>
            <w:vAlign w:val="bottom"/>
          </w:tcPr>
          <w:p w:rsidR="00AD5BB5" w:rsidRDefault="00AD5BB5">
            <w:pPr>
              <w:autoSpaceDE w:val="0"/>
              <w:autoSpaceDN w:val="0"/>
              <w:ind w:left="225" w:hangingChars="150" w:hanging="225"/>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r>
      <w:tr w:rsidR="00AD5BB5">
        <w:tc>
          <w:tcPr>
            <w:tcW w:w="1814" w:type="dxa"/>
            <w:tcBorders>
              <w:top w:val="nil"/>
              <w:left w:val="nil"/>
              <w:bottom w:val="nil"/>
              <w:right w:val="nil"/>
            </w:tcBorders>
            <w:vAlign w:val="bottom"/>
          </w:tcPr>
          <w:p w:rsidR="00AD5BB5" w:rsidRDefault="00F87FF6">
            <w:pPr>
              <w:autoSpaceDE w:val="0"/>
              <w:autoSpaceDN w:val="0"/>
              <w:ind w:left="150" w:hangingChars="100" w:hanging="150"/>
              <w:rPr>
                <w:rFonts w:ascii="Arial" w:eastAsia="黑体" w:hAnsi="Arial" w:cs="Arial"/>
                <w:sz w:val="15"/>
                <w:szCs w:val="15"/>
              </w:rPr>
            </w:pPr>
            <w:r>
              <w:rPr>
                <w:rFonts w:ascii="Arial" w:eastAsia="黑体" w:hAnsi="Arial" w:cs="Arial"/>
                <w:sz w:val="15"/>
                <w:szCs w:val="15"/>
              </w:rPr>
              <w:t>合计</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0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(142,661,622.54</w:t>
            </w:r>
          </w:p>
        </w:tc>
        <w:tc>
          <w:tcPr>
            <w:tcW w:w="113" w:type="dxa"/>
            <w:tcBorders>
              <w:top w:val="nil"/>
              <w:left w:val="nil"/>
              <w:bottom w:val="nil"/>
              <w:right w:val="nil"/>
            </w:tcBorders>
            <w:vAlign w:val="bottom"/>
          </w:tcPr>
          <w:p w:rsidR="00AD5BB5" w:rsidRDefault="00F87FF6">
            <w:pPr>
              <w:autoSpaceDE w:val="0"/>
              <w:autoSpaceDN w:val="0"/>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410"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11,374,147.72</w:t>
            </w: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57"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(51,505,081.30</w:t>
            </w:r>
          </w:p>
        </w:tc>
        <w:tc>
          <w:tcPr>
            <w:tcW w:w="113" w:type="dxa"/>
            <w:tcBorders>
              <w:top w:val="nil"/>
              <w:left w:val="nil"/>
              <w:bottom w:val="nil"/>
              <w:right w:val="nil"/>
            </w:tcBorders>
            <w:vAlign w:val="bottom"/>
          </w:tcPr>
          <w:p w:rsidR="00AD5BB5" w:rsidRDefault="00F87FF6">
            <w:pPr>
              <w:autoSpaceDE w:val="0"/>
              <w:autoSpaceDN w:val="0"/>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290"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5"/>
                <w:szCs w:val="15"/>
              </w:rPr>
            </w:pPr>
          </w:p>
        </w:tc>
        <w:tc>
          <w:tcPr>
            <w:tcW w:w="136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5"/>
                <w:szCs w:val="15"/>
              </w:rPr>
            </w:pPr>
            <w:r>
              <w:rPr>
                <w:rFonts w:ascii="Arial" w:eastAsia="黑体" w:hAnsi="Arial" w:cs="Arial"/>
                <w:sz w:val="15"/>
                <w:szCs w:val="15"/>
              </w:rPr>
              <w:t>(182,792,556.12</w:t>
            </w:r>
          </w:p>
        </w:tc>
        <w:tc>
          <w:tcPr>
            <w:tcW w:w="113" w:type="dxa"/>
            <w:tcBorders>
              <w:top w:val="nil"/>
              <w:left w:val="nil"/>
              <w:bottom w:val="nil"/>
              <w:right w:val="nil"/>
            </w:tcBorders>
            <w:vAlign w:val="bottom"/>
          </w:tcPr>
          <w:p w:rsidR="00AD5BB5" w:rsidRDefault="00F87FF6">
            <w:pPr>
              <w:autoSpaceDE w:val="0"/>
              <w:autoSpaceDN w:val="0"/>
              <w:rPr>
                <w:rFonts w:ascii="Arial" w:eastAsia="黑体" w:hAnsi="Arial" w:cs="Arial"/>
                <w:sz w:val="15"/>
                <w:szCs w:val="15"/>
              </w:rPr>
            </w:pPr>
            <w:r>
              <w:rPr>
                <w:rFonts w:ascii="Arial" w:eastAsia="黑体" w:hAnsi="Arial" w:cs="Arial"/>
                <w:sz w:val="15"/>
                <w:szCs w:val="15"/>
              </w:rPr>
              <w:t>)</w:t>
            </w:r>
          </w:p>
        </w:tc>
      </w:tr>
    </w:tbl>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sectPr w:rsidR="00AD5BB5">
          <w:pgSz w:w="16840" w:h="11907" w:orient="landscape"/>
          <w:pgMar w:top="1797" w:right="1440" w:bottom="1797" w:left="1440" w:header="720" w:footer="720" w:gutter="0"/>
          <w:cols w:space="720"/>
          <w:titlePg/>
          <w:docGrid w:linePitch="360"/>
        </w:sectPr>
      </w:pPr>
    </w:p>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375" w:name="afsaddin_WithXu_47cbe88312bd457a867cf30a"/>
      <w:r>
        <w:rPr>
          <w:rFonts w:ascii="Arial" w:eastAsia="黑体" w:hAnsi="Arial" w:cs="Arial"/>
          <w:b/>
          <w:snapToGrid w:val="0"/>
          <w:szCs w:val="21"/>
        </w:rPr>
        <w:t>八、</w:t>
      </w:r>
      <w:r>
        <w:rPr>
          <w:rFonts w:ascii="Arial" w:eastAsia="黑体" w:hAnsi="Arial" w:cs="Arial"/>
          <w:b/>
          <w:snapToGrid w:val="0"/>
          <w:szCs w:val="21"/>
        </w:rPr>
        <w:tab/>
      </w:r>
      <w:r>
        <w:rPr>
          <w:rFonts w:ascii="Arial" w:eastAsia="黑体" w:hAnsi="Arial" w:cs="Arial"/>
          <w:b/>
          <w:snapToGrid w:val="0"/>
          <w:szCs w:val="21"/>
        </w:rPr>
        <w:t>金融工具及其风险分析（续）</w:t>
      </w:r>
      <w:bookmarkEnd w:id="375"/>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adjustRightInd w:val="0"/>
        <w:snapToGrid w:val="0"/>
        <w:ind w:left="720" w:hanging="720"/>
        <w:textAlignment w:val="bottom"/>
        <w:outlineLvl w:val="2"/>
        <w:rPr>
          <w:rFonts w:ascii="Arial" w:eastAsia="黑体" w:hAnsi="Arial" w:cs="Arial"/>
          <w:b/>
          <w:bCs/>
          <w:snapToGrid w:val="0"/>
          <w:szCs w:val="21"/>
        </w:rPr>
      </w:pPr>
      <w:bookmarkStart w:id="376" w:name="afsaddin_WithXu_5995376a170b4b07920fd3a8"/>
      <w:bookmarkStart w:id="377" w:name="afsaddin_Section_bf2c46a2e7944501bd7092d"/>
      <w:bookmarkEnd w:id="376"/>
      <w:r>
        <w:rPr>
          <w:rFonts w:ascii="Arial" w:eastAsia="黑体" w:hAnsi="Arial" w:cs="Arial"/>
          <w:b/>
          <w:bCs/>
          <w:snapToGrid w:val="0"/>
          <w:szCs w:val="21"/>
        </w:rPr>
        <w:t>3.</w:t>
      </w:r>
      <w:r>
        <w:rPr>
          <w:rFonts w:ascii="Arial" w:eastAsia="黑体" w:hAnsi="Arial" w:cs="Arial"/>
          <w:b/>
          <w:bCs/>
          <w:snapToGrid w:val="0"/>
          <w:szCs w:val="21"/>
        </w:rPr>
        <w:tab/>
      </w:r>
      <w:r>
        <w:rPr>
          <w:rFonts w:ascii="Arial" w:eastAsia="黑体" w:hAnsi="Arial" w:cs="Arial"/>
          <w:b/>
          <w:bCs/>
          <w:snapToGrid w:val="0"/>
          <w:szCs w:val="21"/>
        </w:rPr>
        <w:t>市场风险</w:t>
      </w:r>
    </w:p>
    <w:bookmarkEnd w:id="377"/>
    <w:p w:rsidR="00AD5BB5" w:rsidRDefault="00AD5BB5">
      <w:pPr>
        <w:overflowPunct w:val="0"/>
        <w:autoSpaceDE w:val="0"/>
        <w:autoSpaceDN w:val="0"/>
        <w:adjustRightInd w:val="0"/>
        <w:snapToGrid w:val="0"/>
        <w:ind w:left="720" w:hanging="720"/>
        <w:textAlignment w:val="bottom"/>
        <w:rPr>
          <w:rFonts w:ascii="Arial" w:eastAsia="黑体" w:hAnsi="Arial" w:cs="Arial"/>
          <w:b/>
          <w:bCs/>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市场风险主要包括因利率、汇率、股票、商品以及它们的隐含波动性引起的波动风险。市场风险可存在于</w:t>
      </w:r>
      <w:proofErr w:type="gramStart"/>
      <w:r>
        <w:rPr>
          <w:rFonts w:ascii="Arial" w:eastAsia="黑体" w:hAnsi="Arial" w:cs="Arial"/>
          <w:snapToGrid w:val="0"/>
          <w:szCs w:val="21"/>
        </w:rPr>
        <w:t>非交易类</w:t>
      </w:r>
      <w:proofErr w:type="gramEnd"/>
      <w:r>
        <w:rPr>
          <w:rFonts w:ascii="Arial" w:eastAsia="黑体" w:hAnsi="Arial" w:cs="Arial"/>
          <w:snapToGrid w:val="0"/>
          <w:szCs w:val="21"/>
        </w:rPr>
        <w:t>业务中，也可存在于交易类业务中。</w:t>
      </w: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本集团专门搭建了市场风险管理架构和团队，总</w:t>
      </w:r>
      <w:proofErr w:type="gramStart"/>
      <w:r>
        <w:rPr>
          <w:rFonts w:ascii="Arial" w:eastAsia="黑体" w:hAnsi="Arial" w:cs="Arial"/>
          <w:snapToGrid w:val="0"/>
          <w:szCs w:val="21"/>
        </w:rPr>
        <w:t>览</w:t>
      </w:r>
      <w:proofErr w:type="gramEnd"/>
      <w:r>
        <w:rPr>
          <w:rFonts w:ascii="Arial" w:eastAsia="黑体" w:hAnsi="Arial" w:cs="Arial"/>
          <w:snapToGrid w:val="0"/>
          <w:szCs w:val="21"/>
        </w:rPr>
        <w:t>集团的市场风险敞口，并负责拟制相关市场风险管理政策报送风险管理委员会。</w:t>
      </w: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本集团按照既定标准和当前管理能力测度市场风险，其主要的测度方法包括敏感性分析等。在新产品或新业务上线前，该产品和业务中的市场风险将按照规定予以辨识。</w:t>
      </w: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本集团的市场风险主要源于利率风险。</w:t>
      </w: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adjustRightInd w:val="0"/>
        <w:snapToGrid w:val="0"/>
        <w:ind w:left="720" w:hanging="720"/>
        <w:textAlignment w:val="bottom"/>
        <w:outlineLvl w:val="3"/>
        <w:rPr>
          <w:rFonts w:ascii="Arial" w:eastAsia="黑体" w:hAnsi="Arial" w:cs="Arial"/>
          <w:b/>
          <w:bCs/>
          <w:snapToGrid w:val="0"/>
          <w:szCs w:val="21"/>
        </w:rPr>
      </w:pPr>
      <w:bookmarkStart w:id="378" w:name="afsaddin_Section_e8201086195f4197880e13c"/>
      <w:r>
        <w:rPr>
          <w:rFonts w:ascii="Arial" w:eastAsia="黑体" w:hAnsi="Arial" w:cs="Arial"/>
          <w:b/>
          <w:bCs/>
          <w:snapToGrid w:val="0"/>
          <w:szCs w:val="21"/>
        </w:rPr>
        <w:t>3.1</w:t>
      </w:r>
      <w:r>
        <w:rPr>
          <w:rFonts w:ascii="Arial" w:eastAsia="黑体" w:hAnsi="Arial" w:cs="Arial"/>
          <w:b/>
          <w:bCs/>
          <w:snapToGrid w:val="0"/>
          <w:szCs w:val="21"/>
        </w:rPr>
        <w:tab/>
      </w:r>
      <w:r>
        <w:rPr>
          <w:rFonts w:ascii="Arial" w:eastAsia="黑体" w:hAnsi="Arial" w:cs="Arial"/>
          <w:b/>
          <w:bCs/>
          <w:snapToGrid w:val="0"/>
          <w:szCs w:val="21"/>
        </w:rPr>
        <w:t>利率风险</w:t>
      </w:r>
    </w:p>
    <w:bookmarkEnd w:id="378"/>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sectPr w:rsidR="00AD5BB5">
          <w:headerReference w:type="even" r:id="rId64"/>
          <w:headerReference w:type="default" r:id="rId65"/>
          <w:headerReference w:type="first" r:id="rId66"/>
          <w:pgSz w:w="11907" w:h="16840"/>
          <w:pgMar w:top="1440" w:right="1797" w:bottom="1440" w:left="1797" w:header="720" w:footer="720" w:gutter="0"/>
          <w:cols w:space="720"/>
          <w:titlePg/>
          <w:docGrid w:linePitch="360"/>
        </w:sectPr>
      </w:pPr>
      <w:r>
        <w:rPr>
          <w:rFonts w:ascii="Arial" w:eastAsia="黑体" w:hAnsi="Arial" w:cs="Arial"/>
          <w:snapToGrid w:val="0"/>
          <w:szCs w:val="21"/>
        </w:rPr>
        <w:t>本集团的利率风险源于生息资产和付息负债的约定到期日与重新定价日的不匹配。本集团的生息资产和付息负债主要以人民币为主。</w:t>
      </w:r>
    </w:p>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379" w:name="afsaddin_WithXu_885c2c86ef8d437b92606dfd"/>
      <w:r>
        <w:rPr>
          <w:rFonts w:ascii="Arial" w:eastAsia="黑体" w:hAnsi="Arial" w:cs="Arial"/>
          <w:b/>
          <w:snapToGrid w:val="0"/>
          <w:szCs w:val="21"/>
        </w:rPr>
        <w:t>八、</w:t>
      </w:r>
      <w:r>
        <w:rPr>
          <w:rFonts w:ascii="Arial" w:eastAsia="黑体" w:hAnsi="Arial" w:cs="Arial"/>
          <w:b/>
          <w:snapToGrid w:val="0"/>
          <w:szCs w:val="21"/>
        </w:rPr>
        <w:tab/>
      </w:r>
      <w:r>
        <w:rPr>
          <w:rFonts w:ascii="Arial" w:eastAsia="黑体" w:hAnsi="Arial" w:cs="Arial"/>
          <w:b/>
          <w:snapToGrid w:val="0"/>
          <w:szCs w:val="21"/>
        </w:rPr>
        <w:t>金融工具及其风险分析（续）</w:t>
      </w:r>
      <w:bookmarkEnd w:id="379"/>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380" w:name="afsaddin_WithXu_ffaf844833584e2185d4423f"/>
      <w:r>
        <w:rPr>
          <w:rFonts w:ascii="Arial" w:eastAsia="黑体" w:hAnsi="Arial" w:cs="Arial"/>
          <w:b/>
          <w:snapToGrid w:val="0"/>
          <w:szCs w:val="21"/>
        </w:rPr>
        <w:t>3.</w:t>
      </w:r>
      <w:r>
        <w:rPr>
          <w:rFonts w:ascii="Arial" w:eastAsia="黑体" w:hAnsi="Arial" w:cs="Arial"/>
          <w:b/>
          <w:snapToGrid w:val="0"/>
          <w:szCs w:val="21"/>
        </w:rPr>
        <w:tab/>
      </w:r>
      <w:r>
        <w:rPr>
          <w:rFonts w:ascii="Arial" w:eastAsia="黑体" w:hAnsi="Arial" w:cs="Arial"/>
          <w:b/>
          <w:snapToGrid w:val="0"/>
          <w:szCs w:val="21"/>
        </w:rPr>
        <w:t>市场风险（续）</w:t>
      </w:r>
      <w:bookmarkEnd w:id="380"/>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381" w:name="afsaddin_WithXu_6926b6433ef142469d465a6d"/>
      <w:r>
        <w:rPr>
          <w:rFonts w:ascii="Arial" w:eastAsia="黑体" w:hAnsi="Arial" w:cs="Arial"/>
          <w:b/>
          <w:snapToGrid w:val="0"/>
          <w:szCs w:val="21"/>
        </w:rPr>
        <w:t>3.1</w:t>
      </w:r>
      <w:r>
        <w:rPr>
          <w:rFonts w:ascii="Arial" w:eastAsia="黑体" w:hAnsi="Arial" w:cs="Arial"/>
          <w:b/>
          <w:snapToGrid w:val="0"/>
          <w:szCs w:val="21"/>
        </w:rPr>
        <w:tab/>
      </w:r>
      <w:r>
        <w:rPr>
          <w:rFonts w:ascii="Arial" w:eastAsia="黑体" w:hAnsi="Arial" w:cs="Arial"/>
          <w:b/>
          <w:snapToGrid w:val="0"/>
          <w:szCs w:val="21"/>
        </w:rPr>
        <w:t>利率风险（续）</w:t>
      </w:r>
      <w:bookmarkEnd w:id="381"/>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bookmarkStart w:id="382" w:name="afsaddin_WithXu_dfb0e51a433a4882b952b94c"/>
      <w:bookmarkStart w:id="383" w:name="afsaddin_WithXu_d12e6e1db426439d9e129150"/>
      <w:bookmarkStart w:id="384" w:name="afsaddin_WithXu_4fba9ef3ba624066a13ce129"/>
      <w:bookmarkEnd w:id="382"/>
      <w:bookmarkEnd w:id="383"/>
      <w:bookmarkEnd w:id="384"/>
      <w:r>
        <w:rPr>
          <w:rFonts w:ascii="Arial" w:eastAsia="黑体" w:hAnsi="Arial" w:cs="Arial"/>
          <w:snapToGrid w:val="0"/>
          <w:szCs w:val="21"/>
        </w:rPr>
        <w:t>于资产负债表日，本集团资产和负债的重新定价日或到期日（较早者）的情况如下：</w:t>
      </w:r>
    </w:p>
    <w:p w:rsidR="00AD5BB5" w:rsidRDefault="00AD5BB5">
      <w:pPr>
        <w:overflowPunct w:val="0"/>
        <w:autoSpaceDE w:val="0"/>
        <w:autoSpaceDN w:val="0"/>
        <w:rPr>
          <w:rFonts w:ascii="Arial" w:eastAsia="黑体" w:hAnsi="Arial" w:cs="Arial"/>
          <w:snapToGrid w:val="0"/>
          <w:szCs w:val="21"/>
        </w:rPr>
      </w:pPr>
    </w:p>
    <w:tbl>
      <w:tblPr>
        <w:tblW w:w="14069" w:type="dxa"/>
        <w:tblLayout w:type="fixed"/>
        <w:tblCellMar>
          <w:left w:w="0" w:type="dxa"/>
          <w:right w:w="0" w:type="dxa"/>
        </w:tblCellMar>
        <w:tblLook w:val="04A0" w:firstRow="1" w:lastRow="0" w:firstColumn="1" w:lastColumn="0" w:noHBand="0" w:noVBand="1"/>
        <w:tblCaption w:val="eec26fce-83b9-44bc-9784-d20e18bf7775"/>
        <w:tblDescription w:val="{&quot;UUID&quot;:&quot;afsaddin_tabledata_2_56437_eec26fce-83b9-44bc-9784-d20e18bf7775&quot;,&quot;TitleRowCount&quot;:2,&quot;SplitedTable&quot;:false,&quot;FirstTableId&quot;:&quot;eec26fce-83b9-44bc-9784-d20e18bf7775&quot;}"/>
      </w:tblPr>
      <w:tblGrid>
        <w:gridCol w:w="2543"/>
        <w:gridCol w:w="113"/>
        <w:gridCol w:w="1695"/>
        <w:gridCol w:w="113"/>
        <w:gridCol w:w="113"/>
        <w:gridCol w:w="1695"/>
        <w:gridCol w:w="113"/>
        <w:gridCol w:w="113"/>
        <w:gridCol w:w="1695"/>
        <w:gridCol w:w="113"/>
        <w:gridCol w:w="113"/>
        <w:gridCol w:w="1695"/>
        <w:gridCol w:w="113"/>
        <w:gridCol w:w="113"/>
        <w:gridCol w:w="1695"/>
        <w:gridCol w:w="113"/>
        <w:gridCol w:w="113"/>
        <w:gridCol w:w="1695"/>
        <w:gridCol w:w="113"/>
      </w:tblGrid>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 DOCPROPERTY </w:instrText>
            </w:r>
            <w:r>
              <w:rPr>
                <w:rFonts w:ascii="Arial" w:eastAsia="黑体" w:hAnsi="Arial" w:cs="Arial"/>
                <w:sz w:val="18"/>
                <w:szCs w:val="18"/>
              </w:rPr>
              <w:instrText>当期资产负债表日</w:instrText>
            </w:r>
            <w:r>
              <w:rPr>
                <w:rFonts w:ascii="Arial" w:eastAsia="黑体" w:hAnsi="Arial" w:cs="Arial"/>
                <w:sz w:val="18"/>
                <w:szCs w:val="18"/>
              </w:rPr>
              <w:instrText xml:space="preserve"> </w:instrText>
            </w:r>
            <w:r>
              <w:rPr>
                <w:rFonts w:ascii="Arial" w:eastAsia="黑体" w:hAnsi="Arial" w:cs="Arial"/>
                <w:sz w:val="18"/>
                <w:szCs w:val="18"/>
              </w:rPr>
              <w:fldChar w:fldCharType="separate"/>
            </w:r>
            <w:r>
              <w:rPr>
                <w:rFonts w:ascii="Arial" w:eastAsia="黑体" w:hAnsi="Arial" w:cs="Arial"/>
                <w:sz w:val="18"/>
                <w:szCs w:val="18"/>
              </w:rPr>
              <w:t>2023</w:t>
            </w:r>
            <w:r>
              <w:rPr>
                <w:rFonts w:ascii="Arial" w:eastAsia="黑体" w:hAnsi="Arial" w:cs="Arial"/>
                <w:sz w:val="18"/>
                <w:szCs w:val="18"/>
              </w:rPr>
              <w:t>年</w:t>
            </w:r>
            <w:r>
              <w:rPr>
                <w:rFonts w:ascii="Arial" w:eastAsia="黑体" w:hAnsi="Arial" w:cs="Arial"/>
                <w:sz w:val="18"/>
                <w:szCs w:val="18"/>
              </w:rPr>
              <w:t>6</w:t>
            </w:r>
            <w:r>
              <w:rPr>
                <w:rFonts w:ascii="Arial" w:eastAsia="黑体" w:hAnsi="Arial" w:cs="Arial"/>
                <w:sz w:val="18"/>
                <w:szCs w:val="18"/>
              </w:rPr>
              <w:t>月</w:t>
            </w:r>
            <w:r>
              <w:rPr>
                <w:rFonts w:ascii="Arial" w:eastAsia="黑体" w:hAnsi="Arial" w:cs="Arial"/>
                <w:sz w:val="18"/>
                <w:szCs w:val="18"/>
              </w:rPr>
              <w:t>30</w:t>
            </w:r>
            <w:r>
              <w:rPr>
                <w:rFonts w:ascii="Arial" w:eastAsia="黑体" w:hAnsi="Arial" w:cs="Arial"/>
                <w:sz w:val="18"/>
                <w:szCs w:val="18"/>
              </w:rPr>
              <w:t>日</w:t>
            </w:r>
            <w:r>
              <w:rPr>
                <w:rFonts w:ascii="Arial" w:eastAsia="黑体" w:hAnsi="Arial" w:cs="Arial"/>
                <w:sz w:val="18"/>
                <w:szCs w:val="18"/>
              </w:rPr>
              <w:fldChar w:fldCharType="end"/>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w:t>
            </w:r>
            <w:r>
              <w:rPr>
                <w:rFonts w:ascii="Arial" w:eastAsia="黑体" w:hAnsi="Arial" w:cs="Arial"/>
                <w:sz w:val="18"/>
                <w:szCs w:val="18"/>
              </w:rPr>
              <w:t>个月内</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w:t>
            </w:r>
            <w:r>
              <w:rPr>
                <w:rFonts w:ascii="Arial" w:eastAsia="黑体" w:hAnsi="Arial" w:cs="Arial"/>
                <w:sz w:val="18"/>
                <w:szCs w:val="18"/>
              </w:rPr>
              <w:t>个月至</w:t>
            </w:r>
            <w:r>
              <w:rPr>
                <w:rFonts w:ascii="Arial" w:eastAsia="黑体" w:hAnsi="Arial" w:cs="Arial"/>
                <w:sz w:val="18"/>
                <w:szCs w:val="18"/>
              </w:rPr>
              <w:t>1</w:t>
            </w:r>
            <w:r>
              <w:rPr>
                <w:rFonts w:ascii="Arial" w:eastAsia="黑体" w:hAnsi="Arial" w:cs="Arial"/>
                <w:sz w:val="18"/>
                <w:szCs w:val="18"/>
              </w:rPr>
              <w:t>年</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w:t>
            </w:r>
            <w:r>
              <w:rPr>
                <w:rFonts w:ascii="Arial" w:eastAsia="黑体" w:hAnsi="Arial" w:cs="Arial"/>
                <w:sz w:val="18"/>
                <w:szCs w:val="18"/>
              </w:rPr>
              <w:t>至</w:t>
            </w:r>
            <w:r>
              <w:rPr>
                <w:rFonts w:ascii="Arial" w:eastAsia="黑体" w:hAnsi="Arial" w:cs="Arial"/>
                <w:sz w:val="18"/>
                <w:szCs w:val="18"/>
              </w:rPr>
              <w:t>5</w:t>
            </w:r>
            <w:r>
              <w:rPr>
                <w:rFonts w:ascii="Arial" w:eastAsia="黑体" w:hAnsi="Arial" w:cs="Arial"/>
                <w:sz w:val="18"/>
                <w:szCs w:val="18"/>
              </w:rPr>
              <w:t>年</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w:t>
            </w:r>
            <w:r>
              <w:rPr>
                <w:rFonts w:ascii="Arial" w:eastAsia="黑体" w:hAnsi="Arial" w:cs="Arial"/>
                <w:sz w:val="18"/>
                <w:szCs w:val="18"/>
              </w:rPr>
              <w:t>年以上</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已逾期</w:t>
            </w:r>
            <w:r>
              <w:rPr>
                <w:rFonts w:ascii="Arial" w:eastAsia="黑体" w:hAnsi="Arial" w:cs="Arial"/>
                <w:sz w:val="18"/>
                <w:szCs w:val="18"/>
              </w:rPr>
              <w:t>/</w:t>
            </w:r>
            <w:r>
              <w:rPr>
                <w:rFonts w:ascii="Arial" w:eastAsia="黑体" w:hAnsi="Arial" w:cs="Arial"/>
                <w:sz w:val="18"/>
                <w:szCs w:val="18"/>
              </w:rPr>
              <w:t>不计息</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合计</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1" w:hangingChars="100" w:hanging="181"/>
              <w:rPr>
                <w:rFonts w:ascii="Arial" w:eastAsia="黑体" w:hAnsi="Arial" w:cs="Arial"/>
                <w:b/>
                <w:bCs/>
                <w:sz w:val="18"/>
                <w:szCs w:val="18"/>
              </w:rPr>
            </w:pPr>
            <w:r>
              <w:rPr>
                <w:rFonts w:ascii="Arial" w:eastAsia="黑体" w:hAnsi="Arial" w:cs="Arial"/>
                <w:b/>
                <w:bCs/>
                <w:sz w:val="18"/>
                <w:szCs w:val="18"/>
              </w:rPr>
              <w:t>资产项目</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现金及存放中央银行款项</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20,900,753,200.49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635,732,210.43</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21,536,485,410.92</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存放同业及其他金融机构款项</w:t>
            </w:r>
          </w:p>
          <w:p w:rsidR="00AD5BB5" w:rsidRDefault="00F87FF6">
            <w:pPr>
              <w:autoSpaceDE w:val="0"/>
              <w:autoSpaceDN w:val="0"/>
              <w:ind w:leftChars="100" w:left="390" w:hangingChars="100" w:hanging="180"/>
              <w:rPr>
                <w:rFonts w:ascii="Arial" w:eastAsia="黑体" w:hAnsi="Arial" w:cs="Arial"/>
                <w:sz w:val="18"/>
                <w:szCs w:val="18"/>
              </w:rPr>
            </w:pPr>
            <w:r>
              <w:rPr>
                <w:rFonts w:ascii="Arial" w:eastAsia="黑体" w:hAnsi="Arial" w:cs="Arial"/>
                <w:sz w:val="18"/>
                <w:szCs w:val="18"/>
              </w:rPr>
              <w:t>和拆出资金</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9,334,159,517.55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13,403,513,671.80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1,382,689,179.03</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24,120,362,368.38</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买入返售金融资产</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1,712,499,474.63</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1,712,499,474.63</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发放贷款及垫款</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85,022,941,527.36 </w:t>
            </w:r>
          </w:p>
        </w:tc>
        <w:tc>
          <w:tcPr>
            <w:tcW w:w="113" w:type="dxa"/>
            <w:tcBorders>
              <w:top w:val="nil"/>
              <w:left w:val="nil"/>
              <w:bottom w:val="nil"/>
              <w:right w:val="nil"/>
            </w:tcBorders>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78,948,935,618.77 </w:t>
            </w:r>
          </w:p>
        </w:tc>
        <w:tc>
          <w:tcPr>
            <w:tcW w:w="113" w:type="dxa"/>
            <w:tcBorders>
              <w:top w:val="nil"/>
              <w:left w:val="nil"/>
              <w:bottom w:val="nil"/>
              <w:right w:val="nil"/>
            </w:tcBorders>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25,401,906,919.95 </w:t>
            </w:r>
          </w:p>
        </w:tc>
        <w:tc>
          <w:tcPr>
            <w:tcW w:w="113" w:type="dxa"/>
            <w:tcBorders>
              <w:top w:val="nil"/>
              <w:left w:val="nil"/>
              <w:bottom w:val="nil"/>
              <w:right w:val="nil"/>
            </w:tcBorders>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4,485,114,354.38 </w:t>
            </w:r>
          </w:p>
        </w:tc>
        <w:tc>
          <w:tcPr>
            <w:tcW w:w="113" w:type="dxa"/>
            <w:tcBorders>
              <w:top w:val="nil"/>
              <w:left w:val="nil"/>
              <w:bottom w:val="nil"/>
              <w:right w:val="nil"/>
            </w:tcBorders>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1,436,325,552.15 </w:t>
            </w:r>
          </w:p>
        </w:tc>
        <w:tc>
          <w:tcPr>
            <w:tcW w:w="113" w:type="dxa"/>
            <w:tcBorders>
              <w:top w:val="nil"/>
              <w:left w:val="nil"/>
              <w:bottom w:val="nil"/>
              <w:right w:val="nil"/>
            </w:tcBorders>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195,295,223,972.61 </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交易性金融资产</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774,714,130.21</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415,366,081.92</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700,537,230.00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182,270,980.00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12,444,034,882.18</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14,516,923,304.31</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债权投资</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4,378,168,295.27</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4,681,190,760.80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14,256,102,980.21</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26,602,189,403.04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49,917,651,439.32</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其他债权投资</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2,289,953,032.13</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5,997,611,318.77</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27,045,606,244.28</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3,364,856,184.02</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38,698,026,779.20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其他权益工具投资</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96,061,014.21</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96,061,014.21</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其他资产</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1,003,523,753.00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1,003,523,753.00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非衍生金融资产总额</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double" w:sz="4" w:space="0" w:color="auto"/>
              <w:right w:val="nil"/>
            </w:tcBorders>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124,413,189,177.64 </w:t>
            </w:r>
          </w:p>
        </w:tc>
        <w:tc>
          <w:tcPr>
            <w:tcW w:w="113" w:type="dxa"/>
            <w:tcBorders>
              <w:top w:val="nil"/>
              <w:left w:val="nil"/>
              <w:bottom w:val="nil"/>
              <w:right w:val="nil"/>
            </w:tcBorders>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tcPr>
          <w:p w:rsidR="00AD5BB5" w:rsidRDefault="00AD5BB5">
            <w:pPr>
              <w:autoSpaceDE w:val="0"/>
              <w:autoSpaceDN w:val="0"/>
              <w:rPr>
                <w:rFonts w:ascii="Arial" w:eastAsia="黑体" w:hAnsi="Arial" w:cs="Arial"/>
                <w:sz w:val="18"/>
                <w:szCs w:val="18"/>
              </w:rPr>
            </w:pPr>
          </w:p>
        </w:tc>
        <w:tc>
          <w:tcPr>
            <w:tcW w:w="1695" w:type="dxa"/>
            <w:tcBorders>
              <w:top w:val="nil"/>
              <w:left w:val="nil"/>
              <w:bottom w:val="double" w:sz="4" w:space="0" w:color="auto"/>
              <w:right w:val="nil"/>
            </w:tcBorders>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103,446,617,452.06 </w:t>
            </w:r>
          </w:p>
        </w:tc>
        <w:tc>
          <w:tcPr>
            <w:tcW w:w="113" w:type="dxa"/>
            <w:tcBorders>
              <w:top w:val="nil"/>
              <w:left w:val="nil"/>
              <w:bottom w:val="nil"/>
              <w:right w:val="nil"/>
            </w:tcBorders>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tcPr>
          <w:p w:rsidR="00AD5BB5" w:rsidRDefault="00AD5BB5">
            <w:pPr>
              <w:autoSpaceDE w:val="0"/>
              <w:autoSpaceDN w:val="0"/>
              <w:rPr>
                <w:rFonts w:ascii="Arial" w:eastAsia="黑体" w:hAnsi="Arial" w:cs="Arial"/>
                <w:sz w:val="18"/>
                <w:szCs w:val="18"/>
              </w:rPr>
            </w:pPr>
          </w:p>
        </w:tc>
        <w:tc>
          <w:tcPr>
            <w:tcW w:w="1695" w:type="dxa"/>
            <w:tcBorders>
              <w:top w:val="nil"/>
              <w:left w:val="nil"/>
              <w:bottom w:val="double" w:sz="4" w:space="0" w:color="auto"/>
              <w:right w:val="nil"/>
            </w:tcBorders>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68,786,842,553.47 </w:t>
            </w:r>
          </w:p>
        </w:tc>
        <w:tc>
          <w:tcPr>
            <w:tcW w:w="113" w:type="dxa"/>
            <w:tcBorders>
              <w:top w:val="nil"/>
              <w:left w:val="nil"/>
              <w:bottom w:val="nil"/>
              <w:right w:val="nil"/>
            </w:tcBorders>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tcPr>
          <w:p w:rsidR="00AD5BB5" w:rsidRDefault="00AD5BB5">
            <w:pPr>
              <w:autoSpaceDE w:val="0"/>
              <w:autoSpaceDN w:val="0"/>
              <w:rPr>
                <w:rFonts w:ascii="Arial" w:eastAsia="黑体" w:hAnsi="Arial" w:cs="Arial"/>
                <w:sz w:val="18"/>
                <w:szCs w:val="18"/>
              </w:rPr>
            </w:pPr>
          </w:p>
        </w:tc>
        <w:tc>
          <w:tcPr>
            <w:tcW w:w="1695" w:type="dxa"/>
            <w:tcBorders>
              <w:top w:val="nil"/>
              <w:left w:val="nil"/>
              <w:bottom w:val="double" w:sz="4" w:space="0" w:color="auto"/>
              <w:right w:val="nil"/>
            </w:tcBorders>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34,634,430,921.44 </w:t>
            </w:r>
          </w:p>
        </w:tc>
        <w:tc>
          <w:tcPr>
            <w:tcW w:w="113" w:type="dxa"/>
            <w:tcBorders>
              <w:top w:val="nil"/>
              <w:left w:val="nil"/>
              <w:bottom w:val="nil"/>
              <w:right w:val="nil"/>
            </w:tcBorders>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tcPr>
          <w:p w:rsidR="00AD5BB5" w:rsidRDefault="00AD5BB5">
            <w:pPr>
              <w:autoSpaceDE w:val="0"/>
              <w:autoSpaceDN w:val="0"/>
              <w:rPr>
                <w:rFonts w:ascii="Arial" w:eastAsia="黑体" w:hAnsi="Arial" w:cs="Arial"/>
                <w:sz w:val="18"/>
                <w:szCs w:val="18"/>
              </w:rPr>
            </w:pPr>
          </w:p>
        </w:tc>
        <w:tc>
          <w:tcPr>
            <w:tcW w:w="1695" w:type="dxa"/>
            <w:tcBorders>
              <w:top w:val="nil"/>
              <w:left w:val="nil"/>
              <w:bottom w:val="double" w:sz="4" w:space="0" w:color="auto"/>
              <w:right w:val="nil"/>
            </w:tcBorders>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15,615,677,411.97 </w:t>
            </w:r>
          </w:p>
        </w:tc>
        <w:tc>
          <w:tcPr>
            <w:tcW w:w="113" w:type="dxa"/>
            <w:tcBorders>
              <w:top w:val="nil"/>
              <w:left w:val="nil"/>
              <w:bottom w:val="nil"/>
              <w:right w:val="nil"/>
            </w:tcBorders>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tcPr>
          <w:p w:rsidR="00AD5BB5" w:rsidRDefault="00AD5BB5">
            <w:pPr>
              <w:autoSpaceDE w:val="0"/>
              <w:autoSpaceDN w:val="0"/>
              <w:rPr>
                <w:rFonts w:ascii="Arial" w:eastAsia="黑体" w:hAnsi="Arial" w:cs="Arial"/>
                <w:sz w:val="18"/>
                <w:szCs w:val="18"/>
              </w:rPr>
            </w:pPr>
          </w:p>
        </w:tc>
        <w:tc>
          <w:tcPr>
            <w:tcW w:w="1695" w:type="dxa"/>
            <w:tcBorders>
              <w:top w:val="nil"/>
              <w:left w:val="nil"/>
              <w:bottom w:val="double" w:sz="4" w:space="0" w:color="auto"/>
              <w:right w:val="nil"/>
            </w:tcBorders>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346,896,757,516.58 </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bl>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sectPr w:rsidR="00AD5BB5">
          <w:headerReference w:type="even" r:id="rId67"/>
          <w:headerReference w:type="first" r:id="rId68"/>
          <w:pgSz w:w="16840" w:h="11907" w:orient="landscape"/>
          <w:pgMar w:top="1797" w:right="1440" w:bottom="1797" w:left="1440" w:header="720" w:footer="720" w:gutter="0"/>
          <w:cols w:space="720"/>
          <w:titlePg/>
          <w:docGrid w:linePitch="360"/>
        </w:sectPr>
      </w:pPr>
    </w:p>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385" w:name="afsaddin_WithXu_adf1a22bf7b244f3ad185069"/>
      <w:r>
        <w:rPr>
          <w:rFonts w:ascii="Arial" w:eastAsia="黑体" w:hAnsi="Arial" w:cs="Arial"/>
          <w:b/>
          <w:snapToGrid w:val="0"/>
          <w:szCs w:val="21"/>
        </w:rPr>
        <w:t>八、</w:t>
      </w:r>
      <w:r>
        <w:rPr>
          <w:rFonts w:ascii="Arial" w:eastAsia="黑体" w:hAnsi="Arial" w:cs="Arial"/>
          <w:b/>
          <w:snapToGrid w:val="0"/>
          <w:szCs w:val="21"/>
        </w:rPr>
        <w:tab/>
      </w:r>
      <w:r>
        <w:rPr>
          <w:rFonts w:ascii="Arial" w:eastAsia="黑体" w:hAnsi="Arial" w:cs="Arial"/>
          <w:b/>
          <w:snapToGrid w:val="0"/>
          <w:szCs w:val="21"/>
        </w:rPr>
        <w:t>金融工具及其风险分析（续）</w:t>
      </w:r>
      <w:bookmarkEnd w:id="385"/>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386" w:name="afsaddin_WithXu_bd7ddab5ac59401ab27985f4"/>
      <w:r>
        <w:rPr>
          <w:rFonts w:ascii="Arial" w:eastAsia="黑体" w:hAnsi="Arial" w:cs="Arial"/>
          <w:b/>
          <w:snapToGrid w:val="0"/>
          <w:szCs w:val="21"/>
        </w:rPr>
        <w:t>3.</w:t>
      </w:r>
      <w:r>
        <w:rPr>
          <w:rFonts w:ascii="Arial" w:eastAsia="黑体" w:hAnsi="Arial" w:cs="Arial"/>
          <w:b/>
          <w:snapToGrid w:val="0"/>
          <w:szCs w:val="21"/>
        </w:rPr>
        <w:tab/>
      </w:r>
      <w:r>
        <w:rPr>
          <w:rFonts w:ascii="Arial" w:eastAsia="黑体" w:hAnsi="Arial" w:cs="Arial"/>
          <w:b/>
          <w:snapToGrid w:val="0"/>
          <w:szCs w:val="21"/>
        </w:rPr>
        <w:t>市场风险（续）</w:t>
      </w:r>
      <w:bookmarkEnd w:id="386"/>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387" w:name="afsaddin_WithXu_f6e57f2e93ca4aa6b35b09f5"/>
      <w:r>
        <w:rPr>
          <w:rFonts w:ascii="Arial" w:eastAsia="黑体" w:hAnsi="Arial" w:cs="Arial"/>
          <w:b/>
          <w:snapToGrid w:val="0"/>
          <w:szCs w:val="21"/>
        </w:rPr>
        <w:t>3.1</w:t>
      </w:r>
      <w:r>
        <w:rPr>
          <w:rFonts w:ascii="Arial" w:eastAsia="黑体" w:hAnsi="Arial" w:cs="Arial"/>
          <w:b/>
          <w:snapToGrid w:val="0"/>
          <w:szCs w:val="21"/>
        </w:rPr>
        <w:tab/>
      </w:r>
      <w:r>
        <w:rPr>
          <w:rFonts w:ascii="Arial" w:eastAsia="黑体" w:hAnsi="Arial" w:cs="Arial"/>
          <w:b/>
          <w:snapToGrid w:val="0"/>
          <w:szCs w:val="21"/>
        </w:rPr>
        <w:t>利率风险（续）</w:t>
      </w:r>
      <w:bookmarkEnd w:id="387"/>
    </w:p>
    <w:p w:rsidR="00AD5BB5" w:rsidRDefault="00AD5BB5">
      <w:pPr>
        <w:overflowPunct w:val="0"/>
        <w:autoSpaceDE w:val="0"/>
        <w:autoSpaceDN w:val="0"/>
        <w:rPr>
          <w:rFonts w:ascii="Arial" w:eastAsia="黑体" w:hAnsi="Arial" w:cs="Arial"/>
          <w:snapToGrid w:val="0"/>
          <w:szCs w:val="21"/>
        </w:rPr>
      </w:pPr>
    </w:p>
    <w:tbl>
      <w:tblPr>
        <w:tblW w:w="14069" w:type="dxa"/>
        <w:tblLayout w:type="fixed"/>
        <w:tblCellMar>
          <w:left w:w="0" w:type="dxa"/>
          <w:right w:w="0" w:type="dxa"/>
        </w:tblCellMar>
        <w:tblLook w:val="04A0" w:firstRow="1" w:lastRow="0" w:firstColumn="1" w:lastColumn="0" w:noHBand="0" w:noVBand="1"/>
        <w:tblCaption w:val="aec50de2-6a2b-4efc-8b5d-8d450474025b"/>
        <w:tblDescription w:val="{&quot;UUID&quot;:&quot;afsaddin_tabledata_2_56437_aec50de2-6a2b-4efc-8b5d-8d450474025b&quot;,&quot;TitleRowCount&quot;:2,&quot;SplitedTable&quot;:false,&quot;FirstTableId&quot;:&quot;aec50de2-6a2b-4efc-8b5d-8d450474025b&quot;}"/>
      </w:tblPr>
      <w:tblGrid>
        <w:gridCol w:w="2543"/>
        <w:gridCol w:w="113"/>
        <w:gridCol w:w="1695"/>
        <w:gridCol w:w="113"/>
        <w:gridCol w:w="113"/>
        <w:gridCol w:w="1695"/>
        <w:gridCol w:w="113"/>
        <w:gridCol w:w="113"/>
        <w:gridCol w:w="1695"/>
        <w:gridCol w:w="113"/>
        <w:gridCol w:w="113"/>
        <w:gridCol w:w="1695"/>
        <w:gridCol w:w="113"/>
        <w:gridCol w:w="113"/>
        <w:gridCol w:w="1695"/>
        <w:gridCol w:w="113"/>
        <w:gridCol w:w="113"/>
        <w:gridCol w:w="1695"/>
        <w:gridCol w:w="113"/>
      </w:tblGrid>
      <w:tr w:rsidR="00AD5BB5">
        <w:tc>
          <w:tcPr>
            <w:tcW w:w="2543" w:type="dxa"/>
            <w:tcBorders>
              <w:top w:val="nil"/>
              <w:left w:val="nil"/>
              <w:bottom w:val="nil"/>
              <w:right w:val="nil"/>
            </w:tcBorders>
            <w:vAlign w:val="bottom"/>
          </w:tcPr>
          <w:bookmarkStart w:id="388" w:name="afsaddin_WithXu_4ff9f85f83fe430dbba8df84"/>
          <w:bookmarkStart w:id="389" w:name="afsaddin_WithXu_31bd4b18ad324036b87757bc"/>
          <w:bookmarkStart w:id="390" w:name="afsaddin_WithXu_b38bcc59631a488bb9f1537b"/>
          <w:bookmarkEnd w:id="388"/>
          <w:bookmarkEnd w:id="389"/>
          <w:bookmarkEnd w:id="390"/>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 DOCPROPERTY </w:instrText>
            </w:r>
            <w:r>
              <w:rPr>
                <w:rFonts w:ascii="Arial" w:eastAsia="黑体" w:hAnsi="Arial" w:cs="Arial"/>
                <w:sz w:val="18"/>
                <w:szCs w:val="18"/>
              </w:rPr>
              <w:instrText>当期资产负债表日</w:instrText>
            </w:r>
            <w:r>
              <w:rPr>
                <w:rFonts w:ascii="Arial" w:eastAsia="黑体" w:hAnsi="Arial" w:cs="Arial"/>
                <w:sz w:val="18"/>
                <w:szCs w:val="18"/>
              </w:rPr>
              <w:instrText xml:space="preserve"> </w:instrText>
            </w:r>
            <w:r>
              <w:rPr>
                <w:rFonts w:ascii="Arial" w:eastAsia="黑体" w:hAnsi="Arial" w:cs="Arial"/>
                <w:sz w:val="18"/>
                <w:szCs w:val="18"/>
              </w:rPr>
              <w:fldChar w:fldCharType="separate"/>
            </w:r>
            <w:r>
              <w:rPr>
                <w:rFonts w:ascii="Arial" w:eastAsia="黑体" w:hAnsi="Arial" w:cs="Arial"/>
                <w:sz w:val="18"/>
                <w:szCs w:val="18"/>
              </w:rPr>
              <w:t>2023</w:t>
            </w:r>
            <w:r>
              <w:rPr>
                <w:rFonts w:ascii="Arial" w:eastAsia="黑体" w:hAnsi="Arial" w:cs="Arial"/>
                <w:sz w:val="18"/>
                <w:szCs w:val="18"/>
              </w:rPr>
              <w:t>年</w:t>
            </w:r>
            <w:r>
              <w:rPr>
                <w:rFonts w:ascii="Arial" w:eastAsia="黑体" w:hAnsi="Arial" w:cs="Arial"/>
                <w:sz w:val="18"/>
                <w:szCs w:val="18"/>
              </w:rPr>
              <w:t>6</w:t>
            </w:r>
            <w:r>
              <w:rPr>
                <w:rFonts w:ascii="Arial" w:eastAsia="黑体" w:hAnsi="Arial" w:cs="Arial"/>
                <w:sz w:val="18"/>
                <w:szCs w:val="18"/>
              </w:rPr>
              <w:t>月</w:t>
            </w:r>
            <w:r>
              <w:rPr>
                <w:rFonts w:ascii="Arial" w:eastAsia="黑体" w:hAnsi="Arial" w:cs="Arial"/>
                <w:sz w:val="18"/>
                <w:szCs w:val="18"/>
              </w:rPr>
              <w:t>30</w:t>
            </w:r>
            <w:r>
              <w:rPr>
                <w:rFonts w:ascii="Arial" w:eastAsia="黑体" w:hAnsi="Arial" w:cs="Arial"/>
                <w:sz w:val="18"/>
                <w:szCs w:val="18"/>
              </w:rPr>
              <w:t>日</w:t>
            </w:r>
            <w:r>
              <w:rPr>
                <w:rFonts w:ascii="Arial" w:eastAsia="黑体" w:hAnsi="Arial" w:cs="Arial"/>
                <w:sz w:val="18"/>
                <w:szCs w:val="18"/>
              </w:rPr>
              <w:fldChar w:fldCharType="end"/>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w:t>
            </w:r>
            <w:r>
              <w:rPr>
                <w:rFonts w:ascii="Arial" w:eastAsia="黑体" w:hAnsi="Arial" w:cs="Arial"/>
                <w:sz w:val="18"/>
                <w:szCs w:val="18"/>
              </w:rPr>
              <w:t>个月内</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w:t>
            </w:r>
            <w:r>
              <w:rPr>
                <w:rFonts w:ascii="Arial" w:eastAsia="黑体" w:hAnsi="Arial" w:cs="Arial"/>
                <w:sz w:val="18"/>
                <w:szCs w:val="18"/>
              </w:rPr>
              <w:t>个月至</w:t>
            </w:r>
            <w:r>
              <w:rPr>
                <w:rFonts w:ascii="Arial" w:eastAsia="黑体" w:hAnsi="Arial" w:cs="Arial"/>
                <w:sz w:val="18"/>
                <w:szCs w:val="18"/>
              </w:rPr>
              <w:t>1</w:t>
            </w:r>
            <w:r>
              <w:rPr>
                <w:rFonts w:ascii="Arial" w:eastAsia="黑体" w:hAnsi="Arial" w:cs="Arial"/>
                <w:sz w:val="18"/>
                <w:szCs w:val="18"/>
              </w:rPr>
              <w:t>年</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w:t>
            </w:r>
            <w:r>
              <w:rPr>
                <w:rFonts w:ascii="Arial" w:eastAsia="黑体" w:hAnsi="Arial" w:cs="Arial"/>
                <w:sz w:val="18"/>
                <w:szCs w:val="18"/>
              </w:rPr>
              <w:t>至</w:t>
            </w:r>
            <w:r>
              <w:rPr>
                <w:rFonts w:ascii="Arial" w:eastAsia="黑体" w:hAnsi="Arial" w:cs="Arial"/>
                <w:sz w:val="18"/>
                <w:szCs w:val="18"/>
              </w:rPr>
              <w:t>5</w:t>
            </w:r>
            <w:r>
              <w:rPr>
                <w:rFonts w:ascii="Arial" w:eastAsia="黑体" w:hAnsi="Arial" w:cs="Arial"/>
                <w:sz w:val="18"/>
                <w:szCs w:val="18"/>
              </w:rPr>
              <w:t>年</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w:t>
            </w:r>
            <w:r>
              <w:rPr>
                <w:rFonts w:ascii="Arial" w:eastAsia="黑体" w:hAnsi="Arial" w:cs="Arial"/>
                <w:sz w:val="18"/>
                <w:szCs w:val="18"/>
              </w:rPr>
              <w:t>年以上</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已逾期</w:t>
            </w:r>
            <w:r>
              <w:rPr>
                <w:rFonts w:ascii="Arial" w:eastAsia="黑体" w:hAnsi="Arial" w:cs="Arial"/>
                <w:sz w:val="18"/>
                <w:szCs w:val="18"/>
              </w:rPr>
              <w:t>/</w:t>
            </w:r>
            <w:r>
              <w:rPr>
                <w:rFonts w:ascii="Arial" w:eastAsia="黑体" w:hAnsi="Arial" w:cs="Arial"/>
                <w:sz w:val="18"/>
                <w:szCs w:val="18"/>
              </w:rPr>
              <w:t>不计息</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合计</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1" w:hangingChars="100" w:hanging="181"/>
              <w:rPr>
                <w:rFonts w:ascii="Arial" w:eastAsia="黑体" w:hAnsi="Arial" w:cs="Arial"/>
                <w:b/>
                <w:bCs/>
                <w:sz w:val="18"/>
                <w:szCs w:val="18"/>
              </w:rPr>
            </w:pPr>
            <w:r>
              <w:rPr>
                <w:rFonts w:ascii="Arial" w:eastAsia="黑体" w:hAnsi="Arial" w:cs="Arial"/>
                <w:b/>
                <w:bCs/>
                <w:sz w:val="18"/>
                <w:szCs w:val="18"/>
              </w:rPr>
              <w:t>负债项目</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向中央银行借款</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5,202,600,000.00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3,196,674,703.47</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8,399,274,703.47</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同业及其他金融机构存放款项</w:t>
            </w:r>
          </w:p>
          <w:p w:rsidR="00AD5BB5" w:rsidRDefault="00F87FF6">
            <w:pPr>
              <w:autoSpaceDE w:val="0"/>
              <w:autoSpaceDN w:val="0"/>
              <w:ind w:leftChars="76" w:left="340" w:hangingChars="100" w:hanging="180"/>
              <w:rPr>
                <w:rFonts w:ascii="Arial" w:eastAsia="黑体" w:hAnsi="Arial" w:cs="Arial"/>
                <w:sz w:val="18"/>
                <w:szCs w:val="18"/>
              </w:rPr>
            </w:pPr>
            <w:r>
              <w:rPr>
                <w:rFonts w:ascii="Arial" w:eastAsia="黑体" w:hAnsi="Arial" w:cs="Arial"/>
                <w:sz w:val="18"/>
                <w:szCs w:val="18"/>
              </w:rPr>
              <w:t>和拆入资金</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8,968,668,092.61</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15,837,200,790.90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9,400,335,693.19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34,206,204,576.70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交易性金融负债</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102,138,486.30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986,955.25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103,125,441.55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吸收存款</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97,572,392,342.43</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34,255,962,136.80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55,200,515,159.52</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601,612,560.09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15,178,256.03</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187,645,660,454.87</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卖出回购金融资产款</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12,001,664,722.44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1,281,154,250.39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13,282,818,972.83</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应付债券</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18,307,639,158.47</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47,204,170,280.21</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11,692,677,926.71</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77,204,487,365.39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其他负债</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241,342,928.12</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492,910,935.29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308,307,392.56</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99,677,509.67</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2,328,898,598.39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3,471,137,364.03</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非衍生金融负债总额</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142,396,445,730.37</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102,268,073,097.06</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76,601,836,171.98</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701,290,069.76</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2,345,063,809.67</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324,312,708,878.84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利率风险缺口</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double" w:sz="4" w:space="0" w:color="auto"/>
              <w:right w:val="nil"/>
            </w:tcBorders>
          </w:tcPr>
          <w:p w:rsidR="00AD5BB5" w:rsidRDefault="00F87FF6">
            <w:pPr>
              <w:autoSpaceDE w:val="0"/>
              <w:autoSpaceDN w:val="0"/>
              <w:jc w:val="right"/>
              <w:rPr>
                <w:rFonts w:ascii="Arial" w:eastAsia="黑体" w:hAnsi="Arial" w:cs="Arial"/>
                <w:sz w:val="18"/>
              </w:rPr>
            </w:pPr>
            <w:r>
              <w:rPr>
                <w:rFonts w:ascii="Arial" w:eastAsia="黑体" w:hAnsi="Arial" w:cs="Arial"/>
                <w:sz w:val="18"/>
              </w:rPr>
              <w:t>(17,983,256,552.73</w:t>
            </w:r>
          </w:p>
        </w:tc>
        <w:tc>
          <w:tcPr>
            <w:tcW w:w="113" w:type="dxa"/>
            <w:tcBorders>
              <w:top w:val="nil"/>
              <w:left w:val="nil"/>
              <w:bottom w:val="nil"/>
              <w:right w:val="nil"/>
            </w:tcBorders>
          </w:tcPr>
          <w:p w:rsidR="00AD5BB5" w:rsidRDefault="00F87FF6">
            <w:pPr>
              <w:autoSpaceDE w:val="0"/>
              <w:autoSpaceDN w:val="0"/>
              <w:rPr>
                <w:rFonts w:ascii="Arial" w:eastAsia="黑体" w:hAnsi="Arial" w:cs="Arial"/>
                <w:sz w:val="18"/>
              </w:rPr>
            </w:pPr>
            <w:r>
              <w:rPr>
                <w:rFonts w:ascii="Arial" w:eastAsia="黑体" w:hAnsi="Arial" w:cs="Arial"/>
                <w:sz w:val="18"/>
              </w:rPr>
              <w:t>)</w:t>
            </w:r>
          </w:p>
        </w:tc>
        <w:tc>
          <w:tcPr>
            <w:tcW w:w="113" w:type="dxa"/>
            <w:tcBorders>
              <w:top w:val="nil"/>
              <w:left w:val="nil"/>
              <w:bottom w:val="nil"/>
              <w:right w:val="nil"/>
            </w:tcBorders>
          </w:tcPr>
          <w:p w:rsidR="00AD5BB5" w:rsidRDefault="00AD5BB5">
            <w:pPr>
              <w:autoSpaceDE w:val="0"/>
              <w:autoSpaceDN w:val="0"/>
              <w:rPr>
                <w:rFonts w:ascii="Arial" w:eastAsia="黑体" w:hAnsi="Arial" w:cs="Arial"/>
                <w:sz w:val="18"/>
              </w:rPr>
            </w:pPr>
          </w:p>
        </w:tc>
        <w:tc>
          <w:tcPr>
            <w:tcW w:w="1695" w:type="dxa"/>
            <w:tcBorders>
              <w:top w:val="nil"/>
              <w:left w:val="nil"/>
              <w:bottom w:val="double" w:sz="4" w:space="0" w:color="auto"/>
              <w:right w:val="nil"/>
            </w:tcBorders>
          </w:tcPr>
          <w:p w:rsidR="00AD5BB5" w:rsidRDefault="00F87FF6">
            <w:pPr>
              <w:autoSpaceDE w:val="0"/>
              <w:autoSpaceDN w:val="0"/>
              <w:jc w:val="right"/>
              <w:rPr>
                <w:rFonts w:ascii="Arial" w:eastAsia="黑体" w:hAnsi="Arial" w:cs="Arial"/>
                <w:sz w:val="18"/>
              </w:rPr>
            </w:pPr>
            <w:r>
              <w:rPr>
                <w:rFonts w:ascii="Arial" w:eastAsia="黑体" w:hAnsi="Arial" w:cs="Arial"/>
                <w:sz w:val="18"/>
              </w:rPr>
              <w:t xml:space="preserve">1,178,544,355.00 </w:t>
            </w:r>
          </w:p>
        </w:tc>
        <w:tc>
          <w:tcPr>
            <w:tcW w:w="113" w:type="dxa"/>
            <w:tcBorders>
              <w:top w:val="nil"/>
              <w:left w:val="nil"/>
              <w:bottom w:val="nil"/>
              <w:right w:val="nil"/>
            </w:tcBorders>
          </w:tcPr>
          <w:p w:rsidR="00AD5BB5" w:rsidRDefault="00AD5BB5">
            <w:pPr>
              <w:autoSpaceDE w:val="0"/>
              <w:autoSpaceDN w:val="0"/>
              <w:rPr>
                <w:rFonts w:ascii="Arial" w:eastAsia="黑体" w:hAnsi="Arial" w:cs="Arial"/>
                <w:sz w:val="18"/>
              </w:rPr>
            </w:pPr>
          </w:p>
        </w:tc>
        <w:tc>
          <w:tcPr>
            <w:tcW w:w="113" w:type="dxa"/>
            <w:tcBorders>
              <w:top w:val="nil"/>
              <w:left w:val="nil"/>
              <w:bottom w:val="nil"/>
              <w:right w:val="nil"/>
            </w:tcBorders>
          </w:tcPr>
          <w:p w:rsidR="00AD5BB5" w:rsidRDefault="00AD5BB5">
            <w:pPr>
              <w:autoSpaceDE w:val="0"/>
              <w:autoSpaceDN w:val="0"/>
              <w:rPr>
                <w:rFonts w:ascii="Arial" w:eastAsia="黑体" w:hAnsi="Arial" w:cs="Arial"/>
                <w:sz w:val="18"/>
              </w:rPr>
            </w:pPr>
          </w:p>
        </w:tc>
        <w:tc>
          <w:tcPr>
            <w:tcW w:w="1695" w:type="dxa"/>
            <w:tcBorders>
              <w:top w:val="nil"/>
              <w:left w:val="nil"/>
              <w:bottom w:val="double" w:sz="4" w:space="0" w:color="auto"/>
              <w:right w:val="nil"/>
            </w:tcBorders>
          </w:tcPr>
          <w:p w:rsidR="00AD5BB5" w:rsidRDefault="00F87FF6">
            <w:pPr>
              <w:autoSpaceDE w:val="0"/>
              <w:autoSpaceDN w:val="0"/>
              <w:jc w:val="right"/>
              <w:rPr>
                <w:rFonts w:ascii="Arial" w:eastAsia="黑体" w:hAnsi="Arial" w:cs="Arial"/>
                <w:sz w:val="18"/>
              </w:rPr>
            </w:pPr>
            <w:r>
              <w:rPr>
                <w:rFonts w:ascii="Arial" w:eastAsia="黑体" w:hAnsi="Arial" w:cs="Arial"/>
                <w:sz w:val="18"/>
              </w:rPr>
              <w:t>(7,814,993,618.51</w:t>
            </w:r>
          </w:p>
        </w:tc>
        <w:tc>
          <w:tcPr>
            <w:tcW w:w="113" w:type="dxa"/>
            <w:tcBorders>
              <w:top w:val="nil"/>
              <w:left w:val="nil"/>
              <w:bottom w:val="nil"/>
              <w:right w:val="nil"/>
            </w:tcBorders>
          </w:tcPr>
          <w:p w:rsidR="00AD5BB5" w:rsidRDefault="00F87FF6">
            <w:pPr>
              <w:autoSpaceDE w:val="0"/>
              <w:autoSpaceDN w:val="0"/>
              <w:rPr>
                <w:rFonts w:ascii="Arial" w:eastAsia="黑体" w:hAnsi="Arial" w:cs="Arial"/>
                <w:sz w:val="18"/>
              </w:rPr>
            </w:pPr>
            <w:r>
              <w:rPr>
                <w:rFonts w:ascii="Arial" w:eastAsia="黑体" w:hAnsi="Arial" w:cs="Arial" w:hint="eastAsia"/>
                <w:sz w:val="18"/>
              </w:rPr>
              <w:t>)</w:t>
            </w:r>
          </w:p>
        </w:tc>
        <w:tc>
          <w:tcPr>
            <w:tcW w:w="113" w:type="dxa"/>
            <w:tcBorders>
              <w:top w:val="nil"/>
              <w:left w:val="nil"/>
              <w:bottom w:val="nil"/>
              <w:right w:val="nil"/>
            </w:tcBorders>
          </w:tcPr>
          <w:p w:rsidR="00AD5BB5" w:rsidRDefault="00AD5BB5">
            <w:pPr>
              <w:autoSpaceDE w:val="0"/>
              <w:autoSpaceDN w:val="0"/>
              <w:rPr>
                <w:rFonts w:ascii="Arial" w:eastAsia="黑体" w:hAnsi="Arial" w:cs="Arial"/>
                <w:sz w:val="18"/>
              </w:rPr>
            </w:pPr>
          </w:p>
        </w:tc>
        <w:tc>
          <w:tcPr>
            <w:tcW w:w="1695" w:type="dxa"/>
            <w:tcBorders>
              <w:top w:val="nil"/>
              <w:left w:val="nil"/>
              <w:bottom w:val="double" w:sz="4" w:space="0" w:color="auto"/>
              <w:right w:val="nil"/>
            </w:tcBorders>
          </w:tcPr>
          <w:p w:rsidR="00AD5BB5" w:rsidRDefault="00F87FF6">
            <w:pPr>
              <w:autoSpaceDE w:val="0"/>
              <w:autoSpaceDN w:val="0"/>
              <w:jc w:val="right"/>
              <w:rPr>
                <w:rFonts w:ascii="Arial" w:eastAsia="黑体" w:hAnsi="Arial" w:cs="Arial"/>
                <w:sz w:val="18"/>
              </w:rPr>
            </w:pPr>
            <w:r>
              <w:rPr>
                <w:rFonts w:ascii="Arial" w:eastAsia="黑体" w:hAnsi="Arial" w:cs="Arial"/>
                <w:sz w:val="18"/>
              </w:rPr>
              <w:t xml:space="preserve">33,933,140,851.68 </w:t>
            </w:r>
          </w:p>
        </w:tc>
        <w:tc>
          <w:tcPr>
            <w:tcW w:w="113" w:type="dxa"/>
            <w:tcBorders>
              <w:top w:val="nil"/>
              <w:left w:val="nil"/>
              <w:bottom w:val="nil"/>
              <w:right w:val="nil"/>
            </w:tcBorders>
          </w:tcPr>
          <w:p w:rsidR="00AD5BB5" w:rsidRDefault="00AD5BB5">
            <w:pPr>
              <w:autoSpaceDE w:val="0"/>
              <w:autoSpaceDN w:val="0"/>
              <w:rPr>
                <w:rFonts w:ascii="Arial" w:eastAsia="黑体" w:hAnsi="Arial" w:cs="Arial"/>
                <w:sz w:val="18"/>
              </w:rPr>
            </w:pPr>
          </w:p>
        </w:tc>
        <w:tc>
          <w:tcPr>
            <w:tcW w:w="113" w:type="dxa"/>
            <w:tcBorders>
              <w:top w:val="nil"/>
              <w:left w:val="nil"/>
              <w:bottom w:val="nil"/>
              <w:right w:val="nil"/>
            </w:tcBorders>
          </w:tcPr>
          <w:p w:rsidR="00AD5BB5" w:rsidRDefault="00AD5BB5">
            <w:pPr>
              <w:autoSpaceDE w:val="0"/>
              <w:autoSpaceDN w:val="0"/>
              <w:rPr>
                <w:rFonts w:ascii="Arial" w:eastAsia="黑体" w:hAnsi="Arial" w:cs="Arial"/>
                <w:sz w:val="18"/>
              </w:rPr>
            </w:pPr>
          </w:p>
        </w:tc>
        <w:tc>
          <w:tcPr>
            <w:tcW w:w="1695" w:type="dxa"/>
            <w:tcBorders>
              <w:top w:val="nil"/>
              <w:left w:val="nil"/>
              <w:bottom w:val="double" w:sz="4" w:space="0" w:color="auto"/>
              <w:right w:val="nil"/>
            </w:tcBorders>
          </w:tcPr>
          <w:p w:rsidR="00AD5BB5" w:rsidRDefault="00F87FF6">
            <w:pPr>
              <w:autoSpaceDE w:val="0"/>
              <w:autoSpaceDN w:val="0"/>
              <w:jc w:val="right"/>
              <w:rPr>
                <w:rFonts w:ascii="Arial" w:eastAsia="黑体" w:hAnsi="Arial" w:cs="Arial"/>
                <w:sz w:val="18"/>
              </w:rPr>
            </w:pPr>
            <w:r>
              <w:rPr>
                <w:rFonts w:ascii="Arial" w:eastAsia="黑体" w:hAnsi="Arial" w:cs="Arial"/>
                <w:sz w:val="18"/>
              </w:rPr>
              <w:t xml:space="preserve">13,270,613,602.30 </w:t>
            </w:r>
          </w:p>
        </w:tc>
        <w:tc>
          <w:tcPr>
            <w:tcW w:w="113" w:type="dxa"/>
            <w:tcBorders>
              <w:top w:val="nil"/>
              <w:left w:val="nil"/>
              <w:bottom w:val="nil"/>
              <w:right w:val="nil"/>
            </w:tcBorders>
          </w:tcPr>
          <w:p w:rsidR="00AD5BB5" w:rsidRDefault="00AD5BB5">
            <w:pPr>
              <w:autoSpaceDE w:val="0"/>
              <w:autoSpaceDN w:val="0"/>
              <w:rPr>
                <w:rFonts w:ascii="Arial" w:eastAsia="黑体" w:hAnsi="Arial" w:cs="Arial"/>
                <w:sz w:val="18"/>
              </w:rPr>
            </w:pPr>
          </w:p>
        </w:tc>
        <w:tc>
          <w:tcPr>
            <w:tcW w:w="113" w:type="dxa"/>
            <w:tcBorders>
              <w:top w:val="nil"/>
              <w:left w:val="nil"/>
              <w:bottom w:val="nil"/>
              <w:right w:val="nil"/>
            </w:tcBorders>
          </w:tcPr>
          <w:p w:rsidR="00AD5BB5" w:rsidRDefault="00AD5BB5">
            <w:pPr>
              <w:autoSpaceDE w:val="0"/>
              <w:autoSpaceDN w:val="0"/>
              <w:rPr>
                <w:rFonts w:ascii="Arial" w:eastAsia="黑体" w:hAnsi="Arial" w:cs="Arial"/>
                <w:sz w:val="18"/>
              </w:rPr>
            </w:pPr>
          </w:p>
        </w:tc>
        <w:tc>
          <w:tcPr>
            <w:tcW w:w="1695" w:type="dxa"/>
            <w:tcBorders>
              <w:top w:val="nil"/>
              <w:left w:val="nil"/>
              <w:bottom w:val="double" w:sz="4" w:space="0" w:color="auto"/>
              <w:right w:val="nil"/>
            </w:tcBorders>
          </w:tcPr>
          <w:p w:rsidR="00AD5BB5" w:rsidRDefault="00F87FF6">
            <w:pPr>
              <w:autoSpaceDE w:val="0"/>
              <w:autoSpaceDN w:val="0"/>
              <w:jc w:val="right"/>
              <w:rPr>
                <w:rFonts w:ascii="Arial" w:eastAsia="黑体" w:hAnsi="Arial" w:cs="Arial"/>
                <w:sz w:val="18"/>
              </w:rPr>
            </w:pPr>
            <w:r>
              <w:rPr>
                <w:rFonts w:ascii="Arial" w:eastAsia="黑体" w:hAnsi="Arial" w:cs="Arial"/>
                <w:sz w:val="18"/>
              </w:rPr>
              <w:t xml:space="preserve">22,584,048,637.74 </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bl>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sectPr w:rsidR="00AD5BB5">
          <w:pgSz w:w="16840" w:h="11907" w:orient="landscape"/>
          <w:pgMar w:top="1797" w:right="1440" w:bottom="1797" w:left="1440" w:header="720" w:footer="720" w:gutter="0"/>
          <w:cols w:space="720"/>
          <w:titlePg/>
          <w:docGrid w:linePitch="360"/>
        </w:sectPr>
      </w:pPr>
    </w:p>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391" w:name="afsaddin_WithXu_3d1584ce172243d5a4550557"/>
      <w:r>
        <w:rPr>
          <w:rFonts w:ascii="Arial" w:eastAsia="黑体" w:hAnsi="Arial" w:cs="Arial"/>
          <w:b/>
          <w:snapToGrid w:val="0"/>
          <w:szCs w:val="21"/>
        </w:rPr>
        <w:t>八、</w:t>
      </w:r>
      <w:r>
        <w:rPr>
          <w:rFonts w:ascii="Arial" w:eastAsia="黑体" w:hAnsi="Arial" w:cs="Arial"/>
          <w:b/>
          <w:snapToGrid w:val="0"/>
          <w:szCs w:val="21"/>
        </w:rPr>
        <w:tab/>
      </w:r>
      <w:r>
        <w:rPr>
          <w:rFonts w:ascii="Arial" w:eastAsia="黑体" w:hAnsi="Arial" w:cs="Arial"/>
          <w:b/>
          <w:snapToGrid w:val="0"/>
          <w:szCs w:val="21"/>
        </w:rPr>
        <w:t>金融工具及其风险分析（续）</w:t>
      </w:r>
      <w:bookmarkEnd w:id="391"/>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392" w:name="afsaddin_WithXu_f72f279acbfa422bb70a0197"/>
      <w:r>
        <w:rPr>
          <w:rFonts w:ascii="Arial" w:eastAsia="黑体" w:hAnsi="Arial" w:cs="Arial"/>
          <w:b/>
          <w:snapToGrid w:val="0"/>
          <w:szCs w:val="21"/>
        </w:rPr>
        <w:t>3.</w:t>
      </w:r>
      <w:r>
        <w:rPr>
          <w:rFonts w:ascii="Arial" w:eastAsia="黑体" w:hAnsi="Arial" w:cs="Arial"/>
          <w:b/>
          <w:snapToGrid w:val="0"/>
          <w:szCs w:val="21"/>
        </w:rPr>
        <w:tab/>
      </w:r>
      <w:r>
        <w:rPr>
          <w:rFonts w:ascii="Arial" w:eastAsia="黑体" w:hAnsi="Arial" w:cs="Arial"/>
          <w:b/>
          <w:snapToGrid w:val="0"/>
          <w:szCs w:val="21"/>
        </w:rPr>
        <w:t>市场风险（续）</w:t>
      </w:r>
      <w:bookmarkEnd w:id="392"/>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393" w:name="afsaddin_WithXu_cb5d907e56b44fe096b533ab"/>
      <w:r>
        <w:rPr>
          <w:rFonts w:ascii="Arial" w:eastAsia="黑体" w:hAnsi="Arial" w:cs="Arial"/>
          <w:b/>
          <w:snapToGrid w:val="0"/>
          <w:szCs w:val="21"/>
        </w:rPr>
        <w:t>3.1</w:t>
      </w:r>
      <w:r>
        <w:rPr>
          <w:rFonts w:ascii="Arial" w:eastAsia="黑体" w:hAnsi="Arial" w:cs="Arial"/>
          <w:b/>
          <w:snapToGrid w:val="0"/>
          <w:szCs w:val="21"/>
        </w:rPr>
        <w:tab/>
      </w:r>
      <w:r>
        <w:rPr>
          <w:rFonts w:ascii="Arial" w:eastAsia="黑体" w:hAnsi="Arial" w:cs="Arial"/>
          <w:b/>
          <w:snapToGrid w:val="0"/>
          <w:szCs w:val="21"/>
        </w:rPr>
        <w:t>利率风险（续）</w:t>
      </w:r>
      <w:bookmarkEnd w:id="393"/>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f251a964-e8c6-4557-8d71-62bb9ef4d397"/>
        <w:tblDescription w:val="{&quot;UUID&quot;:&quot;afsaddin_tabledata_2_56437_f251a964-e8c6-4557-8d71-62bb9ef4d397&quot;,&quot;TitleRowCount&quot;:2,&quot;SplitedTable&quot;:false,&quot;FirstTableId&quot;:&quot;f251a964-e8c6-4557-8d71-62bb9ef4d397&quot;}"/>
      </w:tblPr>
      <w:tblGrid>
        <w:gridCol w:w="2543"/>
        <w:gridCol w:w="113"/>
        <w:gridCol w:w="1695"/>
        <w:gridCol w:w="113"/>
        <w:gridCol w:w="113"/>
        <w:gridCol w:w="1695"/>
        <w:gridCol w:w="113"/>
        <w:gridCol w:w="113"/>
        <w:gridCol w:w="1695"/>
        <w:gridCol w:w="113"/>
        <w:gridCol w:w="113"/>
        <w:gridCol w:w="1695"/>
        <w:gridCol w:w="113"/>
        <w:gridCol w:w="113"/>
        <w:gridCol w:w="1695"/>
        <w:gridCol w:w="113"/>
        <w:gridCol w:w="113"/>
        <w:gridCol w:w="1695"/>
        <w:gridCol w:w="113"/>
      </w:tblGrid>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bookmarkStart w:id="394" w:name="afsaddin_WithXu_605098afb70e4c14a957b6f1"/>
            <w:bookmarkStart w:id="395" w:name="afsaddin_WithXu_7fc4f9ef9ecc42dc88b7288e"/>
            <w:bookmarkStart w:id="396" w:name="afsaddin_WithXu_3003d28d3bd94d10941cdba7"/>
            <w:bookmarkEnd w:id="394"/>
            <w:bookmarkEnd w:id="395"/>
            <w:bookmarkEnd w:id="396"/>
            <w:r>
              <w:rPr>
                <w:rFonts w:ascii="Arial" w:eastAsia="黑体" w:hAnsi="Arial" w:cs="Arial"/>
                <w:sz w:val="18"/>
                <w:szCs w:val="18"/>
              </w:rPr>
              <w:t>2022</w:t>
            </w:r>
            <w:r>
              <w:rPr>
                <w:rFonts w:ascii="Arial" w:eastAsia="黑体" w:hAnsi="Arial" w:cs="Arial"/>
                <w:sz w:val="18"/>
                <w:szCs w:val="18"/>
              </w:rPr>
              <w:t>年</w:t>
            </w:r>
            <w:r>
              <w:rPr>
                <w:rFonts w:ascii="Arial" w:eastAsia="黑体" w:hAnsi="Arial" w:cs="Arial"/>
                <w:sz w:val="18"/>
                <w:szCs w:val="18"/>
              </w:rPr>
              <w:t>12</w:t>
            </w:r>
            <w:r>
              <w:rPr>
                <w:rFonts w:ascii="Arial" w:eastAsia="黑体" w:hAnsi="Arial" w:cs="Arial"/>
                <w:sz w:val="18"/>
                <w:szCs w:val="18"/>
              </w:rPr>
              <w:t>月</w:t>
            </w:r>
            <w:r>
              <w:rPr>
                <w:rFonts w:ascii="Arial" w:eastAsia="黑体" w:hAnsi="Arial" w:cs="Arial"/>
                <w:sz w:val="18"/>
                <w:szCs w:val="18"/>
              </w:rPr>
              <w:t>31</w:t>
            </w:r>
            <w:r>
              <w:rPr>
                <w:rFonts w:ascii="Arial" w:eastAsia="黑体" w:hAnsi="Arial" w:cs="Arial"/>
                <w:sz w:val="18"/>
                <w:szCs w:val="18"/>
              </w:rPr>
              <w:t>日</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w:t>
            </w:r>
            <w:r>
              <w:rPr>
                <w:rFonts w:ascii="Arial" w:eastAsia="黑体" w:hAnsi="Arial" w:cs="Arial"/>
                <w:sz w:val="18"/>
                <w:szCs w:val="18"/>
              </w:rPr>
              <w:t>个月内</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w:t>
            </w:r>
            <w:r>
              <w:rPr>
                <w:rFonts w:ascii="Arial" w:eastAsia="黑体" w:hAnsi="Arial" w:cs="Arial"/>
                <w:sz w:val="18"/>
                <w:szCs w:val="18"/>
              </w:rPr>
              <w:t>个月至</w:t>
            </w:r>
            <w:r>
              <w:rPr>
                <w:rFonts w:ascii="Arial" w:eastAsia="黑体" w:hAnsi="Arial" w:cs="Arial"/>
                <w:sz w:val="18"/>
                <w:szCs w:val="18"/>
              </w:rPr>
              <w:t>1</w:t>
            </w:r>
            <w:r>
              <w:rPr>
                <w:rFonts w:ascii="Arial" w:eastAsia="黑体" w:hAnsi="Arial" w:cs="Arial"/>
                <w:sz w:val="18"/>
                <w:szCs w:val="18"/>
              </w:rPr>
              <w:t>年</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w:t>
            </w:r>
            <w:r>
              <w:rPr>
                <w:rFonts w:ascii="Arial" w:eastAsia="黑体" w:hAnsi="Arial" w:cs="Arial"/>
                <w:sz w:val="18"/>
                <w:szCs w:val="18"/>
              </w:rPr>
              <w:t>至</w:t>
            </w:r>
            <w:r>
              <w:rPr>
                <w:rFonts w:ascii="Arial" w:eastAsia="黑体" w:hAnsi="Arial" w:cs="Arial"/>
                <w:sz w:val="18"/>
                <w:szCs w:val="18"/>
              </w:rPr>
              <w:t>5</w:t>
            </w:r>
            <w:r>
              <w:rPr>
                <w:rFonts w:ascii="Arial" w:eastAsia="黑体" w:hAnsi="Arial" w:cs="Arial"/>
                <w:sz w:val="18"/>
                <w:szCs w:val="18"/>
              </w:rPr>
              <w:t>年</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w:t>
            </w:r>
            <w:r>
              <w:rPr>
                <w:rFonts w:ascii="Arial" w:eastAsia="黑体" w:hAnsi="Arial" w:cs="Arial"/>
                <w:sz w:val="18"/>
                <w:szCs w:val="18"/>
              </w:rPr>
              <w:t>年以上</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已逾期</w:t>
            </w:r>
            <w:r>
              <w:rPr>
                <w:rFonts w:ascii="Arial" w:eastAsia="黑体" w:hAnsi="Arial" w:cs="Arial"/>
                <w:sz w:val="18"/>
                <w:szCs w:val="18"/>
              </w:rPr>
              <w:t>/</w:t>
            </w:r>
            <w:r>
              <w:rPr>
                <w:rFonts w:ascii="Arial" w:eastAsia="黑体" w:hAnsi="Arial" w:cs="Arial"/>
                <w:sz w:val="18"/>
                <w:szCs w:val="18"/>
              </w:rPr>
              <w:t>不计息</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合计</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1" w:hangingChars="100" w:hanging="181"/>
              <w:rPr>
                <w:rFonts w:ascii="Arial" w:eastAsia="黑体" w:hAnsi="Arial" w:cs="Arial"/>
                <w:b/>
                <w:bCs/>
                <w:sz w:val="18"/>
                <w:szCs w:val="18"/>
              </w:rPr>
            </w:pPr>
            <w:r>
              <w:rPr>
                <w:rFonts w:ascii="Arial" w:eastAsia="黑体" w:hAnsi="Arial" w:cs="Arial"/>
                <w:b/>
                <w:bCs/>
                <w:sz w:val="18"/>
                <w:szCs w:val="18"/>
              </w:rPr>
              <w:t>资产项目</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现金及存放中央银行款项</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28,970,385,438.66</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838,072,512.62</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29,808,457,951.28</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存放同业款项及其他金融机构款项和拆出资金</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8,170,291,515.87</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14,365,803,323.95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1,441,102,403.62</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23,977,197,243.44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买入返售金融资产</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16,079,751,316.94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16,079,751,316.94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发放贷款及垫款</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81,451,900,702.08</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73,317,085,616.68</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37,624,570,114.04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517,230,835.15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1,244,310,273.29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194,155,097,541.24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交易性金融资产</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5,558,495.74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561,221,822.99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1,180,570,090.05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587,952,560.00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13,414,429,477.36</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15,749,732,446.14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债权投资</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606,802,417.13</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8,215,634,311.43</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14,656,670,465.69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21,515,603,769.98</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49,452,168.96</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45,044,163,133.19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其他债权投资</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677,978,706.70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3,822,035,952.31</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32,082,263,524.82</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2,717,067,969.99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39,299,346,153.82</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其他权益工具投资</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77,287,780.74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77,287,780.74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其他资产</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594,351,378.79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594,351,378.79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非衍生金融资产总额</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135,962,668,593.12</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100,281,781,027.36</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86,985,176,598.22</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25,337,855,135.12</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16,217,903,591.76</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364,785,384,945.58</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bl>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sectPr w:rsidR="00AD5BB5">
          <w:pgSz w:w="16840" w:h="11907" w:orient="landscape"/>
          <w:pgMar w:top="1797" w:right="1440" w:bottom="1797" w:left="1440" w:header="720" w:footer="720" w:gutter="0"/>
          <w:cols w:space="720"/>
          <w:titlePg/>
          <w:docGrid w:linePitch="360"/>
        </w:sectPr>
      </w:pPr>
    </w:p>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397" w:name="afsaddin_WithXu_f070920f5c5743ae86449a87"/>
      <w:r>
        <w:rPr>
          <w:rFonts w:ascii="Arial" w:eastAsia="黑体" w:hAnsi="Arial" w:cs="Arial"/>
          <w:b/>
          <w:snapToGrid w:val="0"/>
          <w:szCs w:val="21"/>
        </w:rPr>
        <w:t>八、</w:t>
      </w:r>
      <w:r>
        <w:rPr>
          <w:rFonts w:ascii="Arial" w:eastAsia="黑体" w:hAnsi="Arial" w:cs="Arial"/>
          <w:b/>
          <w:snapToGrid w:val="0"/>
          <w:szCs w:val="21"/>
        </w:rPr>
        <w:tab/>
      </w:r>
      <w:r>
        <w:rPr>
          <w:rFonts w:ascii="Arial" w:eastAsia="黑体" w:hAnsi="Arial" w:cs="Arial"/>
          <w:b/>
          <w:snapToGrid w:val="0"/>
          <w:szCs w:val="21"/>
        </w:rPr>
        <w:t>金融工具及其风险分析（续）</w:t>
      </w:r>
      <w:bookmarkEnd w:id="397"/>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398" w:name="afsaddin_WithXu_ec96956a8fad4b228fada995"/>
      <w:r>
        <w:rPr>
          <w:rFonts w:ascii="Arial" w:eastAsia="黑体" w:hAnsi="Arial" w:cs="Arial"/>
          <w:b/>
          <w:snapToGrid w:val="0"/>
          <w:szCs w:val="21"/>
        </w:rPr>
        <w:t>3.</w:t>
      </w:r>
      <w:r>
        <w:rPr>
          <w:rFonts w:ascii="Arial" w:eastAsia="黑体" w:hAnsi="Arial" w:cs="Arial"/>
          <w:b/>
          <w:snapToGrid w:val="0"/>
          <w:szCs w:val="21"/>
        </w:rPr>
        <w:tab/>
      </w:r>
      <w:r>
        <w:rPr>
          <w:rFonts w:ascii="Arial" w:eastAsia="黑体" w:hAnsi="Arial" w:cs="Arial"/>
          <w:b/>
          <w:snapToGrid w:val="0"/>
          <w:szCs w:val="21"/>
        </w:rPr>
        <w:t>市场风险（续）</w:t>
      </w:r>
      <w:bookmarkEnd w:id="398"/>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399" w:name="afsaddin_WithXu_96b00915e64d47bf900ec95c"/>
      <w:r>
        <w:rPr>
          <w:rFonts w:ascii="Arial" w:eastAsia="黑体" w:hAnsi="Arial" w:cs="Arial"/>
          <w:b/>
          <w:snapToGrid w:val="0"/>
          <w:szCs w:val="21"/>
        </w:rPr>
        <w:t>3.1</w:t>
      </w:r>
      <w:r>
        <w:rPr>
          <w:rFonts w:ascii="Arial" w:eastAsia="黑体" w:hAnsi="Arial" w:cs="Arial"/>
          <w:b/>
          <w:snapToGrid w:val="0"/>
          <w:szCs w:val="21"/>
        </w:rPr>
        <w:tab/>
      </w:r>
      <w:r>
        <w:rPr>
          <w:rFonts w:ascii="Arial" w:eastAsia="黑体" w:hAnsi="Arial" w:cs="Arial"/>
          <w:b/>
          <w:snapToGrid w:val="0"/>
          <w:szCs w:val="21"/>
        </w:rPr>
        <w:t>利率风险（续）</w:t>
      </w:r>
      <w:bookmarkEnd w:id="399"/>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27617dbc-476b-4347-accf-6342cd697cee"/>
        <w:tblDescription w:val="{&quot;UUID&quot;:&quot;afsaddin_tabledata_2_56437_27617dbc-476b-4347-accf-6342cd697cee&quot;,&quot;TitleRowCount&quot;:2,&quot;SplitedTable&quot;:false,&quot;FirstTableId&quot;:&quot;27617dbc-476b-4347-accf-6342cd697cee&quot;}"/>
      </w:tblPr>
      <w:tblGrid>
        <w:gridCol w:w="2543"/>
        <w:gridCol w:w="113"/>
        <w:gridCol w:w="1695"/>
        <w:gridCol w:w="113"/>
        <w:gridCol w:w="113"/>
        <w:gridCol w:w="1695"/>
        <w:gridCol w:w="113"/>
        <w:gridCol w:w="113"/>
        <w:gridCol w:w="1695"/>
        <w:gridCol w:w="113"/>
        <w:gridCol w:w="113"/>
        <w:gridCol w:w="1695"/>
        <w:gridCol w:w="113"/>
        <w:gridCol w:w="113"/>
        <w:gridCol w:w="1695"/>
        <w:gridCol w:w="113"/>
        <w:gridCol w:w="113"/>
        <w:gridCol w:w="1695"/>
        <w:gridCol w:w="113"/>
      </w:tblGrid>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bookmarkStart w:id="400" w:name="afsaddin_WithXu_3e0d055898e54bad86d65d57"/>
            <w:bookmarkStart w:id="401" w:name="afsaddin_WithXu_3dfbdafda493446f980c6412"/>
            <w:bookmarkStart w:id="402" w:name="afsaddin_WithXu_3174838ccebf44479cdd33e3"/>
            <w:bookmarkEnd w:id="400"/>
            <w:bookmarkEnd w:id="401"/>
            <w:bookmarkEnd w:id="402"/>
            <w:r>
              <w:rPr>
                <w:rFonts w:ascii="Arial" w:eastAsia="黑体" w:hAnsi="Arial" w:cs="Arial"/>
                <w:sz w:val="18"/>
                <w:szCs w:val="18"/>
              </w:rPr>
              <w:t>2022</w:t>
            </w:r>
            <w:r>
              <w:rPr>
                <w:rFonts w:ascii="Arial" w:eastAsia="黑体" w:hAnsi="Arial" w:cs="Arial"/>
                <w:sz w:val="18"/>
                <w:szCs w:val="18"/>
              </w:rPr>
              <w:t>年</w:t>
            </w:r>
            <w:r>
              <w:rPr>
                <w:rFonts w:ascii="Arial" w:eastAsia="黑体" w:hAnsi="Arial" w:cs="Arial"/>
                <w:sz w:val="18"/>
                <w:szCs w:val="18"/>
              </w:rPr>
              <w:t>12</w:t>
            </w:r>
            <w:r>
              <w:rPr>
                <w:rFonts w:ascii="Arial" w:eastAsia="黑体" w:hAnsi="Arial" w:cs="Arial"/>
                <w:sz w:val="18"/>
                <w:szCs w:val="18"/>
              </w:rPr>
              <w:t>月</w:t>
            </w:r>
            <w:r>
              <w:rPr>
                <w:rFonts w:ascii="Arial" w:eastAsia="黑体" w:hAnsi="Arial" w:cs="Arial"/>
                <w:sz w:val="18"/>
                <w:szCs w:val="18"/>
              </w:rPr>
              <w:t>31</w:t>
            </w:r>
            <w:r>
              <w:rPr>
                <w:rFonts w:ascii="Arial" w:eastAsia="黑体" w:hAnsi="Arial" w:cs="Arial"/>
                <w:sz w:val="18"/>
                <w:szCs w:val="18"/>
              </w:rPr>
              <w:t>日</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w:t>
            </w:r>
            <w:r>
              <w:rPr>
                <w:rFonts w:ascii="Arial" w:eastAsia="黑体" w:hAnsi="Arial" w:cs="Arial"/>
                <w:sz w:val="18"/>
                <w:szCs w:val="18"/>
              </w:rPr>
              <w:t>个月内</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w:t>
            </w:r>
            <w:r>
              <w:rPr>
                <w:rFonts w:ascii="Arial" w:eastAsia="黑体" w:hAnsi="Arial" w:cs="Arial"/>
                <w:sz w:val="18"/>
                <w:szCs w:val="18"/>
              </w:rPr>
              <w:t>个月至</w:t>
            </w:r>
            <w:r>
              <w:rPr>
                <w:rFonts w:ascii="Arial" w:eastAsia="黑体" w:hAnsi="Arial" w:cs="Arial"/>
                <w:sz w:val="18"/>
                <w:szCs w:val="18"/>
              </w:rPr>
              <w:t>1</w:t>
            </w:r>
            <w:r>
              <w:rPr>
                <w:rFonts w:ascii="Arial" w:eastAsia="黑体" w:hAnsi="Arial" w:cs="Arial"/>
                <w:sz w:val="18"/>
                <w:szCs w:val="18"/>
              </w:rPr>
              <w:t>年</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w:t>
            </w:r>
            <w:r>
              <w:rPr>
                <w:rFonts w:ascii="Arial" w:eastAsia="黑体" w:hAnsi="Arial" w:cs="Arial"/>
                <w:sz w:val="18"/>
                <w:szCs w:val="18"/>
              </w:rPr>
              <w:t>至</w:t>
            </w:r>
            <w:r>
              <w:rPr>
                <w:rFonts w:ascii="Arial" w:eastAsia="黑体" w:hAnsi="Arial" w:cs="Arial"/>
                <w:sz w:val="18"/>
                <w:szCs w:val="18"/>
              </w:rPr>
              <w:t>5</w:t>
            </w:r>
            <w:r>
              <w:rPr>
                <w:rFonts w:ascii="Arial" w:eastAsia="黑体" w:hAnsi="Arial" w:cs="Arial"/>
                <w:sz w:val="18"/>
                <w:szCs w:val="18"/>
              </w:rPr>
              <w:t>年</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w:t>
            </w:r>
            <w:r>
              <w:rPr>
                <w:rFonts w:ascii="Arial" w:eastAsia="黑体" w:hAnsi="Arial" w:cs="Arial"/>
                <w:sz w:val="18"/>
                <w:szCs w:val="18"/>
              </w:rPr>
              <w:t>年以上</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已逾期</w:t>
            </w:r>
            <w:r>
              <w:rPr>
                <w:rFonts w:ascii="Arial" w:eastAsia="黑体" w:hAnsi="Arial" w:cs="Arial"/>
                <w:sz w:val="18"/>
                <w:szCs w:val="18"/>
              </w:rPr>
              <w:t>/</w:t>
            </w:r>
            <w:r>
              <w:rPr>
                <w:rFonts w:ascii="Arial" w:eastAsia="黑体" w:hAnsi="Arial" w:cs="Arial"/>
                <w:sz w:val="18"/>
                <w:szCs w:val="18"/>
              </w:rPr>
              <w:t>不计息</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合计</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1" w:hangingChars="100" w:hanging="181"/>
              <w:rPr>
                <w:rFonts w:ascii="Arial" w:eastAsia="黑体" w:hAnsi="Arial" w:cs="Arial"/>
                <w:b/>
                <w:bCs/>
                <w:sz w:val="18"/>
                <w:szCs w:val="18"/>
              </w:rPr>
            </w:pPr>
            <w:r>
              <w:rPr>
                <w:rFonts w:ascii="Arial" w:eastAsia="黑体" w:hAnsi="Arial" w:cs="Arial"/>
                <w:b/>
                <w:bCs/>
                <w:sz w:val="18"/>
                <w:szCs w:val="18"/>
              </w:rPr>
              <w:t>负债项目</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向中央银行借款</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629,393,222.22</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8,306,306,777.79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8,935,700,000.01</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同业及其他金融机构存放款项</w:t>
            </w:r>
          </w:p>
          <w:p w:rsidR="00AD5BB5" w:rsidRDefault="00F87FF6">
            <w:pPr>
              <w:autoSpaceDE w:val="0"/>
              <w:autoSpaceDN w:val="0"/>
              <w:ind w:leftChars="76" w:left="340" w:hangingChars="100" w:hanging="180"/>
              <w:rPr>
                <w:rFonts w:ascii="Arial" w:eastAsia="黑体" w:hAnsi="Arial" w:cs="Arial"/>
                <w:sz w:val="18"/>
                <w:szCs w:val="18"/>
              </w:rPr>
            </w:pPr>
            <w:r>
              <w:rPr>
                <w:rFonts w:ascii="Arial" w:eastAsia="黑体" w:hAnsi="Arial" w:cs="Arial"/>
                <w:sz w:val="18"/>
                <w:szCs w:val="18"/>
              </w:rPr>
              <w:t>和拆入资金</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13,158,408,738.10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10,894,912,831.42</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11,654,668,953.47</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35,707,990,522.99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交易性金融负债</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2,849,303.95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2,849,303.95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吸收存款</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107,014,756,049.45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57,564,043,462.90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41,890,594,993.91</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500,879,637.87</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44,589,727.33</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207,014,863,871.46</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卖出回购金融资产款</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19,851,821,327.97</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19,851,821,327.97</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应付债券</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15,871,190,753.55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41,520,862,308.87</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12,047,068,812.63</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69,439,121,875.05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其他负债</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93,964,363.61</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454,392,016.54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305,892,249.14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95,466,912.68</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934,942,962.05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1,884,658,504.02</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非衍生金融负债总额</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156,619,534,454.90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118,740,517,397.52</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65,898,225,009.15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596,346,550.55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982,381,993.33</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342,837,005,405.45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543"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利率风险缺口</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(20,656,865,861.78</w:t>
            </w:r>
          </w:p>
        </w:tc>
        <w:tc>
          <w:tcPr>
            <w:tcW w:w="113"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(18,458,736,370.16</w:t>
            </w:r>
          </w:p>
        </w:tc>
        <w:tc>
          <w:tcPr>
            <w:tcW w:w="113"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21,086,951,589.07</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24,741,508,584.57</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15,235,521,598.43</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21,948,379,540.13</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bl>
    <w:p w:rsidR="00AD5BB5" w:rsidRDefault="00AD5BB5">
      <w:pPr>
        <w:overflowPunct w:val="0"/>
        <w:autoSpaceDE w:val="0"/>
        <w:autoSpaceDN w:val="0"/>
        <w:rPr>
          <w:rFonts w:ascii="Arial" w:hAnsi="Arial" w:cs="Arial"/>
        </w:rPr>
      </w:pPr>
    </w:p>
    <w:p w:rsidR="00AD5BB5" w:rsidRDefault="00AD5BB5">
      <w:pPr>
        <w:overflowPunct w:val="0"/>
        <w:autoSpaceDE w:val="0"/>
        <w:autoSpaceDN w:val="0"/>
        <w:rPr>
          <w:rFonts w:ascii="Arial" w:eastAsia="黑体" w:hAnsi="Arial" w:cs="Arial"/>
          <w:snapToGrid w:val="0"/>
          <w:szCs w:val="21"/>
        </w:rPr>
        <w:sectPr w:rsidR="00AD5BB5">
          <w:pgSz w:w="16840" w:h="11907" w:orient="landscape"/>
          <w:pgMar w:top="1797" w:right="1440" w:bottom="1797" w:left="1440" w:header="720" w:footer="720" w:gutter="0"/>
          <w:cols w:space="720"/>
          <w:titlePg/>
          <w:docGrid w:linePitch="360"/>
        </w:sectPr>
      </w:pPr>
    </w:p>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403" w:name="afsaddin_WithXu_a76b68cb587242babab72cd6"/>
      <w:r>
        <w:rPr>
          <w:rFonts w:ascii="Arial" w:eastAsia="黑体" w:hAnsi="Arial" w:cs="Arial"/>
          <w:b/>
          <w:snapToGrid w:val="0"/>
          <w:szCs w:val="21"/>
        </w:rPr>
        <w:t>八、</w:t>
      </w:r>
      <w:r>
        <w:rPr>
          <w:rFonts w:ascii="Arial" w:eastAsia="黑体" w:hAnsi="Arial" w:cs="Arial"/>
          <w:b/>
          <w:snapToGrid w:val="0"/>
          <w:szCs w:val="21"/>
        </w:rPr>
        <w:tab/>
      </w:r>
      <w:r>
        <w:rPr>
          <w:rFonts w:ascii="Arial" w:eastAsia="黑体" w:hAnsi="Arial" w:cs="Arial"/>
          <w:b/>
          <w:snapToGrid w:val="0"/>
          <w:szCs w:val="21"/>
        </w:rPr>
        <w:t>金融工具及其风险分析（续）</w:t>
      </w:r>
      <w:bookmarkEnd w:id="403"/>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404" w:name="afsaddin_WithXu_4b3ae5128f844dce9295c411"/>
      <w:r>
        <w:rPr>
          <w:rFonts w:ascii="Arial" w:eastAsia="黑体" w:hAnsi="Arial" w:cs="Arial"/>
          <w:b/>
          <w:snapToGrid w:val="0"/>
          <w:szCs w:val="21"/>
        </w:rPr>
        <w:t>3.</w:t>
      </w:r>
      <w:r>
        <w:rPr>
          <w:rFonts w:ascii="Arial" w:eastAsia="黑体" w:hAnsi="Arial" w:cs="Arial"/>
          <w:b/>
          <w:snapToGrid w:val="0"/>
          <w:szCs w:val="21"/>
        </w:rPr>
        <w:tab/>
      </w:r>
      <w:r>
        <w:rPr>
          <w:rFonts w:ascii="Arial" w:eastAsia="黑体" w:hAnsi="Arial" w:cs="Arial"/>
          <w:b/>
          <w:snapToGrid w:val="0"/>
          <w:szCs w:val="21"/>
        </w:rPr>
        <w:t>市场风险（续）</w:t>
      </w:r>
      <w:bookmarkEnd w:id="404"/>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405" w:name="afsaddin_WithXu_e2cf5d13633b4ace98d851f2"/>
      <w:r>
        <w:rPr>
          <w:rFonts w:ascii="Arial" w:eastAsia="黑体" w:hAnsi="Arial" w:cs="Arial"/>
          <w:b/>
          <w:snapToGrid w:val="0"/>
          <w:szCs w:val="21"/>
        </w:rPr>
        <w:t>3.1</w:t>
      </w:r>
      <w:r>
        <w:rPr>
          <w:rFonts w:ascii="Arial" w:eastAsia="黑体" w:hAnsi="Arial" w:cs="Arial"/>
          <w:b/>
          <w:snapToGrid w:val="0"/>
          <w:szCs w:val="21"/>
        </w:rPr>
        <w:tab/>
      </w:r>
      <w:r>
        <w:rPr>
          <w:rFonts w:ascii="Arial" w:eastAsia="黑体" w:hAnsi="Arial" w:cs="Arial"/>
          <w:b/>
          <w:snapToGrid w:val="0"/>
          <w:szCs w:val="21"/>
        </w:rPr>
        <w:t>利率风险（续）</w:t>
      </w:r>
      <w:bookmarkEnd w:id="405"/>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bookmarkStart w:id="406" w:name="afsaddin_WithXu_fe85faebca0945ca8b8f2837"/>
      <w:bookmarkStart w:id="407" w:name="afsaddin_WithXu_19ce4f5628c646cc818c0252"/>
      <w:bookmarkStart w:id="408" w:name="afsaddin_WithXu_1de1fc5d56f5459399c07b07"/>
      <w:bookmarkEnd w:id="406"/>
      <w:bookmarkEnd w:id="407"/>
      <w:bookmarkEnd w:id="408"/>
      <w:r>
        <w:rPr>
          <w:rFonts w:ascii="Arial" w:eastAsia="黑体" w:hAnsi="Arial" w:cs="Arial"/>
          <w:snapToGrid w:val="0"/>
          <w:szCs w:val="21"/>
        </w:rPr>
        <w:t>敏感性分析是交易性业务市场风险的主要风险计量和控制工具，主要通过</w:t>
      </w:r>
      <w:proofErr w:type="gramStart"/>
      <w:r>
        <w:rPr>
          <w:rFonts w:ascii="Arial" w:eastAsia="黑体" w:hAnsi="Arial" w:cs="Arial"/>
          <w:snapToGrid w:val="0"/>
          <w:szCs w:val="21"/>
        </w:rPr>
        <w:t>久期分析</w:t>
      </w:r>
      <w:proofErr w:type="gramEnd"/>
      <w:r>
        <w:rPr>
          <w:rFonts w:ascii="Arial" w:eastAsia="黑体" w:hAnsi="Arial" w:cs="Arial"/>
          <w:snapToGrid w:val="0"/>
          <w:szCs w:val="21"/>
        </w:rPr>
        <w:t>评估固定收益金融工具市场价格预期变动对本行权益的潜在影响。缺口分析是本行</w:t>
      </w:r>
      <w:proofErr w:type="gramStart"/>
      <w:r>
        <w:rPr>
          <w:rFonts w:ascii="Arial" w:eastAsia="黑体" w:hAnsi="Arial" w:cs="Arial"/>
          <w:snapToGrid w:val="0"/>
          <w:szCs w:val="21"/>
        </w:rPr>
        <w:t>监控非交易</w:t>
      </w:r>
      <w:proofErr w:type="gramEnd"/>
      <w:r>
        <w:rPr>
          <w:rFonts w:ascii="Arial" w:eastAsia="黑体" w:hAnsi="Arial" w:cs="Arial"/>
          <w:snapToGrid w:val="0"/>
          <w:szCs w:val="21"/>
        </w:rPr>
        <w:t>性业务市场风险的主要手段。</w:t>
      </w: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proofErr w:type="gramStart"/>
      <w:r>
        <w:rPr>
          <w:rFonts w:ascii="Arial" w:eastAsia="黑体" w:hAnsi="Arial" w:cs="Arial"/>
          <w:snapToGrid w:val="0"/>
          <w:szCs w:val="21"/>
        </w:rPr>
        <w:t>久期分析</w:t>
      </w:r>
      <w:proofErr w:type="gramEnd"/>
      <w:r>
        <w:rPr>
          <w:rFonts w:ascii="Arial" w:eastAsia="黑体" w:hAnsi="Arial" w:cs="Arial"/>
          <w:snapToGrid w:val="0"/>
          <w:szCs w:val="21"/>
        </w:rPr>
        <w:t>，也称为持续</w:t>
      </w:r>
      <w:proofErr w:type="gramStart"/>
      <w:r>
        <w:rPr>
          <w:rFonts w:ascii="Arial" w:eastAsia="黑体" w:hAnsi="Arial" w:cs="Arial"/>
          <w:snapToGrid w:val="0"/>
          <w:szCs w:val="21"/>
        </w:rPr>
        <w:t>期分析</w:t>
      </w:r>
      <w:proofErr w:type="gramEnd"/>
      <w:r>
        <w:rPr>
          <w:rFonts w:ascii="Arial" w:eastAsia="黑体" w:hAnsi="Arial" w:cs="Arial"/>
          <w:snapToGrid w:val="0"/>
          <w:szCs w:val="21"/>
        </w:rPr>
        <w:t>或期限弹性分析，是衡量利率变动对银行经济价值影响的一种方法，也是对利率变动进行敏感性分析的方法之一。</w:t>
      </w: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缺口分析是一种通过计算未来某些特定区间内资产和负债的差异，来预测未来现金流情况的分析方法。</w:t>
      </w: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本集团对利率风险的衡量与控制主要采用敏感性分析。对于以交易性债券投资和其他债权投资债券为主要内容的债券投资组合，本集团主要通过</w:t>
      </w:r>
      <w:proofErr w:type="gramStart"/>
      <w:r>
        <w:rPr>
          <w:rFonts w:ascii="Arial" w:eastAsia="黑体" w:hAnsi="Arial" w:cs="Arial"/>
          <w:snapToGrid w:val="0"/>
          <w:szCs w:val="21"/>
        </w:rPr>
        <w:t>久期分析</w:t>
      </w:r>
      <w:proofErr w:type="gramEnd"/>
      <w:r>
        <w:rPr>
          <w:rFonts w:ascii="Arial" w:eastAsia="黑体" w:hAnsi="Arial" w:cs="Arial"/>
          <w:snapToGrid w:val="0"/>
          <w:szCs w:val="21"/>
        </w:rPr>
        <w:t>评估该类金融工具市场价格预期变动对本集团权益的潜在影响；与此同时，对于以发放贷款及垫款以及吸收存款等为主要内容的</w:t>
      </w:r>
      <w:proofErr w:type="gramStart"/>
      <w:r>
        <w:rPr>
          <w:rFonts w:ascii="Arial" w:eastAsia="黑体" w:hAnsi="Arial" w:cs="Arial"/>
          <w:snapToGrid w:val="0"/>
          <w:szCs w:val="21"/>
        </w:rPr>
        <w:t>非交易</w:t>
      </w:r>
      <w:proofErr w:type="gramEnd"/>
      <w:r>
        <w:rPr>
          <w:rFonts w:ascii="Arial" w:eastAsia="黑体" w:hAnsi="Arial" w:cs="Arial"/>
          <w:snapToGrid w:val="0"/>
          <w:szCs w:val="21"/>
        </w:rPr>
        <w:t>性债券投资和其他债权投资债券的金融工具，本集团主要采用缺口分析以衡量与控制该类金融工具的利率风险。</w:t>
      </w: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本集团采用的敏感性分析方法的描述性信息和数量信息列示如下：</w:t>
      </w:r>
    </w:p>
    <w:p w:rsidR="00AD5BB5" w:rsidRDefault="00AD5BB5">
      <w:pPr>
        <w:overflowPunct w:val="0"/>
        <w:autoSpaceDE w:val="0"/>
        <w:autoSpaceDN w:val="0"/>
        <w:rPr>
          <w:rFonts w:ascii="Arial" w:eastAsia="黑体" w:hAnsi="Arial" w:cs="Arial"/>
          <w:snapToGrid w:val="0"/>
          <w:szCs w:val="21"/>
        </w:rPr>
      </w:pPr>
    </w:p>
    <w:p w:rsidR="00AD5BB5" w:rsidRDefault="00F87FF6">
      <w:pPr>
        <w:pStyle w:val="aff2"/>
        <w:numPr>
          <w:ilvl w:val="0"/>
          <w:numId w:val="39"/>
        </w:numPr>
        <w:overflowPunct w:val="0"/>
        <w:autoSpaceDE w:val="0"/>
        <w:autoSpaceDN w:val="0"/>
        <w:ind w:left="-119" w:firstLineChars="50" w:firstLine="105"/>
        <w:jc w:val="left"/>
        <w:outlineLvl w:val="4"/>
        <w:rPr>
          <w:rFonts w:ascii="Arial" w:eastAsia="黑体" w:hAnsi="Arial" w:cs="Arial"/>
          <w:snapToGrid w:val="0"/>
          <w:szCs w:val="21"/>
        </w:rPr>
      </w:pPr>
      <w:bookmarkStart w:id="409" w:name="afsaddin_Section_77f8c5bbef2d4604bcd5b2a"/>
      <w:proofErr w:type="gramStart"/>
      <w:r>
        <w:rPr>
          <w:rFonts w:ascii="Arial" w:eastAsia="黑体" w:hAnsi="Arial" w:cs="Arial"/>
          <w:snapToGrid w:val="0"/>
          <w:szCs w:val="21"/>
        </w:rPr>
        <w:t>久期分析</w:t>
      </w:r>
      <w:proofErr w:type="gramEnd"/>
      <w:r>
        <w:rPr>
          <w:rFonts w:ascii="Arial" w:eastAsia="黑体" w:hAnsi="Arial" w:cs="Arial"/>
          <w:snapToGrid w:val="0"/>
          <w:szCs w:val="21"/>
        </w:rPr>
        <w:t>方法</w:t>
      </w:r>
    </w:p>
    <w:bookmarkEnd w:id="409"/>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下表列示截至资产负债表日，按当时交易性债券进行</w:t>
      </w:r>
      <w:proofErr w:type="gramStart"/>
      <w:r>
        <w:rPr>
          <w:rFonts w:ascii="Arial" w:eastAsia="黑体" w:hAnsi="Arial" w:cs="Arial"/>
          <w:snapToGrid w:val="0"/>
          <w:szCs w:val="21"/>
        </w:rPr>
        <w:t>久期分析</w:t>
      </w:r>
      <w:proofErr w:type="gramEnd"/>
      <w:r>
        <w:rPr>
          <w:rFonts w:ascii="Arial" w:eastAsia="黑体" w:hAnsi="Arial" w:cs="Arial"/>
          <w:snapToGrid w:val="0"/>
          <w:szCs w:val="21"/>
        </w:rPr>
        <w:t>所得结果：</w:t>
      </w:r>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b2b538e5-c388-45f2-887b-8c8dcc1d1ff4"/>
        <w:tblDescription w:val="{&quot;UUID&quot;:&quot;afsaddin_tabledata_2_56437_b2b538e5-c388-45f2-887b-8c8dcc1d1ff4&quot;,&quot;TitleRowCount&quot;:2,&quot;SplitedTable&quot;:false,&quot;FirstTableId&quot;:&quot;b2b538e5-c388-45f2-887b-8c8dcc1d1ff4&quot;}"/>
      </w:tblPr>
      <w:tblGrid>
        <w:gridCol w:w="3878"/>
        <w:gridCol w:w="112"/>
        <w:gridCol w:w="1987"/>
        <w:gridCol w:w="112"/>
        <w:gridCol w:w="112"/>
        <w:gridCol w:w="1984"/>
        <w:gridCol w:w="112"/>
      </w:tblGrid>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当期资产负债表日</w:instrText>
            </w:r>
            <w:r>
              <w:rPr>
                <w:rFonts w:ascii="Arial" w:eastAsia="黑体" w:hAnsi="Arial" w:cs="Arial"/>
                <w:szCs w:val="21"/>
              </w:rPr>
              <w:instrText xml:space="preserve"> </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t>年</w:t>
            </w:r>
            <w:r>
              <w:rPr>
                <w:rFonts w:ascii="Arial" w:eastAsia="黑体" w:hAnsi="Arial" w:cs="Arial"/>
                <w:szCs w:val="21"/>
              </w:rPr>
              <w:t>6</w:t>
            </w:r>
            <w:r>
              <w:rPr>
                <w:rFonts w:ascii="Arial" w:eastAsia="黑体" w:hAnsi="Arial" w:cs="Arial"/>
                <w:szCs w:val="21"/>
              </w:rPr>
              <w:t>月</w:t>
            </w:r>
            <w:r>
              <w:rPr>
                <w:rFonts w:ascii="Arial" w:eastAsia="黑体" w:hAnsi="Arial" w:cs="Arial"/>
                <w:szCs w:val="21"/>
              </w:rPr>
              <w:t>30</w:t>
            </w:r>
            <w:r>
              <w:rPr>
                <w:rFonts w:ascii="Arial" w:eastAsia="黑体" w:hAnsi="Arial" w:cs="Arial"/>
                <w:szCs w:val="21"/>
              </w:rPr>
              <w:t>日</w:t>
            </w:r>
            <w:r>
              <w:rPr>
                <w:rFonts w:ascii="Arial" w:eastAsia="黑体" w:hAnsi="Arial" w:cs="Arial"/>
                <w:szCs w:val="21"/>
              </w:rPr>
              <w:fldChar w:fldCharType="end"/>
            </w: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98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984"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98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984"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利率变更（基点）</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(100.00</w:t>
            </w:r>
          </w:p>
        </w:tc>
        <w:tc>
          <w:tcPr>
            <w:tcW w:w="112"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100.00</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利率风险导致损益变更</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30,369,620.23</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(28,611,387.64</w:t>
            </w:r>
          </w:p>
        </w:tc>
        <w:tc>
          <w:tcPr>
            <w:tcW w:w="112"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r>
    </w:tbl>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b70bdc2a-86e6-4972-a9ac-1eca587033aa"/>
        <w:tblDescription w:val="{&quot;UUID&quot;:&quot;afsaddin_tabledata_2_56437_b70bdc2a-86e6-4972-a9ac-1eca587033aa&quot;,&quot;TitleRowCount&quot;:2,&quot;SplitedTable&quot;:false,&quot;FirstTableId&quot;:&quot;b70bdc2a-86e6-4972-a9ac-1eca587033aa&quot;}"/>
      </w:tblPr>
      <w:tblGrid>
        <w:gridCol w:w="3878"/>
        <w:gridCol w:w="112"/>
        <w:gridCol w:w="1987"/>
        <w:gridCol w:w="112"/>
        <w:gridCol w:w="112"/>
        <w:gridCol w:w="1984"/>
        <w:gridCol w:w="112"/>
      </w:tblGrid>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2022</w:t>
            </w:r>
            <w:r>
              <w:rPr>
                <w:rFonts w:ascii="Arial" w:eastAsia="黑体" w:hAnsi="Arial" w:cs="Arial"/>
                <w:szCs w:val="21"/>
              </w:rPr>
              <w:t>年</w:t>
            </w:r>
            <w:r>
              <w:rPr>
                <w:rFonts w:ascii="Arial" w:eastAsia="黑体" w:hAnsi="Arial" w:cs="Arial"/>
                <w:szCs w:val="21"/>
              </w:rPr>
              <w:t>12</w:t>
            </w:r>
            <w:r>
              <w:rPr>
                <w:rFonts w:ascii="Arial" w:eastAsia="黑体" w:hAnsi="Arial" w:cs="Arial"/>
                <w:szCs w:val="21"/>
              </w:rPr>
              <w:t>月</w:t>
            </w:r>
            <w:r>
              <w:rPr>
                <w:rFonts w:ascii="Arial" w:eastAsia="黑体" w:hAnsi="Arial" w:cs="Arial"/>
                <w:szCs w:val="21"/>
              </w:rPr>
              <w:t>31</w:t>
            </w:r>
            <w:r>
              <w:rPr>
                <w:rFonts w:ascii="Arial" w:eastAsia="黑体" w:hAnsi="Arial" w:cs="Arial"/>
                <w:szCs w:val="21"/>
              </w:rPr>
              <w:t>日</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利率变更（基点）</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(100.00</w:t>
            </w:r>
          </w:p>
        </w:tc>
        <w:tc>
          <w:tcPr>
            <w:tcW w:w="112"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rPr>
              <w:t>)</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100.00</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利率风险导致损益变更</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64,060,641.42</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(61,454,869.97</w:t>
            </w:r>
          </w:p>
        </w:tc>
        <w:tc>
          <w:tcPr>
            <w:tcW w:w="112"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r>
    </w:tbl>
    <w:p w:rsidR="00AD5BB5" w:rsidRDefault="00AD5BB5">
      <w:pPr>
        <w:overflowPunct w:val="0"/>
        <w:autoSpaceDE w:val="0"/>
        <w:autoSpaceDN w:val="0"/>
        <w:adjustRightInd w:val="0"/>
        <w:snapToGrid w:val="0"/>
        <w:ind w:left="720" w:hanging="720"/>
        <w:textAlignment w:val="bottom"/>
        <w:rPr>
          <w:rFonts w:ascii="Arial" w:eastAsia="黑体" w:hAnsi="Arial" w:cs="Arial"/>
          <w:b/>
          <w:bCs/>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下表列示截至资产负债表日，按当时其他债权投资债券进行</w:t>
      </w:r>
      <w:proofErr w:type="gramStart"/>
      <w:r>
        <w:rPr>
          <w:rFonts w:ascii="Arial" w:eastAsia="黑体" w:hAnsi="Arial" w:cs="Arial"/>
          <w:snapToGrid w:val="0"/>
          <w:szCs w:val="21"/>
        </w:rPr>
        <w:t>久期分析</w:t>
      </w:r>
      <w:proofErr w:type="gramEnd"/>
      <w:r>
        <w:rPr>
          <w:rFonts w:ascii="Arial" w:eastAsia="黑体" w:hAnsi="Arial" w:cs="Arial"/>
          <w:snapToGrid w:val="0"/>
          <w:szCs w:val="21"/>
        </w:rPr>
        <w:t>所得结果：</w:t>
      </w:r>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18ed02fc-68da-401a-a63d-61e5e6a6bc20"/>
        <w:tblDescription w:val="{&quot;UUID&quot;:&quot;afsaddin_tabledata_2_56437_18ed02fc-68da-401a-a63d-61e5e6a6bc20&quot;,&quot;TitleRowCount&quot;:2,&quot;SplitedTable&quot;:false,&quot;FirstTableId&quot;:&quot;18ed02fc-68da-401a-a63d-61e5e6a6bc20&quot;}"/>
      </w:tblPr>
      <w:tblGrid>
        <w:gridCol w:w="3878"/>
        <w:gridCol w:w="112"/>
        <w:gridCol w:w="1987"/>
        <w:gridCol w:w="112"/>
        <w:gridCol w:w="112"/>
        <w:gridCol w:w="1984"/>
        <w:gridCol w:w="112"/>
      </w:tblGrid>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当期资产负债表日</w:instrText>
            </w:r>
            <w:r>
              <w:rPr>
                <w:rFonts w:ascii="Arial" w:eastAsia="黑体" w:hAnsi="Arial" w:cs="Arial"/>
                <w:szCs w:val="21"/>
              </w:rPr>
              <w:instrText xml:space="preserve"> </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t>年</w:t>
            </w:r>
            <w:r>
              <w:rPr>
                <w:rFonts w:ascii="Arial" w:eastAsia="黑体" w:hAnsi="Arial" w:cs="Arial"/>
                <w:szCs w:val="21"/>
              </w:rPr>
              <w:t>6</w:t>
            </w:r>
            <w:r>
              <w:rPr>
                <w:rFonts w:ascii="Arial" w:eastAsia="黑体" w:hAnsi="Arial" w:cs="Arial"/>
                <w:szCs w:val="21"/>
              </w:rPr>
              <w:t>月</w:t>
            </w:r>
            <w:r>
              <w:rPr>
                <w:rFonts w:ascii="Arial" w:eastAsia="黑体" w:hAnsi="Arial" w:cs="Arial"/>
                <w:szCs w:val="21"/>
              </w:rPr>
              <w:t>30</w:t>
            </w:r>
            <w:r>
              <w:rPr>
                <w:rFonts w:ascii="Arial" w:eastAsia="黑体" w:hAnsi="Arial" w:cs="Arial"/>
                <w:szCs w:val="21"/>
              </w:rPr>
              <w:t>日</w:t>
            </w:r>
            <w:r>
              <w:rPr>
                <w:rFonts w:ascii="Arial" w:eastAsia="黑体" w:hAnsi="Arial" w:cs="Arial"/>
                <w:szCs w:val="21"/>
              </w:rPr>
              <w:fldChar w:fldCharType="end"/>
            </w: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98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984"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98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984"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利率变更（基点）</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(100.00</w:t>
            </w:r>
          </w:p>
        </w:tc>
        <w:tc>
          <w:tcPr>
            <w:tcW w:w="112"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100.00</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利率风险导致其他综合收益</w:t>
            </w:r>
          </w:p>
          <w:p w:rsidR="00AD5BB5" w:rsidRDefault="00F87FF6">
            <w:pPr>
              <w:autoSpaceDE w:val="0"/>
              <w:autoSpaceDN w:val="0"/>
              <w:ind w:leftChars="93" w:left="405" w:hangingChars="100" w:hanging="210"/>
              <w:rPr>
                <w:rFonts w:ascii="Arial" w:eastAsia="黑体" w:hAnsi="Arial" w:cs="Arial"/>
                <w:szCs w:val="21"/>
              </w:rPr>
            </w:pPr>
            <w:r>
              <w:rPr>
                <w:rFonts w:ascii="Arial" w:eastAsia="黑体" w:hAnsi="Arial" w:cs="Arial"/>
                <w:szCs w:val="21"/>
              </w:rPr>
              <w:t>的税后净额变更</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777,444,924.30</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(738,039,029.49</w:t>
            </w:r>
          </w:p>
        </w:tc>
        <w:tc>
          <w:tcPr>
            <w:tcW w:w="112"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r>
    </w:tbl>
    <w:p w:rsidR="00AD5BB5" w:rsidRDefault="00F87FF6">
      <w:pPr>
        <w:rPr>
          <w:rFonts w:ascii="Arial" w:eastAsia="黑体" w:hAnsi="Arial" w:cs="Arial"/>
          <w:b/>
          <w:bCs/>
          <w:snapToGrid w:val="0"/>
          <w:szCs w:val="21"/>
        </w:rPr>
      </w:pPr>
      <w:r>
        <w:rPr>
          <w:rFonts w:ascii="Arial" w:eastAsia="黑体" w:hAnsi="Arial" w:cs="Arial"/>
          <w:b/>
          <w:bCs/>
          <w:snapToGrid w:val="0"/>
          <w:szCs w:val="21"/>
        </w:rPr>
        <w:br w:type="page"/>
      </w:r>
    </w:p>
    <w:p w:rsidR="00AD5BB5" w:rsidRDefault="00AD5BB5">
      <w:pPr>
        <w:overflowPunct w:val="0"/>
        <w:autoSpaceDE w:val="0"/>
        <w:autoSpaceDN w:val="0"/>
        <w:adjustRightInd w:val="0"/>
        <w:snapToGrid w:val="0"/>
        <w:ind w:left="720" w:hanging="720"/>
        <w:textAlignment w:val="bottom"/>
        <w:rPr>
          <w:rFonts w:ascii="Arial" w:eastAsia="黑体" w:hAnsi="Arial" w:cs="Arial"/>
          <w:b/>
          <w:bCs/>
          <w:snapToGrid w:val="0"/>
          <w:szCs w:val="21"/>
        </w:rPr>
      </w:pPr>
    </w:p>
    <w:p w:rsidR="00AD5BB5" w:rsidRDefault="00AD5BB5">
      <w:pPr>
        <w:overflowPunct w:val="0"/>
        <w:autoSpaceDE w:val="0"/>
        <w:autoSpaceDN w:val="0"/>
        <w:adjustRightInd w:val="0"/>
        <w:snapToGrid w:val="0"/>
        <w:ind w:left="720" w:hanging="720"/>
        <w:textAlignment w:val="bottom"/>
        <w:rPr>
          <w:rFonts w:ascii="Arial" w:eastAsia="黑体" w:hAnsi="Arial" w:cs="Arial"/>
          <w:b/>
          <w:bCs/>
          <w:snapToGrid w:val="0"/>
          <w:szCs w:val="21"/>
        </w:rPr>
      </w:pPr>
    </w:p>
    <w:p w:rsidR="00AD5BB5" w:rsidRDefault="00F87FF6">
      <w:pPr>
        <w:overflowPunct w:val="0"/>
        <w:autoSpaceDE w:val="0"/>
        <w:autoSpaceDN w:val="0"/>
        <w:adjustRightInd w:val="0"/>
        <w:snapToGrid w:val="0"/>
        <w:ind w:left="720" w:hanging="720"/>
        <w:textAlignment w:val="bottom"/>
        <w:rPr>
          <w:rFonts w:ascii="Arial" w:eastAsia="黑体" w:hAnsi="Arial" w:cs="Arial"/>
          <w:b/>
          <w:bCs/>
          <w:snapToGrid w:val="0"/>
          <w:szCs w:val="21"/>
        </w:rPr>
      </w:pPr>
      <w:bookmarkStart w:id="410" w:name="afsaddin_WithXu_d06f5f78d4f64b259ce1a559"/>
      <w:r>
        <w:rPr>
          <w:rFonts w:ascii="Arial" w:eastAsia="黑体" w:hAnsi="Arial" w:cs="Arial"/>
          <w:b/>
          <w:bCs/>
          <w:snapToGrid w:val="0"/>
          <w:szCs w:val="21"/>
        </w:rPr>
        <w:t>八、</w:t>
      </w:r>
      <w:r>
        <w:rPr>
          <w:rFonts w:ascii="Arial" w:eastAsia="黑体" w:hAnsi="Arial" w:cs="Arial"/>
          <w:b/>
          <w:bCs/>
          <w:snapToGrid w:val="0"/>
          <w:szCs w:val="21"/>
        </w:rPr>
        <w:tab/>
      </w:r>
      <w:r>
        <w:rPr>
          <w:rFonts w:ascii="Arial" w:eastAsia="黑体" w:hAnsi="Arial" w:cs="Arial"/>
          <w:b/>
          <w:bCs/>
          <w:snapToGrid w:val="0"/>
          <w:szCs w:val="21"/>
        </w:rPr>
        <w:t>金融工具及其风险分析（续）</w:t>
      </w:r>
      <w:bookmarkEnd w:id="410"/>
    </w:p>
    <w:p w:rsidR="00AD5BB5" w:rsidRDefault="00AD5BB5">
      <w:pPr>
        <w:overflowPunct w:val="0"/>
        <w:autoSpaceDE w:val="0"/>
        <w:autoSpaceDN w:val="0"/>
        <w:adjustRightInd w:val="0"/>
        <w:snapToGrid w:val="0"/>
        <w:ind w:left="720" w:hanging="720"/>
        <w:textAlignment w:val="bottom"/>
        <w:rPr>
          <w:rFonts w:ascii="Arial" w:eastAsia="黑体" w:hAnsi="Arial" w:cs="Arial"/>
          <w:b/>
          <w:bCs/>
          <w:snapToGrid w:val="0"/>
          <w:szCs w:val="21"/>
        </w:rPr>
      </w:pPr>
    </w:p>
    <w:p w:rsidR="00AD5BB5" w:rsidRDefault="00F87FF6">
      <w:pPr>
        <w:overflowPunct w:val="0"/>
        <w:autoSpaceDE w:val="0"/>
        <w:autoSpaceDN w:val="0"/>
        <w:adjustRightInd w:val="0"/>
        <w:snapToGrid w:val="0"/>
        <w:ind w:left="720" w:hanging="720"/>
        <w:textAlignment w:val="bottom"/>
        <w:rPr>
          <w:rFonts w:ascii="Arial" w:eastAsia="黑体" w:hAnsi="Arial" w:cs="Arial"/>
          <w:b/>
          <w:bCs/>
          <w:snapToGrid w:val="0"/>
          <w:szCs w:val="21"/>
        </w:rPr>
      </w:pPr>
      <w:bookmarkStart w:id="411" w:name="afsaddin_WithXu_dc82d35a91484664b27efc6f"/>
      <w:r>
        <w:rPr>
          <w:rFonts w:ascii="Arial" w:eastAsia="黑体" w:hAnsi="Arial" w:cs="Arial"/>
          <w:b/>
          <w:bCs/>
          <w:snapToGrid w:val="0"/>
          <w:szCs w:val="21"/>
        </w:rPr>
        <w:t>3.</w:t>
      </w:r>
      <w:r>
        <w:rPr>
          <w:rFonts w:ascii="Arial" w:eastAsia="黑体" w:hAnsi="Arial" w:cs="Arial"/>
          <w:b/>
          <w:bCs/>
          <w:snapToGrid w:val="0"/>
          <w:szCs w:val="21"/>
        </w:rPr>
        <w:tab/>
      </w:r>
      <w:r>
        <w:rPr>
          <w:rFonts w:ascii="Arial" w:eastAsia="黑体" w:hAnsi="Arial" w:cs="Arial"/>
          <w:b/>
          <w:bCs/>
          <w:snapToGrid w:val="0"/>
          <w:szCs w:val="21"/>
        </w:rPr>
        <w:t>市场风险（续）</w:t>
      </w:r>
      <w:bookmarkEnd w:id="411"/>
    </w:p>
    <w:p w:rsidR="00AD5BB5" w:rsidRDefault="00AD5BB5">
      <w:pPr>
        <w:overflowPunct w:val="0"/>
        <w:autoSpaceDE w:val="0"/>
        <w:autoSpaceDN w:val="0"/>
        <w:adjustRightInd w:val="0"/>
        <w:snapToGrid w:val="0"/>
        <w:ind w:left="720" w:hanging="720"/>
        <w:textAlignment w:val="bottom"/>
        <w:rPr>
          <w:rFonts w:ascii="Arial" w:eastAsia="黑体" w:hAnsi="Arial" w:cs="Arial"/>
          <w:b/>
          <w:bCs/>
          <w:snapToGrid w:val="0"/>
          <w:szCs w:val="21"/>
        </w:rPr>
      </w:pPr>
    </w:p>
    <w:p w:rsidR="00AD5BB5" w:rsidRDefault="00F87FF6">
      <w:pPr>
        <w:overflowPunct w:val="0"/>
        <w:autoSpaceDE w:val="0"/>
        <w:autoSpaceDN w:val="0"/>
        <w:adjustRightInd w:val="0"/>
        <w:snapToGrid w:val="0"/>
        <w:ind w:left="720" w:hanging="720"/>
        <w:textAlignment w:val="bottom"/>
        <w:rPr>
          <w:rFonts w:ascii="Arial" w:eastAsia="黑体" w:hAnsi="Arial" w:cs="Arial"/>
          <w:b/>
          <w:bCs/>
          <w:snapToGrid w:val="0"/>
          <w:szCs w:val="21"/>
        </w:rPr>
      </w:pPr>
      <w:bookmarkStart w:id="412" w:name="afsaddin_WithXu_c84a55d4ad9847b78e990085"/>
      <w:r>
        <w:rPr>
          <w:rFonts w:ascii="Arial" w:eastAsia="黑体" w:hAnsi="Arial" w:cs="Arial"/>
          <w:b/>
          <w:bCs/>
          <w:snapToGrid w:val="0"/>
          <w:szCs w:val="21"/>
        </w:rPr>
        <w:t>3.1</w:t>
      </w:r>
      <w:r>
        <w:rPr>
          <w:rFonts w:ascii="Arial" w:eastAsia="黑体" w:hAnsi="Arial" w:cs="Arial"/>
          <w:b/>
          <w:bCs/>
          <w:snapToGrid w:val="0"/>
          <w:szCs w:val="21"/>
        </w:rPr>
        <w:tab/>
      </w:r>
      <w:r>
        <w:rPr>
          <w:rFonts w:ascii="Arial" w:eastAsia="黑体" w:hAnsi="Arial" w:cs="Arial"/>
          <w:b/>
          <w:bCs/>
          <w:snapToGrid w:val="0"/>
          <w:szCs w:val="21"/>
        </w:rPr>
        <w:t>利率风险（续）</w:t>
      </w:r>
      <w:bookmarkEnd w:id="412"/>
    </w:p>
    <w:p w:rsidR="00AD5BB5" w:rsidRDefault="00AD5BB5">
      <w:pPr>
        <w:overflowPunct w:val="0"/>
        <w:autoSpaceDE w:val="0"/>
        <w:autoSpaceDN w:val="0"/>
        <w:adjustRightInd w:val="0"/>
        <w:snapToGrid w:val="0"/>
        <w:ind w:left="720" w:hanging="720"/>
        <w:textAlignment w:val="bottom"/>
        <w:rPr>
          <w:rFonts w:ascii="Arial" w:eastAsia="黑体" w:hAnsi="Arial" w:cs="Arial"/>
          <w:b/>
          <w:bCs/>
          <w:snapToGrid w:val="0"/>
          <w:szCs w:val="21"/>
        </w:rPr>
      </w:pPr>
    </w:p>
    <w:p w:rsidR="00AD5BB5" w:rsidRDefault="00F87FF6">
      <w:pPr>
        <w:overflowPunct w:val="0"/>
        <w:autoSpaceDE w:val="0"/>
        <w:autoSpaceDN w:val="0"/>
        <w:adjustRightInd w:val="0"/>
        <w:snapToGrid w:val="0"/>
        <w:ind w:left="720" w:hanging="720"/>
        <w:textAlignment w:val="bottom"/>
        <w:rPr>
          <w:rFonts w:ascii="Arial" w:eastAsia="黑体" w:hAnsi="Arial" w:cs="Arial"/>
          <w:bCs/>
          <w:snapToGrid w:val="0"/>
          <w:szCs w:val="21"/>
        </w:rPr>
      </w:pPr>
      <w:bookmarkStart w:id="413" w:name="afsaddin_WithXu_b6d05990d9d643ecb10da8a1"/>
      <w:r>
        <w:rPr>
          <w:rFonts w:ascii="Arial" w:eastAsia="黑体" w:hAnsi="Arial" w:cs="Arial"/>
          <w:bCs/>
          <w:snapToGrid w:val="0"/>
          <w:szCs w:val="21"/>
        </w:rPr>
        <w:t>1)</w:t>
      </w:r>
      <w:r>
        <w:rPr>
          <w:rFonts w:ascii="Arial" w:eastAsia="黑体" w:hAnsi="Arial" w:cs="Arial"/>
          <w:bCs/>
          <w:snapToGrid w:val="0"/>
          <w:szCs w:val="21"/>
        </w:rPr>
        <w:tab/>
      </w:r>
      <w:proofErr w:type="gramStart"/>
      <w:r>
        <w:rPr>
          <w:rFonts w:ascii="Arial" w:eastAsia="黑体" w:hAnsi="Arial" w:cs="Arial"/>
          <w:bCs/>
          <w:snapToGrid w:val="0"/>
          <w:szCs w:val="21"/>
        </w:rPr>
        <w:t>久期分析</w:t>
      </w:r>
      <w:proofErr w:type="gramEnd"/>
      <w:r>
        <w:rPr>
          <w:rFonts w:ascii="Arial" w:eastAsia="黑体" w:hAnsi="Arial" w:cs="Arial"/>
          <w:bCs/>
          <w:snapToGrid w:val="0"/>
          <w:szCs w:val="21"/>
        </w:rPr>
        <w:t>方法（续）</w:t>
      </w:r>
      <w:bookmarkEnd w:id="413"/>
    </w:p>
    <w:p w:rsidR="00AD5BB5" w:rsidRDefault="00AD5BB5">
      <w:pPr>
        <w:overflowPunct w:val="0"/>
        <w:autoSpaceDE w:val="0"/>
        <w:autoSpaceDN w:val="0"/>
        <w:adjustRightInd w:val="0"/>
        <w:snapToGrid w:val="0"/>
        <w:ind w:left="720" w:hanging="720"/>
        <w:textAlignment w:val="bottom"/>
        <w:rPr>
          <w:rFonts w:ascii="Arial" w:eastAsia="黑体" w:hAnsi="Arial" w:cs="Arial"/>
          <w:b/>
          <w:bCs/>
          <w:snapToGrid w:val="0"/>
          <w:szCs w:val="21"/>
        </w:rPr>
      </w:pPr>
    </w:p>
    <w:tbl>
      <w:tblPr>
        <w:tblW w:w="0" w:type="auto"/>
        <w:tblLayout w:type="fixed"/>
        <w:tblCellMar>
          <w:left w:w="0" w:type="dxa"/>
          <w:right w:w="0" w:type="dxa"/>
        </w:tblCellMar>
        <w:tblLook w:val="04A0" w:firstRow="1" w:lastRow="0" w:firstColumn="1" w:lastColumn="0" w:noHBand="0" w:noVBand="1"/>
        <w:tblCaption w:val="c5efa4f0-f1ae-4c2a-80d9-61891069fe33"/>
        <w:tblDescription w:val="{&quot;UUID&quot;:&quot;afsaddin_tabledata_2_56437_c5efa4f0-f1ae-4c2a-80d9-61891069fe33&quot;,&quot;TitleRowCount&quot;:2,&quot;SplitedTable&quot;:false,&quot;FirstTableId&quot;:&quot;c5efa4f0-f1ae-4c2a-80d9-61891069fe33&quot;}"/>
      </w:tblPr>
      <w:tblGrid>
        <w:gridCol w:w="3752"/>
        <w:gridCol w:w="113"/>
        <w:gridCol w:w="113"/>
        <w:gridCol w:w="1971"/>
        <w:gridCol w:w="113"/>
        <w:gridCol w:w="113"/>
        <w:gridCol w:w="1986"/>
        <w:gridCol w:w="113"/>
      </w:tblGrid>
      <w:tr w:rsidR="00AD5BB5">
        <w:tc>
          <w:tcPr>
            <w:tcW w:w="3752" w:type="dxa"/>
            <w:tcBorders>
              <w:top w:val="nil"/>
              <w:left w:val="nil"/>
              <w:bottom w:val="nil"/>
              <w:right w:val="nil"/>
            </w:tcBorders>
            <w:vAlign w:val="bottom"/>
          </w:tcPr>
          <w:bookmarkStart w:id="414" w:name="afsaddin_WithXu_46ad635520d54cfd9589facf"/>
          <w:bookmarkStart w:id="415" w:name="afsaddin_WithXu_c3f36bb714a14491a232b8ab"/>
          <w:bookmarkStart w:id="416" w:name="afsaddin_WithXu_1809dfad5ae446458d977155"/>
          <w:bookmarkStart w:id="417" w:name="afsaddin_WithXu_cd44981c609c4768861cb65e"/>
          <w:bookmarkEnd w:id="414"/>
          <w:bookmarkEnd w:id="415"/>
          <w:bookmarkEnd w:id="416"/>
          <w:bookmarkEnd w:id="417"/>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上期资产负债表日</w:instrText>
            </w:r>
            <w:r>
              <w:rPr>
                <w:rFonts w:ascii="Arial" w:eastAsia="黑体" w:hAnsi="Arial" w:cs="Arial"/>
                <w:szCs w:val="21"/>
              </w:rPr>
              <w:instrText xml:space="preserve"> </w:instrText>
            </w:r>
            <w:r>
              <w:rPr>
                <w:rFonts w:ascii="Arial" w:eastAsia="黑体" w:hAnsi="Arial" w:cs="Arial"/>
                <w:szCs w:val="21"/>
              </w:rPr>
              <w:fldChar w:fldCharType="separate"/>
            </w:r>
            <w:r>
              <w:rPr>
                <w:rFonts w:ascii="Arial" w:eastAsia="黑体" w:hAnsi="Arial" w:cs="Arial"/>
                <w:szCs w:val="21"/>
              </w:rPr>
              <w:t>2022</w:t>
            </w:r>
            <w:r>
              <w:rPr>
                <w:rFonts w:ascii="Arial" w:eastAsia="黑体" w:hAnsi="Arial" w:cs="Arial"/>
                <w:szCs w:val="21"/>
              </w:rPr>
              <w:t>年</w:t>
            </w:r>
            <w:r>
              <w:rPr>
                <w:rFonts w:ascii="Arial" w:eastAsia="黑体" w:hAnsi="Arial" w:cs="Arial"/>
                <w:szCs w:val="21"/>
              </w:rPr>
              <w:t>12</w:t>
            </w:r>
            <w:r>
              <w:rPr>
                <w:rFonts w:ascii="Arial" w:eastAsia="黑体" w:hAnsi="Arial" w:cs="Arial"/>
                <w:szCs w:val="21"/>
              </w:rPr>
              <w:t>月</w:t>
            </w:r>
            <w:r>
              <w:rPr>
                <w:rFonts w:ascii="Arial" w:eastAsia="黑体" w:hAnsi="Arial" w:cs="Arial"/>
                <w:szCs w:val="21"/>
              </w:rPr>
              <w:t>31</w:t>
            </w:r>
            <w:r>
              <w:rPr>
                <w:rFonts w:ascii="Arial" w:eastAsia="黑体" w:hAnsi="Arial" w:cs="Arial"/>
                <w:szCs w:val="21"/>
              </w:rPr>
              <w:t>日</w:t>
            </w:r>
            <w:r>
              <w:rPr>
                <w:rFonts w:ascii="Arial" w:eastAsia="黑体" w:hAnsi="Arial" w:cs="Arial"/>
                <w:szCs w:val="21"/>
              </w:rPr>
              <w:fldChar w:fldCharType="end"/>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971"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986"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r>
      <w:tr w:rsidR="00AD5BB5">
        <w:tc>
          <w:tcPr>
            <w:tcW w:w="3752"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971"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986"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r>
      <w:tr w:rsidR="00AD5BB5">
        <w:tc>
          <w:tcPr>
            <w:tcW w:w="375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利率变更（基点）</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71"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(100.00</w:t>
            </w:r>
          </w:p>
        </w:tc>
        <w:tc>
          <w:tcPr>
            <w:tcW w:w="113"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6"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100.00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752"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利率风险导致其他综合收益</w:t>
            </w:r>
          </w:p>
          <w:p w:rsidR="00AD5BB5" w:rsidRDefault="00F87FF6">
            <w:pPr>
              <w:autoSpaceDE w:val="0"/>
              <w:autoSpaceDN w:val="0"/>
              <w:ind w:leftChars="99" w:left="273" w:hangingChars="31" w:hanging="65"/>
              <w:rPr>
                <w:rFonts w:ascii="Arial" w:eastAsia="黑体" w:hAnsi="Arial" w:cs="Arial"/>
                <w:szCs w:val="21"/>
              </w:rPr>
            </w:pPr>
            <w:r>
              <w:rPr>
                <w:rFonts w:ascii="Arial" w:eastAsia="黑体" w:hAnsi="Arial" w:cs="Arial"/>
                <w:szCs w:val="21"/>
              </w:rPr>
              <w:t>的税后净额变更</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71"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781,418,993.59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6"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(742,445,395.85</w:t>
            </w:r>
          </w:p>
        </w:tc>
        <w:tc>
          <w:tcPr>
            <w:tcW w:w="113"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r>
    </w:tbl>
    <w:p w:rsidR="00AD5BB5" w:rsidRDefault="00AD5BB5">
      <w:pPr>
        <w:overflowPunct w:val="0"/>
        <w:autoSpaceDE w:val="0"/>
        <w:autoSpaceDN w:val="0"/>
        <w:rPr>
          <w:rFonts w:ascii="Arial" w:eastAsia="黑体" w:hAnsi="Arial" w:cs="Arial"/>
          <w:snapToGrid w:val="0"/>
          <w:szCs w:val="21"/>
        </w:rPr>
      </w:pPr>
    </w:p>
    <w:p w:rsidR="00AD5BB5" w:rsidRDefault="00F87FF6">
      <w:pPr>
        <w:pStyle w:val="aff2"/>
        <w:numPr>
          <w:ilvl w:val="0"/>
          <w:numId w:val="39"/>
        </w:numPr>
        <w:overflowPunct w:val="0"/>
        <w:autoSpaceDE w:val="0"/>
        <w:autoSpaceDN w:val="0"/>
        <w:ind w:left="-119" w:firstLineChars="50" w:firstLine="105"/>
        <w:jc w:val="left"/>
        <w:outlineLvl w:val="4"/>
        <w:rPr>
          <w:rFonts w:ascii="Arial" w:eastAsia="黑体" w:hAnsi="Arial" w:cs="Arial"/>
          <w:snapToGrid w:val="0"/>
          <w:szCs w:val="21"/>
        </w:rPr>
      </w:pPr>
      <w:bookmarkStart w:id="418" w:name="afsaddin_Section_77b260fedbbc48258a7738e"/>
      <w:r>
        <w:rPr>
          <w:rFonts w:ascii="Arial" w:eastAsia="黑体" w:hAnsi="Arial" w:cs="Arial"/>
          <w:snapToGrid w:val="0"/>
          <w:szCs w:val="21"/>
        </w:rPr>
        <w:t>缺口分析方法</w:t>
      </w:r>
    </w:p>
    <w:bookmarkEnd w:id="418"/>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下表列示截至资产负债表日，按当时</w:t>
      </w:r>
      <w:proofErr w:type="gramStart"/>
      <w:r>
        <w:rPr>
          <w:rFonts w:ascii="Arial" w:eastAsia="黑体" w:hAnsi="Arial" w:cs="Arial"/>
          <w:snapToGrid w:val="0"/>
          <w:szCs w:val="21"/>
        </w:rPr>
        <w:t>非交易</w:t>
      </w:r>
      <w:proofErr w:type="gramEnd"/>
      <w:r>
        <w:rPr>
          <w:rFonts w:ascii="Arial" w:eastAsia="黑体" w:hAnsi="Arial" w:cs="Arial"/>
          <w:snapToGrid w:val="0"/>
          <w:szCs w:val="21"/>
        </w:rPr>
        <w:t>性金融</w:t>
      </w:r>
      <w:r>
        <w:rPr>
          <w:rFonts w:ascii="Arial" w:eastAsia="黑体" w:hAnsi="Arial" w:cs="Arial" w:hint="eastAsia"/>
          <w:snapToGrid w:val="0"/>
          <w:szCs w:val="21"/>
        </w:rPr>
        <w:t>资产和</w:t>
      </w:r>
      <w:proofErr w:type="gramStart"/>
      <w:r>
        <w:rPr>
          <w:rFonts w:ascii="Arial" w:eastAsia="黑体" w:hAnsi="Arial" w:cs="Arial" w:hint="eastAsia"/>
          <w:snapToGrid w:val="0"/>
          <w:szCs w:val="21"/>
        </w:rPr>
        <w:t>非交易</w:t>
      </w:r>
      <w:proofErr w:type="gramEnd"/>
      <w:r>
        <w:rPr>
          <w:rFonts w:ascii="Arial" w:eastAsia="黑体" w:hAnsi="Arial" w:cs="Arial" w:hint="eastAsia"/>
          <w:snapToGrid w:val="0"/>
          <w:szCs w:val="21"/>
        </w:rPr>
        <w:t>性金融负债</w:t>
      </w:r>
      <w:r>
        <w:rPr>
          <w:rFonts w:ascii="Arial" w:eastAsia="黑体" w:hAnsi="Arial" w:cs="Arial"/>
          <w:snapToGrid w:val="0"/>
          <w:szCs w:val="21"/>
        </w:rPr>
        <w:t>进行缺口分析所得结果：</w:t>
      </w:r>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34ccaa0b-ec3b-42a1-90d2-df8941191388"/>
        <w:tblDescription w:val="{&quot;UUID&quot;:&quot;afsaddin_tabledata_2_56437_34ccaa0b-ec3b-42a1-90d2-df8941191388&quot;,&quot;TitleRowCount&quot;:2,&quot;SplitedTable&quot;:false,&quot;FirstTableId&quot;:&quot;34ccaa0b-ec3b-42a1-90d2-df8941191388&quot;}"/>
      </w:tblPr>
      <w:tblGrid>
        <w:gridCol w:w="3878"/>
        <w:gridCol w:w="112"/>
        <w:gridCol w:w="1987"/>
        <w:gridCol w:w="112"/>
        <w:gridCol w:w="112"/>
        <w:gridCol w:w="1984"/>
        <w:gridCol w:w="112"/>
      </w:tblGrid>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当期资产负债表日</w:instrText>
            </w:r>
            <w:r>
              <w:rPr>
                <w:rFonts w:ascii="Arial" w:eastAsia="黑体" w:hAnsi="Arial" w:cs="Arial"/>
                <w:szCs w:val="21"/>
              </w:rPr>
              <w:instrText xml:space="preserve"> </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t>年</w:t>
            </w:r>
            <w:r>
              <w:rPr>
                <w:rFonts w:ascii="Arial" w:eastAsia="黑体" w:hAnsi="Arial" w:cs="Arial"/>
                <w:szCs w:val="21"/>
              </w:rPr>
              <w:t>6</w:t>
            </w:r>
            <w:r>
              <w:rPr>
                <w:rFonts w:ascii="Arial" w:eastAsia="黑体" w:hAnsi="Arial" w:cs="Arial"/>
                <w:szCs w:val="21"/>
              </w:rPr>
              <w:t>月</w:t>
            </w:r>
            <w:r>
              <w:rPr>
                <w:rFonts w:ascii="Arial" w:eastAsia="黑体" w:hAnsi="Arial" w:cs="Arial"/>
                <w:szCs w:val="21"/>
              </w:rPr>
              <w:t>30</w:t>
            </w:r>
            <w:r>
              <w:rPr>
                <w:rFonts w:ascii="Arial" w:eastAsia="黑体" w:hAnsi="Arial" w:cs="Arial"/>
                <w:szCs w:val="21"/>
              </w:rPr>
              <w:t>日</w:t>
            </w:r>
            <w:r>
              <w:rPr>
                <w:rFonts w:ascii="Arial" w:eastAsia="黑体" w:hAnsi="Arial" w:cs="Arial"/>
                <w:szCs w:val="21"/>
              </w:rPr>
              <w:fldChar w:fldCharType="end"/>
            </w: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98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984"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98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984"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利率变更（基点）</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(100.00</w:t>
            </w:r>
          </w:p>
        </w:tc>
        <w:tc>
          <w:tcPr>
            <w:tcW w:w="112"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100.00</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rPr>
          <w:trHeight w:val="70"/>
        </w:trPr>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利率风险导致损益变更</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 xml:space="preserve">102,200,771.24   </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nil"/>
              <w:right w:val="nil"/>
            </w:tcBorders>
            <w:vAlign w:val="bottom"/>
          </w:tcPr>
          <w:p w:rsidR="00AD5BB5" w:rsidRDefault="00F87FF6">
            <w:pPr>
              <w:autoSpaceDE w:val="0"/>
              <w:autoSpaceDN w:val="0"/>
              <w:ind w:rightChars="-6" w:right="-13"/>
              <w:jc w:val="right"/>
              <w:rPr>
                <w:rFonts w:ascii="Arial" w:eastAsia="黑体" w:hAnsi="Arial" w:cs="Arial"/>
                <w:szCs w:val="21"/>
              </w:rPr>
            </w:pPr>
            <w:r>
              <w:rPr>
                <w:rFonts w:ascii="Arial" w:eastAsia="黑体" w:hAnsi="Arial" w:cs="Arial"/>
              </w:rPr>
              <w:t>(102,200,771.24</w:t>
            </w:r>
          </w:p>
        </w:tc>
        <w:tc>
          <w:tcPr>
            <w:tcW w:w="112"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hint="eastAsia"/>
                <w:szCs w:val="21"/>
              </w:rPr>
              <w:t>)</w:t>
            </w:r>
          </w:p>
        </w:tc>
      </w:tr>
    </w:tbl>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bdd80f57-6086-4efe-b05c-414ce42bf770"/>
        <w:tblDescription w:val="{&quot;UUID&quot;:&quot;afsaddin_tabledata_2_56437_bdd80f57-6086-4efe-b05c-414ce42bf770&quot;,&quot;TitleRowCount&quot;:2,&quot;SplitedTable&quot;:false,&quot;FirstTableId&quot;:&quot;bdd80f57-6086-4efe-b05c-414ce42bf770&quot;}"/>
      </w:tblPr>
      <w:tblGrid>
        <w:gridCol w:w="3878"/>
        <w:gridCol w:w="112"/>
        <w:gridCol w:w="1987"/>
        <w:gridCol w:w="112"/>
        <w:gridCol w:w="112"/>
        <w:gridCol w:w="1984"/>
        <w:gridCol w:w="112"/>
      </w:tblGrid>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2022</w:t>
            </w:r>
            <w:r>
              <w:rPr>
                <w:rFonts w:ascii="Arial" w:eastAsia="黑体" w:hAnsi="Arial" w:cs="Arial"/>
                <w:szCs w:val="21"/>
              </w:rPr>
              <w:t>年</w:t>
            </w:r>
            <w:r>
              <w:rPr>
                <w:rFonts w:ascii="Arial" w:eastAsia="黑体" w:hAnsi="Arial" w:cs="Arial"/>
                <w:szCs w:val="21"/>
              </w:rPr>
              <w:t>12</w:t>
            </w:r>
            <w:r>
              <w:rPr>
                <w:rFonts w:ascii="Arial" w:eastAsia="黑体" w:hAnsi="Arial" w:cs="Arial"/>
                <w:szCs w:val="21"/>
              </w:rPr>
              <w:t>月</w:t>
            </w:r>
            <w:r>
              <w:rPr>
                <w:rFonts w:ascii="Arial" w:eastAsia="黑体" w:hAnsi="Arial" w:cs="Arial"/>
                <w:szCs w:val="21"/>
              </w:rPr>
              <w:t>31</w:t>
            </w:r>
            <w:r>
              <w:rPr>
                <w:rFonts w:ascii="Arial" w:eastAsia="黑体" w:hAnsi="Arial" w:cs="Arial"/>
                <w:szCs w:val="21"/>
              </w:rPr>
              <w:t>日</w:t>
            </w: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98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984"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98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984"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利率变更（基点）</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(100.00</w:t>
            </w:r>
          </w:p>
        </w:tc>
        <w:tc>
          <w:tcPr>
            <w:tcW w:w="112"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rPr>
              <w:t>)</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100.00</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利率风险导致损益变更</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175,590,615.26</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(175,590,615.26</w:t>
            </w:r>
          </w:p>
        </w:tc>
        <w:tc>
          <w:tcPr>
            <w:tcW w:w="112"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r>
    </w:tbl>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以上缺口分析基于</w:t>
      </w:r>
      <w:proofErr w:type="gramStart"/>
      <w:r>
        <w:rPr>
          <w:rFonts w:ascii="Arial" w:eastAsia="黑体" w:hAnsi="Arial" w:cs="Arial"/>
          <w:snapToGrid w:val="0"/>
          <w:szCs w:val="21"/>
        </w:rPr>
        <w:t>非交易</w:t>
      </w:r>
      <w:proofErr w:type="gramEnd"/>
      <w:r>
        <w:rPr>
          <w:rFonts w:ascii="Arial" w:eastAsia="黑体" w:hAnsi="Arial" w:cs="Arial"/>
          <w:snapToGrid w:val="0"/>
          <w:szCs w:val="21"/>
        </w:rPr>
        <w:t>性金融</w:t>
      </w:r>
      <w:r>
        <w:rPr>
          <w:rFonts w:ascii="Arial" w:eastAsia="黑体" w:hAnsi="Arial" w:cs="Arial" w:hint="eastAsia"/>
          <w:snapToGrid w:val="0"/>
          <w:szCs w:val="21"/>
        </w:rPr>
        <w:t>资产和</w:t>
      </w:r>
      <w:proofErr w:type="gramStart"/>
      <w:r>
        <w:rPr>
          <w:rFonts w:ascii="Arial" w:eastAsia="黑体" w:hAnsi="Arial" w:cs="Arial" w:hint="eastAsia"/>
          <w:snapToGrid w:val="0"/>
          <w:szCs w:val="21"/>
        </w:rPr>
        <w:t>非交易</w:t>
      </w:r>
      <w:proofErr w:type="gramEnd"/>
      <w:r>
        <w:rPr>
          <w:rFonts w:ascii="Arial" w:eastAsia="黑体" w:hAnsi="Arial" w:cs="Arial" w:hint="eastAsia"/>
          <w:snapToGrid w:val="0"/>
          <w:szCs w:val="21"/>
        </w:rPr>
        <w:t>性金融负债</w:t>
      </w:r>
      <w:r>
        <w:rPr>
          <w:rFonts w:ascii="Arial" w:eastAsia="黑体" w:hAnsi="Arial" w:cs="Arial"/>
          <w:snapToGrid w:val="0"/>
          <w:szCs w:val="21"/>
        </w:rPr>
        <w:t>具有静态的利率风险结构的假设。有关的分析仅衡量一年内利率变化，反映为一年内本集团</w:t>
      </w:r>
      <w:proofErr w:type="gramStart"/>
      <w:r>
        <w:rPr>
          <w:rFonts w:ascii="Arial" w:eastAsia="黑体" w:hAnsi="Arial" w:cs="Arial"/>
          <w:snapToGrid w:val="0"/>
          <w:szCs w:val="21"/>
        </w:rPr>
        <w:t>非交易</w:t>
      </w:r>
      <w:proofErr w:type="gramEnd"/>
      <w:r>
        <w:rPr>
          <w:rFonts w:ascii="Arial" w:eastAsia="黑体" w:hAnsi="Arial" w:cs="Arial"/>
          <w:snapToGrid w:val="0"/>
          <w:szCs w:val="21"/>
        </w:rPr>
        <w:t>性金融</w:t>
      </w:r>
      <w:r>
        <w:rPr>
          <w:rFonts w:ascii="Arial" w:eastAsia="黑体" w:hAnsi="Arial" w:cs="Arial" w:hint="eastAsia"/>
          <w:snapToGrid w:val="0"/>
          <w:szCs w:val="21"/>
        </w:rPr>
        <w:t>资产和</w:t>
      </w:r>
      <w:proofErr w:type="gramStart"/>
      <w:r>
        <w:rPr>
          <w:rFonts w:ascii="Arial" w:eastAsia="黑体" w:hAnsi="Arial" w:cs="Arial" w:hint="eastAsia"/>
          <w:snapToGrid w:val="0"/>
          <w:szCs w:val="21"/>
        </w:rPr>
        <w:t>非交易</w:t>
      </w:r>
      <w:proofErr w:type="gramEnd"/>
      <w:r>
        <w:rPr>
          <w:rFonts w:ascii="Arial" w:eastAsia="黑体" w:hAnsi="Arial" w:cs="Arial" w:hint="eastAsia"/>
          <w:snapToGrid w:val="0"/>
          <w:szCs w:val="21"/>
        </w:rPr>
        <w:t>性金融负债</w:t>
      </w:r>
      <w:r>
        <w:rPr>
          <w:rFonts w:ascii="Arial" w:eastAsia="黑体" w:hAnsi="Arial" w:cs="Arial"/>
          <w:snapToGrid w:val="0"/>
          <w:szCs w:val="21"/>
        </w:rPr>
        <w:t>的重新定价对本集团损益的影响，基于以下假设：</w:t>
      </w:r>
      <w:r>
        <w:rPr>
          <w:rFonts w:ascii="Arial" w:eastAsia="黑体" w:hAnsi="Arial" w:cs="Arial"/>
          <w:snapToGrid w:val="0"/>
          <w:szCs w:val="21"/>
        </w:rPr>
        <w:t>(1)</w:t>
      </w:r>
      <w:r>
        <w:rPr>
          <w:rFonts w:ascii="Arial" w:eastAsia="黑体" w:hAnsi="Arial" w:cs="Arial"/>
          <w:snapToGrid w:val="0"/>
          <w:szCs w:val="21"/>
        </w:rPr>
        <w:t>各类</w:t>
      </w:r>
      <w:proofErr w:type="gramStart"/>
      <w:r>
        <w:rPr>
          <w:rFonts w:ascii="Arial" w:eastAsia="黑体" w:hAnsi="Arial" w:cs="Arial"/>
          <w:snapToGrid w:val="0"/>
          <w:szCs w:val="21"/>
        </w:rPr>
        <w:t>非交易</w:t>
      </w:r>
      <w:proofErr w:type="gramEnd"/>
      <w:r>
        <w:rPr>
          <w:rFonts w:ascii="Arial" w:eastAsia="黑体" w:hAnsi="Arial" w:cs="Arial"/>
          <w:snapToGrid w:val="0"/>
          <w:szCs w:val="21"/>
        </w:rPr>
        <w:t>性金融</w:t>
      </w:r>
      <w:r>
        <w:rPr>
          <w:rFonts w:ascii="Arial" w:eastAsia="黑体" w:hAnsi="Arial" w:cs="Arial" w:hint="eastAsia"/>
          <w:snapToGrid w:val="0"/>
          <w:szCs w:val="21"/>
        </w:rPr>
        <w:t>资产和</w:t>
      </w:r>
      <w:proofErr w:type="gramStart"/>
      <w:r>
        <w:rPr>
          <w:rFonts w:ascii="Arial" w:eastAsia="黑体" w:hAnsi="Arial" w:cs="Arial" w:hint="eastAsia"/>
          <w:snapToGrid w:val="0"/>
          <w:szCs w:val="21"/>
        </w:rPr>
        <w:t>非交易</w:t>
      </w:r>
      <w:proofErr w:type="gramEnd"/>
      <w:r>
        <w:rPr>
          <w:rFonts w:ascii="Arial" w:eastAsia="黑体" w:hAnsi="Arial" w:cs="Arial" w:hint="eastAsia"/>
          <w:snapToGrid w:val="0"/>
          <w:szCs w:val="21"/>
        </w:rPr>
        <w:t>性金融负债</w:t>
      </w:r>
      <w:r>
        <w:rPr>
          <w:rFonts w:ascii="Arial" w:eastAsia="黑体" w:hAnsi="Arial" w:cs="Arial"/>
          <w:snapToGrid w:val="0"/>
          <w:szCs w:val="21"/>
        </w:rPr>
        <w:t>发生金额保持不变；</w:t>
      </w:r>
      <w:r>
        <w:rPr>
          <w:rFonts w:ascii="Arial" w:eastAsia="黑体" w:hAnsi="Arial" w:cs="Arial"/>
          <w:snapToGrid w:val="0"/>
          <w:szCs w:val="21"/>
        </w:rPr>
        <w:t>(2)</w:t>
      </w:r>
      <w:r>
        <w:rPr>
          <w:rFonts w:ascii="Arial" w:eastAsia="黑体" w:hAnsi="Arial" w:cs="Arial"/>
          <w:snapToGrid w:val="0"/>
          <w:szCs w:val="21"/>
        </w:rPr>
        <w:t>收益率曲线随利率变化而平行移动；</w:t>
      </w:r>
      <w:r>
        <w:rPr>
          <w:rFonts w:ascii="Arial" w:eastAsia="黑体" w:hAnsi="Arial" w:cs="Arial"/>
          <w:snapToGrid w:val="0"/>
          <w:szCs w:val="21"/>
        </w:rPr>
        <w:t xml:space="preserve">(3) </w:t>
      </w:r>
      <w:proofErr w:type="gramStart"/>
      <w:r>
        <w:rPr>
          <w:rFonts w:ascii="Arial" w:eastAsia="黑体" w:hAnsi="Arial" w:cs="Arial"/>
          <w:snapToGrid w:val="0"/>
          <w:szCs w:val="21"/>
        </w:rPr>
        <w:t>非交易</w:t>
      </w:r>
      <w:proofErr w:type="gramEnd"/>
      <w:r>
        <w:rPr>
          <w:rFonts w:ascii="Arial" w:eastAsia="黑体" w:hAnsi="Arial" w:cs="Arial"/>
          <w:snapToGrid w:val="0"/>
          <w:szCs w:val="21"/>
        </w:rPr>
        <w:t>性金融</w:t>
      </w:r>
      <w:r>
        <w:rPr>
          <w:rFonts w:ascii="Arial" w:eastAsia="黑体" w:hAnsi="Arial" w:cs="Arial" w:hint="eastAsia"/>
          <w:snapToGrid w:val="0"/>
          <w:szCs w:val="21"/>
        </w:rPr>
        <w:t>资产和</w:t>
      </w:r>
      <w:proofErr w:type="gramStart"/>
      <w:r>
        <w:rPr>
          <w:rFonts w:ascii="Arial" w:eastAsia="黑体" w:hAnsi="Arial" w:cs="Arial" w:hint="eastAsia"/>
          <w:snapToGrid w:val="0"/>
          <w:szCs w:val="21"/>
        </w:rPr>
        <w:t>非交易</w:t>
      </w:r>
      <w:proofErr w:type="gramEnd"/>
      <w:r>
        <w:rPr>
          <w:rFonts w:ascii="Arial" w:eastAsia="黑体" w:hAnsi="Arial" w:cs="Arial" w:hint="eastAsia"/>
          <w:snapToGrid w:val="0"/>
          <w:szCs w:val="21"/>
        </w:rPr>
        <w:t>性金融负债</w:t>
      </w:r>
      <w:r>
        <w:rPr>
          <w:rFonts w:ascii="Arial" w:eastAsia="黑体" w:hAnsi="Arial" w:cs="Arial"/>
          <w:snapToGrid w:val="0"/>
          <w:szCs w:val="21"/>
        </w:rPr>
        <w:t>组合并无其他变化。由于基于上述假设，利率增减导致本集团损益的实际变化可能与此敏感性分析的结果存在一定差异。</w:t>
      </w: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adjustRightInd w:val="0"/>
        <w:snapToGrid w:val="0"/>
        <w:ind w:left="720" w:hanging="720"/>
        <w:textAlignment w:val="bottom"/>
        <w:outlineLvl w:val="3"/>
        <w:rPr>
          <w:rFonts w:ascii="Arial" w:eastAsia="黑体" w:hAnsi="Arial" w:cs="Arial"/>
          <w:b/>
          <w:bCs/>
          <w:snapToGrid w:val="0"/>
          <w:szCs w:val="21"/>
        </w:rPr>
      </w:pPr>
      <w:bookmarkStart w:id="419" w:name="afsaddin_Section_21d63a9321c14de5b834989"/>
      <w:r>
        <w:rPr>
          <w:rFonts w:ascii="Arial" w:eastAsia="黑体" w:hAnsi="Arial" w:cs="Arial"/>
          <w:b/>
          <w:bCs/>
          <w:snapToGrid w:val="0"/>
          <w:szCs w:val="21"/>
        </w:rPr>
        <w:t>3.2</w:t>
      </w:r>
      <w:r>
        <w:rPr>
          <w:rFonts w:ascii="Arial" w:eastAsia="黑体" w:hAnsi="Arial" w:cs="Arial"/>
          <w:b/>
          <w:bCs/>
          <w:snapToGrid w:val="0"/>
          <w:szCs w:val="21"/>
        </w:rPr>
        <w:tab/>
      </w:r>
      <w:r>
        <w:rPr>
          <w:rFonts w:ascii="Arial" w:eastAsia="黑体" w:hAnsi="Arial" w:cs="Arial"/>
          <w:b/>
          <w:bCs/>
          <w:snapToGrid w:val="0"/>
          <w:szCs w:val="21"/>
        </w:rPr>
        <w:t>汇率风险</w:t>
      </w:r>
    </w:p>
    <w:bookmarkEnd w:id="419"/>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本</w:t>
      </w:r>
      <w:proofErr w:type="gramStart"/>
      <w:r>
        <w:rPr>
          <w:rFonts w:ascii="Arial" w:eastAsia="黑体" w:hAnsi="Arial" w:cs="Arial"/>
          <w:snapToGrid w:val="0"/>
          <w:szCs w:val="21"/>
        </w:rPr>
        <w:t>集团汇率</w:t>
      </w:r>
      <w:proofErr w:type="gramEnd"/>
      <w:r>
        <w:rPr>
          <w:rFonts w:ascii="Arial" w:eastAsia="黑体" w:hAnsi="Arial" w:cs="Arial"/>
          <w:snapToGrid w:val="0"/>
          <w:szCs w:val="21"/>
        </w:rPr>
        <w:t>风险主要来源于表内外汇资产及负债币种错配导致的头寸错配。</w:t>
      </w: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报告期内，本集团加强外汇业务管理，积极运用价格杠杆等多项措施，调整资金结构。针对集团外汇资产加强动态管理，尽量压缩头寸，减少风险敞口，采取集中控制汇率风险的管理模式。</w:t>
      </w:r>
    </w:p>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sectPr w:rsidR="00AD5BB5">
          <w:headerReference w:type="even" r:id="rId69"/>
          <w:headerReference w:type="default" r:id="rId70"/>
          <w:headerReference w:type="first" r:id="rId71"/>
          <w:pgSz w:w="11907" w:h="16840"/>
          <w:pgMar w:top="1440" w:right="1797" w:bottom="1440" w:left="1797" w:header="720" w:footer="720" w:gutter="0"/>
          <w:cols w:space="720"/>
          <w:titlePg/>
          <w:docGrid w:linePitch="360"/>
        </w:sectPr>
      </w:pPr>
    </w:p>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420" w:name="afsaddin_WithXu_6fc22a894c2844e9bb1127bc"/>
      <w:r>
        <w:rPr>
          <w:rFonts w:ascii="Arial" w:eastAsia="黑体" w:hAnsi="Arial" w:cs="Arial"/>
          <w:b/>
          <w:snapToGrid w:val="0"/>
          <w:szCs w:val="21"/>
        </w:rPr>
        <w:t>八、</w:t>
      </w:r>
      <w:r>
        <w:rPr>
          <w:rFonts w:ascii="Arial" w:eastAsia="黑体" w:hAnsi="Arial" w:cs="Arial"/>
          <w:b/>
          <w:snapToGrid w:val="0"/>
          <w:szCs w:val="21"/>
        </w:rPr>
        <w:tab/>
      </w:r>
      <w:r>
        <w:rPr>
          <w:rFonts w:ascii="Arial" w:eastAsia="黑体" w:hAnsi="Arial" w:cs="Arial"/>
          <w:b/>
          <w:snapToGrid w:val="0"/>
          <w:szCs w:val="21"/>
        </w:rPr>
        <w:t>金融工具及其风险分析（续）</w:t>
      </w:r>
      <w:bookmarkEnd w:id="420"/>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421" w:name="afsaddin_WithXu_d69989ef3a0443aba9746ca4"/>
      <w:r>
        <w:rPr>
          <w:rFonts w:ascii="Arial" w:eastAsia="黑体" w:hAnsi="Arial" w:cs="Arial"/>
          <w:b/>
          <w:snapToGrid w:val="0"/>
          <w:szCs w:val="21"/>
        </w:rPr>
        <w:t>3.</w:t>
      </w:r>
      <w:r>
        <w:rPr>
          <w:rFonts w:ascii="Arial" w:eastAsia="黑体" w:hAnsi="Arial" w:cs="Arial"/>
          <w:b/>
          <w:snapToGrid w:val="0"/>
          <w:szCs w:val="21"/>
        </w:rPr>
        <w:tab/>
      </w:r>
      <w:r>
        <w:rPr>
          <w:rFonts w:ascii="Arial" w:eastAsia="黑体" w:hAnsi="Arial" w:cs="Arial"/>
          <w:b/>
          <w:snapToGrid w:val="0"/>
          <w:szCs w:val="21"/>
        </w:rPr>
        <w:t>市场风险（续）</w:t>
      </w:r>
      <w:bookmarkEnd w:id="421"/>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422" w:name="afsaddin_WithXu_f49ab61b3a97487690a02b28"/>
      <w:r>
        <w:rPr>
          <w:rFonts w:ascii="Arial" w:eastAsia="黑体" w:hAnsi="Arial" w:cs="Arial"/>
          <w:b/>
          <w:snapToGrid w:val="0"/>
          <w:szCs w:val="21"/>
        </w:rPr>
        <w:t>3.2</w:t>
      </w:r>
      <w:r>
        <w:rPr>
          <w:rFonts w:ascii="Arial" w:eastAsia="黑体" w:hAnsi="Arial" w:cs="Arial"/>
          <w:b/>
          <w:snapToGrid w:val="0"/>
          <w:szCs w:val="21"/>
        </w:rPr>
        <w:tab/>
      </w:r>
      <w:r>
        <w:rPr>
          <w:rFonts w:ascii="Arial" w:eastAsia="黑体" w:hAnsi="Arial" w:cs="Arial"/>
          <w:b/>
          <w:snapToGrid w:val="0"/>
          <w:szCs w:val="21"/>
        </w:rPr>
        <w:t>汇率风险（续）</w:t>
      </w:r>
      <w:bookmarkEnd w:id="422"/>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bookmarkStart w:id="423" w:name="afsaddin_WithXu_7e8b490655b24fcd8d424f50"/>
      <w:bookmarkStart w:id="424" w:name="afsaddin_WithXu_d3c469f9433c4341a59466f3"/>
      <w:bookmarkStart w:id="425" w:name="afsaddin_WithXu_be5b8d4066f043fa99f074ed"/>
      <w:bookmarkEnd w:id="423"/>
      <w:bookmarkEnd w:id="424"/>
      <w:bookmarkEnd w:id="425"/>
      <w:r>
        <w:rPr>
          <w:rFonts w:ascii="Arial" w:eastAsia="黑体" w:hAnsi="Arial" w:cs="Arial"/>
          <w:snapToGrid w:val="0"/>
          <w:szCs w:val="21"/>
        </w:rPr>
        <w:t>有关资产和负债按币种列示如下：</w:t>
      </w:r>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d4d2d234-d23c-4ced-8ad3-02569eba7d89"/>
        <w:tblDescription w:val="{&quot;UUID&quot;:&quot;afsaddin_tabledata_2_56437_d4d2d234-d23c-4ced-8ad3-02569eba7d89&quot;,&quot;TitleRowCount&quot;:3,&quot;SplitedTable&quot;:false,&quot;FirstTableId&quot;:&quot;d4d2d234-d23c-4ced-8ad3-02569eba7d89&quot;}"/>
      </w:tblPr>
      <w:tblGrid>
        <w:gridCol w:w="2986"/>
        <w:gridCol w:w="113"/>
        <w:gridCol w:w="1991"/>
        <w:gridCol w:w="113"/>
        <w:gridCol w:w="113"/>
        <w:gridCol w:w="1991"/>
        <w:gridCol w:w="113"/>
        <w:gridCol w:w="113"/>
        <w:gridCol w:w="1991"/>
        <w:gridCol w:w="113"/>
        <w:gridCol w:w="113"/>
        <w:gridCol w:w="1991"/>
        <w:gridCol w:w="113"/>
        <w:gridCol w:w="113"/>
        <w:gridCol w:w="1991"/>
        <w:gridCol w:w="113"/>
      </w:tblGrid>
      <w:tr w:rsidR="00AD5BB5">
        <w:tc>
          <w:tcPr>
            <w:tcW w:w="2986" w:type="dxa"/>
            <w:tcBorders>
              <w:top w:val="nil"/>
              <w:left w:val="nil"/>
              <w:bottom w:val="nil"/>
              <w:right w:val="nil"/>
            </w:tcBorders>
            <w:shd w:val="clear" w:color="auto" w:fill="auto"/>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 DOCPROPERTY </w:instrText>
            </w:r>
            <w:r>
              <w:rPr>
                <w:rFonts w:ascii="Arial" w:eastAsia="黑体" w:hAnsi="Arial" w:cs="Arial"/>
                <w:sz w:val="18"/>
                <w:szCs w:val="18"/>
              </w:rPr>
              <w:instrText>当期资产负债表日</w:instrText>
            </w:r>
            <w:r>
              <w:rPr>
                <w:rFonts w:ascii="Arial" w:eastAsia="黑体" w:hAnsi="Arial" w:cs="Arial"/>
                <w:sz w:val="18"/>
                <w:szCs w:val="18"/>
              </w:rPr>
              <w:instrText xml:space="preserve"> </w:instrText>
            </w:r>
            <w:r>
              <w:rPr>
                <w:rFonts w:ascii="Arial" w:eastAsia="黑体" w:hAnsi="Arial" w:cs="Arial"/>
                <w:sz w:val="18"/>
                <w:szCs w:val="18"/>
              </w:rPr>
              <w:fldChar w:fldCharType="separate"/>
            </w:r>
            <w:r>
              <w:rPr>
                <w:rFonts w:ascii="Arial" w:eastAsia="黑体" w:hAnsi="Arial" w:cs="Arial"/>
                <w:sz w:val="18"/>
                <w:szCs w:val="18"/>
              </w:rPr>
              <w:t>2023</w:t>
            </w:r>
            <w:r>
              <w:rPr>
                <w:rFonts w:ascii="Arial" w:eastAsia="黑体" w:hAnsi="Arial" w:cs="Arial"/>
                <w:sz w:val="18"/>
                <w:szCs w:val="18"/>
              </w:rPr>
              <w:t>年</w:t>
            </w:r>
            <w:r>
              <w:rPr>
                <w:rFonts w:ascii="Arial" w:eastAsia="黑体" w:hAnsi="Arial" w:cs="Arial"/>
                <w:sz w:val="18"/>
                <w:szCs w:val="18"/>
              </w:rPr>
              <w:t>6</w:t>
            </w:r>
            <w:r>
              <w:rPr>
                <w:rFonts w:ascii="Arial" w:eastAsia="黑体" w:hAnsi="Arial" w:cs="Arial"/>
                <w:sz w:val="18"/>
                <w:szCs w:val="18"/>
              </w:rPr>
              <w:t>月</w:t>
            </w:r>
            <w:r>
              <w:rPr>
                <w:rFonts w:ascii="Arial" w:eastAsia="黑体" w:hAnsi="Arial" w:cs="Arial"/>
                <w:sz w:val="18"/>
                <w:szCs w:val="18"/>
              </w:rPr>
              <w:t>30</w:t>
            </w:r>
            <w:r>
              <w:rPr>
                <w:rFonts w:ascii="Arial" w:eastAsia="黑体" w:hAnsi="Arial" w:cs="Arial"/>
                <w:sz w:val="18"/>
                <w:szCs w:val="18"/>
              </w:rPr>
              <w:t>日</w:t>
            </w:r>
            <w:r>
              <w:rPr>
                <w:rFonts w:ascii="Arial" w:eastAsia="黑体" w:hAnsi="Arial" w:cs="Arial"/>
                <w:sz w:val="18"/>
                <w:szCs w:val="18"/>
              </w:rPr>
              <w:fldChar w:fldCharType="end"/>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人民币</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美元</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港币</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其他币种</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合计</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986" w:type="dxa"/>
            <w:tcBorders>
              <w:top w:val="nil"/>
              <w:left w:val="nil"/>
              <w:bottom w:val="nil"/>
              <w:right w:val="nil"/>
            </w:tcBorders>
            <w:shd w:val="clear" w:color="auto" w:fill="auto"/>
            <w:vAlign w:val="bottom"/>
          </w:tcPr>
          <w:p w:rsidR="00AD5BB5" w:rsidRDefault="00AD5BB5">
            <w:pPr>
              <w:autoSpaceDE w:val="0"/>
              <w:autoSpaceDN w:val="0"/>
              <w:ind w:left="270" w:hangingChars="150" w:hanging="27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折合人民币</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折合人民币</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折合人民币</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986" w:type="dxa"/>
            <w:tcBorders>
              <w:top w:val="nil"/>
              <w:left w:val="nil"/>
              <w:bottom w:val="nil"/>
              <w:right w:val="nil"/>
            </w:tcBorders>
            <w:shd w:val="clear" w:color="auto" w:fill="auto"/>
            <w:vAlign w:val="bottom"/>
          </w:tcPr>
          <w:p w:rsidR="00AD5BB5" w:rsidRDefault="00AD5BB5">
            <w:pPr>
              <w:autoSpaceDE w:val="0"/>
              <w:autoSpaceDN w:val="0"/>
              <w:ind w:left="270" w:hangingChars="150" w:hanging="27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986" w:type="dxa"/>
            <w:tcBorders>
              <w:top w:val="nil"/>
              <w:left w:val="nil"/>
              <w:bottom w:val="nil"/>
              <w:right w:val="nil"/>
            </w:tcBorders>
            <w:shd w:val="clear" w:color="auto" w:fill="auto"/>
            <w:vAlign w:val="bottom"/>
          </w:tcPr>
          <w:p w:rsidR="00AD5BB5" w:rsidRDefault="00F87FF6">
            <w:pPr>
              <w:autoSpaceDE w:val="0"/>
              <w:autoSpaceDN w:val="0"/>
              <w:ind w:left="181" w:hangingChars="100" w:hanging="181"/>
              <w:rPr>
                <w:rFonts w:ascii="Arial" w:eastAsia="黑体" w:hAnsi="Arial" w:cs="Arial"/>
                <w:b/>
                <w:bCs/>
                <w:sz w:val="18"/>
                <w:szCs w:val="18"/>
              </w:rPr>
            </w:pPr>
            <w:r>
              <w:rPr>
                <w:rFonts w:ascii="Arial" w:eastAsia="黑体" w:hAnsi="Arial" w:cs="Arial"/>
                <w:b/>
                <w:bCs/>
                <w:sz w:val="18"/>
                <w:szCs w:val="18"/>
              </w:rPr>
              <w:t>资产项目</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986" w:type="dxa"/>
            <w:tcBorders>
              <w:top w:val="nil"/>
              <w:left w:val="nil"/>
              <w:bottom w:val="nil"/>
              <w:right w:val="nil"/>
            </w:tcBorders>
            <w:shd w:val="clear" w:color="auto" w:fill="auto"/>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现金及存放中央银行款项</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21,126,884,108.66</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403,437,640.79</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823,595.53</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5,340,065.94</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21,536,485,410.92</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986" w:type="dxa"/>
            <w:tcBorders>
              <w:top w:val="nil"/>
              <w:left w:val="nil"/>
              <w:bottom w:val="nil"/>
              <w:right w:val="nil"/>
            </w:tcBorders>
            <w:shd w:val="clear" w:color="auto" w:fill="auto"/>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存放同业及其他金融机构款项</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5,021,125,612.04</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1,326,705,771.57</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9,972,478.32</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86,895,257.59</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6,444,699,119.52</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986" w:type="dxa"/>
            <w:tcBorders>
              <w:top w:val="nil"/>
              <w:left w:val="nil"/>
              <w:bottom w:val="nil"/>
              <w:right w:val="nil"/>
            </w:tcBorders>
            <w:shd w:val="clear" w:color="auto" w:fill="auto"/>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拆出资金</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17,675,663,248.86</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17,675,663,248.86</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986" w:type="dxa"/>
            <w:tcBorders>
              <w:top w:val="nil"/>
              <w:left w:val="nil"/>
              <w:bottom w:val="nil"/>
              <w:right w:val="nil"/>
            </w:tcBorders>
            <w:shd w:val="clear" w:color="auto" w:fill="auto"/>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交易性金融资产</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14,516,923,304.31</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14,516,923,304.31</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986" w:type="dxa"/>
            <w:tcBorders>
              <w:top w:val="nil"/>
              <w:left w:val="nil"/>
              <w:bottom w:val="nil"/>
              <w:right w:val="nil"/>
            </w:tcBorders>
            <w:shd w:val="clear" w:color="auto" w:fill="auto"/>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衍生金融资产</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1,831,245,164.76</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1,831,245,164.76</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986" w:type="dxa"/>
            <w:tcBorders>
              <w:top w:val="nil"/>
              <w:left w:val="nil"/>
              <w:bottom w:val="nil"/>
              <w:right w:val="nil"/>
            </w:tcBorders>
            <w:shd w:val="clear" w:color="auto" w:fill="auto"/>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买入返售金融资产</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1,712,499,474.63</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1,712,499,474.63</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986" w:type="dxa"/>
            <w:tcBorders>
              <w:top w:val="nil"/>
              <w:left w:val="nil"/>
              <w:bottom w:val="nil"/>
              <w:right w:val="nil"/>
            </w:tcBorders>
            <w:shd w:val="clear" w:color="auto" w:fill="auto"/>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发放贷款及垫款</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191,861,610,336.73</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3,377,967,423.26</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55,646,212.62</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195,295,223,972.61</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986" w:type="dxa"/>
            <w:tcBorders>
              <w:top w:val="nil"/>
              <w:left w:val="nil"/>
              <w:bottom w:val="nil"/>
              <w:right w:val="nil"/>
            </w:tcBorders>
            <w:shd w:val="clear" w:color="auto" w:fill="auto"/>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债权投资</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48,496,524,645.94</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1,421,126,793.38</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49,917,651,439.32</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986" w:type="dxa"/>
            <w:tcBorders>
              <w:top w:val="nil"/>
              <w:left w:val="nil"/>
              <w:bottom w:val="nil"/>
              <w:right w:val="nil"/>
            </w:tcBorders>
            <w:shd w:val="clear" w:color="auto" w:fill="auto"/>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其他债权投资</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35,394,713,256.21</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3,303,313,522.99</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38,698,026,779.20</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986" w:type="dxa"/>
            <w:tcBorders>
              <w:top w:val="nil"/>
              <w:left w:val="nil"/>
              <w:bottom w:val="nil"/>
              <w:right w:val="nil"/>
            </w:tcBorders>
            <w:shd w:val="clear" w:color="auto" w:fill="auto"/>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其他权益工具投资</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96,061,014.21</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96,061,014.21</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986" w:type="dxa"/>
            <w:tcBorders>
              <w:top w:val="nil"/>
              <w:left w:val="nil"/>
              <w:bottom w:val="nil"/>
              <w:right w:val="nil"/>
            </w:tcBorders>
            <w:shd w:val="clear" w:color="auto" w:fill="auto"/>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投资性房地产</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2,328,259.99</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2,328,259.99</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986" w:type="dxa"/>
            <w:tcBorders>
              <w:top w:val="nil"/>
              <w:left w:val="nil"/>
              <w:bottom w:val="nil"/>
              <w:right w:val="nil"/>
            </w:tcBorders>
            <w:shd w:val="clear" w:color="auto" w:fill="auto"/>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固定资产</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779,871,416.24</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779,871,416.24</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986" w:type="dxa"/>
            <w:tcBorders>
              <w:top w:val="nil"/>
              <w:left w:val="nil"/>
              <w:bottom w:val="nil"/>
              <w:right w:val="nil"/>
            </w:tcBorders>
            <w:shd w:val="clear" w:color="auto" w:fill="auto"/>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在建工程</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249,269,091.96</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249,269,091.96</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986" w:type="dxa"/>
            <w:tcBorders>
              <w:top w:val="nil"/>
              <w:left w:val="nil"/>
              <w:bottom w:val="nil"/>
              <w:right w:val="nil"/>
            </w:tcBorders>
            <w:shd w:val="clear" w:color="auto" w:fill="auto"/>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无形资产</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479,337,688.78</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479,337,688.78</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986" w:type="dxa"/>
            <w:tcBorders>
              <w:top w:val="nil"/>
              <w:left w:val="nil"/>
              <w:bottom w:val="nil"/>
              <w:right w:val="nil"/>
            </w:tcBorders>
            <w:shd w:val="clear" w:color="auto" w:fill="auto"/>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递延所得税资产</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1,555,529,857.00</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1,555,529,857.00</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986" w:type="dxa"/>
            <w:tcBorders>
              <w:top w:val="nil"/>
              <w:left w:val="nil"/>
              <w:bottom w:val="nil"/>
              <w:right w:val="nil"/>
            </w:tcBorders>
            <w:shd w:val="clear" w:color="auto" w:fill="auto"/>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其他资产</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2,125,290,000.90</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203,803.76</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473.05</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4,974.36</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2,125,499,252.07</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986" w:type="dxa"/>
            <w:tcBorders>
              <w:top w:val="nil"/>
              <w:left w:val="nil"/>
              <w:bottom w:val="nil"/>
              <w:right w:val="nil"/>
            </w:tcBorders>
            <w:shd w:val="clear" w:color="auto" w:fill="auto"/>
            <w:vAlign w:val="bottom"/>
          </w:tcPr>
          <w:p w:rsidR="00AD5BB5" w:rsidRDefault="00AD5BB5">
            <w:pPr>
              <w:autoSpaceDE w:val="0"/>
              <w:autoSpaceDN w:val="0"/>
              <w:ind w:left="270" w:hangingChars="150" w:hanging="27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2986" w:type="dxa"/>
            <w:tcBorders>
              <w:top w:val="nil"/>
              <w:left w:val="nil"/>
              <w:bottom w:val="nil"/>
              <w:right w:val="nil"/>
            </w:tcBorders>
            <w:shd w:val="clear" w:color="auto" w:fill="auto"/>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资产总额</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doub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342,924,876,481.22</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doub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9,832,754,955.75</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doub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10,796,546.90</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doub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147,886,510.51</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1" w:type="dxa"/>
            <w:tcBorders>
              <w:top w:val="nil"/>
              <w:left w:val="nil"/>
              <w:bottom w:val="doub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352,916,314,494.38</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bl>
    <w:p w:rsidR="00AD5BB5" w:rsidRDefault="00AD5BB5">
      <w:pPr>
        <w:overflowPunct w:val="0"/>
        <w:autoSpaceDE w:val="0"/>
        <w:autoSpaceDN w:val="0"/>
        <w:adjustRightInd w:val="0"/>
        <w:snapToGrid w:val="0"/>
        <w:ind w:left="720" w:hanging="720"/>
        <w:textAlignment w:val="bottom"/>
        <w:rPr>
          <w:rFonts w:ascii="Arial" w:eastAsia="黑体" w:hAnsi="Arial" w:cs="Arial"/>
          <w:b/>
          <w:bCs/>
          <w:snapToGrid w:val="0"/>
          <w:szCs w:val="21"/>
        </w:rPr>
        <w:sectPr w:rsidR="00AD5BB5">
          <w:headerReference w:type="even" r:id="rId72"/>
          <w:headerReference w:type="default" r:id="rId73"/>
          <w:headerReference w:type="first" r:id="rId74"/>
          <w:pgSz w:w="16840" w:h="11907" w:orient="landscape"/>
          <w:pgMar w:top="1797" w:right="1440" w:bottom="1797" w:left="1440" w:header="720" w:footer="720" w:gutter="0"/>
          <w:cols w:space="720"/>
          <w:titlePg/>
          <w:docGrid w:linePitch="360"/>
        </w:sectPr>
      </w:pPr>
    </w:p>
    <w:p w:rsidR="00AD5BB5" w:rsidRDefault="00AD5BB5">
      <w:pPr>
        <w:overflowPunct w:val="0"/>
        <w:autoSpaceDE w:val="0"/>
        <w:autoSpaceDN w:val="0"/>
        <w:adjustRightInd w:val="0"/>
        <w:snapToGrid w:val="0"/>
        <w:ind w:left="720" w:hanging="720"/>
        <w:textAlignment w:val="bottom"/>
        <w:rPr>
          <w:rFonts w:ascii="Arial" w:eastAsia="黑体" w:hAnsi="Arial" w:cs="Arial"/>
          <w:b/>
          <w:bCs/>
          <w:snapToGrid w:val="0"/>
          <w:szCs w:val="21"/>
        </w:rPr>
      </w:pPr>
    </w:p>
    <w:p w:rsidR="00AD5BB5" w:rsidRDefault="00AD5BB5">
      <w:pPr>
        <w:overflowPunct w:val="0"/>
        <w:autoSpaceDE w:val="0"/>
        <w:autoSpaceDN w:val="0"/>
        <w:adjustRightInd w:val="0"/>
        <w:snapToGrid w:val="0"/>
        <w:ind w:left="720" w:hanging="720"/>
        <w:textAlignment w:val="bottom"/>
        <w:rPr>
          <w:rFonts w:ascii="Arial" w:eastAsia="黑体" w:hAnsi="Arial" w:cs="Arial"/>
          <w:b/>
          <w:bCs/>
          <w:snapToGrid w:val="0"/>
          <w:szCs w:val="21"/>
        </w:rPr>
      </w:pPr>
    </w:p>
    <w:p w:rsidR="00AD5BB5" w:rsidRDefault="00F87FF6">
      <w:pPr>
        <w:overflowPunct w:val="0"/>
        <w:autoSpaceDE w:val="0"/>
        <w:autoSpaceDN w:val="0"/>
        <w:adjustRightInd w:val="0"/>
        <w:snapToGrid w:val="0"/>
        <w:ind w:left="720" w:hanging="720"/>
        <w:textAlignment w:val="bottom"/>
        <w:rPr>
          <w:rFonts w:ascii="Arial" w:eastAsia="黑体" w:hAnsi="Arial" w:cs="Arial"/>
          <w:b/>
          <w:bCs/>
          <w:snapToGrid w:val="0"/>
          <w:szCs w:val="21"/>
        </w:rPr>
      </w:pPr>
      <w:bookmarkStart w:id="426" w:name="afsaddin_WithXu_440582171e2e4e7a941591a3"/>
      <w:r>
        <w:rPr>
          <w:rFonts w:ascii="Arial" w:eastAsia="黑体" w:hAnsi="Arial" w:cs="Arial"/>
          <w:b/>
          <w:bCs/>
          <w:snapToGrid w:val="0"/>
          <w:szCs w:val="21"/>
        </w:rPr>
        <w:t>八、</w:t>
      </w:r>
      <w:r>
        <w:rPr>
          <w:rFonts w:ascii="Arial" w:eastAsia="黑体" w:hAnsi="Arial" w:cs="Arial"/>
          <w:b/>
          <w:bCs/>
          <w:snapToGrid w:val="0"/>
          <w:szCs w:val="21"/>
        </w:rPr>
        <w:tab/>
      </w:r>
      <w:r>
        <w:rPr>
          <w:rFonts w:ascii="Arial" w:eastAsia="黑体" w:hAnsi="Arial" w:cs="Arial"/>
          <w:b/>
          <w:bCs/>
          <w:snapToGrid w:val="0"/>
          <w:szCs w:val="21"/>
        </w:rPr>
        <w:t>金融工具及其风险分析（续）</w:t>
      </w:r>
      <w:bookmarkEnd w:id="426"/>
    </w:p>
    <w:p w:rsidR="00AD5BB5" w:rsidRDefault="00AD5BB5">
      <w:pPr>
        <w:overflowPunct w:val="0"/>
        <w:autoSpaceDE w:val="0"/>
        <w:autoSpaceDN w:val="0"/>
        <w:adjustRightInd w:val="0"/>
        <w:snapToGrid w:val="0"/>
        <w:ind w:left="720" w:hanging="720"/>
        <w:textAlignment w:val="bottom"/>
        <w:rPr>
          <w:rFonts w:ascii="Arial" w:eastAsia="黑体" w:hAnsi="Arial" w:cs="Arial"/>
          <w:b/>
          <w:bCs/>
          <w:snapToGrid w:val="0"/>
          <w:szCs w:val="21"/>
        </w:rPr>
      </w:pPr>
    </w:p>
    <w:p w:rsidR="00AD5BB5" w:rsidRDefault="00F87FF6">
      <w:pPr>
        <w:overflowPunct w:val="0"/>
        <w:autoSpaceDE w:val="0"/>
        <w:autoSpaceDN w:val="0"/>
        <w:adjustRightInd w:val="0"/>
        <w:snapToGrid w:val="0"/>
        <w:ind w:left="720" w:hanging="720"/>
        <w:textAlignment w:val="bottom"/>
        <w:rPr>
          <w:rFonts w:ascii="Arial" w:eastAsia="黑体" w:hAnsi="Arial" w:cs="Arial"/>
          <w:b/>
          <w:bCs/>
          <w:snapToGrid w:val="0"/>
          <w:szCs w:val="21"/>
        </w:rPr>
      </w:pPr>
      <w:bookmarkStart w:id="427" w:name="afsaddin_WithXu_03594da4bc234683b6c0ce8f"/>
      <w:r>
        <w:rPr>
          <w:rFonts w:ascii="Arial" w:eastAsia="黑体" w:hAnsi="Arial" w:cs="Arial"/>
          <w:b/>
          <w:bCs/>
          <w:snapToGrid w:val="0"/>
          <w:szCs w:val="21"/>
        </w:rPr>
        <w:t>3.</w:t>
      </w:r>
      <w:r>
        <w:rPr>
          <w:rFonts w:ascii="Arial" w:eastAsia="黑体" w:hAnsi="Arial" w:cs="Arial"/>
          <w:b/>
          <w:bCs/>
          <w:snapToGrid w:val="0"/>
          <w:szCs w:val="21"/>
        </w:rPr>
        <w:tab/>
      </w:r>
      <w:r>
        <w:rPr>
          <w:rFonts w:ascii="Arial" w:eastAsia="黑体" w:hAnsi="Arial" w:cs="Arial"/>
          <w:b/>
          <w:bCs/>
          <w:snapToGrid w:val="0"/>
          <w:szCs w:val="21"/>
        </w:rPr>
        <w:t>市场风险（续）</w:t>
      </w:r>
      <w:bookmarkEnd w:id="427"/>
    </w:p>
    <w:p w:rsidR="00AD5BB5" w:rsidRDefault="00AD5BB5">
      <w:pPr>
        <w:overflowPunct w:val="0"/>
        <w:autoSpaceDE w:val="0"/>
        <w:autoSpaceDN w:val="0"/>
        <w:adjustRightInd w:val="0"/>
        <w:snapToGrid w:val="0"/>
        <w:ind w:left="720" w:hanging="720"/>
        <w:textAlignment w:val="bottom"/>
        <w:rPr>
          <w:rFonts w:ascii="Arial" w:eastAsia="黑体" w:hAnsi="Arial" w:cs="Arial"/>
          <w:b/>
          <w:bCs/>
          <w:snapToGrid w:val="0"/>
          <w:szCs w:val="21"/>
        </w:rPr>
      </w:pPr>
    </w:p>
    <w:p w:rsidR="00AD5BB5" w:rsidRDefault="00F87FF6">
      <w:pPr>
        <w:overflowPunct w:val="0"/>
        <w:autoSpaceDE w:val="0"/>
        <w:autoSpaceDN w:val="0"/>
        <w:adjustRightInd w:val="0"/>
        <w:snapToGrid w:val="0"/>
        <w:ind w:left="720" w:hanging="720"/>
        <w:textAlignment w:val="bottom"/>
        <w:rPr>
          <w:rFonts w:ascii="Arial" w:eastAsia="黑体" w:hAnsi="Arial" w:cs="Arial"/>
          <w:b/>
          <w:bCs/>
          <w:snapToGrid w:val="0"/>
          <w:szCs w:val="21"/>
        </w:rPr>
      </w:pPr>
      <w:bookmarkStart w:id="428" w:name="afsaddin_WithXu_390e66df5fec466e89fcfe87"/>
      <w:r>
        <w:rPr>
          <w:rFonts w:ascii="Arial" w:eastAsia="黑体" w:hAnsi="Arial" w:cs="Arial"/>
          <w:b/>
          <w:bCs/>
          <w:snapToGrid w:val="0"/>
          <w:szCs w:val="21"/>
        </w:rPr>
        <w:t>3.2</w:t>
      </w:r>
      <w:r>
        <w:rPr>
          <w:rFonts w:ascii="Arial" w:eastAsia="黑体" w:hAnsi="Arial" w:cs="Arial"/>
          <w:b/>
          <w:bCs/>
          <w:snapToGrid w:val="0"/>
          <w:szCs w:val="21"/>
        </w:rPr>
        <w:tab/>
      </w:r>
      <w:r>
        <w:rPr>
          <w:rFonts w:ascii="Arial" w:eastAsia="黑体" w:hAnsi="Arial" w:cs="Arial"/>
          <w:b/>
          <w:bCs/>
          <w:snapToGrid w:val="0"/>
          <w:szCs w:val="21"/>
        </w:rPr>
        <w:t>汇率风险（续）</w:t>
      </w:r>
      <w:bookmarkEnd w:id="428"/>
    </w:p>
    <w:p w:rsidR="00AD5BB5" w:rsidRDefault="00AD5BB5">
      <w:pPr>
        <w:overflowPunct w:val="0"/>
        <w:autoSpaceDE w:val="0"/>
        <w:autoSpaceDN w:val="0"/>
        <w:adjustRightInd w:val="0"/>
        <w:snapToGrid w:val="0"/>
        <w:ind w:left="720" w:hanging="720"/>
        <w:textAlignment w:val="bottom"/>
        <w:rPr>
          <w:rFonts w:ascii="Arial" w:eastAsia="黑体" w:hAnsi="Arial" w:cs="Arial"/>
          <w:b/>
          <w:bCs/>
          <w:snapToGrid w:val="0"/>
          <w:szCs w:val="21"/>
        </w:rPr>
      </w:pPr>
    </w:p>
    <w:tbl>
      <w:tblPr>
        <w:tblW w:w="0" w:type="auto"/>
        <w:tblLayout w:type="fixed"/>
        <w:tblCellMar>
          <w:left w:w="0" w:type="dxa"/>
          <w:right w:w="0" w:type="dxa"/>
        </w:tblCellMar>
        <w:tblLook w:val="04A0" w:firstRow="1" w:lastRow="0" w:firstColumn="1" w:lastColumn="0" w:noHBand="0" w:noVBand="1"/>
        <w:tblCaption w:val="143ff9a5-9c27-4adc-b8d3-89550d0245fe"/>
        <w:tblDescription w:val="{&quot;UUID&quot;:&quot;afsaddin_tabledata_2_56437_143ff9a5-9c27-4adc-b8d3-89550d0245fe&quot;,&quot;TitleRowCount&quot;:3,&quot;SplitedTable&quot;:false,&quot;FirstTableId&quot;:&quot;143ff9a5-9c27-4adc-b8d3-89550d0245fe&quot;}"/>
      </w:tblPr>
      <w:tblGrid>
        <w:gridCol w:w="3146"/>
        <w:gridCol w:w="109"/>
        <w:gridCol w:w="2152"/>
        <w:gridCol w:w="109"/>
        <w:gridCol w:w="109"/>
        <w:gridCol w:w="2019"/>
        <w:gridCol w:w="109"/>
        <w:gridCol w:w="109"/>
        <w:gridCol w:w="1629"/>
        <w:gridCol w:w="109"/>
        <w:gridCol w:w="109"/>
        <w:gridCol w:w="1885"/>
        <w:gridCol w:w="109"/>
        <w:gridCol w:w="109"/>
        <w:gridCol w:w="2152"/>
        <w:gridCol w:w="109"/>
      </w:tblGrid>
      <w:tr w:rsidR="00AD5BB5">
        <w:tc>
          <w:tcPr>
            <w:tcW w:w="3146" w:type="dxa"/>
            <w:tcBorders>
              <w:top w:val="nil"/>
              <w:left w:val="nil"/>
              <w:bottom w:val="nil"/>
              <w:right w:val="nil"/>
            </w:tcBorders>
            <w:vAlign w:val="bottom"/>
          </w:tcPr>
          <w:bookmarkStart w:id="429" w:name="afsaddin_WithXu_4cc47542843a4a70b859eb6e"/>
          <w:bookmarkStart w:id="430" w:name="afsaddin_WithXu_d7011fc132dd4ed1aa262503"/>
          <w:bookmarkStart w:id="431" w:name="afsaddin_WithXu_1cfa837b8fe4440ca305c209"/>
          <w:bookmarkEnd w:id="429"/>
          <w:bookmarkEnd w:id="430"/>
          <w:bookmarkEnd w:id="431"/>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 DOCPROPERTY </w:instrText>
            </w:r>
            <w:r>
              <w:rPr>
                <w:rFonts w:ascii="Arial" w:eastAsia="黑体" w:hAnsi="Arial" w:cs="Arial"/>
                <w:sz w:val="18"/>
                <w:szCs w:val="18"/>
              </w:rPr>
              <w:instrText>当期资产负债表日</w:instrText>
            </w:r>
            <w:r>
              <w:rPr>
                <w:rFonts w:ascii="Arial" w:eastAsia="黑体" w:hAnsi="Arial" w:cs="Arial"/>
                <w:sz w:val="18"/>
                <w:szCs w:val="18"/>
              </w:rPr>
              <w:instrText xml:space="preserve"> </w:instrText>
            </w:r>
            <w:r>
              <w:rPr>
                <w:rFonts w:ascii="Arial" w:eastAsia="黑体" w:hAnsi="Arial" w:cs="Arial"/>
                <w:sz w:val="18"/>
                <w:szCs w:val="18"/>
              </w:rPr>
              <w:fldChar w:fldCharType="separate"/>
            </w:r>
            <w:r>
              <w:rPr>
                <w:rFonts w:ascii="Arial" w:eastAsia="黑体" w:hAnsi="Arial" w:cs="Arial"/>
                <w:sz w:val="18"/>
                <w:szCs w:val="18"/>
              </w:rPr>
              <w:t>2023</w:t>
            </w:r>
            <w:r>
              <w:rPr>
                <w:rFonts w:ascii="Arial" w:eastAsia="黑体" w:hAnsi="Arial" w:cs="Arial"/>
                <w:sz w:val="18"/>
                <w:szCs w:val="18"/>
              </w:rPr>
              <w:t>年</w:t>
            </w:r>
            <w:r>
              <w:rPr>
                <w:rFonts w:ascii="Arial" w:eastAsia="黑体" w:hAnsi="Arial" w:cs="Arial"/>
                <w:sz w:val="18"/>
                <w:szCs w:val="18"/>
              </w:rPr>
              <w:t>6</w:t>
            </w:r>
            <w:r>
              <w:rPr>
                <w:rFonts w:ascii="Arial" w:eastAsia="黑体" w:hAnsi="Arial" w:cs="Arial"/>
                <w:sz w:val="18"/>
                <w:szCs w:val="18"/>
              </w:rPr>
              <w:t>月</w:t>
            </w:r>
            <w:r>
              <w:rPr>
                <w:rFonts w:ascii="Arial" w:eastAsia="黑体" w:hAnsi="Arial" w:cs="Arial"/>
                <w:sz w:val="18"/>
                <w:szCs w:val="18"/>
              </w:rPr>
              <w:t>30</w:t>
            </w:r>
            <w:r>
              <w:rPr>
                <w:rFonts w:ascii="Arial" w:eastAsia="黑体" w:hAnsi="Arial" w:cs="Arial"/>
                <w:sz w:val="18"/>
                <w:szCs w:val="18"/>
              </w:rPr>
              <w:t>日</w:t>
            </w:r>
            <w:r>
              <w:rPr>
                <w:rFonts w:ascii="Arial" w:eastAsia="黑体" w:hAnsi="Arial" w:cs="Arial"/>
                <w:sz w:val="18"/>
                <w:szCs w:val="18"/>
              </w:rPr>
              <w:fldChar w:fldCharType="end"/>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人民币</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美元</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港币</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其他币种</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合计</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14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折合人民币</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折合人民币</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折合人民币</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14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146" w:type="dxa"/>
            <w:tcBorders>
              <w:top w:val="nil"/>
              <w:left w:val="nil"/>
              <w:bottom w:val="nil"/>
              <w:right w:val="nil"/>
            </w:tcBorders>
            <w:vAlign w:val="bottom"/>
          </w:tcPr>
          <w:p w:rsidR="00AD5BB5" w:rsidRDefault="00F87FF6">
            <w:pPr>
              <w:autoSpaceDE w:val="0"/>
              <w:autoSpaceDN w:val="0"/>
              <w:ind w:left="181" w:hangingChars="100" w:hanging="181"/>
              <w:rPr>
                <w:rFonts w:ascii="Arial" w:eastAsia="黑体" w:hAnsi="Arial" w:cs="Arial"/>
                <w:b/>
                <w:bCs/>
                <w:sz w:val="18"/>
                <w:szCs w:val="18"/>
              </w:rPr>
            </w:pPr>
            <w:r>
              <w:rPr>
                <w:rFonts w:ascii="Arial" w:eastAsia="黑体" w:hAnsi="Arial" w:cs="Arial"/>
                <w:b/>
                <w:bCs/>
                <w:sz w:val="18"/>
                <w:szCs w:val="18"/>
              </w:rPr>
              <w:t>负债项目</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14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向中央银行借款</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8,399,274,703.47</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8,399,274,703.47</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14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同业及其他金融机构存放款项</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10,131,776,763.54</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20,605,632.57</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10,152,382,396.11</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14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拆入资金</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20,516,185,045.91</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3,492,034,376.22</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45,602,758.46</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24,053,822,180.59</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14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交易性金融负债</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103,125,441.55</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103,125,441.55</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14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衍生金融负债</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1,817,927,155.15</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1,817,927,155.15</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14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卖出回购金融资产</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13,282,818,972.83</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13,282,818,972.83</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14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吸收存款</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181,728,759,940.73</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5,864,932,022.35</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1,657,660.62</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50,310,831.17</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187,645,660,454.87</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14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应付职工薪酬</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445,701,889.32</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445,701,889.32</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14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应交税费</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212,893,405.70</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212,893,405.70</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14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预计负债</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311,476,007.59</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1,123,265.69</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292,986.58</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312,892,259.86</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14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应付债券</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77,204,487,365.39</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77,204,487,365.39</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14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其他负债</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3,509,486,387.83</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31,540,333.31</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8,360.26</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7,049,868.20</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3,548,084,949.60</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14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14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负债总额</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317,663,913,079.01</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9,410,235,630.14</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1,666,020.88</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103,256,444.41</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327,179,071,174.44</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14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14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表内净头寸</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25,260,963,402.21</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422,519,325.61</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9,130,526.02</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44,630,066.10</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25,737,243,319.94</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14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9"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5"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14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货币衍生合约</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77,017,489.30</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(112,245,117.71</w:t>
            </w:r>
          </w:p>
        </w:tc>
        <w:tc>
          <w:tcPr>
            <w:tcW w:w="109"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(7,375,840.00</w:t>
            </w:r>
          </w:p>
        </w:tc>
        <w:tc>
          <w:tcPr>
            <w:tcW w:w="109"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(17,895,900.00</w:t>
            </w:r>
          </w:p>
        </w:tc>
        <w:tc>
          <w:tcPr>
            <w:tcW w:w="109"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(60,499,368.41</w:t>
            </w:r>
          </w:p>
        </w:tc>
        <w:tc>
          <w:tcPr>
            <w:tcW w:w="109"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rPr>
              <w:t>)</w:t>
            </w:r>
          </w:p>
        </w:tc>
      </w:tr>
      <w:tr w:rsidR="00AD5BB5">
        <w:tc>
          <w:tcPr>
            <w:tcW w:w="314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9"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5"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14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表外承诺</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50,429,607,639.70</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971,636,501.59</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57,594,769.23</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8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46,114,282.17</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51,504,953,192.69</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bl>
    <w:p w:rsidR="00AD5BB5" w:rsidRDefault="00AD5BB5">
      <w:pPr>
        <w:overflowPunct w:val="0"/>
        <w:autoSpaceDE w:val="0"/>
        <w:autoSpaceDN w:val="0"/>
        <w:adjustRightInd w:val="0"/>
        <w:snapToGrid w:val="0"/>
        <w:ind w:left="720" w:hanging="720"/>
        <w:textAlignment w:val="bottom"/>
        <w:rPr>
          <w:rFonts w:ascii="Arial" w:eastAsia="黑体" w:hAnsi="Arial" w:cs="Arial"/>
          <w:b/>
          <w:bCs/>
          <w:szCs w:val="21"/>
        </w:rPr>
        <w:sectPr w:rsidR="00AD5BB5">
          <w:pgSz w:w="16840" w:h="11907" w:orient="landscape"/>
          <w:pgMar w:top="1797" w:right="1440" w:bottom="1797" w:left="1440" w:header="720" w:footer="720" w:gutter="0"/>
          <w:cols w:space="720"/>
          <w:titlePg/>
          <w:docGrid w:linePitch="360"/>
        </w:sectPr>
      </w:pPr>
    </w:p>
    <w:p w:rsidR="00AD5BB5" w:rsidRDefault="00AD5BB5">
      <w:pPr>
        <w:overflowPunct w:val="0"/>
        <w:autoSpaceDE w:val="0"/>
        <w:autoSpaceDN w:val="0"/>
        <w:adjustRightInd w:val="0"/>
        <w:snapToGrid w:val="0"/>
        <w:ind w:left="720" w:hanging="720"/>
        <w:textAlignment w:val="bottom"/>
        <w:rPr>
          <w:rFonts w:ascii="Arial" w:eastAsia="黑体" w:hAnsi="Arial" w:cs="Arial"/>
          <w:b/>
          <w:bCs/>
          <w:szCs w:val="21"/>
        </w:rPr>
      </w:pPr>
    </w:p>
    <w:p w:rsidR="00AD5BB5" w:rsidRDefault="00AD5BB5">
      <w:pPr>
        <w:overflowPunct w:val="0"/>
        <w:autoSpaceDE w:val="0"/>
        <w:autoSpaceDN w:val="0"/>
        <w:adjustRightInd w:val="0"/>
        <w:snapToGrid w:val="0"/>
        <w:ind w:left="720" w:hanging="720"/>
        <w:textAlignment w:val="bottom"/>
        <w:rPr>
          <w:rFonts w:ascii="Arial" w:eastAsia="黑体" w:hAnsi="Arial" w:cs="Arial"/>
          <w:b/>
          <w:bCs/>
          <w:szCs w:val="21"/>
        </w:rPr>
      </w:pPr>
    </w:p>
    <w:p w:rsidR="00AD5BB5" w:rsidRDefault="00F87FF6">
      <w:pPr>
        <w:overflowPunct w:val="0"/>
        <w:autoSpaceDE w:val="0"/>
        <w:autoSpaceDN w:val="0"/>
        <w:adjustRightInd w:val="0"/>
        <w:snapToGrid w:val="0"/>
        <w:ind w:left="720" w:hanging="720"/>
        <w:textAlignment w:val="bottom"/>
        <w:rPr>
          <w:rFonts w:ascii="Arial" w:eastAsia="黑体" w:hAnsi="Arial" w:cs="Arial"/>
          <w:b/>
          <w:bCs/>
          <w:szCs w:val="21"/>
        </w:rPr>
      </w:pPr>
      <w:bookmarkStart w:id="432" w:name="afsaddin_WithXu_93d24e8a6d0b416da0e0355d"/>
      <w:r>
        <w:rPr>
          <w:rFonts w:ascii="Arial" w:eastAsia="黑体" w:hAnsi="Arial" w:cs="Arial"/>
          <w:b/>
          <w:bCs/>
          <w:szCs w:val="21"/>
        </w:rPr>
        <w:t>八、</w:t>
      </w:r>
      <w:r>
        <w:rPr>
          <w:rFonts w:ascii="Arial" w:eastAsia="黑体" w:hAnsi="Arial" w:cs="Arial"/>
          <w:b/>
          <w:bCs/>
          <w:szCs w:val="21"/>
        </w:rPr>
        <w:tab/>
      </w:r>
      <w:r>
        <w:rPr>
          <w:rFonts w:ascii="Arial" w:eastAsia="黑体" w:hAnsi="Arial" w:cs="Arial"/>
          <w:b/>
          <w:bCs/>
          <w:szCs w:val="21"/>
        </w:rPr>
        <w:t>金融工具及其风险分析（续）</w:t>
      </w:r>
      <w:bookmarkEnd w:id="432"/>
    </w:p>
    <w:p w:rsidR="00AD5BB5" w:rsidRDefault="00AD5BB5">
      <w:pPr>
        <w:overflowPunct w:val="0"/>
        <w:autoSpaceDE w:val="0"/>
        <w:autoSpaceDN w:val="0"/>
        <w:adjustRightInd w:val="0"/>
        <w:snapToGrid w:val="0"/>
        <w:ind w:left="720" w:hanging="720"/>
        <w:textAlignment w:val="bottom"/>
        <w:rPr>
          <w:rFonts w:ascii="Arial" w:eastAsia="黑体" w:hAnsi="Arial" w:cs="Arial"/>
          <w:b/>
          <w:bCs/>
          <w:szCs w:val="21"/>
        </w:rPr>
      </w:pPr>
    </w:p>
    <w:p w:rsidR="00AD5BB5" w:rsidRDefault="00F87FF6">
      <w:pPr>
        <w:overflowPunct w:val="0"/>
        <w:autoSpaceDE w:val="0"/>
        <w:autoSpaceDN w:val="0"/>
        <w:adjustRightInd w:val="0"/>
        <w:snapToGrid w:val="0"/>
        <w:ind w:left="720" w:hanging="720"/>
        <w:textAlignment w:val="bottom"/>
        <w:rPr>
          <w:rFonts w:ascii="Arial" w:eastAsia="黑体" w:hAnsi="Arial" w:cs="Arial"/>
          <w:b/>
          <w:bCs/>
          <w:szCs w:val="21"/>
        </w:rPr>
      </w:pPr>
      <w:bookmarkStart w:id="433" w:name="afsaddin_WithXu_1fe48de7734c42f497021d5e"/>
      <w:r>
        <w:rPr>
          <w:rFonts w:ascii="Arial" w:eastAsia="黑体" w:hAnsi="Arial" w:cs="Arial"/>
          <w:b/>
          <w:bCs/>
          <w:szCs w:val="21"/>
        </w:rPr>
        <w:t>3.</w:t>
      </w:r>
      <w:r>
        <w:rPr>
          <w:rFonts w:ascii="Arial" w:eastAsia="黑体" w:hAnsi="Arial" w:cs="Arial"/>
          <w:b/>
          <w:bCs/>
          <w:szCs w:val="21"/>
        </w:rPr>
        <w:tab/>
      </w:r>
      <w:r>
        <w:rPr>
          <w:rFonts w:ascii="Arial" w:eastAsia="黑体" w:hAnsi="Arial" w:cs="Arial"/>
          <w:b/>
          <w:bCs/>
          <w:szCs w:val="21"/>
        </w:rPr>
        <w:t>市场风险（续）</w:t>
      </w:r>
      <w:bookmarkEnd w:id="433"/>
    </w:p>
    <w:p w:rsidR="00AD5BB5" w:rsidRDefault="00AD5BB5">
      <w:pPr>
        <w:overflowPunct w:val="0"/>
        <w:autoSpaceDE w:val="0"/>
        <w:autoSpaceDN w:val="0"/>
        <w:adjustRightInd w:val="0"/>
        <w:snapToGrid w:val="0"/>
        <w:ind w:left="720" w:hanging="720"/>
        <w:textAlignment w:val="bottom"/>
        <w:rPr>
          <w:rFonts w:ascii="Arial" w:eastAsia="黑体" w:hAnsi="Arial" w:cs="Arial"/>
          <w:b/>
          <w:bCs/>
          <w:szCs w:val="21"/>
        </w:rPr>
      </w:pPr>
    </w:p>
    <w:p w:rsidR="00AD5BB5" w:rsidRDefault="00F87FF6">
      <w:pPr>
        <w:overflowPunct w:val="0"/>
        <w:autoSpaceDE w:val="0"/>
        <w:autoSpaceDN w:val="0"/>
        <w:adjustRightInd w:val="0"/>
        <w:snapToGrid w:val="0"/>
        <w:ind w:left="720" w:hanging="720"/>
        <w:textAlignment w:val="bottom"/>
        <w:rPr>
          <w:rFonts w:ascii="Arial" w:eastAsia="黑体" w:hAnsi="Arial" w:cs="Arial"/>
          <w:b/>
          <w:bCs/>
          <w:szCs w:val="21"/>
        </w:rPr>
      </w:pPr>
      <w:bookmarkStart w:id="434" w:name="afsaddin_WithXu_642849661af24dcfa4dcea37"/>
      <w:r>
        <w:rPr>
          <w:rFonts w:ascii="Arial" w:eastAsia="黑体" w:hAnsi="Arial" w:cs="Arial"/>
          <w:b/>
          <w:bCs/>
          <w:szCs w:val="21"/>
        </w:rPr>
        <w:t>3.2</w:t>
      </w:r>
      <w:r>
        <w:rPr>
          <w:rFonts w:ascii="Arial" w:eastAsia="黑体" w:hAnsi="Arial" w:cs="Arial"/>
          <w:b/>
          <w:bCs/>
          <w:szCs w:val="21"/>
        </w:rPr>
        <w:tab/>
      </w:r>
      <w:r>
        <w:rPr>
          <w:rFonts w:ascii="Arial" w:eastAsia="黑体" w:hAnsi="Arial" w:cs="Arial"/>
          <w:b/>
          <w:bCs/>
          <w:szCs w:val="21"/>
        </w:rPr>
        <w:t>汇率风险（续）</w:t>
      </w:r>
      <w:bookmarkEnd w:id="434"/>
    </w:p>
    <w:p w:rsidR="00AD5BB5" w:rsidRDefault="00AD5BB5">
      <w:pPr>
        <w:overflowPunct w:val="0"/>
        <w:autoSpaceDE w:val="0"/>
        <w:autoSpaceDN w:val="0"/>
        <w:adjustRightInd w:val="0"/>
        <w:snapToGrid w:val="0"/>
        <w:ind w:left="720" w:hanging="720"/>
        <w:textAlignment w:val="bottom"/>
        <w:rPr>
          <w:rFonts w:ascii="Arial" w:eastAsia="黑体" w:hAnsi="Arial" w:cs="Arial"/>
          <w:b/>
          <w:bCs/>
          <w:szCs w:val="21"/>
        </w:rPr>
      </w:pPr>
    </w:p>
    <w:tbl>
      <w:tblPr>
        <w:tblW w:w="0" w:type="auto"/>
        <w:tblLayout w:type="fixed"/>
        <w:tblCellMar>
          <w:left w:w="0" w:type="dxa"/>
          <w:right w:w="0" w:type="dxa"/>
        </w:tblCellMar>
        <w:tblLook w:val="04A0" w:firstRow="1" w:lastRow="0" w:firstColumn="1" w:lastColumn="0" w:noHBand="0" w:noVBand="1"/>
        <w:tblCaption w:val="0c0384aa-81b8-4727-9174-7552ca93af9e"/>
        <w:tblDescription w:val="{&quot;UUID&quot;:&quot;afsaddin_tabledata_2_56437_0c0384aa-81b8-4727-9174-7552ca93af9e&quot;,&quot;TitleRowCount&quot;:3,&quot;SplitedTable&quot;:false,&quot;FirstTableId&quot;:&quot;0c0384aa-81b8-4727-9174-7552ca93af9e&quot;}"/>
      </w:tblPr>
      <w:tblGrid>
        <w:gridCol w:w="2835"/>
        <w:gridCol w:w="142"/>
        <w:gridCol w:w="1962"/>
        <w:gridCol w:w="23"/>
        <w:gridCol w:w="141"/>
        <w:gridCol w:w="2127"/>
        <w:gridCol w:w="125"/>
        <w:gridCol w:w="20"/>
        <w:gridCol w:w="2127"/>
        <w:gridCol w:w="141"/>
        <w:gridCol w:w="142"/>
        <w:gridCol w:w="1985"/>
        <w:gridCol w:w="141"/>
        <w:gridCol w:w="142"/>
        <w:gridCol w:w="1917"/>
        <w:gridCol w:w="107"/>
      </w:tblGrid>
      <w:tr w:rsidR="00AD5BB5">
        <w:tc>
          <w:tcPr>
            <w:tcW w:w="2835"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bookmarkStart w:id="435" w:name="afsaddin_WithXu_b289d99ae4d94c5082f6bf3f"/>
            <w:bookmarkStart w:id="436" w:name="afsaddin_WithXu_e34286b4e76b49b783b16f50"/>
            <w:bookmarkStart w:id="437" w:name="afsaddin_WithXu_49f57a8ed6f842fa9a33f9b9"/>
            <w:bookmarkEnd w:id="435"/>
            <w:bookmarkEnd w:id="436"/>
            <w:bookmarkEnd w:id="437"/>
            <w:r>
              <w:rPr>
                <w:rFonts w:ascii="Arial" w:eastAsia="黑体" w:hAnsi="Arial" w:cs="Arial"/>
                <w:sz w:val="18"/>
                <w:szCs w:val="18"/>
              </w:rPr>
              <w:t>2022</w:t>
            </w:r>
            <w:r>
              <w:rPr>
                <w:rFonts w:ascii="Arial" w:eastAsia="黑体" w:hAnsi="Arial" w:cs="Arial"/>
                <w:sz w:val="18"/>
                <w:szCs w:val="18"/>
              </w:rPr>
              <w:t>年</w:t>
            </w:r>
            <w:r>
              <w:rPr>
                <w:rFonts w:ascii="Arial" w:eastAsia="黑体" w:hAnsi="Arial" w:cs="Arial"/>
                <w:sz w:val="18"/>
                <w:szCs w:val="18"/>
              </w:rPr>
              <w:t>12</w:t>
            </w:r>
            <w:r>
              <w:rPr>
                <w:rFonts w:ascii="Arial" w:eastAsia="黑体" w:hAnsi="Arial" w:cs="Arial"/>
                <w:sz w:val="18"/>
                <w:szCs w:val="18"/>
              </w:rPr>
              <w:t>月</w:t>
            </w:r>
            <w:r>
              <w:rPr>
                <w:rFonts w:ascii="Arial" w:eastAsia="黑体" w:hAnsi="Arial" w:cs="Arial"/>
                <w:sz w:val="18"/>
                <w:szCs w:val="18"/>
              </w:rPr>
              <w:t>31</w:t>
            </w:r>
            <w:r>
              <w:rPr>
                <w:rFonts w:ascii="Arial" w:eastAsia="黑体" w:hAnsi="Arial" w:cs="Arial"/>
                <w:sz w:val="18"/>
                <w:szCs w:val="18"/>
              </w:rPr>
              <w:t>日</w:t>
            </w: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人民币</w:t>
            </w: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美元</w:t>
            </w:r>
          </w:p>
        </w:tc>
        <w:tc>
          <w:tcPr>
            <w:tcW w:w="12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港币</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其他币种</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1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合计</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835"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6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折合人民币</w:t>
            </w:r>
          </w:p>
        </w:tc>
        <w:tc>
          <w:tcPr>
            <w:tcW w:w="12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折合人民币</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折合人民币</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1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835"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6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2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8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1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835" w:type="dxa"/>
            <w:tcBorders>
              <w:top w:val="nil"/>
              <w:left w:val="nil"/>
              <w:bottom w:val="nil"/>
              <w:right w:val="nil"/>
            </w:tcBorders>
            <w:vAlign w:val="bottom"/>
          </w:tcPr>
          <w:p w:rsidR="00AD5BB5" w:rsidRDefault="00F87FF6">
            <w:pPr>
              <w:autoSpaceDE w:val="0"/>
              <w:autoSpaceDN w:val="0"/>
              <w:ind w:left="181" w:hangingChars="100" w:hanging="181"/>
              <w:rPr>
                <w:rFonts w:ascii="Arial" w:eastAsia="黑体" w:hAnsi="Arial" w:cs="Arial"/>
                <w:b/>
                <w:bCs/>
                <w:sz w:val="18"/>
                <w:szCs w:val="18"/>
              </w:rPr>
            </w:pPr>
            <w:r>
              <w:rPr>
                <w:rFonts w:ascii="Arial" w:eastAsia="黑体" w:hAnsi="Arial" w:cs="Arial"/>
                <w:b/>
                <w:bCs/>
                <w:sz w:val="18"/>
                <w:szCs w:val="18"/>
              </w:rPr>
              <w:t>资产项目</w:t>
            </w: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6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2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8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1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835"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现金及存放中央银行款项</w:t>
            </w: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29,195,133,212.45</w:t>
            </w: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606,900,639.89</w:t>
            </w:r>
          </w:p>
        </w:tc>
        <w:tc>
          <w:tcPr>
            <w:tcW w:w="12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930,322.84</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5,493,776.10</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1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29,808,457,951.28</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835"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存放同业及其他金融机构款项</w:t>
            </w: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7,956,588,682.94</w:t>
            </w: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2,046,260,454.17</w:t>
            </w:r>
          </w:p>
        </w:tc>
        <w:tc>
          <w:tcPr>
            <w:tcW w:w="12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15,488,491.99</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89,322,966.01</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1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10,107,660,595.11</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835"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拆出资金</w:t>
            </w: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13,869,536,648.33</w:t>
            </w: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2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1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13,869,536,648.33</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835"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交易性金融资产</w:t>
            </w: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15,749,732,446.14</w:t>
            </w: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2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1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15,749,732,446.14</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835"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衍生金融资产</w:t>
            </w: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2,071,731,603.84</w:t>
            </w: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2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1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2,071,731,603.84</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835"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买入返售金融资产</w:t>
            </w: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16,079,751,316.94</w:t>
            </w: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2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1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16,079,751,316.94</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835"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发放贷款及垫款</w:t>
            </w: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188,982,646,799.99</w:t>
            </w: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5,038,645,568.32</w:t>
            </w:r>
          </w:p>
        </w:tc>
        <w:tc>
          <w:tcPr>
            <w:tcW w:w="12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9,356,680.46</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124,448,492.47</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1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194,155,097,541.24</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835"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债权投资</w:t>
            </w: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43,029,065,739.67</w:t>
            </w: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1,893,434,291.64</w:t>
            </w:r>
          </w:p>
        </w:tc>
        <w:tc>
          <w:tcPr>
            <w:tcW w:w="12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121,663,101.88</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1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45,044,163,133.19</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835"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其他债权投资</w:t>
            </w: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35,716,722,361.44</w:t>
            </w: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3,582,623,792.38</w:t>
            </w:r>
          </w:p>
        </w:tc>
        <w:tc>
          <w:tcPr>
            <w:tcW w:w="12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1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39,299,346,153.82</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835"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其他权益工具投资</w:t>
            </w: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77,287,780.74</w:t>
            </w: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2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1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77,287,780.74</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835"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投资性房地产</w:t>
            </w: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2,567,042.86</w:t>
            </w: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2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1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2,567,042.86</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835"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固定资产</w:t>
            </w: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801,970,417.24</w:t>
            </w: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2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1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801,970,417.24</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835"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在建工程</w:t>
            </w: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174,139,487.04</w:t>
            </w: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2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1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174,139,487.04</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835"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无形资产</w:t>
            </w: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462,115,950.95</w:t>
            </w: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2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1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462,115,950.95</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835"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递延所得税资产</w:t>
            </w: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1,792,454,553.28</w:t>
            </w: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2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1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1,792,454,553.28</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835"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其他资产</w:t>
            </w: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6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1,711,840,881.70</w:t>
            </w: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162,137.70</w:t>
            </w:r>
          </w:p>
        </w:tc>
        <w:tc>
          <w:tcPr>
            <w:tcW w:w="12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118.73</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85"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2,862.22</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1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1,712,006,000.35</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835"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6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2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8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1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835"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资产总额</w:t>
            </w: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6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357,673,284,925.55</w:t>
            </w:r>
          </w:p>
        </w:tc>
        <w:tc>
          <w:tcPr>
            <w:tcW w:w="2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13,168,026,884.10</w:t>
            </w:r>
          </w:p>
        </w:tc>
        <w:tc>
          <w:tcPr>
            <w:tcW w:w="12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2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25,775,614.02</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8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340,931,198.68</w:t>
            </w: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1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371,208,018,622.35</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bl>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sectPr w:rsidR="00AD5BB5">
          <w:pgSz w:w="16840" w:h="11907" w:orient="landscape"/>
          <w:pgMar w:top="1797" w:right="1440" w:bottom="1797" w:left="1440" w:header="720" w:footer="720" w:gutter="0"/>
          <w:cols w:space="720"/>
          <w:titlePg/>
          <w:docGrid w:linePitch="360"/>
        </w:sectPr>
      </w:pPr>
    </w:p>
    <w:p w:rsidR="00AD5BB5" w:rsidRDefault="00AD5BB5">
      <w:pPr>
        <w:overflowPunct w:val="0"/>
        <w:autoSpaceDE w:val="0"/>
        <w:autoSpaceDN w:val="0"/>
        <w:adjustRightInd w:val="0"/>
        <w:snapToGrid w:val="0"/>
        <w:ind w:left="720" w:hanging="720"/>
        <w:textAlignment w:val="bottom"/>
        <w:rPr>
          <w:rFonts w:ascii="Arial" w:eastAsia="黑体" w:hAnsi="Arial" w:cs="Arial"/>
          <w:snapToGrid w:val="0"/>
          <w:szCs w:val="21"/>
        </w:rPr>
      </w:pPr>
    </w:p>
    <w:p w:rsidR="00AD5BB5" w:rsidRDefault="00AD5BB5">
      <w:pPr>
        <w:overflowPunct w:val="0"/>
        <w:autoSpaceDE w:val="0"/>
        <w:autoSpaceDN w:val="0"/>
        <w:adjustRightInd w:val="0"/>
        <w:snapToGrid w:val="0"/>
        <w:ind w:left="720" w:hanging="720"/>
        <w:textAlignment w:val="bottom"/>
        <w:rPr>
          <w:rFonts w:ascii="Arial" w:eastAsia="黑体" w:hAnsi="Arial" w:cs="Arial"/>
          <w:snapToGrid w:val="0"/>
          <w:szCs w:val="21"/>
        </w:rPr>
      </w:pPr>
    </w:p>
    <w:p w:rsidR="00AD5BB5" w:rsidRDefault="00F87FF6">
      <w:pPr>
        <w:overflowPunct w:val="0"/>
        <w:autoSpaceDE w:val="0"/>
        <w:autoSpaceDN w:val="0"/>
        <w:adjustRightInd w:val="0"/>
        <w:snapToGrid w:val="0"/>
        <w:ind w:left="720" w:hanging="720"/>
        <w:textAlignment w:val="bottom"/>
        <w:rPr>
          <w:rFonts w:ascii="Arial" w:eastAsia="黑体" w:hAnsi="Arial" w:cs="Arial"/>
          <w:b/>
          <w:snapToGrid w:val="0"/>
          <w:szCs w:val="21"/>
        </w:rPr>
      </w:pPr>
      <w:bookmarkStart w:id="438" w:name="afsaddin_WithXu_aa5ebd0bc6904ec3ae730405"/>
      <w:r>
        <w:rPr>
          <w:rFonts w:ascii="Arial" w:eastAsia="黑体" w:hAnsi="Arial" w:cs="Arial"/>
          <w:b/>
          <w:snapToGrid w:val="0"/>
          <w:szCs w:val="21"/>
        </w:rPr>
        <w:t>八、</w:t>
      </w:r>
      <w:r>
        <w:rPr>
          <w:rFonts w:ascii="Arial" w:eastAsia="黑体" w:hAnsi="Arial" w:cs="Arial"/>
          <w:b/>
          <w:snapToGrid w:val="0"/>
          <w:szCs w:val="21"/>
        </w:rPr>
        <w:tab/>
      </w:r>
      <w:r>
        <w:rPr>
          <w:rFonts w:ascii="Arial" w:eastAsia="黑体" w:hAnsi="Arial" w:cs="Arial"/>
          <w:b/>
          <w:snapToGrid w:val="0"/>
          <w:szCs w:val="21"/>
        </w:rPr>
        <w:t>金融工具及其风险分析（续）</w:t>
      </w:r>
      <w:bookmarkEnd w:id="438"/>
    </w:p>
    <w:p w:rsidR="00AD5BB5" w:rsidRDefault="00AD5BB5">
      <w:pPr>
        <w:overflowPunct w:val="0"/>
        <w:autoSpaceDE w:val="0"/>
        <w:autoSpaceDN w:val="0"/>
        <w:adjustRightInd w:val="0"/>
        <w:snapToGrid w:val="0"/>
        <w:ind w:left="720" w:hanging="720"/>
        <w:textAlignment w:val="bottom"/>
        <w:rPr>
          <w:rFonts w:ascii="Arial" w:eastAsia="黑体" w:hAnsi="Arial" w:cs="Arial"/>
          <w:snapToGrid w:val="0"/>
          <w:szCs w:val="21"/>
        </w:rPr>
      </w:pPr>
    </w:p>
    <w:p w:rsidR="00AD5BB5" w:rsidRDefault="00F87FF6">
      <w:pPr>
        <w:overflowPunct w:val="0"/>
        <w:autoSpaceDE w:val="0"/>
        <w:autoSpaceDN w:val="0"/>
        <w:adjustRightInd w:val="0"/>
        <w:snapToGrid w:val="0"/>
        <w:ind w:left="720" w:hanging="720"/>
        <w:textAlignment w:val="bottom"/>
        <w:rPr>
          <w:rFonts w:ascii="Arial" w:eastAsia="黑体" w:hAnsi="Arial" w:cs="Arial"/>
          <w:b/>
          <w:snapToGrid w:val="0"/>
          <w:szCs w:val="21"/>
        </w:rPr>
      </w:pPr>
      <w:bookmarkStart w:id="439" w:name="afsaddin_WithXu_52cdf462be0a4d609f6ea332"/>
      <w:r>
        <w:rPr>
          <w:rFonts w:ascii="Arial" w:eastAsia="黑体" w:hAnsi="Arial" w:cs="Arial"/>
          <w:b/>
          <w:snapToGrid w:val="0"/>
          <w:szCs w:val="21"/>
        </w:rPr>
        <w:t>3.</w:t>
      </w:r>
      <w:r>
        <w:rPr>
          <w:rFonts w:ascii="Arial" w:eastAsia="黑体" w:hAnsi="Arial" w:cs="Arial"/>
          <w:b/>
          <w:snapToGrid w:val="0"/>
          <w:szCs w:val="21"/>
        </w:rPr>
        <w:tab/>
      </w:r>
      <w:r>
        <w:rPr>
          <w:rFonts w:ascii="Arial" w:eastAsia="黑体" w:hAnsi="Arial" w:cs="Arial"/>
          <w:b/>
          <w:snapToGrid w:val="0"/>
          <w:szCs w:val="21"/>
        </w:rPr>
        <w:t>市场风险（续）</w:t>
      </w:r>
      <w:bookmarkEnd w:id="439"/>
    </w:p>
    <w:p w:rsidR="00AD5BB5" w:rsidRDefault="00AD5BB5">
      <w:pPr>
        <w:overflowPunct w:val="0"/>
        <w:autoSpaceDE w:val="0"/>
        <w:autoSpaceDN w:val="0"/>
        <w:adjustRightInd w:val="0"/>
        <w:snapToGrid w:val="0"/>
        <w:ind w:left="720" w:hanging="720"/>
        <w:textAlignment w:val="bottom"/>
        <w:rPr>
          <w:rFonts w:ascii="Arial" w:eastAsia="黑体" w:hAnsi="Arial" w:cs="Arial"/>
          <w:snapToGrid w:val="0"/>
          <w:szCs w:val="21"/>
        </w:rPr>
      </w:pPr>
    </w:p>
    <w:p w:rsidR="00AD5BB5" w:rsidRDefault="00F87FF6">
      <w:pPr>
        <w:overflowPunct w:val="0"/>
        <w:autoSpaceDE w:val="0"/>
        <w:autoSpaceDN w:val="0"/>
        <w:adjustRightInd w:val="0"/>
        <w:snapToGrid w:val="0"/>
        <w:ind w:left="720" w:hanging="720"/>
        <w:textAlignment w:val="bottom"/>
        <w:rPr>
          <w:rFonts w:ascii="Arial" w:eastAsia="黑体" w:hAnsi="Arial" w:cs="Arial"/>
          <w:b/>
          <w:snapToGrid w:val="0"/>
          <w:szCs w:val="21"/>
        </w:rPr>
      </w:pPr>
      <w:bookmarkStart w:id="440" w:name="afsaddin_WithXu_331c64322f82498098178f7b"/>
      <w:r>
        <w:rPr>
          <w:rFonts w:ascii="Arial" w:eastAsia="黑体" w:hAnsi="Arial" w:cs="Arial"/>
          <w:b/>
          <w:snapToGrid w:val="0"/>
          <w:szCs w:val="21"/>
        </w:rPr>
        <w:t>3.2</w:t>
      </w:r>
      <w:r>
        <w:rPr>
          <w:rFonts w:ascii="Arial" w:eastAsia="黑体" w:hAnsi="Arial" w:cs="Arial"/>
          <w:b/>
          <w:snapToGrid w:val="0"/>
          <w:szCs w:val="21"/>
        </w:rPr>
        <w:tab/>
      </w:r>
      <w:r>
        <w:rPr>
          <w:rFonts w:ascii="Arial" w:eastAsia="黑体" w:hAnsi="Arial" w:cs="Arial"/>
          <w:b/>
          <w:snapToGrid w:val="0"/>
          <w:szCs w:val="21"/>
        </w:rPr>
        <w:t>汇率风险（续）</w:t>
      </w:r>
      <w:bookmarkEnd w:id="440"/>
    </w:p>
    <w:p w:rsidR="00AD5BB5" w:rsidRDefault="00AD5BB5">
      <w:pPr>
        <w:overflowPunct w:val="0"/>
        <w:autoSpaceDE w:val="0"/>
        <w:autoSpaceDN w:val="0"/>
        <w:adjustRightInd w:val="0"/>
        <w:snapToGrid w:val="0"/>
        <w:ind w:left="720" w:hanging="720"/>
        <w:textAlignment w:val="bottom"/>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052aaf0e-eafd-4a6a-b16f-d3a83c9326d7"/>
        <w:tblDescription w:val="{&quot;UUID&quot;:&quot;afsaddin_tabledata_2_56437_052aaf0e-eafd-4a6a-b16f-d3a83c9326d7&quot;,&quot;TitleRowCount&quot;:3,&quot;SplitedTable&quot;:false,&quot;FirstTableId&quot;:&quot;052aaf0e-eafd-4a6a-b16f-d3a83c9326d7&quot;}"/>
      </w:tblPr>
      <w:tblGrid>
        <w:gridCol w:w="2938"/>
        <w:gridCol w:w="109"/>
        <w:gridCol w:w="2012"/>
        <w:gridCol w:w="109"/>
        <w:gridCol w:w="109"/>
        <w:gridCol w:w="2010"/>
        <w:gridCol w:w="108"/>
        <w:gridCol w:w="108"/>
        <w:gridCol w:w="2010"/>
        <w:gridCol w:w="108"/>
        <w:gridCol w:w="108"/>
        <w:gridCol w:w="2010"/>
        <w:gridCol w:w="108"/>
        <w:gridCol w:w="108"/>
        <w:gridCol w:w="2010"/>
        <w:gridCol w:w="108"/>
      </w:tblGrid>
      <w:tr w:rsidR="00AD5BB5">
        <w:tc>
          <w:tcPr>
            <w:tcW w:w="2938"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bookmarkStart w:id="441" w:name="afsaddin_WithXu_3c63f3ed450e4f6ea1cbfd45"/>
            <w:bookmarkStart w:id="442" w:name="afsaddin_WithXu_ac5968605d3849789cb03c40"/>
            <w:bookmarkStart w:id="443" w:name="afsaddin_WithXu_a7c037ebceed4ef7b07c3b74"/>
            <w:bookmarkEnd w:id="441"/>
            <w:bookmarkEnd w:id="442"/>
            <w:bookmarkEnd w:id="443"/>
            <w:r>
              <w:rPr>
                <w:rFonts w:ascii="Arial" w:eastAsia="黑体" w:hAnsi="Arial" w:cs="Arial"/>
                <w:sz w:val="18"/>
                <w:szCs w:val="18"/>
              </w:rPr>
              <w:t>2022</w:t>
            </w:r>
            <w:r>
              <w:rPr>
                <w:rFonts w:ascii="Arial" w:eastAsia="黑体" w:hAnsi="Arial" w:cs="Arial"/>
                <w:sz w:val="18"/>
                <w:szCs w:val="18"/>
              </w:rPr>
              <w:t>年</w:t>
            </w:r>
            <w:r>
              <w:rPr>
                <w:rFonts w:ascii="Arial" w:eastAsia="黑体" w:hAnsi="Arial" w:cs="Arial"/>
                <w:sz w:val="18"/>
                <w:szCs w:val="18"/>
              </w:rPr>
              <w:t>12</w:t>
            </w:r>
            <w:r>
              <w:rPr>
                <w:rFonts w:ascii="Arial" w:eastAsia="黑体" w:hAnsi="Arial" w:cs="Arial"/>
                <w:sz w:val="18"/>
                <w:szCs w:val="18"/>
              </w:rPr>
              <w:t>月</w:t>
            </w:r>
            <w:r>
              <w:rPr>
                <w:rFonts w:ascii="Arial" w:eastAsia="黑体" w:hAnsi="Arial" w:cs="Arial"/>
                <w:sz w:val="18"/>
                <w:szCs w:val="18"/>
              </w:rPr>
              <w:t>31</w:t>
            </w:r>
            <w:r>
              <w:rPr>
                <w:rFonts w:ascii="Arial" w:eastAsia="黑体" w:hAnsi="Arial" w:cs="Arial"/>
                <w:sz w:val="18"/>
                <w:szCs w:val="18"/>
              </w:rPr>
              <w:t>日</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人民币</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美元</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港币</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其他币种</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合计</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938"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折合人民币</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折合人民币</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折合人民币</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938"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938" w:type="dxa"/>
            <w:tcBorders>
              <w:top w:val="nil"/>
              <w:left w:val="nil"/>
              <w:bottom w:val="nil"/>
              <w:right w:val="nil"/>
            </w:tcBorders>
            <w:vAlign w:val="bottom"/>
          </w:tcPr>
          <w:p w:rsidR="00AD5BB5" w:rsidRDefault="00F87FF6">
            <w:pPr>
              <w:autoSpaceDE w:val="0"/>
              <w:autoSpaceDN w:val="0"/>
              <w:ind w:left="181" w:hangingChars="100" w:hanging="181"/>
              <w:rPr>
                <w:rFonts w:ascii="Arial" w:eastAsia="黑体" w:hAnsi="Arial" w:cs="Arial"/>
                <w:b/>
                <w:bCs/>
                <w:sz w:val="18"/>
                <w:szCs w:val="18"/>
              </w:rPr>
            </w:pPr>
            <w:r>
              <w:rPr>
                <w:rFonts w:ascii="Arial" w:eastAsia="黑体" w:hAnsi="Arial" w:cs="Arial"/>
                <w:b/>
                <w:bCs/>
                <w:sz w:val="18"/>
                <w:szCs w:val="18"/>
              </w:rPr>
              <w:t>负债项目</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938"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向中央银行借款</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8,935,700,000.01</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8,935,700,000.01</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938"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同业及其他金融机构存放款项</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13,409,945,756.90</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16,076,602.23</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13,426,022,359.13</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938"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拆入资金</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19,056,209,225.51</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3,123,252,828.78</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102,506,109.57</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22,281,968,163.86</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938"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交易性金融负债</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2,849,303.95</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2,849,303.95</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938"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衍生金融负债</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2,278,585,435.40</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2,278,585,435.40</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938"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卖出回购金融资产</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19,851,821,327.97</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19,851,821,327.97</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938"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吸收存款</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197,448,064,796.64</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9,506,853,417.39</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1,869,865.21</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58,075,792.22</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207,014,863,871.46</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938"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应付职工薪酬</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506,228,770.61</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506,228,770.61</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938"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应交税费</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267,988,863.95</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267,988,863.95</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938"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预计负债</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469,586,244.95</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4,176,427.22</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61,500.71</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473,824,172.88</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938"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应付债券</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69,439,121,875.05</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69,439,121,875.05</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938"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其他负债</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1,944,151,970.59</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40,842,094.88</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8,099.92</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192,807.09</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1,985,194,972.48</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938"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938"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负债总额</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333,610,253,571.53</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12,691,201,370.50</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1,877,965.13</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160,836,209.59</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346,464,169,116.75</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938"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938"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表内净头寸</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24,063,031,354.02</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476,825,513.60</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23,897,648.89</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180,094,989.09</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24,743,849,505.60</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938"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2"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938"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货币衍生合约</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(146,945,171.46</w:t>
            </w:r>
          </w:p>
        </w:tc>
        <w:tc>
          <w:tcPr>
            <w:tcW w:w="109"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113,003,120.11</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(22,778,385.00</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(146,942,475.61</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(203,662,911.96</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w:t>
            </w:r>
          </w:p>
        </w:tc>
      </w:tr>
      <w:tr w:rsidR="00AD5BB5">
        <w:tc>
          <w:tcPr>
            <w:tcW w:w="2938"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2"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938"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表外承诺</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69,598,397,332.92</w:t>
            </w: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1,459,277,981.96</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37,129,323.09</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15,268,290.99</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010"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71,110,072,928.96</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bl>
    <w:p w:rsidR="00AD5BB5" w:rsidRDefault="00AD5BB5">
      <w:pPr>
        <w:overflowPunct w:val="0"/>
        <w:autoSpaceDE w:val="0"/>
        <w:autoSpaceDN w:val="0"/>
        <w:rPr>
          <w:rFonts w:ascii="Arial" w:eastAsia="黑体" w:hAnsi="Arial" w:cs="Arial"/>
          <w:snapToGrid w:val="0"/>
          <w:szCs w:val="21"/>
        </w:rPr>
        <w:sectPr w:rsidR="00AD5BB5">
          <w:pgSz w:w="16840" w:h="11907" w:orient="landscape"/>
          <w:pgMar w:top="1797" w:right="1440" w:bottom="1797" w:left="1440" w:header="720" w:footer="720" w:gutter="0"/>
          <w:cols w:space="720"/>
          <w:titlePg/>
          <w:docGrid w:linePitch="360"/>
        </w:sectPr>
      </w:pPr>
    </w:p>
    <w:p w:rsidR="00AD5BB5" w:rsidRDefault="00AD5BB5">
      <w:pPr>
        <w:overflowPunct w:val="0"/>
        <w:autoSpaceDE w:val="0"/>
        <w:autoSpaceDN w:val="0"/>
        <w:adjustRightInd w:val="0"/>
        <w:snapToGrid w:val="0"/>
        <w:ind w:left="720" w:hanging="720"/>
        <w:textAlignment w:val="bottom"/>
        <w:rPr>
          <w:rFonts w:ascii="Arial" w:eastAsia="黑体" w:hAnsi="Arial" w:cs="Arial"/>
          <w:snapToGrid w:val="0"/>
          <w:szCs w:val="21"/>
        </w:rPr>
      </w:pPr>
    </w:p>
    <w:p w:rsidR="00AD5BB5" w:rsidRDefault="00AD5BB5">
      <w:pPr>
        <w:overflowPunct w:val="0"/>
        <w:autoSpaceDE w:val="0"/>
        <w:autoSpaceDN w:val="0"/>
        <w:adjustRightInd w:val="0"/>
        <w:snapToGrid w:val="0"/>
        <w:ind w:left="720" w:hanging="720"/>
        <w:textAlignment w:val="bottom"/>
        <w:rPr>
          <w:rFonts w:ascii="Arial" w:eastAsia="黑体" w:hAnsi="Arial" w:cs="Arial"/>
          <w:snapToGrid w:val="0"/>
          <w:szCs w:val="21"/>
        </w:rPr>
      </w:pPr>
    </w:p>
    <w:p w:rsidR="00AD5BB5" w:rsidRDefault="00F87FF6">
      <w:pPr>
        <w:overflowPunct w:val="0"/>
        <w:autoSpaceDE w:val="0"/>
        <w:autoSpaceDN w:val="0"/>
        <w:adjustRightInd w:val="0"/>
        <w:snapToGrid w:val="0"/>
        <w:ind w:left="720" w:hanging="720"/>
        <w:textAlignment w:val="bottom"/>
        <w:rPr>
          <w:rFonts w:ascii="Arial" w:eastAsia="黑体" w:hAnsi="Arial" w:cs="Arial"/>
          <w:b/>
          <w:snapToGrid w:val="0"/>
          <w:szCs w:val="21"/>
        </w:rPr>
      </w:pPr>
      <w:bookmarkStart w:id="444" w:name="afsaddin_WithXu_10a0820e3e7343759efb8dd1"/>
      <w:r>
        <w:rPr>
          <w:rFonts w:ascii="Arial" w:eastAsia="黑体" w:hAnsi="Arial" w:cs="Arial"/>
          <w:b/>
          <w:snapToGrid w:val="0"/>
          <w:szCs w:val="21"/>
        </w:rPr>
        <w:t>八、</w:t>
      </w:r>
      <w:r>
        <w:rPr>
          <w:rFonts w:ascii="Arial" w:eastAsia="黑体" w:hAnsi="Arial" w:cs="Arial"/>
          <w:b/>
          <w:snapToGrid w:val="0"/>
          <w:szCs w:val="21"/>
        </w:rPr>
        <w:tab/>
      </w:r>
      <w:r>
        <w:rPr>
          <w:rFonts w:ascii="Arial" w:eastAsia="黑体" w:hAnsi="Arial" w:cs="Arial"/>
          <w:b/>
          <w:snapToGrid w:val="0"/>
          <w:szCs w:val="21"/>
        </w:rPr>
        <w:t>金融工具及其风险分析（续）</w:t>
      </w:r>
      <w:bookmarkEnd w:id="444"/>
    </w:p>
    <w:p w:rsidR="00AD5BB5" w:rsidRDefault="00AD5BB5">
      <w:pPr>
        <w:overflowPunct w:val="0"/>
        <w:autoSpaceDE w:val="0"/>
        <w:autoSpaceDN w:val="0"/>
        <w:adjustRightInd w:val="0"/>
        <w:snapToGrid w:val="0"/>
        <w:ind w:left="720" w:hanging="720"/>
        <w:textAlignment w:val="bottom"/>
        <w:rPr>
          <w:rFonts w:ascii="Arial" w:eastAsia="黑体" w:hAnsi="Arial" w:cs="Arial"/>
          <w:snapToGrid w:val="0"/>
          <w:szCs w:val="21"/>
        </w:rPr>
      </w:pPr>
    </w:p>
    <w:p w:rsidR="00AD5BB5" w:rsidRDefault="00F87FF6">
      <w:pPr>
        <w:overflowPunct w:val="0"/>
        <w:autoSpaceDE w:val="0"/>
        <w:autoSpaceDN w:val="0"/>
        <w:adjustRightInd w:val="0"/>
        <w:snapToGrid w:val="0"/>
        <w:ind w:left="720" w:hanging="720"/>
        <w:textAlignment w:val="bottom"/>
        <w:rPr>
          <w:rFonts w:ascii="Arial" w:eastAsia="黑体" w:hAnsi="Arial" w:cs="Arial"/>
          <w:b/>
          <w:snapToGrid w:val="0"/>
          <w:szCs w:val="21"/>
        </w:rPr>
      </w:pPr>
      <w:bookmarkStart w:id="445" w:name="afsaddin_WithXu_958e5d0459314dc480c278fe"/>
      <w:r>
        <w:rPr>
          <w:rFonts w:ascii="Arial" w:eastAsia="黑体" w:hAnsi="Arial" w:cs="Arial"/>
          <w:b/>
          <w:snapToGrid w:val="0"/>
          <w:szCs w:val="21"/>
        </w:rPr>
        <w:t>3.</w:t>
      </w:r>
      <w:r>
        <w:rPr>
          <w:rFonts w:ascii="Arial" w:eastAsia="黑体" w:hAnsi="Arial" w:cs="Arial"/>
          <w:b/>
          <w:snapToGrid w:val="0"/>
          <w:szCs w:val="21"/>
        </w:rPr>
        <w:tab/>
      </w:r>
      <w:r>
        <w:rPr>
          <w:rFonts w:ascii="Arial" w:eastAsia="黑体" w:hAnsi="Arial" w:cs="Arial"/>
          <w:b/>
          <w:snapToGrid w:val="0"/>
          <w:szCs w:val="21"/>
        </w:rPr>
        <w:t>市场风险（续）</w:t>
      </w:r>
      <w:bookmarkEnd w:id="445"/>
    </w:p>
    <w:p w:rsidR="00AD5BB5" w:rsidRDefault="00AD5BB5">
      <w:pPr>
        <w:overflowPunct w:val="0"/>
        <w:autoSpaceDE w:val="0"/>
        <w:autoSpaceDN w:val="0"/>
        <w:adjustRightInd w:val="0"/>
        <w:snapToGrid w:val="0"/>
        <w:ind w:left="720" w:hanging="720"/>
        <w:textAlignment w:val="bottom"/>
        <w:rPr>
          <w:rFonts w:ascii="Arial" w:eastAsia="黑体" w:hAnsi="Arial" w:cs="Arial"/>
          <w:snapToGrid w:val="0"/>
          <w:szCs w:val="21"/>
        </w:rPr>
      </w:pPr>
    </w:p>
    <w:p w:rsidR="00AD5BB5" w:rsidRDefault="00F87FF6">
      <w:pPr>
        <w:overflowPunct w:val="0"/>
        <w:autoSpaceDE w:val="0"/>
        <w:autoSpaceDN w:val="0"/>
        <w:adjustRightInd w:val="0"/>
        <w:snapToGrid w:val="0"/>
        <w:ind w:left="720" w:hanging="720"/>
        <w:textAlignment w:val="bottom"/>
        <w:rPr>
          <w:rFonts w:ascii="Arial" w:eastAsia="黑体" w:hAnsi="Arial" w:cs="Arial"/>
          <w:b/>
          <w:snapToGrid w:val="0"/>
          <w:szCs w:val="21"/>
        </w:rPr>
      </w:pPr>
      <w:bookmarkStart w:id="446" w:name="afsaddin_WithXu_8f2dfb7b36b54a96ac39868b"/>
      <w:r>
        <w:rPr>
          <w:rFonts w:ascii="Arial" w:eastAsia="黑体" w:hAnsi="Arial" w:cs="Arial"/>
          <w:b/>
          <w:snapToGrid w:val="0"/>
          <w:szCs w:val="21"/>
        </w:rPr>
        <w:t>3.2</w:t>
      </w:r>
      <w:r>
        <w:rPr>
          <w:rFonts w:ascii="Arial" w:eastAsia="黑体" w:hAnsi="Arial" w:cs="Arial"/>
          <w:b/>
          <w:snapToGrid w:val="0"/>
          <w:szCs w:val="21"/>
        </w:rPr>
        <w:tab/>
      </w:r>
      <w:r>
        <w:rPr>
          <w:rFonts w:ascii="Arial" w:eastAsia="黑体" w:hAnsi="Arial" w:cs="Arial"/>
          <w:b/>
          <w:snapToGrid w:val="0"/>
          <w:szCs w:val="21"/>
        </w:rPr>
        <w:t>汇率风险（续）</w:t>
      </w:r>
      <w:bookmarkEnd w:id="446"/>
    </w:p>
    <w:p w:rsidR="00AD5BB5" w:rsidRDefault="00AD5BB5">
      <w:pPr>
        <w:overflowPunct w:val="0"/>
        <w:autoSpaceDE w:val="0"/>
        <w:autoSpaceDN w:val="0"/>
        <w:adjustRightInd w:val="0"/>
        <w:snapToGrid w:val="0"/>
        <w:ind w:left="720" w:hanging="720"/>
        <w:textAlignment w:val="bottom"/>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bookmarkStart w:id="447" w:name="afsaddin_WithXu_4a777947944d402492ca945b"/>
      <w:bookmarkStart w:id="448" w:name="afsaddin_WithXu_eb02454b32394a55832e5f3b"/>
      <w:bookmarkStart w:id="449" w:name="afsaddin_WithXu_6ecf432ae81e482ebe628757"/>
      <w:bookmarkEnd w:id="447"/>
      <w:bookmarkEnd w:id="448"/>
      <w:bookmarkEnd w:id="449"/>
      <w:r>
        <w:rPr>
          <w:rFonts w:ascii="Arial" w:eastAsia="黑体" w:hAnsi="Arial" w:cs="Arial"/>
          <w:snapToGrid w:val="0"/>
          <w:szCs w:val="21"/>
        </w:rPr>
        <w:t>本集团采用敏感性分析衡量汇率变化对本集团汇兑净损益的可能影响。下表列出于</w:t>
      </w: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当期资产负债表日</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2023</w:t>
      </w:r>
      <w:r>
        <w:rPr>
          <w:rFonts w:ascii="Arial" w:eastAsia="黑体" w:hAnsi="Arial" w:cs="Arial"/>
          <w:snapToGrid w:val="0"/>
          <w:szCs w:val="21"/>
        </w:rPr>
        <w:t>年</w:t>
      </w:r>
      <w:r>
        <w:rPr>
          <w:rFonts w:ascii="Arial" w:eastAsia="黑体" w:hAnsi="Arial" w:cs="Arial"/>
          <w:snapToGrid w:val="0"/>
          <w:szCs w:val="21"/>
        </w:rPr>
        <w:t>6</w:t>
      </w:r>
      <w:r>
        <w:rPr>
          <w:rFonts w:ascii="Arial" w:eastAsia="黑体" w:hAnsi="Arial" w:cs="Arial"/>
          <w:snapToGrid w:val="0"/>
          <w:szCs w:val="21"/>
        </w:rPr>
        <w:t>月</w:t>
      </w:r>
      <w:r>
        <w:rPr>
          <w:rFonts w:ascii="Arial" w:eastAsia="黑体" w:hAnsi="Arial" w:cs="Arial"/>
          <w:snapToGrid w:val="0"/>
          <w:szCs w:val="21"/>
        </w:rPr>
        <w:t>30</w:t>
      </w:r>
      <w:r>
        <w:rPr>
          <w:rFonts w:ascii="Arial" w:eastAsia="黑体" w:hAnsi="Arial" w:cs="Arial"/>
          <w:snapToGrid w:val="0"/>
          <w:szCs w:val="21"/>
        </w:rPr>
        <w:t>日</w:t>
      </w:r>
      <w:r>
        <w:rPr>
          <w:rFonts w:ascii="Arial" w:eastAsia="黑体" w:hAnsi="Arial" w:cs="Arial"/>
          <w:snapToGrid w:val="0"/>
          <w:szCs w:val="21"/>
        </w:rPr>
        <w:fldChar w:fldCharType="end"/>
      </w:r>
      <w:r>
        <w:rPr>
          <w:rFonts w:ascii="Arial" w:eastAsia="黑体" w:hAnsi="Arial" w:cs="Arial"/>
          <w:snapToGrid w:val="0"/>
          <w:szCs w:val="21"/>
        </w:rPr>
        <w:t>及</w:t>
      </w: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上期资产负债表日</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2022</w:t>
      </w:r>
      <w:r>
        <w:rPr>
          <w:rFonts w:ascii="Arial" w:eastAsia="黑体" w:hAnsi="Arial" w:cs="Arial"/>
          <w:snapToGrid w:val="0"/>
          <w:szCs w:val="21"/>
        </w:rPr>
        <w:t>年</w:t>
      </w:r>
      <w:r>
        <w:rPr>
          <w:rFonts w:ascii="Arial" w:eastAsia="黑体" w:hAnsi="Arial" w:cs="Arial"/>
          <w:snapToGrid w:val="0"/>
          <w:szCs w:val="21"/>
        </w:rPr>
        <w:t>12</w:t>
      </w:r>
      <w:r>
        <w:rPr>
          <w:rFonts w:ascii="Arial" w:eastAsia="黑体" w:hAnsi="Arial" w:cs="Arial"/>
          <w:snapToGrid w:val="0"/>
          <w:szCs w:val="21"/>
        </w:rPr>
        <w:t>月</w:t>
      </w:r>
      <w:r>
        <w:rPr>
          <w:rFonts w:ascii="Arial" w:eastAsia="黑体" w:hAnsi="Arial" w:cs="Arial"/>
          <w:snapToGrid w:val="0"/>
          <w:szCs w:val="21"/>
        </w:rPr>
        <w:t>31</w:t>
      </w:r>
      <w:r>
        <w:rPr>
          <w:rFonts w:ascii="Arial" w:eastAsia="黑体" w:hAnsi="Arial" w:cs="Arial"/>
          <w:snapToGrid w:val="0"/>
          <w:szCs w:val="21"/>
        </w:rPr>
        <w:t>日</w:t>
      </w:r>
      <w:r>
        <w:rPr>
          <w:rFonts w:ascii="Arial" w:eastAsia="黑体" w:hAnsi="Arial" w:cs="Arial"/>
          <w:snapToGrid w:val="0"/>
          <w:szCs w:val="21"/>
        </w:rPr>
        <w:fldChar w:fldCharType="end"/>
      </w:r>
      <w:r>
        <w:rPr>
          <w:rFonts w:ascii="Arial" w:eastAsia="黑体" w:hAnsi="Arial" w:cs="Arial"/>
          <w:snapToGrid w:val="0"/>
          <w:szCs w:val="21"/>
        </w:rPr>
        <w:t>按当日资产和负债进行汇率敏感性分析结果。</w:t>
      </w:r>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04e7d2bc-cb3c-4904-aff5-bde965d45b83"/>
        <w:tblDescription w:val="{&quot;UUID&quot;:&quot;afsaddin_tabledata_2_56437_04e7d2bc-cb3c-4904-aff5-bde965d45b83&quot;,&quot;TitleRowCount&quot;:2,&quot;SplitedTable&quot;:false,&quot;FirstTableId&quot;:&quot;04e7d2bc-cb3c-4904-aff5-bde965d45b83&quot;}"/>
      </w:tblPr>
      <w:tblGrid>
        <w:gridCol w:w="3417"/>
        <w:gridCol w:w="113"/>
        <w:gridCol w:w="2278"/>
        <w:gridCol w:w="113"/>
        <w:gridCol w:w="113"/>
        <w:gridCol w:w="2278"/>
        <w:gridCol w:w="113"/>
      </w:tblGrid>
      <w:tr w:rsidR="00AD5BB5">
        <w:tc>
          <w:tcPr>
            <w:tcW w:w="3417"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当期资产负债表日</w:instrText>
            </w:r>
            <w:r>
              <w:rPr>
                <w:rFonts w:ascii="Arial" w:eastAsia="黑体" w:hAnsi="Arial" w:cs="Arial"/>
                <w:szCs w:val="21"/>
              </w:rPr>
              <w:instrText xml:space="preserve"> </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t>年</w:t>
            </w:r>
            <w:r>
              <w:rPr>
                <w:rFonts w:ascii="Arial" w:eastAsia="黑体" w:hAnsi="Arial" w:cs="Arial"/>
                <w:szCs w:val="21"/>
              </w:rPr>
              <w:t>6</w:t>
            </w:r>
            <w:r>
              <w:rPr>
                <w:rFonts w:ascii="Arial" w:eastAsia="黑体" w:hAnsi="Arial" w:cs="Arial"/>
                <w:szCs w:val="21"/>
              </w:rPr>
              <w:t>月</w:t>
            </w:r>
            <w:r>
              <w:rPr>
                <w:rFonts w:ascii="Arial" w:eastAsia="黑体" w:hAnsi="Arial" w:cs="Arial"/>
                <w:szCs w:val="21"/>
              </w:rPr>
              <w:t>30</w:t>
            </w:r>
            <w:r>
              <w:rPr>
                <w:rFonts w:ascii="Arial" w:eastAsia="黑体" w:hAnsi="Arial" w:cs="Arial"/>
                <w:szCs w:val="21"/>
              </w:rPr>
              <w:t>日</w:t>
            </w:r>
            <w:r>
              <w:rPr>
                <w:rFonts w:ascii="Arial" w:eastAsia="黑体" w:hAnsi="Arial" w:cs="Arial"/>
                <w:szCs w:val="21"/>
              </w:rPr>
              <w:fldChar w:fldCharType="end"/>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汇率变更</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(1%)</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1%</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汇率风险导致损益变更</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(2,540,722.95</w:t>
            </w:r>
          </w:p>
        </w:tc>
        <w:tc>
          <w:tcPr>
            <w:tcW w:w="113"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2,540,722.95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bl>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8e4a1099-26ea-4410-b7b8-e928080dbd89"/>
        <w:tblDescription w:val="{&quot;UUID&quot;:&quot;afsaddin_tabledata_2_56437_8e4a1099-26ea-4410-b7b8-e928080dbd89&quot;,&quot;TitleRowCount&quot;:2,&quot;SplitedTable&quot;:false,&quot;FirstTableId&quot;:&quot;8e4a1099-26ea-4410-b7b8-e928080dbd89&quot;}"/>
      </w:tblPr>
      <w:tblGrid>
        <w:gridCol w:w="3417"/>
        <w:gridCol w:w="113"/>
        <w:gridCol w:w="2278"/>
        <w:gridCol w:w="113"/>
        <w:gridCol w:w="113"/>
        <w:gridCol w:w="2278"/>
        <w:gridCol w:w="113"/>
      </w:tblGrid>
      <w:tr w:rsidR="00AD5BB5">
        <w:tc>
          <w:tcPr>
            <w:tcW w:w="3417"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上期资产负债表日</w:instrText>
            </w:r>
            <w:r>
              <w:rPr>
                <w:rFonts w:ascii="Arial" w:eastAsia="黑体" w:hAnsi="Arial" w:cs="Arial"/>
                <w:szCs w:val="21"/>
              </w:rPr>
              <w:instrText xml:space="preserve"> </w:instrText>
            </w:r>
            <w:r>
              <w:rPr>
                <w:rFonts w:ascii="Arial" w:eastAsia="黑体" w:hAnsi="Arial" w:cs="Arial"/>
                <w:szCs w:val="21"/>
              </w:rPr>
              <w:fldChar w:fldCharType="separate"/>
            </w:r>
            <w:r>
              <w:rPr>
                <w:rFonts w:ascii="Arial" w:eastAsia="黑体" w:hAnsi="Arial" w:cs="Arial"/>
                <w:szCs w:val="21"/>
              </w:rPr>
              <w:t>2022</w:t>
            </w:r>
            <w:r>
              <w:rPr>
                <w:rFonts w:ascii="Arial" w:eastAsia="黑体" w:hAnsi="Arial" w:cs="Arial"/>
                <w:szCs w:val="21"/>
              </w:rPr>
              <w:t>年</w:t>
            </w:r>
            <w:r>
              <w:rPr>
                <w:rFonts w:ascii="Arial" w:eastAsia="黑体" w:hAnsi="Arial" w:cs="Arial"/>
                <w:szCs w:val="21"/>
              </w:rPr>
              <w:t>12</w:t>
            </w:r>
            <w:r>
              <w:rPr>
                <w:rFonts w:ascii="Arial" w:eastAsia="黑体" w:hAnsi="Arial" w:cs="Arial"/>
                <w:szCs w:val="21"/>
              </w:rPr>
              <w:t>月</w:t>
            </w:r>
            <w:r>
              <w:rPr>
                <w:rFonts w:ascii="Arial" w:eastAsia="黑体" w:hAnsi="Arial" w:cs="Arial"/>
                <w:szCs w:val="21"/>
              </w:rPr>
              <w:t>31</w:t>
            </w:r>
            <w:r>
              <w:rPr>
                <w:rFonts w:ascii="Arial" w:eastAsia="黑体" w:hAnsi="Arial" w:cs="Arial"/>
                <w:szCs w:val="21"/>
              </w:rPr>
              <w:t>日</w:t>
            </w:r>
            <w:r>
              <w:rPr>
                <w:rFonts w:ascii="Arial" w:eastAsia="黑体" w:hAnsi="Arial" w:cs="Arial"/>
                <w:szCs w:val="21"/>
              </w:rPr>
              <w:fldChar w:fldCharType="end"/>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汇率变更</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汇率风险导致损益变更</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(4,680,753.08</w:t>
            </w:r>
          </w:p>
        </w:tc>
        <w:tc>
          <w:tcPr>
            <w:tcW w:w="113"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u w:val="single"/>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4,680,753.08</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bl>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以上敏感性分析基于资产和负债具有静态的汇率风险结构，其计算了当其他因素不变时，外币对人民币汇率的合理可能变动对净利润及权益的影响。有关的分析基于以下假设：</w:t>
      </w:r>
      <w:r>
        <w:rPr>
          <w:rFonts w:ascii="Arial" w:eastAsia="黑体" w:hAnsi="Arial" w:cs="Arial"/>
          <w:snapToGrid w:val="0"/>
          <w:szCs w:val="21"/>
        </w:rPr>
        <w:t>(1)</w:t>
      </w:r>
      <w:r>
        <w:rPr>
          <w:rFonts w:ascii="Arial" w:eastAsia="黑体" w:hAnsi="Arial" w:cs="Arial"/>
          <w:snapToGrid w:val="0"/>
          <w:szCs w:val="21"/>
        </w:rPr>
        <w:t>各种汇率敏感度是指各币种对人民币于报告日当天收盘（中间价）汇率绝对值波动</w:t>
      </w:r>
      <w:r>
        <w:rPr>
          <w:rFonts w:ascii="Arial" w:eastAsia="黑体" w:hAnsi="Arial" w:cs="Arial"/>
          <w:snapToGrid w:val="0"/>
          <w:szCs w:val="21"/>
        </w:rPr>
        <w:t>1%</w:t>
      </w:r>
      <w:r>
        <w:rPr>
          <w:rFonts w:ascii="Arial" w:eastAsia="黑体" w:hAnsi="Arial" w:cs="Arial"/>
          <w:snapToGrid w:val="0"/>
          <w:szCs w:val="21"/>
        </w:rPr>
        <w:t>造成的汇兑损益；</w:t>
      </w:r>
      <w:r>
        <w:rPr>
          <w:rFonts w:ascii="Arial" w:eastAsia="黑体" w:hAnsi="Arial" w:cs="Arial"/>
          <w:snapToGrid w:val="0"/>
          <w:szCs w:val="21"/>
        </w:rPr>
        <w:t>(2)</w:t>
      </w:r>
      <w:r>
        <w:rPr>
          <w:rFonts w:ascii="Arial" w:eastAsia="黑体" w:hAnsi="Arial" w:cs="Arial"/>
          <w:snapToGrid w:val="0"/>
          <w:szCs w:val="21"/>
        </w:rPr>
        <w:t>各币种汇率变动是指各币种对人民币汇率同时同向波动；</w:t>
      </w:r>
      <w:r>
        <w:rPr>
          <w:rFonts w:ascii="Arial" w:eastAsia="黑体" w:hAnsi="Arial" w:cs="Arial"/>
          <w:snapToGrid w:val="0"/>
          <w:szCs w:val="21"/>
        </w:rPr>
        <w:t>(3)</w:t>
      </w:r>
      <w:r>
        <w:rPr>
          <w:rFonts w:ascii="Arial" w:eastAsia="黑体" w:hAnsi="Arial" w:cs="Arial"/>
          <w:snapToGrid w:val="0"/>
          <w:szCs w:val="21"/>
        </w:rPr>
        <w:t>计算外汇敞口时，包含了即期外汇敞口和远期外汇敞口。由于基于上述假设，汇率变化导致本集团汇兑净损益出现的实际变化可能与此敏感性分析的结果不同。</w:t>
      </w: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adjustRightInd w:val="0"/>
        <w:snapToGrid w:val="0"/>
        <w:ind w:left="720" w:hanging="720"/>
        <w:textAlignment w:val="bottom"/>
        <w:outlineLvl w:val="3"/>
        <w:rPr>
          <w:rFonts w:ascii="Arial" w:eastAsia="黑体" w:hAnsi="Arial" w:cs="Arial"/>
          <w:b/>
          <w:bCs/>
          <w:snapToGrid w:val="0"/>
          <w:szCs w:val="21"/>
        </w:rPr>
      </w:pPr>
      <w:bookmarkStart w:id="450" w:name="afsaddin_Section_d197aee94107494ab43d6c4"/>
      <w:r>
        <w:rPr>
          <w:rFonts w:ascii="Arial" w:eastAsia="黑体" w:hAnsi="Arial" w:cs="Arial"/>
          <w:b/>
          <w:bCs/>
          <w:snapToGrid w:val="0"/>
          <w:szCs w:val="21"/>
        </w:rPr>
        <w:t>3.3</w:t>
      </w:r>
      <w:r>
        <w:rPr>
          <w:rFonts w:ascii="Arial" w:eastAsia="黑体" w:hAnsi="Arial" w:cs="Arial"/>
          <w:b/>
          <w:bCs/>
          <w:snapToGrid w:val="0"/>
          <w:szCs w:val="21"/>
        </w:rPr>
        <w:tab/>
      </w:r>
      <w:r>
        <w:rPr>
          <w:rFonts w:ascii="Arial" w:eastAsia="黑体" w:hAnsi="Arial" w:cs="Arial"/>
          <w:b/>
          <w:bCs/>
          <w:snapToGrid w:val="0"/>
          <w:szCs w:val="21"/>
        </w:rPr>
        <w:t>金融工具公允价值</w:t>
      </w:r>
    </w:p>
    <w:bookmarkEnd w:id="450"/>
    <w:p w:rsidR="00AD5BB5" w:rsidRDefault="00AD5BB5">
      <w:pPr>
        <w:overflowPunct w:val="0"/>
        <w:autoSpaceDE w:val="0"/>
        <w:autoSpaceDN w:val="0"/>
        <w:adjustRightInd w:val="0"/>
        <w:snapToGrid w:val="0"/>
        <w:ind w:left="720" w:hanging="720"/>
        <w:textAlignment w:val="bottom"/>
        <w:rPr>
          <w:rFonts w:ascii="Arial" w:eastAsia="黑体" w:hAnsi="Arial" w:cs="Arial"/>
          <w:b/>
          <w:bCs/>
          <w:snapToGrid w:val="0"/>
          <w:szCs w:val="21"/>
        </w:rPr>
      </w:pPr>
    </w:p>
    <w:p w:rsidR="00AD5BB5" w:rsidRDefault="00F87FF6">
      <w:pPr>
        <w:overflowPunct w:val="0"/>
        <w:autoSpaceDE w:val="0"/>
        <w:autoSpaceDN w:val="0"/>
        <w:adjustRightInd w:val="0"/>
        <w:snapToGrid w:val="0"/>
        <w:ind w:left="720" w:hanging="720"/>
        <w:textAlignment w:val="bottom"/>
        <w:outlineLvl w:val="4"/>
        <w:rPr>
          <w:rFonts w:ascii="Arial" w:eastAsia="黑体" w:hAnsi="Arial" w:cs="Arial"/>
          <w:snapToGrid w:val="0"/>
          <w:szCs w:val="21"/>
        </w:rPr>
      </w:pPr>
      <w:bookmarkStart w:id="451" w:name="afsaddin_Section_cc094fb49f21472ba6cda46"/>
      <w:r>
        <w:rPr>
          <w:rFonts w:ascii="Arial" w:eastAsia="黑体" w:hAnsi="Arial" w:cs="Arial"/>
          <w:snapToGrid w:val="0"/>
          <w:szCs w:val="21"/>
        </w:rPr>
        <w:t>1)</w:t>
      </w:r>
      <w:r>
        <w:rPr>
          <w:rFonts w:ascii="Arial" w:eastAsia="黑体" w:hAnsi="Arial" w:cs="Arial"/>
          <w:snapToGrid w:val="0"/>
          <w:szCs w:val="21"/>
        </w:rPr>
        <w:tab/>
      </w:r>
      <w:r>
        <w:rPr>
          <w:rFonts w:ascii="Arial" w:eastAsia="黑体" w:hAnsi="Arial" w:cs="Arial"/>
          <w:snapToGrid w:val="0"/>
          <w:szCs w:val="21"/>
        </w:rPr>
        <w:t>以公允价值计量的金融工具</w:t>
      </w:r>
    </w:p>
    <w:bookmarkEnd w:id="451"/>
    <w:p w:rsidR="00AD5BB5" w:rsidRDefault="00AD5BB5">
      <w:pPr>
        <w:overflowPunct w:val="0"/>
        <w:autoSpaceDE w:val="0"/>
        <w:autoSpaceDN w:val="0"/>
        <w:adjustRightInd w:val="0"/>
        <w:snapToGrid w:val="0"/>
        <w:ind w:left="720" w:hanging="720"/>
        <w:textAlignment w:val="bottom"/>
        <w:rPr>
          <w:rFonts w:ascii="Arial" w:eastAsia="黑体" w:hAnsi="Arial" w:cs="Arial"/>
          <w:snapToGrid w:val="0"/>
          <w:szCs w:val="21"/>
        </w:rPr>
      </w:pPr>
    </w:p>
    <w:p w:rsidR="00AD5BB5" w:rsidRDefault="00F87FF6">
      <w:pPr>
        <w:overflowPunct w:val="0"/>
        <w:autoSpaceDE w:val="0"/>
        <w:autoSpaceDN w:val="0"/>
        <w:adjustRightInd w:val="0"/>
        <w:snapToGrid w:val="0"/>
        <w:ind w:left="720" w:hanging="720"/>
        <w:textAlignment w:val="bottom"/>
        <w:outlineLvl w:val="5"/>
        <w:rPr>
          <w:rFonts w:ascii="Arial" w:eastAsia="黑体" w:hAnsi="Arial" w:cs="Arial"/>
          <w:snapToGrid w:val="0"/>
          <w:szCs w:val="21"/>
        </w:rPr>
      </w:pPr>
      <w:bookmarkStart w:id="452" w:name="afsaddin_Section_2ec396c0d1f046888bcd455"/>
      <w:r>
        <w:rPr>
          <w:rFonts w:ascii="Arial" w:eastAsia="黑体" w:hAnsi="Arial" w:cs="Arial"/>
          <w:snapToGrid w:val="0"/>
          <w:szCs w:val="21"/>
        </w:rPr>
        <w:t>(a)</w:t>
      </w:r>
      <w:r>
        <w:rPr>
          <w:rFonts w:ascii="Arial" w:eastAsia="黑体" w:hAnsi="Arial" w:cs="Arial"/>
          <w:snapToGrid w:val="0"/>
          <w:szCs w:val="21"/>
        </w:rPr>
        <w:tab/>
      </w:r>
      <w:r>
        <w:rPr>
          <w:rFonts w:ascii="Arial" w:eastAsia="黑体" w:hAnsi="Arial" w:cs="Arial"/>
          <w:snapToGrid w:val="0"/>
          <w:szCs w:val="21"/>
        </w:rPr>
        <w:t>公允价值计量的层次</w:t>
      </w:r>
    </w:p>
    <w:bookmarkEnd w:id="452"/>
    <w:p w:rsidR="00AD5BB5" w:rsidRDefault="00AD5BB5">
      <w:pPr>
        <w:overflowPunct w:val="0"/>
        <w:autoSpaceDE w:val="0"/>
        <w:autoSpaceDN w:val="0"/>
        <w:adjustRightInd w:val="0"/>
        <w:snapToGrid w:val="0"/>
        <w:ind w:left="720" w:hanging="720"/>
        <w:textAlignment w:val="bottom"/>
        <w:rPr>
          <w:rFonts w:ascii="Arial" w:eastAsia="黑体" w:hAnsi="Arial" w:cs="Arial"/>
          <w:b/>
          <w:bCs/>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本集团根据以下层次确定及披露金融工具的公允价值：</w:t>
      </w: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第一层次：</w:t>
      </w:r>
      <w:r>
        <w:rPr>
          <w:rFonts w:ascii="Arial" w:eastAsia="黑体" w:hAnsi="Arial" w:cs="Arial"/>
          <w:snapToGrid w:val="0"/>
          <w:szCs w:val="21"/>
        </w:rPr>
        <w:tab/>
      </w:r>
      <w:r>
        <w:rPr>
          <w:rFonts w:ascii="Arial" w:eastAsia="黑体" w:hAnsi="Arial" w:cs="Arial"/>
          <w:snapToGrid w:val="0"/>
          <w:szCs w:val="21"/>
        </w:rPr>
        <w:t>相同资产或负债在活跃市场未经调整的公开报价；</w:t>
      </w: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第二层次：</w:t>
      </w:r>
      <w:r>
        <w:rPr>
          <w:rFonts w:ascii="Arial" w:eastAsia="黑体" w:hAnsi="Arial" w:cs="Arial"/>
          <w:snapToGrid w:val="0"/>
          <w:szCs w:val="21"/>
        </w:rPr>
        <w:tab/>
      </w:r>
      <w:r>
        <w:rPr>
          <w:rFonts w:ascii="Arial" w:eastAsia="黑体" w:hAnsi="Arial" w:cs="Arial"/>
          <w:snapToGrid w:val="0"/>
          <w:szCs w:val="21"/>
        </w:rPr>
        <w:t>使用估值技术，所有对估值结果有重大影响的参数均采用可直接或间接</w:t>
      </w:r>
    </w:p>
    <w:p w:rsidR="00AD5BB5" w:rsidRDefault="00F87FF6">
      <w:pPr>
        <w:overflowPunct w:val="0"/>
        <w:autoSpaceDE w:val="0"/>
        <w:autoSpaceDN w:val="0"/>
        <w:ind w:firstLineChars="686" w:firstLine="1441"/>
        <w:rPr>
          <w:rFonts w:ascii="Arial" w:eastAsia="黑体" w:hAnsi="Arial" w:cs="Arial"/>
          <w:snapToGrid w:val="0"/>
          <w:szCs w:val="21"/>
        </w:rPr>
      </w:pPr>
      <w:r>
        <w:rPr>
          <w:rFonts w:ascii="Arial" w:eastAsia="黑体" w:hAnsi="Arial" w:cs="Arial"/>
          <w:snapToGrid w:val="0"/>
          <w:szCs w:val="21"/>
        </w:rPr>
        <w:t>观察的市场信息；及</w:t>
      </w: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第三层次：</w:t>
      </w:r>
      <w:r>
        <w:rPr>
          <w:rFonts w:ascii="Arial" w:eastAsia="黑体" w:hAnsi="Arial" w:cs="Arial"/>
          <w:snapToGrid w:val="0"/>
          <w:szCs w:val="21"/>
        </w:rPr>
        <w:tab/>
      </w:r>
      <w:r>
        <w:rPr>
          <w:rFonts w:ascii="Arial" w:eastAsia="黑体" w:hAnsi="Arial" w:cs="Arial"/>
          <w:snapToGrid w:val="0"/>
          <w:szCs w:val="21"/>
        </w:rPr>
        <w:t>使用估值技术，部分对估值结果有重大影响的参数并非基于可观察的市场</w:t>
      </w:r>
    </w:p>
    <w:p w:rsidR="00AD5BB5" w:rsidRDefault="00F87FF6">
      <w:pPr>
        <w:overflowPunct w:val="0"/>
        <w:autoSpaceDE w:val="0"/>
        <w:autoSpaceDN w:val="0"/>
        <w:ind w:firstLineChars="680" w:firstLine="1428"/>
        <w:rPr>
          <w:rFonts w:ascii="Arial" w:eastAsia="黑体" w:hAnsi="Arial" w:cs="Arial"/>
          <w:snapToGrid w:val="0"/>
          <w:szCs w:val="21"/>
        </w:rPr>
      </w:pPr>
      <w:r>
        <w:rPr>
          <w:rFonts w:ascii="Arial" w:eastAsia="黑体" w:hAnsi="Arial" w:cs="Arial"/>
          <w:snapToGrid w:val="0"/>
          <w:szCs w:val="21"/>
        </w:rPr>
        <w:t>信息。</w:t>
      </w: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本集团构建了公允价值计量相关的内部机制，规范了金融工具公允价值计量方法以及操作规程，明确了计量时点、估值技术、参数选择、相关模型，以及相应的部门分工。在公允价值计量过程中，风险管理部牵头确定估值技术、估值模型，并制定金融工具估值管理办法，计划财务部牵头制定计量的会计政策，并负责系统实现及相关估值结果的确认，前台业务部门负责计量对象的日常交易管理。</w:t>
      </w:r>
      <w:r>
        <w:rPr>
          <w:rFonts w:ascii="Arial" w:eastAsia="黑体" w:hAnsi="Arial" w:cs="Arial"/>
          <w:snapToGrid w:val="0"/>
          <w:szCs w:val="21"/>
        </w:rPr>
        <w:br w:type="page"/>
      </w:r>
    </w:p>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453" w:name="afsaddin_WithXu_da0fd62d417d404f818af640"/>
      <w:r>
        <w:rPr>
          <w:rFonts w:ascii="Arial" w:eastAsia="黑体" w:hAnsi="Arial" w:cs="Arial"/>
          <w:b/>
          <w:snapToGrid w:val="0"/>
          <w:szCs w:val="21"/>
        </w:rPr>
        <w:t>八、</w:t>
      </w:r>
      <w:r>
        <w:rPr>
          <w:rFonts w:ascii="Arial" w:eastAsia="黑体" w:hAnsi="Arial" w:cs="Arial"/>
          <w:b/>
          <w:snapToGrid w:val="0"/>
          <w:szCs w:val="21"/>
        </w:rPr>
        <w:tab/>
      </w:r>
      <w:r>
        <w:rPr>
          <w:rFonts w:ascii="Arial" w:eastAsia="黑体" w:hAnsi="Arial" w:cs="Arial"/>
          <w:b/>
          <w:snapToGrid w:val="0"/>
          <w:szCs w:val="21"/>
        </w:rPr>
        <w:t>金融工具及其风险分析（续）</w:t>
      </w:r>
      <w:bookmarkEnd w:id="453"/>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454" w:name="afsaddin_WithXu_d40327ee7339452cb7cd463a"/>
      <w:r>
        <w:rPr>
          <w:rFonts w:ascii="Arial" w:eastAsia="黑体" w:hAnsi="Arial" w:cs="Arial"/>
          <w:b/>
          <w:snapToGrid w:val="0"/>
          <w:szCs w:val="21"/>
        </w:rPr>
        <w:t>3.</w:t>
      </w:r>
      <w:r>
        <w:rPr>
          <w:rFonts w:ascii="Arial" w:eastAsia="黑体" w:hAnsi="Arial" w:cs="Arial"/>
          <w:b/>
          <w:snapToGrid w:val="0"/>
          <w:szCs w:val="21"/>
        </w:rPr>
        <w:tab/>
      </w:r>
      <w:r>
        <w:rPr>
          <w:rFonts w:ascii="Arial" w:eastAsia="黑体" w:hAnsi="Arial" w:cs="Arial"/>
          <w:b/>
          <w:snapToGrid w:val="0"/>
          <w:szCs w:val="21"/>
        </w:rPr>
        <w:t>市场风险（续）</w:t>
      </w:r>
      <w:bookmarkEnd w:id="454"/>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455" w:name="afsaddin_WithXu_115e50f3c607481397e17302"/>
      <w:r>
        <w:rPr>
          <w:rFonts w:ascii="Arial" w:eastAsia="黑体" w:hAnsi="Arial" w:cs="Arial"/>
          <w:b/>
          <w:snapToGrid w:val="0"/>
          <w:szCs w:val="21"/>
        </w:rPr>
        <w:t>3.3</w:t>
      </w:r>
      <w:r>
        <w:rPr>
          <w:rFonts w:ascii="Arial" w:eastAsia="黑体" w:hAnsi="Arial" w:cs="Arial"/>
          <w:b/>
          <w:snapToGrid w:val="0"/>
          <w:szCs w:val="21"/>
        </w:rPr>
        <w:tab/>
      </w:r>
      <w:r>
        <w:rPr>
          <w:rFonts w:ascii="Arial" w:eastAsia="黑体" w:hAnsi="Arial" w:cs="Arial"/>
          <w:b/>
          <w:snapToGrid w:val="0"/>
          <w:szCs w:val="21"/>
        </w:rPr>
        <w:t>金融工具公允价值（续）</w:t>
      </w:r>
      <w:bookmarkEnd w:id="455"/>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snapToGrid w:val="0"/>
          <w:szCs w:val="21"/>
        </w:rPr>
      </w:pPr>
      <w:bookmarkStart w:id="456" w:name="afsaddin_WithXu_ee2093f56f3b4839bc8e6900"/>
      <w:r>
        <w:rPr>
          <w:rFonts w:ascii="Arial" w:eastAsia="黑体" w:hAnsi="Arial" w:cs="Arial"/>
          <w:snapToGrid w:val="0"/>
          <w:szCs w:val="21"/>
        </w:rPr>
        <w:t>1)</w:t>
      </w:r>
      <w:r>
        <w:rPr>
          <w:rFonts w:ascii="Arial" w:eastAsia="黑体" w:hAnsi="Arial" w:cs="Arial"/>
          <w:snapToGrid w:val="0"/>
          <w:szCs w:val="21"/>
        </w:rPr>
        <w:tab/>
      </w:r>
      <w:r>
        <w:rPr>
          <w:rFonts w:ascii="Arial" w:eastAsia="黑体" w:hAnsi="Arial" w:cs="Arial"/>
          <w:snapToGrid w:val="0"/>
          <w:szCs w:val="21"/>
        </w:rPr>
        <w:t>以公允价值计量的金融工具（续）</w:t>
      </w:r>
      <w:bookmarkEnd w:id="456"/>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snapToGrid w:val="0"/>
          <w:szCs w:val="21"/>
        </w:rPr>
      </w:pPr>
      <w:bookmarkStart w:id="457" w:name="afsaddin_WithXu_e68ae40dfec745c39a603aff"/>
      <w:r>
        <w:rPr>
          <w:rFonts w:ascii="Arial" w:eastAsia="黑体" w:hAnsi="Arial" w:cs="Arial"/>
          <w:snapToGrid w:val="0"/>
          <w:szCs w:val="21"/>
        </w:rPr>
        <w:t>(a)</w:t>
      </w:r>
      <w:r>
        <w:rPr>
          <w:rFonts w:ascii="Arial" w:eastAsia="黑体" w:hAnsi="Arial" w:cs="Arial"/>
          <w:snapToGrid w:val="0"/>
          <w:szCs w:val="21"/>
        </w:rPr>
        <w:tab/>
      </w:r>
      <w:r>
        <w:rPr>
          <w:rFonts w:ascii="Arial" w:eastAsia="黑体" w:hAnsi="Arial" w:cs="Arial"/>
          <w:snapToGrid w:val="0"/>
          <w:szCs w:val="21"/>
        </w:rPr>
        <w:t>公允价值计量的层次（续）</w:t>
      </w:r>
      <w:bookmarkEnd w:id="457"/>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adjustRightInd w:val="0"/>
        <w:snapToGrid w:val="0"/>
        <w:ind w:left="720" w:hanging="720"/>
        <w:textAlignment w:val="bottom"/>
        <w:rPr>
          <w:rFonts w:ascii="Arial" w:eastAsia="黑体" w:hAnsi="Arial" w:cs="Arial"/>
          <w:snapToGrid w:val="0"/>
          <w:szCs w:val="21"/>
        </w:rPr>
      </w:pPr>
      <w:bookmarkStart w:id="458" w:name="afsaddin_WithXu_5154e766882c44ccb0d2ee09"/>
      <w:bookmarkStart w:id="459" w:name="afsaddin_WithXu_803cbefda03745bd971410e4"/>
      <w:bookmarkStart w:id="460" w:name="afsaddin_WithXu_d809c580af2c4287a664b8f3"/>
      <w:bookmarkStart w:id="461" w:name="afsaddin_WithXu_2443a84014da4ee5a688b615"/>
      <w:bookmarkStart w:id="462" w:name="afsaddin_WithXu_31364659fa4c4234b96ac95b"/>
      <w:bookmarkEnd w:id="458"/>
      <w:bookmarkEnd w:id="459"/>
      <w:bookmarkEnd w:id="460"/>
      <w:bookmarkEnd w:id="461"/>
      <w:bookmarkEnd w:id="462"/>
      <w:r>
        <w:rPr>
          <w:rFonts w:ascii="Arial" w:eastAsia="黑体" w:hAnsi="Arial" w:cs="Arial"/>
          <w:snapToGrid w:val="0"/>
          <w:szCs w:val="21"/>
        </w:rPr>
        <w:t>下表按公允价值层次对以公允价值计量的金融工具进行分析：</w:t>
      </w:r>
    </w:p>
    <w:p w:rsidR="00AD5BB5" w:rsidRDefault="00AD5BB5">
      <w:pPr>
        <w:overflowPunct w:val="0"/>
        <w:autoSpaceDE w:val="0"/>
        <w:autoSpaceDN w:val="0"/>
        <w:adjustRightInd w:val="0"/>
        <w:snapToGrid w:val="0"/>
        <w:ind w:left="720" w:hanging="720"/>
        <w:textAlignment w:val="bottom"/>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5d2fe977-e8af-4d65-8b61-989cf47f2058"/>
        <w:tblDescription w:val="{&quot;UUID&quot;:&quot;afsaddin_tabledata_2_56437_5d2fe977-e8af-4d65-8b61-989cf47f2058&quot;,&quot;TitleRowCount&quot;:2,&quot;SplitedTable&quot;:false,&quot;FirstTableId&quot;:&quot;5d2fe977-e8af-4d65-8b61-989cf47f2058&quot;}"/>
      </w:tblPr>
      <w:tblGrid>
        <w:gridCol w:w="2098"/>
        <w:gridCol w:w="106"/>
        <w:gridCol w:w="1304"/>
        <w:gridCol w:w="107"/>
        <w:gridCol w:w="107"/>
        <w:gridCol w:w="1366"/>
        <w:gridCol w:w="107"/>
        <w:gridCol w:w="107"/>
        <w:gridCol w:w="1304"/>
        <w:gridCol w:w="107"/>
        <w:gridCol w:w="107"/>
        <w:gridCol w:w="1366"/>
        <w:gridCol w:w="107"/>
      </w:tblGrid>
      <w:tr w:rsidR="00AD5BB5">
        <w:tc>
          <w:tcPr>
            <w:tcW w:w="209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第一层次</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第二层次</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第三层次</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合计</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09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09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fldChar w:fldCharType="begin"/>
            </w:r>
            <w:r>
              <w:rPr>
                <w:rFonts w:ascii="Arial" w:eastAsia="黑体" w:hAnsi="Arial" w:cs="Arial"/>
                <w:sz w:val="16"/>
                <w:szCs w:val="16"/>
              </w:rPr>
              <w:instrText xml:space="preserve"> DOCPROPERTY </w:instrText>
            </w:r>
            <w:r>
              <w:rPr>
                <w:rFonts w:ascii="Arial" w:eastAsia="黑体" w:hAnsi="Arial" w:cs="Arial"/>
                <w:sz w:val="16"/>
                <w:szCs w:val="16"/>
              </w:rPr>
              <w:instrText>当期资产负债表日</w:instrText>
            </w:r>
            <w:r>
              <w:rPr>
                <w:rFonts w:ascii="Arial" w:eastAsia="黑体" w:hAnsi="Arial" w:cs="Arial"/>
                <w:sz w:val="16"/>
                <w:szCs w:val="16"/>
              </w:rPr>
              <w:instrText xml:space="preserve"> </w:instrText>
            </w:r>
            <w:r>
              <w:rPr>
                <w:rFonts w:ascii="Arial" w:eastAsia="黑体" w:hAnsi="Arial" w:cs="Arial"/>
                <w:sz w:val="16"/>
                <w:szCs w:val="16"/>
              </w:rPr>
              <w:fldChar w:fldCharType="separate"/>
            </w:r>
            <w:r>
              <w:rPr>
                <w:rFonts w:ascii="Arial" w:eastAsia="黑体" w:hAnsi="Arial" w:cs="Arial"/>
                <w:sz w:val="16"/>
                <w:szCs w:val="16"/>
              </w:rPr>
              <w:t>2023</w:t>
            </w:r>
            <w:r>
              <w:rPr>
                <w:rFonts w:ascii="Arial" w:eastAsia="黑体" w:hAnsi="Arial" w:cs="Arial"/>
                <w:sz w:val="16"/>
                <w:szCs w:val="16"/>
              </w:rPr>
              <w:t>年</w:t>
            </w:r>
            <w:r>
              <w:rPr>
                <w:rFonts w:ascii="Arial" w:eastAsia="黑体" w:hAnsi="Arial" w:cs="Arial"/>
                <w:sz w:val="16"/>
                <w:szCs w:val="16"/>
              </w:rPr>
              <w:t>6</w:t>
            </w:r>
            <w:r>
              <w:rPr>
                <w:rFonts w:ascii="Arial" w:eastAsia="黑体" w:hAnsi="Arial" w:cs="Arial"/>
                <w:sz w:val="16"/>
                <w:szCs w:val="16"/>
              </w:rPr>
              <w:t>月</w:t>
            </w:r>
            <w:r>
              <w:rPr>
                <w:rFonts w:ascii="Arial" w:eastAsia="黑体" w:hAnsi="Arial" w:cs="Arial"/>
                <w:sz w:val="16"/>
                <w:szCs w:val="16"/>
              </w:rPr>
              <w:t>30</w:t>
            </w:r>
            <w:r>
              <w:rPr>
                <w:rFonts w:ascii="Arial" w:eastAsia="黑体" w:hAnsi="Arial" w:cs="Arial"/>
                <w:sz w:val="16"/>
                <w:szCs w:val="16"/>
              </w:rPr>
              <w:t>日</w:t>
            </w:r>
            <w:r>
              <w:rPr>
                <w:rFonts w:ascii="Arial" w:eastAsia="黑体" w:hAnsi="Arial" w:cs="Arial"/>
                <w:sz w:val="16"/>
                <w:szCs w:val="16"/>
              </w:rPr>
              <w:fldChar w:fldCharType="end"/>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09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衍生金融资产</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1,831,245,164.76</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1,831,245,164.76</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098" w:type="dxa"/>
            <w:tcBorders>
              <w:top w:val="nil"/>
              <w:left w:val="nil"/>
              <w:bottom w:val="nil"/>
              <w:right w:val="nil"/>
            </w:tcBorders>
            <w:vAlign w:val="bottom"/>
          </w:tcPr>
          <w:p w:rsidR="00AD5BB5" w:rsidRDefault="00F87FF6">
            <w:pPr>
              <w:autoSpaceDE w:val="0"/>
              <w:autoSpaceDN w:val="0"/>
              <w:ind w:left="154" w:hangingChars="96" w:hanging="154"/>
              <w:rPr>
                <w:rFonts w:ascii="Arial" w:eastAsia="黑体" w:hAnsi="Arial" w:cs="Arial"/>
                <w:sz w:val="16"/>
                <w:szCs w:val="16"/>
              </w:rPr>
            </w:pPr>
            <w:r>
              <w:rPr>
                <w:rFonts w:ascii="Arial" w:eastAsia="黑体" w:hAnsi="Arial" w:cs="Arial"/>
                <w:sz w:val="16"/>
                <w:szCs w:val="16"/>
              </w:rPr>
              <w:t>以公允价值计量且其变动计入其他综合收益的贷款及垫款</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21,169,639,587.44</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21,169,639,587.44</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09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交易性金融资产</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18,885,482.08</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14,498,037,822.23</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14,516,923,304.31</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09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其他债权投资</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38,698,026,779.20</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38,698,026,779.20</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09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其他权益工具投资</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96,061,014.21</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96,061,014.21</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09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其他资产</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098" w:type="dxa"/>
            <w:tcBorders>
              <w:top w:val="nil"/>
              <w:left w:val="nil"/>
              <w:bottom w:val="nil"/>
              <w:right w:val="nil"/>
            </w:tcBorders>
            <w:vAlign w:val="bottom"/>
          </w:tcPr>
          <w:p w:rsidR="00AD5BB5" w:rsidRDefault="00F87FF6">
            <w:pPr>
              <w:autoSpaceDE w:val="0"/>
              <w:autoSpaceDN w:val="0"/>
              <w:ind w:leftChars="71" w:left="469" w:hangingChars="200" w:hanging="320"/>
              <w:rPr>
                <w:rFonts w:ascii="Arial" w:eastAsia="黑体" w:hAnsi="Arial" w:cs="Arial"/>
                <w:sz w:val="16"/>
                <w:szCs w:val="16"/>
              </w:rPr>
            </w:pPr>
            <w:r>
              <w:rPr>
                <w:rFonts w:ascii="Arial" w:eastAsia="黑体" w:hAnsi="Arial" w:cs="Arial"/>
                <w:sz w:val="16"/>
                <w:szCs w:val="16"/>
              </w:rPr>
              <w:t xml:space="preserve">  </w:t>
            </w:r>
            <w:r>
              <w:rPr>
                <w:rFonts w:ascii="Arial" w:eastAsia="黑体" w:hAnsi="Arial" w:cs="Arial"/>
                <w:sz w:val="16"/>
                <w:szCs w:val="16"/>
              </w:rPr>
              <w:t>贵金属</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977,664.60</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977,664.60</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09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交易性金融负债</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986,955.25</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102,138,486.30</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103,125,441.55</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09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衍生金融负债</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1,817,927,155.15</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1,817,927,155.15</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bl>
    <w:p w:rsidR="00AD5BB5" w:rsidRDefault="00AD5BB5">
      <w:pPr>
        <w:overflowPunct w:val="0"/>
        <w:autoSpaceDE w:val="0"/>
        <w:autoSpaceDN w:val="0"/>
        <w:adjustRightInd w:val="0"/>
        <w:snapToGrid w:val="0"/>
        <w:ind w:left="720" w:hanging="720"/>
        <w:textAlignment w:val="bottom"/>
        <w:rPr>
          <w:rFonts w:ascii="Arial" w:eastAsia="黑体" w:hAnsi="Arial" w:cs="Arial"/>
          <w:b/>
          <w:bCs/>
          <w:snapToGrid w:val="0"/>
          <w:szCs w:val="21"/>
        </w:rPr>
      </w:pPr>
    </w:p>
    <w:tbl>
      <w:tblPr>
        <w:tblW w:w="0" w:type="auto"/>
        <w:tblLayout w:type="fixed"/>
        <w:tblCellMar>
          <w:left w:w="0" w:type="dxa"/>
          <w:right w:w="0" w:type="dxa"/>
        </w:tblCellMar>
        <w:tblLook w:val="04A0" w:firstRow="1" w:lastRow="0" w:firstColumn="1" w:lastColumn="0" w:noHBand="0" w:noVBand="1"/>
        <w:tblCaption w:val="6ec27646-2350-4909-b8ec-d99c7a1a7505"/>
        <w:tblDescription w:val="{&quot;UUID&quot;:&quot;afsaddin_tabledata_2_56437_6ec27646-2350-4909-b8ec-d99c7a1a7505&quot;,&quot;TitleRowCount&quot;:2,&quot;SplitedTable&quot;:false,&quot;FirstTableId&quot;:&quot;6ec27646-2350-4909-b8ec-d99c7a1a7505&quot;}"/>
      </w:tblPr>
      <w:tblGrid>
        <w:gridCol w:w="2098"/>
        <w:gridCol w:w="106"/>
        <w:gridCol w:w="1304"/>
        <w:gridCol w:w="107"/>
        <w:gridCol w:w="107"/>
        <w:gridCol w:w="1366"/>
        <w:gridCol w:w="107"/>
        <w:gridCol w:w="107"/>
        <w:gridCol w:w="1304"/>
        <w:gridCol w:w="107"/>
        <w:gridCol w:w="107"/>
        <w:gridCol w:w="1366"/>
        <w:gridCol w:w="107"/>
      </w:tblGrid>
      <w:tr w:rsidR="00AD5BB5">
        <w:tc>
          <w:tcPr>
            <w:tcW w:w="209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第一层次</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第二层次</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第三层次</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合计</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09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09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2022</w:t>
            </w:r>
            <w:r>
              <w:rPr>
                <w:rFonts w:ascii="Arial" w:eastAsia="黑体" w:hAnsi="Arial" w:cs="Arial"/>
                <w:sz w:val="16"/>
                <w:szCs w:val="16"/>
              </w:rPr>
              <w:t>年</w:t>
            </w:r>
            <w:r>
              <w:rPr>
                <w:rFonts w:ascii="Arial" w:eastAsia="黑体" w:hAnsi="Arial" w:cs="Arial"/>
                <w:sz w:val="16"/>
                <w:szCs w:val="16"/>
              </w:rPr>
              <w:t>12</w:t>
            </w:r>
            <w:r>
              <w:rPr>
                <w:rFonts w:ascii="Arial" w:eastAsia="黑体" w:hAnsi="Arial" w:cs="Arial"/>
                <w:sz w:val="16"/>
                <w:szCs w:val="16"/>
              </w:rPr>
              <w:t>月</w:t>
            </w:r>
            <w:r>
              <w:rPr>
                <w:rFonts w:ascii="Arial" w:eastAsia="黑体" w:hAnsi="Arial" w:cs="Arial"/>
                <w:sz w:val="16"/>
                <w:szCs w:val="16"/>
              </w:rPr>
              <w:t>31</w:t>
            </w:r>
            <w:r>
              <w:rPr>
                <w:rFonts w:ascii="Arial" w:eastAsia="黑体" w:hAnsi="Arial" w:cs="Arial"/>
                <w:sz w:val="16"/>
                <w:szCs w:val="16"/>
              </w:rPr>
              <w:t>日</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09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衍生金融资产</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2,071,731,603.84</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2,071,731,603.84</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098" w:type="dxa"/>
            <w:tcBorders>
              <w:top w:val="nil"/>
              <w:left w:val="nil"/>
              <w:bottom w:val="nil"/>
              <w:right w:val="nil"/>
            </w:tcBorders>
            <w:vAlign w:val="bottom"/>
          </w:tcPr>
          <w:p w:rsidR="00AD5BB5" w:rsidRDefault="00F87FF6">
            <w:pPr>
              <w:autoSpaceDE w:val="0"/>
              <w:autoSpaceDN w:val="0"/>
              <w:ind w:leftChars="6" w:left="167" w:hangingChars="96" w:hanging="154"/>
              <w:rPr>
                <w:rFonts w:ascii="Arial" w:eastAsia="黑体" w:hAnsi="Arial" w:cs="Arial"/>
                <w:sz w:val="16"/>
                <w:szCs w:val="16"/>
              </w:rPr>
            </w:pPr>
            <w:r>
              <w:rPr>
                <w:rFonts w:ascii="Arial" w:eastAsia="黑体" w:hAnsi="Arial" w:cs="Arial"/>
                <w:sz w:val="16"/>
                <w:szCs w:val="16"/>
              </w:rPr>
              <w:t>以公允价值计量且其变动计入其他综合收益的贷款及垫款</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20,063,448,884.84</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20,063,448,884.84</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09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交易性金融资产</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20,878,422.40</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15,728,854,023.74</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15,749,732,446.14</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09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其他债权投资</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39,299,346,153.82</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39,299,346,153.82</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09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其他权益工具投资</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77,287,780.74</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77,287,780.74</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09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其他资产</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098" w:type="dxa"/>
            <w:tcBorders>
              <w:top w:val="nil"/>
              <w:left w:val="nil"/>
              <w:bottom w:val="nil"/>
              <w:right w:val="nil"/>
            </w:tcBorders>
            <w:vAlign w:val="bottom"/>
          </w:tcPr>
          <w:p w:rsidR="00AD5BB5" w:rsidRDefault="00F87FF6">
            <w:pPr>
              <w:autoSpaceDE w:val="0"/>
              <w:autoSpaceDN w:val="0"/>
              <w:ind w:leftChars="64" w:left="294" w:hangingChars="100" w:hanging="160"/>
              <w:rPr>
                <w:rFonts w:ascii="Arial" w:eastAsia="黑体" w:hAnsi="Arial" w:cs="Arial"/>
                <w:sz w:val="16"/>
                <w:szCs w:val="16"/>
              </w:rPr>
            </w:pPr>
            <w:r>
              <w:rPr>
                <w:rFonts w:ascii="Arial" w:eastAsia="黑体" w:hAnsi="Arial" w:cs="Arial"/>
                <w:sz w:val="16"/>
                <w:szCs w:val="16"/>
              </w:rPr>
              <w:t>贵金属</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2,850,398.40</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2,850,398.40</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09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交易性金融负债</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2,849,303.95</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2,849,303.95</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09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衍生金融负债</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2,278,585,435.40</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2,278,585,435.40</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bl>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adjustRightInd w:val="0"/>
        <w:snapToGrid w:val="0"/>
        <w:ind w:left="720" w:hanging="720"/>
        <w:textAlignment w:val="bottom"/>
        <w:outlineLvl w:val="5"/>
        <w:rPr>
          <w:rFonts w:ascii="Arial" w:eastAsia="黑体" w:hAnsi="Arial" w:cs="Arial"/>
          <w:snapToGrid w:val="0"/>
          <w:szCs w:val="21"/>
        </w:rPr>
      </w:pPr>
      <w:bookmarkStart w:id="463" w:name="afsaddin_Section_7feb0a2126a3436c83cfcd1"/>
      <w:r>
        <w:rPr>
          <w:rFonts w:ascii="Arial" w:eastAsia="黑体" w:hAnsi="Arial" w:cs="Arial"/>
          <w:snapToGrid w:val="0"/>
          <w:szCs w:val="21"/>
        </w:rPr>
        <w:t>(b)</w:t>
      </w:r>
      <w:r>
        <w:rPr>
          <w:rFonts w:ascii="Arial" w:eastAsia="黑体" w:hAnsi="Arial" w:cs="Arial"/>
          <w:snapToGrid w:val="0"/>
          <w:szCs w:val="21"/>
        </w:rPr>
        <w:tab/>
      </w:r>
      <w:r>
        <w:rPr>
          <w:rFonts w:ascii="Arial" w:eastAsia="黑体" w:hAnsi="Arial" w:cs="Arial"/>
          <w:snapToGrid w:val="0"/>
          <w:szCs w:val="21"/>
        </w:rPr>
        <w:t>第一层次的公允价值计量</w:t>
      </w:r>
    </w:p>
    <w:bookmarkEnd w:id="463"/>
    <w:p w:rsidR="00AD5BB5" w:rsidRDefault="00AD5BB5">
      <w:pPr>
        <w:overflowPunct w:val="0"/>
        <w:autoSpaceDE w:val="0"/>
        <w:autoSpaceDN w:val="0"/>
        <w:adjustRightInd w:val="0"/>
        <w:snapToGrid w:val="0"/>
        <w:ind w:left="720" w:hanging="720"/>
        <w:textAlignment w:val="bottom"/>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贵金属投资和交易性金融负债的公允价值按照当日中国外汇交易中心最优报价</w:t>
      </w:r>
      <w:r>
        <w:rPr>
          <w:rFonts w:ascii="Arial" w:eastAsia="黑体" w:hAnsi="Arial" w:cs="Arial"/>
          <w:snapToGrid w:val="0"/>
          <w:szCs w:val="21"/>
        </w:rPr>
        <w:t>(CMDS)</w:t>
      </w:r>
      <w:r>
        <w:rPr>
          <w:rFonts w:ascii="Arial" w:eastAsia="黑体" w:hAnsi="Arial" w:cs="Arial"/>
          <w:snapToGrid w:val="0"/>
          <w:szCs w:val="21"/>
        </w:rPr>
        <w:t>及集团账面上持有的黄金克数得来，股票的公允价值按照相同资产在活跃市场的未经调整的报价。</w:t>
      </w: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截至</w:t>
      </w: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当期资产负债表日</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2023</w:t>
      </w:r>
      <w:r>
        <w:rPr>
          <w:rFonts w:ascii="Arial" w:eastAsia="黑体" w:hAnsi="Arial" w:cs="Arial"/>
          <w:snapToGrid w:val="0"/>
          <w:szCs w:val="21"/>
        </w:rPr>
        <w:t>年</w:t>
      </w:r>
      <w:r>
        <w:rPr>
          <w:rFonts w:ascii="Arial" w:eastAsia="黑体" w:hAnsi="Arial" w:cs="Arial"/>
          <w:snapToGrid w:val="0"/>
          <w:szCs w:val="21"/>
        </w:rPr>
        <w:t>6</w:t>
      </w:r>
      <w:r>
        <w:rPr>
          <w:rFonts w:ascii="Arial" w:eastAsia="黑体" w:hAnsi="Arial" w:cs="Arial"/>
          <w:snapToGrid w:val="0"/>
          <w:szCs w:val="21"/>
        </w:rPr>
        <w:t>月</w:t>
      </w:r>
      <w:r>
        <w:rPr>
          <w:rFonts w:ascii="Arial" w:eastAsia="黑体" w:hAnsi="Arial" w:cs="Arial"/>
          <w:snapToGrid w:val="0"/>
          <w:szCs w:val="21"/>
        </w:rPr>
        <w:t>30</w:t>
      </w:r>
      <w:r>
        <w:rPr>
          <w:rFonts w:ascii="Arial" w:eastAsia="黑体" w:hAnsi="Arial" w:cs="Arial"/>
          <w:snapToGrid w:val="0"/>
          <w:szCs w:val="21"/>
        </w:rPr>
        <w:t>日</w:t>
      </w:r>
      <w:r>
        <w:rPr>
          <w:rFonts w:ascii="Arial" w:eastAsia="黑体" w:hAnsi="Arial" w:cs="Arial"/>
          <w:snapToGrid w:val="0"/>
          <w:szCs w:val="21"/>
        </w:rPr>
        <w:fldChar w:fldCharType="end"/>
      </w:r>
      <w:r>
        <w:rPr>
          <w:rFonts w:ascii="Arial" w:eastAsia="黑体" w:hAnsi="Arial" w:cs="Arial"/>
          <w:snapToGrid w:val="0"/>
          <w:szCs w:val="21"/>
        </w:rPr>
        <w:t>，本集团上述持续第一层次公允价值计量所使用的估值技术并未发生变更（</w:t>
      </w: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上期资产负债表日</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2022</w:t>
      </w:r>
      <w:r>
        <w:rPr>
          <w:rFonts w:ascii="Arial" w:eastAsia="黑体" w:hAnsi="Arial" w:cs="Arial"/>
          <w:snapToGrid w:val="0"/>
          <w:szCs w:val="21"/>
        </w:rPr>
        <w:t>年</w:t>
      </w:r>
      <w:r>
        <w:rPr>
          <w:rFonts w:ascii="Arial" w:eastAsia="黑体" w:hAnsi="Arial" w:cs="Arial"/>
          <w:snapToGrid w:val="0"/>
          <w:szCs w:val="21"/>
        </w:rPr>
        <w:t>12</w:t>
      </w:r>
      <w:r>
        <w:rPr>
          <w:rFonts w:ascii="Arial" w:eastAsia="黑体" w:hAnsi="Arial" w:cs="Arial"/>
          <w:snapToGrid w:val="0"/>
          <w:szCs w:val="21"/>
        </w:rPr>
        <w:t>月</w:t>
      </w:r>
      <w:r>
        <w:rPr>
          <w:rFonts w:ascii="Arial" w:eastAsia="黑体" w:hAnsi="Arial" w:cs="Arial"/>
          <w:snapToGrid w:val="0"/>
          <w:szCs w:val="21"/>
        </w:rPr>
        <w:t>31</w:t>
      </w:r>
      <w:r>
        <w:rPr>
          <w:rFonts w:ascii="Arial" w:eastAsia="黑体" w:hAnsi="Arial" w:cs="Arial"/>
          <w:snapToGrid w:val="0"/>
          <w:szCs w:val="21"/>
        </w:rPr>
        <w:t>日</w:t>
      </w:r>
      <w:r>
        <w:rPr>
          <w:rFonts w:ascii="Arial" w:eastAsia="黑体" w:hAnsi="Arial" w:cs="Arial"/>
          <w:snapToGrid w:val="0"/>
          <w:szCs w:val="21"/>
        </w:rPr>
        <w:fldChar w:fldCharType="end"/>
      </w:r>
      <w:r>
        <w:rPr>
          <w:rFonts w:ascii="Arial" w:eastAsia="黑体" w:hAnsi="Arial" w:cs="Arial"/>
          <w:snapToGrid w:val="0"/>
          <w:szCs w:val="21"/>
        </w:rPr>
        <w:t>：无）。</w:t>
      </w:r>
      <w:r>
        <w:rPr>
          <w:rFonts w:ascii="Arial" w:eastAsia="黑体" w:hAnsi="Arial" w:cs="Arial"/>
          <w:snapToGrid w:val="0"/>
          <w:szCs w:val="21"/>
        </w:rPr>
        <w:br w:type="page"/>
      </w:r>
    </w:p>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464" w:name="afsaddin_WithXu_321596ea87db449f818ac2c9"/>
      <w:r>
        <w:rPr>
          <w:rFonts w:ascii="Arial" w:eastAsia="黑体" w:hAnsi="Arial" w:cs="Arial"/>
          <w:b/>
          <w:snapToGrid w:val="0"/>
          <w:szCs w:val="21"/>
        </w:rPr>
        <w:t>八、</w:t>
      </w:r>
      <w:r>
        <w:rPr>
          <w:rFonts w:ascii="Arial" w:eastAsia="黑体" w:hAnsi="Arial" w:cs="Arial"/>
          <w:b/>
          <w:snapToGrid w:val="0"/>
          <w:szCs w:val="21"/>
        </w:rPr>
        <w:tab/>
      </w:r>
      <w:r>
        <w:rPr>
          <w:rFonts w:ascii="Arial" w:eastAsia="黑体" w:hAnsi="Arial" w:cs="Arial"/>
          <w:b/>
          <w:snapToGrid w:val="0"/>
          <w:szCs w:val="21"/>
        </w:rPr>
        <w:t>金融工具及其风险分析（续）</w:t>
      </w:r>
      <w:bookmarkEnd w:id="464"/>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465" w:name="afsaddin_WithXu_f300391f504f46fd99e377b6"/>
      <w:r>
        <w:rPr>
          <w:rFonts w:ascii="Arial" w:eastAsia="黑体" w:hAnsi="Arial" w:cs="Arial"/>
          <w:b/>
          <w:snapToGrid w:val="0"/>
          <w:szCs w:val="21"/>
        </w:rPr>
        <w:t>3.</w:t>
      </w:r>
      <w:r>
        <w:rPr>
          <w:rFonts w:ascii="Arial" w:eastAsia="黑体" w:hAnsi="Arial" w:cs="Arial"/>
          <w:b/>
          <w:snapToGrid w:val="0"/>
          <w:szCs w:val="21"/>
        </w:rPr>
        <w:tab/>
      </w:r>
      <w:r>
        <w:rPr>
          <w:rFonts w:ascii="Arial" w:eastAsia="黑体" w:hAnsi="Arial" w:cs="Arial"/>
          <w:b/>
          <w:snapToGrid w:val="0"/>
          <w:szCs w:val="21"/>
        </w:rPr>
        <w:t>市场风险（续）</w:t>
      </w:r>
      <w:bookmarkEnd w:id="465"/>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466" w:name="afsaddin_WithXu_4eefaad4abe94bef8f3da88a"/>
      <w:r>
        <w:rPr>
          <w:rFonts w:ascii="Arial" w:eastAsia="黑体" w:hAnsi="Arial" w:cs="Arial"/>
          <w:b/>
          <w:snapToGrid w:val="0"/>
          <w:szCs w:val="21"/>
        </w:rPr>
        <w:t>3.3</w:t>
      </w:r>
      <w:r>
        <w:rPr>
          <w:rFonts w:ascii="Arial" w:eastAsia="黑体" w:hAnsi="Arial" w:cs="Arial"/>
          <w:b/>
          <w:snapToGrid w:val="0"/>
          <w:szCs w:val="21"/>
        </w:rPr>
        <w:tab/>
      </w:r>
      <w:r>
        <w:rPr>
          <w:rFonts w:ascii="Arial" w:eastAsia="黑体" w:hAnsi="Arial" w:cs="Arial"/>
          <w:b/>
          <w:snapToGrid w:val="0"/>
          <w:szCs w:val="21"/>
        </w:rPr>
        <w:t>金融工具公允价值（续）</w:t>
      </w:r>
      <w:bookmarkEnd w:id="466"/>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snapToGrid w:val="0"/>
          <w:szCs w:val="21"/>
        </w:rPr>
      </w:pPr>
      <w:bookmarkStart w:id="467" w:name="afsaddin_WithXu_f2c65b7c3a46479287c107a6"/>
      <w:r>
        <w:rPr>
          <w:rFonts w:ascii="Arial" w:eastAsia="黑体" w:hAnsi="Arial" w:cs="Arial"/>
          <w:snapToGrid w:val="0"/>
          <w:szCs w:val="21"/>
        </w:rPr>
        <w:t>1)</w:t>
      </w:r>
      <w:r>
        <w:rPr>
          <w:rFonts w:ascii="Arial" w:eastAsia="黑体" w:hAnsi="Arial" w:cs="Arial"/>
          <w:snapToGrid w:val="0"/>
          <w:szCs w:val="21"/>
        </w:rPr>
        <w:tab/>
      </w:r>
      <w:r>
        <w:rPr>
          <w:rFonts w:ascii="Arial" w:eastAsia="黑体" w:hAnsi="Arial" w:cs="Arial"/>
          <w:snapToGrid w:val="0"/>
          <w:szCs w:val="21"/>
        </w:rPr>
        <w:t>以公允价值计量的金融工具（续）</w:t>
      </w:r>
      <w:bookmarkEnd w:id="467"/>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adjustRightInd w:val="0"/>
        <w:snapToGrid w:val="0"/>
        <w:ind w:left="720" w:hanging="720"/>
        <w:textAlignment w:val="bottom"/>
        <w:outlineLvl w:val="5"/>
        <w:rPr>
          <w:rFonts w:ascii="Arial" w:eastAsia="黑体" w:hAnsi="Arial" w:cs="Arial"/>
          <w:snapToGrid w:val="0"/>
          <w:szCs w:val="21"/>
        </w:rPr>
      </w:pPr>
      <w:bookmarkStart w:id="468" w:name="afsaddin_WithXu_cd976786fbe44be2a19f3bfc"/>
      <w:bookmarkStart w:id="469" w:name="afsaddin_WithXu_50366d8ab386472fbce56834"/>
      <w:bookmarkStart w:id="470" w:name="afsaddin_WithXu_ee219bfd584d4ee28e88de59"/>
      <w:bookmarkStart w:id="471" w:name="afsaddin_WithXu_d3c4639c3b53446ab71c9c7a"/>
      <w:bookmarkStart w:id="472" w:name="afsaddin_Section_d9df3ad8829141d08b1db33"/>
      <w:bookmarkEnd w:id="468"/>
      <w:bookmarkEnd w:id="469"/>
      <w:bookmarkEnd w:id="470"/>
      <w:bookmarkEnd w:id="471"/>
      <w:r>
        <w:rPr>
          <w:rFonts w:ascii="Arial" w:eastAsia="黑体" w:hAnsi="Arial" w:cs="Arial"/>
          <w:snapToGrid w:val="0"/>
          <w:szCs w:val="21"/>
        </w:rPr>
        <w:t>(c)</w:t>
      </w:r>
      <w:r>
        <w:rPr>
          <w:rFonts w:ascii="Arial" w:eastAsia="黑体" w:hAnsi="Arial" w:cs="Arial"/>
          <w:snapToGrid w:val="0"/>
          <w:szCs w:val="21"/>
        </w:rPr>
        <w:tab/>
      </w:r>
      <w:r>
        <w:rPr>
          <w:rFonts w:ascii="Arial" w:eastAsia="黑体" w:hAnsi="Arial" w:cs="Arial"/>
          <w:snapToGrid w:val="0"/>
          <w:szCs w:val="21"/>
        </w:rPr>
        <w:t>第二层次的公允价值计量</w:t>
      </w:r>
    </w:p>
    <w:bookmarkEnd w:id="472"/>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衍生金融资产、交易性金融资产（股票除外）、其他债权投资和衍生金融负债的公允价值从价格提供商或中央国债登记结算有限责任公司取得的估值结果确定。以公允价值计量且其变动计入其他综合收益的发放贷款及垫款的公允价值采用现金流折现法。所有重大估值参数均采用可观察市场信息的估值技术。</w:t>
      </w: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衍生金融工具中的外汇远期、外汇掉期、外汇期权、贵金属掉期及利率掉期合约等衍生产品的公允价值，采用对合约未来预期的应收及应付金额折现并计算合约净现值的方法来确定。所使用的折现率为相应货币的市场利率曲线，汇率价格采用相关交易所的系统报价，相关报价机构在形成报价过程中采用了反映市场状况的可观察输入值。</w:t>
      </w: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截至</w:t>
      </w: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当期资产负债表日</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2023</w:t>
      </w:r>
      <w:r>
        <w:rPr>
          <w:rFonts w:ascii="Arial" w:eastAsia="黑体" w:hAnsi="Arial" w:cs="Arial"/>
          <w:snapToGrid w:val="0"/>
          <w:szCs w:val="21"/>
        </w:rPr>
        <w:t>年</w:t>
      </w:r>
      <w:r>
        <w:rPr>
          <w:rFonts w:ascii="Arial" w:eastAsia="黑体" w:hAnsi="Arial" w:cs="Arial"/>
          <w:snapToGrid w:val="0"/>
          <w:szCs w:val="21"/>
        </w:rPr>
        <w:t>6</w:t>
      </w:r>
      <w:r>
        <w:rPr>
          <w:rFonts w:ascii="Arial" w:eastAsia="黑体" w:hAnsi="Arial" w:cs="Arial"/>
          <w:snapToGrid w:val="0"/>
          <w:szCs w:val="21"/>
        </w:rPr>
        <w:t>月</w:t>
      </w:r>
      <w:r>
        <w:rPr>
          <w:rFonts w:ascii="Arial" w:eastAsia="黑体" w:hAnsi="Arial" w:cs="Arial"/>
          <w:snapToGrid w:val="0"/>
          <w:szCs w:val="21"/>
        </w:rPr>
        <w:t>30</w:t>
      </w:r>
      <w:r>
        <w:rPr>
          <w:rFonts w:ascii="Arial" w:eastAsia="黑体" w:hAnsi="Arial" w:cs="Arial"/>
          <w:snapToGrid w:val="0"/>
          <w:szCs w:val="21"/>
        </w:rPr>
        <w:t>日</w:t>
      </w:r>
      <w:r>
        <w:rPr>
          <w:rFonts w:ascii="Arial" w:eastAsia="黑体" w:hAnsi="Arial" w:cs="Arial"/>
          <w:snapToGrid w:val="0"/>
          <w:szCs w:val="21"/>
        </w:rPr>
        <w:fldChar w:fldCharType="end"/>
      </w:r>
      <w:r>
        <w:rPr>
          <w:rFonts w:ascii="Arial" w:eastAsia="黑体" w:hAnsi="Arial" w:cs="Arial"/>
          <w:snapToGrid w:val="0"/>
          <w:szCs w:val="21"/>
        </w:rPr>
        <w:t>，本集团上述持续第二层次公允价值计量所使用的估值技术并未发生变更（</w:t>
      </w: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上期资产负债表日</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2022</w:t>
      </w:r>
      <w:r>
        <w:rPr>
          <w:rFonts w:ascii="Arial" w:eastAsia="黑体" w:hAnsi="Arial" w:cs="Arial"/>
          <w:snapToGrid w:val="0"/>
          <w:szCs w:val="21"/>
        </w:rPr>
        <w:t>年</w:t>
      </w:r>
      <w:r>
        <w:rPr>
          <w:rFonts w:ascii="Arial" w:eastAsia="黑体" w:hAnsi="Arial" w:cs="Arial"/>
          <w:snapToGrid w:val="0"/>
          <w:szCs w:val="21"/>
        </w:rPr>
        <w:t>12</w:t>
      </w:r>
      <w:r>
        <w:rPr>
          <w:rFonts w:ascii="Arial" w:eastAsia="黑体" w:hAnsi="Arial" w:cs="Arial"/>
          <w:snapToGrid w:val="0"/>
          <w:szCs w:val="21"/>
        </w:rPr>
        <w:t>月</w:t>
      </w:r>
      <w:r>
        <w:rPr>
          <w:rFonts w:ascii="Arial" w:eastAsia="黑体" w:hAnsi="Arial" w:cs="Arial"/>
          <w:snapToGrid w:val="0"/>
          <w:szCs w:val="21"/>
        </w:rPr>
        <w:t>31</w:t>
      </w:r>
      <w:r>
        <w:rPr>
          <w:rFonts w:ascii="Arial" w:eastAsia="黑体" w:hAnsi="Arial" w:cs="Arial"/>
          <w:snapToGrid w:val="0"/>
          <w:szCs w:val="21"/>
        </w:rPr>
        <w:t>日</w:t>
      </w:r>
      <w:r>
        <w:rPr>
          <w:rFonts w:ascii="Arial" w:eastAsia="黑体" w:hAnsi="Arial" w:cs="Arial"/>
          <w:snapToGrid w:val="0"/>
          <w:szCs w:val="21"/>
        </w:rPr>
        <w:fldChar w:fldCharType="end"/>
      </w:r>
      <w:r>
        <w:rPr>
          <w:rFonts w:ascii="Arial" w:eastAsia="黑体" w:hAnsi="Arial" w:cs="Arial"/>
          <w:snapToGrid w:val="0"/>
          <w:szCs w:val="21"/>
        </w:rPr>
        <w:t>：无）。</w:t>
      </w: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adjustRightInd w:val="0"/>
        <w:snapToGrid w:val="0"/>
        <w:ind w:left="720" w:hanging="720"/>
        <w:textAlignment w:val="bottom"/>
        <w:outlineLvl w:val="5"/>
        <w:rPr>
          <w:rFonts w:ascii="Arial" w:eastAsia="黑体" w:hAnsi="Arial" w:cs="Arial"/>
          <w:snapToGrid w:val="0"/>
          <w:szCs w:val="21"/>
        </w:rPr>
      </w:pPr>
      <w:bookmarkStart w:id="473" w:name="afsaddin_Section_138d443503c64209b4112e1"/>
      <w:r>
        <w:rPr>
          <w:rFonts w:ascii="Arial" w:eastAsia="黑体" w:hAnsi="Arial" w:cs="Arial"/>
          <w:snapToGrid w:val="0"/>
          <w:szCs w:val="21"/>
        </w:rPr>
        <w:t>(d)</w:t>
      </w:r>
      <w:r>
        <w:rPr>
          <w:rFonts w:ascii="Arial" w:eastAsia="黑体" w:hAnsi="Arial" w:cs="Arial"/>
          <w:snapToGrid w:val="0"/>
          <w:szCs w:val="21"/>
        </w:rPr>
        <w:tab/>
      </w:r>
      <w:r>
        <w:rPr>
          <w:rFonts w:ascii="Arial" w:eastAsia="黑体" w:hAnsi="Arial" w:cs="Arial"/>
          <w:snapToGrid w:val="0"/>
          <w:szCs w:val="21"/>
        </w:rPr>
        <w:t>第三层次的公允价值计量</w:t>
      </w:r>
    </w:p>
    <w:bookmarkEnd w:id="473"/>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本集团制定了相关流程来确定持续的第三层次公允价值计量中合适的估值技术和输入值，并定期复核相关流程以及公允价值确定的合适性。</w:t>
      </w: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第三层次公允价值计量的量化信息如下：</w:t>
      </w:r>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69d694bf-77bc-48f1-9121-5bcbe8118842"/>
        <w:tblDescription w:val="{&quot;UUID&quot;:&quot;afsaddin_tabledata_2_56437_69d694bf-77bc-48f1-9121-5bcbe8118842&quot;,&quot;TitleRowCount&quot;:2,&quot;SplitedTable&quot;:false,&quot;FirstTableId&quot;:&quot;69d694bf-77bc-48f1-9121-5bcbe8118842&quot;}"/>
      </w:tblPr>
      <w:tblGrid>
        <w:gridCol w:w="1598"/>
        <w:gridCol w:w="106"/>
        <w:gridCol w:w="1684"/>
        <w:gridCol w:w="105"/>
        <w:gridCol w:w="105"/>
        <w:gridCol w:w="1050"/>
        <w:gridCol w:w="105"/>
        <w:gridCol w:w="105"/>
        <w:gridCol w:w="1596"/>
        <w:gridCol w:w="105"/>
        <w:gridCol w:w="105"/>
        <w:gridCol w:w="1617"/>
        <w:gridCol w:w="105"/>
      </w:tblGrid>
      <w:tr w:rsidR="00AD5BB5">
        <w:tc>
          <w:tcPr>
            <w:tcW w:w="159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本集团</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684"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u w:val="single"/>
              </w:rPr>
              <w:fldChar w:fldCharType="begin"/>
            </w:r>
            <w:r>
              <w:rPr>
                <w:rFonts w:ascii="Arial" w:eastAsia="黑体" w:hAnsi="Arial" w:cs="Arial"/>
                <w:szCs w:val="21"/>
                <w:u w:val="single"/>
              </w:rPr>
              <w:instrText xml:space="preserve"> DOCPROPERTY </w:instrText>
            </w:r>
            <w:r>
              <w:rPr>
                <w:rFonts w:ascii="Arial" w:eastAsia="黑体" w:hAnsi="Arial" w:cs="Arial"/>
                <w:szCs w:val="21"/>
                <w:u w:val="single"/>
              </w:rPr>
              <w:instrText>当期资产负债表日</w:instrText>
            </w:r>
            <w:r>
              <w:rPr>
                <w:rFonts w:ascii="Arial" w:eastAsia="黑体" w:hAnsi="Arial" w:cs="Arial"/>
                <w:szCs w:val="21"/>
                <w:u w:val="single"/>
              </w:rPr>
              <w:instrText xml:space="preserve"> </w:instrText>
            </w:r>
            <w:r>
              <w:rPr>
                <w:rFonts w:ascii="Arial" w:eastAsia="黑体" w:hAnsi="Arial" w:cs="Arial"/>
                <w:szCs w:val="21"/>
                <w:u w:val="single"/>
              </w:rPr>
              <w:fldChar w:fldCharType="separate"/>
            </w:r>
            <w:r>
              <w:rPr>
                <w:rFonts w:ascii="Arial" w:eastAsia="黑体" w:hAnsi="Arial" w:cs="Arial"/>
                <w:szCs w:val="21"/>
                <w:u w:val="single"/>
              </w:rPr>
              <w:t>2023</w:t>
            </w:r>
            <w:r>
              <w:rPr>
                <w:rFonts w:ascii="Arial" w:eastAsia="黑体" w:hAnsi="Arial" w:cs="Arial"/>
                <w:szCs w:val="21"/>
                <w:u w:val="single"/>
              </w:rPr>
              <w:t>年</w:t>
            </w:r>
            <w:r>
              <w:rPr>
                <w:rFonts w:ascii="Arial" w:eastAsia="黑体" w:hAnsi="Arial" w:cs="Arial"/>
                <w:szCs w:val="21"/>
                <w:u w:val="single"/>
              </w:rPr>
              <w:t>6</w:t>
            </w:r>
            <w:r>
              <w:rPr>
                <w:rFonts w:ascii="Arial" w:eastAsia="黑体" w:hAnsi="Arial" w:cs="Arial"/>
                <w:szCs w:val="21"/>
                <w:u w:val="single"/>
              </w:rPr>
              <w:t>月</w:t>
            </w:r>
            <w:r>
              <w:rPr>
                <w:rFonts w:ascii="Arial" w:eastAsia="黑体" w:hAnsi="Arial" w:cs="Arial"/>
                <w:szCs w:val="21"/>
                <w:u w:val="single"/>
              </w:rPr>
              <w:t>30</w:t>
            </w:r>
            <w:r>
              <w:rPr>
                <w:rFonts w:ascii="Arial" w:eastAsia="黑体" w:hAnsi="Arial" w:cs="Arial"/>
                <w:szCs w:val="21"/>
                <w:u w:val="single"/>
              </w:rPr>
              <w:t>日</w:t>
            </w:r>
            <w:r>
              <w:rPr>
                <w:rFonts w:ascii="Arial" w:eastAsia="黑体" w:hAnsi="Arial" w:cs="Arial"/>
                <w:szCs w:val="21"/>
                <w:u w:val="single"/>
              </w:rPr>
              <w:fldChar w:fldCharType="end"/>
            </w:r>
          </w:p>
          <w:p w:rsidR="00AD5BB5" w:rsidRDefault="00F87FF6">
            <w:pPr>
              <w:autoSpaceDE w:val="0"/>
              <w:autoSpaceDN w:val="0"/>
              <w:jc w:val="right"/>
              <w:rPr>
                <w:rFonts w:ascii="Arial" w:eastAsia="黑体" w:hAnsi="Arial" w:cs="Arial"/>
                <w:szCs w:val="21"/>
              </w:rPr>
            </w:pPr>
            <w:r>
              <w:rPr>
                <w:rFonts w:ascii="Arial" w:eastAsia="黑体" w:hAnsi="Arial" w:cs="Arial"/>
                <w:szCs w:val="21"/>
                <w:u w:val="single"/>
              </w:rPr>
              <w:t>的公允价值</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50"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u w:val="single"/>
              </w:rPr>
              <w:t>估值技术</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596"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u w:val="single"/>
              </w:rPr>
              <w:t>不可观察输入值</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61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u w:val="single"/>
              </w:rPr>
              <w:t>范围区间</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1598"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684"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50"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596"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61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159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非上市股权投资</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684"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96,061,014.21</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50"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可比公司法</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596"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流动性折扣率</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61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15.70%~21.23%</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bl>
    <w:p w:rsidR="00AD5BB5" w:rsidRDefault="00AD5BB5">
      <w:pPr>
        <w:tabs>
          <w:tab w:val="left" w:pos="720"/>
        </w:tabs>
        <w:overflowPunct w:val="0"/>
        <w:autoSpaceDE w:val="0"/>
        <w:autoSpaceDN w:val="0"/>
        <w:snapToGrid w:val="0"/>
        <w:rPr>
          <w:rFonts w:ascii="Arial" w:eastAsia="黑体" w:hAnsi="Arial" w:cs="Arial"/>
        </w:rPr>
      </w:pPr>
    </w:p>
    <w:tbl>
      <w:tblPr>
        <w:tblW w:w="0" w:type="auto"/>
        <w:tblLayout w:type="fixed"/>
        <w:tblCellMar>
          <w:left w:w="0" w:type="dxa"/>
          <w:right w:w="0" w:type="dxa"/>
        </w:tblCellMar>
        <w:tblLook w:val="04A0" w:firstRow="1" w:lastRow="0" w:firstColumn="1" w:lastColumn="0" w:noHBand="0" w:noVBand="1"/>
        <w:tblCaption w:val="3bb25aaa-ccd0-4251-8ce5-297a8fdf3cae"/>
        <w:tblDescription w:val="{&quot;UUID&quot;:&quot;afsaddin_tabledata_2_56437_3bb25aaa-ccd0-4251-8ce5-297a8fdf3cae&quot;,&quot;TitleRowCount&quot;:2,&quot;SplitedTable&quot;:false,&quot;FirstTableId&quot;:&quot;3bb25aaa-ccd0-4251-8ce5-297a8fdf3cae&quot;}"/>
      </w:tblPr>
      <w:tblGrid>
        <w:gridCol w:w="1598"/>
        <w:gridCol w:w="106"/>
        <w:gridCol w:w="1684"/>
        <w:gridCol w:w="105"/>
        <w:gridCol w:w="105"/>
        <w:gridCol w:w="1050"/>
        <w:gridCol w:w="105"/>
        <w:gridCol w:w="105"/>
        <w:gridCol w:w="1596"/>
        <w:gridCol w:w="105"/>
        <w:gridCol w:w="105"/>
        <w:gridCol w:w="1617"/>
        <w:gridCol w:w="105"/>
      </w:tblGrid>
      <w:tr w:rsidR="00AD5BB5">
        <w:tc>
          <w:tcPr>
            <w:tcW w:w="159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本集团</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684"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u w:val="single"/>
              </w:rPr>
              <w:fldChar w:fldCharType="begin"/>
            </w:r>
            <w:r>
              <w:rPr>
                <w:rFonts w:ascii="Arial" w:eastAsia="黑体" w:hAnsi="Arial" w:cs="Arial"/>
                <w:szCs w:val="21"/>
                <w:u w:val="single"/>
              </w:rPr>
              <w:instrText xml:space="preserve"> DOCPROPERTY </w:instrText>
            </w:r>
            <w:r>
              <w:rPr>
                <w:rFonts w:ascii="Arial" w:eastAsia="黑体" w:hAnsi="Arial" w:cs="Arial"/>
                <w:szCs w:val="21"/>
                <w:u w:val="single"/>
              </w:rPr>
              <w:instrText>上期资产负债表日</w:instrText>
            </w:r>
            <w:r>
              <w:rPr>
                <w:rFonts w:ascii="Arial" w:eastAsia="黑体" w:hAnsi="Arial" w:cs="Arial"/>
                <w:szCs w:val="21"/>
                <w:u w:val="single"/>
              </w:rPr>
              <w:instrText xml:space="preserve"> </w:instrText>
            </w:r>
            <w:r>
              <w:rPr>
                <w:rFonts w:ascii="Arial" w:eastAsia="黑体" w:hAnsi="Arial" w:cs="Arial"/>
                <w:szCs w:val="21"/>
                <w:u w:val="single"/>
              </w:rPr>
              <w:fldChar w:fldCharType="separate"/>
            </w:r>
            <w:r>
              <w:rPr>
                <w:rFonts w:ascii="Arial" w:eastAsia="黑体" w:hAnsi="Arial" w:cs="Arial"/>
                <w:szCs w:val="21"/>
                <w:u w:val="single"/>
              </w:rPr>
              <w:t>2022</w:t>
            </w:r>
            <w:r>
              <w:rPr>
                <w:rFonts w:ascii="Arial" w:eastAsia="黑体" w:hAnsi="Arial" w:cs="Arial"/>
                <w:szCs w:val="21"/>
                <w:u w:val="single"/>
              </w:rPr>
              <w:t>年</w:t>
            </w:r>
            <w:r>
              <w:rPr>
                <w:rFonts w:ascii="Arial" w:eastAsia="黑体" w:hAnsi="Arial" w:cs="Arial"/>
                <w:szCs w:val="21"/>
                <w:u w:val="single"/>
              </w:rPr>
              <w:t>12</w:t>
            </w:r>
            <w:r>
              <w:rPr>
                <w:rFonts w:ascii="Arial" w:eastAsia="黑体" w:hAnsi="Arial" w:cs="Arial"/>
                <w:szCs w:val="21"/>
                <w:u w:val="single"/>
              </w:rPr>
              <w:t>月</w:t>
            </w:r>
            <w:r>
              <w:rPr>
                <w:rFonts w:ascii="Arial" w:eastAsia="黑体" w:hAnsi="Arial" w:cs="Arial"/>
                <w:szCs w:val="21"/>
                <w:u w:val="single"/>
              </w:rPr>
              <w:t>31</w:t>
            </w:r>
            <w:r>
              <w:rPr>
                <w:rFonts w:ascii="Arial" w:eastAsia="黑体" w:hAnsi="Arial" w:cs="Arial"/>
                <w:szCs w:val="21"/>
                <w:u w:val="single"/>
              </w:rPr>
              <w:t>日</w:t>
            </w:r>
            <w:r>
              <w:rPr>
                <w:rFonts w:ascii="Arial" w:eastAsia="黑体" w:hAnsi="Arial" w:cs="Arial"/>
                <w:szCs w:val="21"/>
                <w:u w:val="single"/>
              </w:rPr>
              <w:fldChar w:fldCharType="end"/>
            </w:r>
          </w:p>
          <w:p w:rsidR="00AD5BB5" w:rsidRDefault="00F87FF6">
            <w:pPr>
              <w:autoSpaceDE w:val="0"/>
              <w:autoSpaceDN w:val="0"/>
              <w:jc w:val="right"/>
              <w:rPr>
                <w:rFonts w:ascii="Arial" w:eastAsia="黑体" w:hAnsi="Arial" w:cs="Arial"/>
                <w:szCs w:val="21"/>
              </w:rPr>
            </w:pPr>
            <w:r>
              <w:rPr>
                <w:rFonts w:ascii="Arial" w:eastAsia="黑体" w:hAnsi="Arial" w:cs="Arial"/>
                <w:szCs w:val="21"/>
                <w:u w:val="single"/>
              </w:rPr>
              <w:t>的公允价值</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50"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u w:val="single"/>
              </w:rPr>
              <w:t>估值技术</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596"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u w:val="single"/>
              </w:rPr>
              <w:t>不可观察输入值</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61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u w:val="single"/>
              </w:rPr>
              <w:t>范围区间</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1598"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684"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50"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596"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61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159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非上市股权投资</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684"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77,287,780.74</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50"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可比公司法</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596"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流动性折扣率</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61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16.82%~21.67%</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bl>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本集团非上市股权投资采用包括不可观察市场数据的估值技术进行估值，所采用的估值模型为可比公司法模型。该估值模型中涉及的不可观察假设包括流动性折扣率等。</w:t>
      </w: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截至</w:t>
      </w: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当期资产负债表日</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2023</w:t>
      </w:r>
      <w:r>
        <w:rPr>
          <w:rFonts w:ascii="Arial" w:eastAsia="黑体" w:hAnsi="Arial" w:cs="Arial"/>
          <w:snapToGrid w:val="0"/>
          <w:szCs w:val="21"/>
        </w:rPr>
        <w:t>年</w:t>
      </w:r>
      <w:r>
        <w:rPr>
          <w:rFonts w:ascii="Arial" w:eastAsia="黑体" w:hAnsi="Arial" w:cs="Arial"/>
          <w:snapToGrid w:val="0"/>
          <w:szCs w:val="21"/>
        </w:rPr>
        <w:t>6</w:t>
      </w:r>
      <w:r>
        <w:rPr>
          <w:rFonts w:ascii="Arial" w:eastAsia="黑体" w:hAnsi="Arial" w:cs="Arial"/>
          <w:snapToGrid w:val="0"/>
          <w:szCs w:val="21"/>
        </w:rPr>
        <w:t>月</w:t>
      </w:r>
      <w:r>
        <w:rPr>
          <w:rFonts w:ascii="Arial" w:eastAsia="黑体" w:hAnsi="Arial" w:cs="Arial"/>
          <w:snapToGrid w:val="0"/>
          <w:szCs w:val="21"/>
        </w:rPr>
        <w:t>30</w:t>
      </w:r>
      <w:r>
        <w:rPr>
          <w:rFonts w:ascii="Arial" w:eastAsia="黑体" w:hAnsi="Arial" w:cs="Arial"/>
          <w:snapToGrid w:val="0"/>
          <w:szCs w:val="21"/>
        </w:rPr>
        <w:t>日</w:t>
      </w:r>
      <w:r>
        <w:rPr>
          <w:rFonts w:ascii="Arial" w:eastAsia="黑体" w:hAnsi="Arial" w:cs="Arial"/>
          <w:snapToGrid w:val="0"/>
          <w:szCs w:val="21"/>
        </w:rPr>
        <w:fldChar w:fldCharType="end"/>
      </w:r>
      <w:r>
        <w:rPr>
          <w:rFonts w:ascii="Arial" w:eastAsia="黑体" w:hAnsi="Arial" w:cs="Arial"/>
          <w:snapToGrid w:val="0"/>
          <w:szCs w:val="21"/>
        </w:rPr>
        <w:t>，采用其他合理的不可观察假设替换模型中原有的不可观察假设对公允价值计量结果的影响不重大。</w:t>
      </w: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以上假设及方法为本集团资产及负债公允价值的计算提供了统一的基础，然而，由于其他机构可能会使用不同的方法及假设，因此，各金融机构所披露的公允价值未必完全具有可比性。</w:t>
      </w:r>
      <w:r>
        <w:rPr>
          <w:rFonts w:ascii="Arial" w:eastAsia="黑体" w:hAnsi="Arial" w:cs="Arial"/>
          <w:snapToGrid w:val="0"/>
          <w:szCs w:val="21"/>
        </w:rPr>
        <w:br w:type="page"/>
      </w:r>
    </w:p>
    <w:p w:rsidR="00AD5BB5" w:rsidRDefault="00AD5BB5">
      <w:pPr>
        <w:overflowPunct w:val="0"/>
        <w:autoSpaceDE w:val="0"/>
        <w:autoSpaceDN w:val="0"/>
        <w:rPr>
          <w:rFonts w:ascii="Arial" w:eastAsia="黑体" w:hAnsi="Arial" w:cs="Arial"/>
          <w:snapToGrid w:val="0"/>
          <w:szCs w:val="21"/>
        </w:rPr>
        <w:sectPr w:rsidR="00AD5BB5">
          <w:headerReference w:type="even" r:id="rId75"/>
          <w:headerReference w:type="default" r:id="rId76"/>
          <w:headerReference w:type="first" r:id="rId77"/>
          <w:pgSz w:w="11907" w:h="16840"/>
          <w:pgMar w:top="1440" w:right="1797" w:bottom="1440" w:left="1797" w:header="720" w:footer="720" w:gutter="0"/>
          <w:cols w:space="720"/>
          <w:titlePg/>
          <w:docGrid w:linePitch="360"/>
        </w:sectPr>
      </w:pPr>
    </w:p>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474" w:name="afsaddin_WithXu_522db2a31be24fcdaffe2264"/>
      <w:r>
        <w:rPr>
          <w:rFonts w:ascii="Arial" w:eastAsia="黑体" w:hAnsi="Arial" w:cs="Arial"/>
          <w:b/>
          <w:snapToGrid w:val="0"/>
          <w:szCs w:val="21"/>
        </w:rPr>
        <w:t>八、</w:t>
      </w:r>
      <w:r>
        <w:rPr>
          <w:rFonts w:ascii="Arial" w:eastAsia="黑体" w:hAnsi="Arial" w:cs="Arial"/>
          <w:b/>
          <w:snapToGrid w:val="0"/>
          <w:szCs w:val="21"/>
        </w:rPr>
        <w:tab/>
      </w:r>
      <w:r>
        <w:rPr>
          <w:rFonts w:ascii="Arial" w:eastAsia="黑体" w:hAnsi="Arial" w:cs="Arial"/>
          <w:b/>
          <w:snapToGrid w:val="0"/>
          <w:szCs w:val="21"/>
        </w:rPr>
        <w:t>金融工具及其风险分析（续）</w:t>
      </w:r>
      <w:bookmarkEnd w:id="474"/>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475" w:name="afsaddin_WithXu_1285fd59b53a4ebd8e4cacc5"/>
      <w:r>
        <w:rPr>
          <w:rFonts w:ascii="Arial" w:eastAsia="黑体" w:hAnsi="Arial" w:cs="Arial"/>
          <w:b/>
          <w:snapToGrid w:val="0"/>
          <w:szCs w:val="21"/>
        </w:rPr>
        <w:t>3.</w:t>
      </w:r>
      <w:r>
        <w:rPr>
          <w:rFonts w:ascii="Arial" w:eastAsia="黑体" w:hAnsi="Arial" w:cs="Arial"/>
          <w:b/>
          <w:snapToGrid w:val="0"/>
          <w:szCs w:val="21"/>
        </w:rPr>
        <w:tab/>
      </w:r>
      <w:r>
        <w:rPr>
          <w:rFonts w:ascii="Arial" w:eastAsia="黑体" w:hAnsi="Arial" w:cs="Arial"/>
          <w:b/>
          <w:snapToGrid w:val="0"/>
          <w:szCs w:val="21"/>
        </w:rPr>
        <w:t>市场风险（续）</w:t>
      </w:r>
      <w:bookmarkEnd w:id="475"/>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476" w:name="afsaddin_WithXu_0ac5e2a867e34b2693957356"/>
      <w:r>
        <w:rPr>
          <w:rFonts w:ascii="Arial" w:eastAsia="黑体" w:hAnsi="Arial" w:cs="Arial"/>
          <w:b/>
          <w:snapToGrid w:val="0"/>
          <w:szCs w:val="21"/>
        </w:rPr>
        <w:t>3.3</w:t>
      </w:r>
      <w:r>
        <w:rPr>
          <w:rFonts w:ascii="Arial" w:eastAsia="黑体" w:hAnsi="Arial" w:cs="Arial"/>
          <w:b/>
          <w:snapToGrid w:val="0"/>
          <w:szCs w:val="21"/>
        </w:rPr>
        <w:tab/>
      </w:r>
      <w:r>
        <w:rPr>
          <w:rFonts w:ascii="Arial" w:eastAsia="黑体" w:hAnsi="Arial" w:cs="Arial"/>
          <w:b/>
          <w:snapToGrid w:val="0"/>
          <w:szCs w:val="21"/>
        </w:rPr>
        <w:t>金融工具公允价值（续）</w:t>
      </w:r>
      <w:bookmarkEnd w:id="476"/>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snapToGrid w:val="0"/>
          <w:szCs w:val="21"/>
        </w:rPr>
      </w:pPr>
      <w:bookmarkStart w:id="477" w:name="afsaddin_WithXu_c7956afdc0e84dd991075553"/>
      <w:r>
        <w:rPr>
          <w:rFonts w:ascii="Arial" w:eastAsia="黑体" w:hAnsi="Arial" w:cs="Arial"/>
          <w:snapToGrid w:val="0"/>
          <w:szCs w:val="21"/>
        </w:rPr>
        <w:t>1)</w:t>
      </w:r>
      <w:r>
        <w:rPr>
          <w:rFonts w:ascii="Arial" w:eastAsia="黑体" w:hAnsi="Arial" w:cs="Arial"/>
          <w:snapToGrid w:val="0"/>
          <w:szCs w:val="21"/>
        </w:rPr>
        <w:tab/>
      </w:r>
      <w:r>
        <w:rPr>
          <w:rFonts w:ascii="Arial" w:eastAsia="黑体" w:hAnsi="Arial" w:cs="Arial"/>
          <w:snapToGrid w:val="0"/>
          <w:szCs w:val="21"/>
        </w:rPr>
        <w:t>以公允价值计量的金融工具（续）</w:t>
      </w:r>
      <w:bookmarkEnd w:id="477"/>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snapToGrid w:val="0"/>
          <w:szCs w:val="21"/>
        </w:rPr>
      </w:pPr>
      <w:bookmarkStart w:id="478" w:name="afsaddin_WithXu_f6b20a76c5b846fcae089f4e"/>
      <w:r>
        <w:rPr>
          <w:rFonts w:ascii="Arial" w:eastAsia="黑体" w:hAnsi="Arial" w:cs="Arial"/>
          <w:snapToGrid w:val="0"/>
          <w:szCs w:val="21"/>
        </w:rPr>
        <w:t>(d)</w:t>
      </w:r>
      <w:r>
        <w:rPr>
          <w:rFonts w:ascii="Arial" w:eastAsia="黑体" w:hAnsi="Arial" w:cs="Arial"/>
          <w:snapToGrid w:val="0"/>
          <w:szCs w:val="21"/>
        </w:rPr>
        <w:tab/>
      </w:r>
      <w:r>
        <w:rPr>
          <w:rFonts w:ascii="Arial" w:eastAsia="黑体" w:hAnsi="Arial" w:cs="Arial"/>
          <w:snapToGrid w:val="0"/>
          <w:szCs w:val="21"/>
        </w:rPr>
        <w:t>第三层次的公允价值计量（续）</w:t>
      </w:r>
      <w:bookmarkEnd w:id="478"/>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bookmarkStart w:id="479" w:name="afsaddin_WithXu_6dabf73570b640ca84844ca1"/>
      <w:bookmarkStart w:id="480" w:name="afsaddin_WithXu_07a6c113f1b947019e0d7102"/>
      <w:bookmarkStart w:id="481" w:name="afsaddin_WithXu_5e80046a01ee432e89969741"/>
      <w:bookmarkStart w:id="482" w:name="afsaddin_WithXu_638051added94af7b5b06955"/>
      <w:bookmarkStart w:id="483" w:name="afsaddin_WithXu_5c091bdf032e4e379b00248d"/>
      <w:bookmarkEnd w:id="479"/>
      <w:bookmarkEnd w:id="480"/>
      <w:bookmarkEnd w:id="481"/>
      <w:bookmarkEnd w:id="482"/>
      <w:bookmarkEnd w:id="483"/>
      <w:r>
        <w:rPr>
          <w:rFonts w:ascii="Arial" w:eastAsia="黑体" w:hAnsi="Arial" w:cs="Arial"/>
          <w:snapToGrid w:val="0"/>
          <w:szCs w:val="21"/>
        </w:rPr>
        <w:t>持续的第三层次公允价值的资产的期初余额与期末余额之间的调节信息如下：</w:t>
      </w:r>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32627532-7ac1-4219-8fe8-d9e820ca5500"/>
        <w:tblDescription w:val="{&quot;UUID&quot;:&quot;afsaddin_tabledata_2_56437_32627532-7ac1-4219-8fe8-d9e820ca5500&quot;,&quot;TitleRowCount&quot;:3,&quot;SplitedTable&quot;:false,&quot;FirstTableId&quot;:&quot;32627532-7ac1-4219-8fe8-d9e820ca5500&quot;}"/>
      </w:tblPr>
      <w:tblGrid>
        <w:gridCol w:w="1623"/>
        <w:gridCol w:w="83"/>
        <w:gridCol w:w="1288"/>
        <w:gridCol w:w="98"/>
        <w:gridCol w:w="98"/>
        <w:gridCol w:w="1344"/>
        <w:gridCol w:w="142"/>
        <w:gridCol w:w="107"/>
        <w:gridCol w:w="1362"/>
        <w:gridCol w:w="112"/>
        <w:gridCol w:w="98"/>
        <w:gridCol w:w="1300"/>
        <w:gridCol w:w="114"/>
        <w:gridCol w:w="98"/>
        <w:gridCol w:w="1347"/>
        <w:gridCol w:w="20"/>
        <w:gridCol w:w="122"/>
        <w:gridCol w:w="1417"/>
        <w:gridCol w:w="112"/>
        <w:gridCol w:w="30"/>
        <w:gridCol w:w="2824"/>
        <w:gridCol w:w="112"/>
      </w:tblGrid>
      <w:tr w:rsidR="00AD5BB5">
        <w:tc>
          <w:tcPr>
            <w:tcW w:w="1623"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本集团</w:t>
            </w:r>
          </w:p>
        </w:tc>
        <w:tc>
          <w:tcPr>
            <w:tcW w:w="8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8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955" w:type="dxa"/>
            <w:gridSpan w:val="4"/>
            <w:tcBorders>
              <w:top w:val="nil"/>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u w:val="single"/>
              </w:rPr>
              <w:t>本年利得或损失总额</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859" w:type="dxa"/>
            <w:gridSpan w:val="4"/>
            <w:tcBorders>
              <w:top w:val="nil"/>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u w:val="single"/>
              </w:rPr>
              <w:t>购买和结算</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1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824" w:type="dxa"/>
            <w:vMerge w:val="restart"/>
            <w:tcBorders>
              <w:top w:val="nil"/>
              <w:left w:val="nil"/>
              <w:bottom w:val="nil"/>
              <w:right w:val="nil"/>
            </w:tcBorders>
            <w:vAlign w:val="bottom"/>
          </w:tcPr>
          <w:p w:rsidR="00AD5BB5" w:rsidRDefault="00F87FF6">
            <w:pPr>
              <w:overflowPunct w:val="0"/>
              <w:autoSpaceDE w:val="0"/>
              <w:autoSpaceDN w:val="0"/>
              <w:ind w:right="7"/>
              <w:jc w:val="right"/>
              <w:rPr>
                <w:rFonts w:ascii="Arial" w:eastAsia="黑体" w:hAnsi="Arial" w:cs="Arial"/>
                <w:bCs/>
                <w:sz w:val="16"/>
                <w:szCs w:val="16"/>
              </w:rPr>
            </w:pPr>
            <w:r>
              <w:rPr>
                <w:rFonts w:ascii="Arial" w:eastAsia="黑体" w:hAnsi="Arial" w:cs="Arial"/>
                <w:bCs/>
                <w:sz w:val="16"/>
                <w:szCs w:val="16"/>
              </w:rPr>
              <w:t>对于期末持有的资产和承担的负债，</w:t>
            </w:r>
          </w:p>
          <w:p w:rsidR="00AD5BB5" w:rsidRDefault="00F87FF6">
            <w:pPr>
              <w:overflowPunct w:val="0"/>
              <w:autoSpaceDE w:val="0"/>
              <w:autoSpaceDN w:val="0"/>
              <w:ind w:right="7"/>
              <w:jc w:val="right"/>
              <w:rPr>
                <w:rFonts w:ascii="Arial" w:eastAsia="黑体" w:hAnsi="Arial" w:cs="Arial"/>
                <w:bCs/>
                <w:sz w:val="16"/>
                <w:szCs w:val="16"/>
              </w:rPr>
            </w:pPr>
            <w:r>
              <w:rPr>
                <w:rFonts w:ascii="Arial" w:eastAsia="黑体" w:hAnsi="Arial" w:cs="Arial"/>
                <w:bCs/>
                <w:sz w:val="16"/>
                <w:szCs w:val="16"/>
              </w:rPr>
              <w:t>计入损益的当期未实现利得或失</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3" w:type="dxa"/>
            <w:tcBorders>
              <w:top w:val="nil"/>
              <w:left w:val="nil"/>
              <w:bottom w:val="nil"/>
              <w:right w:val="nil"/>
            </w:tcBorders>
            <w:vAlign w:val="bottom"/>
          </w:tcPr>
          <w:p w:rsidR="00AD5BB5" w:rsidRDefault="00AD5BB5">
            <w:pPr>
              <w:autoSpaceDE w:val="0"/>
              <w:autoSpaceDN w:val="0"/>
              <w:ind w:left="240" w:hangingChars="150" w:hanging="240"/>
              <w:jc w:val="right"/>
              <w:rPr>
                <w:rFonts w:ascii="Arial" w:eastAsia="黑体" w:hAnsi="Arial" w:cs="Arial"/>
                <w:sz w:val="16"/>
                <w:szCs w:val="16"/>
              </w:rPr>
            </w:pPr>
          </w:p>
        </w:tc>
        <w:tc>
          <w:tcPr>
            <w:tcW w:w="8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28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fldChar w:fldCharType="begin"/>
            </w:r>
            <w:r>
              <w:rPr>
                <w:rFonts w:ascii="Arial" w:eastAsia="黑体" w:hAnsi="Arial" w:cs="Arial"/>
                <w:sz w:val="16"/>
                <w:szCs w:val="16"/>
              </w:rPr>
              <w:instrText xml:space="preserve"> DOCPROPERTY </w:instrText>
            </w:r>
            <w:r>
              <w:rPr>
                <w:rFonts w:ascii="Arial" w:eastAsia="黑体" w:hAnsi="Arial" w:cs="Arial"/>
                <w:sz w:val="16"/>
                <w:szCs w:val="16"/>
              </w:rPr>
              <w:instrText>当期会计期间</w:instrText>
            </w:r>
            <w:r>
              <w:rPr>
                <w:rFonts w:ascii="Arial" w:eastAsia="黑体" w:hAnsi="Arial" w:cs="Arial"/>
                <w:sz w:val="16"/>
                <w:szCs w:val="16"/>
              </w:rPr>
              <w:instrText xml:space="preserve"> </w:instrText>
            </w:r>
            <w:r>
              <w:rPr>
                <w:rFonts w:ascii="Arial" w:eastAsia="黑体" w:hAnsi="Arial" w:cs="Arial"/>
                <w:sz w:val="16"/>
                <w:szCs w:val="16"/>
              </w:rPr>
              <w:fldChar w:fldCharType="separate"/>
            </w:r>
            <w:r>
              <w:rPr>
                <w:rFonts w:ascii="Arial" w:eastAsia="黑体" w:hAnsi="Arial" w:cs="Arial"/>
                <w:sz w:val="16"/>
                <w:szCs w:val="16"/>
              </w:rPr>
              <w:t>2023</w:t>
            </w:r>
            <w:r>
              <w:rPr>
                <w:rFonts w:ascii="Arial" w:eastAsia="黑体" w:hAnsi="Arial" w:cs="Arial"/>
                <w:sz w:val="16"/>
                <w:szCs w:val="16"/>
              </w:rPr>
              <w:fldChar w:fldCharType="end"/>
            </w:r>
            <w:r>
              <w:rPr>
                <w:rFonts w:ascii="Arial" w:eastAsia="黑体" w:hAnsi="Arial" w:cs="Arial"/>
                <w:sz w:val="16"/>
                <w:szCs w:val="16"/>
              </w:rPr>
              <w:t>年</w:t>
            </w:r>
            <w:r>
              <w:rPr>
                <w:rFonts w:ascii="Arial" w:eastAsia="黑体" w:hAnsi="Arial" w:cs="Arial"/>
                <w:sz w:val="16"/>
                <w:szCs w:val="16"/>
              </w:rPr>
              <w:t>1</w:t>
            </w:r>
            <w:r>
              <w:rPr>
                <w:rFonts w:ascii="Arial" w:eastAsia="黑体" w:hAnsi="Arial" w:cs="Arial"/>
                <w:sz w:val="16"/>
                <w:szCs w:val="16"/>
              </w:rPr>
              <w:t>月</w:t>
            </w:r>
            <w:r>
              <w:rPr>
                <w:rFonts w:ascii="Arial" w:eastAsia="黑体" w:hAnsi="Arial" w:cs="Arial"/>
                <w:sz w:val="16"/>
                <w:szCs w:val="16"/>
              </w:rPr>
              <w:t>1</w:t>
            </w:r>
            <w:r>
              <w:rPr>
                <w:rFonts w:ascii="Arial" w:eastAsia="黑体" w:hAnsi="Arial" w:cs="Arial"/>
                <w:sz w:val="16"/>
                <w:szCs w:val="16"/>
              </w:rPr>
              <w:t>日</w:t>
            </w:r>
          </w:p>
        </w:tc>
        <w:tc>
          <w:tcPr>
            <w:tcW w:w="9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9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34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计入损益</w:t>
            </w:r>
          </w:p>
        </w:tc>
        <w:tc>
          <w:tcPr>
            <w:tcW w:w="14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3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计入其他综合收益</w:t>
            </w: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9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30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购买</w:t>
            </w:r>
          </w:p>
        </w:tc>
        <w:tc>
          <w:tcPr>
            <w:tcW w:w="11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9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34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结算</w:t>
            </w:r>
          </w:p>
        </w:tc>
        <w:tc>
          <w:tcPr>
            <w:tcW w:w="2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2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41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fldChar w:fldCharType="begin"/>
            </w:r>
            <w:r>
              <w:rPr>
                <w:rFonts w:ascii="Arial" w:eastAsia="黑体" w:hAnsi="Arial" w:cs="Arial"/>
                <w:sz w:val="16"/>
                <w:szCs w:val="16"/>
              </w:rPr>
              <w:instrText xml:space="preserve"> DOCPROPERTY </w:instrText>
            </w:r>
            <w:r>
              <w:rPr>
                <w:rFonts w:ascii="Arial" w:eastAsia="黑体" w:hAnsi="Arial" w:cs="Arial"/>
                <w:sz w:val="16"/>
                <w:szCs w:val="16"/>
              </w:rPr>
              <w:instrText>当期资产负债表日</w:instrText>
            </w:r>
            <w:r>
              <w:rPr>
                <w:rFonts w:ascii="Arial" w:eastAsia="黑体" w:hAnsi="Arial" w:cs="Arial"/>
                <w:sz w:val="16"/>
                <w:szCs w:val="16"/>
              </w:rPr>
              <w:instrText xml:space="preserve"> </w:instrText>
            </w:r>
            <w:r>
              <w:rPr>
                <w:rFonts w:ascii="Arial" w:eastAsia="黑体" w:hAnsi="Arial" w:cs="Arial"/>
                <w:sz w:val="16"/>
                <w:szCs w:val="16"/>
              </w:rPr>
              <w:fldChar w:fldCharType="separate"/>
            </w:r>
            <w:r>
              <w:rPr>
                <w:rFonts w:ascii="Arial" w:eastAsia="黑体" w:hAnsi="Arial" w:cs="Arial"/>
                <w:sz w:val="16"/>
                <w:szCs w:val="16"/>
              </w:rPr>
              <w:t>2023</w:t>
            </w:r>
            <w:r>
              <w:rPr>
                <w:rFonts w:ascii="Arial" w:eastAsia="黑体" w:hAnsi="Arial" w:cs="Arial"/>
                <w:sz w:val="16"/>
                <w:szCs w:val="16"/>
              </w:rPr>
              <w:t>年</w:t>
            </w:r>
            <w:r>
              <w:rPr>
                <w:rFonts w:ascii="Arial" w:eastAsia="黑体" w:hAnsi="Arial" w:cs="Arial"/>
                <w:sz w:val="16"/>
                <w:szCs w:val="16"/>
              </w:rPr>
              <w:t>6</w:t>
            </w:r>
            <w:r>
              <w:rPr>
                <w:rFonts w:ascii="Arial" w:eastAsia="黑体" w:hAnsi="Arial" w:cs="Arial"/>
                <w:sz w:val="16"/>
                <w:szCs w:val="16"/>
              </w:rPr>
              <w:t>月</w:t>
            </w:r>
            <w:r>
              <w:rPr>
                <w:rFonts w:ascii="Arial" w:eastAsia="黑体" w:hAnsi="Arial" w:cs="Arial"/>
                <w:sz w:val="16"/>
                <w:szCs w:val="16"/>
              </w:rPr>
              <w:t>30</w:t>
            </w:r>
            <w:r>
              <w:rPr>
                <w:rFonts w:ascii="Arial" w:eastAsia="黑体" w:hAnsi="Arial" w:cs="Arial"/>
                <w:sz w:val="16"/>
                <w:szCs w:val="16"/>
              </w:rPr>
              <w:t>日</w:t>
            </w:r>
            <w:r>
              <w:rPr>
                <w:rFonts w:ascii="Arial" w:eastAsia="黑体" w:hAnsi="Arial" w:cs="Arial"/>
                <w:sz w:val="16"/>
                <w:szCs w:val="16"/>
              </w:rPr>
              <w:fldChar w:fldCharType="end"/>
            </w: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3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2824" w:type="dxa"/>
            <w:vMerge/>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r>
      <w:tr w:rsidR="00AD5BB5">
        <w:tc>
          <w:tcPr>
            <w:tcW w:w="1623"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8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8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1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82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3"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资产</w:t>
            </w:r>
          </w:p>
        </w:tc>
        <w:tc>
          <w:tcPr>
            <w:tcW w:w="8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8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1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82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3" w:type="dxa"/>
            <w:tcBorders>
              <w:top w:val="nil"/>
              <w:left w:val="nil"/>
              <w:bottom w:val="nil"/>
              <w:right w:val="nil"/>
            </w:tcBorders>
            <w:vAlign w:val="bottom"/>
          </w:tcPr>
          <w:p w:rsidR="00AD5BB5" w:rsidRDefault="00F87FF6">
            <w:pPr>
              <w:autoSpaceDE w:val="0"/>
              <w:autoSpaceDN w:val="0"/>
              <w:ind w:left="320" w:hangingChars="200" w:hanging="320"/>
              <w:rPr>
                <w:rFonts w:ascii="Arial" w:eastAsia="黑体" w:hAnsi="Arial" w:cs="Arial"/>
                <w:sz w:val="16"/>
                <w:szCs w:val="16"/>
              </w:rPr>
            </w:pPr>
            <w:r>
              <w:rPr>
                <w:rFonts w:ascii="Arial" w:eastAsia="黑体" w:hAnsi="Arial" w:cs="Arial"/>
                <w:sz w:val="16"/>
                <w:szCs w:val="16"/>
              </w:rPr>
              <w:t xml:space="preserve">  </w:t>
            </w:r>
            <w:r>
              <w:rPr>
                <w:rFonts w:ascii="Arial" w:eastAsia="黑体" w:hAnsi="Arial" w:cs="Arial"/>
                <w:sz w:val="16"/>
                <w:szCs w:val="16"/>
              </w:rPr>
              <w:t>其他权益工具投资</w:t>
            </w:r>
          </w:p>
        </w:tc>
        <w:tc>
          <w:tcPr>
            <w:tcW w:w="8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8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1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82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3" w:type="dxa"/>
            <w:tcBorders>
              <w:top w:val="nil"/>
              <w:left w:val="nil"/>
              <w:bottom w:val="nil"/>
              <w:right w:val="nil"/>
            </w:tcBorders>
            <w:vAlign w:val="bottom"/>
          </w:tcPr>
          <w:p w:rsidR="00AD5BB5" w:rsidRDefault="00F87FF6">
            <w:pPr>
              <w:autoSpaceDE w:val="0"/>
              <w:autoSpaceDN w:val="0"/>
              <w:ind w:left="320" w:hangingChars="200" w:hanging="320"/>
              <w:rPr>
                <w:rFonts w:ascii="Arial" w:eastAsia="黑体" w:hAnsi="Arial" w:cs="Arial"/>
                <w:sz w:val="16"/>
                <w:szCs w:val="16"/>
              </w:rPr>
            </w:pPr>
            <w:r>
              <w:rPr>
                <w:rFonts w:ascii="Arial" w:eastAsia="黑体" w:hAnsi="Arial" w:cs="Arial"/>
                <w:sz w:val="16"/>
                <w:szCs w:val="16"/>
              </w:rPr>
              <w:t xml:space="preserve">  —</w:t>
            </w:r>
            <w:r>
              <w:rPr>
                <w:rFonts w:ascii="Arial" w:eastAsia="黑体" w:hAnsi="Arial" w:cs="Arial"/>
                <w:sz w:val="16"/>
                <w:szCs w:val="16"/>
              </w:rPr>
              <w:t>非上市股权投资</w:t>
            </w:r>
          </w:p>
        </w:tc>
        <w:tc>
          <w:tcPr>
            <w:tcW w:w="8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8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77,287,780.74</w:t>
            </w: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w:t>
            </w: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18,773,233.47</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w:t>
            </w:r>
          </w:p>
        </w:tc>
        <w:tc>
          <w:tcPr>
            <w:tcW w:w="11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1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96,061,014.21</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82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3"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8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8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1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82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623"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合计</w:t>
            </w:r>
          </w:p>
        </w:tc>
        <w:tc>
          <w:tcPr>
            <w:tcW w:w="8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8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77,287,780.74</w:t>
            </w: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w:t>
            </w: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6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18,773,233.47</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00"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w:t>
            </w:r>
          </w:p>
        </w:tc>
        <w:tc>
          <w:tcPr>
            <w:tcW w:w="11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9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1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96,061,014.21</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3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82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bl>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持续的第三层次公允价值的资产的期初余额与期末余额之间的调节信息如下：</w:t>
      </w:r>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da5c3c9d-3e19-4453-a85b-35e8eba3dab0"/>
        <w:tblDescription w:val="{&quot;UUID&quot;:&quot;afsaddin_tabledata_2_56437_da5c3c9d-3e19-4453-a85b-35e8eba3dab0&quot;,&quot;TitleRowCount&quot;:3,&quot;SplitedTable&quot;:false,&quot;FirstTableId&quot;:&quot;da5c3c9d-3e19-4453-a85b-35e8eba3dab0&quot;}"/>
      </w:tblPr>
      <w:tblGrid>
        <w:gridCol w:w="1586"/>
        <w:gridCol w:w="103"/>
        <w:gridCol w:w="1288"/>
        <w:gridCol w:w="105"/>
        <w:gridCol w:w="105"/>
        <w:gridCol w:w="1349"/>
        <w:gridCol w:w="105"/>
        <w:gridCol w:w="105"/>
        <w:gridCol w:w="1390"/>
        <w:gridCol w:w="105"/>
        <w:gridCol w:w="105"/>
        <w:gridCol w:w="1311"/>
        <w:gridCol w:w="105"/>
        <w:gridCol w:w="105"/>
        <w:gridCol w:w="1350"/>
        <w:gridCol w:w="105"/>
        <w:gridCol w:w="105"/>
        <w:gridCol w:w="1349"/>
        <w:gridCol w:w="105"/>
        <w:gridCol w:w="105"/>
        <w:gridCol w:w="2764"/>
        <w:gridCol w:w="105"/>
      </w:tblGrid>
      <w:tr w:rsidR="00AD5BB5">
        <w:tc>
          <w:tcPr>
            <w:tcW w:w="1586"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bookmarkStart w:id="484" w:name="_Hlk118141780"/>
            <w:r>
              <w:rPr>
                <w:rFonts w:ascii="Arial" w:eastAsia="黑体" w:hAnsi="Arial" w:cs="Arial"/>
                <w:sz w:val="16"/>
                <w:szCs w:val="16"/>
              </w:rPr>
              <w:t>本集团</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88"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949" w:type="dxa"/>
            <w:gridSpan w:val="4"/>
            <w:tcBorders>
              <w:top w:val="nil"/>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u w:val="single"/>
              </w:rPr>
              <w:t>本年利得或损失总额</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871" w:type="dxa"/>
            <w:gridSpan w:val="4"/>
            <w:tcBorders>
              <w:top w:val="nil"/>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u w:val="single"/>
              </w:rPr>
              <w:t>购买和结算</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9"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764" w:type="dxa"/>
            <w:tcBorders>
              <w:top w:val="nil"/>
              <w:left w:val="nil"/>
              <w:bottom w:val="nil"/>
              <w:right w:val="nil"/>
            </w:tcBorders>
            <w:vAlign w:val="bottom"/>
          </w:tcPr>
          <w:p w:rsidR="00AD5BB5" w:rsidRDefault="00F87FF6">
            <w:pPr>
              <w:autoSpaceDE w:val="0"/>
              <w:autoSpaceDN w:val="0"/>
              <w:ind w:right="7" w:firstLineChars="73" w:firstLine="117"/>
              <w:jc w:val="right"/>
              <w:rPr>
                <w:rFonts w:ascii="Arial" w:eastAsia="黑体" w:hAnsi="Arial" w:cs="Arial"/>
                <w:sz w:val="16"/>
                <w:szCs w:val="16"/>
              </w:rPr>
            </w:pPr>
            <w:r>
              <w:rPr>
                <w:rFonts w:ascii="Arial" w:eastAsia="黑体" w:hAnsi="Arial" w:cs="Arial"/>
                <w:sz w:val="16"/>
                <w:szCs w:val="16"/>
              </w:rPr>
              <w:t>对于年末持有的资产和承担的负债，计入损益的当年未实现利得或损失</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586" w:type="dxa"/>
            <w:tcBorders>
              <w:top w:val="nil"/>
              <w:left w:val="nil"/>
              <w:bottom w:val="nil"/>
              <w:right w:val="nil"/>
            </w:tcBorders>
            <w:vAlign w:val="bottom"/>
          </w:tcPr>
          <w:p w:rsidR="00AD5BB5" w:rsidRDefault="00AD5BB5">
            <w:pPr>
              <w:autoSpaceDE w:val="0"/>
              <w:autoSpaceDN w:val="0"/>
              <w:ind w:left="240" w:hangingChars="150" w:hanging="24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28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fldChar w:fldCharType="begin"/>
            </w:r>
            <w:r>
              <w:rPr>
                <w:rFonts w:ascii="Arial" w:eastAsia="黑体" w:hAnsi="Arial" w:cs="Arial"/>
                <w:sz w:val="16"/>
                <w:szCs w:val="16"/>
              </w:rPr>
              <w:instrText xml:space="preserve"> DOCPROPERTY </w:instrText>
            </w:r>
            <w:r>
              <w:rPr>
                <w:rFonts w:ascii="Arial" w:eastAsia="黑体" w:hAnsi="Arial" w:cs="Arial"/>
                <w:sz w:val="16"/>
                <w:szCs w:val="16"/>
              </w:rPr>
              <w:instrText>对比会计期间</w:instrText>
            </w:r>
            <w:r>
              <w:rPr>
                <w:rFonts w:ascii="Arial" w:eastAsia="黑体" w:hAnsi="Arial" w:cs="Arial"/>
                <w:sz w:val="16"/>
                <w:szCs w:val="16"/>
              </w:rPr>
              <w:instrText xml:space="preserve"> </w:instrText>
            </w:r>
            <w:r>
              <w:rPr>
                <w:rFonts w:ascii="Arial" w:eastAsia="黑体" w:hAnsi="Arial" w:cs="Arial"/>
                <w:sz w:val="16"/>
                <w:szCs w:val="16"/>
              </w:rPr>
              <w:fldChar w:fldCharType="separate"/>
            </w:r>
            <w:r>
              <w:rPr>
                <w:rFonts w:ascii="Arial" w:eastAsia="黑体" w:hAnsi="Arial" w:cs="Arial"/>
                <w:sz w:val="16"/>
                <w:szCs w:val="16"/>
              </w:rPr>
              <w:t>2022</w:t>
            </w:r>
            <w:r>
              <w:rPr>
                <w:rFonts w:ascii="Arial" w:eastAsia="黑体" w:hAnsi="Arial" w:cs="Arial"/>
                <w:sz w:val="16"/>
                <w:szCs w:val="16"/>
              </w:rPr>
              <w:fldChar w:fldCharType="end"/>
            </w:r>
            <w:r>
              <w:rPr>
                <w:rFonts w:ascii="Arial" w:eastAsia="黑体" w:hAnsi="Arial" w:cs="Arial"/>
                <w:sz w:val="16"/>
                <w:szCs w:val="16"/>
              </w:rPr>
              <w:t>年</w:t>
            </w:r>
            <w:r>
              <w:rPr>
                <w:rFonts w:ascii="Arial" w:eastAsia="黑体" w:hAnsi="Arial" w:cs="Arial"/>
                <w:sz w:val="16"/>
                <w:szCs w:val="16"/>
              </w:rPr>
              <w:t>1</w:t>
            </w:r>
            <w:r>
              <w:rPr>
                <w:rFonts w:ascii="Arial" w:eastAsia="黑体" w:hAnsi="Arial" w:cs="Arial"/>
                <w:sz w:val="16"/>
                <w:szCs w:val="16"/>
              </w:rPr>
              <w:t>月</w:t>
            </w:r>
            <w:r>
              <w:rPr>
                <w:rFonts w:ascii="Arial" w:eastAsia="黑体" w:hAnsi="Arial" w:cs="Arial"/>
                <w:sz w:val="16"/>
                <w:szCs w:val="16"/>
              </w:rPr>
              <w:t>1</w:t>
            </w:r>
            <w:r>
              <w:rPr>
                <w:rFonts w:ascii="Arial" w:eastAsia="黑体" w:hAnsi="Arial" w:cs="Arial"/>
                <w:sz w:val="16"/>
                <w:szCs w:val="16"/>
              </w:rPr>
              <w:t>日</w:t>
            </w:r>
          </w:p>
        </w:tc>
        <w:tc>
          <w:tcPr>
            <w:tcW w:w="10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34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计入损益</w:t>
            </w:r>
          </w:p>
        </w:tc>
        <w:tc>
          <w:tcPr>
            <w:tcW w:w="10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39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计入其他综合收益</w:t>
            </w:r>
          </w:p>
        </w:tc>
        <w:tc>
          <w:tcPr>
            <w:tcW w:w="10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31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购买</w:t>
            </w:r>
          </w:p>
        </w:tc>
        <w:tc>
          <w:tcPr>
            <w:tcW w:w="10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35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结算</w:t>
            </w:r>
          </w:p>
        </w:tc>
        <w:tc>
          <w:tcPr>
            <w:tcW w:w="10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34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2022</w:t>
            </w:r>
            <w:r>
              <w:rPr>
                <w:rFonts w:ascii="Arial" w:eastAsia="黑体" w:hAnsi="Arial" w:cs="Arial"/>
                <w:sz w:val="16"/>
                <w:szCs w:val="16"/>
              </w:rPr>
              <w:t>年</w:t>
            </w:r>
            <w:r>
              <w:rPr>
                <w:rFonts w:ascii="Arial" w:eastAsia="黑体" w:hAnsi="Arial" w:cs="Arial"/>
                <w:sz w:val="16"/>
                <w:szCs w:val="16"/>
              </w:rPr>
              <w:t>12</w:t>
            </w:r>
            <w:r>
              <w:rPr>
                <w:rFonts w:ascii="Arial" w:eastAsia="黑体" w:hAnsi="Arial" w:cs="Arial"/>
                <w:sz w:val="16"/>
                <w:szCs w:val="16"/>
              </w:rPr>
              <w:t>月</w:t>
            </w:r>
            <w:r>
              <w:rPr>
                <w:rFonts w:ascii="Arial" w:eastAsia="黑体" w:hAnsi="Arial" w:cs="Arial"/>
                <w:sz w:val="16"/>
                <w:szCs w:val="16"/>
              </w:rPr>
              <w:t>31</w:t>
            </w:r>
            <w:r>
              <w:rPr>
                <w:rFonts w:ascii="Arial" w:eastAsia="黑体" w:hAnsi="Arial" w:cs="Arial"/>
                <w:sz w:val="16"/>
                <w:szCs w:val="16"/>
              </w:rPr>
              <w:t>日</w:t>
            </w:r>
          </w:p>
        </w:tc>
        <w:tc>
          <w:tcPr>
            <w:tcW w:w="10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276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r>
      <w:tr w:rsidR="00AD5BB5">
        <w:tc>
          <w:tcPr>
            <w:tcW w:w="1586"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8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5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76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586"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资产</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8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5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76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586" w:type="dxa"/>
            <w:tcBorders>
              <w:top w:val="nil"/>
              <w:left w:val="nil"/>
              <w:bottom w:val="nil"/>
              <w:right w:val="nil"/>
            </w:tcBorders>
            <w:vAlign w:val="bottom"/>
          </w:tcPr>
          <w:p w:rsidR="00AD5BB5" w:rsidRDefault="00F87FF6">
            <w:pPr>
              <w:autoSpaceDE w:val="0"/>
              <w:autoSpaceDN w:val="0"/>
              <w:ind w:left="320" w:hangingChars="200" w:hanging="320"/>
              <w:rPr>
                <w:rFonts w:ascii="Arial" w:eastAsia="黑体" w:hAnsi="Arial" w:cs="Arial"/>
                <w:sz w:val="16"/>
                <w:szCs w:val="16"/>
              </w:rPr>
            </w:pPr>
            <w:r>
              <w:rPr>
                <w:rFonts w:ascii="Arial" w:eastAsia="黑体" w:hAnsi="Arial" w:cs="Arial"/>
                <w:sz w:val="16"/>
                <w:szCs w:val="16"/>
              </w:rPr>
              <w:t xml:space="preserve">  </w:t>
            </w:r>
            <w:r>
              <w:rPr>
                <w:rFonts w:ascii="Arial" w:eastAsia="黑体" w:hAnsi="Arial" w:cs="Arial"/>
                <w:sz w:val="16"/>
                <w:szCs w:val="16"/>
              </w:rPr>
              <w:t>其他权益工具投资</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8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5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76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586" w:type="dxa"/>
            <w:tcBorders>
              <w:top w:val="nil"/>
              <w:left w:val="nil"/>
              <w:bottom w:val="nil"/>
              <w:right w:val="nil"/>
            </w:tcBorders>
            <w:vAlign w:val="bottom"/>
          </w:tcPr>
          <w:p w:rsidR="00AD5BB5" w:rsidRDefault="00F87FF6">
            <w:pPr>
              <w:autoSpaceDE w:val="0"/>
              <w:autoSpaceDN w:val="0"/>
              <w:ind w:left="320" w:hangingChars="200" w:hanging="320"/>
              <w:rPr>
                <w:rFonts w:ascii="Arial" w:eastAsia="黑体" w:hAnsi="Arial" w:cs="Arial"/>
                <w:sz w:val="16"/>
                <w:szCs w:val="16"/>
              </w:rPr>
            </w:pPr>
            <w:r>
              <w:rPr>
                <w:rFonts w:ascii="Arial" w:eastAsia="黑体" w:hAnsi="Arial" w:cs="Arial"/>
                <w:sz w:val="16"/>
                <w:szCs w:val="16"/>
              </w:rPr>
              <w:t xml:space="preserve">  —</w:t>
            </w:r>
            <w:r>
              <w:rPr>
                <w:rFonts w:ascii="Arial" w:eastAsia="黑体" w:hAnsi="Arial" w:cs="Arial"/>
                <w:sz w:val="16"/>
                <w:szCs w:val="16"/>
              </w:rPr>
              <w:t>非上市股权投资</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8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75,419,777.73</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1,868,003.01</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1"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5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77,287,780.74</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76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586"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8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5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76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1586"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合计</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8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75,419,777.73</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90"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1,868,003.01</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11"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50"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4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77,287,780.74</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76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bookmarkEnd w:id="484"/>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bl>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sectPr w:rsidR="00AD5BB5">
          <w:headerReference w:type="even" r:id="rId78"/>
          <w:headerReference w:type="default" r:id="rId79"/>
          <w:headerReference w:type="first" r:id="rId80"/>
          <w:pgSz w:w="16840" w:h="11907" w:orient="landscape"/>
          <w:pgMar w:top="1797" w:right="1440" w:bottom="1797" w:left="1440" w:header="720" w:footer="720" w:gutter="0"/>
          <w:cols w:space="720"/>
          <w:titlePg/>
          <w:docGrid w:linePitch="360"/>
        </w:sectPr>
      </w:pPr>
    </w:p>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485" w:name="afsaddin_WithXu_a6f9bbe948f840d5a42cd417"/>
      <w:r>
        <w:rPr>
          <w:rFonts w:ascii="Arial" w:eastAsia="黑体" w:hAnsi="Arial" w:cs="Arial"/>
          <w:b/>
          <w:snapToGrid w:val="0"/>
          <w:szCs w:val="21"/>
        </w:rPr>
        <w:t>八、</w:t>
      </w:r>
      <w:r>
        <w:rPr>
          <w:rFonts w:ascii="Arial" w:eastAsia="黑体" w:hAnsi="Arial" w:cs="Arial"/>
          <w:b/>
          <w:snapToGrid w:val="0"/>
          <w:szCs w:val="21"/>
        </w:rPr>
        <w:tab/>
      </w:r>
      <w:r>
        <w:rPr>
          <w:rFonts w:ascii="Arial" w:eastAsia="黑体" w:hAnsi="Arial" w:cs="Arial"/>
          <w:b/>
          <w:snapToGrid w:val="0"/>
          <w:szCs w:val="21"/>
        </w:rPr>
        <w:t>金融工具及其风险分析（续）</w:t>
      </w:r>
      <w:bookmarkEnd w:id="485"/>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486" w:name="afsaddin_WithXu_9a2a8b30f1b944a09e2d0af5"/>
      <w:r>
        <w:rPr>
          <w:rFonts w:ascii="Arial" w:eastAsia="黑体" w:hAnsi="Arial" w:cs="Arial"/>
          <w:b/>
          <w:snapToGrid w:val="0"/>
          <w:szCs w:val="21"/>
        </w:rPr>
        <w:t>3.</w:t>
      </w:r>
      <w:r>
        <w:rPr>
          <w:rFonts w:ascii="Arial" w:eastAsia="黑体" w:hAnsi="Arial" w:cs="Arial"/>
          <w:b/>
          <w:snapToGrid w:val="0"/>
          <w:szCs w:val="21"/>
        </w:rPr>
        <w:tab/>
      </w:r>
      <w:r>
        <w:rPr>
          <w:rFonts w:ascii="Arial" w:eastAsia="黑体" w:hAnsi="Arial" w:cs="Arial"/>
          <w:b/>
          <w:snapToGrid w:val="0"/>
          <w:szCs w:val="21"/>
        </w:rPr>
        <w:t>市场风险（续）</w:t>
      </w:r>
      <w:bookmarkEnd w:id="486"/>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487" w:name="afsaddin_WithXu_8f7775f0f0fb469d920b07f4"/>
      <w:r>
        <w:rPr>
          <w:rFonts w:ascii="Arial" w:eastAsia="黑体" w:hAnsi="Arial" w:cs="Arial"/>
          <w:b/>
          <w:snapToGrid w:val="0"/>
          <w:szCs w:val="21"/>
        </w:rPr>
        <w:t>3.3</w:t>
      </w:r>
      <w:r>
        <w:rPr>
          <w:rFonts w:ascii="Arial" w:eastAsia="黑体" w:hAnsi="Arial" w:cs="Arial"/>
          <w:b/>
          <w:snapToGrid w:val="0"/>
          <w:szCs w:val="21"/>
        </w:rPr>
        <w:tab/>
      </w:r>
      <w:r>
        <w:rPr>
          <w:rFonts w:ascii="Arial" w:eastAsia="黑体" w:hAnsi="Arial" w:cs="Arial"/>
          <w:b/>
          <w:snapToGrid w:val="0"/>
          <w:szCs w:val="21"/>
        </w:rPr>
        <w:t>金融工具公允价值（续）</w:t>
      </w:r>
      <w:bookmarkEnd w:id="487"/>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snapToGrid w:val="0"/>
          <w:szCs w:val="21"/>
        </w:rPr>
      </w:pPr>
      <w:bookmarkStart w:id="488" w:name="afsaddin_WithXu_fb01369709ed4838b242c827"/>
      <w:r>
        <w:rPr>
          <w:rFonts w:ascii="Arial" w:eastAsia="黑体" w:hAnsi="Arial" w:cs="Arial"/>
          <w:snapToGrid w:val="0"/>
          <w:szCs w:val="21"/>
        </w:rPr>
        <w:t>1)</w:t>
      </w:r>
      <w:r>
        <w:rPr>
          <w:rFonts w:ascii="Arial" w:eastAsia="黑体" w:hAnsi="Arial" w:cs="Arial"/>
          <w:snapToGrid w:val="0"/>
          <w:szCs w:val="21"/>
        </w:rPr>
        <w:tab/>
      </w:r>
      <w:r>
        <w:rPr>
          <w:rFonts w:ascii="Arial" w:eastAsia="黑体" w:hAnsi="Arial" w:cs="Arial"/>
          <w:snapToGrid w:val="0"/>
          <w:szCs w:val="21"/>
        </w:rPr>
        <w:t>以公允价值计量的金融工具（续）</w:t>
      </w:r>
      <w:bookmarkEnd w:id="488"/>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snapToGrid w:val="0"/>
          <w:szCs w:val="21"/>
        </w:rPr>
      </w:pPr>
      <w:bookmarkStart w:id="489" w:name="afsaddin_WithXu_3b34420e5bf64a41996461fd"/>
      <w:r>
        <w:rPr>
          <w:rFonts w:ascii="Arial" w:eastAsia="黑体" w:hAnsi="Arial" w:cs="Arial"/>
          <w:snapToGrid w:val="0"/>
          <w:szCs w:val="21"/>
        </w:rPr>
        <w:t>(d)</w:t>
      </w:r>
      <w:r>
        <w:rPr>
          <w:rFonts w:ascii="Arial" w:eastAsia="黑体" w:hAnsi="Arial" w:cs="Arial"/>
          <w:snapToGrid w:val="0"/>
          <w:szCs w:val="21"/>
        </w:rPr>
        <w:tab/>
      </w:r>
      <w:r>
        <w:rPr>
          <w:rFonts w:ascii="Arial" w:eastAsia="黑体" w:hAnsi="Arial" w:cs="Arial"/>
          <w:snapToGrid w:val="0"/>
          <w:szCs w:val="21"/>
        </w:rPr>
        <w:t>第三层次的公允价值计量（续）</w:t>
      </w:r>
      <w:bookmarkEnd w:id="489"/>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bookmarkStart w:id="490" w:name="afsaddin_WithXu_fa1e86a7f4af48e3b8d0aab7"/>
      <w:bookmarkStart w:id="491" w:name="afsaddin_WithXu_14d7a77c0c7f4ee89a1b6f16"/>
      <w:bookmarkStart w:id="492" w:name="afsaddin_WithXu_70af4c3131574e9d9e823936"/>
      <w:bookmarkStart w:id="493" w:name="afsaddin_WithXu_122bf4cea77c4959b02bd3cc"/>
      <w:bookmarkStart w:id="494" w:name="afsaddin_WithXu_0ebbada4d3394d77be41eb42"/>
      <w:bookmarkEnd w:id="490"/>
      <w:bookmarkEnd w:id="491"/>
      <w:bookmarkEnd w:id="492"/>
      <w:bookmarkEnd w:id="493"/>
      <w:bookmarkEnd w:id="494"/>
      <w:r>
        <w:rPr>
          <w:rFonts w:ascii="Arial" w:eastAsia="黑体" w:hAnsi="Arial" w:cs="Arial"/>
          <w:snapToGrid w:val="0"/>
          <w:szCs w:val="21"/>
        </w:rPr>
        <w:t>持续的第三层次公允价值计量项目，不可观察参数敏感性分析：</w:t>
      </w: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本集团持有的非上市股权投资主要采用可比公司的估值乘数法，并进行适当的调整，如对缺乏流动性进行流动性折让调整。公允价值计量与流动性折扣率呈负相关关系。</w:t>
      </w: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adjustRightInd w:val="0"/>
        <w:snapToGrid w:val="0"/>
        <w:ind w:left="720" w:hanging="720"/>
        <w:textAlignment w:val="bottom"/>
        <w:outlineLvl w:val="5"/>
        <w:rPr>
          <w:rFonts w:ascii="Arial" w:eastAsia="黑体" w:hAnsi="Arial" w:cs="Arial"/>
          <w:snapToGrid w:val="0"/>
          <w:szCs w:val="21"/>
        </w:rPr>
      </w:pPr>
      <w:bookmarkStart w:id="495" w:name="afsaddin_Section_67d80d9b86ff47968f1183d"/>
      <w:r>
        <w:rPr>
          <w:rFonts w:ascii="Arial" w:eastAsia="黑体" w:hAnsi="Arial" w:cs="Arial"/>
          <w:snapToGrid w:val="0"/>
          <w:szCs w:val="21"/>
        </w:rPr>
        <w:t>(e)</w:t>
      </w:r>
      <w:r>
        <w:rPr>
          <w:rFonts w:ascii="Arial" w:eastAsia="黑体" w:hAnsi="Arial" w:cs="Arial"/>
          <w:snapToGrid w:val="0"/>
          <w:szCs w:val="21"/>
        </w:rPr>
        <w:tab/>
      </w:r>
      <w:r>
        <w:rPr>
          <w:rFonts w:ascii="Arial" w:eastAsia="黑体" w:hAnsi="Arial" w:cs="Arial"/>
          <w:snapToGrid w:val="0"/>
          <w:szCs w:val="21"/>
        </w:rPr>
        <w:t>以公允价值计量项目在各层次之间转换的情况</w:t>
      </w:r>
    </w:p>
    <w:bookmarkEnd w:id="495"/>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于报告期内，本集团以公允价值计量的资产和负债各层次之间没有发生转换。</w:t>
      </w: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adjustRightInd w:val="0"/>
        <w:snapToGrid w:val="0"/>
        <w:ind w:left="720" w:hanging="720"/>
        <w:textAlignment w:val="bottom"/>
        <w:outlineLvl w:val="5"/>
        <w:rPr>
          <w:rFonts w:ascii="Arial" w:eastAsia="黑体" w:hAnsi="Arial" w:cs="Arial"/>
          <w:snapToGrid w:val="0"/>
          <w:szCs w:val="21"/>
        </w:rPr>
      </w:pPr>
      <w:bookmarkStart w:id="496" w:name="afsaddin_Section_64d3d6e854c54339993e250"/>
      <w:r>
        <w:rPr>
          <w:rFonts w:ascii="Arial" w:eastAsia="黑体" w:hAnsi="Arial" w:cs="Arial"/>
          <w:snapToGrid w:val="0"/>
          <w:szCs w:val="21"/>
        </w:rPr>
        <w:t>(f)</w:t>
      </w:r>
      <w:r>
        <w:rPr>
          <w:rFonts w:ascii="Arial" w:eastAsia="黑体" w:hAnsi="Arial" w:cs="Arial"/>
          <w:snapToGrid w:val="0"/>
          <w:szCs w:val="21"/>
        </w:rPr>
        <w:tab/>
      </w:r>
      <w:r>
        <w:rPr>
          <w:rFonts w:ascii="Arial" w:eastAsia="黑体" w:hAnsi="Arial" w:cs="Arial"/>
          <w:snapToGrid w:val="0"/>
          <w:szCs w:val="21"/>
        </w:rPr>
        <w:t>估值技术变更及变更原因</w:t>
      </w:r>
    </w:p>
    <w:bookmarkEnd w:id="496"/>
    <w:p w:rsidR="00AD5BB5" w:rsidRDefault="00AD5BB5">
      <w:pPr>
        <w:overflowPunct w:val="0"/>
        <w:autoSpaceDE w:val="0"/>
        <w:autoSpaceDN w:val="0"/>
        <w:adjustRightInd w:val="0"/>
        <w:snapToGrid w:val="0"/>
        <w:ind w:left="720" w:hanging="720"/>
        <w:textAlignment w:val="bottom"/>
        <w:rPr>
          <w:rFonts w:ascii="Arial" w:eastAsia="黑体" w:hAnsi="Arial" w:cs="Arial"/>
          <w:snapToGrid w:val="0"/>
          <w:szCs w:val="21"/>
        </w:rPr>
      </w:pPr>
    </w:p>
    <w:p w:rsidR="00AD5BB5" w:rsidRDefault="00F87FF6">
      <w:pPr>
        <w:overflowPunct w:val="0"/>
        <w:autoSpaceDE w:val="0"/>
        <w:autoSpaceDN w:val="0"/>
        <w:adjustRightInd w:val="0"/>
        <w:snapToGrid w:val="0"/>
        <w:ind w:left="720" w:hanging="720"/>
        <w:textAlignment w:val="bottom"/>
        <w:rPr>
          <w:rFonts w:ascii="Arial" w:eastAsia="黑体" w:hAnsi="Arial" w:cs="Arial"/>
          <w:snapToGrid w:val="0"/>
          <w:szCs w:val="21"/>
        </w:rPr>
      </w:pPr>
      <w:r>
        <w:rPr>
          <w:rFonts w:ascii="Arial" w:eastAsia="黑体" w:hAnsi="Arial" w:cs="Arial"/>
          <w:snapToGrid w:val="0"/>
          <w:szCs w:val="21"/>
        </w:rPr>
        <w:t>于报告期内，本集团以公允价值计量所使用的估值技术并未发生变更。</w:t>
      </w: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adjustRightInd w:val="0"/>
        <w:snapToGrid w:val="0"/>
        <w:ind w:left="720" w:hanging="720"/>
        <w:textAlignment w:val="bottom"/>
        <w:outlineLvl w:val="4"/>
        <w:rPr>
          <w:rFonts w:ascii="Arial" w:eastAsia="黑体" w:hAnsi="Arial" w:cs="Arial"/>
          <w:snapToGrid w:val="0"/>
          <w:szCs w:val="21"/>
        </w:rPr>
      </w:pPr>
      <w:bookmarkStart w:id="497" w:name="afsaddin_Section_f9608395e56c4466bd2441b"/>
      <w:r>
        <w:rPr>
          <w:rFonts w:ascii="Arial" w:eastAsia="黑体" w:hAnsi="Arial" w:cs="Arial"/>
          <w:snapToGrid w:val="0"/>
          <w:szCs w:val="21"/>
        </w:rPr>
        <w:t>2)</w:t>
      </w:r>
      <w:r>
        <w:rPr>
          <w:rFonts w:ascii="Arial" w:eastAsia="黑体" w:hAnsi="Arial" w:cs="Arial"/>
          <w:snapToGrid w:val="0"/>
          <w:szCs w:val="21"/>
        </w:rPr>
        <w:tab/>
      </w:r>
      <w:r>
        <w:rPr>
          <w:rFonts w:ascii="Arial" w:eastAsia="黑体" w:hAnsi="Arial" w:cs="Arial"/>
          <w:snapToGrid w:val="0"/>
          <w:szCs w:val="21"/>
        </w:rPr>
        <w:t>非以公允价值计量的金融工具</w:t>
      </w:r>
    </w:p>
    <w:bookmarkEnd w:id="497"/>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资产负债表日未按公允价值列示的债权投资和应付债券，下表列明了其账面价值以及相应的公允价值：</w:t>
      </w:r>
    </w:p>
    <w:p w:rsidR="00AD5BB5" w:rsidRDefault="00AD5BB5">
      <w:pPr>
        <w:overflowPunct w:val="0"/>
        <w:autoSpaceDE w:val="0"/>
        <w:autoSpaceDN w:val="0"/>
        <w:rPr>
          <w:rFonts w:ascii="Arial" w:eastAsia="黑体" w:hAnsi="Arial" w:cs="Arial"/>
          <w:snapToGrid w:val="0"/>
          <w:sz w:val="20"/>
        </w:rPr>
      </w:pPr>
    </w:p>
    <w:tbl>
      <w:tblPr>
        <w:tblW w:w="0" w:type="auto"/>
        <w:tblLayout w:type="fixed"/>
        <w:tblCellMar>
          <w:left w:w="0" w:type="dxa"/>
          <w:right w:w="0" w:type="dxa"/>
        </w:tblCellMar>
        <w:tblLook w:val="04A0" w:firstRow="1" w:lastRow="0" w:firstColumn="1" w:lastColumn="0" w:noHBand="0" w:noVBand="1"/>
        <w:tblCaption w:val="5b6b33f1-b37e-4d80-b9c2-b98e6da3a402"/>
        <w:tblDescription w:val="{&quot;UUID&quot;:&quot;afsaddin_tabledata_2_56437_5b6b33f1-b37e-4d80-b9c2-b98e6da3a402&quot;,&quot;TitleRowCount&quot;:2,&quot;SplitedTable&quot;:false,&quot;FirstTableId&quot;:&quot;5b6b33f1-b37e-4d80-b9c2-b98e6da3a402&quot;}"/>
      </w:tblPr>
      <w:tblGrid>
        <w:gridCol w:w="938"/>
        <w:gridCol w:w="106"/>
        <w:gridCol w:w="1693"/>
        <w:gridCol w:w="106"/>
        <w:gridCol w:w="105"/>
        <w:gridCol w:w="1693"/>
        <w:gridCol w:w="105"/>
        <w:gridCol w:w="105"/>
        <w:gridCol w:w="1630"/>
        <w:gridCol w:w="105"/>
        <w:gridCol w:w="105"/>
        <w:gridCol w:w="1596"/>
        <w:gridCol w:w="105"/>
      </w:tblGrid>
      <w:tr w:rsidR="00AD5BB5">
        <w:tc>
          <w:tcPr>
            <w:tcW w:w="93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3597" w:type="dxa"/>
            <w:gridSpan w:val="4"/>
            <w:tcBorders>
              <w:top w:val="nil"/>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 DOCPROPERTY </w:instrText>
            </w:r>
            <w:r>
              <w:rPr>
                <w:rFonts w:ascii="Arial" w:eastAsia="黑体" w:hAnsi="Arial" w:cs="Arial"/>
                <w:sz w:val="18"/>
                <w:szCs w:val="18"/>
              </w:rPr>
              <w:instrText>当期资产负债表日</w:instrText>
            </w:r>
            <w:r>
              <w:rPr>
                <w:rFonts w:ascii="Arial" w:eastAsia="黑体" w:hAnsi="Arial" w:cs="Arial"/>
                <w:sz w:val="18"/>
                <w:szCs w:val="18"/>
              </w:rPr>
              <w:instrText xml:space="preserve"> </w:instrText>
            </w:r>
            <w:r>
              <w:rPr>
                <w:rFonts w:ascii="Arial" w:eastAsia="黑体" w:hAnsi="Arial" w:cs="Arial"/>
                <w:sz w:val="18"/>
                <w:szCs w:val="18"/>
              </w:rPr>
              <w:fldChar w:fldCharType="separate"/>
            </w:r>
            <w:r>
              <w:rPr>
                <w:rFonts w:ascii="Arial" w:eastAsia="黑体" w:hAnsi="Arial" w:cs="Arial"/>
                <w:sz w:val="18"/>
                <w:szCs w:val="18"/>
              </w:rPr>
              <w:t>2023</w:t>
            </w:r>
            <w:r>
              <w:rPr>
                <w:rFonts w:ascii="Arial" w:eastAsia="黑体" w:hAnsi="Arial" w:cs="Arial"/>
                <w:sz w:val="18"/>
                <w:szCs w:val="18"/>
              </w:rPr>
              <w:t>年</w:t>
            </w:r>
            <w:r>
              <w:rPr>
                <w:rFonts w:ascii="Arial" w:eastAsia="黑体" w:hAnsi="Arial" w:cs="Arial"/>
                <w:sz w:val="18"/>
                <w:szCs w:val="18"/>
              </w:rPr>
              <w:t>6</w:t>
            </w:r>
            <w:r>
              <w:rPr>
                <w:rFonts w:ascii="Arial" w:eastAsia="黑体" w:hAnsi="Arial" w:cs="Arial"/>
                <w:sz w:val="18"/>
                <w:szCs w:val="18"/>
              </w:rPr>
              <w:t>月</w:t>
            </w:r>
            <w:r>
              <w:rPr>
                <w:rFonts w:ascii="Arial" w:eastAsia="黑体" w:hAnsi="Arial" w:cs="Arial"/>
                <w:sz w:val="18"/>
                <w:szCs w:val="18"/>
              </w:rPr>
              <w:t>30</w:t>
            </w:r>
            <w:r>
              <w:rPr>
                <w:rFonts w:ascii="Arial" w:eastAsia="黑体" w:hAnsi="Arial" w:cs="Arial"/>
                <w:sz w:val="18"/>
                <w:szCs w:val="18"/>
              </w:rPr>
              <w:t>日</w:t>
            </w:r>
            <w:r>
              <w:rPr>
                <w:rFonts w:ascii="Arial" w:eastAsia="黑体" w:hAnsi="Arial" w:cs="Arial"/>
                <w:sz w:val="18"/>
                <w:szCs w:val="18"/>
              </w:rPr>
              <w:fldChar w:fldCharType="end"/>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3436" w:type="dxa"/>
            <w:gridSpan w:val="4"/>
            <w:tcBorders>
              <w:top w:val="nil"/>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2022</w:t>
            </w:r>
            <w:r>
              <w:rPr>
                <w:rFonts w:ascii="Arial" w:eastAsia="黑体" w:hAnsi="Arial" w:cs="Arial"/>
                <w:sz w:val="18"/>
                <w:szCs w:val="18"/>
              </w:rPr>
              <w:t>年</w:t>
            </w:r>
            <w:r>
              <w:rPr>
                <w:rFonts w:ascii="Arial" w:eastAsia="黑体" w:hAnsi="Arial" w:cs="Arial"/>
                <w:sz w:val="18"/>
                <w:szCs w:val="18"/>
              </w:rPr>
              <w:t>12</w:t>
            </w:r>
            <w:r>
              <w:rPr>
                <w:rFonts w:ascii="Arial" w:eastAsia="黑体" w:hAnsi="Arial" w:cs="Arial"/>
                <w:sz w:val="18"/>
                <w:szCs w:val="18"/>
              </w:rPr>
              <w:t>月</w:t>
            </w:r>
            <w:r>
              <w:rPr>
                <w:rFonts w:ascii="Arial" w:eastAsia="黑体" w:hAnsi="Arial" w:cs="Arial"/>
                <w:sz w:val="18"/>
                <w:szCs w:val="18"/>
              </w:rPr>
              <w:t>31</w:t>
            </w:r>
            <w:r>
              <w:rPr>
                <w:rFonts w:ascii="Arial" w:eastAsia="黑体" w:hAnsi="Arial" w:cs="Arial"/>
                <w:sz w:val="18"/>
                <w:szCs w:val="18"/>
              </w:rPr>
              <w:t>日</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93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3597" w:type="dxa"/>
            <w:gridSpan w:val="4"/>
            <w:tcBorders>
              <w:top w:val="nil"/>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3436" w:type="dxa"/>
            <w:gridSpan w:val="4"/>
            <w:tcBorders>
              <w:top w:val="nil"/>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93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69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账面价值</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公允价值</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账面价值</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公允价值</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93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69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938"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债权投资</w:t>
            </w: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69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49,917,651,439.32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50,501,306,619.49</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0"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45,044,163,133.19</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46,011,140,936.00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93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693"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3"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0"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6"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938"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应付债券</w:t>
            </w:r>
          </w:p>
        </w:tc>
        <w:tc>
          <w:tcPr>
            <w:tcW w:w="10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69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77,204,487,365.39</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9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76,535,714,376.94</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0"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69,439,121,875.05</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69,364,504,712.42</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bl>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下表列示了在资产负债表日未按公允价值列示的债权投资及应付债券三个层次的公允价值：</w:t>
      </w:r>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dde8bd34-e800-45d0-8cd0-746d83897f5e"/>
        <w:tblDescription w:val="{&quot;UUID&quot;:&quot;afsaddin_tabledata_2_56437_dde8bd34-e800-45d0-8cd0-746d83897f5e&quot;,&quot;TitleRowCount&quot;:2,&quot;SplitedTable&quot;:false,&quot;FirstTableId&quot;:&quot;dde8bd34-e800-45d0-8cd0-746d83897f5e&quot;}"/>
      </w:tblPr>
      <w:tblGrid>
        <w:gridCol w:w="1386"/>
        <w:gridCol w:w="106"/>
        <w:gridCol w:w="1462"/>
        <w:gridCol w:w="105"/>
        <w:gridCol w:w="105"/>
        <w:gridCol w:w="1594"/>
        <w:gridCol w:w="105"/>
        <w:gridCol w:w="105"/>
        <w:gridCol w:w="1487"/>
        <w:gridCol w:w="105"/>
        <w:gridCol w:w="105"/>
        <w:gridCol w:w="1594"/>
        <w:gridCol w:w="105"/>
      </w:tblGrid>
      <w:tr w:rsidR="00AD5BB5">
        <w:tc>
          <w:tcPr>
            <w:tcW w:w="138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6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第一层次</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第二层次</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8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第三层次</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合计</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38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6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8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38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 DOCPROPERTY </w:instrText>
            </w:r>
            <w:r>
              <w:rPr>
                <w:rFonts w:ascii="Arial" w:eastAsia="黑体" w:hAnsi="Arial" w:cs="Arial"/>
                <w:sz w:val="18"/>
                <w:szCs w:val="18"/>
              </w:rPr>
              <w:instrText>当期资产负债表日</w:instrText>
            </w:r>
            <w:r>
              <w:rPr>
                <w:rFonts w:ascii="Arial" w:eastAsia="黑体" w:hAnsi="Arial" w:cs="Arial"/>
                <w:sz w:val="18"/>
                <w:szCs w:val="18"/>
              </w:rPr>
              <w:instrText xml:space="preserve"> </w:instrText>
            </w:r>
            <w:r>
              <w:rPr>
                <w:rFonts w:ascii="Arial" w:eastAsia="黑体" w:hAnsi="Arial" w:cs="Arial"/>
                <w:sz w:val="18"/>
                <w:szCs w:val="18"/>
              </w:rPr>
              <w:fldChar w:fldCharType="separate"/>
            </w:r>
            <w:r>
              <w:rPr>
                <w:rFonts w:ascii="Arial" w:eastAsia="黑体" w:hAnsi="Arial" w:cs="Arial"/>
                <w:sz w:val="18"/>
                <w:szCs w:val="18"/>
              </w:rPr>
              <w:t>2023</w:t>
            </w:r>
            <w:r>
              <w:rPr>
                <w:rFonts w:ascii="Arial" w:eastAsia="黑体" w:hAnsi="Arial" w:cs="Arial"/>
                <w:sz w:val="18"/>
                <w:szCs w:val="18"/>
              </w:rPr>
              <w:t>年</w:t>
            </w:r>
            <w:r>
              <w:rPr>
                <w:rFonts w:ascii="Arial" w:eastAsia="黑体" w:hAnsi="Arial" w:cs="Arial"/>
                <w:sz w:val="18"/>
                <w:szCs w:val="18"/>
              </w:rPr>
              <w:t>6</w:t>
            </w:r>
            <w:r>
              <w:rPr>
                <w:rFonts w:ascii="Arial" w:eastAsia="黑体" w:hAnsi="Arial" w:cs="Arial"/>
                <w:sz w:val="18"/>
                <w:szCs w:val="18"/>
              </w:rPr>
              <w:t>月</w:t>
            </w:r>
            <w:r>
              <w:rPr>
                <w:rFonts w:ascii="Arial" w:eastAsia="黑体" w:hAnsi="Arial" w:cs="Arial"/>
                <w:sz w:val="18"/>
                <w:szCs w:val="18"/>
              </w:rPr>
              <w:t>30</w:t>
            </w:r>
            <w:r>
              <w:rPr>
                <w:rFonts w:ascii="Arial" w:eastAsia="黑体" w:hAnsi="Arial" w:cs="Arial"/>
                <w:sz w:val="18"/>
                <w:szCs w:val="18"/>
              </w:rPr>
              <w:t>日</w:t>
            </w:r>
            <w:r>
              <w:rPr>
                <w:rFonts w:ascii="Arial" w:eastAsia="黑体" w:hAnsi="Arial" w:cs="Arial"/>
                <w:sz w:val="18"/>
                <w:szCs w:val="18"/>
              </w:rPr>
              <w:fldChar w:fldCharType="end"/>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6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8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38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金融资产</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6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8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38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债权投资</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6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49,736,688,656.22</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8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764,617,963.27</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50,501,306,619.49</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38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62"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4"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87"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4"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38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金融负债</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6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8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38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应付债券</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6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76,535,714,376.94</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8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76,535,714,376.94</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bl>
    <w:p w:rsidR="00AD5BB5" w:rsidRDefault="00F87FF6">
      <w:pPr>
        <w:rPr>
          <w:rFonts w:ascii="Arial" w:eastAsia="黑体" w:hAnsi="Arial" w:cs="Arial"/>
          <w:snapToGrid w:val="0"/>
          <w:szCs w:val="21"/>
        </w:rPr>
      </w:pPr>
      <w:r>
        <w:rPr>
          <w:rFonts w:ascii="Arial" w:eastAsia="黑体" w:hAnsi="Arial" w:cs="Arial"/>
          <w:snapToGrid w:val="0"/>
          <w:szCs w:val="21"/>
        </w:rPr>
        <w:br w:type="page"/>
      </w:r>
    </w:p>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498" w:name="afsaddin_WithXu_cbfa76c626734354a844f150"/>
      <w:r>
        <w:rPr>
          <w:rFonts w:ascii="Arial" w:eastAsia="黑体" w:hAnsi="Arial" w:cs="Arial"/>
          <w:b/>
          <w:snapToGrid w:val="0"/>
          <w:szCs w:val="21"/>
        </w:rPr>
        <w:t>八、</w:t>
      </w:r>
      <w:r>
        <w:rPr>
          <w:rFonts w:ascii="Arial" w:eastAsia="黑体" w:hAnsi="Arial" w:cs="Arial"/>
          <w:b/>
          <w:snapToGrid w:val="0"/>
          <w:szCs w:val="21"/>
        </w:rPr>
        <w:tab/>
      </w:r>
      <w:r>
        <w:rPr>
          <w:rFonts w:ascii="Arial" w:eastAsia="黑体" w:hAnsi="Arial" w:cs="Arial"/>
          <w:b/>
          <w:snapToGrid w:val="0"/>
          <w:szCs w:val="21"/>
        </w:rPr>
        <w:t>金融工具及其风险分析（续）</w:t>
      </w:r>
      <w:bookmarkEnd w:id="498"/>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499" w:name="afsaddin_WithXu_95fcc54b11d44adcb0a09256"/>
      <w:r>
        <w:rPr>
          <w:rFonts w:ascii="Arial" w:eastAsia="黑体" w:hAnsi="Arial" w:cs="Arial"/>
          <w:b/>
          <w:snapToGrid w:val="0"/>
          <w:szCs w:val="21"/>
        </w:rPr>
        <w:t>3.</w:t>
      </w:r>
      <w:r>
        <w:rPr>
          <w:rFonts w:ascii="Arial" w:eastAsia="黑体" w:hAnsi="Arial" w:cs="Arial"/>
          <w:b/>
          <w:snapToGrid w:val="0"/>
          <w:szCs w:val="21"/>
        </w:rPr>
        <w:tab/>
      </w:r>
      <w:r>
        <w:rPr>
          <w:rFonts w:ascii="Arial" w:eastAsia="黑体" w:hAnsi="Arial" w:cs="Arial"/>
          <w:b/>
          <w:snapToGrid w:val="0"/>
          <w:szCs w:val="21"/>
        </w:rPr>
        <w:t>市场风险（续）</w:t>
      </w:r>
      <w:bookmarkEnd w:id="499"/>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500" w:name="afsaddin_WithXu_9aff07cf7be74f3d98af8506"/>
      <w:r>
        <w:rPr>
          <w:rFonts w:ascii="Arial" w:eastAsia="黑体" w:hAnsi="Arial" w:cs="Arial"/>
          <w:b/>
          <w:snapToGrid w:val="0"/>
          <w:szCs w:val="21"/>
        </w:rPr>
        <w:t>3.3</w:t>
      </w:r>
      <w:r>
        <w:rPr>
          <w:rFonts w:ascii="Arial" w:eastAsia="黑体" w:hAnsi="Arial" w:cs="Arial"/>
          <w:b/>
          <w:snapToGrid w:val="0"/>
          <w:szCs w:val="21"/>
        </w:rPr>
        <w:tab/>
      </w:r>
      <w:r>
        <w:rPr>
          <w:rFonts w:ascii="Arial" w:eastAsia="黑体" w:hAnsi="Arial" w:cs="Arial"/>
          <w:b/>
          <w:snapToGrid w:val="0"/>
          <w:szCs w:val="21"/>
        </w:rPr>
        <w:t>金融工具公允价值（续）</w:t>
      </w:r>
      <w:bookmarkEnd w:id="500"/>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snapToGrid w:val="0"/>
          <w:szCs w:val="21"/>
        </w:rPr>
      </w:pPr>
      <w:bookmarkStart w:id="501" w:name="afsaddin_WithXu_5a6e80a0beed4606a6bf0499"/>
      <w:r>
        <w:rPr>
          <w:rFonts w:ascii="Arial" w:eastAsia="黑体" w:hAnsi="Arial" w:cs="Arial"/>
          <w:snapToGrid w:val="0"/>
          <w:szCs w:val="21"/>
        </w:rPr>
        <w:t>2)</w:t>
      </w:r>
      <w:r>
        <w:rPr>
          <w:rFonts w:ascii="Arial" w:eastAsia="黑体" w:hAnsi="Arial" w:cs="Arial"/>
          <w:snapToGrid w:val="0"/>
          <w:szCs w:val="21"/>
        </w:rPr>
        <w:tab/>
      </w:r>
      <w:r>
        <w:rPr>
          <w:rFonts w:ascii="Arial" w:eastAsia="黑体" w:hAnsi="Arial" w:cs="Arial"/>
          <w:snapToGrid w:val="0"/>
          <w:szCs w:val="21"/>
        </w:rPr>
        <w:t>非以公允价值计量的金融工具（续）</w:t>
      </w:r>
      <w:bookmarkEnd w:id="501"/>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2c29eef0-a929-4e0b-8e02-fbbf1283aded"/>
        <w:tblDescription w:val="{&quot;UUID&quot;:&quot;afsaddin_tabledata_2_56437_2c29eef0-a929-4e0b-8e02-fbbf1283aded&quot;,&quot;TitleRowCount&quot;:2,&quot;SplitedTable&quot;:false,&quot;FirstTableId&quot;:&quot;2c29eef0-a929-4e0b-8e02-fbbf1283aded&quot;}"/>
      </w:tblPr>
      <w:tblGrid>
        <w:gridCol w:w="1372"/>
        <w:gridCol w:w="106"/>
        <w:gridCol w:w="106"/>
        <w:gridCol w:w="1510"/>
        <w:gridCol w:w="105"/>
        <w:gridCol w:w="105"/>
        <w:gridCol w:w="1594"/>
        <w:gridCol w:w="105"/>
        <w:gridCol w:w="105"/>
        <w:gridCol w:w="1487"/>
        <w:gridCol w:w="105"/>
        <w:gridCol w:w="105"/>
        <w:gridCol w:w="1552"/>
        <w:gridCol w:w="105"/>
      </w:tblGrid>
      <w:tr w:rsidR="00AD5BB5">
        <w:tc>
          <w:tcPr>
            <w:tcW w:w="1372"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bookmarkStart w:id="502" w:name="afsaddin_WithXu_a467b037200542b2be86ce40"/>
            <w:bookmarkStart w:id="503" w:name="afsaddin_WithXu_a38b0a9caa454cc1b0e41605"/>
            <w:bookmarkStart w:id="504" w:name="afsaddin_WithXu_92f33be9bf1747ee8bd2b24f"/>
            <w:bookmarkStart w:id="505" w:name="afsaddin_WithXu_0cbcc424d65f405ba1f53f60"/>
            <w:bookmarkEnd w:id="502"/>
            <w:bookmarkEnd w:id="503"/>
            <w:bookmarkEnd w:id="504"/>
            <w:bookmarkEnd w:id="505"/>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1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第一层次</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第二层次</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8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第三层次</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5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合计</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372"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1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8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5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372"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 DOCPROPERTY </w:instrText>
            </w:r>
            <w:r>
              <w:rPr>
                <w:rFonts w:ascii="Arial" w:eastAsia="黑体" w:hAnsi="Arial" w:cs="Arial"/>
                <w:sz w:val="18"/>
                <w:szCs w:val="18"/>
              </w:rPr>
              <w:instrText>上期资产负债表日</w:instrText>
            </w:r>
            <w:r>
              <w:rPr>
                <w:rFonts w:ascii="Arial" w:eastAsia="黑体" w:hAnsi="Arial" w:cs="Arial"/>
                <w:sz w:val="18"/>
                <w:szCs w:val="18"/>
              </w:rPr>
              <w:instrText xml:space="preserve"> </w:instrText>
            </w:r>
            <w:r>
              <w:rPr>
                <w:rFonts w:ascii="Arial" w:eastAsia="黑体" w:hAnsi="Arial" w:cs="Arial"/>
                <w:sz w:val="18"/>
                <w:szCs w:val="18"/>
              </w:rPr>
              <w:fldChar w:fldCharType="separate"/>
            </w:r>
            <w:r>
              <w:rPr>
                <w:rFonts w:ascii="Arial" w:eastAsia="黑体" w:hAnsi="Arial" w:cs="Arial"/>
                <w:sz w:val="18"/>
                <w:szCs w:val="18"/>
              </w:rPr>
              <w:t>2022</w:t>
            </w:r>
            <w:r>
              <w:rPr>
                <w:rFonts w:ascii="Arial" w:eastAsia="黑体" w:hAnsi="Arial" w:cs="Arial"/>
                <w:sz w:val="18"/>
                <w:szCs w:val="18"/>
              </w:rPr>
              <w:t>年</w:t>
            </w:r>
            <w:r>
              <w:rPr>
                <w:rFonts w:ascii="Arial" w:eastAsia="黑体" w:hAnsi="Arial" w:cs="Arial"/>
                <w:sz w:val="18"/>
                <w:szCs w:val="18"/>
              </w:rPr>
              <w:t>12</w:t>
            </w:r>
            <w:r>
              <w:rPr>
                <w:rFonts w:ascii="Arial" w:eastAsia="黑体" w:hAnsi="Arial" w:cs="Arial"/>
                <w:sz w:val="18"/>
                <w:szCs w:val="18"/>
              </w:rPr>
              <w:t>月</w:t>
            </w:r>
            <w:r>
              <w:rPr>
                <w:rFonts w:ascii="Arial" w:eastAsia="黑体" w:hAnsi="Arial" w:cs="Arial"/>
                <w:sz w:val="18"/>
                <w:szCs w:val="18"/>
              </w:rPr>
              <w:t>31</w:t>
            </w:r>
            <w:r>
              <w:rPr>
                <w:rFonts w:ascii="Arial" w:eastAsia="黑体" w:hAnsi="Arial" w:cs="Arial"/>
                <w:sz w:val="18"/>
                <w:szCs w:val="18"/>
              </w:rPr>
              <w:t>日</w:t>
            </w:r>
            <w:r>
              <w:rPr>
                <w:rFonts w:ascii="Arial" w:eastAsia="黑体" w:hAnsi="Arial" w:cs="Arial"/>
                <w:sz w:val="18"/>
                <w:szCs w:val="18"/>
              </w:rPr>
              <w:fldChar w:fldCharType="end"/>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1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8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5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372"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金融资产</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1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8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5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372"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债权投资</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10"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44,308,244,195.98</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8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1,702,896,740.02</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5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46,011,140,936.00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372"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10"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4"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87"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52"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372"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金融负债</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1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8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5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372"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应付债券</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10"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9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69,364,504,712.42</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8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5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69,364,504,712.42</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bl>
    <w:p w:rsidR="00AD5BB5" w:rsidRDefault="00AD5BB5">
      <w:pPr>
        <w:overflowPunct w:val="0"/>
        <w:autoSpaceDE w:val="0"/>
        <w:autoSpaceDN w:val="0"/>
        <w:adjustRightInd w:val="0"/>
        <w:snapToGrid w:val="0"/>
        <w:ind w:left="720" w:hanging="720"/>
        <w:textAlignment w:val="bottom"/>
        <w:rPr>
          <w:rFonts w:ascii="Arial" w:eastAsia="黑体" w:hAnsi="Arial" w:cs="Arial"/>
          <w:b/>
          <w:bCs/>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如果存在交易活跃的市场，如经授权的证券交易所，市价为金融工具公允价值之最佳体现。由于本集团所持有及发行的部分金融资产及负债并无可取得的市价，对于该部分无市价可依的金融资产或负债，以下述现金流量折现或其他估计方法来决定其公允价值：</w:t>
      </w: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snapToGrid w:val="0"/>
          <w:szCs w:val="21"/>
        </w:rPr>
      </w:pPr>
      <w:r>
        <w:rPr>
          <w:rFonts w:ascii="Arial" w:eastAsia="黑体" w:hAnsi="Arial" w:cs="Arial"/>
          <w:snapToGrid w:val="0"/>
          <w:szCs w:val="21"/>
        </w:rPr>
        <w:t>(i)</w:t>
      </w:r>
      <w:r>
        <w:rPr>
          <w:rFonts w:ascii="Arial" w:eastAsia="黑体" w:hAnsi="Arial" w:cs="Arial"/>
          <w:snapToGrid w:val="0"/>
          <w:szCs w:val="21"/>
        </w:rPr>
        <w:tab/>
      </w:r>
      <w:r>
        <w:rPr>
          <w:rFonts w:ascii="Arial" w:eastAsia="黑体" w:hAnsi="Arial" w:cs="Arial"/>
          <w:snapToGrid w:val="0"/>
          <w:szCs w:val="21"/>
        </w:rPr>
        <w:t>信托</w:t>
      </w:r>
      <w:proofErr w:type="gramStart"/>
      <w:r>
        <w:rPr>
          <w:rFonts w:ascii="Arial" w:eastAsia="黑体" w:hAnsi="Arial" w:cs="Arial"/>
          <w:snapToGrid w:val="0"/>
          <w:szCs w:val="21"/>
        </w:rPr>
        <w:t>及资管计划</w:t>
      </w:r>
      <w:proofErr w:type="gramEnd"/>
      <w:r>
        <w:rPr>
          <w:rFonts w:ascii="Arial" w:eastAsia="黑体" w:hAnsi="Arial" w:cs="Arial"/>
          <w:snapToGrid w:val="0"/>
          <w:szCs w:val="21"/>
        </w:rPr>
        <w:t>在活跃市场中没有报价。在没有其他可参照市场资料时，债权投资的公允价值根据定价模型或现金流折现法进行估算。</w:t>
      </w:r>
    </w:p>
    <w:p w:rsidR="00AD5BB5" w:rsidRDefault="00F87FF6">
      <w:pPr>
        <w:overflowPunct w:val="0"/>
        <w:autoSpaceDE w:val="0"/>
        <w:autoSpaceDN w:val="0"/>
        <w:ind w:left="720" w:hanging="720"/>
        <w:rPr>
          <w:rFonts w:ascii="Arial" w:eastAsia="黑体" w:hAnsi="Arial" w:cs="Arial"/>
          <w:snapToGrid w:val="0"/>
          <w:szCs w:val="21"/>
        </w:rPr>
      </w:pPr>
      <w:r>
        <w:rPr>
          <w:rFonts w:ascii="Arial" w:eastAsia="黑体" w:hAnsi="Arial" w:cs="Arial"/>
          <w:snapToGrid w:val="0"/>
          <w:szCs w:val="21"/>
        </w:rPr>
        <w:t>(ii)</w:t>
      </w:r>
      <w:r>
        <w:rPr>
          <w:rFonts w:ascii="Arial" w:eastAsia="黑体" w:hAnsi="Arial" w:cs="Arial"/>
          <w:snapToGrid w:val="0"/>
          <w:szCs w:val="21"/>
        </w:rPr>
        <w:tab/>
      </w:r>
      <w:r>
        <w:rPr>
          <w:rFonts w:ascii="Arial" w:eastAsia="黑体" w:hAnsi="Arial" w:cs="Arial"/>
          <w:snapToGrid w:val="0"/>
          <w:szCs w:val="21"/>
        </w:rPr>
        <w:t>对于本集团发行的应付债券参考可获得的市价来决定其公允价值。如果无法获得可参考的市价，则按定价模型或现金流折现法估算公允价值。</w:t>
      </w: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以上各种假设及方法为本集团资产及负债公允价值的计算提供了统一的基础。然而，由于其他机构可能会使用不同的方法及假设，因此，各金融机构所披露的公允价值未必完全具有可比性。</w:t>
      </w: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由于下列金融工具期限较短或定期按市价重新定价等原因，其账面价值与其公允价值相若：</w:t>
      </w:r>
    </w:p>
    <w:p w:rsidR="00AD5BB5" w:rsidRDefault="00AD5BB5">
      <w:pPr>
        <w:overflowPunct w:val="0"/>
        <w:autoSpaceDE w:val="0"/>
        <w:autoSpaceDN w:val="0"/>
        <w:rPr>
          <w:rFonts w:ascii="Arial" w:eastAsia="黑体" w:hAnsi="Arial" w:cs="Arial"/>
          <w:snapToGrid w:val="0"/>
          <w:szCs w:val="21"/>
        </w:rPr>
      </w:pPr>
    </w:p>
    <w:p w:rsidR="00AD5BB5" w:rsidRDefault="00F87FF6">
      <w:pPr>
        <w:tabs>
          <w:tab w:val="left" w:pos="5103"/>
        </w:tabs>
        <w:overflowPunct w:val="0"/>
        <w:autoSpaceDE w:val="0"/>
        <w:autoSpaceDN w:val="0"/>
        <w:rPr>
          <w:rFonts w:ascii="Arial" w:eastAsia="黑体" w:hAnsi="Arial" w:cs="Arial"/>
          <w:szCs w:val="21"/>
        </w:rPr>
      </w:pPr>
      <w:r>
        <w:rPr>
          <w:rFonts w:ascii="Arial" w:eastAsia="黑体" w:hAnsi="Arial" w:cs="Arial"/>
          <w:snapToGrid w:val="0"/>
          <w:szCs w:val="21"/>
        </w:rPr>
        <w:t>资产</w:t>
      </w:r>
      <w:r>
        <w:rPr>
          <w:rFonts w:ascii="Arial" w:eastAsia="黑体" w:hAnsi="Arial" w:cs="Arial"/>
          <w:szCs w:val="21"/>
        </w:rPr>
        <w:tab/>
      </w:r>
      <w:r>
        <w:rPr>
          <w:rFonts w:ascii="Arial" w:eastAsia="黑体" w:hAnsi="Arial" w:cs="Arial"/>
          <w:szCs w:val="21"/>
        </w:rPr>
        <w:t>负债</w:t>
      </w:r>
    </w:p>
    <w:p w:rsidR="00AD5BB5" w:rsidRDefault="00F87FF6">
      <w:pPr>
        <w:tabs>
          <w:tab w:val="left" w:pos="5103"/>
        </w:tabs>
        <w:overflowPunct w:val="0"/>
        <w:autoSpaceDE w:val="0"/>
        <w:autoSpaceDN w:val="0"/>
        <w:rPr>
          <w:rFonts w:ascii="Arial" w:eastAsia="黑体" w:hAnsi="Arial" w:cs="Arial"/>
          <w:szCs w:val="21"/>
        </w:rPr>
      </w:pPr>
      <w:r>
        <w:rPr>
          <w:rFonts w:ascii="Arial" w:eastAsia="黑体" w:hAnsi="Arial" w:cs="Arial"/>
          <w:szCs w:val="21"/>
        </w:rPr>
        <w:t>现金及存放中央银行款项</w:t>
      </w:r>
      <w:r>
        <w:rPr>
          <w:rFonts w:ascii="Arial" w:eastAsia="黑体" w:hAnsi="Arial" w:cs="Arial"/>
          <w:szCs w:val="21"/>
        </w:rPr>
        <w:tab/>
      </w:r>
      <w:r>
        <w:rPr>
          <w:rFonts w:ascii="Arial" w:eastAsia="黑体" w:hAnsi="Arial" w:cs="Arial"/>
          <w:szCs w:val="21"/>
        </w:rPr>
        <w:t>向中央银行借款</w:t>
      </w:r>
    </w:p>
    <w:p w:rsidR="00AD5BB5" w:rsidRDefault="00F87FF6">
      <w:pPr>
        <w:tabs>
          <w:tab w:val="left" w:pos="5103"/>
        </w:tabs>
        <w:overflowPunct w:val="0"/>
        <w:autoSpaceDE w:val="0"/>
        <w:autoSpaceDN w:val="0"/>
        <w:rPr>
          <w:rFonts w:ascii="Arial" w:eastAsia="黑体" w:hAnsi="Arial" w:cs="Arial"/>
          <w:szCs w:val="21"/>
        </w:rPr>
      </w:pPr>
      <w:r>
        <w:rPr>
          <w:rFonts w:ascii="Arial" w:eastAsia="黑体" w:hAnsi="Arial" w:cs="Arial"/>
          <w:szCs w:val="21"/>
        </w:rPr>
        <w:t>存放同业及其他金融机构款项</w:t>
      </w:r>
      <w:r>
        <w:rPr>
          <w:rFonts w:ascii="Arial" w:eastAsia="黑体" w:hAnsi="Arial" w:cs="Arial"/>
          <w:szCs w:val="21"/>
        </w:rPr>
        <w:tab/>
      </w:r>
      <w:r>
        <w:rPr>
          <w:rFonts w:ascii="Arial" w:eastAsia="黑体" w:hAnsi="Arial" w:cs="Arial"/>
          <w:szCs w:val="21"/>
        </w:rPr>
        <w:t>同业及其他金融机构存放款项</w:t>
      </w:r>
    </w:p>
    <w:p w:rsidR="00AD5BB5" w:rsidRDefault="00F87FF6">
      <w:pPr>
        <w:tabs>
          <w:tab w:val="left" w:pos="5103"/>
        </w:tabs>
        <w:overflowPunct w:val="0"/>
        <w:autoSpaceDE w:val="0"/>
        <w:autoSpaceDN w:val="0"/>
        <w:rPr>
          <w:rFonts w:ascii="Arial" w:eastAsia="黑体" w:hAnsi="Arial" w:cs="Arial"/>
          <w:szCs w:val="21"/>
        </w:rPr>
      </w:pPr>
      <w:r>
        <w:rPr>
          <w:rFonts w:ascii="Arial" w:eastAsia="黑体" w:hAnsi="Arial" w:cs="Arial"/>
          <w:szCs w:val="21"/>
        </w:rPr>
        <w:t>拆出资金</w:t>
      </w:r>
      <w:r>
        <w:rPr>
          <w:rFonts w:ascii="Arial" w:eastAsia="黑体" w:hAnsi="Arial" w:cs="Arial"/>
          <w:szCs w:val="21"/>
        </w:rPr>
        <w:tab/>
      </w:r>
      <w:r>
        <w:rPr>
          <w:rFonts w:ascii="Arial" w:eastAsia="黑体" w:hAnsi="Arial" w:cs="Arial"/>
          <w:szCs w:val="21"/>
        </w:rPr>
        <w:t>拆入资金</w:t>
      </w:r>
    </w:p>
    <w:p w:rsidR="00AD5BB5" w:rsidRDefault="00F87FF6">
      <w:pPr>
        <w:tabs>
          <w:tab w:val="left" w:pos="5103"/>
        </w:tabs>
        <w:overflowPunct w:val="0"/>
        <w:autoSpaceDE w:val="0"/>
        <w:autoSpaceDN w:val="0"/>
        <w:rPr>
          <w:rFonts w:ascii="Arial" w:eastAsia="黑体" w:hAnsi="Arial" w:cs="Arial"/>
          <w:szCs w:val="21"/>
        </w:rPr>
      </w:pPr>
      <w:r>
        <w:rPr>
          <w:rFonts w:ascii="Arial" w:eastAsia="黑体" w:hAnsi="Arial" w:cs="Arial"/>
          <w:szCs w:val="21"/>
        </w:rPr>
        <w:t>买入返售金融资产</w:t>
      </w:r>
      <w:r>
        <w:rPr>
          <w:rFonts w:ascii="Arial" w:eastAsia="黑体" w:hAnsi="Arial" w:cs="Arial"/>
          <w:szCs w:val="21"/>
        </w:rPr>
        <w:tab/>
      </w:r>
      <w:r>
        <w:rPr>
          <w:rFonts w:ascii="Arial" w:eastAsia="黑体" w:hAnsi="Arial" w:cs="Arial"/>
          <w:szCs w:val="21"/>
        </w:rPr>
        <w:t>卖出回购金融资产款</w:t>
      </w:r>
    </w:p>
    <w:p w:rsidR="00AD5BB5" w:rsidRDefault="00F87FF6">
      <w:pPr>
        <w:tabs>
          <w:tab w:val="left" w:pos="5103"/>
        </w:tabs>
        <w:overflowPunct w:val="0"/>
        <w:autoSpaceDE w:val="0"/>
        <w:autoSpaceDN w:val="0"/>
        <w:rPr>
          <w:rFonts w:ascii="Arial" w:eastAsia="黑体" w:hAnsi="Arial" w:cs="Arial"/>
          <w:szCs w:val="21"/>
        </w:rPr>
      </w:pPr>
      <w:r>
        <w:rPr>
          <w:rFonts w:ascii="Arial" w:eastAsia="黑体" w:hAnsi="Arial" w:cs="Arial"/>
          <w:szCs w:val="21"/>
        </w:rPr>
        <w:t>以摊</w:t>
      </w:r>
      <w:proofErr w:type="gramStart"/>
      <w:r>
        <w:rPr>
          <w:rFonts w:ascii="Arial" w:eastAsia="黑体" w:hAnsi="Arial" w:cs="Arial"/>
          <w:szCs w:val="21"/>
        </w:rPr>
        <w:t>余成本</w:t>
      </w:r>
      <w:proofErr w:type="gramEnd"/>
      <w:r>
        <w:rPr>
          <w:rFonts w:ascii="Arial" w:eastAsia="黑体" w:hAnsi="Arial" w:cs="Arial"/>
          <w:szCs w:val="21"/>
        </w:rPr>
        <w:t>计量的发放贷款及垫款</w:t>
      </w:r>
      <w:r>
        <w:rPr>
          <w:rFonts w:ascii="Arial" w:eastAsia="黑体" w:hAnsi="Arial" w:cs="Arial"/>
          <w:szCs w:val="21"/>
        </w:rPr>
        <w:tab/>
      </w:r>
      <w:r>
        <w:rPr>
          <w:rFonts w:ascii="Arial" w:eastAsia="黑体" w:hAnsi="Arial" w:cs="Arial"/>
          <w:szCs w:val="21"/>
        </w:rPr>
        <w:t>吸收存款</w:t>
      </w:r>
    </w:p>
    <w:p w:rsidR="00AD5BB5" w:rsidRDefault="00F87FF6">
      <w:pPr>
        <w:tabs>
          <w:tab w:val="left" w:pos="5103"/>
        </w:tabs>
        <w:overflowPunct w:val="0"/>
        <w:autoSpaceDE w:val="0"/>
        <w:autoSpaceDN w:val="0"/>
        <w:rPr>
          <w:rFonts w:ascii="Arial" w:eastAsia="黑体" w:hAnsi="Arial" w:cs="Arial"/>
          <w:szCs w:val="21"/>
        </w:rPr>
      </w:pPr>
      <w:r>
        <w:rPr>
          <w:rFonts w:ascii="Arial" w:eastAsia="黑体" w:hAnsi="Arial" w:cs="Arial"/>
          <w:szCs w:val="21"/>
        </w:rPr>
        <w:t>其他金融资产</w:t>
      </w:r>
      <w:r>
        <w:rPr>
          <w:rFonts w:ascii="Arial" w:eastAsia="黑体" w:hAnsi="Arial" w:cs="Arial"/>
          <w:szCs w:val="21"/>
        </w:rPr>
        <w:tab/>
      </w:r>
      <w:r>
        <w:rPr>
          <w:rFonts w:ascii="Arial" w:eastAsia="黑体" w:hAnsi="Arial" w:cs="Arial"/>
          <w:szCs w:val="21"/>
        </w:rPr>
        <w:t>其他金融负债</w:t>
      </w:r>
    </w:p>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overflowPunct w:val="0"/>
        <w:autoSpaceDE w:val="0"/>
        <w:autoSpaceDN w:val="0"/>
        <w:adjustRightInd w:val="0"/>
        <w:snapToGrid w:val="0"/>
        <w:rPr>
          <w:rFonts w:ascii="Arial" w:eastAsia="黑体" w:hAnsi="Arial" w:cs="Arial"/>
          <w:snapToGrid w:val="0"/>
          <w:szCs w:val="21"/>
        </w:rPr>
      </w:pPr>
      <w:r>
        <w:rPr>
          <w:rFonts w:ascii="Arial" w:eastAsia="黑体" w:hAnsi="Arial" w:cs="Arial"/>
          <w:snapToGrid w:val="0"/>
          <w:szCs w:val="21"/>
        </w:rPr>
        <w:br w:type="page"/>
      </w:r>
    </w:p>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overflowPunct w:val="0"/>
        <w:autoSpaceDE w:val="0"/>
        <w:autoSpaceDN w:val="0"/>
        <w:adjustRightInd w:val="0"/>
        <w:snapToGrid w:val="0"/>
        <w:ind w:left="720" w:hanging="720"/>
        <w:rPr>
          <w:rFonts w:ascii="Arial" w:eastAsia="黑体" w:hAnsi="Arial" w:cs="Arial"/>
          <w:b/>
          <w:snapToGrid w:val="0"/>
          <w:szCs w:val="21"/>
        </w:rPr>
      </w:pPr>
      <w:bookmarkStart w:id="506" w:name="afsaddin_WithXu_10202f1955f24585b56020e5"/>
      <w:r>
        <w:rPr>
          <w:rFonts w:ascii="Arial" w:eastAsia="黑体" w:hAnsi="Arial" w:cs="Arial"/>
          <w:b/>
          <w:snapToGrid w:val="0"/>
          <w:szCs w:val="21"/>
        </w:rPr>
        <w:t>八、</w:t>
      </w:r>
      <w:r>
        <w:rPr>
          <w:rFonts w:ascii="Arial" w:eastAsia="黑体" w:hAnsi="Arial" w:cs="Arial"/>
          <w:b/>
          <w:snapToGrid w:val="0"/>
          <w:szCs w:val="21"/>
        </w:rPr>
        <w:tab/>
      </w:r>
      <w:r>
        <w:rPr>
          <w:rFonts w:ascii="Arial" w:eastAsia="黑体" w:hAnsi="Arial" w:cs="Arial"/>
          <w:b/>
          <w:snapToGrid w:val="0"/>
          <w:szCs w:val="21"/>
        </w:rPr>
        <w:t>金融工具及其风险分析（续）</w:t>
      </w:r>
      <w:bookmarkEnd w:id="506"/>
    </w:p>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overflowPunct w:val="0"/>
        <w:autoSpaceDE w:val="0"/>
        <w:autoSpaceDN w:val="0"/>
        <w:adjustRightInd w:val="0"/>
        <w:snapToGrid w:val="0"/>
        <w:ind w:left="720" w:hanging="720"/>
        <w:textAlignment w:val="bottom"/>
        <w:outlineLvl w:val="2"/>
        <w:rPr>
          <w:rFonts w:ascii="Arial" w:eastAsia="黑体" w:hAnsi="Arial" w:cs="Arial"/>
          <w:b/>
          <w:bCs/>
          <w:snapToGrid w:val="0"/>
          <w:szCs w:val="21"/>
        </w:rPr>
      </w:pPr>
      <w:bookmarkStart w:id="507" w:name="afsaddin_WithXu_6e8d5150d0f94cc3a63828a0"/>
      <w:r>
        <w:rPr>
          <w:rFonts w:ascii="Arial" w:eastAsia="黑体" w:hAnsi="Arial" w:cs="Arial"/>
          <w:b/>
          <w:bCs/>
          <w:snapToGrid w:val="0"/>
          <w:szCs w:val="21"/>
        </w:rPr>
        <w:t>4.</w:t>
      </w:r>
      <w:r>
        <w:rPr>
          <w:rFonts w:ascii="Arial" w:eastAsia="黑体" w:hAnsi="Arial" w:cs="Arial"/>
          <w:b/>
          <w:bCs/>
          <w:snapToGrid w:val="0"/>
          <w:szCs w:val="21"/>
        </w:rPr>
        <w:tab/>
      </w:r>
      <w:r>
        <w:rPr>
          <w:rFonts w:ascii="Arial" w:eastAsia="黑体" w:hAnsi="Arial" w:cs="Arial"/>
          <w:b/>
          <w:bCs/>
          <w:snapToGrid w:val="0"/>
          <w:szCs w:val="21"/>
        </w:rPr>
        <w:t>资本管理</w:t>
      </w:r>
      <w:bookmarkEnd w:id="507"/>
    </w:p>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overflowPunct w:val="0"/>
        <w:autoSpaceDE w:val="0"/>
        <w:autoSpaceDN w:val="0"/>
        <w:adjustRightInd w:val="0"/>
        <w:snapToGrid w:val="0"/>
        <w:rPr>
          <w:rFonts w:ascii="Arial" w:eastAsia="黑体" w:hAnsi="Arial" w:cs="Arial"/>
          <w:snapToGrid w:val="0"/>
          <w:szCs w:val="21"/>
        </w:rPr>
      </w:pPr>
      <w:bookmarkStart w:id="508" w:name="afsaddin_WithXu_ae3c3e0650e6480cbe016f94"/>
      <w:bookmarkStart w:id="509" w:name="afsaddin_WithXu_1018fb9d45424f4b91078d40"/>
      <w:bookmarkEnd w:id="508"/>
      <w:bookmarkEnd w:id="509"/>
      <w:r>
        <w:rPr>
          <w:rFonts w:ascii="Arial" w:eastAsia="黑体" w:hAnsi="Arial" w:cs="Arial"/>
          <w:snapToGrid w:val="0"/>
          <w:szCs w:val="21"/>
        </w:rPr>
        <w:t>本集团采用足够防范本集团经营业务的固有风险的资本管理办法，并且对于资本的管理完全符合监管当局的要求。本集团资本管理的目标除了符合监管当局的要求之外，还必须保持能够保障经营的资本充足率和使股东权益最大化。视乎经济环境的变化和面临的风险特征，本集团将积极调整资本结构。这些调整资本结构的方法通常包括调整股利分配，转增资本和发行新的债券等。报告期内，本集团资本管理的目标和方法没有重大变化。</w:t>
      </w:r>
    </w:p>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overflowPunct w:val="0"/>
        <w:autoSpaceDE w:val="0"/>
        <w:autoSpaceDN w:val="0"/>
        <w:adjustRightInd w:val="0"/>
        <w:snapToGrid w:val="0"/>
        <w:rPr>
          <w:rFonts w:ascii="Arial" w:eastAsia="黑体" w:hAnsi="Arial" w:cs="Arial"/>
          <w:snapToGrid w:val="0"/>
          <w:szCs w:val="21"/>
        </w:rPr>
      </w:pPr>
      <w:r>
        <w:rPr>
          <w:rFonts w:ascii="Arial" w:eastAsia="黑体" w:hAnsi="Arial" w:cs="Arial"/>
          <w:snapToGrid w:val="0"/>
          <w:szCs w:val="21"/>
        </w:rPr>
        <w:t>根据《商业银行资本管理办法（试行）》（中国银行业监督管理委员会令</w:t>
      </w:r>
      <w:r>
        <w:rPr>
          <w:rFonts w:ascii="Arial" w:eastAsia="黑体" w:hAnsi="Arial" w:cs="Arial"/>
          <w:snapToGrid w:val="0"/>
          <w:szCs w:val="21"/>
        </w:rPr>
        <w:t>2012</w:t>
      </w:r>
      <w:r>
        <w:rPr>
          <w:rFonts w:ascii="Arial" w:eastAsia="黑体" w:hAnsi="Arial" w:cs="Arial"/>
          <w:snapToGrid w:val="0"/>
          <w:szCs w:val="21"/>
        </w:rPr>
        <w:t>年第</w:t>
      </w:r>
      <w:r>
        <w:rPr>
          <w:rFonts w:ascii="Arial" w:eastAsia="黑体" w:hAnsi="Arial" w:cs="Arial"/>
          <w:snapToGrid w:val="0"/>
          <w:szCs w:val="21"/>
        </w:rPr>
        <w:t>1</w:t>
      </w:r>
      <w:r>
        <w:rPr>
          <w:rFonts w:ascii="Arial" w:eastAsia="黑体" w:hAnsi="Arial" w:cs="Arial"/>
          <w:snapToGrid w:val="0"/>
          <w:szCs w:val="21"/>
        </w:rPr>
        <w:t>号），商业银行核心一级资本充足率不得低于</w:t>
      </w:r>
      <w:r>
        <w:rPr>
          <w:rFonts w:ascii="Arial" w:eastAsia="黑体" w:hAnsi="Arial" w:cs="Arial"/>
          <w:snapToGrid w:val="0"/>
          <w:szCs w:val="21"/>
        </w:rPr>
        <w:t>5%</w:t>
      </w:r>
      <w:r>
        <w:rPr>
          <w:rFonts w:ascii="Arial" w:eastAsia="黑体" w:hAnsi="Arial" w:cs="Arial"/>
          <w:snapToGrid w:val="0"/>
          <w:szCs w:val="21"/>
        </w:rPr>
        <w:t>，一级资本充足率不得低于</w:t>
      </w:r>
      <w:r>
        <w:rPr>
          <w:rFonts w:ascii="Arial" w:eastAsia="黑体" w:hAnsi="Arial" w:cs="Arial"/>
          <w:snapToGrid w:val="0"/>
          <w:szCs w:val="21"/>
        </w:rPr>
        <w:t>6%</w:t>
      </w:r>
      <w:r>
        <w:rPr>
          <w:rFonts w:ascii="Arial" w:eastAsia="黑体" w:hAnsi="Arial" w:cs="Arial"/>
          <w:snapToGrid w:val="0"/>
          <w:szCs w:val="21"/>
        </w:rPr>
        <w:t>，资本充足率不得低于</w:t>
      </w:r>
      <w:r>
        <w:rPr>
          <w:rFonts w:ascii="Arial" w:eastAsia="黑体" w:hAnsi="Arial" w:cs="Arial"/>
          <w:snapToGrid w:val="0"/>
          <w:szCs w:val="21"/>
        </w:rPr>
        <w:t>8%</w:t>
      </w:r>
      <w:r>
        <w:rPr>
          <w:rFonts w:ascii="Arial" w:eastAsia="黑体" w:hAnsi="Arial" w:cs="Arial"/>
          <w:snapToGrid w:val="0"/>
          <w:szCs w:val="21"/>
        </w:rPr>
        <w:t>，商业银行应在</w:t>
      </w:r>
      <w:r>
        <w:rPr>
          <w:rFonts w:ascii="Arial" w:eastAsia="黑体" w:hAnsi="Arial" w:cs="Arial"/>
          <w:snapToGrid w:val="0"/>
          <w:szCs w:val="21"/>
        </w:rPr>
        <w:t>2018</w:t>
      </w:r>
      <w:r>
        <w:rPr>
          <w:rFonts w:ascii="Arial" w:eastAsia="黑体" w:hAnsi="Arial" w:cs="Arial"/>
          <w:snapToGrid w:val="0"/>
          <w:szCs w:val="21"/>
        </w:rPr>
        <w:t>年底前达到规定的资本充足率监管要求。本行自</w:t>
      </w:r>
      <w:r>
        <w:rPr>
          <w:rFonts w:ascii="Arial" w:eastAsia="黑体" w:hAnsi="Arial" w:cs="Arial"/>
          <w:snapToGrid w:val="0"/>
          <w:szCs w:val="21"/>
        </w:rPr>
        <w:t>2013</w:t>
      </w:r>
      <w:r>
        <w:rPr>
          <w:rFonts w:ascii="Arial" w:eastAsia="黑体" w:hAnsi="Arial" w:cs="Arial"/>
          <w:snapToGrid w:val="0"/>
          <w:szCs w:val="21"/>
        </w:rPr>
        <w:t>年</w:t>
      </w:r>
      <w:r>
        <w:rPr>
          <w:rFonts w:ascii="Arial" w:eastAsia="黑体" w:hAnsi="Arial" w:cs="Arial"/>
          <w:snapToGrid w:val="0"/>
          <w:szCs w:val="21"/>
        </w:rPr>
        <w:t>1</w:t>
      </w:r>
      <w:r>
        <w:rPr>
          <w:rFonts w:ascii="Arial" w:eastAsia="黑体" w:hAnsi="Arial" w:cs="Arial"/>
          <w:snapToGrid w:val="0"/>
          <w:szCs w:val="21"/>
        </w:rPr>
        <w:t>月</w:t>
      </w:r>
      <w:r>
        <w:rPr>
          <w:rFonts w:ascii="Arial" w:eastAsia="黑体" w:hAnsi="Arial" w:cs="Arial"/>
          <w:snapToGrid w:val="0"/>
          <w:szCs w:val="21"/>
        </w:rPr>
        <w:t>1</w:t>
      </w:r>
      <w:r>
        <w:rPr>
          <w:rFonts w:ascii="Arial" w:eastAsia="黑体" w:hAnsi="Arial" w:cs="Arial"/>
          <w:snapToGrid w:val="0"/>
          <w:szCs w:val="21"/>
        </w:rPr>
        <w:t>日起按照《商业银行资本管理办法（试行）》相关规定计算和披露资本充足率信息。</w:t>
      </w:r>
    </w:p>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overflowPunct w:val="0"/>
        <w:autoSpaceDE w:val="0"/>
        <w:autoSpaceDN w:val="0"/>
        <w:adjustRightInd w:val="0"/>
        <w:snapToGrid w:val="0"/>
        <w:rPr>
          <w:rFonts w:ascii="Arial" w:eastAsia="黑体" w:hAnsi="Arial" w:cs="Arial"/>
          <w:snapToGrid w:val="0"/>
          <w:szCs w:val="21"/>
        </w:rPr>
      </w:pPr>
      <w:r>
        <w:rPr>
          <w:rFonts w:ascii="Arial" w:eastAsia="黑体" w:hAnsi="Arial" w:cs="Arial"/>
          <w:snapToGrid w:val="0"/>
          <w:szCs w:val="21"/>
        </w:rPr>
        <w:t>根据《中国银监会关于实施</w:t>
      </w:r>
      <w:r>
        <w:rPr>
          <w:rFonts w:ascii="Arial" w:eastAsia="黑体" w:hAnsi="Arial" w:cs="Arial"/>
          <w:snapToGrid w:val="0"/>
          <w:szCs w:val="21"/>
        </w:rPr>
        <w:t>&lt;</w:t>
      </w:r>
      <w:r>
        <w:rPr>
          <w:rFonts w:ascii="Arial" w:eastAsia="黑体" w:hAnsi="Arial" w:cs="Arial"/>
          <w:snapToGrid w:val="0"/>
          <w:szCs w:val="21"/>
        </w:rPr>
        <w:t>商业银行资本管理办法（试行）</w:t>
      </w:r>
      <w:r>
        <w:rPr>
          <w:rFonts w:ascii="Arial" w:eastAsia="黑体" w:hAnsi="Arial" w:cs="Arial"/>
          <w:snapToGrid w:val="0"/>
          <w:szCs w:val="21"/>
        </w:rPr>
        <w:t>&gt;</w:t>
      </w:r>
      <w:r>
        <w:rPr>
          <w:rFonts w:ascii="Arial" w:eastAsia="黑体" w:hAnsi="Arial" w:cs="Arial"/>
          <w:snapToGrid w:val="0"/>
          <w:szCs w:val="21"/>
        </w:rPr>
        <w:t>过渡期安排相关事项的通知》（银监发【</w:t>
      </w:r>
      <w:r>
        <w:rPr>
          <w:rFonts w:ascii="Arial" w:eastAsia="黑体" w:hAnsi="Arial" w:cs="Arial"/>
          <w:snapToGrid w:val="0"/>
          <w:szCs w:val="21"/>
        </w:rPr>
        <w:t>2012</w:t>
      </w:r>
      <w:r>
        <w:rPr>
          <w:rFonts w:ascii="Arial" w:eastAsia="黑体" w:hAnsi="Arial" w:cs="Arial"/>
          <w:snapToGrid w:val="0"/>
          <w:szCs w:val="21"/>
        </w:rPr>
        <w:t>】</w:t>
      </w:r>
      <w:r>
        <w:rPr>
          <w:rFonts w:ascii="Arial" w:eastAsia="黑体" w:hAnsi="Arial" w:cs="Arial"/>
          <w:snapToGrid w:val="0"/>
          <w:szCs w:val="21"/>
        </w:rPr>
        <w:t>57</w:t>
      </w:r>
      <w:r>
        <w:rPr>
          <w:rFonts w:ascii="Arial" w:eastAsia="黑体" w:hAnsi="Arial" w:cs="Arial"/>
          <w:snapToGrid w:val="0"/>
          <w:szCs w:val="21"/>
        </w:rPr>
        <w:t>号），过渡期内，商业银行逐步引入储备资本要求</w:t>
      </w:r>
      <w:r>
        <w:rPr>
          <w:rFonts w:ascii="Arial" w:eastAsia="黑体" w:hAnsi="Arial" w:cs="Arial"/>
          <w:snapToGrid w:val="0"/>
          <w:szCs w:val="21"/>
        </w:rPr>
        <w:t>(2.5%</w:t>
      </w:r>
      <w:r>
        <w:rPr>
          <w:rFonts w:ascii="Arial" w:eastAsia="黑体" w:hAnsi="Arial" w:cs="Arial"/>
          <w:snapToGrid w:val="0"/>
          <w:szCs w:val="21"/>
        </w:rPr>
        <w:t>），商业银行应达到分年度资本充足率要求，截至</w:t>
      </w:r>
      <w:r>
        <w:rPr>
          <w:rFonts w:ascii="Arial" w:eastAsia="黑体" w:hAnsi="Arial" w:cs="Arial"/>
          <w:snapToGrid w:val="0"/>
          <w:szCs w:val="21"/>
        </w:rPr>
        <w:t>2022</w:t>
      </w:r>
      <w:r>
        <w:rPr>
          <w:rFonts w:ascii="Arial" w:eastAsia="黑体" w:hAnsi="Arial" w:cs="Arial"/>
          <w:snapToGrid w:val="0"/>
          <w:szCs w:val="21"/>
        </w:rPr>
        <w:t>年</w:t>
      </w:r>
      <w:r>
        <w:rPr>
          <w:rFonts w:ascii="Arial" w:eastAsia="黑体" w:hAnsi="Arial" w:cs="Arial"/>
          <w:snapToGrid w:val="0"/>
          <w:szCs w:val="21"/>
        </w:rPr>
        <w:t>12</w:t>
      </w:r>
      <w:r>
        <w:rPr>
          <w:rFonts w:ascii="Arial" w:eastAsia="黑体" w:hAnsi="Arial" w:cs="Arial"/>
          <w:snapToGrid w:val="0"/>
          <w:szCs w:val="21"/>
        </w:rPr>
        <w:t>月</w:t>
      </w:r>
      <w:r>
        <w:rPr>
          <w:rFonts w:ascii="Arial" w:eastAsia="黑体" w:hAnsi="Arial" w:cs="Arial"/>
          <w:snapToGrid w:val="0"/>
          <w:szCs w:val="21"/>
        </w:rPr>
        <w:t>31</w:t>
      </w:r>
      <w:r>
        <w:rPr>
          <w:rFonts w:ascii="Arial" w:eastAsia="黑体" w:hAnsi="Arial" w:cs="Arial"/>
          <w:snapToGrid w:val="0"/>
          <w:szCs w:val="21"/>
        </w:rPr>
        <w:t>日，本集团的资本充足率、一级资本充足率和核心一级资本充足率分别不低于</w:t>
      </w:r>
      <w:r>
        <w:rPr>
          <w:rFonts w:ascii="Arial" w:eastAsia="黑体" w:hAnsi="Arial" w:cs="Arial"/>
          <w:snapToGrid w:val="0"/>
          <w:szCs w:val="21"/>
        </w:rPr>
        <w:t>10.5%</w:t>
      </w:r>
      <w:r>
        <w:rPr>
          <w:rFonts w:ascii="Arial" w:eastAsia="黑体" w:hAnsi="Arial" w:cs="Arial"/>
          <w:snapToGrid w:val="0"/>
          <w:szCs w:val="21"/>
        </w:rPr>
        <w:t>、</w:t>
      </w:r>
      <w:r>
        <w:rPr>
          <w:rFonts w:ascii="Arial" w:eastAsia="黑体" w:hAnsi="Arial" w:cs="Arial"/>
          <w:snapToGrid w:val="0"/>
          <w:szCs w:val="21"/>
        </w:rPr>
        <w:t>8.5%</w:t>
      </w:r>
      <w:r>
        <w:rPr>
          <w:rFonts w:ascii="Arial" w:eastAsia="黑体" w:hAnsi="Arial" w:cs="Arial"/>
          <w:snapToGrid w:val="0"/>
          <w:szCs w:val="21"/>
        </w:rPr>
        <w:t>、</w:t>
      </w:r>
      <w:r>
        <w:rPr>
          <w:rFonts w:ascii="Arial" w:eastAsia="黑体" w:hAnsi="Arial" w:cs="Arial"/>
          <w:snapToGrid w:val="0"/>
          <w:szCs w:val="21"/>
        </w:rPr>
        <w:t>7.5%</w:t>
      </w:r>
      <w:r>
        <w:rPr>
          <w:rFonts w:ascii="Arial" w:eastAsia="黑体" w:hAnsi="Arial" w:cs="Arial"/>
          <w:snapToGrid w:val="0"/>
          <w:szCs w:val="21"/>
        </w:rPr>
        <w:t>，目前本集团全面符合相关监管规定要求。</w:t>
      </w:r>
    </w:p>
    <w:p w:rsidR="00AD5BB5" w:rsidRDefault="00AD5BB5">
      <w:pPr>
        <w:overflowPunct w:val="0"/>
        <w:autoSpaceDE w:val="0"/>
        <w:autoSpaceDN w:val="0"/>
        <w:rPr>
          <w:rFonts w:ascii="Arial" w:eastAsia="黑体" w:hAnsi="Arial" w:cs="Arial"/>
          <w:bCs/>
          <w:snapToGrid w:val="0"/>
          <w:szCs w:val="21"/>
        </w:rPr>
      </w:pPr>
    </w:p>
    <w:tbl>
      <w:tblPr>
        <w:tblW w:w="0" w:type="auto"/>
        <w:tblLayout w:type="fixed"/>
        <w:tblCellMar>
          <w:left w:w="0" w:type="dxa"/>
          <w:right w:w="0" w:type="dxa"/>
        </w:tblCellMar>
        <w:tblLook w:val="04A0" w:firstRow="1" w:lastRow="0" w:firstColumn="1" w:lastColumn="0" w:noHBand="0" w:noVBand="1"/>
        <w:tblCaption w:val="4d93bfdd-95b8-4553-9873-e0902234894f"/>
        <w:tblDescription w:val="{&quot;UUID&quot;:&quot;afsaddin_tabledata_2_56437_4d93bfdd-95b8-4553-9873-e0902234894f&quot;,&quot;TitleRowCount&quot;:3,&quot;SplitedTable&quot;:false,&quot;FirstTableId&quot;:&quot;4d93bfdd-95b8-4553-9873-e0902234894f&quot;}"/>
      </w:tblPr>
      <w:tblGrid>
        <w:gridCol w:w="3878"/>
        <w:gridCol w:w="112"/>
        <w:gridCol w:w="1987"/>
        <w:gridCol w:w="112"/>
        <w:gridCol w:w="112"/>
        <w:gridCol w:w="1984"/>
        <w:gridCol w:w="112"/>
      </w:tblGrid>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项目</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当期资产负债表日</w:instrText>
            </w:r>
            <w:r>
              <w:rPr>
                <w:rFonts w:ascii="Arial" w:eastAsia="黑体" w:hAnsi="Arial" w:cs="Arial"/>
                <w:szCs w:val="21"/>
              </w:rPr>
              <w:instrText xml:space="preserve"> </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t>年</w:t>
            </w:r>
            <w:r>
              <w:rPr>
                <w:rFonts w:ascii="Arial" w:eastAsia="黑体" w:hAnsi="Arial" w:cs="Arial"/>
                <w:szCs w:val="21"/>
              </w:rPr>
              <w:t>6</w:t>
            </w:r>
            <w:r>
              <w:rPr>
                <w:rFonts w:ascii="Arial" w:eastAsia="黑体" w:hAnsi="Arial" w:cs="Arial"/>
                <w:szCs w:val="21"/>
              </w:rPr>
              <w:t>月</w:t>
            </w:r>
            <w:r>
              <w:rPr>
                <w:rFonts w:ascii="Arial" w:eastAsia="黑体" w:hAnsi="Arial" w:cs="Arial"/>
                <w:szCs w:val="21"/>
              </w:rPr>
              <w:t>30</w:t>
            </w:r>
            <w:r>
              <w:rPr>
                <w:rFonts w:ascii="Arial" w:eastAsia="黑体" w:hAnsi="Arial" w:cs="Arial"/>
                <w:szCs w:val="21"/>
              </w:rPr>
              <w:t>日</w:t>
            </w:r>
            <w:r>
              <w:rPr>
                <w:rFonts w:ascii="Arial" w:eastAsia="黑体" w:hAnsi="Arial" w:cs="Arial"/>
                <w:szCs w:val="21"/>
              </w:rPr>
              <w:fldChar w:fldCharType="end"/>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2022</w:t>
            </w:r>
            <w:r>
              <w:rPr>
                <w:rFonts w:ascii="Arial" w:eastAsia="黑体" w:hAnsi="Arial" w:cs="Arial"/>
                <w:szCs w:val="21"/>
              </w:rPr>
              <w:t>年</w:t>
            </w:r>
            <w:r>
              <w:rPr>
                <w:rFonts w:ascii="Arial" w:eastAsia="黑体" w:hAnsi="Arial" w:cs="Arial"/>
                <w:szCs w:val="21"/>
              </w:rPr>
              <w:t>12</w:t>
            </w:r>
            <w:r>
              <w:rPr>
                <w:rFonts w:ascii="Arial" w:eastAsia="黑体" w:hAnsi="Arial" w:cs="Arial"/>
                <w:szCs w:val="21"/>
              </w:rPr>
              <w:t>月</w:t>
            </w:r>
            <w:r>
              <w:rPr>
                <w:rFonts w:ascii="Arial" w:eastAsia="黑体" w:hAnsi="Arial" w:cs="Arial"/>
                <w:szCs w:val="21"/>
              </w:rPr>
              <w:t>31</w:t>
            </w:r>
            <w:r>
              <w:rPr>
                <w:rFonts w:ascii="Arial" w:eastAsia="黑体" w:hAnsi="Arial" w:cs="Arial"/>
                <w:szCs w:val="21"/>
              </w:rPr>
              <w:t>日</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人民币万元</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人民币万元</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4"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核心资本净额</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 xml:space="preserve"> 2,285,933.31 </w:t>
            </w: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984"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2,190,867.57</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一级资本净额</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 xml:space="preserve"> 2,540,259.90 </w:t>
            </w: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984"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2,444,844.35</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资本净额</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 xml:space="preserve"> 3,270,975.21 </w:t>
            </w: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984"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3,174,288.23</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风险加权资产</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 xml:space="preserve"> 23,115,804.93 </w:t>
            </w: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984"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23,066,752.28</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984"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核心一级资本充足率</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9.89%</w:t>
            </w: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984"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9.50%</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一级资本充足率</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10.99%</w:t>
            </w: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984"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10.60%</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878"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资本充足率</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987"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14.15%</w:t>
            </w: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984"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13.76%</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bl>
    <w:p w:rsidR="00AD5BB5" w:rsidRDefault="00AD5BB5">
      <w:pPr>
        <w:overflowPunct w:val="0"/>
        <w:autoSpaceDE w:val="0"/>
        <w:autoSpaceDN w:val="0"/>
        <w:rPr>
          <w:rFonts w:ascii="Arial" w:eastAsia="黑体" w:hAnsi="Arial" w:cs="Arial"/>
          <w:bCs/>
          <w:snapToGrid w:val="0"/>
          <w:szCs w:val="21"/>
        </w:rPr>
      </w:pPr>
    </w:p>
    <w:p w:rsidR="00AD5BB5" w:rsidRDefault="00AD5BB5">
      <w:pPr>
        <w:overflowPunct w:val="0"/>
        <w:autoSpaceDE w:val="0"/>
        <w:autoSpaceDN w:val="0"/>
        <w:rPr>
          <w:rFonts w:ascii="Arial" w:eastAsia="黑体" w:hAnsi="Arial" w:cs="Arial"/>
          <w:snapToGrid w:val="0"/>
          <w:szCs w:val="21"/>
        </w:rPr>
        <w:sectPr w:rsidR="00AD5BB5">
          <w:headerReference w:type="even" r:id="rId81"/>
          <w:headerReference w:type="default" r:id="rId82"/>
          <w:headerReference w:type="first" r:id="rId83"/>
          <w:pgSz w:w="11907" w:h="16840"/>
          <w:pgMar w:top="1440" w:right="1797" w:bottom="1440" w:left="1797" w:header="720" w:footer="720" w:gutter="0"/>
          <w:cols w:space="720"/>
          <w:titlePg/>
          <w:docGrid w:linePitch="360"/>
        </w:sectPr>
      </w:pPr>
    </w:p>
    <w:p w:rsidR="00AD5BB5" w:rsidRDefault="00AD5BB5">
      <w:pPr>
        <w:overflowPunct w:val="0"/>
        <w:autoSpaceDE w:val="0"/>
        <w:autoSpaceDN w:val="0"/>
        <w:rPr>
          <w:rFonts w:ascii="Arial" w:eastAsia="黑体" w:hAnsi="Arial" w:cs="Arial"/>
          <w:bCs/>
          <w:snapToGrid w:val="0"/>
          <w:szCs w:val="21"/>
        </w:rPr>
      </w:pPr>
    </w:p>
    <w:p w:rsidR="00AD5BB5" w:rsidRDefault="00AD5BB5">
      <w:pPr>
        <w:overflowPunct w:val="0"/>
        <w:autoSpaceDE w:val="0"/>
        <w:autoSpaceDN w:val="0"/>
        <w:rPr>
          <w:rFonts w:ascii="Arial" w:eastAsia="黑体" w:hAnsi="Arial" w:cs="Arial"/>
          <w:bCs/>
          <w:snapToGrid w:val="0"/>
          <w:szCs w:val="21"/>
        </w:rPr>
      </w:pPr>
    </w:p>
    <w:p w:rsidR="00AD5BB5" w:rsidRDefault="00F87FF6">
      <w:pPr>
        <w:pStyle w:val="a3"/>
        <w:numPr>
          <w:ilvl w:val="0"/>
          <w:numId w:val="0"/>
        </w:numPr>
        <w:rPr>
          <w:b w:val="0"/>
          <w:sz w:val="21"/>
          <w:szCs w:val="21"/>
        </w:rPr>
      </w:pPr>
      <w:bookmarkStart w:id="510" w:name="afsaddin_Section_45a92da2d4db457d8de9163"/>
      <w:r>
        <w:rPr>
          <w:sz w:val="21"/>
          <w:szCs w:val="21"/>
        </w:rPr>
        <w:t>九、</w:t>
      </w:r>
      <w:r>
        <w:rPr>
          <w:sz w:val="21"/>
          <w:szCs w:val="21"/>
        </w:rPr>
        <w:tab/>
      </w:r>
      <w:r>
        <w:rPr>
          <w:sz w:val="21"/>
          <w:szCs w:val="21"/>
        </w:rPr>
        <w:t>关联方关系及其交易</w:t>
      </w:r>
    </w:p>
    <w:bookmarkEnd w:id="510"/>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overflowPunct w:val="0"/>
        <w:autoSpaceDE w:val="0"/>
        <w:autoSpaceDN w:val="0"/>
        <w:snapToGrid w:val="0"/>
        <w:ind w:left="720" w:hanging="720"/>
        <w:outlineLvl w:val="2"/>
        <w:rPr>
          <w:rFonts w:ascii="Arial" w:eastAsia="黑体" w:hAnsi="Arial" w:cs="Arial"/>
          <w:b/>
          <w:snapToGrid w:val="0"/>
          <w:color w:val="000000" w:themeColor="text1"/>
          <w:szCs w:val="21"/>
        </w:rPr>
      </w:pPr>
      <w:bookmarkStart w:id="511" w:name="afsaddin_Section_26ec75819558405baeb8efb"/>
      <w:r>
        <w:rPr>
          <w:rFonts w:ascii="Arial" w:eastAsia="黑体" w:hAnsi="Arial" w:cs="Arial"/>
          <w:b/>
          <w:snapToGrid w:val="0"/>
          <w:color w:val="000000" w:themeColor="text1"/>
          <w:szCs w:val="21"/>
        </w:rPr>
        <w:t>1.</w:t>
      </w:r>
      <w:r>
        <w:rPr>
          <w:rFonts w:ascii="Arial" w:eastAsia="黑体" w:hAnsi="Arial" w:cs="Arial"/>
          <w:b/>
          <w:snapToGrid w:val="0"/>
          <w:color w:val="000000" w:themeColor="text1"/>
          <w:szCs w:val="21"/>
        </w:rPr>
        <w:tab/>
      </w:r>
      <w:r>
        <w:rPr>
          <w:rFonts w:ascii="Arial" w:eastAsia="黑体" w:hAnsi="Arial" w:cs="Arial"/>
          <w:b/>
          <w:snapToGrid w:val="0"/>
          <w:color w:val="000000" w:themeColor="text1"/>
          <w:szCs w:val="21"/>
        </w:rPr>
        <w:t>关联方的认定标准</w:t>
      </w:r>
    </w:p>
    <w:bookmarkEnd w:id="511"/>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overflowPunct w:val="0"/>
        <w:autoSpaceDE w:val="0"/>
        <w:autoSpaceDN w:val="0"/>
        <w:adjustRightInd w:val="0"/>
        <w:snapToGrid w:val="0"/>
        <w:rPr>
          <w:rFonts w:ascii="Arial" w:eastAsia="黑体" w:hAnsi="Arial" w:cs="Arial"/>
          <w:snapToGrid w:val="0"/>
          <w:szCs w:val="21"/>
        </w:rPr>
      </w:pPr>
      <w:r>
        <w:rPr>
          <w:rFonts w:ascii="Arial" w:eastAsia="黑体" w:hAnsi="Arial" w:cs="Arial"/>
          <w:snapToGrid w:val="0"/>
          <w:szCs w:val="21"/>
        </w:rPr>
        <w:t>下列各方构成本行的关联方：</w:t>
      </w:r>
    </w:p>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tabs>
          <w:tab w:val="left" w:pos="742"/>
        </w:tabs>
        <w:overflowPunct w:val="0"/>
        <w:autoSpaceDE w:val="0"/>
        <w:autoSpaceDN w:val="0"/>
        <w:adjustRightInd w:val="0"/>
        <w:snapToGrid w:val="0"/>
        <w:rPr>
          <w:rFonts w:ascii="Arial" w:eastAsia="黑体" w:hAnsi="Arial" w:cs="Arial"/>
          <w:snapToGrid w:val="0"/>
          <w:szCs w:val="21"/>
        </w:rPr>
      </w:pPr>
      <w:r>
        <w:rPr>
          <w:rFonts w:ascii="Arial" w:eastAsia="黑体" w:hAnsi="Arial" w:cs="Arial"/>
          <w:snapToGrid w:val="0"/>
          <w:szCs w:val="21"/>
        </w:rPr>
        <w:t>(1)</w:t>
      </w:r>
      <w:r>
        <w:rPr>
          <w:rFonts w:ascii="Arial" w:eastAsia="黑体" w:hAnsi="Arial" w:cs="Arial"/>
          <w:snapToGrid w:val="0"/>
          <w:szCs w:val="21"/>
        </w:rPr>
        <w:tab/>
      </w:r>
      <w:r>
        <w:rPr>
          <w:rFonts w:ascii="Arial" w:eastAsia="黑体" w:hAnsi="Arial" w:cs="Arial"/>
          <w:snapToGrid w:val="0"/>
          <w:szCs w:val="21"/>
        </w:rPr>
        <w:t>持有本行</w:t>
      </w:r>
      <w:r>
        <w:rPr>
          <w:rFonts w:ascii="Arial" w:eastAsia="黑体" w:hAnsi="Arial" w:cs="Arial"/>
          <w:snapToGrid w:val="0"/>
          <w:szCs w:val="21"/>
        </w:rPr>
        <w:t>5%</w:t>
      </w:r>
      <w:r>
        <w:rPr>
          <w:rFonts w:ascii="Arial" w:eastAsia="黑体" w:hAnsi="Arial" w:cs="Arial"/>
          <w:snapToGrid w:val="0"/>
          <w:szCs w:val="21"/>
        </w:rPr>
        <w:t>及</w:t>
      </w:r>
      <w:r>
        <w:rPr>
          <w:rFonts w:ascii="Arial" w:eastAsia="黑体" w:hAnsi="Arial" w:cs="Arial"/>
          <w:snapToGrid w:val="0"/>
          <w:szCs w:val="21"/>
        </w:rPr>
        <w:t>5%</w:t>
      </w:r>
      <w:r>
        <w:rPr>
          <w:rFonts w:ascii="Arial" w:eastAsia="黑体" w:hAnsi="Arial" w:cs="Arial"/>
          <w:snapToGrid w:val="0"/>
          <w:szCs w:val="21"/>
        </w:rPr>
        <w:t>以上股份的股东</w:t>
      </w:r>
    </w:p>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overflowPunct w:val="0"/>
        <w:autoSpaceDE w:val="0"/>
        <w:autoSpaceDN w:val="0"/>
        <w:adjustRightInd w:val="0"/>
        <w:snapToGrid w:val="0"/>
        <w:rPr>
          <w:rFonts w:ascii="Arial" w:eastAsia="黑体" w:hAnsi="Arial" w:cs="Arial"/>
          <w:snapToGrid w:val="0"/>
          <w:szCs w:val="21"/>
        </w:rPr>
      </w:pPr>
      <w:r>
        <w:rPr>
          <w:rFonts w:ascii="Arial" w:eastAsia="黑体" w:hAnsi="Arial" w:cs="Arial"/>
          <w:snapToGrid w:val="0"/>
          <w:szCs w:val="21"/>
        </w:rPr>
        <w:t>持有本行</w:t>
      </w:r>
      <w:r>
        <w:rPr>
          <w:rFonts w:ascii="Arial" w:eastAsia="黑体" w:hAnsi="Arial" w:cs="Arial"/>
          <w:snapToGrid w:val="0"/>
          <w:szCs w:val="21"/>
        </w:rPr>
        <w:t>5%</w:t>
      </w:r>
      <w:r>
        <w:rPr>
          <w:rFonts w:ascii="Arial" w:eastAsia="黑体" w:hAnsi="Arial" w:cs="Arial"/>
          <w:snapToGrid w:val="0"/>
          <w:szCs w:val="21"/>
        </w:rPr>
        <w:t>及</w:t>
      </w:r>
      <w:r>
        <w:rPr>
          <w:rFonts w:ascii="Arial" w:eastAsia="黑体" w:hAnsi="Arial" w:cs="Arial"/>
          <w:snapToGrid w:val="0"/>
          <w:szCs w:val="21"/>
        </w:rPr>
        <w:t>5%</w:t>
      </w:r>
      <w:r>
        <w:rPr>
          <w:rFonts w:ascii="Arial" w:eastAsia="黑体" w:hAnsi="Arial" w:cs="Arial"/>
          <w:snapToGrid w:val="0"/>
          <w:szCs w:val="21"/>
        </w:rPr>
        <w:t>以上股份的股东名称及持股比例如下：</w:t>
      </w:r>
    </w:p>
    <w:p w:rsidR="00AD5BB5" w:rsidRDefault="00AD5BB5">
      <w:pPr>
        <w:overflowPunct w:val="0"/>
        <w:autoSpaceDE w:val="0"/>
        <w:autoSpaceDN w:val="0"/>
        <w:adjustRightInd w:val="0"/>
        <w:snapToGrid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5fb25c95-95c6-411e-99ac-b6c3dc29b21f"/>
        <w:tblDescription w:val="{&quot;UUID&quot;:&quot;afsaddin_tabledata_2_56437_5fb25c95-95c6-411e-99ac-b6c3dc29b21f&quot;,&quot;TitleRowCount&quot;:2,&quot;SplitedTable&quot;:false,&quot;FirstTableId&quot;:&quot;5fb25c95-95c6-411e-99ac-b6c3dc29b21f&quot;}"/>
      </w:tblPr>
      <w:tblGrid>
        <w:gridCol w:w="2578"/>
        <w:gridCol w:w="104"/>
        <w:gridCol w:w="689"/>
        <w:gridCol w:w="103"/>
        <w:gridCol w:w="103"/>
        <w:gridCol w:w="1720"/>
        <w:gridCol w:w="103"/>
        <w:gridCol w:w="103"/>
        <w:gridCol w:w="688"/>
        <w:gridCol w:w="103"/>
        <w:gridCol w:w="103"/>
        <w:gridCol w:w="860"/>
        <w:gridCol w:w="103"/>
        <w:gridCol w:w="103"/>
        <w:gridCol w:w="860"/>
        <w:gridCol w:w="103"/>
      </w:tblGrid>
      <w:tr w:rsidR="00AD5BB5">
        <w:tc>
          <w:tcPr>
            <w:tcW w:w="257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关联方名称</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689"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注册地</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72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注册资本</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68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业务性质</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86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主营业务</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86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法定代表人</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578"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689"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72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68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86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86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57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厦门金圆投资集团有限公司</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68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厦门</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72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人民币</w:t>
            </w:r>
            <w:r>
              <w:rPr>
                <w:rFonts w:ascii="Arial" w:eastAsia="黑体" w:hAnsi="Arial" w:cs="Arial"/>
                <w:sz w:val="16"/>
                <w:szCs w:val="16"/>
              </w:rPr>
              <w:t>2,289,464</w:t>
            </w:r>
            <w:r>
              <w:rPr>
                <w:rFonts w:ascii="Arial" w:eastAsia="黑体" w:hAnsi="Arial" w:cs="Arial"/>
                <w:sz w:val="16"/>
                <w:szCs w:val="16"/>
              </w:rPr>
              <w:t>万元</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68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企业</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86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见表后说明</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86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檀庄龙</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57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富邦金融控股股份有限公司</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68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台北</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72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新台币</w:t>
            </w:r>
            <w:r>
              <w:rPr>
                <w:rFonts w:ascii="Arial" w:eastAsia="黑体" w:hAnsi="Arial" w:cs="Arial"/>
                <w:sz w:val="16"/>
                <w:szCs w:val="16"/>
              </w:rPr>
              <w:t>13,995,203</w:t>
            </w:r>
            <w:r>
              <w:rPr>
                <w:rFonts w:ascii="Arial" w:eastAsia="黑体" w:hAnsi="Arial" w:cs="Arial"/>
                <w:sz w:val="16"/>
                <w:szCs w:val="16"/>
              </w:rPr>
              <w:t>万元</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68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企业</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86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见表后说明</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86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蔡明兴</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57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北京盛达兴业房地产开发有限公司</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68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北京</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72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人民币</w:t>
            </w:r>
            <w:r>
              <w:rPr>
                <w:rFonts w:ascii="Arial" w:eastAsia="黑体" w:hAnsi="Arial" w:cs="Arial"/>
                <w:sz w:val="16"/>
                <w:szCs w:val="16"/>
              </w:rPr>
              <w:t>22,880</w:t>
            </w:r>
            <w:r>
              <w:rPr>
                <w:rFonts w:ascii="Arial" w:eastAsia="黑体" w:hAnsi="Arial" w:cs="Arial"/>
                <w:sz w:val="16"/>
                <w:szCs w:val="16"/>
              </w:rPr>
              <w:t>万元</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68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企业</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86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见表后说明</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86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丁海东</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578"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福建七匹狼集团有限公司</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68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泉州晋江</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72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人民币</w:t>
            </w:r>
            <w:r>
              <w:rPr>
                <w:rFonts w:ascii="Arial" w:eastAsia="黑体" w:hAnsi="Arial" w:cs="Arial"/>
                <w:sz w:val="16"/>
                <w:szCs w:val="16"/>
              </w:rPr>
              <w:t>150,000</w:t>
            </w:r>
            <w:r>
              <w:rPr>
                <w:rFonts w:ascii="Arial" w:eastAsia="黑体" w:hAnsi="Arial" w:cs="Arial"/>
                <w:sz w:val="16"/>
                <w:szCs w:val="16"/>
              </w:rPr>
              <w:t>万元</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68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企业</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86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见表后说明</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86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周永伟</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bl>
    <w:p w:rsidR="00AD5BB5" w:rsidRDefault="00AD5BB5">
      <w:pPr>
        <w:overflowPunct w:val="0"/>
        <w:autoSpaceDE w:val="0"/>
        <w:autoSpaceDN w:val="0"/>
        <w:adjustRightInd w:val="0"/>
        <w:snapToGrid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5844b6fd-7e99-4025-a425-3ce53be77dc9"/>
        <w:tblDescription w:val="{&quot;UUID&quot;:&quot;afsaddin_tabledata_2_56437_5844b6fd-7e99-4025-a425-3ce53be77dc9&quot;,&quot;TitleRowCount&quot;:2,&quot;SplitedTable&quot;:false,&quot;FirstTableId&quot;:&quot;5844b6fd-7e99-4025-a425-3ce53be77dc9&quot;}"/>
      </w:tblPr>
      <w:tblGrid>
        <w:gridCol w:w="2410"/>
        <w:gridCol w:w="142"/>
        <w:gridCol w:w="1134"/>
        <w:gridCol w:w="142"/>
        <w:gridCol w:w="142"/>
        <w:gridCol w:w="709"/>
        <w:gridCol w:w="20"/>
        <w:gridCol w:w="20"/>
        <w:gridCol w:w="1236"/>
        <w:gridCol w:w="142"/>
        <w:gridCol w:w="141"/>
        <w:gridCol w:w="851"/>
        <w:gridCol w:w="21"/>
        <w:gridCol w:w="22"/>
        <w:gridCol w:w="1233"/>
        <w:gridCol w:w="62"/>
      </w:tblGrid>
      <w:tr w:rsidR="00AD5BB5">
        <w:tc>
          <w:tcPr>
            <w:tcW w:w="2410"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关联方名称</w:t>
            </w: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127" w:type="dxa"/>
            <w:gridSpan w:val="4"/>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fldChar w:fldCharType="begin"/>
            </w:r>
            <w:r>
              <w:rPr>
                <w:rFonts w:ascii="Arial" w:eastAsia="黑体" w:hAnsi="Arial" w:cs="Arial"/>
                <w:sz w:val="16"/>
                <w:szCs w:val="16"/>
              </w:rPr>
              <w:instrText xml:space="preserve"> DOCPROPERTY </w:instrText>
            </w:r>
            <w:r>
              <w:rPr>
                <w:rFonts w:ascii="Arial" w:eastAsia="黑体" w:hAnsi="Arial" w:cs="Arial"/>
                <w:sz w:val="16"/>
                <w:szCs w:val="16"/>
              </w:rPr>
              <w:instrText>当期资产负债表日</w:instrText>
            </w:r>
            <w:r>
              <w:rPr>
                <w:rFonts w:ascii="Arial" w:eastAsia="黑体" w:hAnsi="Arial" w:cs="Arial"/>
                <w:sz w:val="16"/>
                <w:szCs w:val="16"/>
              </w:rPr>
              <w:instrText xml:space="preserve"> </w:instrText>
            </w:r>
            <w:r>
              <w:rPr>
                <w:rFonts w:ascii="Arial" w:eastAsia="黑体" w:hAnsi="Arial" w:cs="Arial"/>
                <w:sz w:val="16"/>
                <w:szCs w:val="16"/>
              </w:rPr>
              <w:fldChar w:fldCharType="separate"/>
            </w:r>
            <w:r>
              <w:rPr>
                <w:rFonts w:ascii="Arial" w:eastAsia="黑体" w:hAnsi="Arial" w:cs="Arial"/>
                <w:sz w:val="16"/>
                <w:szCs w:val="16"/>
              </w:rPr>
              <w:t>2023</w:t>
            </w:r>
            <w:r>
              <w:rPr>
                <w:rFonts w:ascii="Arial" w:eastAsia="黑体" w:hAnsi="Arial" w:cs="Arial"/>
                <w:sz w:val="16"/>
                <w:szCs w:val="16"/>
              </w:rPr>
              <w:t>年</w:t>
            </w:r>
            <w:r>
              <w:rPr>
                <w:rFonts w:ascii="Arial" w:eastAsia="黑体" w:hAnsi="Arial" w:cs="Arial"/>
                <w:sz w:val="16"/>
                <w:szCs w:val="16"/>
              </w:rPr>
              <w:t>6</w:t>
            </w:r>
            <w:r>
              <w:rPr>
                <w:rFonts w:ascii="Arial" w:eastAsia="黑体" w:hAnsi="Arial" w:cs="Arial"/>
                <w:sz w:val="16"/>
                <w:szCs w:val="16"/>
              </w:rPr>
              <w:t>月</w:t>
            </w:r>
            <w:r>
              <w:rPr>
                <w:rFonts w:ascii="Arial" w:eastAsia="黑体" w:hAnsi="Arial" w:cs="Arial"/>
                <w:sz w:val="16"/>
                <w:szCs w:val="16"/>
              </w:rPr>
              <w:t>30</w:t>
            </w:r>
            <w:r>
              <w:rPr>
                <w:rFonts w:ascii="Arial" w:eastAsia="黑体" w:hAnsi="Arial" w:cs="Arial"/>
                <w:sz w:val="16"/>
                <w:szCs w:val="16"/>
              </w:rPr>
              <w:t>日</w:t>
            </w:r>
            <w:r>
              <w:rPr>
                <w:rFonts w:ascii="Arial" w:eastAsia="黑体" w:hAnsi="Arial" w:cs="Arial"/>
                <w:sz w:val="16"/>
                <w:szCs w:val="16"/>
              </w:rPr>
              <w:fldChar w:fldCharType="end"/>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370" w:type="dxa"/>
            <w:gridSpan w:val="4"/>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2022</w:t>
            </w:r>
            <w:r>
              <w:rPr>
                <w:rFonts w:ascii="Arial" w:eastAsia="黑体" w:hAnsi="Arial" w:cs="Arial"/>
                <w:sz w:val="16"/>
                <w:szCs w:val="16"/>
              </w:rPr>
              <w:t>年</w:t>
            </w:r>
            <w:r>
              <w:rPr>
                <w:rFonts w:ascii="Arial" w:eastAsia="黑体" w:hAnsi="Arial" w:cs="Arial"/>
                <w:sz w:val="16"/>
                <w:szCs w:val="16"/>
              </w:rPr>
              <w:t>12</w:t>
            </w:r>
            <w:r>
              <w:rPr>
                <w:rFonts w:ascii="Arial" w:eastAsia="黑体" w:hAnsi="Arial" w:cs="Arial"/>
                <w:sz w:val="16"/>
                <w:szCs w:val="16"/>
              </w:rPr>
              <w:t>月</w:t>
            </w:r>
            <w:r>
              <w:rPr>
                <w:rFonts w:ascii="Arial" w:eastAsia="黑体" w:hAnsi="Arial" w:cs="Arial"/>
                <w:sz w:val="16"/>
                <w:szCs w:val="16"/>
              </w:rPr>
              <w:t>31</w:t>
            </w:r>
            <w:r>
              <w:rPr>
                <w:rFonts w:ascii="Arial" w:eastAsia="黑体" w:hAnsi="Arial" w:cs="Arial"/>
                <w:sz w:val="16"/>
                <w:szCs w:val="16"/>
              </w:rPr>
              <w:t>日</w:t>
            </w:r>
          </w:p>
        </w:tc>
        <w:tc>
          <w:tcPr>
            <w:tcW w:w="2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fldChar w:fldCharType="begin"/>
            </w:r>
            <w:r>
              <w:rPr>
                <w:rFonts w:ascii="Arial" w:eastAsia="黑体" w:hAnsi="Arial" w:cs="Arial"/>
                <w:sz w:val="16"/>
                <w:szCs w:val="16"/>
              </w:rPr>
              <w:instrText xml:space="preserve"> DOCPROPERTY </w:instrText>
            </w:r>
            <w:r>
              <w:rPr>
                <w:rFonts w:ascii="Arial" w:eastAsia="黑体" w:hAnsi="Arial" w:cs="Arial"/>
                <w:sz w:val="16"/>
                <w:szCs w:val="16"/>
              </w:rPr>
              <w:instrText>自定义</w:instrText>
            </w:r>
            <w:r>
              <w:rPr>
                <w:rFonts w:ascii="Arial" w:eastAsia="黑体" w:hAnsi="Arial" w:cs="Arial"/>
                <w:sz w:val="16"/>
                <w:szCs w:val="16"/>
              </w:rPr>
              <w:instrText xml:space="preserve">4 </w:instrText>
            </w:r>
            <w:r>
              <w:rPr>
                <w:rFonts w:ascii="Arial" w:eastAsia="黑体" w:hAnsi="Arial" w:cs="Arial"/>
                <w:sz w:val="16"/>
                <w:szCs w:val="16"/>
              </w:rPr>
              <w:fldChar w:fldCharType="separate"/>
            </w:r>
            <w:r>
              <w:rPr>
                <w:rFonts w:ascii="Arial" w:eastAsia="黑体" w:hAnsi="Arial" w:cs="Arial"/>
                <w:sz w:val="16"/>
                <w:szCs w:val="16"/>
              </w:rPr>
              <w:t>两期</w:t>
            </w:r>
            <w:r>
              <w:rPr>
                <w:rFonts w:ascii="Arial" w:eastAsia="黑体" w:hAnsi="Arial" w:cs="Arial"/>
                <w:sz w:val="16"/>
                <w:szCs w:val="16"/>
              </w:rPr>
              <w:fldChar w:fldCharType="end"/>
            </w:r>
          </w:p>
        </w:tc>
        <w:tc>
          <w:tcPr>
            <w:tcW w:w="6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r>
      <w:tr w:rsidR="00AD5BB5">
        <w:tc>
          <w:tcPr>
            <w:tcW w:w="2410"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34"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持股数</w:t>
            </w:r>
          </w:p>
        </w:tc>
        <w:tc>
          <w:tcPr>
            <w:tcW w:w="14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4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709"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持股比例</w:t>
            </w:r>
          </w:p>
        </w:tc>
        <w:tc>
          <w:tcPr>
            <w:tcW w:w="2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2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236"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持股数</w:t>
            </w:r>
          </w:p>
        </w:tc>
        <w:tc>
          <w:tcPr>
            <w:tcW w:w="14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4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851"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持股比例</w:t>
            </w:r>
          </w:p>
        </w:tc>
        <w:tc>
          <w:tcPr>
            <w:tcW w:w="2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2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233"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持股数变动</w:t>
            </w:r>
          </w:p>
        </w:tc>
        <w:tc>
          <w:tcPr>
            <w:tcW w:w="6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r>
      <w:tr w:rsidR="00AD5BB5">
        <w:tc>
          <w:tcPr>
            <w:tcW w:w="2410"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厦门金圆投资集团有限公司</w:t>
            </w: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482,202,748.00</w:t>
            </w: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70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18.27%</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482,202,748.00</w:t>
            </w: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85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18.27%</w:t>
            </w:r>
          </w:p>
        </w:tc>
        <w:tc>
          <w:tcPr>
            <w:tcW w:w="2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w:t>
            </w:r>
          </w:p>
        </w:tc>
        <w:tc>
          <w:tcPr>
            <w:tcW w:w="6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410" w:type="dxa"/>
            <w:tcBorders>
              <w:top w:val="nil"/>
              <w:left w:val="nil"/>
              <w:bottom w:val="nil"/>
              <w:right w:val="nil"/>
            </w:tcBorders>
            <w:vAlign w:val="bottom"/>
          </w:tcPr>
          <w:p w:rsidR="00AD5BB5" w:rsidRDefault="00F87FF6">
            <w:pPr>
              <w:autoSpaceDE w:val="0"/>
              <w:autoSpaceDN w:val="0"/>
              <w:ind w:left="160" w:hangingChars="100" w:hanging="160"/>
              <w:rPr>
                <w:rFonts w:ascii="Arial" w:hAnsi="Arial" w:cs="Arial"/>
              </w:rPr>
            </w:pPr>
            <w:r>
              <w:rPr>
                <w:rFonts w:ascii="Arial" w:eastAsia="黑体" w:hAnsi="Arial" w:cs="Arial"/>
                <w:sz w:val="16"/>
                <w:szCs w:val="16"/>
              </w:rPr>
              <w:t>富邦金融控股股份有限公司</w:t>
            </w: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475,848,185.00</w:t>
            </w: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70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18.03%</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475,848,185.00</w:t>
            </w: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85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18.03%</w:t>
            </w:r>
          </w:p>
        </w:tc>
        <w:tc>
          <w:tcPr>
            <w:tcW w:w="2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w:t>
            </w:r>
          </w:p>
        </w:tc>
        <w:tc>
          <w:tcPr>
            <w:tcW w:w="6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410"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北京盛达兴业房地产开发有限公司</w:t>
            </w: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254,088,917.00</w:t>
            </w: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70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9.63%</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254,088,917.00</w:t>
            </w: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85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9.63%</w:t>
            </w:r>
          </w:p>
        </w:tc>
        <w:tc>
          <w:tcPr>
            <w:tcW w:w="2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w:t>
            </w:r>
          </w:p>
        </w:tc>
        <w:tc>
          <w:tcPr>
            <w:tcW w:w="6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410"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福建七匹狼集团有限公司</w:t>
            </w: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212,445,000.00</w:t>
            </w: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70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8.05%</w:t>
            </w: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212,445,000.00</w:t>
            </w:r>
          </w:p>
        </w:tc>
        <w:tc>
          <w:tcPr>
            <w:tcW w:w="14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4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85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8.05%</w:t>
            </w:r>
          </w:p>
        </w:tc>
        <w:tc>
          <w:tcPr>
            <w:tcW w:w="21"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3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w:t>
            </w:r>
          </w:p>
        </w:tc>
        <w:tc>
          <w:tcPr>
            <w:tcW w:w="62"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bl>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overflowPunct w:val="0"/>
        <w:autoSpaceDE w:val="0"/>
        <w:autoSpaceDN w:val="0"/>
        <w:adjustRightInd w:val="0"/>
        <w:snapToGrid w:val="0"/>
        <w:ind w:left="720" w:hanging="720"/>
        <w:rPr>
          <w:rFonts w:ascii="Arial" w:eastAsia="黑体" w:hAnsi="Arial" w:cs="Arial"/>
          <w:snapToGrid w:val="0"/>
          <w:szCs w:val="21"/>
        </w:rPr>
      </w:pPr>
      <w:r>
        <w:rPr>
          <w:rFonts w:ascii="Arial" w:eastAsia="黑体" w:hAnsi="Arial" w:cs="Arial"/>
          <w:snapToGrid w:val="0"/>
          <w:szCs w:val="21"/>
        </w:rPr>
        <w:t>(2)</w:t>
      </w:r>
      <w:r>
        <w:rPr>
          <w:rFonts w:ascii="Arial" w:eastAsia="黑体" w:hAnsi="Arial" w:cs="Arial"/>
          <w:snapToGrid w:val="0"/>
          <w:szCs w:val="21"/>
        </w:rPr>
        <w:tab/>
      </w:r>
      <w:r>
        <w:rPr>
          <w:rFonts w:ascii="Arial" w:eastAsia="黑体" w:hAnsi="Arial" w:cs="Arial"/>
          <w:snapToGrid w:val="0"/>
          <w:szCs w:val="21"/>
        </w:rPr>
        <w:t>本行的关键管理人员或与其关系密切的家庭成员；</w:t>
      </w:r>
    </w:p>
    <w:p w:rsidR="00AD5BB5" w:rsidRDefault="00F87FF6">
      <w:pPr>
        <w:overflowPunct w:val="0"/>
        <w:autoSpaceDE w:val="0"/>
        <w:autoSpaceDN w:val="0"/>
        <w:adjustRightInd w:val="0"/>
        <w:snapToGrid w:val="0"/>
        <w:ind w:left="720" w:hanging="720"/>
        <w:rPr>
          <w:rFonts w:ascii="Arial" w:eastAsia="黑体" w:hAnsi="Arial" w:cs="Arial"/>
          <w:szCs w:val="21"/>
        </w:rPr>
      </w:pPr>
      <w:r>
        <w:rPr>
          <w:rFonts w:ascii="Arial" w:eastAsia="黑体" w:hAnsi="Arial" w:cs="Arial"/>
          <w:snapToGrid w:val="0"/>
          <w:szCs w:val="21"/>
        </w:rPr>
        <w:t>(3)</w:t>
      </w:r>
      <w:r>
        <w:rPr>
          <w:rFonts w:ascii="Arial" w:eastAsia="黑体" w:hAnsi="Arial" w:cs="Arial"/>
          <w:snapToGrid w:val="0"/>
          <w:szCs w:val="21"/>
        </w:rPr>
        <w:tab/>
      </w:r>
      <w:r>
        <w:rPr>
          <w:rFonts w:ascii="Arial" w:eastAsia="黑体" w:hAnsi="Arial" w:cs="Arial"/>
          <w:szCs w:val="21"/>
        </w:rPr>
        <w:t>本行的关键管理人员或与其关系密切的家庭成员控制、共同控制或施加重大影响的其他企业；</w:t>
      </w:r>
    </w:p>
    <w:p w:rsidR="00AD5BB5" w:rsidRDefault="00F87FF6">
      <w:pPr>
        <w:overflowPunct w:val="0"/>
        <w:autoSpaceDE w:val="0"/>
        <w:autoSpaceDN w:val="0"/>
        <w:adjustRightInd w:val="0"/>
        <w:snapToGrid w:val="0"/>
        <w:ind w:left="720" w:hanging="720"/>
        <w:rPr>
          <w:rFonts w:ascii="Arial" w:eastAsia="黑体" w:hAnsi="Arial" w:cs="Arial"/>
          <w:snapToGrid w:val="0"/>
          <w:szCs w:val="21"/>
        </w:rPr>
      </w:pPr>
      <w:r>
        <w:rPr>
          <w:rFonts w:ascii="Arial" w:eastAsia="黑体" w:hAnsi="Arial" w:cs="Arial"/>
          <w:snapToGrid w:val="0"/>
          <w:szCs w:val="21"/>
        </w:rPr>
        <w:t>(4)</w:t>
      </w:r>
      <w:r>
        <w:rPr>
          <w:rFonts w:ascii="Arial" w:eastAsia="黑体" w:hAnsi="Arial" w:cs="Arial"/>
          <w:snapToGrid w:val="0"/>
          <w:szCs w:val="21"/>
        </w:rPr>
        <w:tab/>
      </w:r>
      <w:r>
        <w:rPr>
          <w:rFonts w:ascii="Arial" w:eastAsia="黑体" w:hAnsi="Arial" w:cs="Arial"/>
          <w:snapToGrid w:val="0"/>
          <w:szCs w:val="21"/>
        </w:rPr>
        <w:t>本行的控股子公司；</w:t>
      </w:r>
    </w:p>
    <w:p w:rsidR="00AD5BB5" w:rsidRDefault="00F87FF6">
      <w:pPr>
        <w:overflowPunct w:val="0"/>
        <w:autoSpaceDE w:val="0"/>
        <w:autoSpaceDN w:val="0"/>
        <w:adjustRightInd w:val="0"/>
        <w:snapToGrid w:val="0"/>
        <w:ind w:left="720" w:hanging="720"/>
        <w:rPr>
          <w:rFonts w:ascii="Arial" w:eastAsia="黑体" w:hAnsi="Arial" w:cs="Arial"/>
          <w:snapToGrid w:val="0"/>
          <w:szCs w:val="21"/>
        </w:rPr>
      </w:pPr>
      <w:r>
        <w:rPr>
          <w:rFonts w:ascii="Arial" w:eastAsia="黑体" w:hAnsi="Arial" w:cs="Arial"/>
          <w:snapToGrid w:val="0"/>
          <w:szCs w:val="21"/>
        </w:rPr>
        <w:t>(5)</w:t>
      </w:r>
      <w:r>
        <w:rPr>
          <w:rFonts w:ascii="Arial" w:eastAsia="黑体" w:hAnsi="Arial" w:cs="Arial"/>
          <w:snapToGrid w:val="0"/>
          <w:szCs w:val="21"/>
        </w:rPr>
        <w:tab/>
      </w:r>
      <w:r>
        <w:rPr>
          <w:rFonts w:ascii="Arial" w:eastAsia="黑体" w:hAnsi="Arial" w:cs="Arial"/>
          <w:snapToGrid w:val="0"/>
          <w:szCs w:val="21"/>
        </w:rPr>
        <w:t>对本行施加重大影响的企业的合营企业及其子公司；</w:t>
      </w:r>
    </w:p>
    <w:p w:rsidR="00AD5BB5" w:rsidRDefault="00F87FF6">
      <w:pPr>
        <w:overflowPunct w:val="0"/>
        <w:autoSpaceDE w:val="0"/>
        <w:autoSpaceDN w:val="0"/>
        <w:adjustRightInd w:val="0"/>
        <w:snapToGrid w:val="0"/>
        <w:ind w:left="720" w:hanging="720"/>
        <w:rPr>
          <w:rFonts w:ascii="Arial" w:eastAsia="黑体" w:hAnsi="Arial" w:cs="Arial"/>
          <w:snapToGrid w:val="0"/>
          <w:szCs w:val="21"/>
        </w:rPr>
      </w:pPr>
      <w:r>
        <w:rPr>
          <w:rFonts w:ascii="Arial" w:eastAsia="黑体" w:hAnsi="Arial" w:cs="Arial"/>
          <w:snapToGrid w:val="0"/>
          <w:szCs w:val="21"/>
        </w:rPr>
        <w:t>(6)</w:t>
      </w:r>
      <w:r>
        <w:rPr>
          <w:rFonts w:ascii="Arial" w:eastAsia="黑体" w:hAnsi="Arial" w:cs="Arial"/>
          <w:snapToGrid w:val="0"/>
          <w:szCs w:val="21"/>
        </w:rPr>
        <w:tab/>
      </w:r>
      <w:r>
        <w:rPr>
          <w:rFonts w:ascii="Arial" w:eastAsia="黑体" w:hAnsi="Arial" w:cs="Arial"/>
          <w:snapToGrid w:val="0"/>
          <w:szCs w:val="21"/>
        </w:rPr>
        <w:t>持有资本总额或股份总额不足</w:t>
      </w:r>
      <w:r>
        <w:rPr>
          <w:rFonts w:ascii="Arial" w:eastAsia="黑体" w:hAnsi="Arial" w:cs="Arial"/>
          <w:snapToGrid w:val="0"/>
          <w:szCs w:val="21"/>
        </w:rPr>
        <w:t>5%</w:t>
      </w:r>
      <w:r>
        <w:rPr>
          <w:rFonts w:ascii="Arial" w:eastAsia="黑体" w:hAnsi="Arial" w:cs="Arial"/>
          <w:snapToGrid w:val="0"/>
          <w:szCs w:val="21"/>
        </w:rPr>
        <w:t>但对本行经营管理有重大影响（其中</w:t>
      </w:r>
      <w:r>
        <w:rPr>
          <w:rFonts w:ascii="Arial" w:eastAsia="黑体" w:hAnsi="Arial" w:cs="Arial"/>
          <w:snapToGrid w:val="0"/>
          <w:szCs w:val="21"/>
        </w:rPr>
        <w:t>“</w:t>
      </w:r>
      <w:r>
        <w:rPr>
          <w:rFonts w:ascii="Arial" w:eastAsia="黑体" w:hAnsi="Arial" w:cs="Arial"/>
          <w:snapToGrid w:val="0"/>
          <w:szCs w:val="21"/>
        </w:rPr>
        <w:t>重大影响</w:t>
      </w:r>
      <w:r>
        <w:rPr>
          <w:rFonts w:ascii="Arial" w:eastAsia="黑体" w:hAnsi="Arial" w:cs="Arial"/>
          <w:snapToGrid w:val="0"/>
          <w:szCs w:val="21"/>
        </w:rPr>
        <w:t>”</w:t>
      </w:r>
      <w:r>
        <w:rPr>
          <w:rFonts w:ascii="Arial" w:eastAsia="黑体" w:hAnsi="Arial" w:cs="Arial"/>
          <w:snapToGrid w:val="0"/>
          <w:szCs w:val="21"/>
        </w:rPr>
        <w:t>包括但不限于向本行派驻董事、监事或高级管理人员，通过协议或其他方式影响本行的财务和经营管理决策的情形）的股东名称及持股比例如下：</w:t>
      </w:r>
    </w:p>
    <w:p w:rsidR="00AD5BB5" w:rsidRDefault="00AD5BB5">
      <w:pPr>
        <w:pStyle w:val="aff2"/>
        <w:overflowPunct w:val="0"/>
        <w:autoSpaceDE w:val="0"/>
        <w:autoSpaceDN w:val="0"/>
        <w:snapToGrid w:val="0"/>
        <w:ind w:left="1438"/>
        <w:rPr>
          <w:rFonts w:ascii="Arial" w:eastAsia="黑体" w:hAnsi="Arial" w:cs="Arial"/>
        </w:rPr>
      </w:pPr>
    </w:p>
    <w:tbl>
      <w:tblPr>
        <w:tblW w:w="0" w:type="auto"/>
        <w:tblLayout w:type="fixed"/>
        <w:tblCellMar>
          <w:left w:w="0" w:type="dxa"/>
          <w:right w:w="0" w:type="dxa"/>
        </w:tblCellMar>
        <w:tblLook w:val="04A0" w:firstRow="1" w:lastRow="0" w:firstColumn="1" w:lastColumn="0" w:noHBand="0" w:noVBand="1"/>
        <w:tblCaption w:val="1c8448ed-7fc3-4986-a77d-5ea5f939ed20"/>
        <w:tblDescription w:val="{&quot;UUID&quot;:&quot;afsaddin_tabledata_2_56437_1c8448ed-7fc3-4986-a77d-5ea5f939ed20&quot;,&quot;TitleRowCount&quot;:2,&quot;SplitedTable&quot;:false,&quot;FirstTableId&quot;:&quot;1c8448ed-7fc3-4986-a77d-5ea5f939ed20&quot;}"/>
      </w:tblPr>
      <w:tblGrid>
        <w:gridCol w:w="2496"/>
        <w:gridCol w:w="104"/>
        <w:gridCol w:w="524"/>
        <w:gridCol w:w="103"/>
        <w:gridCol w:w="103"/>
        <w:gridCol w:w="1936"/>
        <w:gridCol w:w="103"/>
        <w:gridCol w:w="103"/>
        <w:gridCol w:w="697"/>
        <w:gridCol w:w="103"/>
        <w:gridCol w:w="103"/>
        <w:gridCol w:w="871"/>
        <w:gridCol w:w="103"/>
        <w:gridCol w:w="103"/>
        <w:gridCol w:w="871"/>
        <w:gridCol w:w="103"/>
      </w:tblGrid>
      <w:tr w:rsidR="00AD5BB5">
        <w:tc>
          <w:tcPr>
            <w:tcW w:w="2496"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关联方名称</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524"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注册地</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93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注册资本</w:t>
            </w:r>
          </w:p>
        </w:tc>
        <w:tc>
          <w:tcPr>
            <w:tcW w:w="10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69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业务性质</w:t>
            </w:r>
          </w:p>
        </w:tc>
        <w:tc>
          <w:tcPr>
            <w:tcW w:w="10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87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主营业务</w:t>
            </w:r>
          </w:p>
        </w:tc>
        <w:tc>
          <w:tcPr>
            <w:tcW w:w="10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87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法定代表人</w:t>
            </w:r>
          </w:p>
        </w:tc>
        <w:tc>
          <w:tcPr>
            <w:tcW w:w="10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r>
      <w:tr w:rsidR="00AD5BB5">
        <w:tc>
          <w:tcPr>
            <w:tcW w:w="2496"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52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93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69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87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87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r>
      <w:tr w:rsidR="00AD5BB5">
        <w:tc>
          <w:tcPr>
            <w:tcW w:w="2496"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厦门国有资本资产管理有限公司</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52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厦门</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93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人民币</w:t>
            </w:r>
            <w:r>
              <w:rPr>
                <w:rFonts w:ascii="Arial" w:eastAsia="黑体" w:hAnsi="Arial" w:cs="Arial"/>
                <w:sz w:val="16"/>
                <w:szCs w:val="16"/>
              </w:rPr>
              <w:t>20,000</w:t>
            </w:r>
            <w:r>
              <w:rPr>
                <w:rFonts w:ascii="Arial" w:eastAsia="黑体" w:hAnsi="Arial" w:cs="Arial"/>
                <w:sz w:val="16"/>
                <w:szCs w:val="16"/>
              </w:rPr>
              <w:t>万元</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69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企业</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87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见表后说明</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87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proofErr w:type="gramStart"/>
            <w:r>
              <w:rPr>
                <w:rFonts w:ascii="Arial" w:eastAsia="黑体" w:hAnsi="Arial" w:cs="Arial"/>
                <w:sz w:val="16"/>
                <w:szCs w:val="16"/>
              </w:rPr>
              <w:t>余明凤</w:t>
            </w:r>
            <w:proofErr w:type="gramEnd"/>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496"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佛山电器照明股份有限公司</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52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佛山</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93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人民币</w:t>
            </w:r>
            <w:r>
              <w:rPr>
                <w:rFonts w:ascii="Arial" w:eastAsia="黑体" w:hAnsi="Arial" w:cs="Arial"/>
                <w:sz w:val="16"/>
                <w:szCs w:val="16"/>
              </w:rPr>
              <w:t>136,199.4647</w:t>
            </w:r>
            <w:r>
              <w:rPr>
                <w:rFonts w:ascii="Arial" w:eastAsia="黑体" w:hAnsi="Arial" w:cs="Arial"/>
                <w:sz w:val="16"/>
                <w:szCs w:val="16"/>
              </w:rPr>
              <w:t>万元</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69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企业</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87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见表后说明</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87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吴圣辉</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496"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大洲控股集团有限公司</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52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厦门</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93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人民币</w:t>
            </w:r>
            <w:r>
              <w:rPr>
                <w:rFonts w:ascii="Arial" w:eastAsia="黑体" w:hAnsi="Arial" w:cs="Arial"/>
                <w:sz w:val="16"/>
                <w:szCs w:val="16"/>
              </w:rPr>
              <w:t>118,000</w:t>
            </w:r>
            <w:r>
              <w:rPr>
                <w:rFonts w:ascii="Arial" w:eastAsia="黑体" w:hAnsi="Arial" w:cs="Arial"/>
                <w:sz w:val="16"/>
                <w:szCs w:val="16"/>
              </w:rPr>
              <w:t>万元</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69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企业</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87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见表后说明</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87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陈铁铭</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496"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proofErr w:type="gramStart"/>
            <w:r>
              <w:rPr>
                <w:rFonts w:ascii="Arial" w:eastAsia="黑体" w:hAnsi="Arial" w:cs="Arial"/>
                <w:sz w:val="16"/>
                <w:szCs w:val="16"/>
              </w:rPr>
              <w:t>泉舜集团</w:t>
            </w:r>
            <w:proofErr w:type="gramEnd"/>
            <w:r>
              <w:rPr>
                <w:rFonts w:ascii="Arial" w:eastAsia="黑体" w:hAnsi="Arial" w:cs="Arial"/>
                <w:sz w:val="16"/>
                <w:szCs w:val="16"/>
              </w:rPr>
              <w:t>(</w:t>
            </w:r>
            <w:r>
              <w:rPr>
                <w:rFonts w:ascii="Arial" w:eastAsia="黑体" w:hAnsi="Arial" w:cs="Arial"/>
                <w:sz w:val="16"/>
                <w:szCs w:val="16"/>
              </w:rPr>
              <w:t>厦门）房地产股份有限</w:t>
            </w:r>
          </w:p>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公司</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52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厦门</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93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人民币</w:t>
            </w:r>
            <w:r>
              <w:rPr>
                <w:rFonts w:ascii="Arial" w:eastAsia="黑体" w:hAnsi="Arial" w:cs="Arial"/>
                <w:sz w:val="16"/>
                <w:szCs w:val="16"/>
              </w:rPr>
              <w:t>100,000</w:t>
            </w:r>
            <w:r>
              <w:rPr>
                <w:rFonts w:ascii="Arial" w:eastAsia="黑体" w:hAnsi="Arial" w:cs="Arial"/>
                <w:sz w:val="16"/>
                <w:szCs w:val="16"/>
              </w:rPr>
              <w:t>万元</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69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企业</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87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见表后说明</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87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吴泉水</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bl>
    <w:p w:rsidR="00AD5BB5" w:rsidRDefault="00AD5BB5">
      <w:pPr>
        <w:pStyle w:val="aff2"/>
        <w:overflowPunct w:val="0"/>
        <w:autoSpaceDE w:val="0"/>
        <w:autoSpaceDN w:val="0"/>
        <w:snapToGrid w:val="0"/>
        <w:ind w:left="1438"/>
        <w:rPr>
          <w:rFonts w:ascii="Arial" w:eastAsia="黑体" w:hAnsi="Arial" w:cs="Arial"/>
        </w:rPr>
      </w:pPr>
    </w:p>
    <w:tbl>
      <w:tblPr>
        <w:tblW w:w="0" w:type="auto"/>
        <w:tblLayout w:type="fixed"/>
        <w:tblCellMar>
          <w:left w:w="0" w:type="dxa"/>
          <w:right w:w="0" w:type="dxa"/>
        </w:tblCellMar>
        <w:tblLook w:val="04A0" w:firstRow="1" w:lastRow="0" w:firstColumn="1" w:lastColumn="0" w:noHBand="0" w:noVBand="1"/>
        <w:tblCaption w:val="a8c1aafb-8514-4308-8df6-a5667e1225d2"/>
        <w:tblDescription w:val="{&quot;UUID&quot;:&quot;afsaddin_tabledata_2_56437_a8c1aafb-8514-4308-8df6-a5667e1225d2&quot;,&quot;TitleRowCount&quot;:2,&quot;SplitedTable&quot;:false,&quot;FirstTableId&quot;:&quot;a8c1aafb-8514-4308-8df6-a5667e1225d2&quot;}"/>
      </w:tblPr>
      <w:tblGrid>
        <w:gridCol w:w="2679"/>
        <w:gridCol w:w="103"/>
        <w:gridCol w:w="1143"/>
        <w:gridCol w:w="104"/>
        <w:gridCol w:w="104"/>
        <w:gridCol w:w="658"/>
        <w:gridCol w:w="104"/>
        <w:gridCol w:w="104"/>
        <w:gridCol w:w="1143"/>
        <w:gridCol w:w="104"/>
        <w:gridCol w:w="104"/>
        <w:gridCol w:w="658"/>
        <w:gridCol w:w="104"/>
        <w:gridCol w:w="104"/>
        <w:gridCol w:w="1106"/>
        <w:gridCol w:w="104"/>
      </w:tblGrid>
      <w:tr w:rsidR="00AD5BB5">
        <w:tc>
          <w:tcPr>
            <w:tcW w:w="2679"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关联方名称</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009" w:type="dxa"/>
            <w:gridSpan w:val="4"/>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fldChar w:fldCharType="begin"/>
            </w:r>
            <w:r>
              <w:rPr>
                <w:rFonts w:ascii="Arial" w:eastAsia="黑体" w:hAnsi="Arial" w:cs="Arial"/>
                <w:sz w:val="16"/>
                <w:szCs w:val="16"/>
              </w:rPr>
              <w:instrText xml:space="preserve"> DOCPROPERTY </w:instrText>
            </w:r>
            <w:r>
              <w:rPr>
                <w:rFonts w:ascii="Arial" w:eastAsia="黑体" w:hAnsi="Arial" w:cs="Arial"/>
                <w:sz w:val="16"/>
                <w:szCs w:val="16"/>
              </w:rPr>
              <w:instrText>当期资产负债表日</w:instrText>
            </w:r>
            <w:r>
              <w:rPr>
                <w:rFonts w:ascii="Arial" w:eastAsia="黑体" w:hAnsi="Arial" w:cs="Arial"/>
                <w:sz w:val="16"/>
                <w:szCs w:val="16"/>
              </w:rPr>
              <w:instrText xml:space="preserve"> </w:instrText>
            </w:r>
            <w:r>
              <w:rPr>
                <w:rFonts w:ascii="Arial" w:eastAsia="黑体" w:hAnsi="Arial" w:cs="Arial"/>
                <w:sz w:val="16"/>
                <w:szCs w:val="16"/>
              </w:rPr>
              <w:fldChar w:fldCharType="separate"/>
            </w:r>
            <w:r>
              <w:rPr>
                <w:rFonts w:ascii="Arial" w:eastAsia="黑体" w:hAnsi="Arial" w:cs="Arial"/>
                <w:sz w:val="16"/>
                <w:szCs w:val="16"/>
              </w:rPr>
              <w:t>2023</w:t>
            </w:r>
            <w:r>
              <w:rPr>
                <w:rFonts w:ascii="Arial" w:eastAsia="黑体" w:hAnsi="Arial" w:cs="Arial"/>
                <w:sz w:val="16"/>
                <w:szCs w:val="16"/>
              </w:rPr>
              <w:t>年</w:t>
            </w:r>
            <w:r>
              <w:rPr>
                <w:rFonts w:ascii="Arial" w:eastAsia="黑体" w:hAnsi="Arial" w:cs="Arial"/>
                <w:sz w:val="16"/>
                <w:szCs w:val="16"/>
              </w:rPr>
              <w:t>6</w:t>
            </w:r>
            <w:r>
              <w:rPr>
                <w:rFonts w:ascii="Arial" w:eastAsia="黑体" w:hAnsi="Arial" w:cs="Arial"/>
                <w:sz w:val="16"/>
                <w:szCs w:val="16"/>
              </w:rPr>
              <w:t>月</w:t>
            </w:r>
            <w:r>
              <w:rPr>
                <w:rFonts w:ascii="Arial" w:eastAsia="黑体" w:hAnsi="Arial" w:cs="Arial"/>
                <w:sz w:val="16"/>
                <w:szCs w:val="16"/>
              </w:rPr>
              <w:t>30</w:t>
            </w:r>
            <w:r>
              <w:rPr>
                <w:rFonts w:ascii="Arial" w:eastAsia="黑体" w:hAnsi="Arial" w:cs="Arial"/>
                <w:sz w:val="16"/>
                <w:szCs w:val="16"/>
              </w:rPr>
              <w:t>日</w:t>
            </w:r>
            <w:r>
              <w:rPr>
                <w:rFonts w:ascii="Arial" w:eastAsia="黑体" w:hAnsi="Arial" w:cs="Arial"/>
                <w:sz w:val="16"/>
                <w:szCs w:val="16"/>
              </w:rPr>
              <w:fldChar w:fldCharType="end"/>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009" w:type="dxa"/>
            <w:gridSpan w:val="4"/>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2022</w:t>
            </w:r>
            <w:r>
              <w:rPr>
                <w:rFonts w:ascii="Arial" w:eastAsia="黑体" w:hAnsi="Arial" w:cs="Arial"/>
                <w:sz w:val="16"/>
                <w:szCs w:val="16"/>
              </w:rPr>
              <w:t>年</w:t>
            </w:r>
            <w:r>
              <w:rPr>
                <w:rFonts w:ascii="Arial" w:eastAsia="黑体" w:hAnsi="Arial" w:cs="Arial"/>
                <w:sz w:val="16"/>
                <w:szCs w:val="16"/>
              </w:rPr>
              <w:t>12</w:t>
            </w:r>
            <w:r>
              <w:rPr>
                <w:rFonts w:ascii="Arial" w:eastAsia="黑体" w:hAnsi="Arial" w:cs="Arial"/>
                <w:sz w:val="16"/>
                <w:szCs w:val="16"/>
              </w:rPr>
              <w:t>月</w:t>
            </w:r>
            <w:r>
              <w:rPr>
                <w:rFonts w:ascii="Arial" w:eastAsia="黑体" w:hAnsi="Arial" w:cs="Arial"/>
                <w:sz w:val="16"/>
                <w:szCs w:val="16"/>
              </w:rPr>
              <w:t>31</w:t>
            </w:r>
            <w:r>
              <w:rPr>
                <w:rFonts w:ascii="Arial" w:eastAsia="黑体" w:hAnsi="Arial" w:cs="Arial"/>
                <w:sz w:val="16"/>
                <w:szCs w:val="16"/>
              </w:rPr>
              <w:t>日</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两期</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679"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43"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持股数</w:t>
            </w:r>
          </w:p>
        </w:tc>
        <w:tc>
          <w:tcPr>
            <w:tcW w:w="10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658"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持股比例</w:t>
            </w:r>
          </w:p>
        </w:tc>
        <w:tc>
          <w:tcPr>
            <w:tcW w:w="1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43"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持股数</w:t>
            </w:r>
          </w:p>
        </w:tc>
        <w:tc>
          <w:tcPr>
            <w:tcW w:w="10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658"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持股比例</w:t>
            </w:r>
          </w:p>
        </w:tc>
        <w:tc>
          <w:tcPr>
            <w:tcW w:w="1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6"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持股数变动</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679"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厦门国有资本资产管理有限公司</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4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118,500,000.00</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65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4.49%</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4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118,500,000.00</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65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4.49%</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679"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proofErr w:type="gramStart"/>
            <w:r>
              <w:rPr>
                <w:rFonts w:ascii="Arial" w:eastAsia="黑体" w:hAnsi="Arial" w:cs="Arial"/>
                <w:sz w:val="16"/>
                <w:szCs w:val="16"/>
              </w:rPr>
              <w:t>泉舜集团</w:t>
            </w:r>
            <w:proofErr w:type="gramEnd"/>
            <w:r>
              <w:rPr>
                <w:rFonts w:ascii="Arial" w:eastAsia="黑体" w:hAnsi="Arial" w:cs="Arial"/>
                <w:sz w:val="16"/>
                <w:szCs w:val="16"/>
              </w:rPr>
              <w:t>（厦门）房地产股份有限</w:t>
            </w:r>
          </w:p>
          <w:p w:rsidR="00AD5BB5" w:rsidRDefault="00F87FF6">
            <w:pPr>
              <w:autoSpaceDE w:val="0"/>
              <w:autoSpaceDN w:val="0"/>
              <w:ind w:leftChars="64" w:left="294" w:hangingChars="100" w:hanging="160"/>
              <w:rPr>
                <w:rFonts w:ascii="Arial" w:eastAsia="黑体" w:hAnsi="Arial" w:cs="Arial"/>
                <w:sz w:val="16"/>
                <w:szCs w:val="16"/>
              </w:rPr>
            </w:pPr>
            <w:r>
              <w:rPr>
                <w:rFonts w:ascii="Arial" w:eastAsia="黑体" w:hAnsi="Arial" w:cs="Arial"/>
                <w:sz w:val="16"/>
                <w:szCs w:val="16"/>
              </w:rPr>
              <w:t>公司</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4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92,537,608.00</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65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3.51%</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4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92,537,608.00</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65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3.51%</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679"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佛山电器照明股份有限公司</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4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57,358,515.00</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65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2.17%</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4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57,358,515.00</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65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2.17%</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2679" w:type="dxa"/>
            <w:tcBorders>
              <w:top w:val="nil"/>
              <w:left w:val="nil"/>
              <w:bottom w:val="nil"/>
              <w:right w:val="nil"/>
            </w:tcBorders>
            <w:vAlign w:val="bottom"/>
          </w:tcPr>
          <w:p w:rsidR="00AD5BB5" w:rsidRDefault="00F87FF6">
            <w:pPr>
              <w:autoSpaceDE w:val="0"/>
              <w:autoSpaceDN w:val="0"/>
              <w:ind w:left="160" w:hangingChars="100" w:hanging="160"/>
              <w:rPr>
                <w:rFonts w:ascii="Arial" w:eastAsia="黑体" w:hAnsi="Arial" w:cs="Arial"/>
                <w:sz w:val="16"/>
                <w:szCs w:val="16"/>
              </w:rPr>
            </w:pPr>
            <w:r>
              <w:rPr>
                <w:rFonts w:ascii="Arial" w:eastAsia="黑体" w:hAnsi="Arial" w:cs="Arial"/>
                <w:sz w:val="16"/>
                <w:szCs w:val="16"/>
              </w:rPr>
              <w:t>大洲控股集团有限公司</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4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hint="eastAsia"/>
                <w:sz w:val="16"/>
                <w:szCs w:val="16"/>
              </w:rPr>
              <w:t>35,861,438.00</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65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1.36%</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4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52,786,959.00</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65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2.00%</w:t>
            </w: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10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(16,925,521.00</w:t>
            </w:r>
          </w:p>
        </w:tc>
        <w:tc>
          <w:tcPr>
            <w:tcW w:w="104"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hint="eastAsia"/>
                <w:sz w:val="16"/>
                <w:szCs w:val="16"/>
              </w:rPr>
              <w:t>)</w:t>
            </w:r>
          </w:p>
        </w:tc>
      </w:tr>
    </w:tbl>
    <w:p w:rsidR="00AD5BB5" w:rsidRDefault="00F87FF6">
      <w:pPr>
        <w:rPr>
          <w:rFonts w:ascii="Arial" w:eastAsia="黑体" w:hAnsi="Arial" w:cs="Arial"/>
        </w:rPr>
      </w:pPr>
      <w:r>
        <w:rPr>
          <w:rFonts w:ascii="Arial" w:eastAsia="黑体" w:hAnsi="Arial" w:cs="Arial"/>
        </w:rPr>
        <w:br w:type="page"/>
      </w:r>
    </w:p>
    <w:p w:rsidR="00AD5BB5" w:rsidRDefault="00AD5BB5">
      <w:pPr>
        <w:overflowPunct w:val="0"/>
        <w:autoSpaceDE w:val="0"/>
        <w:autoSpaceDN w:val="0"/>
        <w:adjustRightInd w:val="0"/>
        <w:snapToGrid w:val="0"/>
        <w:ind w:hanging="720"/>
        <w:rPr>
          <w:rFonts w:ascii="Arial" w:eastAsia="黑体" w:hAnsi="Arial" w:cs="Arial"/>
        </w:rPr>
      </w:pPr>
    </w:p>
    <w:p w:rsidR="00AD5BB5" w:rsidRDefault="00AD5BB5">
      <w:pPr>
        <w:overflowPunct w:val="0"/>
        <w:autoSpaceDE w:val="0"/>
        <w:autoSpaceDN w:val="0"/>
        <w:adjustRightInd w:val="0"/>
        <w:snapToGrid w:val="0"/>
        <w:ind w:hanging="720"/>
        <w:rPr>
          <w:rFonts w:ascii="Arial" w:eastAsia="黑体" w:hAnsi="Arial" w:cs="Arial"/>
        </w:rPr>
      </w:pPr>
    </w:p>
    <w:p w:rsidR="00AD5BB5" w:rsidRDefault="00F87FF6">
      <w:pPr>
        <w:overflowPunct w:val="0"/>
        <w:autoSpaceDE w:val="0"/>
        <w:autoSpaceDN w:val="0"/>
        <w:adjustRightInd w:val="0"/>
        <w:snapToGrid w:val="0"/>
        <w:rPr>
          <w:rFonts w:ascii="Arial" w:eastAsia="黑体" w:hAnsi="Arial" w:cs="Arial"/>
          <w:b/>
        </w:rPr>
      </w:pPr>
      <w:bookmarkStart w:id="512" w:name="afsaddin_WithXu_38f70877a0054c089e358223"/>
      <w:r>
        <w:rPr>
          <w:rFonts w:ascii="Arial" w:eastAsia="黑体" w:hAnsi="Arial" w:cs="Arial"/>
          <w:b/>
        </w:rPr>
        <w:t>九、</w:t>
      </w:r>
      <w:r>
        <w:rPr>
          <w:rFonts w:ascii="Arial" w:eastAsia="黑体" w:hAnsi="Arial" w:cs="Arial"/>
          <w:b/>
        </w:rPr>
        <w:tab/>
      </w:r>
      <w:r>
        <w:rPr>
          <w:rFonts w:ascii="Arial" w:eastAsia="黑体" w:hAnsi="Arial" w:cs="Arial"/>
          <w:b/>
        </w:rPr>
        <w:t>关联方关系及其交易（续）</w:t>
      </w:r>
      <w:bookmarkEnd w:id="512"/>
    </w:p>
    <w:p w:rsidR="00AD5BB5" w:rsidRDefault="00AD5BB5">
      <w:pPr>
        <w:overflowPunct w:val="0"/>
        <w:autoSpaceDE w:val="0"/>
        <w:autoSpaceDN w:val="0"/>
        <w:adjustRightInd w:val="0"/>
        <w:snapToGrid w:val="0"/>
        <w:ind w:hanging="720"/>
        <w:rPr>
          <w:rFonts w:ascii="Arial" w:eastAsia="黑体" w:hAnsi="Arial" w:cs="Arial"/>
        </w:rPr>
      </w:pPr>
    </w:p>
    <w:p w:rsidR="00AD5BB5" w:rsidRDefault="00F87FF6">
      <w:pPr>
        <w:overflowPunct w:val="0"/>
        <w:autoSpaceDE w:val="0"/>
        <w:autoSpaceDN w:val="0"/>
        <w:adjustRightInd w:val="0"/>
        <w:snapToGrid w:val="0"/>
        <w:ind w:left="720" w:hanging="720"/>
        <w:rPr>
          <w:rFonts w:ascii="Arial" w:eastAsia="黑体" w:hAnsi="Arial" w:cs="Arial"/>
          <w:b/>
        </w:rPr>
      </w:pPr>
      <w:bookmarkStart w:id="513" w:name="afsaddin_WithXu_5dfbb9bc14ec434b9d9647c1"/>
      <w:r>
        <w:rPr>
          <w:rFonts w:ascii="Arial" w:eastAsia="黑体" w:hAnsi="Arial" w:cs="Arial"/>
          <w:b/>
        </w:rPr>
        <w:t>1.</w:t>
      </w:r>
      <w:r>
        <w:rPr>
          <w:rFonts w:ascii="Arial" w:eastAsia="黑体" w:hAnsi="Arial" w:cs="Arial"/>
          <w:b/>
        </w:rPr>
        <w:tab/>
      </w:r>
      <w:r>
        <w:rPr>
          <w:rFonts w:ascii="Arial" w:eastAsia="黑体" w:hAnsi="Arial" w:cs="Arial"/>
          <w:b/>
        </w:rPr>
        <w:t>关联方的认定标准（续）</w:t>
      </w:r>
      <w:bookmarkEnd w:id="513"/>
    </w:p>
    <w:p w:rsidR="00AD5BB5" w:rsidRDefault="00AD5BB5">
      <w:pPr>
        <w:overflowPunct w:val="0"/>
        <w:autoSpaceDE w:val="0"/>
        <w:autoSpaceDN w:val="0"/>
        <w:adjustRightInd w:val="0"/>
        <w:snapToGrid w:val="0"/>
        <w:ind w:hanging="720"/>
        <w:rPr>
          <w:rFonts w:ascii="Arial" w:eastAsia="黑体" w:hAnsi="Arial" w:cs="Arial"/>
        </w:rPr>
      </w:pPr>
    </w:p>
    <w:p w:rsidR="00AD5BB5" w:rsidRDefault="00F87FF6">
      <w:pPr>
        <w:overflowPunct w:val="0"/>
        <w:autoSpaceDE w:val="0"/>
        <w:autoSpaceDN w:val="0"/>
        <w:adjustRightInd w:val="0"/>
        <w:snapToGrid w:val="0"/>
        <w:ind w:left="720" w:hanging="720"/>
        <w:rPr>
          <w:rFonts w:ascii="Arial" w:eastAsia="黑体" w:hAnsi="Arial" w:cs="Arial"/>
          <w:snapToGrid w:val="0"/>
          <w:szCs w:val="21"/>
        </w:rPr>
      </w:pPr>
      <w:bookmarkStart w:id="514" w:name="afsaddin_WithXu_375a9484f2d149f6b24b6445"/>
      <w:bookmarkStart w:id="515" w:name="afsaddin_WithXu_191fee8b0b774cadb484dee4"/>
      <w:bookmarkEnd w:id="514"/>
      <w:bookmarkEnd w:id="515"/>
      <w:r>
        <w:rPr>
          <w:rFonts w:ascii="Arial" w:eastAsia="黑体" w:hAnsi="Arial" w:cs="Arial"/>
          <w:snapToGrid w:val="0"/>
          <w:szCs w:val="21"/>
        </w:rPr>
        <w:t>(7)</w:t>
      </w:r>
      <w:r>
        <w:rPr>
          <w:rFonts w:ascii="Arial" w:eastAsia="黑体" w:hAnsi="Arial" w:cs="Arial"/>
          <w:snapToGrid w:val="0"/>
          <w:szCs w:val="21"/>
        </w:rPr>
        <w:tab/>
      </w:r>
      <w:r>
        <w:rPr>
          <w:rFonts w:ascii="Arial" w:eastAsia="黑体" w:hAnsi="Arial" w:cs="Arial"/>
          <w:snapToGrid w:val="0"/>
          <w:szCs w:val="21"/>
        </w:rPr>
        <w:t>持有本行</w:t>
      </w:r>
      <w:r>
        <w:rPr>
          <w:rFonts w:ascii="Arial" w:eastAsia="黑体" w:hAnsi="Arial" w:cs="Arial"/>
          <w:snapToGrid w:val="0"/>
          <w:szCs w:val="21"/>
        </w:rPr>
        <w:t>5%</w:t>
      </w:r>
      <w:r>
        <w:rPr>
          <w:rFonts w:ascii="Arial" w:eastAsia="黑体" w:hAnsi="Arial" w:cs="Arial"/>
          <w:snapToGrid w:val="0"/>
          <w:szCs w:val="21"/>
        </w:rPr>
        <w:t>及</w:t>
      </w:r>
      <w:r>
        <w:rPr>
          <w:rFonts w:ascii="Arial" w:eastAsia="黑体" w:hAnsi="Arial" w:cs="Arial"/>
          <w:snapToGrid w:val="0"/>
          <w:szCs w:val="21"/>
        </w:rPr>
        <w:t>5%</w:t>
      </w:r>
      <w:r>
        <w:rPr>
          <w:rFonts w:ascii="Arial" w:eastAsia="黑体" w:hAnsi="Arial" w:cs="Arial"/>
          <w:snapToGrid w:val="0"/>
          <w:szCs w:val="21"/>
        </w:rPr>
        <w:t>以上股份的股东主营业务如下：</w:t>
      </w:r>
    </w:p>
    <w:p w:rsidR="00AD5BB5" w:rsidRDefault="00AD5BB5">
      <w:pPr>
        <w:overflowPunct w:val="0"/>
        <w:autoSpaceDE w:val="0"/>
        <w:autoSpaceDN w:val="0"/>
        <w:rPr>
          <w:rFonts w:ascii="Arial" w:eastAsia="黑体" w:hAnsi="Arial" w:cs="Arial"/>
        </w:rPr>
      </w:pPr>
    </w:p>
    <w:p w:rsidR="00AD5BB5" w:rsidRDefault="00F87FF6">
      <w:pPr>
        <w:pStyle w:val="aff2"/>
        <w:widowControl/>
        <w:numPr>
          <w:ilvl w:val="0"/>
          <w:numId w:val="40"/>
        </w:numPr>
        <w:overflowPunct w:val="0"/>
        <w:autoSpaceDE w:val="0"/>
        <w:autoSpaceDN w:val="0"/>
        <w:adjustRightInd w:val="0"/>
        <w:snapToGrid w:val="0"/>
        <w:ind w:left="714" w:firstLineChars="0" w:hanging="672"/>
        <w:contextualSpacing/>
        <w:rPr>
          <w:rFonts w:ascii="Arial" w:eastAsia="黑体" w:hAnsi="Arial" w:cs="Arial"/>
          <w:snapToGrid w:val="0"/>
          <w:szCs w:val="21"/>
        </w:rPr>
      </w:pPr>
      <w:r>
        <w:rPr>
          <w:rFonts w:ascii="Arial" w:eastAsia="黑体" w:hAnsi="Arial" w:cs="Arial" w:hint="eastAsia"/>
          <w:snapToGrid w:val="0"/>
          <w:szCs w:val="21"/>
        </w:rPr>
        <w:t>厦门金圆投资集团有限公司：对金融、工业、文化、服务、信息等行业的投资与运营；产业投资、股权投资的管理与运营；土地综合开发与运营、房地产开发经营；其他法律、法规规定未禁止或规定需经审批的项目</w:t>
      </w:r>
      <w:r>
        <w:rPr>
          <w:rFonts w:ascii="Arial" w:eastAsia="黑体" w:hAnsi="Arial" w:cs="Arial" w:hint="eastAsia"/>
          <w:snapToGrid w:val="0"/>
          <w:szCs w:val="21"/>
        </w:rPr>
        <w:t>,</w:t>
      </w:r>
      <w:r>
        <w:rPr>
          <w:rFonts w:ascii="Arial" w:eastAsia="黑体" w:hAnsi="Arial" w:cs="Arial" w:hint="eastAsia"/>
          <w:snapToGrid w:val="0"/>
          <w:szCs w:val="21"/>
        </w:rPr>
        <w:t>自主选择经营项目</w:t>
      </w:r>
      <w:r>
        <w:rPr>
          <w:rFonts w:ascii="Arial" w:eastAsia="黑体" w:hAnsi="Arial" w:cs="Arial" w:hint="eastAsia"/>
          <w:snapToGrid w:val="0"/>
          <w:szCs w:val="21"/>
        </w:rPr>
        <w:t>,</w:t>
      </w:r>
      <w:r>
        <w:rPr>
          <w:rFonts w:ascii="Arial" w:eastAsia="黑体" w:hAnsi="Arial" w:cs="Arial" w:hint="eastAsia"/>
          <w:snapToGrid w:val="0"/>
          <w:szCs w:val="21"/>
        </w:rPr>
        <w:t>开展经营活动。（法律法规规定必须办理审批许可才能从事的经营项目</w:t>
      </w:r>
      <w:r>
        <w:rPr>
          <w:rFonts w:ascii="Arial" w:eastAsia="黑体" w:hAnsi="Arial" w:cs="Arial" w:hint="eastAsia"/>
          <w:snapToGrid w:val="0"/>
          <w:szCs w:val="21"/>
        </w:rPr>
        <w:t>,</w:t>
      </w:r>
      <w:r>
        <w:rPr>
          <w:rFonts w:ascii="Arial" w:eastAsia="黑体" w:hAnsi="Arial" w:cs="Arial" w:hint="eastAsia"/>
          <w:snapToGrid w:val="0"/>
          <w:szCs w:val="21"/>
        </w:rPr>
        <w:t>必须在取得审批许可证明后方能营业。</w:t>
      </w:r>
      <w:r>
        <w:rPr>
          <w:rFonts w:ascii="Arial" w:eastAsia="黑体" w:hAnsi="Arial" w:cs="Arial"/>
          <w:snapToGrid w:val="0"/>
          <w:szCs w:val="21"/>
        </w:rPr>
        <w:t>）</w:t>
      </w:r>
    </w:p>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pStyle w:val="aff2"/>
        <w:widowControl/>
        <w:numPr>
          <w:ilvl w:val="0"/>
          <w:numId w:val="40"/>
        </w:numPr>
        <w:overflowPunct w:val="0"/>
        <w:autoSpaceDE w:val="0"/>
        <w:autoSpaceDN w:val="0"/>
        <w:adjustRightInd w:val="0"/>
        <w:snapToGrid w:val="0"/>
        <w:ind w:left="714" w:firstLineChars="0" w:hanging="672"/>
        <w:contextualSpacing/>
        <w:rPr>
          <w:rFonts w:ascii="Arial" w:eastAsia="黑体" w:hAnsi="Arial" w:cs="Arial"/>
          <w:snapToGrid w:val="0"/>
          <w:szCs w:val="21"/>
        </w:rPr>
      </w:pPr>
      <w:r>
        <w:rPr>
          <w:rFonts w:ascii="Arial" w:eastAsia="黑体" w:hAnsi="Arial" w:cs="Arial" w:hint="eastAsia"/>
          <w:snapToGrid w:val="0"/>
          <w:szCs w:val="21"/>
        </w:rPr>
        <w:t>富邦金融控股股份有限公司：为金融控股公司，投资业务包括：保险业、银行业、证券业、期货业、创业投资事业，及其他经主管机关核准投资</w:t>
      </w:r>
      <w:proofErr w:type="gramStart"/>
      <w:r>
        <w:rPr>
          <w:rFonts w:ascii="Arial" w:eastAsia="黑体" w:hAnsi="Arial" w:cs="Arial" w:hint="eastAsia"/>
          <w:snapToGrid w:val="0"/>
          <w:szCs w:val="21"/>
        </w:rPr>
        <w:t>之金融</w:t>
      </w:r>
      <w:proofErr w:type="gramEnd"/>
      <w:r>
        <w:rPr>
          <w:rFonts w:ascii="Arial" w:eastAsia="黑体" w:hAnsi="Arial" w:cs="Arial" w:hint="eastAsia"/>
          <w:snapToGrid w:val="0"/>
          <w:szCs w:val="21"/>
        </w:rPr>
        <w:t>机构或事业投资</w:t>
      </w:r>
      <w:r>
        <w:rPr>
          <w:rFonts w:ascii="Arial" w:eastAsia="黑体" w:hAnsi="Arial" w:cs="Arial"/>
          <w:snapToGrid w:val="0"/>
          <w:szCs w:val="21"/>
        </w:rPr>
        <w:t>。</w:t>
      </w:r>
    </w:p>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pStyle w:val="aff2"/>
        <w:widowControl/>
        <w:numPr>
          <w:ilvl w:val="0"/>
          <w:numId w:val="40"/>
        </w:numPr>
        <w:overflowPunct w:val="0"/>
        <w:autoSpaceDE w:val="0"/>
        <w:autoSpaceDN w:val="0"/>
        <w:adjustRightInd w:val="0"/>
        <w:snapToGrid w:val="0"/>
        <w:ind w:left="714" w:firstLineChars="0" w:hanging="644"/>
        <w:contextualSpacing/>
        <w:rPr>
          <w:rFonts w:ascii="Arial" w:eastAsia="黑体" w:hAnsi="Arial" w:cs="Arial"/>
          <w:snapToGrid w:val="0"/>
          <w:szCs w:val="21"/>
        </w:rPr>
      </w:pPr>
      <w:r>
        <w:rPr>
          <w:rFonts w:ascii="Arial" w:eastAsia="黑体" w:hAnsi="Arial" w:cs="Arial" w:hint="eastAsia"/>
          <w:snapToGrid w:val="0"/>
          <w:szCs w:val="21"/>
        </w:rPr>
        <w:t>北京盛达兴业房地产开发有限公司：房地产开发；销售商品房；出租商业用房。（企业依法自主选择经营项目，开展经营活动；依法须经批准的项目，经相关部门批准后依批准的内容开展经营活动；不得从事本区产业政策禁止和限制类项目的经营活动。</w:t>
      </w:r>
      <w:r>
        <w:rPr>
          <w:rFonts w:ascii="Arial" w:eastAsia="黑体" w:hAnsi="Arial" w:cs="Arial"/>
          <w:snapToGrid w:val="0"/>
          <w:szCs w:val="21"/>
        </w:rPr>
        <w:t>）</w:t>
      </w:r>
    </w:p>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pStyle w:val="aff2"/>
        <w:widowControl/>
        <w:numPr>
          <w:ilvl w:val="0"/>
          <w:numId w:val="40"/>
        </w:numPr>
        <w:overflowPunct w:val="0"/>
        <w:autoSpaceDE w:val="0"/>
        <w:autoSpaceDN w:val="0"/>
        <w:adjustRightInd w:val="0"/>
        <w:snapToGrid w:val="0"/>
        <w:ind w:left="728" w:firstLineChars="0" w:hanging="672"/>
        <w:contextualSpacing/>
        <w:rPr>
          <w:rFonts w:ascii="Arial" w:eastAsia="黑体" w:hAnsi="Arial" w:cs="Arial"/>
          <w:snapToGrid w:val="0"/>
          <w:szCs w:val="21"/>
        </w:rPr>
      </w:pPr>
      <w:r>
        <w:rPr>
          <w:rFonts w:ascii="Arial" w:eastAsia="黑体" w:hAnsi="Arial" w:cs="Arial" w:hint="eastAsia"/>
          <w:snapToGrid w:val="0"/>
          <w:szCs w:val="21"/>
        </w:rPr>
        <w:t>福建七匹狼集团有限公司：对外投资（国家法律、法规允许的行业及项目的投资）；资产管理；物业管理；供应链管理服务；国内贸易代理服务；实物贵金属销售（不含期货等需经前置许可的项目）；国际货物运输代理；国内货物运输代理；农业机械租赁；建筑工程机械与设备租赁；信息技术咨询服务；批发：纺织品、针织品及原料、服装、鞋帽、五金产品、日用杂品、建材（不含石材及危险化学品）、金属及金属矿（不含危险化学品和监控化学品）、非金属矿及制品（不含危险化学品和监控化学品、不含石材）、化工产品（不含危险化学品和监控化学品）、棉花、麻类、农牧产品（不含禽类）。（依法须经批准的项目，相关部门批准后方可开展经营活动</w:t>
      </w:r>
      <w:r>
        <w:rPr>
          <w:rFonts w:ascii="Arial" w:eastAsia="黑体" w:hAnsi="Arial" w:cs="Arial"/>
          <w:snapToGrid w:val="0"/>
          <w:szCs w:val="21"/>
        </w:rPr>
        <w:t>）。</w:t>
      </w:r>
    </w:p>
    <w:p w:rsidR="00AD5BB5" w:rsidRDefault="00AD5BB5">
      <w:pPr>
        <w:overflowPunct w:val="0"/>
        <w:autoSpaceDE w:val="0"/>
        <w:autoSpaceDN w:val="0"/>
        <w:adjustRightInd w:val="0"/>
        <w:snapToGrid w:val="0"/>
        <w:rPr>
          <w:rFonts w:ascii="Arial" w:eastAsia="黑体" w:hAnsi="Arial" w:cs="Arial"/>
        </w:rPr>
      </w:pPr>
    </w:p>
    <w:p w:rsidR="00AD5BB5" w:rsidRDefault="00F87FF6">
      <w:pPr>
        <w:overflowPunct w:val="0"/>
        <w:autoSpaceDE w:val="0"/>
        <w:autoSpaceDN w:val="0"/>
        <w:adjustRightInd w:val="0"/>
        <w:snapToGrid w:val="0"/>
        <w:ind w:left="720" w:hanging="720"/>
        <w:rPr>
          <w:rFonts w:ascii="Arial" w:eastAsia="黑体" w:hAnsi="Arial" w:cs="Arial"/>
          <w:snapToGrid w:val="0"/>
          <w:szCs w:val="21"/>
        </w:rPr>
      </w:pPr>
      <w:r>
        <w:rPr>
          <w:rFonts w:ascii="Arial" w:eastAsia="黑体" w:hAnsi="Arial" w:cs="Arial"/>
          <w:snapToGrid w:val="0"/>
          <w:szCs w:val="21"/>
        </w:rPr>
        <w:t>(8)</w:t>
      </w:r>
      <w:r>
        <w:rPr>
          <w:rFonts w:ascii="Arial" w:eastAsia="黑体" w:hAnsi="Arial" w:cs="Arial"/>
          <w:snapToGrid w:val="0"/>
          <w:szCs w:val="21"/>
        </w:rPr>
        <w:tab/>
      </w:r>
      <w:r>
        <w:rPr>
          <w:rFonts w:ascii="Arial" w:eastAsia="黑体" w:hAnsi="Arial" w:cs="Arial"/>
          <w:snapToGrid w:val="0"/>
          <w:szCs w:val="21"/>
        </w:rPr>
        <w:t>持有资本总额或股份总额不足</w:t>
      </w:r>
      <w:r>
        <w:rPr>
          <w:rFonts w:ascii="Arial" w:eastAsia="黑体" w:hAnsi="Arial" w:cs="Arial"/>
          <w:snapToGrid w:val="0"/>
          <w:szCs w:val="21"/>
        </w:rPr>
        <w:t>5%</w:t>
      </w:r>
      <w:r>
        <w:rPr>
          <w:rFonts w:ascii="Arial" w:eastAsia="黑体" w:hAnsi="Arial" w:cs="Arial"/>
          <w:snapToGrid w:val="0"/>
          <w:szCs w:val="21"/>
        </w:rPr>
        <w:t>但对本行经营管理有重大影响（其中</w:t>
      </w:r>
      <w:r>
        <w:rPr>
          <w:rFonts w:ascii="Arial" w:eastAsia="黑体" w:hAnsi="Arial" w:cs="Arial"/>
          <w:snapToGrid w:val="0"/>
          <w:szCs w:val="21"/>
        </w:rPr>
        <w:t>“</w:t>
      </w:r>
      <w:r>
        <w:rPr>
          <w:rFonts w:ascii="Arial" w:eastAsia="黑体" w:hAnsi="Arial" w:cs="Arial"/>
          <w:snapToGrid w:val="0"/>
          <w:szCs w:val="21"/>
        </w:rPr>
        <w:t>重大影响</w:t>
      </w:r>
      <w:r>
        <w:rPr>
          <w:rFonts w:ascii="Arial" w:eastAsia="黑体" w:hAnsi="Arial" w:cs="Arial"/>
          <w:snapToGrid w:val="0"/>
          <w:szCs w:val="21"/>
        </w:rPr>
        <w:t>”</w:t>
      </w:r>
      <w:r>
        <w:rPr>
          <w:rFonts w:ascii="Arial" w:eastAsia="黑体" w:hAnsi="Arial" w:cs="Arial"/>
          <w:snapToGrid w:val="0"/>
          <w:szCs w:val="21"/>
        </w:rPr>
        <w:t>包括但不限于向本行派驻董事、监事或高级管理人员，通过协议或其他方式影响本行的财务和经营管理决策的情形）的股东主营业务如下：</w:t>
      </w:r>
    </w:p>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pStyle w:val="aff2"/>
        <w:widowControl/>
        <w:numPr>
          <w:ilvl w:val="0"/>
          <w:numId w:val="41"/>
        </w:numPr>
        <w:overflowPunct w:val="0"/>
        <w:autoSpaceDE w:val="0"/>
        <w:autoSpaceDN w:val="0"/>
        <w:adjustRightInd w:val="0"/>
        <w:snapToGrid w:val="0"/>
        <w:ind w:left="714" w:firstLineChars="0" w:hanging="644"/>
        <w:contextualSpacing/>
        <w:rPr>
          <w:rFonts w:ascii="Arial" w:eastAsia="黑体" w:hAnsi="Arial" w:cs="Arial"/>
          <w:snapToGrid w:val="0"/>
          <w:szCs w:val="21"/>
        </w:rPr>
      </w:pPr>
      <w:r>
        <w:rPr>
          <w:rFonts w:ascii="Arial" w:eastAsia="黑体" w:hAnsi="Arial" w:cs="Arial" w:hint="eastAsia"/>
          <w:snapToGrid w:val="0"/>
          <w:szCs w:val="21"/>
        </w:rPr>
        <w:t>厦门国有资本资产管理有限公司：投资管理（法律、法规另有规定除外）；资产管理（法律、法规另有规定除外）；社会经济咨询（不含金融业务咨询）；企业管理咨询；投资咨询（法律、法规另有规定除外）；经营各类商品和技术的进出口（不另附进出口商品目录），但国家限定公司经营或禁止进出口的商品及技术除外</w:t>
      </w:r>
      <w:r>
        <w:rPr>
          <w:rFonts w:ascii="Arial" w:eastAsia="黑体" w:hAnsi="Arial" w:cs="Arial" w:hint="eastAsia"/>
          <w:snapToGrid w:val="0"/>
          <w:szCs w:val="21"/>
        </w:rPr>
        <w:t>;</w:t>
      </w:r>
      <w:r>
        <w:rPr>
          <w:rFonts w:ascii="Arial" w:eastAsia="黑体" w:hAnsi="Arial" w:cs="Arial" w:hint="eastAsia"/>
          <w:snapToGrid w:val="0"/>
          <w:szCs w:val="21"/>
        </w:rPr>
        <w:t>黄金现货销售</w:t>
      </w:r>
      <w:r>
        <w:rPr>
          <w:rFonts w:ascii="Arial" w:eastAsia="黑体" w:hAnsi="Arial" w:cs="Arial"/>
          <w:snapToGrid w:val="0"/>
          <w:szCs w:val="21"/>
        </w:rPr>
        <w:t>。</w:t>
      </w:r>
    </w:p>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pStyle w:val="aff2"/>
        <w:widowControl/>
        <w:numPr>
          <w:ilvl w:val="0"/>
          <w:numId w:val="41"/>
        </w:numPr>
        <w:overflowPunct w:val="0"/>
        <w:autoSpaceDE w:val="0"/>
        <w:autoSpaceDN w:val="0"/>
        <w:adjustRightInd w:val="0"/>
        <w:snapToGrid w:val="0"/>
        <w:ind w:left="700" w:firstLineChars="0" w:hanging="630"/>
        <w:contextualSpacing/>
        <w:rPr>
          <w:rFonts w:ascii="Arial" w:eastAsia="黑体" w:hAnsi="Arial" w:cs="Arial"/>
          <w:snapToGrid w:val="0"/>
          <w:szCs w:val="21"/>
        </w:rPr>
      </w:pPr>
      <w:proofErr w:type="gramStart"/>
      <w:r>
        <w:rPr>
          <w:rFonts w:ascii="Arial" w:eastAsia="黑体" w:hAnsi="Arial" w:cs="Arial"/>
          <w:snapToGrid w:val="0"/>
          <w:szCs w:val="21"/>
        </w:rPr>
        <w:t>泉舜集团</w:t>
      </w:r>
      <w:proofErr w:type="gramEnd"/>
      <w:r>
        <w:rPr>
          <w:rFonts w:ascii="Arial" w:eastAsia="黑体" w:hAnsi="Arial" w:cs="Arial"/>
          <w:snapToGrid w:val="0"/>
          <w:szCs w:val="21"/>
        </w:rPr>
        <w:t>（厦门）房地产股份有限公司：房地产开发、经营；物业管理。</w:t>
      </w:r>
      <w:r>
        <w:rPr>
          <w:rFonts w:ascii="Arial" w:eastAsia="黑体" w:hAnsi="Arial" w:cs="Arial"/>
          <w:snapToGrid w:val="0"/>
          <w:szCs w:val="21"/>
        </w:rPr>
        <w:br w:type="page"/>
      </w:r>
    </w:p>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overflowPunct w:val="0"/>
        <w:autoSpaceDE w:val="0"/>
        <w:autoSpaceDN w:val="0"/>
        <w:adjustRightInd w:val="0"/>
        <w:snapToGrid w:val="0"/>
        <w:rPr>
          <w:rFonts w:ascii="Arial" w:eastAsia="黑体" w:hAnsi="Arial" w:cs="Arial"/>
          <w:b/>
          <w:snapToGrid w:val="0"/>
          <w:szCs w:val="21"/>
        </w:rPr>
      </w:pPr>
      <w:bookmarkStart w:id="516" w:name="afsaddin_WithXu_df94c16301fb414bbcc41200"/>
      <w:r>
        <w:rPr>
          <w:rFonts w:ascii="Arial" w:eastAsia="黑体" w:hAnsi="Arial" w:cs="Arial"/>
          <w:b/>
          <w:snapToGrid w:val="0"/>
          <w:szCs w:val="21"/>
        </w:rPr>
        <w:t>九、</w:t>
      </w:r>
      <w:r>
        <w:rPr>
          <w:rFonts w:ascii="Arial" w:eastAsia="黑体" w:hAnsi="Arial" w:cs="Arial"/>
          <w:b/>
          <w:snapToGrid w:val="0"/>
          <w:szCs w:val="21"/>
        </w:rPr>
        <w:tab/>
      </w:r>
      <w:r>
        <w:rPr>
          <w:rFonts w:ascii="Arial" w:eastAsia="黑体" w:hAnsi="Arial" w:cs="Arial"/>
          <w:b/>
          <w:snapToGrid w:val="0"/>
          <w:szCs w:val="21"/>
        </w:rPr>
        <w:t>关联方关系及其交易（续）</w:t>
      </w:r>
      <w:bookmarkEnd w:id="516"/>
    </w:p>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overflowPunct w:val="0"/>
        <w:autoSpaceDE w:val="0"/>
        <w:autoSpaceDN w:val="0"/>
        <w:adjustRightInd w:val="0"/>
        <w:snapToGrid w:val="0"/>
        <w:ind w:left="720" w:hanging="720"/>
        <w:rPr>
          <w:rFonts w:ascii="Arial" w:eastAsia="黑体" w:hAnsi="Arial" w:cs="Arial"/>
          <w:b/>
          <w:snapToGrid w:val="0"/>
          <w:szCs w:val="21"/>
        </w:rPr>
      </w:pPr>
      <w:bookmarkStart w:id="517" w:name="afsaddin_WithXu_4f3e6b6e69594e4d9d04fa7a"/>
      <w:r>
        <w:rPr>
          <w:rFonts w:ascii="Arial" w:eastAsia="黑体" w:hAnsi="Arial" w:cs="Arial"/>
          <w:b/>
          <w:snapToGrid w:val="0"/>
          <w:szCs w:val="21"/>
        </w:rPr>
        <w:t>1.</w:t>
      </w:r>
      <w:r>
        <w:rPr>
          <w:rFonts w:ascii="Arial" w:eastAsia="黑体" w:hAnsi="Arial" w:cs="Arial"/>
          <w:b/>
          <w:snapToGrid w:val="0"/>
          <w:szCs w:val="21"/>
        </w:rPr>
        <w:tab/>
      </w:r>
      <w:r>
        <w:rPr>
          <w:rFonts w:ascii="Arial" w:eastAsia="黑体" w:hAnsi="Arial" w:cs="Arial"/>
          <w:b/>
          <w:snapToGrid w:val="0"/>
          <w:szCs w:val="21"/>
        </w:rPr>
        <w:t>关联方的认定标准（续）</w:t>
      </w:r>
      <w:bookmarkEnd w:id="517"/>
    </w:p>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pStyle w:val="aff2"/>
        <w:widowControl/>
        <w:numPr>
          <w:ilvl w:val="0"/>
          <w:numId w:val="41"/>
        </w:numPr>
        <w:overflowPunct w:val="0"/>
        <w:autoSpaceDE w:val="0"/>
        <w:autoSpaceDN w:val="0"/>
        <w:adjustRightInd w:val="0"/>
        <w:snapToGrid w:val="0"/>
        <w:ind w:leftChars="7" w:left="701" w:firstLineChars="0" w:hanging="686"/>
        <w:contextualSpacing/>
        <w:rPr>
          <w:rFonts w:ascii="Arial" w:eastAsia="黑体" w:hAnsi="Arial" w:cs="Arial"/>
          <w:snapToGrid w:val="0"/>
          <w:szCs w:val="21"/>
        </w:rPr>
      </w:pPr>
      <w:bookmarkStart w:id="518" w:name="afsaddin_WithXu_924f5ff0a1284553b3505146"/>
      <w:bookmarkStart w:id="519" w:name="afsaddin_WithXu_570f01bfdb2942c38ff558de"/>
      <w:bookmarkEnd w:id="518"/>
      <w:bookmarkEnd w:id="519"/>
      <w:r>
        <w:rPr>
          <w:rFonts w:ascii="Arial" w:eastAsia="黑体" w:hAnsi="Arial" w:cs="Arial"/>
          <w:snapToGrid w:val="0"/>
          <w:szCs w:val="21"/>
        </w:rPr>
        <w:t>佛山电器照明股份有限公司：</w:t>
      </w:r>
      <w:r>
        <w:rPr>
          <w:rFonts w:ascii="Arial" w:eastAsia="黑体" w:hAnsi="Arial" w:cs="Arial" w:hint="eastAsia"/>
          <w:snapToGrid w:val="0"/>
          <w:szCs w:val="21"/>
        </w:rPr>
        <w:t>研究、开发、生产电光源产品、电光源设备、电光源配套器件、电光源原材料、灯具及配件、电工材料、机动车配件、通讯器材、家用电器、智能家居产品、电器开关、插座、电线、电缆、弱电材料、线槽、线管、</w:t>
      </w:r>
      <w:r>
        <w:rPr>
          <w:rFonts w:ascii="Arial" w:eastAsia="黑体" w:hAnsi="Arial" w:cs="Arial" w:hint="eastAsia"/>
          <w:snapToGrid w:val="0"/>
          <w:szCs w:val="21"/>
        </w:rPr>
        <w:t>LED</w:t>
      </w:r>
      <w:r>
        <w:rPr>
          <w:rFonts w:ascii="Arial" w:eastAsia="黑体" w:hAnsi="Arial" w:cs="Arial" w:hint="eastAsia"/>
          <w:snapToGrid w:val="0"/>
          <w:szCs w:val="21"/>
        </w:rPr>
        <w:t>产品、锂离子电池及其材料、消防产品、通风及换气设备、给水及排水建筑装饰材料、水暖管道零件、卫浴洁具及配件、家用厨房电器具、家具、五金工具、五金器材、饮用水过滤器、空气净化器、装饰品、工艺礼品、日用百货，在国内外市场上销售上述产品；承接、设计、施工：城市及道路照明工程、亮化景观照明工程</w:t>
      </w:r>
      <w:r>
        <w:rPr>
          <w:rFonts w:ascii="Arial" w:eastAsia="黑体" w:hAnsi="Arial" w:cs="Arial" w:hint="eastAsia"/>
          <w:snapToGrid w:val="0"/>
          <w:szCs w:val="21"/>
        </w:rPr>
        <w:t>;</w:t>
      </w:r>
      <w:r>
        <w:rPr>
          <w:rFonts w:ascii="Arial" w:eastAsia="黑体" w:hAnsi="Arial" w:cs="Arial" w:hint="eastAsia"/>
          <w:snapToGrid w:val="0"/>
          <w:szCs w:val="21"/>
        </w:rPr>
        <w:t>照明电器安装服务；计算机软、硬件的开发、销售及维护；合同能源管理；有关的工程咨询服务。（涉及行业许可管理的按国家有关规定办理）（依法须经批准的项目</w:t>
      </w:r>
      <w:r>
        <w:rPr>
          <w:rFonts w:ascii="Arial" w:eastAsia="黑体" w:hAnsi="Arial" w:cs="Arial" w:hint="eastAsia"/>
          <w:snapToGrid w:val="0"/>
          <w:szCs w:val="21"/>
        </w:rPr>
        <w:t>,</w:t>
      </w:r>
      <w:r>
        <w:rPr>
          <w:rFonts w:ascii="Arial" w:eastAsia="黑体" w:hAnsi="Arial" w:cs="Arial" w:hint="eastAsia"/>
          <w:snapToGrid w:val="0"/>
          <w:szCs w:val="21"/>
        </w:rPr>
        <w:t>经相关部门批准后方可开展经营活动</w:t>
      </w:r>
      <w:r>
        <w:rPr>
          <w:rFonts w:ascii="Arial" w:eastAsia="黑体" w:hAnsi="Arial" w:cs="Arial"/>
          <w:snapToGrid w:val="0"/>
          <w:szCs w:val="21"/>
        </w:rPr>
        <w:t>。）</w:t>
      </w:r>
    </w:p>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pStyle w:val="aff2"/>
        <w:widowControl/>
        <w:numPr>
          <w:ilvl w:val="0"/>
          <w:numId w:val="41"/>
        </w:numPr>
        <w:overflowPunct w:val="0"/>
        <w:autoSpaceDE w:val="0"/>
        <w:autoSpaceDN w:val="0"/>
        <w:adjustRightInd w:val="0"/>
        <w:snapToGrid w:val="0"/>
        <w:ind w:left="728" w:firstLineChars="0" w:hanging="686"/>
        <w:contextualSpacing/>
        <w:rPr>
          <w:rFonts w:ascii="Arial" w:eastAsia="黑体" w:hAnsi="Arial" w:cs="Arial"/>
          <w:snapToGrid w:val="0"/>
          <w:szCs w:val="21"/>
        </w:rPr>
      </w:pPr>
      <w:r>
        <w:rPr>
          <w:rFonts w:ascii="Arial" w:eastAsia="黑体" w:hAnsi="Arial" w:cs="Arial"/>
          <w:snapToGrid w:val="0"/>
          <w:szCs w:val="21"/>
        </w:rPr>
        <w:t>大洲控股集团有限公司：</w:t>
      </w:r>
      <w:r>
        <w:rPr>
          <w:rFonts w:ascii="Arial" w:eastAsia="黑体" w:hAnsi="Arial" w:cs="Arial" w:hint="eastAsia"/>
          <w:snapToGrid w:val="0"/>
          <w:szCs w:val="21"/>
        </w:rPr>
        <w:t>以自有资金从事投资活动；自有资金投资的资产管理服务；信息咨询服务（不含许可类信息咨询服务）；物业管理；农村民间工艺及制品、休闲农业和乡村旅游资源的开发经营；金属材料销售；金属制品销售；金属矿石销售；矿山机械销售。（除依法须经批准的项目外，凭营业执照依法自主开展经营活动</w:t>
      </w:r>
      <w:r>
        <w:rPr>
          <w:rFonts w:ascii="Arial" w:eastAsia="黑体" w:hAnsi="Arial" w:cs="Arial"/>
          <w:snapToGrid w:val="0"/>
          <w:szCs w:val="21"/>
        </w:rPr>
        <w:t>）</w:t>
      </w:r>
    </w:p>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pStyle w:val="af5"/>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520" w:name="afsaddin_Section_e25afa9259ed4138b3ab1b2"/>
      <w:r>
        <w:rPr>
          <w:rFonts w:ascii="Arial" w:eastAsia="黑体" w:hAnsi="Arial" w:cs="Arial" w:hint="default"/>
          <w:bCs w:val="0"/>
          <w:snapToGrid w:val="0"/>
          <w:color w:val="auto"/>
          <w:sz w:val="21"/>
          <w:szCs w:val="21"/>
        </w:rPr>
        <w:t>2.</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本集团与关联方的主要交易</w:t>
      </w:r>
    </w:p>
    <w:bookmarkEnd w:id="520"/>
    <w:p w:rsidR="00AD5BB5" w:rsidRDefault="00AD5BB5">
      <w:pPr>
        <w:overflowPunct w:val="0"/>
        <w:autoSpaceDE w:val="0"/>
        <w:autoSpaceDN w:val="0"/>
        <w:adjustRightInd w:val="0"/>
        <w:snapToGrid w:val="0"/>
        <w:ind w:left="720" w:hanging="720"/>
        <w:rPr>
          <w:rFonts w:ascii="Arial" w:eastAsia="黑体" w:hAnsi="Arial" w:cs="Arial"/>
          <w:snapToGrid w:val="0"/>
          <w:szCs w:val="21"/>
        </w:rPr>
      </w:pPr>
    </w:p>
    <w:p w:rsidR="00AD5BB5" w:rsidRDefault="00F87FF6">
      <w:pPr>
        <w:pStyle w:val="af5"/>
        <w:overflowPunct w:val="0"/>
        <w:autoSpaceDE w:val="0"/>
        <w:autoSpaceDN w:val="0"/>
        <w:adjustRightInd w:val="0"/>
        <w:snapToGrid w:val="0"/>
        <w:spacing w:before="0" w:after="0"/>
        <w:ind w:left="720" w:hanging="720"/>
        <w:jc w:val="both"/>
        <w:textAlignment w:val="bottom"/>
        <w:outlineLvl w:val="3"/>
        <w:rPr>
          <w:rFonts w:ascii="Arial" w:eastAsia="黑体" w:hAnsi="Arial" w:cs="Arial" w:hint="default"/>
          <w:bCs w:val="0"/>
          <w:snapToGrid w:val="0"/>
          <w:color w:val="auto"/>
          <w:sz w:val="21"/>
          <w:szCs w:val="21"/>
        </w:rPr>
      </w:pPr>
      <w:bookmarkStart w:id="521" w:name="afsaddin_Section_b493f433852a4b059ce2036"/>
      <w:r>
        <w:rPr>
          <w:rFonts w:ascii="Arial" w:eastAsia="黑体" w:hAnsi="Arial" w:cs="Arial" w:hint="default"/>
          <w:bCs w:val="0"/>
          <w:snapToGrid w:val="0"/>
          <w:color w:val="auto"/>
          <w:sz w:val="21"/>
          <w:szCs w:val="21"/>
        </w:rPr>
        <w:t>2.1</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与持本行</w:t>
      </w:r>
      <w:r>
        <w:rPr>
          <w:rFonts w:ascii="Arial" w:eastAsia="黑体" w:hAnsi="Arial" w:cs="Arial" w:hint="default"/>
          <w:bCs w:val="0"/>
          <w:snapToGrid w:val="0"/>
          <w:color w:val="auto"/>
          <w:sz w:val="21"/>
          <w:szCs w:val="21"/>
        </w:rPr>
        <w:t>5%</w:t>
      </w:r>
      <w:r>
        <w:rPr>
          <w:rFonts w:ascii="Arial" w:eastAsia="黑体" w:hAnsi="Arial" w:cs="Arial" w:hint="default"/>
          <w:bCs w:val="0"/>
          <w:snapToGrid w:val="0"/>
          <w:color w:val="auto"/>
          <w:sz w:val="21"/>
          <w:szCs w:val="21"/>
        </w:rPr>
        <w:t>及</w:t>
      </w:r>
      <w:r>
        <w:rPr>
          <w:rFonts w:ascii="Arial" w:eastAsia="黑体" w:hAnsi="Arial" w:cs="Arial" w:hint="default"/>
          <w:bCs w:val="0"/>
          <w:snapToGrid w:val="0"/>
          <w:color w:val="auto"/>
          <w:sz w:val="21"/>
          <w:szCs w:val="21"/>
        </w:rPr>
        <w:t>5%</w:t>
      </w:r>
      <w:r>
        <w:rPr>
          <w:rFonts w:ascii="Arial" w:eastAsia="黑体" w:hAnsi="Arial" w:cs="Arial" w:hint="default"/>
          <w:bCs w:val="0"/>
          <w:snapToGrid w:val="0"/>
          <w:color w:val="auto"/>
          <w:sz w:val="21"/>
          <w:szCs w:val="21"/>
        </w:rPr>
        <w:t>以上股份的股东之交易</w:t>
      </w:r>
    </w:p>
    <w:bookmarkEnd w:id="521"/>
    <w:p w:rsidR="00AD5BB5" w:rsidRDefault="00AD5BB5">
      <w:pPr>
        <w:overflowPunct w:val="0"/>
        <w:autoSpaceDE w:val="0"/>
        <w:autoSpaceDN w:val="0"/>
        <w:rPr>
          <w:rFonts w:ascii="Arial" w:eastAsia="黑体" w:hAnsi="Arial" w:cs="Arial"/>
        </w:rPr>
      </w:pPr>
    </w:p>
    <w:p w:rsidR="00AD5BB5" w:rsidRDefault="00F87FF6">
      <w:pPr>
        <w:pStyle w:val="Style3"/>
        <w:outlineLvl w:val="5"/>
        <w:rPr>
          <w:sz w:val="21"/>
          <w:szCs w:val="21"/>
        </w:rPr>
      </w:pPr>
      <w:bookmarkStart w:id="522" w:name="afsaddin_Section_b430fe5528fd43e8bb4a086"/>
      <w:r>
        <w:rPr>
          <w:sz w:val="21"/>
          <w:szCs w:val="21"/>
        </w:rPr>
        <w:t>(1)</w:t>
      </w:r>
      <w:r>
        <w:rPr>
          <w:sz w:val="21"/>
          <w:szCs w:val="21"/>
        </w:rPr>
        <w:tab/>
      </w:r>
      <w:r>
        <w:rPr>
          <w:sz w:val="21"/>
          <w:szCs w:val="21"/>
        </w:rPr>
        <w:t>利息收入</w:t>
      </w:r>
    </w:p>
    <w:bookmarkEnd w:id="522"/>
    <w:p w:rsidR="00AD5BB5" w:rsidRDefault="00AD5BB5">
      <w:pPr>
        <w:overflowPunct w:val="0"/>
        <w:autoSpaceDE w:val="0"/>
        <w:autoSpaceDN w:val="0"/>
        <w:rPr>
          <w:rFonts w:ascii="Arial" w:hAnsi="Arial" w:cs="Arial"/>
          <w:szCs w:val="21"/>
        </w:rPr>
      </w:pPr>
    </w:p>
    <w:tbl>
      <w:tblPr>
        <w:tblW w:w="0" w:type="auto"/>
        <w:tblLayout w:type="fixed"/>
        <w:tblCellMar>
          <w:left w:w="0" w:type="dxa"/>
          <w:right w:w="0" w:type="dxa"/>
        </w:tblCellMar>
        <w:tblLook w:val="04A0" w:firstRow="1" w:lastRow="0" w:firstColumn="1" w:lastColumn="0" w:noHBand="0" w:noVBand="1"/>
        <w:tblCaption w:val="b7a25aef-d117-4197-a23b-5d5b6c06b9a5"/>
        <w:tblDescription w:val="{&quot;UUID&quot;:&quot;afsaddin_tabledata_2_56437_b7a25aef-d117-4197-a23b-5d5b6c06b9a5&quot;,&quot;TitleRowCount&quot;:2,&quot;SplitedTable&quot;:false,&quot;FirstTableId&quot;:&quot;b7a25aef-d117-4197-a23b-5d5b6c06b9a5&quot;}"/>
      </w:tblPr>
      <w:tblGrid>
        <w:gridCol w:w="2450"/>
        <w:gridCol w:w="107"/>
        <w:gridCol w:w="1629"/>
        <w:gridCol w:w="106"/>
        <w:gridCol w:w="106"/>
        <w:gridCol w:w="907"/>
        <w:gridCol w:w="106"/>
        <w:gridCol w:w="106"/>
        <w:gridCol w:w="1587"/>
        <w:gridCol w:w="106"/>
        <w:gridCol w:w="106"/>
        <w:gridCol w:w="943"/>
        <w:gridCol w:w="106"/>
      </w:tblGrid>
      <w:tr w:rsidR="00AD5BB5">
        <w:tc>
          <w:tcPr>
            <w:tcW w:w="2450"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关联方名称</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748" w:type="dxa"/>
            <w:gridSpan w:val="4"/>
            <w:tcBorders>
              <w:top w:val="nil"/>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DOCPROPERTY </w:instrText>
            </w:r>
            <w:r>
              <w:rPr>
                <w:rFonts w:ascii="Arial" w:eastAsia="黑体" w:hAnsi="Arial" w:cs="Arial"/>
                <w:sz w:val="18"/>
                <w:szCs w:val="18"/>
              </w:rPr>
              <w:instrText>当期会计期间</w:instrText>
            </w:r>
            <w:r>
              <w:rPr>
                <w:rFonts w:ascii="Arial" w:eastAsia="黑体" w:hAnsi="Arial" w:cs="Arial"/>
                <w:sz w:val="18"/>
                <w:szCs w:val="18"/>
              </w:rPr>
              <w:fldChar w:fldCharType="separate"/>
            </w:r>
            <w:r>
              <w:rPr>
                <w:rFonts w:ascii="Arial" w:eastAsia="黑体" w:hAnsi="Arial" w:cs="Arial"/>
                <w:sz w:val="18"/>
                <w:szCs w:val="18"/>
              </w:rPr>
              <w:t>2023</w:t>
            </w:r>
            <w:r>
              <w:rPr>
                <w:rFonts w:ascii="Arial" w:eastAsia="黑体" w:hAnsi="Arial" w:cs="Arial"/>
                <w:sz w:val="18"/>
                <w:szCs w:val="18"/>
              </w:rPr>
              <w:fldChar w:fldCharType="end"/>
            </w:r>
            <w:r>
              <w:rPr>
                <w:rFonts w:ascii="Arial" w:eastAsia="黑体" w:hAnsi="Arial" w:cs="Arial"/>
                <w:sz w:val="18"/>
                <w:szCs w:val="18"/>
              </w:rPr>
              <w:t>年</w:t>
            </w:r>
            <w:r>
              <w:rPr>
                <w:rFonts w:ascii="Arial" w:eastAsia="黑体" w:hAnsi="Arial" w:cs="Arial"/>
                <w:sz w:val="18"/>
                <w:szCs w:val="18"/>
              </w:rPr>
              <w:t>1-6</w:t>
            </w:r>
            <w:r>
              <w:rPr>
                <w:rFonts w:ascii="Arial" w:eastAsia="黑体" w:hAnsi="Arial" w:cs="Arial"/>
                <w:sz w:val="18"/>
                <w:szCs w:val="18"/>
              </w:rPr>
              <w:t>月</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742" w:type="dxa"/>
            <w:gridSpan w:val="4"/>
            <w:tcBorders>
              <w:top w:val="nil"/>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DOCPROPERTY </w:instrText>
            </w:r>
            <w:r>
              <w:rPr>
                <w:rFonts w:ascii="Arial" w:eastAsia="黑体" w:hAnsi="Arial" w:cs="Arial"/>
                <w:sz w:val="18"/>
                <w:szCs w:val="18"/>
              </w:rPr>
              <w:instrText>对比会计期间</w:instrText>
            </w:r>
            <w:r>
              <w:rPr>
                <w:rFonts w:ascii="Arial" w:eastAsia="黑体" w:hAnsi="Arial" w:cs="Arial"/>
                <w:sz w:val="18"/>
                <w:szCs w:val="18"/>
              </w:rPr>
              <w:fldChar w:fldCharType="separate"/>
            </w:r>
            <w:r>
              <w:rPr>
                <w:rFonts w:ascii="Arial" w:eastAsia="黑体" w:hAnsi="Arial" w:cs="Arial"/>
                <w:sz w:val="18"/>
                <w:szCs w:val="18"/>
              </w:rPr>
              <w:t>2022</w:t>
            </w:r>
            <w:r>
              <w:rPr>
                <w:rFonts w:ascii="Arial" w:eastAsia="黑体" w:hAnsi="Arial" w:cs="Arial"/>
                <w:sz w:val="18"/>
                <w:szCs w:val="18"/>
              </w:rPr>
              <w:fldChar w:fldCharType="end"/>
            </w:r>
            <w:r>
              <w:rPr>
                <w:rFonts w:ascii="Arial" w:eastAsia="黑体" w:hAnsi="Arial" w:cs="Arial"/>
                <w:sz w:val="18"/>
                <w:szCs w:val="18"/>
              </w:rPr>
              <w:t>年</w:t>
            </w:r>
            <w:r>
              <w:rPr>
                <w:rFonts w:ascii="Arial" w:eastAsia="黑体" w:hAnsi="Arial" w:cs="Arial"/>
                <w:sz w:val="18"/>
                <w:szCs w:val="18"/>
              </w:rPr>
              <w:t>1-6</w:t>
            </w:r>
            <w:r>
              <w:rPr>
                <w:rFonts w:ascii="Arial" w:eastAsia="黑体" w:hAnsi="Arial" w:cs="Arial"/>
                <w:sz w:val="18"/>
                <w:szCs w:val="18"/>
              </w:rPr>
              <w:t>月</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交易金额</w:t>
            </w: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90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proofErr w:type="gramStart"/>
            <w:r>
              <w:rPr>
                <w:rFonts w:ascii="Arial" w:eastAsia="黑体" w:hAnsi="Arial" w:cs="Arial"/>
                <w:sz w:val="18"/>
                <w:szCs w:val="18"/>
              </w:rPr>
              <w:t>占有关</w:t>
            </w:r>
            <w:proofErr w:type="gramEnd"/>
            <w:r>
              <w:rPr>
                <w:rFonts w:ascii="Arial" w:eastAsia="黑体" w:hAnsi="Arial" w:cs="Arial"/>
                <w:sz w:val="18"/>
                <w:szCs w:val="18"/>
              </w:rPr>
              <w:t>同类交易比例</w:t>
            </w:r>
            <w:r>
              <w:rPr>
                <w:rFonts w:ascii="Arial" w:eastAsia="黑体" w:hAnsi="Arial" w:cs="Arial"/>
                <w:sz w:val="18"/>
                <w:szCs w:val="18"/>
              </w:rPr>
              <w:t>%</w:t>
            </w: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58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交易金额</w:t>
            </w: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94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proofErr w:type="gramStart"/>
            <w:r>
              <w:rPr>
                <w:rFonts w:ascii="Arial" w:eastAsia="黑体" w:hAnsi="Arial" w:cs="Arial"/>
                <w:sz w:val="18"/>
                <w:szCs w:val="18"/>
              </w:rPr>
              <w:t>占有关</w:t>
            </w:r>
            <w:proofErr w:type="gramEnd"/>
            <w:r>
              <w:rPr>
                <w:rFonts w:ascii="Arial" w:eastAsia="黑体" w:hAnsi="Arial" w:cs="Arial"/>
                <w:sz w:val="18"/>
                <w:szCs w:val="18"/>
              </w:rPr>
              <w:t>同类交易比例</w:t>
            </w:r>
            <w:r>
              <w:rPr>
                <w:rFonts w:ascii="Arial" w:eastAsia="黑体" w:hAnsi="Arial" w:cs="Arial"/>
                <w:sz w:val="18"/>
                <w:szCs w:val="18"/>
              </w:rPr>
              <w:t>%</w:t>
            </w: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厦门金圆投资集团有限公司</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2,417,720.55</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0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0.04%</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2,827,745.05</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43" w:type="dxa"/>
            <w:tcBorders>
              <w:top w:val="nil"/>
              <w:left w:val="nil"/>
              <w:bottom w:val="nil"/>
              <w:right w:val="nil"/>
            </w:tcBorders>
            <w:vAlign w:val="bottom"/>
          </w:tcPr>
          <w:p w:rsidR="00AD5BB5" w:rsidRDefault="00F87FF6">
            <w:pPr>
              <w:autoSpaceDE w:val="0"/>
              <w:autoSpaceDN w:val="0"/>
              <w:ind w:rightChars="23" w:right="48"/>
              <w:jc w:val="right"/>
              <w:rPr>
                <w:rFonts w:ascii="Arial" w:eastAsia="黑体" w:hAnsi="Arial" w:cs="Arial"/>
                <w:sz w:val="18"/>
                <w:szCs w:val="18"/>
              </w:rPr>
            </w:pPr>
            <w:r>
              <w:rPr>
                <w:rFonts w:ascii="Arial" w:eastAsia="黑体" w:hAnsi="Arial" w:cs="Arial"/>
                <w:sz w:val="18"/>
              </w:rPr>
              <w:t>0.05%</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福建七匹狼集团有限公司</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7,647,910.96</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0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0.13%</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9,683,589.62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43" w:type="dxa"/>
            <w:tcBorders>
              <w:top w:val="nil"/>
              <w:left w:val="nil"/>
              <w:bottom w:val="single" w:sz="4" w:space="0" w:color="auto"/>
              <w:right w:val="nil"/>
            </w:tcBorders>
            <w:vAlign w:val="bottom"/>
          </w:tcPr>
          <w:p w:rsidR="00AD5BB5" w:rsidRDefault="00F87FF6">
            <w:pPr>
              <w:autoSpaceDE w:val="0"/>
              <w:autoSpaceDN w:val="0"/>
              <w:ind w:rightChars="23" w:right="48"/>
              <w:jc w:val="right"/>
              <w:rPr>
                <w:rFonts w:ascii="Arial" w:eastAsia="黑体" w:hAnsi="Arial" w:cs="Arial"/>
                <w:sz w:val="18"/>
                <w:szCs w:val="18"/>
              </w:rPr>
            </w:pPr>
            <w:r>
              <w:rPr>
                <w:rFonts w:ascii="Arial" w:eastAsia="黑体" w:hAnsi="Arial" w:cs="Arial"/>
                <w:sz w:val="18"/>
                <w:szCs w:val="18"/>
              </w:rPr>
              <w:t>0.17%</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0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43" w:type="dxa"/>
            <w:tcBorders>
              <w:top w:val="single" w:sz="4" w:space="0" w:color="auto"/>
              <w:left w:val="nil"/>
              <w:bottom w:val="nil"/>
              <w:right w:val="nil"/>
            </w:tcBorders>
            <w:vAlign w:val="bottom"/>
          </w:tcPr>
          <w:p w:rsidR="00AD5BB5" w:rsidRDefault="00AD5BB5">
            <w:pPr>
              <w:autoSpaceDE w:val="0"/>
              <w:autoSpaceDN w:val="0"/>
              <w:ind w:rightChars="23" w:right="48"/>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合计</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10,065,631.51</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0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0.17%</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12,511,334.67</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43" w:type="dxa"/>
            <w:tcBorders>
              <w:top w:val="nil"/>
              <w:left w:val="nil"/>
              <w:bottom w:val="double" w:sz="4" w:space="0" w:color="auto"/>
              <w:right w:val="nil"/>
            </w:tcBorders>
            <w:vAlign w:val="bottom"/>
          </w:tcPr>
          <w:p w:rsidR="00AD5BB5" w:rsidRDefault="00F87FF6">
            <w:pPr>
              <w:autoSpaceDE w:val="0"/>
              <w:autoSpaceDN w:val="0"/>
              <w:ind w:rightChars="23" w:right="48"/>
              <w:jc w:val="right"/>
              <w:rPr>
                <w:rFonts w:ascii="Arial" w:eastAsia="黑体" w:hAnsi="Arial" w:cs="Arial"/>
                <w:sz w:val="18"/>
                <w:szCs w:val="18"/>
              </w:rPr>
            </w:pPr>
            <w:r>
              <w:rPr>
                <w:rFonts w:ascii="Arial" w:eastAsia="黑体" w:hAnsi="Arial" w:cs="Arial"/>
                <w:sz w:val="18"/>
              </w:rPr>
              <w:t>0.22%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bl>
    <w:p w:rsidR="00AD5BB5" w:rsidRDefault="00AD5BB5">
      <w:pPr>
        <w:overflowPunct w:val="0"/>
        <w:autoSpaceDE w:val="0"/>
        <w:autoSpaceDN w:val="0"/>
        <w:adjustRightInd w:val="0"/>
        <w:snapToGrid w:val="0"/>
        <w:rPr>
          <w:rFonts w:ascii="Arial" w:eastAsia="黑体" w:hAnsi="Arial" w:cs="Arial"/>
          <w:bCs/>
          <w:snapToGrid w:val="0"/>
          <w:szCs w:val="21"/>
        </w:rPr>
      </w:pPr>
    </w:p>
    <w:p w:rsidR="00AD5BB5" w:rsidRDefault="00F87FF6">
      <w:pPr>
        <w:pStyle w:val="Style3"/>
        <w:outlineLvl w:val="5"/>
        <w:rPr>
          <w:sz w:val="21"/>
          <w:szCs w:val="21"/>
        </w:rPr>
      </w:pPr>
      <w:bookmarkStart w:id="523" w:name="afsaddin_Section_d9917fb3c7bf404f84b2c9b"/>
      <w:r>
        <w:rPr>
          <w:sz w:val="21"/>
          <w:szCs w:val="21"/>
        </w:rPr>
        <w:t>(2)</w:t>
      </w:r>
      <w:r>
        <w:rPr>
          <w:sz w:val="21"/>
          <w:szCs w:val="21"/>
        </w:rPr>
        <w:tab/>
      </w:r>
      <w:r>
        <w:rPr>
          <w:sz w:val="21"/>
          <w:szCs w:val="21"/>
        </w:rPr>
        <w:t>利息支出</w:t>
      </w:r>
    </w:p>
    <w:bookmarkEnd w:id="523"/>
    <w:p w:rsidR="00AD5BB5" w:rsidRDefault="00AD5BB5">
      <w:pPr>
        <w:overflowPunct w:val="0"/>
        <w:autoSpaceDE w:val="0"/>
        <w:autoSpaceDN w:val="0"/>
        <w:adjustRightInd w:val="0"/>
        <w:snapToGrid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4de7a2b1-bc64-47fa-821a-e802a729ddce"/>
        <w:tblDescription w:val="{&quot;UUID&quot;:&quot;afsaddin_tabledata_2_56437_4de7a2b1-bc64-47fa-821a-e802a729ddce&quot;,&quot;TitleRowCount&quot;:2,&quot;SplitedTable&quot;:false,&quot;FirstTableId&quot;:&quot;4de7a2b1-bc64-47fa-821a-e802a729ddce&quot;}"/>
      </w:tblPr>
      <w:tblGrid>
        <w:gridCol w:w="2450"/>
        <w:gridCol w:w="107"/>
        <w:gridCol w:w="1629"/>
        <w:gridCol w:w="106"/>
        <w:gridCol w:w="106"/>
        <w:gridCol w:w="907"/>
        <w:gridCol w:w="106"/>
        <w:gridCol w:w="106"/>
        <w:gridCol w:w="1587"/>
        <w:gridCol w:w="106"/>
        <w:gridCol w:w="106"/>
        <w:gridCol w:w="943"/>
        <w:gridCol w:w="106"/>
      </w:tblGrid>
      <w:tr w:rsidR="00AD5BB5">
        <w:tc>
          <w:tcPr>
            <w:tcW w:w="2450"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关联方名称</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748" w:type="dxa"/>
            <w:gridSpan w:val="4"/>
            <w:tcBorders>
              <w:top w:val="nil"/>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DOCPROPERTY </w:instrText>
            </w:r>
            <w:r>
              <w:rPr>
                <w:rFonts w:ascii="Arial" w:eastAsia="黑体" w:hAnsi="Arial" w:cs="Arial"/>
                <w:sz w:val="18"/>
                <w:szCs w:val="18"/>
              </w:rPr>
              <w:instrText>当期会计期间</w:instrText>
            </w:r>
            <w:r>
              <w:rPr>
                <w:rFonts w:ascii="Arial" w:eastAsia="黑体" w:hAnsi="Arial" w:cs="Arial"/>
                <w:sz w:val="18"/>
                <w:szCs w:val="18"/>
              </w:rPr>
              <w:fldChar w:fldCharType="separate"/>
            </w:r>
            <w:r>
              <w:rPr>
                <w:rFonts w:ascii="Arial" w:eastAsia="黑体" w:hAnsi="Arial" w:cs="Arial"/>
                <w:sz w:val="18"/>
                <w:szCs w:val="18"/>
              </w:rPr>
              <w:t>2023</w:t>
            </w:r>
            <w:r>
              <w:rPr>
                <w:rFonts w:ascii="Arial" w:eastAsia="黑体" w:hAnsi="Arial" w:cs="Arial"/>
                <w:sz w:val="18"/>
                <w:szCs w:val="18"/>
              </w:rPr>
              <w:fldChar w:fldCharType="end"/>
            </w:r>
            <w:r>
              <w:rPr>
                <w:rFonts w:ascii="Arial" w:eastAsia="黑体" w:hAnsi="Arial" w:cs="Arial"/>
                <w:sz w:val="18"/>
                <w:szCs w:val="18"/>
              </w:rPr>
              <w:t>年</w:t>
            </w:r>
            <w:r>
              <w:rPr>
                <w:rFonts w:ascii="Arial" w:eastAsia="黑体" w:hAnsi="Arial" w:cs="Arial"/>
                <w:sz w:val="18"/>
                <w:szCs w:val="18"/>
              </w:rPr>
              <w:t>1-6</w:t>
            </w:r>
            <w:r>
              <w:rPr>
                <w:rFonts w:ascii="Arial" w:eastAsia="黑体" w:hAnsi="Arial" w:cs="Arial"/>
                <w:sz w:val="18"/>
                <w:szCs w:val="18"/>
              </w:rPr>
              <w:t>月</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742" w:type="dxa"/>
            <w:gridSpan w:val="4"/>
            <w:tcBorders>
              <w:top w:val="nil"/>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DOCPROPERTY </w:instrText>
            </w:r>
            <w:r>
              <w:rPr>
                <w:rFonts w:ascii="Arial" w:eastAsia="黑体" w:hAnsi="Arial" w:cs="Arial"/>
                <w:sz w:val="18"/>
                <w:szCs w:val="18"/>
              </w:rPr>
              <w:instrText>对比会计期间</w:instrText>
            </w:r>
            <w:r>
              <w:rPr>
                <w:rFonts w:ascii="Arial" w:eastAsia="黑体" w:hAnsi="Arial" w:cs="Arial"/>
                <w:sz w:val="18"/>
                <w:szCs w:val="18"/>
              </w:rPr>
              <w:fldChar w:fldCharType="separate"/>
            </w:r>
            <w:r>
              <w:rPr>
                <w:rFonts w:ascii="Arial" w:eastAsia="黑体" w:hAnsi="Arial" w:cs="Arial"/>
                <w:sz w:val="18"/>
                <w:szCs w:val="18"/>
              </w:rPr>
              <w:t>2022</w:t>
            </w:r>
            <w:r>
              <w:rPr>
                <w:rFonts w:ascii="Arial" w:eastAsia="黑体" w:hAnsi="Arial" w:cs="Arial"/>
                <w:sz w:val="18"/>
                <w:szCs w:val="18"/>
              </w:rPr>
              <w:fldChar w:fldCharType="end"/>
            </w:r>
            <w:r>
              <w:rPr>
                <w:rFonts w:ascii="Arial" w:eastAsia="黑体" w:hAnsi="Arial" w:cs="Arial"/>
                <w:sz w:val="18"/>
                <w:szCs w:val="18"/>
              </w:rPr>
              <w:t>年</w:t>
            </w:r>
            <w:r>
              <w:rPr>
                <w:rFonts w:ascii="Arial" w:eastAsia="黑体" w:hAnsi="Arial" w:cs="Arial"/>
                <w:sz w:val="18"/>
                <w:szCs w:val="18"/>
              </w:rPr>
              <w:t>1-6</w:t>
            </w:r>
            <w:r>
              <w:rPr>
                <w:rFonts w:ascii="Arial" w:eastAsia="黑体" w:hAnsi="Arial" w:cs="Arial"/>
                <w:sz w:val="18"/>
                <w:szCs w:val="18"/>
              </w:rPr>
              <w:t>月</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交易金额</w:t>
            </w: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90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proofErr w:type="gramStart"/>
            <w:r>
              <w:rPr>
                <w:rFonts w:ascii="Arial" w:eastAsia="黑体" w:hAnsi="Arial" w:cs="Arial"/>
                <w:sz w:val="18"/>
                <w:szCs w:val="18"/>
              </w:rPr>
              <w:t>占有关</w:t>
            </w:r>
            <w:proofErr w:type="gramEnd"/>
            <w:r>
              <w:rPr>
                <w:rFonts w:ascii="Arial" w:eastAsia="黑体" w:hAnsi="Arial" w:cs="Arial"/>
                <w:sz w:val="18"/>
                <w:szCs w:val="18"/>
              </w:rPr>
              <w:t>同类交易比例</w:t>
            </w:r>
            <w:r>
              <w:rPr>
                <w:rFonts w:ascii="Arial" w:eastAsia="黑体" w:hAnsi="Arial" w:cs="Arial"/>
                <w:sz w:val="18"/>
                <w:szCs w:val="18"/>
              </w:rPr>
              <w:t>%</w:t>
            </w: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58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交易金额</w:t>
            </w: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94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proofErr w:type="gramStart"/>
            <w:r>
              <w:rPr>
                <w:rFonts w:ascii="Arial" w:eastAsia="黑体" w:hAnsi="Arial" w:cs="Arial"/>
                <w:sz w:val="18"/>
                <w:szCs w:val="18"/>
              </w:rPr>
              <w:t>占有关</w:t>
            </w:r>
            <w:proofErr w:type="gramEnd"/>
            <w:r>
              <w:rPr>
                <w:rFonts w:ascii="Arial" w:eastAsia="黑体" w:hAnsi="Arial" w:cs="Arial"/>
                <w:sz w:val="18"/>
                <w:szCs w:val="18"/>
              </w:rPr>
              <w:t>同类交易比例</w:t>
            </w:r>
            <w:r>
              <w:rPr>
                <w:rFonts w:ascii="Arial" w:eastAsia="黑体" w:hAnsi="Arial" w:cs="Arial"/>
                <w:sz w:val="18"/>
                <w:szCs w:val="18"/>
              </w:rPr>
              <w:t>%</w:t>
            </w: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厦门金圆投资集团有限公司</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4,548,028.87</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0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0.12%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4,543,340.53</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4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0.12%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福建七匹狼集团有限公司</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5,243.08</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0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0.00%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1,068.00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4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0.00%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0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4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合计</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4,553,271.95</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0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0.12%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4,544,408.53</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4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0.12%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bl>
    <w:p w:rsidR="00AD5BB5" w:rsidRDefault="00F87FF6">
      <w:pPr>
        <w:rPr>
          <w:rFonts w:ascii="Arial" w:eastAsia="黑体" w:hAnsi="Arial" w:cs="Arial"/>
          <w:b/>
          <w:bCs/>
          <w:szCs w:val="21"/>
        </w:rPr>
      </w:pPr>
      <w:r>
        <w:rPr>
          <w:rFonts w:ascii="Arial" w:eastAsia="黑体" w:hAnsi="Arial" w:cs="Arial"/>
          <w:b/>
          <w:bCs/>
          <w:szCs w:val="21"/>
        </w:rPr>
        <w:br w:type="page"/>
      </w:r>
    </w:p>
    <w:p w:rsidR="00AD5BB5" w:rsidRDefault="00AD5BB5">
      <w:pPr>
        <w:overflowPunct w:val="0"/>
        <w:autoSpaceDE w:val="0"/>
        <w:autoSpaceDN w:val="0"/>
        <w:adjustRightInd w:val="0"/>
        <w:snapToGrid w:val="0"/>
        <w:textAlignment w:val="bottom"/>
        <w:rPr>
          <w:rFonts w:ascii="Arial" w:eastAsia="黑体" w:hAnsi="Arial" w:cs="Arial"/>
          <w:b/>
          <w:bCs/>
          <w:szCs w:val="21"/>
        </w:rPr>
      </w:pPr>
    </w:p>
    <w:p w:rsidR="00AD5BB5" w:rsidRDefault="00AD5BB5">
      <w:pPr>
        <w:overflowPunct w:val="0"/>
        <w:autoSpaceDE w:val="0"/>
        <w:autoSpaceDN w:val="0"/>
        <w:adjustRightInd w:val="0"/>
        <w:snapToGrid w:val="0"/>
        <w:textAlignment w:val="bottom"/>
        <w:rPr>
          <w:rFonts w:ascii="Arial" w:eastAsia="黑体" w:hAnsi="Arial" w:cs="Arial"/>
          <w:b/>
          <w:bCs/>
          <w:szCs w:val="21"/>
        </w:rPr>
      </w:pPr>
    </w:p>
    <w:p w:rsidR="00AD5BB5" w:rsidRDefault="00F87FF6">
      <w:pPr>
        <w:overflowPunct w:val="0"/>
        <w:autoSpaceDE w:val="0"/>
        <w:autoSpaceDN w:val="0"/>
        <w:adjustRightInd w:val="0"/>
        <w:snapToGrid w:val="0"/>
        <w:textAlignment w:val="bottom"/>
        <w:rPr>
          <w:rFonts w:ascii="Arial" w:eastAsia="黑体" w:hAnsi="Arial" w:cs="Arial"/>
          <w:b/>
          <w:bCs/>
          <w:szCs w:val="21"/>
        </w:rPr>
      </w:pPr>
      <w:bookmarkStart w:id="524" w:name="afsaddin_WithXu_c0afcab60eb642cc817792cb"/>
      <w:r>
        <w:rPr>
          <w:rFonts w:ascii="Arial" w:eastAsia="黑体" w:hAnsi="Arial" w:cs="Arial"/>
          <w:b/>
          <w:bCs/>
          <w:szCs w:val="21"/>
        </w:rPr>
        <w:t>九、</w:t>
      </w:r>
      <w:r>
        <w:rPr>
          <w:rFonts w:ascii="Arial" w:eastAsia="黑体" w:hAnsi="Arial" w:cs="Arial"/>
          <w:b/>
          <w:bCs/>
          <w:szCs w:val="21"/>
        </w:rPr>
        <w:tab/>
      </w:r>
      <w:r>
        <w:rPr>
          <w:rFonts w:ascii="Arial" w:eastAsia="黑体" w:hAnsi="Arial" w:cs="Arial"/>
          <w:b/>
          <w:bCs/>
          <w:szCs w:val="21"/>
        </w:rPr>
        <w:t>关联方关系及其交易（续）</w:t>
      </w:r>
      <w:bookmarkEnd w:id="524"/>
    </w:p>
    <w:p w:rsidR="00AD5BB5" w:rsidRDefault="00AD5BB5">
      <w:pPr>
        <w:overflowPunct w:val="0"/>
        <w:autoSpaceDE w:val="0"/>
        <w:autoSpaceDN w:val="0"/>
        <w:adjustRightInd w:val="0"/>
        <w:snapToGrid w:val="0"/>
        <w:textAlignment w:val="bottom"/>
        <w:rPr>
          <w:rFonts w:ascii="Arial" w:eastAsia="黑体" w:hAnsi="Arial" w:cs="Arial"/>
          <w:b/>
          <w:bCs/>
          <w:szCs w:val="21"/>
        </w:rPr>
      </w:pPr>
    </w:p>
    <w:p w:rsidR="00AD5BB5" w:rsidRDefault="00F87FF6">
      <w:pPr>
        <w:overflowPunct w:val="0"/>
        <w:autoSpaceDE w:val="0"/>
        <w:autoSpaceDN w:val="0"/>
        <w:adjustRightInd w:val="0"/>
        <w:snapToGrid w:val="0"/>
        <w:ind w:left="720" w:hanging="720"/>
        <w:textAlignment w:val="bottom"/>
        <w:rPr>
          <w:rFonts w:ascii="Arial" w:eastAsia="黑体" w:hAnsi="Arial" w:cs="Arial"/>
          <w:b/>
          <w:bCs/>
          <w:szCs w:val="21"/>
        </w:rPr>
      </w:pPr>
      <w:bookmarkStart w:id="525" w:name="afsaddin_WithXu_fe099d48114a41cbb1cfba16"/>
      <w:r>
        <w:rPr>
          <w:rFonts w:ascii="Arial" w:eastAsia="黑体" w:hAnsi="Arial" w:cs="Arial"/>
          <w:b/>
          <w:bCs/>
          <w:szCs w:val="21"/>
        </w:rPr>
        <w:t>2.</w:t>
      </w:r>
      <w:r>
        <w:rPr>
          <w:rFonts w:ascii="Arial" w:eastAsia="黑体" w:hAnsi="Arial" w:cs="Arial"/>
          <w:b/>
          <w:bCs/>
          <w:szCs w:val="21"/>
        </w:rPr>
        <w:tab/>
      </w:r>
      <w:r>
        <w:rPr>
          <w:rFonts w:ascii="Arial" w:eastAsia="黑体" w:hAnsi="Arial" w:cs="Arial"/>
          <w:b/>
          <w:bCs/>
          <w:szCs w:val="21"/>
        </w:rPr>
        <w:t>本集团与关联方的主要交易（续）</w:t>
      </w:r>
      <w:bookmarkEnd w:id="525"/>
    </w:p>
    <w:p w:rsidR="00AD5BB5" w:rsidRDefault="00AD5BB5">
      <w:pPr>
        <w:overflowPunct w:val="0"/>
        <w:autoSpaceDE w:val="0"/>
        <w:autoSpaceDN w:val="0"/>
        <w:adjustRightInd w:val="0"/>
        <w:snapToGrid w:val="0"/>
        <w:textAlignment w:val="bottom"/>
        <w:rPr>
          <w:rFonts w:ascii="Arial" w:eastAsia="黑体" w:hAnsi="Arial" w:cs="Arial"/>
          <w:b/>
          <w:bCs/>
          <w:szCs w:val="21"/>
        </w:rPr>
      </w:pPr>
    </w:p>
    <w:p w:rsidR="00AD5BB5" w:rsidRDefault="00F87FF6">
      <w:pPr>
        <w:pStyle w:val="af5"/>
        <w:overflowPunct w:val="0"/>
        <w:autoSpaceDE w:val="0"/>
        <w:autoSpaceDN w:val="0"/>
        <w:adjustRightInd w:val="0"/>
        <w:snapToGrid w:val="0"/>
        <w:spacing w:before="0" w:after="0"/>
        <w:ind w:left="720" w:hanging="720"/>
        <w:jc w:val="both"/>
        <w:textAlignment w:val="bottom"/>
        <w:outlineLvl w:val="3"/>
        <w:rPr>
          <w:rFonts w:ascii="Arial" w:eastAsia="黑体" w:hAnsi="Arial" w:cs="Arial" w:hint="default"/>
          <w:bCs w:val="0"/>
          <w:snapToGrid w:val="0"/>
          <w:color w:val="auto"/>
          <w:sz w:val="21"/>
          <w:szCs w:val="21"/>
        </w:rPr>
      </w:pPr>
      <w:bookmarkStart w:id="526" w:name="afsaddin_WithXu_9a3489ee7eb84327afa8da65"/>
      <w:bookmarkStart w:id="527" w:name="afsaddin_WithXu_71022046cd724a3ba6a689bb"/>
      <w:bookmarkStart w:id="528" w:name="afsaddin_Section_1ff60e1552aa4c2eb9fef4a"/>
      <w:bookmarkEnd w:id="526"/>
      <w:bookmarkEnd w:id="527"/>
      <w:r>
        <w:rPr>
          <w:rFonts w:ascii="Arial" w:eastAsia="黑体" w:hAnsi="Arial" w:cs="Arial" w:hint="default"/>
          <w:bCs w:val="0"/>
          <w:snapToGrid w:val="0"/>
          <w:color w:val="auto"/>
          <w:sz w:val="21"/>
          <w:szCs w:val="21"/>
        </w:rPr>
        <w:t>2.2</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与本行的关键管理人员及其关系密切的家庭成员之交易</w:t>
      </w:r>
    </w:p>
    <w:bookmarkEnd w:id="528"/>
    <w:p w:rsidR="00AD5BB5" w:rsidRDefault="00AD5BB5">
      <w:pPr>
        <w:overflowPunct w:val="0"/>
        <w:autoSpaceDE w:val="0"/>
        <w:autoSpaceDN w:val="0"/>
        <w:rPr>
          <w:rFonts w:ascii="Arial" w:eastAsia="黑体" w:hAnsi="Arial" w:cs="Arial"/>
        </w:rPr>
      </w:pPr>
    </w:p>
    <w:tbl>
      <w:tblPr>
        <w:tblW w:w="0" w:type="auto"/>
        <w:tblLayout w:type="fixed"/>
        <w:tblCellMar>
          <w:left w:w="0" w:type="dxa"/>
          <w:right w:w="0" w:type="dxa"/>
        </w:tblCellMar>
        <w:tblLook w:val="04A0" w:firstRow="1" w:lastRow="0" w:firstColumn="1" w:lastColumn="0" w:noHBand="0" w:noVBand="1"/>
        <w:tblCaption w:val="2266b7ad-09da-4977-abfd-71ed8c883963"/>
        <w:tblDescription w:val="{&quot;UUID&quot;:&quot;afsaddin_tabledata_2_56437_2266b7ad-09da-4977-abfd-71ed8c883963&quot;,&quot;TitleRowCount&quot;:3,&quot;SplitedTable&quot;:false,&quot;FirstTableId&quot;:&quot;2266b7ad-09da-4977-abfd-71ed8c883963&quot;}"/>
      </w:tblPr>
      <w:tblGrid>
        <w:gridCol w:w="2450"/>
        <w:gridCol w:w="107"/>
        <w:gridCol w:w="1629"/>
        <w:gridCol w:w="106"/>
        <w:gridCol w:w="106"/>
        <w:gridCol w:w="989"/>
        <w:gridCol w:w="106"/>
        <w:gridCol w:w="106"/>
        <w:gridCol w:w="1587"/>
        <w:gridCol w:w="106"/>
        <w:gridCol w:w="106"/>
        <w:gridCol w:w="1107"/>
        <w:gridCol w:w="106"/>
      </w:tblGrid>
      <w:tr w:rsidR="00AD5BB5">
        <w:tc>
          <w:tcPr>
            <w:tcW w:w="2450"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交易名称</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830" w:type="dxa"/>
            <w:gridSpan w:val="4"/>
            <w:tcBorders>
              <w:top w:val="nil"/>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DOCPROPERTY </w:instrText>
            </w:r>
            <w:r>
              <w:rPr>
                <w:rFonts w:ascii="Arial" w:eastAsia="黑体" w:hAnsi="Arial" w:cs="Arial"/>
                <w:sz w:val="18"/>
                <w:szCs w:val="18"/>
              </w:rPr>
              <w:instrText>当期会计期间</w:instrText>
            </w:r>
            <w:r>
              <w:rPr>
                <w:rFonts w:ascii="Arial" w:eastAsia="黑体" w:hAnsi="Arial" w:cs="Arial"/>
                <w:sz w:val="18"/>
                <w:szCs w:val="18"/>
              </w:rPr>
              <w:fldChar w:fldCharType="separate"/>
            </w:r>
            <w:r>
              <w:rPr>
                <w:rFonts w:ascii="Arial" w:eastAsia="黑体" w:hAnsi="Arial" w:cs="Arial"/>
                <w:sz w:val="18"/>
                <w:szCs w:val="18"/>
              </w:rPr>
              <w:t>2023</w:t>
            </w:r>
            <w:r>
              <w:rPr>
                <w:rFonts w:ascii="Arial" w:eastAsia="黑体" w:hAnsi="Arial" w:cs="Arial"/>
                <w:sz w:val="18"/>
                <w:szCs w:val="18"/>
              </w:rPr>
              <w:fldChar w:fldCharType="end"/>
            </w:r>
            <w:r>
              <w:rPr>
                <w:rFonts w:ascii="Arial" w:eastAsia="黑体" w:hAnsi="Arial" w:cs="Arial"/>
                <w:sz w:val="18"/>
                <w:szCs w:val="18"/>
              </w:rPr>
              <w:t>年</w:t>
            </w:r>
            <w:r>
              <w:rPr>
                <w:rFonts w:ascii="Arial" w:eastAsia="黑体" w:hAnsi="Arial" w:cs="Arial"/>
                <w:sz w:val="18"/>
                <w:szCs w:val="18"/>
              </w:rPr>
              <w:t>1-6</w:t>
            </w:r>
            <w:r>
              <w:rPr>
                <w:rFonts w:ascii="Arial" w:eastAsia="黑体" w:hAnsi="Arial" w:cs="Arial"/>
                <w:sz w:val="18"/>
                <w:szCs w:val="18"/>
              </w:rPr>
              <w:t>月</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906" w:type="dxa"/>
            <w:gridSpan w:val="4"/>
            <w:tcBorders>
              <w:top w:val="nil"/>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DOCPROPERTY </w:instrText>
            </w:r>
            <w:r>
              <w:rPr>
                <w:rFonts w:ascii="Arial" w:eastAsia="黑体" w:hAnsi="Arial" w:cs="Arial"/>
                <w:sz w:val="18"/>
                <w:szCs w:val="18"/>
              </w:rPr>
              <w:instrText>对比会计期间</w:instrText>
            </w:r>
            <w:r>
              <w:rPr>
                <w:rFonts w:ascii="Arial" w:eastAsia="黑体" w:hAnsi="Arial" w:cs="Arial"/>
                <w:sz w:val="18"/>
                <w:szCs w:val="18"/>
              </w:rPr>
              <w:fldChar w:fldCharType="separate"/>
            </w:r>
            <w:r>
              <w:rPr>
                <w:rFonts w:ascii="Arial" w:eastAsia="黑体" w:hAnsi="Arial" w:cs="Arial"/>
                <w:sz w:val="18"/>
                <w:szCs w:val="18"/>
              </w:rPr>
              <w:t>2022</w:t>
            </w:r>
            <w:r>
              <w:rPr>
                <w:rFonts w:ascii="Arial" w:eastAsia="黑体" w:hAnsi="Arial" w:cs="Arial"/>
                <w:sz w:val="18"/>
                <w:szCs w:val="18"/>
              </w:rPr>
              <w:fldChar w:fldCharType="end"/>
            </w:r>
            <w:r>
              <w:rPr>
                <w:rFonts w:ascii="Arial" w:eastAsia="黑体" w:hAnsi="Arial" w:cs="Arial"/>
                <w:sz w:val="18"/>
                <w:szCs w:val="18"/>
              </w:rPr>
              <w:t>年</w:t>
            </w:r>
            <w:r>
              <w:rPr>
                <w:rFonts w:ascii="Arial" w:eastAsia="黑体" w:hAnsi="Arial" w:cs="Arial"/>
                <w:sz w:val="18"/>
                <w:szCs w:val="18"/>
              </w:rPr>
              <w:t>1-6</w:t>
            </w:r>
            <w:r>
              <w:rPr>
                <w:rFonts w:ascii="Arial" w:eastAsia="黑体" w:hAnsi="Arial" w:cs="Arial"/>
                <w:sz w:val="18"/>
                <w:szCs w:val="18"/>
              </w:rPr>
              <w:t>月</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交易金额</w:t>
            </w:r>
            <w:r>
              <w:rPr>
                <w:rFonts w:ascii="Arial" w:eastAsia="黑体" w:hAnsi="Arial" w:cs="Arial"/>
                <w:sz w:val="18"/>
                <w:szCs w:val="18"/>
              </w:rPr>
              <w:t xml:space="preserve"> </w:t>
            </w: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989" w:type="dxa"/>
            <w:tcBorders>
              <w:top w:val="nil"/>
              <w:left w:val="nil"/>
              <w:bottom w:val="nil"/>
              <w:right w:val="nil"/>
            </w:tcBorders>
            <w:vAlign w:val="bottom"/>
          </w:tcPr>
          <w:p w:rsidR="00AD5BB5" w:rsidRDefault="00F87FF6">
            <w:pPr>
              <w:autoSpaceDE w:val="0"/>
              <w:autoSpaceDN w:val="0"/>
              <w:ind w:leftChars="-32" w:left="10" w:rightChars="6" w:right="13" w:hangingChars="43" w:hanging="77"/>
              <w:jc w:val="right"/>
              <w:rPr>
                <w:rFonts w:ascii="Arial" w:eastAsia="黑体" w:hAnsi="Arial" w:cs="Arial"/>
                <w:sz w:val="18"/>
                <w:szCs w:val="18"/>
              </w:rPr>
            </w:pPr>
            <w:r>
              <w:rPr>
                <w:rFonts w:ascii="Arial" w:eastAsia="黑体" w:hAnsi="Arial" w:cs="Arial"/>
                <w:sz w:val="18"/>
                <w:szCs w:val="18"/>
              </w:rPr>
              <w:t xml:space="preserve"> </w:t>
            </w:r>
            <w:proofErr w:type="gramStart"/>
            <w:r>
              <w:rPr>
                <w:rFonts w:ascii="Arial" w:eastAsia="黑体" w:hAnsi="Arial" w:cs="Arial"/>
                <w:sz w:val="18"/>
                <w:szCs w:val="18"/>
              </w:rPr>
              <w:t>占有关</w:t>
            </w:r>
            <w:proofErr w:type="gramEnd"/>
            <w:r>
              <w:rPr>
                <w:rFonts w:ascii="Arial" w:eastAsia="黑体" w:hAnsi="Arial" w:cs="Arial"/>
                <w:sz w:val="18"/>
                <w:szCs w:val="18"/>
              </w:rPr>
              <w:t>同类交易比例</w:t>
            </w:r>
            <w:r>
              <w:rPr>
                <w:rFonts w:ascii="Arial" w:eastAsia="黑体" w:hAnsi="Arial" w:cs="Arial"/>
                <w:sz w:val="18"/>
                <w:szCs w:val="18"/>
              </w:rPr>
              <w:t xml:space="preserve">% </w:t>
            </w: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58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交易金额</w:t>
            </w:r>
            <w:r>
              <w:rPr>
                <w:rFonts w:ascii="Arial" w:eastAsia="黑体" w:hAnsi="Arial" w:cs="Arial"/>
                <w:sz w:val="18"/>
                <w:szCs w:val="18"/>
              </w:rPr>
              <w:t xml:space="preserve"> </w:t>
            </w: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07" w:type="dxa"/>
            <w:tcBorders>
              <w:top w:val="nil"/>
              <w:left w:val="nil"/>
              <w:bottom w:val="nil"/>
              <w:right w:val="nil"/>
            </w:tcBorders>
            <w:vAlign w:val="bottom"/>
          </w:tcPr>
          <w:p w:rsidR="00AD5BB5" w:rsidRDefault="00F87FF6">
            <w:pPr>
              <w:autoSpaceDE w:val="0"/>
              <w:autoSpaceDN w:val="0"/>
              <w:ind w:rightChars="11" w:right="23"/>
              <w:jc w:val="right"/>
              <w:rPr>
                <w:rFonts w:ascii="Arial" w:eastAsia="黑体" w:hAnsi="Arial" w:cs="Arial"/>
                <w:sz w:val="18"/>
                <w:szCs w:val="18"/>
              </w:rPr>
            </w:pPr>
            <w:r>
              <w:rPr>
                <w:rFonts w:ascii="Arial" w:eastAsia="黑体" w:hAnsi="Arial" w:cs="Arial"/>
                <w:sz w:val="18"/>
                <w:szCs w:val="18"/>
              </w:rPr>
              <w:t xml:space="preserve"> </w:t>
            </w:r>
            <w:proofErr w:type="gramStart"/>
            <w:r>
              <w:rPr>
                <w:rFonts w:ascii="Arial" w:eastAsia="黑体" w:hAnsi="Arial" w:cs="Arial"/>
                <w:sz w:val="18"/>
                <w:szCs w:val="18"/>
              </w:rPr>
              <w:t>占有关</w:t>
            </w:r>
            <w:proofErr w:type="gramEnd"/>
            <w:r>
              <w:rPr>
                <w:rFonts w:ascii="Arial" w:eastAsia="黑体" w:hAnsi="Arial" w:cs="Arial"/>
                <w:sz w:val="18"/>
                <w:szCs w:val="18"/>
              </w:rPr>
              <w:t>同类交易比例</w:t>
            </w:r>
            <w:r>
              <w:rPr>
                <w:rFonts w:ascii="Arial" w:eastAsia="黑体" w:hAnsi="Arial" w:cs="Arial"/>
                <w:sz w:val="18"/>
                <w:szCs w:val="18"/>
              </w:rPr>
              <w:t xml:space="preserve">% </w:t>
            </w: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8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利息收入</w:t>
            </w:r>
            <w:r>
              <w:rPr>
                <w:rFonts w:ascii="Arial" w:eastAsia="黑体" w:hAnsi="Arial" w:cs="Arial"/>
                <w:sz w:val="18"/>
                <w:szCs w:val="18"/>
              </w:rPr>
              <w:t xml:space="preserve"> </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317,537.81</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8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0.01%</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490,021.28</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0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0.01%</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8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0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利息支出</w:t>
            </w:r>
            <w:r>
              <w:rPr>
                <w:rFonts w:ascii="Arial" w:eastAsia="黑体" w:hAnsi="Arial" w:cs="Arial"/>
                <w:sz w:val="18"/>
                <w:szCs w:val="18"/>
              </w:rPr>
              <w:t xml:space="preserve"> </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773,486.27</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8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0.02%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537,970.00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0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0.01%</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bl>
    <w:p w:rsidR="00AD5BB5" w:rsidRDefault="00AD5BB5">
      <w:pPr>
        <w:overflowPunct w:val="0"/>
        <w:autoSpaceDE w:val="0"/>
        <w:autoSpaceDN w:val="0"/>
        <w:rPr>
          <w:rFonts w:ascii="Arial" w:eastAsia="黑体" w:hAnsi="Arial" w:cs="Arial"/>
        </w:rPr>
      </w:pPr>
    </w:p>
    <w:p w:rsidR="00AD5BB5" w:rsidRDefault="00F87FF6">
      <w:pPr>
        <w:pStyle w:val="af5"/>
        <w:overflowPunct w:val="0"/>
        <w:autoSpaceDE w:val="0"/>
        <w:autoSpaceDN w:val="0"/>
        <w:adjustRightInd w:val="0"/>
        <w:snapToGrid w:val="0"/>
        <w:spacing w:before="0" w:after="0"/>
        <w:ind w:left="720" w:hanging="720"/>
        <w:jc w:val="both"/>
        <w:textAlignment w:val="bottom"/>
        <w:outlineLvl w:val="3"/>
        <w:rPr>
          <w:rFonts w:ascii="Arial" w:eastAsia="黑体" w:hAnsi="Arial" w:cs="Arial" w:hint="default"/>
          <w:bCs w:val="0"/>
          <w:snapToGrid w:val="0"/>
          <w:color w:val="auto"/>
          <w:sz w:val="21"/>
          <w:szCs w:val="21"/>
        </w:rPr>
      </w:pPr>
      <w:bookmarkStart w:id="529" w:name="afsaddin_Section_89ee3a0d33b4447a856ee7a"/>
      <w:r>
        <w:rPr>
          <w:rFonts w:ascii="Arial" w:eastAsia="黑体" w:hAnsi="Arial" w:cs="Arial" w:hint="default"/>
          <w:bCs w:val="0"/>
          <w:snapToGrid w:val="0"/>
          <w:color w:val="auto"/>
          <w:sz w:val="21"/>
          <w:szCs w:val="21"/>
        </w:rPr>
        <w:t>2.3</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与本行控股子公司之交易</w:t>
      </w:r>
    </w:p>
    <w:bookmarkEnd w:id="529"/>
    <w:p w:rsidR="00AD5BB5" w:rsidRDefault="00AD5BB5">
      <w:pPr>
        <w:overflowPunct w:val="0"/>
        <w:autoSpaceDE w:val="0"/>
        <w:autoSpaceDN w:val="0"/>
        <w:rPr>
          <w:rFonts w:ascii="Arial" w:eastAsia="黑体" w:hAnsi="Arial" w:cs="Arial"/>
        </w:rPr>
      </w:pPr>
    </w:p>
    <w:tbl>
      <w:tblPr>
        <w:tblW w:w="0" w:type="auto"/>
        <w:tblLayout w:type="fixed"/>
        <w:tblCellMar>
          <w:left w:w="0" w:type="dxa"/>
          <w:right w:w="0" w:type="dxa"/>
        </w:tblCellMar>
        <w:tblLook w:val="04A0" w:firstRow="1" w:lastRow="0" w:firstColumn="1" w:lastColumn="0" w:noHBand="0" w:noVBand="1"/>
        <w:tblCaption w:val="e3b4d9a1-2ed9-4587-956b-e7be4fe22729"/>
        <w:tblDescription w:val="{&quot;UUID&quot;:&quot;afsaddin_tabledata_2_56437_e3b4d9a1-2ed9-4587-956b-e7be4fe22729&quot;,&quot;TitleRowCount&quot;:3,&quot;SplitedTable&quot;:false,&quot;FirstTableId&quot;:&quot;e3b4d9a1-2ed9-4587-956b-e7be4fe22729&quot;}"/>
      </w:tblPr>
      <w:tblGrid>
        <w:gridCol w:w="2450"/>
        <w:gridCol w:w="107"/>
        <w:gridCol w:w="1629"/>
        <w:gridCol w:w="106"/>
        <w:gridCol w:w="106"/>
        <w:gridCol w:w="989"/>
        <w:gridCol w:w="106"/>
        <w:gridCol w:w="106"/>
        <w:gridCol w:w="1587"/>
        <w:gridCol w:w="106"/>
        <w:gridCol w:w="106"/>
        <w:gridCol w:w="943"/>
        <w:gridCol w:w="106"/>
      </w:tblGrid>
      <w:tr w:rsidR="00AD5BB5">
        <w:tc>
          <w:tcPr>
            <w:tcW w:w="2450"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交易名称</w:t>
            </w:r>
            <w:r>
              <w:rPr>
                <w:rFonts w:ascii="Arial" w:eastAsia="黑体" w:hAnsi="Arial" w:cs="Arial"/>
                <w:sz w:val="18"/>
                <w:szCs w:val="18"/>
              </w:rPr>
              <w:t xml:space="preserve"> </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830" w:type="dxa"/>
            <w:gridSpan w:val="4"/>
            <w:tcBorders>
              <w:top w:val="nil"/>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DOCPROPERTY </w:instrText>
            </w:r>
            <w:r>
              <w:rPr>
                <w:rFonts w:ascii="Arial" w:eastAsia="黑体" w:hAnsi="Arial" w:cs="Arial"/>
                <w:sz w:val="18"/>
                <w:szCs w:val="18"/>
              </w:rPr>
              <w:instrText>当期会计期间</w:instrText>
            </w:r>
            <w:r>
              <w:rPr>
                <w:rFonts w:ascii="Arial" w:eastAsia="黑体" w:hAnsi="Arial" w:cs="Arial"/>
                <w:sz w:val="18"/>
                <w:szCs w:val="18"/>
              </w:rPr>
              <w:fldChar w:fldCharType="separate"/>
            </w:r>
            <w:r>
              <w:rPr>
                <w:rFonts w:ascii="Arial" w:eastAsia="黑体" w:hAnsi="Arial" w:cs="Arial"/>
                <w:sz w:val="18"/>
                <w:szCs w:val="18"/>
              </w:rPr>
              <w:t>2023</w:t>
            </w:r>
            <w:r>
              <w:rPr>
                <w:rFonts w:ascii="Arial" w:eastAsia="黑体" w:hAnsi="Arial" w:cs="Arial"/>
                <w:sz w:val="18"/>
                <w:szCs w:val="18"/>
              </w:rPr>
              <w:fldChar w:fldCharType="end"/>
            </w:r>
            <w:r>
              <w:rPr>
                <w:rFonts w:ascii="Arial" w:eastAsia="黑体" w:hAnsi="Arial" w:cs="Arial"/>
                <w:sz w:val="18"/>
                <w:szCs w:val="18"/>
              </w:rPr>
              <w:t>年</w:t>
            </w:r>
            <w:r>
              <w:rPr>
                <w:rFonts w:ascii="Arial" w:eastAsia="黑体" w:hAnsi="Arial" w:cs="Arial"/>
                <w:sz w:val="18"/>
                <w:szCs w:val="18"/>
              </w:rPr>
              <w:t>1-6</w:t>
            </w:r>
            <w:r>
              <w:rPr>
                <w:rFonts w:ascii="Arial" w:eastAsia="黑体" w:hAnsi="Arial" w:cs="Arial"/>
                <w:sz w:val="18"/>
                <w:szCs w:val="18"/>
              </w:rPr>
              <w:t>月</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742" w:type="dxa"/>
            <w:gridSpan w:val="4"/>
            <w:tcBorders>
              <w:top w:val="nil"/>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DOCPROPERTY </w:instrText>
            </w:r>
            <w:r>
              <w:rPr>
                <w:rFonts w:ascii="Arial" w:eastAsia="黑体" w:hAnsi="Arial" w:cs="Arial"/>
                <w:sz w:val="18"/>
                <w:szCs w:val="18"/>
              </w:rPr>
              <w:instrText>对比会计期间</w:instrText>
            </w:r>
            <w:r>
              <w:rPr>
                <w:rFonts w:ascii="Arial" w:eastAsia="黑体" w:hAnsi="Arial" w:cs="Arial"/>
                <w:sz w:val="18"/>
                <w:szCs w:val="18"/>
              </w:rPr>
              <w:fldChar w:fldCharType="separate"/>
            </w:r>
            <w:r>
              <w:rPr>
                <w:rFonts w:ascii="Arial" w:eastAsia="黑体" w:hAnsi="Arial" w:cs="Arial"/>
                <w:sz w:val="18"/>
                <w:szCs w:val="18"/>
              </w:rPr>
              <w:t>2022</w:t>
            </w:r>
            <w:r>
              <w:rPr>
                <w:rFonts w:ascii="Arial" w:eastAsia="黑体" w:hAnsi="Arial" w:cs="Arial"/>
                <w:sz w:val="18"/>
                <w:szCs w:val="18"/>
              </w:rPr>
              <w:fldChar w:fldCharType="end"/>
            </w:r>
            <w:r>
              <w:rPr>
                <w:rFonts w:ascii="Arial" w:eastAsia="黑体" w:hAnsi="Arial" w:cs="Arial"/>
                <w:sz w:val="18"/>
                <w:szCs w:val="18"/>
              </w:rPr>
              <w:t>年</w:t>
            </w:r>
            <w:r>
              <w:rPr>
                <w:rFonts w:ascii="Arial" w:eastAsia="黑体" w:hAnsi="Arial" w:cs="Arial"/>
                <w:sz w:val="18"/>
                <w:szCs w:val="18"/>
              </w:rPr>
              <w:t>1-6</w:t>
            </w:r>
            <w:r>
              <w:rPr>
                <w:rFonts w:ascii="Arial" w:eastAsia="黑体" w:hAnsi="Arial" w:cs="Arial"/>
                <w:sz w:val="18"/>
                <w:szCs w:val="18"/>
              </w:rPr>
              <w:t>月</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交易金额</w:t>
            </w:r>
            <w:r>
              <w:rPr>
                <w:rFonts w:ascii="Arial" w:eastAsia="黑体" w:hAnsi="Arial" w:cs="Arial"/>
                <w:sz w:val="18"/>
                <w:szCs w:val="18"/>
              </w:rPr>
              <w:t xml:space="preserve"> </w:t>
            </w: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989" w:type="dxa"/>
            <w:tcBorders>
              <w:top w:val="nil"/>
              <w:left w:val="nil"/>
              <w:bottom w:val="nil"/>
              <w:right w:val="nil"/>
            </w:tcBorders>
            <w:vAlign w:val="bottom"/>
          </w:tcPr>
          <w:p w:rsidR="00AD5BB5" w:rsidRDefault="00F87FF6">
            <w:pPr>
              <w:autoSpaceDE w:val="0"/>
              <w:autoSpaceDN w:val="0"/>
              <w:ind w:leftChars="-32" w:left="-2" w:rightChars="11" w:right="23" w:hangingChars="36" w:hanging="65"/>
              <w:jc w:val="right"/>
              <w:rPr>
                <w:rFonts w:ascii="Arial" w:eastAsia="黑体" w:hAnsi="Arial" w:cs="Arial"/>
                <w:sz w:val="18"/>
                <w:szCs w:val="18"/>
              </w:rPr>
            </w:pPr>
            <w:r>
              <w:rPr>
                <w:rFonts w:ascii="Arial" w:eastAsia="黑体" w:hAnsi="Arial" w:cs="Arial"/>
                <w:sz w:val="18"/>
                <w:szCs w:val="18"/>
              </w:rPr>
              <w:t xml:space="preserve"> </w:t>
            </w:r>
            <w:proofErr w:type="gramStart"/>
            <w:r>
              <w:rPr>
                <w:rFonts w:ascii="Arial" w:eastAsia="黑体" w:hAnsi="Arial" w:cs="Arial"/>
                <w:sz w:val="18"/>
                <w:szCs w:val="18"/>
              </w:rPr>
              <w:t>占有关</w:t>
            </w:r>
            <w:proofErr w:type="gramEnd"/>
            <w:r>
              <w:rPr>
                <w:rFonts w:ascii="Arial" w:eastAsia="黑体" w:hAnsi="Arial" w:cs="Arial"/>
                <w:sz w:val="18"/>
                <w:szCs w:val="18"/>
              </w:rPr>
              <w:t>同类交易比例</w:t>
            </w:r>
            <w:r>
              <w:rPr>
                <w:rFonts w:ascii="Arial" w:eastAsia="黑体" w:hAnsi="Arial" w:cs="Arial"/>
                <w:sz w:val="18"/>
                <w:szCs w:val="18"/>
              </w:rPr>
              <w:t xml:space="preserve">% </w:t>
            </w: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58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交易金额</w:t>
            </w:r>
            <w:r>
              <w:rPr>
                <w:rFonts w:ascii="Arial" w:eastAsia="黑体" w:hAnsi="Arial" w:cs="Arial"/>
                <w:sz w:val="18"/>
                <w:szCs w:val="18"/>
              </w:rPr>
              <w:t xml:space="preserve"> </w:t>
            </w: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943" w:type="dxa"/>
            <w:tcBorders>
              <w:top w:val="nil"/>
              <w:left w:val="nil"/>
              <w:bottom w:val="nil"/>
              <w:right w:val="nil"/>
            </w:tcBorders>
            <w:vAlign w:val="bottom"/>
          </w:tcPr>
          <w:p w:rsidR="00AD5BB5" w:rsidRDefault="00F87FF6">
            <w:pPr>
              <w:autoSpaceDE w:val="0"/>
              <w:autoSpaceDN w:val="0"/>
              <w:ind w:leftChars="-30" w:left="-2" w:rightChars="5" w:right="10" w:hangingChars="34" w:hanging="61"/>
              <w:jc w:val="right"/>
              <w:rPr>
                <w:rFonts w:ascii="Arial" w:eastAsia="黑体" w:hAnsi="Arial" w:cs="Arial"/>
                <w:sz w:val="18"/>
                <w:szCs w:val="18"/>
              </w:rPr>
            </w:pPr>
            <w:r>
              <w:rPr>
                <w:rFonts w:ascii="Arial" w:eastAsia="黑体" w:hAnsi="Arial" w:cs="Arial"/>
                <w:sz w:val="18"/>
                <w:szCs w:val="18"/>
              </w:rPr>
              <w:t xml:space="preserve"> </w:t>
            </w:r>
            <w:proofErr w:type="gramStart"/>
            <w:r>
              <w:rPr>
                <w:rFonts w:ascii="Arial" w:eastAsia="黑体" w:hAnsi="Arial" w:cs="Arial"/>
                <w:sz w:val="18"/>
                <w:szCs w:val="18"/>
              </w:rPr>
              <w:t>占有关</w:t>
            </w:r>
            <w:proofErr w:type="gramEnd"/>
            <w:r>
              <w:rPr>
                <w:rFonts w:ascii="Arial" w:eastAsia="黑体" w:hAnsi="Arial" w:cs="Arial"/>
                <w:sz w:val="18"/>
                <w:szCs w:val="18"/>
              </w:rPr>
              <w:t>同类交易比例</w:t>
            </w:r>
            <w:r>
              <w:rPr>
                <w:rFonts w:ascii="Arial" w:eastAsia="黑体" w:hAnsi="Arial" w:cs="Arial"/>
                <w:sz w:val="18"/>
                <w:szCs w:val="18"/>
              </w:rPr>
              <w:t xml:space="preserve">% </w:t>
            </w: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8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4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利息收入</w:t>
            </w:r>
            <w:r>
              <w:rPr>
                <w:rFonts w:ascii="Arial" w:eastAsia="黑体" w:hAnsi="Arial" w:cs="Arial"/>
                <w:sz w:val="18"/>
                <w:szCs w:val="18"/>
              </w:rPr>
              <w:t xml:space="preserve"> </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12,088,561.11</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8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0.21%</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12,778,984.72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4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0.22%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8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4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利息支出</w:t>
            </w:r>
            <w:r>
              <w:rPr>
                <w:rFonts w:ascii="Arial" w:eastAsia="黑体" w:hAnsi="Arial" w:cs="Arial"/>
                <w:sz w:val="18"/>
                <w:szCs w:val="18"/>
              </w:rPr>
              <w:t xml:space="preserve"> </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64,828.33</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8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0.00%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9,151.71</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4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0.00%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8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4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手续费及佣金收入</w:t>
            </w:r>
            <w:r>
              <w:rPr>
                <w:rFonts w:ascii="Arial" w:eastAsia="黑体" w:hAnsi="Arial" w:cs="Arial"/>
                <w:sz w:val="18"/>
                <w:szCs w:val="18"/>
              </w:rPr>
              <w:t xml:space="preserve"> </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3,429,686.19</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8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1.02%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413,755.63</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4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0.13%</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8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4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投资收益</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8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0.00%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50,220,000.00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4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13.34%</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8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4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其他业务收入</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8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0.00%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308,799.36</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4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27.27%</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bl>
    <w:p w:rsidR="00AD5BB5" w:rsidRDefault="00AD5BB5">
      <w:pPr>
        <w:overflowPunct w:val="0"/>
        <w:autoSpaceDE w:val="0"/>
        <w:autoSpaceDN w:val="0"/>
        <w:rPr>
          <w:rFonts w:ascii="Arial" w:eastAsia="黑体" w:hAnsi="Arial" w:cs="Arial"/>
        </w:rPr>
      </w:pPr>
    </w:p>
    <w:p w:rsidR="00AD5BB5" w:rsidRDefault="00F87FF6">
      <w:pPr>
        <w:pStyle w:val="af5"/>
        <w:overflowPunct w:val="0"/>
        <w:autoSpaceDE w:val="0"/>
        <w:autoSpaceDN w:val="0"/>
        <w:adjustRightInd w:val="0"/>
        <w:snapToGrid w:val="0"/>
        <w:spacing w:before="0" w:after="0"/>
        <w:ind w:left="720" w:hanging="720"/>
        <w:jc w:val="both"/>
        <w:textAlignment w:val="bottom"/>
        <w:outlineLvl w:val="3"/>
        <w:rPr>
          <w:rFonts w:ascii="Arial" w:eastAsia="黑体" w:hAnsi="Arial" w:cs="Arial" w:hint="default"/>
          <w:bCs w:val="0"/>
          <w:snapToGrid w:val="0"/>
          <w:color w:val="auto"/>
          <w:sz w:val="21"/>
          <w:szCs w:val="21"/>
        </w:rPr>
      </w:pPr>
      <w:bookmarkStart w:id="530" w:name="afsaddin_Section_492cadcb1d32444aa8f6f96"/>
      <w:r>
        <w:rPr>
          <w:rFonts w:ascii="Arial" w:eastAsia="黑体" w:hAnsi="Arial" w:cs="Arial" w:hint="default"/>
          <w:bCs w:val="0"/>
          <w:snapToGrid w:val="0"/>
          <w:color w:val="auto"/>
          <w:sz w:val="21"/>
          <w:szCs w:val="21"/>
        </w:rPr>
        <w:t>2.4</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与本行其他关联方之交易</w:t>
      </w:r>
    </w:p>
    <w:bookmarkEnd w:id="530"/>
    <w:p w:rsidR="00AD5BB5" w:rsidRDefault="00AD5BB5">
      <w:pPr>
        <w:overflowPunct w:val="0"/>
        <w:autoSpaceDE w:val="0"/>
        <w:autoSpaceDN w:val="0"/>
        <w:rPr>
          <w:rFonts w:ascii="Arial" w:eastAsia="黑体" w:hAnsi="Arial" w:cs="Arial"/>
        </w:rPr>
      </w:pPr>
    </w:p>
    <w:tbl>
      <w:tblPr>
        <w:tblW w:w="0" w:type="auto"/>
        <w:tblLayout w:type="fixed"/>
        <w:tblCellMar>
          <w:left w:w="0" w:type="dxa"/>
          <w:right w:w="0" w:type="dxa"/>
        </w:tblCellMar>
        <w:tblLook w:val="04A0" w:firstRow="1" w:lastRow="0" w:firstColumn="1" w:lastColumn="0" w:noHBand="0" w:noVBand="1"/>
        <w:tblCaption w:val="a90bb930-0abe-43d2-9975-c35f45813ed0"/>
        <w:tblDescription w:val="{&quot;UUID&quot;:&quot;afsaddin_tabledata_2_56437_a90bb930-0abe-43d2-9975-c35f45813ed0&quot;,&quot;TitleRowCount&quot;:3,&quot;SplitedTable&quot;:false,&quot;FirstTableId&quot;:&quot;a90bb930-0abe-43d2-9975-c35f45813ed0&quot;}"/>
      </w:tblPr>
      <w:tblGrid>
        <w:gridCol w:w="2450"/>
        <w:gridCol w:w="107"/>
        <w:gridCol w:w="1629"/>
        <w:gridCol w:w="106"/>
        <w:gridCol w:w="106"/>
        <w:gridCol w:w="1131"/>
        <w:gridCol w:w="106"/>
        <w:gridCol w:w="106"/>
        <w:gridCol w:w="1587"/>
        <w:gridCol w:w="106"/>
        <w:gridCol w:w="106"/>
        <w:gridCol w:w="1107"/>
        <w:gridCol w:w="106"/>
      </w:tblGrid>
      <w:tr w:rsidR="00AD5BB5">
        <w:tc>
          <w:tcPr>
            <w:tcW w:w="2450"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交易名称</w:t>
            </w:r>
            <w:r>
              <w:rPr>
                <w:rFonts w:ascii="Arial" w:eastAsia="黑体" w:hAnsi="Arial" w:cs="Arial"/>
                <w:sz w:val="18"/>
                <w:szCs w:val="18"/>
              </w:rPr>
              <w:t xml:space="preserve"> </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972" w:type="dxa"/>
            <w:gridSpan w:val="4"/>
            <w:tcBorders>
              <w:top w:val="nil"/>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DOCPROPERTY </w:instrText>
            </w:r>
            <w:r>
              <w:rPr>
                <w:rFonts w:ascii="Arial" w:eastAsia="黑体" w:hAnsi="Arial" w:cs="Arial"/>
                <w:sz w:val="18"/>
                <w:szCs w:val="18"/>
              </w:rPr>
              <w:instrText>当期会计期间</w:instrText>
            </w:r>
            <w:r>
              <w:rPr>
                <w:rFonts w:ascii="Arial" w:eastAsia="黑体" w:hAnsi="Arial" w:cs="Arial"/>
                <w:sz w:val="18"/>
                <w:szCs w:val="18"/>
              </w:rPr>
              <w:fldChar w:fldCharType="separate"/>
            </w:r>
            <w:r>
              <w:rPr>
                <w:rFonts w:ascii="Arial" w:eastAsia="黑体" w:hAnsi="Arial" w:cs="Arial"/>
                <w:sz w:val="18"/>
                <w:szCs w:val="18"/>
              </w:rPr>
              <w:t>2023</w:t>
            </w:r>
            <w:r>
              <w:rPr>
                <w:rFonts w:ascii="Arial" w:eastAsia="黑体" w:hAnsi="Arial" w:cs="Arial"/>
                <w:sz w:val="18"/>
                <w:szCs w:val="18"/>
              </w:rPr>
              <w:fldChar w:fldCharType="end"/>
            </w:r>
            <w:r>
              <w:rPr>
                <w:rFonts w:ascii="Arial" w:eastAsia="黑体" w:hAnsi="Arial" w:cs="Arial"/>
                <w:sz w:val="18"/>
                <w:szCs w:val="18"/>
              </w:rPr>
              <w:t>年</w:t>
            </w:r>
            <w:r>
              <w:rPr>
                <w:rFonts w:ascii="Arial" w:eastAsia="黑体" w:hAnsi="Arial" w:cs="Arial"/>
                <w:sz w:val="18"/>
                <w:szCs w:val="18"/>
              </w:rPr>
              <w:t>1-6</w:t>
            </w:r>
            <w:r>
              <w:rPr>
                <w:rFonts w:ascii="Arial" w:eastAsia="黑体" w:hAnsi="Arial" w:cs="Arial"/>
                <w:sz w:val="18"/>
                <w:szCs w:val="18"/>
              </w:rPr>
              <w:t>月</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906" w:type="dxa"/>
            <w:gridSpan w:val="4"/>
            <w:tcBorders>
              <w:top w:val="nil"/>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DOCPROPERTY </w:instrText>
            </w:r>
            <w:r>
              <w:rPr>
                <w:rFonts w:ascii="Arial" w:eastAsia="黑体" w:hAnsi="Arial" w:cs="Arial"/>
                <w:sz w:val="18"/>
                <w:szCs w:val="18"/>
              </w:rPr>
              <w:instrText>对比会计期间</w:instrText>
            </w:r>
            <w:r>
              <w:rPr>
                <w:rFonts w:ascii="Arial" w:eastAsia="黑体" w:hAnsi="Arial" w:cs="Arial"/>
                <w:sz w:val="18"/>
                <w:szCs w:val="18"/>
              </w:rPr>
              <w:fldChar w:fldCharType="separate"/>
            </w:r>
            <w:r>
              <w:rPr>
                <w:rFonts w:ascii="Arial" w:eastAsia="黑体" w:hAnsi="Arial" w:cs="Arial"/>
                <w:sz w:val="18"/>
                <w:szCs w:val="18"/>
              </w:rPr>
              <w:t>2022</w:t>
            </w:r>
            <w:r>
              <w:rPr>
                <w:rFonts w:ascii="Arial" w:eastAsia="黑体" w:hAnsi="Arial" w:cs="Arial"/>
                <w:sz w:val="18"/>
                <w:szCs w:val="18"/>
              </w:rPr>
              <w:fldChar w:fldCharType="end"/>
            </w:r>
            <w:r>
              <w:rPr>
                <w:rFonts w:ascii="Arial" w:eastAsia="黑体" w:hAnsi="Arial" w:cs="Arial"/>
                <w:sz w:val="18"/>
                <w:szCs w:val="18"/>
              </w:rPr>
              <w:t>年</w:t>
            </w:r>
            <w:r>
              <w:rPr>
                <w:rFonts w:ascii="Arial" w:eastAsia="黑体" w:hAnsi="Arial" w:cs="Arial"/>
                <w:sz w:val="18"/>
                <w:szCs w:val="18"/>
              </w:rPr>
              <w:t>1-6</w:t>
            </w:r>
            <w:r>
              <w:rPr>
                <w:rFonts w:ascii="Arial" w:eastAsia="黑体" w:hAnsi="Arial" w:cs="Arial"/>
                <w:sz w:val="18"/>
                <w:szCs w:val="18"/>
              </w:rPr>
              <w:t>月</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交易金额</w:t>
            </w:r>
            <w:r>
              <w:rPr>
                <w:rFonts w:ascii="Arial" w:eastAsia="黑体" w:hAnsi="Arial" w:cs="Arial"/>
                <w:sz w:val="18"/>
                <w:szCs w:val="18"/>
              </w:rPr>
              <w:t xml:space="preserve"> </w:t>
            </w: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1" w:type="dxa"/>
            <w:tcBorders>
              <w:top w:val="nil"/>
              <w:left w:val="nil"/>
              <w:bottom w:val="nil"/>
              <w:right w:val="nil"/>
            </w:tcBorders>
            <w:vAlign w:val="bottom"/>
          </w:tcPr>
          <w:p w:rsidR="00AD5BB5" w:rsidRDefault="00F87FF6">
            <w:pPr>
              <w:autoSpaceDE w:val="0"/>
              <w:autoSpaceDN w:val="0"/>
              <w:ind w:right="1"/>
              <w:jc w:val="right"/>
              <w:rPr>
                <w:rFonts w:ascii="Arial" w:eastAsia="黑体" w:hAnsi="Arial" w:cs="Arial"/>
                <w:sz w:val="18"/>
                <w:szCs w:val="18"/>
              </w:rPr>
            </w:pPr>
            <w:r>
              <w:rPr>
                <w:rFonts w:ascii="Arial" w:eastAsia="黑体" w:hAnsi="Arial" w:cs="Arial"/>
                <w:sz w:val="18"/>
                <w:szCs w:val="18"/>
              </w:rPr>
              <w:t xml:space="preserve"> </w:t>
            </w:r>
            <w:proofErr w:type="gramStart"/>
            <w:r>
              <w:rPr>
                <w:rFonts w:ascii="Arial" w:eastAsia="黑体" w:hAnsi="Arial" w:cs="Arial"/>
                <w:sz w:val="18"/>
                <w:szCs w:val="18"/>
              </w:rPr>
              <w:t>占有关</w:t>
            </w:r>
            <w:proofErr w:type="gramEnd"/>
            <w:r>
              <w:rPr>
                <w:rFonts w:ascii="Arial" w:eastAsia="黑体" w:hAnsi="Arial" w:cs="Arial"/>
                <w:sz w:val="18"/>
                <w:szCs w:val="18"/>
              </w:rPr>
              <w:t>同类交易比例</w:t>
            </w:r>
            <w:r>
              <w:rPr>
                <w:rFonts w:ascii="Arial" w:eastAsia="黑体" w:hAnsi="Arial" w:cs="Arial"/>
                <w:sz w:val="18"/>
                <w:szCs w:val="18"/>
              </w:rPr>
              <w:t xml:space="preserve">% </w:t>
            </w: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58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交易金额</w:t>
            </w:r>
            <w:r>
              <w:rPr>
                <w:rFonts w:ascii="Arial" w:eastAsia="黑体" w:hAnsi="Arial" w:cs="Arial"/>
                <w:sz w:val="18"/>
                <w:szCs w:val="18"/>
              </w:rPr>
              <w:t xml:space="preserve"> </w:t>
            </w: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07" w:type="dxa"/>
            <w:tcBorders>
              <w:top w:val="nil"/>
              <w:left w:val="nil"/>
              <w:bottom w:val="nil"/>
              <w:right w:val="nil"/>
            </w:tcBorders>
            <w:vAlign w:val="bottom"/>
          </w:tcPr>
          <w:p w:rsidR="00AD5BB5" w:rsidRDefault="00F87FF6">
            <w:pPr>
              <w:autoSpaceDE w:val="0"/>
              <w:autoSpaceDN w:val="0"/>
              <w:ind w:rightChars="11" w:right="23"/>
              <w:jc w:val="right"/>
              <w:rPr>
                <w:rFonts w:ascii="Arial" w:eastAsia="黑体" w:hAnsi="Arial" w:cs="Arial"/>
                <w:sz w:val="18"/>
                <w:szCs w:val="18"/>
              </w:rPr>
            </w:pPr>
            <w:r>
              <w:rPr>
                <w:rFonts w:ascii="Arial" w:eastAsia="黑体" w:hAnsi="Arial" w:cs="Arial"/>
                <w:sz w:val="18"/>
                <w:szCs w:val="18"/>
              </w:rPr>
              <w:t xml:space="preserve"> </w:t>
            </w:r>
            <w:proofErr w:type="gramStart"/>
            <w:r>
              <w:rPr>
                <w:rFonts w:ascii="Arial" w:eastAsia="黑体" w:hAnsi="Arial" w:cs="Arial"/>
                <w:sz w:val="18"/>
                <w:szCs w:val="18"/>
              </w:rPr>
              <w:t>占有关</w:t>
            </w:r>
            <w:proofErr w:type="gramEnd"/>
            <w:r>
              <w:rPr>
                <w:rFonts w:ascii="Arial" w:eastAsia="黑体" w:hAnsi="Arial" w:cs="Arial"/>
                <w:sz w:val="18"/>
                <w:szCs w:val="18"/>
              </w:rPr>
              <w:t>同类交易比例</w:t>
            </w:r>
            <w:r>
              <w:rPr>
                <w:rFonts w:ascii="Arial" w:eastAsia="黑体" w:hAnsi="Arial" w:cs="Arial"/>
                <w:sz w:val="18"/>
                <w:szCs w:val="18"/>
              </w:rPr>
              <w:t xml:space="preserve">% </w:t>
            </w: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利息收入</w:t>
            </w:r>
            <w:r>
              <w:rPr>
                <w:rFonts w:ascii="Arial" w:eastAsia="黑体" w:hAnsi="Arial" w:cs="Arial"/>
                <w:sz w:val="18"/>
                <w:szCs w:val="18"/>
              </w:rPr>
              <w:t xml:space="preserve"> </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35,912,417.52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0.62%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36,989,127.84</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0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0.65%</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0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利息支出</w:t>
            </w:r>
            <w:r>
              <w:rPr>
                <w:rFonts w:ascii="Arial" w:eastAsia="黑体" w:hAnsi="Arial" w:cs="Arial"/>
                <w:sz w:val="18"/>
                <w:szCs w:val="18"/>
              </w:rPr>
              <w:t xml:space="preserve"> </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121,277,657.19</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3.17%</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147,664,833.03</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0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4.03%</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0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手续费及佣金收入</w:t>
            </w:r>
            <w:r>
              <w:rPr>
                <w:rFonts w:ascii="Arial" w:eastAsia="黑体" w:hAnsi="Arial" w:cs="Arial"/>
                <w:sz w:val="18"/>
                <w:szCs w:val="18"/>
              </w:rPr>
              <w:t xml:space="preserve"> </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133,224.00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0.04%</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231,301.57</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0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0.07%</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0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业务及管理费</w:t>
            </w:r>
            <w:r>
              <w:rPr>
                <w:rFonts w:ascii="Arial" w:eastAsia="黑体" w:hAnsi="Arial" w:cs="Arial"/>
                <w:sz w:val="18"/>
                <w:szCs w:val="18"/>
              </w:rPr>
              <w:t xml:space="preserve"> </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2,211,960.00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1"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0.21%</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2,576,990.00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0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0.28%</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bl>
    <w:p w:rsidR="00AD5BB5" w:rsidRDefault="00F87FF6">
      <w:pPr>
        <w:rPr>
          <w:rFonts w:ascii="Arial" w:eastAsia="黑体" w:hAnsi="Arial" w:cs="Arial"/>
        </w:rPr>
      </w:pPr>
      <w:r>
        <w:rPr>
          <w:rFonts w:ascii="Arial" w:eastAsia="黑体" w:hAnsi="Arial" w:cs="Arial"/>
        </w:rPr>
        <w:br w:type="page"/>
      </w:r>
    </w:p>
    <w:p w:rsidR="00AD5BB5" w:rsidRDefault="00AD5BB5">
      <w:pPr>
        <w:overflowPunct w:val="0"/>
        <w:autoSpaceDE w:val="0"/>
        <w:autoSpaceDN w:val="0"/>
        <w:rPr>
          <w:rFonts w:ascii="Arial" w:eastAsia="黑体" w:hAnsi="Arial" w:cs="Arial"/>
        </w:rPr>
      </w:pPr>
    </w:p>
    <w:p w:rsidR="00AD5BB5" w:rsidRDefault="00AD5BB5">
      <w:pPr>
        <w:overflowPunct w:val="0"/>
        <w:autoSpaceDE w:val="0"/>
        <w:autoSpaceDN w:val="0"/>
        <w:rPr>
          <w:rFonts w:ascii="Arial" w:eastAsia="黑体" w:hAnsi="Arial" w:cs="Arial"/>
        </w:rPr>
      </w:pPr>
    </w:p>
    <w:p w:rsidR="00AD5BB5" w:rsidRDefault="00F87FF6">
      <w:pPr>
        <w:overflowPunct w:val="0"/>
        <w:autoSpaceDE w:val="0"/>
        <w:autoSpaceDN w:val="0"/>
        <w:rPr>
          <w:rFonts w:ascii="Arial" w:eastAsia="黑体" w:hAnsi="Arial" w:cs="Arial"/>
          <w:b/>
        </w:rPr>
      </w:pPr>
      <w:bookmarkStart w:id="531" w:name="afsaddin_WithXu_2a0976380ab84c9fa35dc4a9"/>
      <w:r>
        <w:rPr>
          <w:rFonts w:ascii="Arial" w:eastAsia="黑体" w:hAnsi="Arial" w:cs="Arial"/>
          <w:b/>
        </w:rPr>
        <w:t>九、</w:t>
      </w:r>
      <w:r>
        <w:rPr>
          <w:rFonts w:ascii="Arial" w:eastAsia="黑体" w:hAnsi="Arial" w:cs="Arial"/>
          <w:b/>
        </w:rPr>
        <w:tab/>
      </w:r>
      <w:r>
        <w:rPr>
          <w:rFonts w:ascii="Arial" w:eastAsia="黑体" w:hAnsi="Arial" w:cs="Arial"/>
          <w:b/>
        </w:rPr>
        <w:t>关联方关系及其交易（续）</w:t>
      </w:r>
      <w:bookmarkEnd w:id="531"/>
    </w:p>
    <w:p w:rsidR="00AD5BB5" w:rsidRDefault="00AD5BB5">
      <w:pPr>
        <w:overflowPunct w:val="0"/>
        <w:autoSpaceDE w:val="0"/>
        <w:autoSpaceDN w:val="0"/>
        <w:rPr>
          <w:rFonts w:ascii="Arial" w:eastAsia="黑体" w:hAnsi="Arial" w:cs="Arial"/>
        </w:rPr>
      </w:pPr>
    </w:p>
    <w:p w:rsidR="00AD5BB5" w:rsidRDefault="00F87FF6">
      <w:pPr>
        <w:overflowPunct w:val="0"/>
        <w:autoSpaceDE w:val="0"/>
        <w:autoSpaceDN w:val="0"/>
        <w:ind w:left="720" w:hanging="720"/>
        <w:rPr>
          <w:rFonts w:ascii="Arial" w:eastAsia="黑体" w:hAnsi="Arial" w:cs="Arial"/>
          <w:b/>
        </w:rPr>
      </w:pPr>
      <w:bookmarkStart w:id="532" w:name="afsaddin_WithXu_206772ecb7b845d3b223892a"/>
      <w:r>
        <w:rPr>
          <w:rFonts w:ascii="Arial" w:eastAsia="黑体" w:hAnsi="Arial" w:cs="Arial"/>
          <w:b/>
        </w:rPr>
        <w:t>2.</w:t>
      </w:r>
      <w:r>
        <w:rPr>
          <w:rFonts w:ascii="Arial" w:eastAsia="黑体" w:hAnsi="Arial" w:cs="Arial"/>
          <w:b/>
        </w:rPr>
        <w:tab/>
      </w:r>
      <w:r>
        <w:rPr>
          <w:rFonts w:ascii="Arial" w:eastAsia="黑体" w:hAnsi="Arial" w:cs="Arial"/>
          <w:b/>
        </w:rPr>
        <w:t>本集团与关联方的主要交易（续）</w:t>
      </w:r>
      <w:bookmarkEnd w:id="532"/>
    </w:p>
    <w:p w:rsidR="00AD5BB5" w:rsidRDefault="00AD5BB5">
      <w:pPr>
        <w:overflowPunct w:val="0"/>
        <w:autoSpaceDE w:val="0"/>
        <w:autoSpaceDN w:val="0"/>
        <w:rPr>
          <w:rFonts w:ascii="Arial" w:eastAsia="黑体" w:hAnsi="Arial" w:cs="Arial"/>
        </w:rPr>
      </w:pPr>
    </w:p>
    <w:p w:rsidR="00AD5BB5" w:rsidRDefault="00F87FF6">
      <w:pPr>
        <w:pStyle w:val="af5"/>
        <w:overflowPunct w:val="0"/>
        <w:autoSpaceDE w:val="0"/>
        <w:autoSpaceDN w:val="0"/>
        <w:adjustRightInd w:val="0"/>
        <w:snapToGrid w:val="0"/>
        <w:spacing w:before="0" w:after="0"/>
        <w:ind w:left="720" w:hanging="720"/>
        <w:jc w:val="both"/>
        <w:textAlignment w:val="bottom"/>
        <w:outlineLvl w:val="3"/>
        <w:rPr>
          <w:rFonts w:ascii="Arial" w:eastAsia="黑体" w:hAnsi="Arial" w:cs="Arial" w:hint="default"/>
          <w:bCs w:val="0"/>
          <w:snapToGrid w:val="0"/>
          <w:color w:val="auto"/>
          <w:sz w:val="21"/>
          <w:szCs w:val="21"/>
        </w:rPr>
      </w:pPr>
      <w:bookmarkStart w:id="533" w:name="afsaddin_WithXu_c6aae39fd76248a2bfd987ae"/>
      <w:bookmarkStart w:id="534" w:name="afsaddin_WithXu_d9f54ef2670140b58396f216"/>
      <w:bookmarkStart w:id="535" w:name="afsaddin_Section_7bdce09b40de491a991704b"/>
      <w:bookmarkEnd w:id="533"/>
      <w:bookmarkEnd w:id="534"/>
      <w:r>
        <w:rPr>
          <w:rFonts w:ascii="Arial" w:eastAsia="黑体" w:hAnsi="Arial" w:cs="Arial" w:hint="default"/>
          <w:bCs w:val="0"/>
          <w:snapToGrid w:val="0"/>
          <w:color w:val="auto"/>
          <w:sz w:val="21"/>
          <w:szCs w:val="21"/>
        </w:rPr>
        <w:t>2.5</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关键管理人员薪酬</w:t>
      </w:r>
    </w:p>
    <w:bookmarkEnd w:id="535"/>
    <w:p w:rsidR="00AD5BB5" w:rsidRDefault="00AD5BB5">
      <w:pPr>
        <w:overflowPunct w:val="0"/>
        <w:autoSpaceDE w:val="0"/>
        <w:autoSpaceDN w:val="0"/>
        <w:rPr>
          <w:rFonts w:ascii="Arial" w:eastAsia="黑体" w:hAnsi="Arial" w:cs="Arial"/>
        </w:rPr>
      </w:pPr>
    </w:p>
    <w:tbl>
      <w:tblPr>
        <w:tblW w:w="0" w:type="auto"/>
        <w:tblLayout w:type="fixed"/>
        <w:tblCellMar>
          <w:left w:w="0" w:type="dxa"/>
          <w:right w:w="0" w:type="dxa"/>
        </w:tblCellMar>
        <w:tblLook w:val="04A0" w:firstRow="1" w:lastRow="0" w:firstColumn="1" w:lastColumn="0" w:noHBand="0" w:noVBand="1"/>
        <w:tblCaption w:val="0ea72f62-4960-43f1-87d1-44036b080413"/>
        <w:tblDescription w:val="{&quot;UUID&quot;:&quot;afsaddin_tabledata_2_56437_0ea72f62-4960-43f1-87d1-44036b080413&quot;,&quot;TitleRowCount&quot;:3,&quot;SplitedTable&quot;:false,&quot;FirstTableId&quot;:&quot;0ea72f62-4960-43f1-87d1-44036b080413&quot;}"/>
      </w:tblPr>
      <w:tblGrid>
        <w:gridCol w:w="2450"/>
        <w:gridCol w:w="107"/>
        <w:gridCol w:w="1629"/>
        <w:gridCol w:w="106"/>
        <w:gridCol w:w="106"/>
        <w:gridCol w:w="907"/>
        <w:gridCol w:w="106"/>
        <w:gridCol w:w="106"/>
        <w:gridCol w:w="1587"/>
        <w:gridCol w:w="106"/>
        <w:gridCol w:w="106"/>
        <w:gridCol w:w="943"/>
        <w:gridCol w:w="106"/>
      </w:tblGrid>
      <w:tr w:rsidR="00AD5BB5">
        <w:tc>
          <w:tcPr>
            <w:tcW w:w="2450"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交易名称</w:t>
            </w:r>
            <w:r>
              <w:rPr>
                <w:rFonts w:ascii="Arial" w:eastAsia="黑体" w:hAnsi="Arial" w:cs="Arial"/>
                <w:sz w:val="18"/>
                <w:szCs w:val="18"/>
              </w:rPr>
              <w:t xml:space="preserve"> </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748" w:type="dxa"/>
            <w:gridSpan w:val="4"/>
            <w:tcBorders>
              <w:top w:val="nil"/>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DOCPROPERTY </w:instrText>
            </w:r>
            <w:r>
              <w:rPr>
                <w:rFonts w:ascii="Arial" w:eastAsia="黑体" w:hAnsi="Arial" w:cs="Arial"/>
                <w:sz w:val="18"/>
                <w:szCs w:val="18"/>
              </w:rPr>
              <w:instrText>当期会计期间</w:instrText>
            </w:r>
            <w:r>
              <w:rPr>
                <w:rFonts w:ascii="Arial" w:eastAsia="黑体" w:hAnsi="Arial" w:cs="Arial"/>
                <w:sz w:val="18"/>
                <w:szCs w:val="18"/>
              </w:rPr>
              <w:fldChar w:fldCharType="separate"/>
            </w:r>
            <w:r>
              <w:rPr>
                <w:rFonts w:ascii="Arial" w:eastAsia="黑体" w:hAnsi="Arial" w:cs="Arial"/>
                <w:sz w:val="18"/>
                <w:szCs w:val="18"/>
              </w:rPr>
              <w:t>2023</w:t>
            </w:r>
            <w:r>
              <w:rPr>
                <w:rFonts w:ascii="Arial" w:eastAsia="黑体" w:hAnsi="Arial" w:cs="Arial"/>
                <w:sz w:val="18"/>
                <w:szCs w:val="18"/>
              </w:rPr>
              <w:fldChar w:fldCharType="end"/>
            </w:r>
            <w:r>
              <w:rPr>
                <w:rFonts w:ascii="Arial" w:eastAsia="黑体" w:hAnsi="Arial" w:cs="Arial"/>
                <w:sz w:val="18"/>
                <w:szCs w:val="18"/>
              </w:rPr>
              <w:t>年</w:t>
            </w:r>
            <w:r>
              <w:rPr>
                <w:rFonts w:ascii="Arial" w:eastAsia="黑体" w:hAnsi="Arial" w:cs="Arial"/>
                <w:sz w:val="18"/>
                <w:szCs w:val="18"/>
              </w:rPr>
              <w:t>1-6</w:t>
            </w:r>
            <w:r>
              <w:rPr>
                <w:rFonts w:ascii="Arial" w:eastAsia="黑体" w:hAnsi="Arial" w:cs="Arial"/>
                <w:sz w:val="18"/>
                <w:szCs w:val="18"/>
              </w:rPr>
              <w:t>月</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742" w:type="dxa"/>
            <w:gridSpan w:val="4"/>
            <w:tcBorders>
              <w:top w:val="nil"/>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DOCPROPERTY </w:instrText>
            </w:r>
            <w:r>
              <w:rPr>
                <w:rFonts w:ascii="Arial" w:eastAsia="黑体" w:hAnsi="Arial" w:cs="Arial"/>
                <w:sz w:val="18"/>
                <w:szCs w:val="18"/>
              </w:rPr>
              <w:instrText>对比会计期间</w:instrText>
            </w:r>
            <w:r>
              <w:rPr>
                <w:rFonts w:ascii="Arial" w:eastAsia="黑体" w:hAnsi="Arial" w:cs="Arial"/>
                <w:sz w:val="18"/>
                <w:szCs w:val="18"/>
              </w:rPr>
              <w:fldChar w:fldCharType="separate"/>
            </w:r>
            <w:r>
              <w:rPr>
                <w:rFonts w:ascii="Arial" w:eastAsia="黑体" w:hAnsi="Arial" w:cs="Arial"/>
                <w:sz w:val="18"/>
                <w:szCs w:val="18"/>
              </w:rPr>
              <w:t>2022</w:t>
            </w:r>
            <w:r>
              <w:rPr>
                <w:rFonts w:ascii="Arial" w:eastAsia="黑体" w:hAnsi="Arial" w:cs="Arial"/>
                <w:sz w:val="18"/>
                <w:szCs w:val="18"/>
              </w:rPr>
              <w:fldChar w:fldCharType="end"/>
            </w:r>
            <w:r>
              <w:rPr>
                <w:rFonts w:ascii="Arial" w:eastAsia="黑体" w:hAnsi="Arial" w:cs="Arial"/>
                <w:sz w:val="18"/>
                <w:szCs w:val="18"/>
              </w:rPr>
              <w:t>年</w:t>
            </w:r>
            <w:r>
              <w:rPr>
                <w:rFonts w:ascii="Arial" w:eastAsia="黑体" w:hAnsi="Arial" w:cs="Arial"/>
                <w:sz w:val="18"/>
                <w:szCs w:val="18"/>
              </w:rPr>
              <w:t>1-6</w:t>
            </w:r>
            <w:r>
              <w:rPr>
                <w:rFonts w:ascii="Arial" w:eastAsia="黑体" w:hAnsi="Arial" w:cs="Arial"/>
                <w:sz w:val="18"/>
                <w:szCs w:val="18"/>
              </w:rPr>
              <w:t>月</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交易金额</w:t>
            </w:r>
            <w:r>
              <w:rPr>
                <w:rFonts w:ascii="Arial" w:eastAsia="黑体" w:hAnsi="Arial" w:cs="Arial"/>
                <w:sz w:val="18"/>
                <w:szCs w:val="18"/>
              </w:rPr>
              <w:t xml:space="preserve"> </w:t>
            </w: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90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w:t>
            </w:r>
            <w:proofErr w:type="gramStart"/>
            <w:r>
              <w:rPr>
                <w:rFonts w:ascii="Arial" w:eastAsia="黑体" w:hAnsi="Arial" w:cs="Arial"/>
                <w:sz w:val="18"/>
                <w:szCs w:val="18"/>
              </w:rPr>
              <w:t>占有关</w:t>
            </w:r>
            <w:proofErr w:type="gramEnd"/>
            <w:r>
              <w:rPr>
                <w:rFonts w:ascii="Arial" w:eastAsia="黑体" w:hAnsi="Arial" w:cs="Arial"/>
                <w:sz w:val="18"/>
                <w:szCs w:val="18"/>
              </w:rPr>
              <w:t>同类交易比例</w:t>
            </w:r>
            <w:r>
              <w:rPr>
                <w:rFonts w:ascii="Arial" w:eastAsia="黑体" w:hAnsi="Arial" w:cs="Arial"/>
                <w:sz w:val="18"/>
                <w:szCs w:val="18"/>
              </w:rPr>
              <w:t xml:space="preserve">% </w:t>
            </w: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58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交易金额</w:t>
            </w:r>
            <w:r>
              <w:rPr>
                <w:rFonts w:ascii="Arial" w:eastAsia="黑体" w:hAnsi="Arial" w:cs="Arial"/>
                <w:sz w:val="18"/>
                <w:szCs w:val="18"/>
              </w:rPr>
              <w:t xml:space="preserve"> </w:t>
            </w: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94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w:t>
            </w:r>
            <w:proofErr w:type="gramStart"/>
            <w:r>
              <w:rPr>
                <w:rFonts w:ascii="Arial" w:eastAsia="黑体" w:hAnsi="Arial" w:cs="Arial"/>
                <w:sz w:val="18"/>
                <w:szCs w:val="18"/>
              </w:rPr>
              <w:t>占有关</w:t>
            </w:r>
            <w:proofErr w:type="gramEnd"/>
            <w:r>
              <w:rPr>
                <w:rFonts w:ascii="Arial" w:eastAsia="黑体" w:hAnsi="Arial" w:cs="Arial"/>
                <w:sz w:val="18"/>
                <w:szCs w:val="18"/>
              </w:rPr>
              <w:t>同类交易比例</w:t>
            </w:r>
            <w:r>
              <w:rPr>
                <w:rFonts w:ascii="Arial" w:eastAsia="黑体" w:hAnsi="Arial" w:cs="Arial"/>
                <w:sz w:val="18"/>
                <w:szCs w:val="18"/>
              </w:rPr>
              <w:t xml:space="preserve">% </w:t>
            </w: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4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薪酬</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9,997,478.17</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0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0.95%</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9,963,744.35</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4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1.08%</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离职后福利</w:t>
            </w:r>
            <w:r>
              <w:rPr>
                <w:rFonts w:ascii="Arial" w:eastAsia="黑体" w:hAnsi="Arial" w:cs="Arial"/>
                <w:sz w:val="18"/>
                <w:szCs w:val="18"/>
              </w:rPr>
              <w:t xml:space="preserve">  </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622,629.66</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0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0.06%</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629,915.22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4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0.07%</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0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4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合计</w:t>
            </w:r>
            <w:r>
              <w:rPr>
                <w:rFonts w:ascii="Arial" w:eastAsia="黑体" w:hAnsi="Arial" w:cs="Arial"/>
                <w:sz w:val="18"/>
                <w:szCs w:val="18"/>
              </w:rPr>
              <w:t xml:space="preserve"> </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10,620,107.83</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0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1.01%</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10,593,659.57</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4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1.15%</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bl>
    <w:p w:rsidR="00AD5BB5" w:rsidRDefault="00AD5BB5">
      <w:pPr>
        <w:overflowPunct w:val="0"/>
        <w:autoSpaceDE w:val="0"/>
        <w:autoSpaceDN w:val="0"/>
        <w:adjustRightInd w:val="0"/>
        <w:snapToGrid w:val="0"/>
        <w:ind w:right="-2"/>
        <w:rPr>
          <w:rFonts w:ascii="Arial" w:eastAsia="黑体" w:hAnsi="Arial" w:cs="Arial"/>
          <w:snapToGrid w:val="0"/>
          <w:szCs w:val="21"/>
        </w:rPr>
      </w:pPr>
    </w:p>
    <w:p w:rsidR="00AD5BB5" w:rsidRDefault="00F87FF6">
      <w:pPr>
        <w:pStyle w:val="af5"/>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536" w:name="afsaddin_Section_3f881be42f7249339346fe9"/>
      <w:r>
        <w:rPr>
          <w:rFonts w:ascii="Arial" w:eastAsia="黑体" w:hAnsi="Arial" w:cs="Arial" w:hint="default"/>
          <w:bCs w:val="0"/>
          <w:snapToGrid w:val="0"/>
          <w:color w:val="auto"/>
          <w:sz w:val="21"/>
          <w:szCs w:val="21"/>
        </w:rPr>
        <w:t>3.</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关联方交易余额</w:t>
      </w:r>
    </w:p>
    <w:bookmarkEnd w:id="536"/>
    <w:p w:rsidR="00AD5BB5" w:rsidRDefault="00AD5BB5">
      <w:pPr>
        <w:overflowPunct w:val="0"/>
        <w:autoSpaceDE w:val="0"/>
        <w:autoSpaceDN w:val="0"/>
        <w:adjustRightInd w:val="0"/>
        <w:snapToGrid w:val="0"/>
        <w:ind w:left="720" w:hanging="720"/>
        <w:textAlignment w:val="bottom"/>
        <w:rPr>
          <w:rFonts w:ascii="Arial" w:eastAsia="黑体" w:hAnsi="Arial" w:cs="Arial"/>
          <w:b/>
          <w:bCs/>
          <w:szCs w:val="21"/>
        </w:rPr>
      </w:pPr>
    </w:p>
    <w:p w:rsidR="00AD5BB5" w:rsidRDefault="00F87FF6">
      <w:pPr>
        <w:overflowPunct w:val="0"/>
        <w:autoSpaceDE w:val="0"/>
        <w:autoSpaceDN w:val="0"/>
        <w:snapToGrid w:val="0"/>
        <w:ind w:left="720" w:hanging="720"/>
        <w:outlineLvl w:val="4"/>
        <w:rPr>
          <w:rFonts w:ascii="Arial" w:eastAsia="黑体" w:hAnsi="Arial" w:cs="Arial"/>
          <w:b/>
          <w:bCs/>
          <w:szCs w:val="21"/>
        </w:rPr>
      </w:pPr>
      <w:bookmarkStart w:id="537" w:name="afsaddin_Section_1d395b316bc248f5b9596c0"/>
      <w:r>
        <w:rPr>
          <w:rFonts w:ascii="Arial" w:eastAsia="黑体" w:hAnsi="Arial" w:cs="Arial"/>
          <w:b/>
          <w:bCs/>
          <w:szCs w:val="21"/>
        </w:rPr>
        <w:t>3.1</w:t>
      </w:r>
      <w:r>
        <w:rPr>
          <w:rFonts w:ascii="Arial" w:eastAsia="黑体" w:hAnsi="Arial" w:cs="Arial"/>
          <w:b/>
          <w:bCs/>
          <w:szCs w:val="21"/>
        </w:rPr>
        <w:tab/>
      </w:r>
      <w:r>
        <w:rPr>
          <w:rFonts w:ascii="Arial" w:eastAsia="黑体" w:hAnsi="Arial" w:cs="Arial"/>
          <w:b/>
          <w:bCs/>
          <w:szCs w:val="21"/>
        </w:rPr>
        <w:t>与持本行</w:t>
      </w:r>
      <w:r>
        <w:rPr>
          <w:rFonts w:ascii="Arial" w:eastAsia="黑体" w:hAnsi="Arial" w:cs="Arial"/>
          <w:b/>
          <w:bCs/>
          <w:szCs w:val="21"/>
        </w:rPr>
        <w:t>5%</w:t>
      </w:r>
      <w:r>
        <w:rPr>
          <w:rFonts w:ascii="Arial" w:eastAsia="黑体" w:hAnsi="Arial" w:cs="Arial"/>
          <w:b/>
          <w:bCs/>
          <w:szCs w:val="21"/>
        </w:rPr>
        <w:t>及</w:t>
      </w:r>
      <w:r>
        <w:rPr>
          <w:rFonts w:ascii="Arial" w:eastAsia="黑体" w:hAnsi="Arial" w:cs="Arial"/>
          <w:b/>
          <w:bCs/>
          <w:szCs w:val="21"/>
        </w:rPr>
        <w:t>5%</w:t>
      </w:r>
      <w:r>
        <w:rPr>
          <w:rFonts w:ascii="Arial" w:eastAsia="黑体" w:hAnsi="Arial" w:cs="Arial"/>
          <w:b/>
          <w:bCs/>
          <w:szCs w:val="21"/>
        </w:rPr>
        <w:t>以上股份的股东之交易余额</w:t>
      </w:r>
    </w:p>
    <w:bookmarkEnd w:id="537"/>
    <w:p w:rsidR="00AD5BB5" w:rsidRDefault="00AD5BB5">
      <w:pPr>
        <w:overflowPunct w:val="0"/>
        <w:autoSpaceDE w:val="0"/>
        <w:autoSpaceDN w:val="0"/>
        <w:adjustRightInd w:val="0"/>
        <w:snapToGrid w:val="0"/>
        <w:rPr>
          <w:rFonts w:ascii="Arial" w:eastAsia="黑体" w:hAnsi="Arial" w:cs="Arial"/>
          <w:snapToGrid w:val="0"/>
          <w:szCs w:val="21"/>
          <w:lang w:val="it-IT"/>
        </w:rPr>
      </w:pPr>
    </w:p>
    <w:p w:rsidR="00AD5BB5" w:rsidRDefault="00F87FF6">
      <w:pPr>
        <w:overflowPunct w:val="0"/>
        <w:autoSpaceDE w:val="0"/>
        <w:autoSpaceDN w:val="0"/>
        <w:adjustRightInd w:val="0"/>
        <w:snapToGrid w:val="0"/>
        <w:outlineLvl w:val="5"/>
        <w:rPr>
          <w:rFonts w:ascii="Arial" w:eastAsia="黑体" w:hAnsi="Arial" w:cs="Arial"/>
          <w:bCs/>
          <w:snapToGrid w:val="0"/>
          <w:szCs w:val="21"/>
        </w:rPr>
      </w:pPr>
      <w:bookmarkStart w:id="538" w:name="afsaddin_Section_968fd76801704221823ac6d"/>
      <w:r>
        <w:rPr>
          <w:rFonts w:ascii="Arial" w:eastAsia="黑体" w:hAnsi="Arial" w:cs="Arial"/>
          <w:bCs/>
          <w:snapToGrid w:val="0"/>
          <w:szCs w:val="21"/>
        </w:rPr>
        <w:t>(1)</w:t>
      </w:r>
      <w:r>
        <w:rPr>
          <w:rFonts w:ascii="Arial" w:eastAsia="黑体" w:hAnsi="Arial" w:cs="Arial"/>
          <w:bCs/>
          <w:snapToGrid w:val="0"/>
          <w:szCs w:val="21"/>
        </w:rPr>
        <w:tab/>
      </w:r>
      <w:r>
        <w:rPr>
          <w:rFonts w:ascii="Arial" w:eastAsia="黑体" w:hAnsi="Arial" w:cs="Arial"/>
          <w:bCs/>
          <w:snapToGrid w:val="0"/>
          <w:szCs w:val="21"/>
        </w:rPr>
        <w:t>吸收存款</w:t>
      </w:r>
    </w:p>
    <w:bookmarkEnd w:id="538"/>
    <w:p w:rsidR="00AD5BB5" w:rsidRDefault="00AD5BB5">
      <w:pPr>
        <w:overflowPunct w:val="0"/>
        <w:autoSpaceDE w:val="0"/>
        <w:autoSpaceDN w:val="0"/>
        <w:adjustRightInd w:val="0"/>
        <w:snapToGrid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08f5e415-f55c-4781-b674-3e033ce0d7f4"/>
        <w:tblDescription w:val="{&quot;UUID&quot;:&quot;afsaddin_tabledata_2_56437_08f5e415-f55c-4781-b674-3e033ce0d7f4&quot;,&quot;TitleRowCount&quot;:3,&quot;SplitedTable&quot;:false,&quot;FirstTableId&quot;:&quot;08f5e415-f55c-4781-b674-3e033ce0d7f4&quot;}"/>
      </w:tblPr>
      <w:tblGrid>
        <w:gridCol w:w="2450"/>
        <w:gridCol w:w="107"/>
        <w:gridCol w:w="1629"/>
        <w:gridCol w:w="106"/>
        <w:gridCol w:w="106"/>
        <w:gridCol w:w="907"/>
        <w:gridCol w:w="106"/>
        <w:gridCol w:w="106"/>
        <w:gridCol w:w="1587"/>
        <w:gridCol w:w="106"/>
        <w:gridCol w:w="106"/>
        <w:gridCol w:w="943"/>
        <w:gridCol w:w="106"/>
      </w:tblGrid>
      <w:tr w:rsidR="00AD5BB5">
        <w:tc>
          <w:tcPr>
            <w:tcW w:w="2450" w:type="dxa"/>
            <w:tcBorders>
              <w:top w:val="nil"/>
              <w:left w:val="nil"/>
              <w:bottom w:val="nil"/>
              <w:right w:val="nil"/>
            </w:tcBorders>
            <w:vAlign w:val="bottom"/>
          </w:tcPr>
          <w:p w:rsidR="00AD5BB5" w:rsidRDefault="00F87FF6">
            <w:pPr>
              <w:autoSpaceDE w:val="0"/>
              <w:autoSpaceDN w:val="0"/>
              <w:ind w:left="180" w:rightChars="-6" w:right="-13" w:hangingChars="100" w:hanging="180"/>
              <w:rPr>
                <w:rFonts w:ascii="Arial" w:eastAsia="黑体" w:hAnsi="Arial" w:cs="Arial"/>
                <w:sz w:val="18"/>
                <w:szCs w:val="18"/>
              </w:rPr>
            </w:pPr>
            <w:r>
              <w:rPr>
                <w:rFonts w:ascii="Arial" w:eastAsia="黑体" w:hAnsi="Arial" w:cs="Arial"/>
                <w:sz w:val="18"/>
                <w:szCs w:val="18"/>
              </w:rPr>
              <w:t>关联方名称</w:t>
            </w:r>
            <w:r>
              <w:rPr>
                <w:rFonts w:ascii="Arial" w:eastAsia="黑体" w:hAnsi="Arial" w:cs="Arial"/>
                <w:sz w:val="18"/>
                <w:szCs w:val="18"/>
              </w:rPr>
              <w:t xml:space="preserve"> </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748" w:type="dxa"/>
            <w:gridSpan w:val="4"/>
            <w:tcBorders>
              <w:top w:val="nil"/>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 DOCPROPERTY </w:instrText>
            </w:r>
            <w:r>
              <w:rPr>
                <w:rFonts w:ascii="Arial" w:eastAsia="黑体" w:hAnsi="Arial" w:cs="Arial"/>
                <w:sz w:val="18"/>
                <w:szCs w:val="18"/>
              </w:rPr>
              <w:instrText>当期资产负债表日</w:instrText>
            </w:r>
            <w:r>
              <w:rPr>
                <w:rFonts w:ascii="Arial" w:eastAsia="黑体" w:hAnsi="Arial" w:cs="Arial"/>
                <w:sz w:val="18"/>
                <w:szCs w:val="18"/>
              </w:rPr>
              <w:instrText xml:space="preserve"> </w:instrText>
            </w:r>
            <w:r>
              <w:rPr>
                <w:rFonts w:ascii="Arial" w:eastAsia="黑体" w:hAnsi="Arial" w:cs="Arial"/>
                <w:sz w:val="18"/>
                <w:szCs w:val="18"/>
              </w:rPr>
              <w:fldChar w:fldCharType="separate"/>
            </w:r>
            <w:r>
              <w:rPr>
                <w:rFonts w:ascii="Arial" w:eastAsia="黑体" w:hAnsi="Arial" w:cs="Arial"/>
                <w:sz w:val="18"/>
                <w:szCs w:val="18"/>
              </w:rPr>
              <w:t>2023</w:t>
            </w:r>
            <w:r>
              <w:rPr>
                <w:rFonts w:ascii="Arial" w:eastAsia="黑体" w:hAnsi="Arial" w:cs="Arial"/>
                <w:sz w:val="18"/>
                <w:szCs w:val="18"/>
              </w:rPr>
              <w:t>年</w:t>
            </w:r>
            <w:r>
              <w:rPr>
                <w:rFonts w:ascii="Arial" w:eastAsia="黑体" w:hAnsi="Arial" w:cs="Arial"/>
                <w:sz w:val="18"/>
                <w:szCs w:val="18"/>
              </w:rPr>
              <w:t>6</w:t>
            </w:r>
            <w:r>
              <w:rPr>
                <w:rFonts w:ascii="Arial" w:eastAsia="黑体" w:hAnsi="Arial" w:cs="Arial"/>
                <w:sz w:val="18"/>
                <w:szCs w:val="18"/>
              </w:rPr>
              <w:t>月</w:t>
            </w:r>
            <w:r>
              <w:rPr>
                <w:rFonts w:ascii="Arial" w:eastAsia="黑体" w:hAnsi="Arial" w:cs="Arial"/>
                <w:sz w:val="18"/>
                <w:szCs w:val="18"/>
              </w:rPr>
              <w:t>30</w:t>
            </w:r>
            <w:r>
              <w:rPr>
                <w:rFonts w:ascii="Arial" w:eastAsia="黑体" w:hAnsi="Arial" w:cs="Arial"/>
                <w:sz w:val="18"/>
                <w:szCs w:val="18"/>
              </w:rPr>
              <w:t>日</w:t>
            </w:r>
            <w:r>
              <w:rPr>
                <w:rFonts w:ascii="Arial" w:eastAsia="黑体" w:hAnsi="Arial" w:cs="Arial"/>
                <w:sz w:val="18"/>
                <w:szCs w:val="18"/>
              </w:rPr>
              <w:fldChar w:fldCharType="end"/>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742" w:type="dxa"/>
            <w:gridSpan w:val="4"/>
            <w:tcBorders>
              <w:top w:val="nil"/>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2022</w:t>
            </w:r>
            <w:r>
              <w:rPr>
                <w:rFonts w:ascii="Arial" w:eastAsia="黑体" w:hAnsi="Arial" w:cs="Arial"/>
                <w:sz w:val="18"/>
                <w:szCs w:val="18"/>
              </w:rPr>
              <w:t>年</w:t>
            </w:r>
            <w:r>
              <w:rPr>
                <w:rFonts w:ascii="Arial" w:eastAsia="黑体" w:hAnsi="Arial" w:cs="Arial"/>
                <w:sz w:val="18"/>
                <w:szCs w:val="18"/>
              </w:rPr>
              <w:t>12</w:t>
            </w:r>
            <w:r>
              <w:rPr>
                <w:rFonts w:ascii="Arial" w:eastAsia="黑体" w:hAnsi="Arial" w:cs="Arial"/>
                <w:sz w:val="18"/>
                <w:szCs w:val="18"/>
              </w:rPr>
              <w:t>月</w:t>
            </w:r>
            <w:r>
              <w:rPr>
                <w:rFonts w:ascii="Arial" w:eastAsia="黑体" w:hAnsi="Arial" w:cs="Arial"/>
                <w:sz w:val="18"/>
                <w:szCs w:val="18"/>
              </w:rPr>
              <w:t>31</w:t>
            </w:r>
            <w:r>
              <w:rPr>
                <w:rFonts w:ascii="Arial" w:eastAsia="黑体" w:hAnsi="Arial" w:cs="Arial"/>
                <w:sz w:val="18"/>
                <w:szCs w:val="18"/>
              </w:rPr>
              <w:t>日</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交易余额</w:t>
            </w:r>
            <w:r>
              <w:rPr>
                <w:rFonts w:ascii="Arial" w:eastAsia="黑体" w:hAnsi="Arial" w:cs="Arial"/>
                <w:sz w:val="18"/>
                <w:szCs w:val="18"/>
              </w:rPr>
              <w:t xml:space="preserve"> </w:t>
            </w: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90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w:t>
            </w:r>
            <w:proofErr w:type="gramStart"/>
            <w:r>
              <w:rPr>
                <w:rFonts w:ascii="Arial" w:eastAsia="黑体" w:hAnsi="Arial" w:cs="Arial"/>
                <w:sz w:val="18"/>
                <w:szCs w:val="18"/>
              </w:rPr>
              <w:t>占有关</w:t>
            </w:r>
            <w:proofErr w:type="gramEnd"/>
            <w:r>
              <w:rPr>
                <w:rFonts w:ascii="Arial" w:eastAsia="黑体" w:hAnsi="Arial" w:cs="Arial"/>
                <w:sz w:val="18"/>
                <w:szCs w:val="18"/>
              </w:rPr>
              <w:t>同类交易余额比例</w:t>
            </w:r>
            <w:r>
              <w:rPr>
                <w:rFonts w:ascii="Arial" w:eastAsia="黑体" w:hAnsi="Arial" w:cs="Arial"/>
                <w:sz w:val="18"/>
                <w:szCs w:val="18"/>
              </w:rPr>
              <w:t xml:space="preserve">% </w:t>
            </w: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58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交易余额</w:t>
            </w:r>
            <w:r>
              <w:rPr>
                <w:rFonts w:ascii="Arial" w:eastAsia="黑体" w:hAnsi="Arial" w:cs="Arial"/>
                <w:sz w:val="18"/>
                <w:szCs w:val="18"/>
              </w:rPr>
              <w:t xml:space="preserve"> </w:t>
            </w: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94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w:t>
            </w:r>
            <w:proofErr w:type="gramStart"/>
            <w:r>
              <w:rPr>
                <w:rFonts w:ascii="Arial" w:eastAsia="黑体" w:hAnsi="Arial" w:cs="Arial"/>
                <w:sz w:val="18"/>
                <w:szCs w:val="18"/>
              </w:rPr>
              <w:t>占有关</w:t>
            </w:r>
            <w:proofErr w:type="gramEnd"/>
            <w:r>
              <w:rPr>
                <w:rFonts w:ascii="Arial" w:eastAsia="黑体" w:hAnsi="Arial" w:cs="Arial"/>
                <w:sz w:val="18"/>
                <w:szCs w:val="18"/>
              </w:rPr>
              <w:t>同类交易余额比例</w:t>
            </w:r>
            <w:r>
              <w:rPr>
                <w:rFonts w:ascii="Arial" w:eastAsia="黑体" w:hAnsi="Arial" w:cs="Arial"/>
                <w:sz w:val="18"/>
                <w:szCs w:val="18"/>
              </w:rPr>
              <w:t xml:space="preserve">% </w:t>
            </w: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4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厦门金圆投资集团有限公司</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302,260,279.48</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0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0.16%</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350,899,130.87</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4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0.17%</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福建七匹狼集团有限公司</w:t>
            </w:r>
            <w:r>
              <w:rPr>
                <w:rFonts w:ascii="Arial" w:eastAsia="黑体" w:hAnsi="Arial" w:cs="Arial"/>
                <w:sz w:val="18"/>
                <w:szCs w:val="18"/>
              </w:rPr>
              <w:t xml:space="preserve"> </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46,426.76</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0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0.00%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170,766.60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4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0.00%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0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4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合计</w:t>
            </w:r>
            <w:r>
              <w:rPr>
                <w:rFonts w:ascii="Arial" w:eastAsia="黑体" w:hAnsi="Arial" w:cs="Arial"/>
                <w:sz w:val="18"/>
                <w:szCs w:val="18"/>
              </w:rPr>
              <w:t xml:space="preserve"> </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302,306,706.24</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0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0.16%</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351,069,897.47</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4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0.17%</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bl>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overflowPunct w:val="0"/>
        <w:autoSpaceDE w:val="0"/>
        <w:autoSpaceDN w:val="0"/>
        <w:adjustRightInd w:val="0"/>
        <w:snapToGrid w:val="0"/>
        <w:outlineLvl w:val="5"/>
        <w:rPr>
          <w:rFonts w:ascii="Arial" w:eastAsia="黑体" w:hAnsi="Arial" w:cs="Arial"/>
          <w:bCs/>
          <w:snapToGrid w:val="0"/>
          <w:szCs w:val="21"/>
        </w:rPr>
      </w:pPr>
      <w:bookmarkStart w:id="539" w:name="afsaddin_Section_8c2038811e7a4b709228e0d"/>
      <w:r>
        <w:rPr>
          <w:rFonts w:ascii="Arial" w:eastAsia="黑体" w:hAnsi="Arial" w:cs="Arial"/>
          <w:bCs/>
          <w:snapToGrid w:val="0"/>
          <w:szCs w:val="21"/>
        </w:rPr>
        <w:t>(2)</w:t>
      </w:r>
      <w:r>
        <w:rPr>
          <w:rFonts w:ascii="Arial" w:eastAsia="黑体" w:hAnsi="Arial" w:cs="Arial"/>
          <w:bCs/>
          <w:snapToGrid w:val="0"/>
          <w:szCs w:val="21"/>
        </w:rPr>
        <w:tab/>
      </w:r>
      <w:r>
        <w:rPr>
          <w:rFonts w:ascii="Arial" w:eastAsia="黑体" w:hAnsi="Arial" w:cs="Arial"/>
          <w:bCs/>
          <w:snapToGrid w:val="0"/>
          <w:szCs w:val="21"/>
        </w:rPr>
        <w:t>其他债权投资</w:t>
      </w:r>
    </w:p>
    <w:bookmarkEnd w:id="539"/>
    <w:p w:rsidR="00AD5BB5" w:rsidRDefault="00AD5BB5">
      <w:pPr>
        <w:overflowPunct w:val="0"/>
        <w:autoSpaceDE w:val="0"/>
        <w:autoSpaceDN w:val="0"/>
        <w:adjustRightInd w:val="0"/>
        <w:snapToGrid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b1a0eea4-070c-4d18-be93-393ce1b99c28"/>
        <w:tblDescription w:val="{&quot;UUID&quot;:&quot;afsaddin_tabledata_2_56437_b1a0eea4-070c-4d18-be93-393ce1b99c28&quot;,&quot;TitleRowCount&quot;:3,&quot;SplitedTable&quot;:false,&quot;FirstTableId&quot;:&quot;b1a0eea4-070c-4d18-be93-393ce1b99c28&quot;}"/>
      </w:tblPr>
      <w:tblGrid>
        <w:gridCol w:w="2450"/>
        <w:gridCol w:w="107"/>
        <w:gridCol w:w="1629"/>
        <w:gridCol w:w="106"/>
        <w:gridCol w:w="106"/>
        <w:gridCol w:w="907"/>
        <w:gridCol w:w="106"/>
        <w:gridCol w:w="106"/>
        <w:gridCol w:w="1587"/>
        <w:gridCol w:w="106"/>
        <w:gridCol w:w="106"/>
        <w:gridCol w:w="943"/>
        <w:gridCol w:w="106"/>
      </w:tblGrid>
      <w:tr w:rsidR="00AD5BB5">
        <w:tc>
          <w:tcPr>
            <w:tcW w:w="2450"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关联方名称</w:t>
            </w:r>
            <w:r>
              <w:rPr>
                <w:rFonts w:ascii="Arial" w:eastAsia="黑体" w:hAnsi="Arial" w:cs="Arial"/>
                <w:sz w:val="18"/>
                <w:szCs w:val="18"/>
              </w:rPr>
              <w:t xml:space="preserve"> </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748" w:type="dxa"/>
            <w:gridSpan w:val="4"/>
            <w:tcBorders>
              <w:top w:val="nil"/>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 DOCPROPERTY </w:instrText>
            </w:r>
            <w:r>
              <w:rPr>
                <w:rFonts w:ascii="Arial" w:eastAsia="黑体" w:hAnsi="Arial" w:cs="Arial"/>
                <w:sz w:val="18"/>
                <w:szCs w:val="18"/>
              </w:rPr>
              <w:instrText>当期资产负债表日</w:instrText>
            </w:r>
            <w:r>
              <w:rPr>
                <w:rFonts w:ascii="Arial" w:eastAsia="黑体" w:hAnsi="Arial" w:cs="Arial"/>
                <w:sz w:val="18"/>
                <w:szCs w:val="18"/>
              </w:rPr>
              <w:instrText xml:space="preserve"> </w:instrText>
            </w:r>
            <w:r>
              <w:rPr>
                <w:rFonts w:ascii="Arial" w:eastAsia="黑体" w:hAnsi="Arial" w:cs="Arial"/>
                <w:sz w:val="18"/>
                <w:szCs w:val="18"/>
              </w:rPr>
              <w:fldChar w:fldCharType="separate"/>
            </w:r>
            <w:r>
              <w:rPr>
                <w:rFonts w:ascii="Arial" w:eastAsia="黑体" w:hAnsi="Arial" w:cs="Arial"/>
                <w:sz w:val="18"/>
                <w:szCs w:val="18"/>
              </w:rPr>
              <w:t>2023</w:t>
            </w:r>
            <w:r>
              <w:rPr>
                <w:rFonts w:ascii="Arial" w:eastAsia="黑体" w:hAnsi="Arial" w:cs="Arial"/>
                <w:sz w:val="18"/>
                <w:szCs w:val="18"/>
              </w:rPr>
              <w:t>年</w:t>
            </w:r>
            <w:r>
              <w:rPr>
                <w:rFonts w:ascii="Arial" w:eastAsia="黑体" w:hAnsi="Arial" w:cs="Arial"/>
                <w:sz w:val="18"/>
                <w:szCs w:val="18"/>
              </w:rPr>
              <w:t>6</w:t>
            </w:r>
            <w:r>
              <w:rPr>
                <w:rFonts w:ascii="Arial" w:eastAsia="黑体" w:hAnsi="Arial" w:cs="Arial"/>
                <w:sz w:val="18"/>
                <w:szCs w:val="18"/>
              </w:rPr>
              <w:t>月</w:t>
            </w:r>
            <w:r>
              <w:rPr>
                <w:rFonts w:ascii="Arial" w:eastAsia="黑体" w:hAnsi="Arial" w:cs="Arial"/>
                <w:sz w:val="18"/>
                <w:szCs w:val="18"/>
              </w:rPr>
              <w:t>30</w:t>
            </w:r>
            <w:r>
              <w:rPr>
                <w:rFonts w:ascii="Arial" w:eastAsia="黑体" w:hAnsi="Arial" w:cs="Arial"/>
                <w:sz w:val="18"/>
                <w:szCs w:val="18"/>
              </w:rPr>
              <w:t>日</w:t>
            </w:r>
            <w:r>
              <w:rPr>
                <w:rFonts w:ascii="Arial" w:eastAsia="黑体" w:hAnsi="Arial" w:cs="Arial"/>
                <w:sz w:val="18"/>
                <w:szCs w:val="18"/>
              </w:rPr>
              <w:fldChar w:fldCharType="end"/>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742" w:type="dxa"/>
            <w:gridSpan w:val="4"/>
            <w:tcBorders>
              <w:top w:val="nil"/>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2022</w:t>
            </w:r>
            <w:r>
              <w:rPr>
                <w:rFonts w:ascii="Arial" w:eastAsia="黑体" w:hAnsi="Arial" w:cs="Arial"/>
                <w:sz w:val="18"/>
                <w:szCs w:val="18"/>
              </w:rPr>
              <w:t>年</w:t>
            </w:r>
            <w:r>
              <w:rPr>
                <w:rFonts w:ascii="Arial" w:eastAsia="黑体" w:hAnsi="Arial" w:cs="Arial"/>
                <w:sz w:val="18"/>
                <w:szCs w:val="18"/>
              </w:rPr>
              <w:t>12</w:t>
            </w:r>
            <w:r>
              <w:rPr>
                <w:rFonts w:ascii="Arial" w:eastAsia="黑体" w:hAnsi="Arial" w:cs="Arial"/>
                <w:sz w:val="18"/>
                <w:szCs w:val="18"/>
              </w:rPr>
              <w:t>月</w:t>
            </w:r>
            <w:r>
              <w:rPr>
                <w:rFonts w:ascii="Arial" w:eastAsia="黑体" w:hAnsi="Arial" w:cs="Arial"/>
                <w:sz w:val="18"/>
                <w:szCs w:val="18"/>
              </w:rPr>
              <w:t>31</w:t>
            </w:r>
            <w:r>
              <w:rPr>
                <w:rFonts w:ascii="Arial" w:eastAsia="黑体" w:hAnsi="Arial" w:cs="Arial"/>
                <w:sz w:val="18"/>
                <w:szCs w:val="18"/>
              </w:rPr>
              <w:t>日</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交易余额</w:t>
            </w:r>
            <w:r>
              <w:rPr>
                <w:rFonts w:ascii="Arial" w:eastAsia="黑体" w:hAnsi="Arial" w:cs="Arial"/>
                <w:sz w:val="18"/>
                <w:szCs w:val="18"/>
              </w:rPr>
              <w:t xml:space="preserve"> </w:t>
            </w: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90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w:t>
            </w:r>
            <w:proofErr w:type="gramStart"/>
            <w:r>
              <w:rPr>
                <w:rFonts w:ascii="Arial" w:eastAsia="黑体" w:hAnsi="Arial" w:cs="Arial"/>
                <w:sz w:val="18"/>
                <w:szCs w:val="18"/>
              </w:rPr>
              <w:t>占有关</w:t>
            </w:r>
            <w:proofErr w:type="gramEnd"/>
            <w:r>
              <w:rPr>
                <w:rFonts w:ascii="Arial" w:eastAsia="黑体" w:hAnsi="Arial" w:cs="Arial"/>
                <w:sz w:val="18"/>
                <w:szCs w:val="18"/>
              </w:rPr>
              <w:t>同类交易余额比例</w:t>
            </w:r>
            <w:r>
              <w:rPr>
                <w:rFonts w:ascii="Arial" w:eastAsia="黑体" w:hAnsi="Arial" w:cs="Arial"/>
                <w:sz w:val="18"/>
                <w:szCs w:val="18"/>
              </w:rPr>
              <w:t xml:space="preserve">% </w:t>
            </w: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58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交易余额</w:t>
            </w:r>
            <w:r>
              <w:rPr>
                <w:rFonts w:ascii="Arial" w:eastAsia="黑体" w:hAnsi="Arial" w:cs="Arial"/>
                <w:sz w:val="18"/>
                <w:szCs w:val="18"/>
              </w:rPr>
              <w:t xml:space="preserve"> </w:t>
            </w: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94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w:t>
            </w:r>
            <w:proofErr w:type="gramStart"/>
            <w:r>
              <w:rPr>
                <w:rFonts w:ascii="Arial" w:eastAsia="黑体" w:hAnsi="Arial" w:cs="Arial"/>
                <w:sz w:val="18"/>
                <w:szCs w:val="18"/>
              </w:rPr>
              <w:t>占有关</w:t>
            </w:r>
            <w:proofErr w:type="gramEnd"/>
            <w:r>
              <w:rPr>
                <w:rFonts w:ascii="Arial" w:eastAsia="黑体" w:hAnsi="Arial" w:cs="Arial"/>
                <w:sz w:val="18"/>
                <w:szCs w:val="18"/>
              </w:rPr>
              <w:t>同类交易余额比例</w:t>
            </w:r>
            <w:r>
              <w:rPr>
                <w:rFonts w:ascii="Arial" w:eastAsia="黑体" w:hAnsi="Arial" w:cs="Arial"/>
                <w:sz w:val="18"/>
                <w:szCs w:val="18"/>
              </w:rPr>
              <w:t xml:space="preserve">% </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4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厦门金圆投资集团有限公司</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176,349,191.37</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0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0.46%</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121,493,566.30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4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0.31%</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福建七匹狼集团有限公司</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0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0.00%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102,201,889.04</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4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0.26%</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0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4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450"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合计</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2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176,349,191.37</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0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0.46%</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8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223,695,455.34</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4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0.57%</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bl>
    <w:p w:rsidR="00AD5BB5" w:rsidRDefault="00F87FF6">
      <w:pPr>
        <w:rPr>
          <w:rFonts w:ascii="Arial" w:eastAsia="黑体" w:hAnsi="Arial" w:cs="Arial"/>
          <w:b/>
          <w:bCs/>
          <w:szCs w:val="21"/>
        </w:rPr>
      </w:pPr>
      <w:r>
        <w:rPr>
          <w:rFonts w:ascii="Arial" w:eastAsia="黑体" w:hAnsi="Arial" w:cs="Arial"/>
          <w:b/>
          <w:bCs/>
          <w:szCs w:val="21"/>
        </w:rPr>
        <w:br w:type="page"/>
      </w:r>
    </w:p>
    <w:p w:rsidR="00AD5BB5" w:rsidRDefault="00AD5BB5">
      <w:pPr>
        <w:overflowPunct w:val="0"/>
        <w:autoSpaceDE w:val="0"/>
        <w:autoSpaceDN w:val="0"/>
        <w:adjustRightInd w:val="0"/>
        <w:snapToGrid w:val="0"/>
        <w:ind w:left="720" w:hanging="720"/>
        <w:textAlignment w:val="bottom"/>
        <w:rPr>
          <w:rFonts w:ascii="Arial" w:eastAsia="黑体" w:hAnsi="Arial" w:cs="Arial"/>
          <w:b/>
          <w:bCs/>
          <w:szCs w:val="21"/>
        </w:rPr>
      </w:pPr>
    </w:p>
    <w:p w:rsidR="00AD5BB5" w:rsidRDefault="00AD5BB5">
      <w:pPr>
        <w:overflowPunct w:val="0"/>
        <w:autoSpaceDE w:val="0"/>
        <w:autoSpaceDN w:val="0"/>
        <w:adjustRightInd w:val="0"/>
        <w:snapToGrid w:val="0"/>
        <w:ind w:left="720" w:hanging="720"/>
        <w:textAlignment w:val="bottom"/>
        <w:rPr>
          <w:rFonts w:ascii="Arial" w:eastAsia="黑体" w:hAnsi="Arial" w:cs="Arial"/>
          <w:b/>
          <w:bCs/>
          <w:szCs w:val="21"/>
        </w:rPr>
      </w:pPr>
    </w:p>
    <w:p w:rsidR="00AD5BB5" w:rsidRDefault="00F87FF6">
      <w:pPr>
        <w:overflowPunct w:val="0"/>
        <w:autoSpaceDE w:val="0"/>
        <w:autoSpaceDN w:val="0"/>
        <w:adjustRightInd w:val="0"/>
        <w:snapToGrid w:val="0"/>
        <w:textAlignment w:val="bottom"/>
        <w:rPr>
          <w:rFonts w:ascii="Arial" w:eastAsia="黑体" w:hAnsi="Arial" w:cs="Arial"/>
          <w:b/>
          <w:bCs/>
          <w:szCs w:val="21"/>
        </w:rPr>
      </w:pPr>
      <w:bookmarkStart w:id="540" w:name="afsaddin_WithXu_b2d14cece10b458ea5c1f50b"/>
      <w:r>
        <w:rPr>
          <w:rFonts w:ascii="Arial" w:eastAsia="黑体" w:hAnsi="Arial" w:cs="Arial"/>
          <w:b/>
          <w:bCs/>
          <w:szCs w:val="21"/>
        </w:rPr>
        <w:t>九、</w:t>
      </w:r>
      <w:r>
        <w:rPr>
          <w:rFonts w:ascii="Arial" w:eastAsia="黑体" w:hAnsi="Arial" w:cs="Arial"/>
          <w:b/>
          <w:bCs/>
          <w:szCs w:val="21"/>
        </w:rPr>
        <w:tab/>
      </w:r>
      <w:r>
        <w:rPr>
          <w:rFonts w:ascii="Arial" w:eastAsia="黑体" w:hAnsi="Arial" w:cs="Arial"/>
          <w:b/>
          <w:bCs/>
          <w:szCs w:val="21"/>
        </w:rPr>
        <w:t>关联方关系及其交易（续）</w:t>
      </w:r>
      <w:bookmarkEnd w:id="540"/>
    </w:p>
    <w:p w:rsidR="00AD5BB5" w:rsidRDefault="00AD5BB5">
      <w:pPr>
        <w:overflowPunct w:val="0"/>
        <w:autoSpaceDE w:val="0"/>
        <w:autoSpaceDN w:val="0"/>
        <w:adjustRightInd w:val="0"/>
        <w:snapToGrid w:val="0"/>
        <w:ind w:left="720" w:hanging="720"/>
        <w:textAlignment w:val="bottom"/>
        <w:rPr>
          <w:rFonts w:ascii="Arial" w:eastAsia="黑体" w:hAnsi="Arial" w:cs="Arial"/>
          <w:b/>
          <w:bCs/>
          <w:szCs w:val="21"/>
        </w:rPr>
      </w:pPr>
    </w:p>
    <w:p w:rsidR="00AD5BB5" w:rsidRDefault="00F87FF6">
      <w:pPr>
        <w:overflowPunct w:val="0"/>
        <w:autoSpaceDE w:val="0"/>
        <w:autoSpaceDN w:val="0"/>
        <w:adjustRightInd w:val="0"/>
        <w:snapToGrid w:val="0"/>
        <w:ind w:left="720" w:hanging="720"/>
        <w:textAlignment w:val="bottom"/>
        <w:rPr>
          <w:rFonts w:ascii="Arial" w:eastAsia="黑体" w:hAnsi="Arial" w:cs="Arial"/>
          <w:b/>
          <w:bCs/>
          <w:szCs w:val="21"/>
        </w:rPr>
      </w:pPr>
      <w:bookmarkStart w:id="541" w:name="afsaddin_WithXu_744c88046c4b40cba1cd479b"/>
      <w:r>
        <w:rPr>
          <w:rFonts w:ascii="Arial" w:eastAsia="黑体" w:hAnsi="Arial" w:cs="Arial"/>
          <w:b/>
          <w:bCs/>
          <w:szCs w:val="21"/>
        </w:rPr>
        <w:t>3.</w:t>
      </w:r>
      <w:r>
        <w:rPr>
          <w:rFonts w:ascii="Arial" w:eastAsia="黑体" w:hAnsi="Arial" w:cs="Arial"/>
          <w:b/>
          <w:bCs/>
          <w:szCs w:val="21"/>
        </w:rPr>
        <w:tab/>
      </w:r>
      <w:r>
        <w:rPr>
          <w:rFonts w:ascii="Arial" w:eastAsia="黑体" w:hAnsi="Arial" w:cs="Arial"/>
          <w:b/>
          <w:bCs/>
          <w:szCs w:val="21"/>
        </w:rPr>
        <w:t>关联方交易余额（续）</w:t>
      </w:r>
      <w:bookmarkEnd w:id="541"/>
    </w:p>
    <w:p w:rsidR="00AD5BB5" w:rsidRDefault="00AD5BB5">
      <w:pPr>
        <w:overflowPunct w:val="0"/>
        <w:autoSpaceDE w:val="0"/>
        <w:autoSpaceDN w:val="0"/>
        <w:adjustRightInd w:val="0"/>
        <w:snapToGrid w:val="0"/>
        <w:ind w:left="720" w:hanging="720"/>
        <w:textAlignment w:val="bottom"/>
        <w:rPr>
          <w:rFonts w:ascii="Arial" w:eastAsia="黑体" w:hAnsi="Arial" w:cs="Arial"/>
          <w:b/>
          <w:bCs/>
          <w:szCs w:val="21"/>
        </w:rPr>
      </w:pPr>
    </w:p>
    <w:p w:rsidR="00AD5BB5" w:rsidRDefault="00F87FF6">
      <w:pPr>
        <w:overflowPunct w:val="0"/>
        <w:autoSpaceDE w:val="0"/>
        <w:autoSpaceDN w:val="0"/>
        <w:snapToGrid w:val="0"/>
        <w:ind w:left="720" w:hanging="720"/>
        <w:outlineLvl w:val="4"/>
        <w:rPr>
          <w:rFonts w:ascii="Arial" w:eastAsia="黑体" w:hAnsi="Arial" w:cs="Arial"/>
          <w:b/>
          <w:bCs/>
          <w:snapToGrid w:val="0"/>
          <w:szCs w:val="21"/>
        </w:rPr>
      </w:pPr>
      <w:bookmarkStart w:id="542" w:name="afsaddin_WithXu_6c6e9fe569af43609a8cf564"/>
      <w:bookmarkStart w:id="543" w:name="afsaddin_WithXu_0e848fac664448fe91f0e15a"/>
      <w:bookmarkStart w:id="544" w:name="afsaddin_Section_eed386fae9b14cc19fb3adf"/>
      <w:bookmarkEnd w:id="542"/>
      <w:bookmarkEnd w:id="543"/>
      <w:r>
        <w:rPr>
          <w:rFonts w:ascii="Arial" w:eastAsia="黑体" w:hAnsi="Arial" w:cs="Arial"/>
          <w:b/>
          <w:bCs/>
          <w:snapToGrid w:val="0"/>
          <w:szCs w:val="21"/>
        </w:rPr>
        <w:t>3.2</w:t>
      </w:r>
      <w:r>
        <w:rPr>
          <w:rFonts w:ascii="Arial" w:eastAsia="黑体" w:hAnsi="Arial" w:cs="Arial"/>
          <w:b/>
          <w:bCs/>
          <w:snapToGrid w:val="0"/>
          <w:szCs w:val="21"/>
        </w:rPr>
        <w:tab/>
      </w:r>
      <w:r>
        <w:rPr>
          <w:rFonts w:ascii="Arial" w:eastAsia="黑体" w:hAnsi="Arial" w:cs="Arial"/>
          <w:b/>
          <w:bCs/>
          <w:snapToGrid w:val="0"/>
          <w:szCs w:val="21"/>
        </w:rPr>
        <w:t>与本行的关键管理人员及其关系密切的家庭成员之交易余额</w:t>
      </w:r>
    </w:p>
    <w:bookmarkEnd w:id="544"/>
    <w:p w:rsidR="00AD5BB5" w:rsidRDefault="00AD5BB5">
      <w:pPr>
        <w:overflowPunct w:val="0"/>
        <w:autoSpaceDE w:val="0"/>
        <w:autoSpaceDN w:val="0"/>
        <w:adjustRightInd w:val="0"/>
        <w:snapToGrid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b0d3f854-bcc4-49ca-856a-07cb6cebce5e"/>
        <w:tblDescription w:val="{&quot;UUID&quot;:&quot;afsaddin_tabledata_2_56437_b0d3f854-bcc4-49ca-856a-07cb6cebce5e&quot;,&quot;TitleRowCount&quot;:3,&quot;SplitedTable&quot;:false,&quot;FirstTableId&quot;:&quot;b0d3f854-bcc4-49ca-856a-07cb6cebce5e&quot;}"/>
      </w:tblPr>
      <w:tblGrid>
        <w:gridCol w:w="2226"/>
        <w:gridCol w:w="107"/>
        <w:gridCol w:w="1685"/>
        <w:gridCol w:w="106"/>
        <w:gridCol w:w="106"/>
        <w:gridCol w:w="922"/>
        <w:gridCol w:w="106"/>
        <w:gridCol w:w="106"/>
        <w:gridCol w:w="1677"/>
        <w:gridCol w:w="106"/>
        <w:gridCol w:w="106"/>
        <w:gridCol w:w="992"/>
        <w:gridCol w:w="106"/>
      </w:tblGrid>
      <w:tr w:rsidR="00AD5BB5">
        <w:tc>
          <w:tcPr>
            <w:tcW w:w="222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交易名称</w:t>
            </w:r>
            <w:r>
              <w:rPr>
                <w:rFonts w:ascii="Arial" w:eastAsia="黑体" w:hAnsi="Arial" w:cs="Arial"/>
                <w:sz w:val="18"/>
                <w:szCs w:val="18"/>
              </w:rPr>
              <w:t xml:space="preserve"> </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819" w:type="dxa"/>
            <w:gridSpan w:val="4"/>
            <w:tcBorders>
              <w:top w:val="nil"/>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 DOCPROPERTY </w:instrText>
            </w:r>
            <w:r>
              <w:rPr>
                <w:rFonts w:ascii="Arial" w:eastAsia="黑体" w:hAnsi="Arial" w:cs="Arial"/>
                <w:sz w:val="18"/>
                <w:szCs w:val="18"/>
              </w:rPr>
              <w:instrText>当期资产负债表日</w:instrText>
            </w:r>
            <w:r>
              <w:rPr>
                <w:rFonts w:ascii="Arial" w:eastAsia="黑体" w:hAnsi="Arial" w:cs="Arial"/>
                <w:sz w:val="18"/>
                <w:szCs w:val="18"/>
              </w:rPr>
              <w:instrText xml:space="preserve"> </w:instrText>
            </w:r>
            <w:r>
              <w:rPr>
                <w:rFonts w:ascii="Arial" w:eastAsia="黑体" w:hAnsi="Arial" w:cs="Arial"/>
                <w:sz w:val="18"/>
                <w:szCs w:val="18"/>
              </w:rPr>
              <w:fldChar w:fldCharType="separate"/>
            </w:r>
            <w:r>
              <w:rPr>
                <w:rFonts w:ascii="Arial" w:eastAsia="黑体" w:hAnsi="Arial" w:cs="Arial"/>
                <w:sz w:val="18"/>
                <w:szCs w:val="18"/>
              </w:rPr>
              <w:t>2023</w:t>
            </w:r>
            <w:r>
              <w:rPr>
                <w:rFonts w:ascii="Arial" w:eastAsia="黑体" w:hAnsi="Arial" w:cs="Arial"/>
                <w:sz w:val="18"/>
                <w:szCs w:val="18"/>
              </w:rPr>
              <w:t>年</w:t>
            </w:r>
            <w:r>
              <w:rPr>
                <w:rFonts w:ascii="Arial" w:eastAsia="黑体" w:hAnsi="Arial" w:cs="Arial"/>
                <w:sz w:val="18"/>
                <w:szCs w:val="18"/>
              </w:rPr>
              <w:t>6</w:t>
            </w:r>
            <w:r>
              <w:rPr>
                <w:rFonts w:ascii="Arial" w:eastAsia="黑体" w:hAnsi="Arial" w:cs="Arial"/>
                <w:sz w:val="18"/>
                <w:szCs w:val="18"/>
              </w:rPr>
              <w:t>月</w:t>
            </w:r>
            <w:r>
              <w:rPr>
                <w:rFonts w:ascii="Arial" w:eastAsia="黑体" w:hAnsi="Arial" w:cs="Arial"/>
                <w:sz w:val="18"/>
                <w:szCs w:val="18"/>
              </w:rPr>
              <w:t>30</w:t>
            </w:r>
            <w:r>
              <w:rPr>
                <w:rFonts w:ascii="Arial" w:eastAsia="黑体" w:hAnsi="Arial" w:cs="Arial"/>
                <w:sz w:val="18"/>
                <w:szCs w:val="18"/>
              </w:rPr>
              <w:t>日</w:t>
            </w:r>
            <w:r>
              <w:rPr>
                <w:rFonts w:ascii="Arial" w:eastAsia="黑体" w:hAnsi="Arial" w:cs="Arial"/>
                <w:sz w:val="18"/>
                <w:szCs w:val="18"/>
              </w:rPr>
              <w:fldChar w:fldCharType="end"/>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881" w:type="dxa"/>
            <w:gridSpan w:val="4"/>
            <w:tcBorders>
              <w:top w:val="nil"/>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2022</w:t>
            </w:r>
            <w:r>
              <w:rPr>
                <w:rFonts w:ascii="Arial" w:eastAsia="黑体" w:hAnsi="Arial" w:cs="Arial"/>
                <w:sz w:val="18"/>
                <w:szCs w:val="18"/>
              </w:rPr>
              <w:t>年</w:t>
            </w:r>
            <w:r>
              <w:rPr>
                <w:rFonts w:ascii="Arial" w:eastAsia="黑体" w:hAnsi="Arial" w:cs="Arial"/>
                <w:sz w:val="18"/>
                <w:szCs w:val="18"/>
              </w:rPr>
              <w:t>12</w:t>
            </w:r>
            <w:r>
              <w:rPr>
                <w:rFonts w:ascii="Arial" w:eastAsia="黑体" w:hAnsi="Arial" w:cs="Arial"/>
                <w:sz w:val="18"/>
                <w:szCs w:val="18"/>
              </w:rPr>
              <w:t>月</w:t>
            </w:r>
            <w:r>
              <w:rPr>
                <w:rFonts w:ascii="Arial" w:eastAsia="黑体" w:hAnsi="Arial" w:cs="Arial"/>
                <w:sz w:val="18"/>
                <w:szCs w:val="18"/>
              </w:rPr>
              <w:t>31</w:t>
            </w:r>
            <w:r>
              <w:rPr>
                <w:rFonts w:ascii="Arial" w:eastAsia="黑体" w:hAnsi="Arial" w:cs="Arial"/>
                <w:sz w:val="18"/>
                <w:szCs w:val="18"/>
              </w:rPr>
              <w:t>日</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22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交易余额</w:t>
            </w:r>
            <w:r>
              <w:rPr>
                <w:rFonts w:ascii="Arial" w:eastAsia="黑体" w:hAnsi="Arial" w:cs="Arial"/>
                <w:sz w:val="18"/>
                <w:szCs w:val="18"/>
              </w:rPr>
              <w:t xml:space="preserve"> </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w:t>
            </w:r>
            <w:proofErr w:type="gramStart"/>
            <w:r>
              <w:rPr>
                <w:rFonts w:ascii="Arial" w:eastAsia="黑体" w:hAnsi="Arial" w:cs="Arial"/>
                <w:sz w:val="18"/>
                <w:szCs w:val="18"/>
              </w:rPr>
              <w:t>占有关</w:t>
            </w:r>
            <w:proofErr w:type="gramEnd"/>
            <w:r>
              <w:rPr>
                <w:rFonts w:ascii="Arial" w:eastAsia="黑体" w:hAnsi="Arial" w:cs="Arial"/>
                <w:sz w:val="18"/>
                <w:szCs w:val="18"/>
              </w:rPr>
              <w:t>同类交易余额比例</w:t>
            </w:r>
            <w:r>
              <w:rPr>
                <w:rFonts w:ascii="Arial" w:eastAsia="黑体" w:hAnsi="Arial" w:cs="Arial"/>
                <w:sz w:val="18"/>
                <w:szCs w:val="18"/>
              </w:rPr>
              <w:t xml:space="preserve">% </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7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交易余额</w:t>
            </w:r>
            <w:r>
              <w:rPr>
                <w:rFonts w:ascii="Arial" w:eastAsia="黑体" w:hAnsi="Arial" w:cs="Arial"/>
                <w:sz w:val="18"/>
                <w:szCs w:val="18"/>
              </w:rPr>
              <w:t xml:space="preserve"> </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w:t>
            </w:r>
            <w:proofErr w:type="gramStart"/>
            <w:r>
              <w:rPr>
                <w:rFonts w:ascii="Arial" w:eastAsia="黑体" w:hAnsi="Arial" w:cs="Arial"/>
                <w:sz w:val="18"/>
                <w:szCs w:val="18"/>
              </w:rPr>
              <w:t>占有关</w:t>
            </w:r>
            <w:proofErr w:type="gramEnd"/>
            <w:r>
              <w:rPr>
                <w:rFonts w:ascii="Arial" w:eastAsia="黑体" w:hAnsi="Arial" w:cs="Arial"/>
                <w:sz w:val="18"/>
                <w:szCs w:val="18"/>
              </w:rPr>
              <w:t>同类交易余额比例</w:t>
            </w:r>
            <w:r>
              <w:rPr>
                <w:rFonts w:ascii="Arial" w:eastAsia="黑体" w:hAnsi="Arial" w:cs="Arial"/>
                <w:sz w:val="18"/>
                <w:szCs w:val="18"/>
              </w:rPr>
              <w:t xml:space="preserve">% </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22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8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2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7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9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22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发放贷款</w:t>
            </w:r>
            <w:r>
              <w:rPr>
                <w:rFonts w:ascii="Arial" w:eastAsia="黑体" w:hAnsi="Arial" w:cs="Arial"/>
                <w:sz w:val="18"/>
                <w:szCs w:val="18"/>
              </w:rPr>
              <w:t xml:space="preserve"> </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20,121,047.37</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0.01%</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7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21,979,728.19</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0.01%</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22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吸收存款</w:t>
            </w:r>
            <w:r>
              <w:rPr>
                <w:rFonts w:ascii="Arial" w:eastAsia="黑体" w:hAnsi="Arial" w:cs="Arial"/>
                <w:sz w:val="18"/>
                <w:szCs w:val="18"/>
              </w:rPr>
              <w:t xml:space="preserve"> </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8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58,402,096.33</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2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0.03%</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7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49,457,277.74</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9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0.02%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bl>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overflowPunct w:val="0"/>
        <w:autoSpaceDE w:val="0"/>
        <w:autoSpaceDN w:val="0"/>
        <w:snapToGrid w:val="0"/>
        <w:ind w:left="720" w:hanging="720"/>
        <w:outlineLvl w:val="4"/>
        <w:rPr>
          <w:rFonts w:ascii="Arial" w:eastAsia="黑体" w:hAnsi="Arial" w:cs="Arial"/>
          <w:b/>
          <w:bCs/>
          <w:snapToGrid w:val="0"/>
          <w:szCs w:val="21"/>
        </w:rPr>
      </w:pPr>
      <w:bookmarkStart w:id="545" w:name="afsaddin_Section_5e760f36200e4db9a73a68e"/>
      <w:r>
        <w:rPr>
          <w:rFonts w:ascii="Arial" w:eastAsia="黑体" w:hAnsi="Arial" w:cs="Arial"/>
          <w:b/>
          <w:bCs/>
          <w:snapToGrid w:val="0"/>
          <w:szCs w:val="21"/>
        </w:rPr>
        <w:t>3.3</w:t>
      </w:r>
      <w:r>
        <w:rPr>
          <w:rFonts w:ascii="Arial" w:eastAsia="黑体" w:hAnsi="Arial" w:cs="Arial"/>
          <w:b/>
          <w:bCs/>
          <w:snapToGrid w:val="0"/>
          <w:szCs w:val="21"/>
        </w:rPr>
        <w:tab/>
      </w:r>
      <w:r>
        <w:rPr>
          <w:rFonts w:ascii="Arial" w:eastAsia="黑体" w:hAnsi="Arial" w:cs="Arial"/>
          <w:b/>
          <w:bCs/>
          <w:snapToGrid w:val="0"/>
          <w:szCs w:val="21"/>
        </w:rPr>
        <w:t>与本行控股子公司之交易余额</w:t>
      </w:r>
    </w:p>
    <w:bookmarkEnd w:id="545"/>
    <w:p w:rsidR="00AD5BB5" w:rsidRDefault="00AD5BB5">
      <w:pPr>
        <w:overflowPunct w:val="0"/>
        <w:autoSpaceDE w:val="0"/>
        <w:autoSpaceDN w:val="0"/>
        <w:adjustRightInd w:val="0"/>
        <w:snapToGrid w:val="0"/>
        <w:textAlignment w:val="bottom"/>
        <w:rPr>
          <w:rFonts w:ascii="Arial" w:eastAsia="黑体" w:hAnsi="Arial" w:cs="Arial"/>
          <w:b/>
          <w:bCs/>
          <w:snapToGrid w:val="0"/>
          <w:szCs w:val="21"/>
        </w:rPr>
      </w:pPr>
    </w:p>
    <w:p w:rsidR="00AD5BB5" w:rsidRDefault="00F87FF6">
      <w:pPr>
        <w:overflowPunct w:val="0"/>
        <w:autoSpaceDE w:val="0"/>
        <w:autoSpaceDN w:val="0"/>
        <w:adjustRightInd w:val="0"/>
        <w:snapToGrid w:val="0"/>
        <w:ind w:right="-2"/>
        <w:rPr>
          <w:rFonts w:ascii="Arial" w:eastAsia="黑体" w:hAnsi="Arial" w:cs="Arial"/>
          <w:snapToGrid w:val="0"/>
          <w:szCs w:val="21"/>
        </w:rPr>
      </w:pPr>
      <w:r>
        <w:rPr>
          <w:rFonts w:ascii="Arial" w:eastAsia="黑体" w:hAnsi="Arial" w:cs="Arial"/>
          <w:snapToGrid w:val="0"/>
          <w:szCs w:val="21"/>
        </w:rPr>
        <w:t>与本行存在控制关系的关联方为本行的控股子公司。与控股子公司之间的重大往来余额均已在合并财务报表中抵消，详细情况如下：</w:t>
      </w:r>
    </w:p>
    <w:p w:rsidR="00AD5BB5" w:rsidRDefault="00AD5BB5">
      <w:pPr>
        <w:overflowPunct w:val="0"/>
        <w:autoSpaceDE w:val="0"/>
        <w:autoSpaceDN w:val="0"/>
        <w:adjustRightInd w:val="0"/>
        <w:snapToGrid w:val="0"/>
        <w:ind w:right="-2"/>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ad795b06-db5c-4ddc-8a82-0d464741b6c9"/>
        <w:tblDescription w:val="{&quot;UUID&quot;:&quot;afsaddin_tabledata_2_56437_ad795b06-db5c-4ddc-8a82-0d464741b6c9&quot;,&quot;TitleRowCount&quot;:3,&quot;SplitedTable&quot;:false,&quot;FirstTableId&quot;:&quot;ad795b06-db5c-4ddc-8a82-0d464741b6c9&quot;}"/>
      </w:tblPr>
      <w:tblGrid>
        <w:gridCol w:w="2226"/>
        <w:gridCol w:w="107"/>
        <w:gridCol w:w="1685"/>
        <w:gridCol w:w="106"/>
        <w:gridCol w:w="106"/>
        <w:gridCol w:w="922"/>
        <w:gridCol w:w="106"/>
        <w:gridCol w:w="106"/>
        <w:gridCol w:w="1677"/>
        <w:gridCol w:w="106"/>
        <w:gridCol w:w="106"/>
        <w:gridCol w:w="992"/>
        <w:gridCol w:w="106"/>
      </w:tblGrid>
      <w:tr w:rsidR="00AD5BB5">
        <w:tc>
          <w:tcPr>
            <w:tcW w:w="222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交易名称</w:t>
            </w:r>
            <w:r>
              <w:rPr>
                <w:rFonts w:ascii="Arial" w:eastAsia="黑体" w:hAnsi="Arial" w:cs="Arial"/>
                <w:sz w:val="18"/>
                <w:szCs w:val="18"/>
              </w:rPr>
              <w:t xml:space="preserve"> </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819" w:type="dxa"/>
            <w:gridSpan w:val="4"/>
            <w:tcBorders>
              <w:top w:val="nil"/>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 DOCPROPERTY </w:instrText>
            </w:r>
            <w:r>
              <w:rPr>
                <w:rFonts w:ascii="Arial" w:eastAsia="黑体" w:hAnsi="Arial" w:cs="Arial"/>
                <w:sz w:val="18"/>
                <w:szCs w:val="18"/>
              </w:rPr>
              <w:instrText>当期资产负债表日</w:instrText>
            </w:r>
            <w:r>
              <w:rPr>
                <w:rFonts w:ascii="Arial" w:eastAsia="黑体" w:hAnsi="Arial" w:cs="Arial"/>
                <w:sz w:val="18"/>
                <w:szCs w:val="18"/>
              </w:rPr>
              <w:instrText xml:space="preserve"> </w:instrText>
            </w:r>
            <w:r>
              <w:rPr>
                <w:rFonts w:ascii="Arial" w:eastAsia="黑体" w:hAnsi="Arial" w:cs="Arial"/>
                <w:sz w:val="18"/>
                <w:szCs w:val="18"/>
              </w:rPr>
              <w:fldChar w:fldCharType="separate"/>
            </w:r>
            <w:r>
              <w:rPr>
                <w:rFonts w:ascii="Arial" w:eastAsia="黑体" w:hAnsi="Arial" w:cs="Arial"/>
                <w:sz w:val="18"/>
                <w:szCs w:val="18"/>
              </w:rPr>
              <w:t>2023</w:t>
            </w:r>
            <w:r>
              <w:rPr>
                <w:rFonts w:ascii="Arial" w:eastAsia="黑体" w:hAnsi="Arial" w:cs="Arial"/>
                <w:sz w:val="18"/>
                <w:szCs w:val="18"/>
              </w:rPr>
              <w:t>年</w:t>
            </w:r>
            <w:r>
              <w:rPr>
                <w:rFonts w:ascii="Arial" w:eastAsia="黑体" w:hAnsi="Arial" w:cs="Arial"/>
                <w:sz w:val="18"/>
                <w:szCs w:val="18"/>
              </w:rPr>
              <w:t>6</w:t>
            </w:r>
            <w:r>
              <w:rPr>
                <w:rFonts w:ascii="Arial" w:eastAsia="黑体" w:hAnsi="Arial" w:cs="Arial"/>
                <w:sz w:val="18"/>
                <w:szCs w:val="18"/>
              </w:rPr>
              <w:t>月</w:t>
            </w:r>
            <w:r>
              <w:rPr>
                <w:rFonts w:ascii="Arial" w:eastAsia="黑体" w:hAnsi="Arial" w:cs="Arial"/>
                <w:sz w:val="18"/>
                <w:szCs w:val="18"/>
              </w:rPr>
              <w:t>30</w:t>
            </w:r>
            <w:r>
              <w:rPr>
                <w:rFonts w:ascii="Arial" w:eastAsia="黑体" w:hAnsi="Arial" w:cs="Arial"/>
                <w:sz w:val="18"/>
                <w:szCs w:val="18"/>
              </w:rPr>
              <w:t>日</w:t>
            </w:r>
            <w:r>
              <w:rPr>
                <w:rFonts w:ascii="Arial" w:eastAsia="黑体" w:hAnsi="Arial" w:cs="Arial"/>
                <w:sz w:val="18"/>
                <w:szCs w:val="18"/>
              </w:rPr>
              <w:fldChar w:fldCharType="end"/>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881" w:type="dxa"/>
            <w:gridSpan w:val="4"/>
            <w:tcBorders>
              <w:top w:val="nil"/>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2022</w:t>
            </w:r>
            <w:r>
              <w:rPr>
                <w:rFonts w:ascii="Arial" w:eastAsia="黑体" w:hAnsi="Arial" w:cs="Arial"/>
                <w:sz w:val="18"/>
                <w:szCs w:val="18"/>
              </w:rPr>
              <w:t>年</w:t>
            </w:r>
            <w:r>
              <w:rPr>
                <w:rFonts w:ascii="Arial" w:eastAsia="黑体" w:hAnsi="Arial" w:cs="Arial"/>
                <w:sz w:val="18"/>
                <w:szCs w:val="18"/>
              </w:rPr>
              <w:t>12</w:t>
            </w:r>
            <w:r>
              <w:rPr>
                <w:rFonts w:ascii="Arial" w:eastAsia="黑体" w:hAnsi="Arial" w:cs="Arial"/>
                <w:sz w:val="18"/>
                <w:szCs w:val="18"/>
              </w:rPr>
              <w:t>月</w:t>
            </w:r>
            <w:r>
              <w:rPr>
                <w:rFonts w:ascii="Arial" w:eastAsia="黑体" w:hAnsi="Arial" w:cs="Arial"/>
                <w:sz w:val="18"/>
                <w:szCs w:val="18"/>
              </w:rPr>
              <w:t>31</w:t>
            </w:r>
            <w:r>
              <w:rPr>
                <w:rFonts w:ascii="Arial" w:eastAsia="黑体" w:hAnsi="Arial" w:cs="Arial"/>
                <w:sz w:val="18"/>
                <w:szCs w:val="18"/>
              </w:rPr>
              <w:t>日</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22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交易余额</w:t>
            </w:r>
            <w:r>
              <w:rPr>
                <w:rFonts w:ascii="Arial" w:eastAsia="黑体" w:hAnsi="Arial" w:cs="Arial"/>
                <w:sz w:val="18"/>
                <w:szCs w:val="18"/>
              </w:rPr>
              <w:t xml:space="preserve"> </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w:t>
            </w:r>
            <w:proofErr w:type="gramStart"/>
            <w:r>
              <w:rPr>
                <w:rFonts w:ascii="Arial" w:eastAsia="黑体" w:hAnsi="Arial" w:cs="Arial"/>
                <w:sz w:val="18"/>
                <w:szCs w:val="18"/>
              </w:rPr>
              <w:t>占有关</w:t>
            </w:r>
            <w:proofErr w:type="gramEnd"/>
            <w:r>
              <w:rPr>
                <w:rFonts w:ascii="Arial" w:eastAsia="黑体" w:hAnsi="Arial" w:cs="Arial"/>
                <w:sz w:val="18"/>
                <w:szCs w:val="18"/>
              </w:rPr>
              <w:t>同类交易余额比例</w:t>
            </w:r>
            <w:r>
              <w:rPr>
                <w:rFonts w:ascii="Arial" w:eastAsia="黑体" w:hAnsi="Arial" w:cs="Arial"/>
                <w:sz w:val="18"/>
                <w:szCs w:val="18"/>
              </w:rPr>
              <w:t xml:space="preserve">% </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7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交易余额</w:t>
            </w:r>
            <w:r>
              <w:rPr>
                <w:rFonts w:ascii="Arial" w:eastAsia="黑体" w:hAnsi="Arial" w:cs="Arial"/>
                <w:sz w:val="18"/>
                <w:szCs w:val="18"/>
              </w:rPr>
              <w:t xml:space="preserve"> </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w:t>
            </w:r>
            <w:proofErr w:type="gramStart"/>
            <w:r>
              <w:rPr>
                <w:rFonts w:ascii="Arial" w:eastAsia="黑体" w:hAnsi="Arial" w:cs="Arial"/>
                <w:sz w:val="18"/>
                <w:szCs w:val="18"/>
              </w:rPr>
              <w:t>占有关</w:t>
            </w:r>
            <w:proofErr w:type="gramEnd"/>
            <w:r>
              <w:rPr>
                <w:rFonts w:ascii="Arial" w:eastAsia="黑体" w:hAnsi="Arial" w:cs="Arial"/>
                <w:sz w:val="18"/>
                <w:szCs w:val="18"/>
              </w:rPr>
              <w:t>同类交易余额比例</w:t>
            </w:r>
            <w:r>
              <w:rPr>
                <w:rFonts w:ascii="Arial" w:eastAsia="黑体" w:hAnsi="Arial" w:cs="Arial"/>
                <w:sz w:val="18"/>
                <w:szCs w:val="18"/>
              </w:rPr>
              <w:t xml:space="preserve">% </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22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85"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2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7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92"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22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同业及其他金融机构存放款项</w:t>
            </w:r>
            <w:r>
              <w:rPr>
                <w:rFonts w:ascii="Arial" w:eastAsia="黑体" w:hAnsi="Arial" w:cs="Arial"/>
                <w:sz w:val="18"/>
                <w:szCs w:val="18"/>
              </w:rPr>
              <w:t xml:space="preserve"> </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4,226,090.93</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0.04%</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7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3,029,702.12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0.02%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22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拆出资金</w:t>
            </w:r>
            <w:r>
              <w:rPr>
                <w:rFonts w:ascii="Arial" w:eastAsia="黑体" w:hAnsi="Arial" w:cs="Arial"/>
                <w:sz w:val="18"/>
                <w:szCs w:val="18"/>
              </w:rPr>
              <w:t xml:space="preserve"> </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824,464,644.44</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4.46%</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7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415,415,805.56</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2.91%</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22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银行承兑汇票</w:t>
            </w:r>
            <w:r>
              <w:rPr>
                <w:rFonts w:ascii="Arial" w:eastAsia="黑体" w:hAnsi="Arial" w:cs="Arial"/>
                <w:sz w:val="18"/>
                <w:szCs w:val="18"/>
              </w:rPr>
              <w:t xml:space="preserve"> </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45,582,108.99</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0.13%</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7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58,322,764.04</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0.11%</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22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其他负债</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8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11,268.62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2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0.00%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7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24,375.01</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9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0.00%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bl>
    <w:p w:rsidR="00AD5BB5" w:rsidRDefault="00AD5BB5">
      <w:pPr>
        <w:overflowPunct w:val="0"/>
        <w:autoSpaceDE w:val="0"/>
        <w:autoSpaceDN w:val="0"/>
        <w:adjustRightInd w:val="0"/>
        <w:snapToGrid w:val="0"/>
        <w:rPr>
          <w:rFonts w:ascii="Arial" w:eastAsia="黑体" w:hAnsi="Arial" w:cs="Arial"/>
          <w:i/>
          <w:snapToGrid w:val="0"/>
          <w:szCs w:val="21"/>
        </w:rPr>
      </w:pPr>
    </w:p>
    <w:p w:rsidR="00AD5BB5" w:rsidRDefault="00F87FF6">
      <w:pPr>
        <w:overflowPunct w:val="0"/>
        <w:autoSpaceDE w:val="0"/>
        <w:autoSpaceDN w:val="0"/>
        <w:snapToGrid w:val="0"/>
        <w:ind w:left="720" w:hanging="720"/>
        <w:outlineLvl w:val="4"/>
        <w:rPr>
          <w:rFonts w:ascii="Arial" w:eastAsia="黑体" w:hAnsi="Arial" w:cs="Arial"/>
          <w:b/>
          <w:bCs/>
          <w:snapToGrid w:val="0"/>
          <w:szCs w:val="21"/>
        </w:rPr>
      </w:pPr>
      <w:bookmarkStart w:id="546" w:name="afsaddin_Section_2e124e700970428c9f272f9"/>
      <w:r>
        <w:rPr>
          <w:rFonts w:ascii="Arial" w:eastAsia="黑体" w:hAnsi="Arial" w:cs="Arial"/>
          <w:b/>
          <w:bCs/>
          <w:snapToGrid w:val="0"/>
          <w:szCs w:val="21"/>
        </w:rPr>
        <w:t>3.4</w:t>
      </w:r>
      <w:r>
        <w:rPr>
          <w:rFonts w:ascii="Arial" w:eastAsia="黑体" w:hAnsi="Arial" w:cs="Arial"/>
          <w:b/>
          <w:bCs/>
          <w:snapToGrid w:val="0"/>
          <w:szCs w:val="21"/>
        </w:rPr>
        <w:tab/>
      </w:r>
      <w:r>
        <w:rPr>
          <w:rFonts w:ascii="Arial" w:eastAsia="黑体" w:hAnsi="Arial" w:cs="Arial"/>
          <w:b/>
          <w:bCs/>
          <w:snapToGrid w:val="0"/>
          <w:szCs w:val="21"/>
        </w:rPr>
        <w:t>与本行其他关联方之交易余额</w:t>
      </w:r>
    </w:p>
    <w:bookmarkEnd w:id="546"/>
    <w:p w:rsidR="00AD5BB5" w:rsidRDefault="00AD5BB5">
      <w:pPr>
        <w:overflowPunct w:val="0"/>
        <w:autoSpaceDE w:val="0"/>
        <w:autoSpaceDN w:val="0"/>
        <w:adjustRightInd w:val="0"/>
        <w:snapToGrid w:val="0"/>
        <w:ind w:left="720" w:hanging="720"/>
        <w:textAlignment w:val="bottom"/>
        <w:rPr>
          <w:rFonts w:ascii="Arial" w:eastAsia="黑体" w:hAnsi="Arial" w:cs="Arial"/>
          <w:b/>
          <w:bCs/>
          <w:snapToGrid w:val="0"/>
          <w:szCs w:val="21"/>
        </w:rPr>
      </w:pPr>
    </w:p>
    <w:tbl>
      <w:tblPr>
        <w:tblW w:w="0" w:type="auto"/>
        <w:tblLayout w:type="fixed"/>
        <w:tblCellMar>
          <w:left w:w="0" w:type="dxa"/>
          <w:right w:w="0" w:type="dxa"/>
        </w:tblCellMar>
        <w:tblLook w:val="04A0" w:firstRow="1" w:lastRow="0" w:firstColumn="1" w:lastColumn="0" w:noHBand="0" w:noVBand="1"/>
        <w:tblCaption w:val="e056b7bc-ec2e-4f8d-bfff-1fbd590be107"/>
        <w:tblDescription w:val="{&quot;UUID&quot;:&quot;afsaddin_tabledata_2_56437_e056b7bc-ec2e-4f8d-bfff-1fbd590be107&quot;,&quot;TitleRowCount&quot;:3,&quot;SplitedTable&quot;:false,&quot;FirstTableId&quot;:&quot;e056b7bc-ec2e-4f8d-bfff-1fbd590be107&quot;}"/>
      </w:tblPr>
      <w:tblGrid>
        <w:gridCol w:w="2226"/>
        <w:gridCol w:w="107"/>
        <w:gridCol w:w="1685"/>
        <w:gridCol w:w="106"/>
        <w:gridCol w:w="106"/>
        <w:gridCol w:w="922"/>
        <w:gridCol w:w="106"/>
        <w:gridCol w:w="106"/>
        <w:gridCol w:w="1677"/>
        <w:gridCol w:w="106"/>
        <w:gridCol w:w="106"/>
        <w:gridCol w:w="992"/>
        <w:gridCol w:w="106"/>
      </w:tblGrid>
      <w:tr w:rsidR="00AD5BB5">
        <w:tc>
          <w:tcPr>
            <w:tcW w:w="222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交易名称</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819" w:type="dxa"/>
            <w:gridSpan w:val="4"/>
            <w:tcBorders>
              <w:top w:val="nil"/>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 DOCPROPERTY </w:instrText>
            </w:r>
            <w:r>
              <w:rPr>
                <w:rFonts w:ascii="Arial" w:eastAsia="黑体" w:hAnsi="Arial" w:cs="Arial"/>
                <w:sz w:val="18"/>
                <w:szCs w:val="18"/>
              </w:rPr>
              <w:instrText>当期资产负债表日</w:instrText>
            </w:r>
            <w:r>
              <w:rPr>
                <w:rFonts w:ascii="Arial" w:eastAsia="黑体" w:hAnsi="Arial" w:cs="Arial"/>
                <w:sz w:val="18"/>
                <w:szCs w:val="18"/>
              </w:rPr>
              <w:instrText xml:space="preserve"> </w:instrText>
            </w:r>
            <w:r>
              <w:rPr>
                <w:rFonts w:ascii="Arial" w:eastAsia="黑体" w:hAnsi="Arial" w:cs="Arial"/>
                <w:sz w:val="18"/>
                <w:szCs w:val="18"/>
              </w:rPr>
              <w:fldChar w:fldCharType="separate"/>
            </w:r>
            <w:r>
              <w:rPr>
                <w:rFonts w:ascii="Arial" w:eastAsia="黑体" w:hAnsi="Arial" w:cs="Arial"/>
                <w:sz w:val="18"/>
                <w:szCs w:val="18"/>
              </w:rPr>
              <w:t>2023</w:t>
            </w:r>
            <w:r>
              <w:rPr>
                <w:rFonts w:ascii="Arial" w:eastAsia="黑体" w:hAnsi="Arial" w:cs="Arial"/>
                <w:sz w:val="18"/>
                <w:szCs w:val="18"/>
              </w:rPr>
              <w:t>年</w:t>
            </w:r>
            <w:r>
              <w:rPr>
                <w:rFonts w:ascii="Arial" w:eastAsia="黑体" w:hAnsi="Arial" w:cs="Arial"/>
                <w:sz w:val="18"/>
                <w:szCs w:val="18"/>
              </w:rPr>
              <w:t>6</w:t>
            </w:r>
            <w:r>
              <w:rPr>
                <w:rFonts w:ascii="Arial" w:eastAsia="黑体" w:hAnsi="Arial" w:cs="Arial"/>
                <w:sz w:val="18"/>
                <w:szCs w:val="18"/>
              </w:rPr>
              <w:t>月</w:t>
            </w:r>
            <w:r>
              <w:rPr>
                <w:rFonts w:ascii="Arial" w:eastAsia="黑体" w:hAnsi="Arial" w:cs="Arial"/>
                <w:sz w:val="18"/>
                <w:szCs w:val="18"/>
              </w:rPr>
              <w:t>30</w:t>
            </w:r>
            <w:r>
              <w:rPr>
                <w:rFonts w:ascii="Arial" w:eastAsia="黑体" w:hAnsi="Arial" w:cs="Arial"/>
                <w:sz w:val="18"/>
                <w:szCs w:val="18"/>
              </w:rPr>
              <w:t>日</w:t>
            </w:r>
            <w:r>
              <w:rPr>
                <w:rFonts w:ascii="Arial" w:eastAsia="黑体" w:hAnsi="Arial" w:cs="Arial"/>
                <w:sz w:val="18"/>
                <w:szCs w:val="18"/>
              </w:rPr>
              <w:fldChar w:fldCharType="end"/>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881" w:type="dxa"/>
            <w:gridSpan w:val="4"/>
            <w:tcBorders>
              <w:top w:val="nil"/>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2022</w:t>
            </w:r>
            <w:r>
              <w:rPr>
                <w:rFonts w:ascii="Arial" w:eastAsia="黑体" w:hAnsi="Arial" w:cs="Arial"/>
                <w:sz w:val="18"/>
                <w:szCs w:val="18"/>
              </w:rPr>
              <w:t>年</w:t>
            </w:r>
            <w:r>
              <w:rPr>
                <w:rFonts w:ascii="Arial" w:eastAsia="黑体" w:hAnsi="Arial" w:cs="Arial"/>
                <w:sz w:val="18"/>
                <w:szCs w:val="18"/>
              </w:rPr>
              <w:t>12</w:t>
            </w:r>
            <w:r>
              <w:rPr>
                <w:rFonts w:ascii="Arial" w:eastAsia="黑体" w:hAnsi="Arial" w:cs="Arial"/>
                <w:sz w:val="18"/>
                <w:szCs w:val="18"/>
              </w:rPr>
              <w:t>月</w:t>
            </w:r>
            <w:r>
              <w:rPr>
                <w:rFonts w:ascii="Arial" w:eastAsia="黑体" w:hAnsi="Arial" w:cs="Arial"/>
                <w:sz w:val="18"/>
                <w:szCs w:val="18"/>
              </w:rPr>
              <w:t>31</w:t>
            </w:r>
            <w:r>
              <w:rPr>
                <w:rFonts w:ascii="Arial" w:eastAsia="黑体" w:hAnsi="Arial" w:cs="Arial"/>
                <w:sz w:val="18"/>
                <w:szCs w:val="18"/>
              </w:rPr>
              <w:t>日</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22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交易余额</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proofErr w:type="gramStart"/>
            <w:r>
              <w:rPr>
                <w:rFonts w:ascii="Arial" w:eastAsia="黑体" w:hAnsi="Arial" w:cs="Arial"/>
                <w:sz w:val="18"/>
                <w:szCs w:val="18"/>
              </w:rPr>
              <w:t>占有关</w:t>
            </w:r>
            <w:proofErr w:type="gramEnd"/>
            <w:r>
              <w:rPr>
                <w:rFonts w:ascii="Arial" w:eastAsia="黑体" w:hAnsi="Arial" w:cs="Arial"/>
                <w:sz w:val="18"/>
                <w:szCs w:val="18"/>
              </w:rPr>
              <w:t>同类交易余额比例</w:t>
            </w:r>
            <w:r>
              <w:rPr>
                <w:rFonts w:ascii="Arial" w:eastAsia="黑体" w:hAnsi="Arial" w:cs="Arial"/>
                <w:sz w:val="18"/>
                <w:szCs w:val="18"/>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7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交易余额</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proofErr w:type="gramStart"/>
            <w:r>
              <w:rPr>
                <w:rFonts w:ascii="Arial" w:eastAsia="黑体" w:hAnsi="Arial" w:cs="Arial"/>
                <w:sz w:val="18"/>
                <w:szCs w:val="18"/>
              </w:rPr>
              <w:t>占有关</w:t>
            </w:r>
            <w:proofErr w:type="gramEnd"/>
            <w:r>
              <w:rPr>
                <w:rFonts w:ascii="Arial" w:eastAsia="黑体" w:hAnsi="Arial" w:cs="Arial"/>
                <w:sz w:val="18"/>
                <w:szCs w:val="18"/>
              </w:rPr>
              <w:t>同类交易余额比例</w:t>
            </w:r>
            <w:r>
              <w:rPr>
                <w:rFonts w:ascii="Arial" w:eastAsia="黑体" w:hAnsi="Arial" w:cs="Arial"/>
                <w:sz w:val="18"/>
                <w:szCs w:val="18"/>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226"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85"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2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7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9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22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发放贷款</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1,055,514,575.21</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0.58%</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7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1,234,118,710.93</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0.68%</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22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债权投资</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131,010,000.00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0.26%</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7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584,821,996.84</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1.30%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22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其他债权投资</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351,448,261.65</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0.91%</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7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274,845,933.15</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0.70%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22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存放同业款项</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410,148,633.11</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6.72%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7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305,532,813.69</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3.08%</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22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其他资产</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8,121,539.29</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0.38%</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7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9,751,995.29</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0.58%</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226" w:type="dxa"/>
            <w:tcBorders>
              <w:top w:val="nil"/>
              <w:left w:val="nil"/>
              <w:bottom w:val="nil"/>
              <w:right w:val="nil"/>
            </w:tcBorders>
            <w:vAlign w:val="bottom"/>
          </w:tcPr>
          <w:p w:rsidR="00AD5BB5" w:rsidRDefault="00F87FF6">
            <w:pPr>
              <w:autoSpaceDE w:val="0"/>
              <w:autoSpaceDN w:val="0"/>
              <w:ind w:left="203" w:rightChars="67" w:right="141" w:hangingChars="113" w:hanging="203"/>
              <w:rPr>
                <w:rFonts w:ascii="Arial" w:eastAsia="黑体" w:hAnsi="Arial" w:cs="Arial"/>
                <w:sz w:val="18"/>
                <w:szCs w:val="18"/>
              </w:rPr>
            </w:pPr>
            <w:r>
              <w:rPr>
                <w:rFonts w:ascii="Arial" w:eastAsia="黑体" w:hAnsi="Arial" w:cs="Arial"/>
                <w:sz w:val="18"/>
                <w:szCs w:val="18"/>
              </w:rPr>
              <w:t>同业及其他金融机构存放款项</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51,752,554.43</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0.51%</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7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38,294,289.36</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0.29%</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22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吸收存款</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10,587,716,845.62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5.64%</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7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10,439,693,806.52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5.04%</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22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其他负债</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85"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13,950,142.96</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0.54%</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7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10,740,507.23</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9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0.84%</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22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color w:val="000000"/>
                <w:sz w:val="18"/>
                <w:szCs w:val="18"/>
              </w:rPr>
            </w:pPr>
            <w:r>
              <w:rPr>
                <w:rFonts w:ascii="Arial" w:eastAsia="黑体" w:hAnsi="Arial" w:cs="Arial"/>
                <w:sz w:val="18"/>
              </w:rPr>
              <w:t>保函</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8"/>
                <w:szCs w:val="18"/>
              </w:rPr>
            </w:pPr>
          </w:p>
        </w:tc>
        <w:tc>
          <w:tcPr>
            <w:tcW w:w="1685" w:type="dxa"/>
            <w:tcBorders>
              <w:top w:val="nil"/>
              <w:left w:val="nil"/>
              <w:bottom w:val="nil"/>
              <w:right w:val="nil"/>
            </w:tcBorders>
            <w:vAlign w:val="bottom"/>
          </w:tcPr>
          <w:p w:rsidR="00AD5BB5" w:rsidRDefault="00F87FF6">
            <w:pPr>
              <w:autoSpaceDE w:val="0"/>
              <w:autoSpaceDN w:val="0"/>
              <w:jc w:val="right"/>
              <w:rPr>
                <w:rFonts w:ascii="Arial" w:eastAsia="黑体" w:hAnsi="Arial" w:cs="Arial"/>
                <w:color w:val="000000"/>
                <w:sz w:val="18"/>
                <w:szCs w:val="18"/>
              </w:rPr>
            </w:pPr>
            <w:r>
              <w:rPr>
                <w:rFonts w:ascii="Arial" w:eastAsia="黑体" w:hAnsi="Arial" w:cs="Arial"/>
                <w:sz w:val="18"/>
              </w:rPr>
              <w:t>389,501,476.23</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8"/>
                <w:szCs w:val="18"/>
              </w:rPr>
            </w:pPr>
          </w:p>
        </w:tc>
        <w:tc>
          <w:tcPr>
            <w:tcW w:w="922" w:type="dxa"/>
            <w:tcBorders>
              <w:top w:val="nil"/>
              <w:left w:val="nil"/>
              <w:bottom w:val="nil"/>
              <w:right w:val="nil"/>
            </w:tcBorders>
            <w:vAlign w:val="bottom"/>
          </w:tcPr>
          <w:p w:rsidR="00AD5BB5" w:rsidRDefault="00F87FF6">
            <w:pPr>
              <w:autoSpaceDE w:val="0"/>
              <w:autoSpaceDN w:val="0"/>
              <w:jc w:val="right"/>
              <w:rPr>
                <w:rFonts w:ascii="Arial" w:eastAsia="黑体" w:hAnsi="Arial" w:cs="Arial"/>
                <w:color w:val="000000"/>
                <w:sz w:val="18"/>
                <w:szCs w:val="18"/>
              </w:rPr>
            </w:pPr>
            <w:r>
              <w:rPr>
                <w:rFonts w:ascii="Arial" w:eastAsia="黑体" w:hAnsi="Arial" w:cs="Arial"/>
                <w:sz w:val="18"/>
              </w:rPr>
              <w:t>10.22%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8"/>
                <w:szCs w:val="18"/>
              </w:rPr>
            </w:pPr>
          </w:p>
        </w:tc>
        <w:tc>
          <w:tcPr>
            <w:tcW w:w="1677" w:type="dxa"/>
            <w:tcBorders>
              <w:top w:val="nil"/>
              <w:left w:val="nil"/>
              <w:bottom w:val="nil"/>
              <w:right w:val="nil"/>
            </w:tcBorders>
            <w:vAlign w:val="bottom"/>
          </w:tcPr>
          <w:p w:rsidR="00AD5BB5" w:rsidRDefault="00F87FF6">
            <w:pPr>
              <w:autoSpaceDE w:val="0"/>
              <w:autoSpaceDN w:val="0"/>
              <w:jc w:val="right"/>
              <w:rPr>
                <w:rFonts w:ascii="Arial" w:eastAsia="黑体" w:hAnsi="Arial" w:cs="Arial"/>
                <w:color w:val="000000"/>
                <w:sz w:val="18"/>
                <w:szCs w:val="18"/>
              </w:rPr>
            </w:pPr>
            <w:r>
              <w:rPr>
                <w:rFonts w:ascii="Arial" w:eastAsia="黑体" w:hAnsi="Arial" w:cs="Arial"/>
                <w:sz w:val="18"/>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8"/>
                <w:szCs w:val="18"/>
              </w:rPr>
            </w:pPr>
          </w:p>
        </w:tc>
        <w:tc>
          <w:tcPr>
            <w:tcW w:w="992" w:type="dxa"/>
            <w:tcBorders>
              <w:top w:val="nil"/>
              <w:left w:val="nil"/>
              <w:bottom w:val="nil"/>
              <w:right w:val="nil"/>
            </w:tcBorders>
            <w:vAlign w:val="bottom"/>
          </w:tcPr>
          <w:p w:rsidR="00AD5BB5" w:rsidRDefault="00F87FF6">
            <w:pPr>
              <w:autoSpaceDE w:val="0"/>
              <w:autoSpaceDN w:val="0"/>
              <w:jc w:val="right"/>
              <w:rPr>
                <w:rFonts w:ascii="Arial" w:eastAsia="黑体" w:hAnsi="Arial" w:cs="Arial"/>
                <w:color w:val="000000"/>
                <w:sz w:val="18"/>
                <w:szCs w:val="18"/>
              </w:rPr>
            </w:pPr>
            <w:r>
              <w:rPr>
                <w:rFonts w:ascii="Arial" w:eastAsia="黑体" w:hAnsi="Arial" w:cs="Arial"/>
                <w:sz w:val="18"/>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18"/>
                <w:szCs w:val="18"/>
              </w:rPr>
            </w:pPr>
          </w:p>
        </w:tc>
      </w:tr>
      <w:tr w:rsidR="00AD5BB5">
        <w:tc>
          <w:tcPr>
            <w:tcW w:w="2226"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银行承兑汇票</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85"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165,000,000.00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2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0.46%</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7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206,510,161.66</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99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0.40%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bl>
    <w:p w:rsidR="00AD5BB5" w:rsidRDefault="00F87FF6">
      <w:pPr>
        <w:rPr>
          <w:rFonts w:ascii="Arial" w:eastAsia="黑体" w:hAnsi="Arial" w:cs="Arial"/>
          <w:snapToGrid w:val="0"/>
          <w:szCs w:val="21"/>
        </w:rPr>
      </w:pPr>
      <w:r>
        <w:rPr>
          <w:rFonts w:ascii="Arial" w:eastAsia="黑体" w:hAnsi="Arial" w:cs="Arial"/>
          <w:snapToGrid w:val="0"/>
          <w:szCs w:val="21"/>
        </w:rPr>
        <w:br w:type="page"/>
      </w:r>
    </w:p>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overflowPunct w:val="0"/>
        <w:autoSpaceDE w:val="0"/>
        <w:autoSpaceDN w:val="0"/>
        <w:adjustRightInd w:val="0"/>
        <w:snapToGrid w:val="0"/>
        <w:rPr>
          <w:rFonts w:ascii="Arial" w:eastAsia="黑体" w:hAnsi="Arial" w:cs="Arial"/>
          <w:b/>
          <w:snapToGrid w:val="0"/>
          <w:szCs w:val="21"/>
        </w:rPr>
      </w:pPr>
      <w:bookmarkStart w:id="547" w:name="afsaddin_WithXu_bf0d58196c2340b2a0ad607a"/>
      <w:r>
        <w:rPr>
          <w:rFonts w:ascii="Arial" w:eastAsia="黑体" w:hAnsi="Arial" w:cs="Arial"/>
          <w:b/>
          <w:snapToGrid w:val="0"/>
          <w:szCs w:val="21"/>
        </w:rPr>
        <w:t>九、</w:t>
      </w:r>
      <w:r>
        <w:rPr>
          <w:rFonts w:ascii="Arial" w:eastAsia="黑体" w:hAnsi="Arial" w:cs="Arial"/>
          <w:b/>
          <w:snapToGrid w:val="0"/>
          <w:szCs w:val="21"/>
        </w:rPr>
        <w:tab/>
      </w:r>
      <w:r>
        <w:rPr>
          <w:rFonts w:ascii="Arial" w:eastAsia="黑体" w:hAnsi="Arial" w:cs="Arial"/>
          <w:b/>
          <w:snapToGrid w:val="0"/>
          <w:szCs w:val="21"/>
        </w:rPr>
        <w:t>关联方关系及其交易（续）</w:t>
      </w:r>
      <w:bookmarkEnd w:id="547"/>
    </w:p>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overflowPunct w:val="0"/>
        <w:autoSpaceDE w:val="0"/>
        <w:autoSpaceDN w:val="0"/>
        <w:adjustRightInd w:val="0"/>
        <w:snapToGrid w:val="0"/>
        <w:ind w:left="720" w:hanging="720"/>
        <w:rPr>
          <w:rFonts w:ascii="Arial" w:eastAsia="黑体" w:hAnsi="Arial" w:cs="Arial"/>
          <w:b/>
          <w:snapToGrid w:val="0"/>
          <w:szCs w:val="21"/>
        </w:rPr>
      </w:pPr>
      <w:bookmarkStart w:id="548" w:name="afsaddin_WithXu_a30f18a14ff94e029c3c5988"/>
      <w:r>
        <w:rPr>
          <w:rFonts w:ascii="Arial" w:eastAsia="黑体" w:hAnsi="Arial" w:cs="Arial"/>
          <w:b/>
          <w:snapToGrid w:val="0"/>
          <w:szCs w:val="21"/>
        </w:rPr>
        <w:t>3.</w:t>
      </w:r>
      <w:r>
        <w:rPr>
          <w:rFonts w:ascii="Arial" w:eastAsia="黑体" w:hAnsi="Arial" w:cs="Arial"/>
          <w:b/>
          <w:snapToGrid w:val="0"/>
          <w:szCs w:val="21"/>
        </w:rPr>
        <w:tab/>
      </w:r>
      <w:r>
        <w:rPr>
          <w:rFonts w:ascii="Arial" w:eastAsia="黑体" w:hAnsi="Arial" w:cs="Arial"/>
          <w:b/>
          <w:snapToGrid w:val="0"/>
          <w:szCs w:val="21"/>
        </w:rPr>
        <w:t>关联方交易余额（续）</w:t>
      </w:r>
      <w:bookmarkEnd w:id="548"/>
    </w:p>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overflowPunct w:val="0"/>
        <w:autoSpaceDE w:val="0"/>
        <w:autoSpaceDN w:val="0"/>
        <w:snapToGrid w:val="0"/>
        <w:ind w:left="720" w:hanging="720"/>
        <w:outlineLvl w:val="4"/>
        <w:rPr>
          <w:rFonts w:ascii="Arial" w:eastAsia="黑体" w:hAnsi="Arial" w:cs="Arial"/>
          <w:b/>
          <w:bCs/>
          <w:snapToGrid w:val="0"/>
          <w:szCs w:val="21"/>
        </w:rPr>
      </w:pPr>
      <w:bookmarkStart w:id="549" w:name="afsaddin_WithXu_9e2f9c6299574f1e8ea27c17"/>
      <w:bookmarkStart w:id="550" w:name="afsaddin_WithXu_12128fd2005747f7a1217a32"/>
      <w:bookmarkStart w:id="551" w:name="afsaddin_Section_bbf31daa07da46db8ebdfb3"/>
      <w:bookmarkEnd w:id="549"/>
      <w:bookmarkEnd w:id="550"/>
      <w:r>
        <w:rPr>
          <w:rFonts w:ascii="Arial" w:eastAsia="黑体" w:hAnsi="Arial" w:cs="Arial"/>
          <w:b/>
          <w:bCs/>
          <w:snapToGrid w:val="0"/>
          <w:szCs w:val="21"/>
        </w:rPr>
        <w:t>3.5.</w:t>
      </w:r>
      <w:r>
        <w:rPr>
          <w:rFonts w:ascii="Arial" w:eastAsia="黑体" w:hAnsi="Arial" w:cs="Arial"/>
          <w:b/>
          <w:bCs/>
          <w:snapToGrid w:val="0"/>
          <w:szCs w:val="21"/>
        </w:rPr>
        <w:tab/>
      </w:r>
      <w:r>
        <w:rPr>
          <w:rFonts w:ascii="Arial" w:eastAsia="黑体" w:hAnsi="Arial" w:cs="Arial"/>
          <w:b/>
          <w:bCs/>
          <w:snapToGrid w:val="0"/>
          <w:szCs w:val="21"/>
        </w:rPr>
        <w:t>其他</w:t>
      </w:r>
    </w:p>
    <w:bookmarkEnd w:id="551"/>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overflowPunct w:val="0"/>
        <w:autoSpaceDE w:val="0"/>
        <w:autoSpaceDN w:val="0"/>
        <w:adjustRightInd w:val="0"/>
        <w:snapToGrid w:val="0"/>
        <w:rPr>
          <w:rFonts w:ascii="Arial" w:eastAsia="黑体" w:hAnsi="Arial" w:cs="Arial"/>
          <w:snapToGrid w:val="0"/>
          <w:szCs w:val="21"/>
        </w:rPr>
      </w:pPr>
      <w:r>
        <w:rPr>
          <w:rFonts w:ascii="Arial" w:eastAsia="黑体" w:hAnsi="Arial" w:cs="Arial"/>
          <w:snapToGrid w:val="0"/>
          <w:szCs w:val="21"/>
        </w:rPr>
        <w:t>于</w:t>
      </w: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当期资产负债表日</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2023</w:t>
      </w:r>
      <w:r>
        <w:rPr>
          <w:rFonts w:ascii="Arial" w:eastAsia="黑体" w:hAnsi="Arial" w:cs="Arial"/>
          <w:snapToGrid w:val="0"/>
          <w:szCs w:val="21"/>
        </w:rPr>
        <w:t>年</w:t>
      </w:r>
      <w:r>
        <w:rPr>
          <w:rFonts w:ascii="Arial" w:eastAsia="黑体" w:hAnsi="Arial" w:cs="Arial"/>
          <w:snapToGrid w:val="0"/>
          <w:szCs w:val="21"/>
        </w:rPr>
        <w:t>6</w:t>
      </w:r>
      <w:r>
        <w:rPr>
          <w:rFonts w:ascii="Arial" w:eastAsia="黑体" w:hAnsi="Arial" w:cs="Arial"/>
          <w:snapToGrid w:val="0"/>
          <w:szCs w:val="21"/>
        </w:rPr>
        <w:t>月</w:t>
      </w:r>
      <w:r>
        <w:rPr>
          <w:rFonts w:ascii="Arial" w:eastAsia="黑体" w:hAnsi="Arial" w:cs="Arial"/>
          <w:snapToGrid w:val="0"/>
          <w:szCs w:val="21"/>
        </w:rPr>
        <w:t>30</w:t>
      </w:r>
      <w:r>
        <w:rPr>
          <w:rFonts w:ascii="Arial" w:eastAsia="黑体" w:hAnsi="Arial" w:cs="Arial"/>
          <w:snapToGrid w:val="0"/>
          <w:szCs w:val="21"/>
        </w:rPr>
        <w:t>日</w:t>
      </w:r>
      <w:r>
        <w:rPr>
          <w:rFonts w:ascii="Arial" w:eastAsia="黑体" w:hAnsi="Arial" w:cs="Arial"/>
          <w:snapToGrid w:val="0"/>
          <w:szCs w:val="21"/>
        </w:rPr>
        <w:fldChar w:fldCharType="end"/>
      </w:r>
      <w:r>
        <w:rPr>
          <w:rFonts w:ascii="Arial" w:eastAsia="黑体" w:hAnsi="Arial" w:cs="Arial"/>
          <w:snapToGrid w:val="0"/>
          <w:szCs w:val="21"/>
        </w:rPr>
        <w:t>，本集团关联方在本集团为表内外信贷项目及债权投资提供担保的总金额如下：</w:t>
      </w:r>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a90ea312-66d4-4048-bbfb-da8e72aed306"/>
        <w:tblDescription w:val="{&quot;UUID&quot;:&quot;afsaddin_tabledata_2_56437_a90ea312-66d4-4048-bbfb-da8e72aed306&quot;,&quot;TitleRowCount&quot;:2,&quot;SplitedTable&quot;:false,&quot;FirstTableId&quot;:&quot;a90ea312-66d4-4048-bbfb-da8e72aed306&quot;}"/>
      </w:tblPr>
      <w:tblGrid>
        <w:gridCol w:w="2002"/>
        <w:gridCol w:w="113"/>
        <w:gridCol w:w="1637"/>
        <w:gridCol w:w="113"/>
        <w:gridCol w:w="113"/>
        <w:gridCol w:w="1146"/>
        <w:gridCol w:w="56"/>
        <w:gridCol w:w="84"/>
        <w:gridCol w:w="1679"/>
        <w:gridCol w:w="113"/>
        <w:gridCol w:w="113"/>
        <w:gridCol w:w="1076"/>
        <w:gridCol w:w="126"/>
      </w:tblGrid>
      <w:tr w:rsidR="00AD5BB5">
        <w:tc>
          <w:tcPr>
            <w:tcW w:w="2002"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交易名称</w:t>
            </w:r>
            <w:r>
              <w:rPr>
                <w:rFonts w:ascii="Arial" w:eastAsia="黑体" w:hAnsi="Arial" w:cs="Arial"/>
                <w:sz w:val="18"/>
                <w:szCs w:val="18"/>
              </w:rPr>
              <w:t xml:space="preserve"> </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3009" w:type="dxa"/>
            <w:gridSpan w:val="4"/>
            <w:tcBorders>
              <w:top w:val="nil"/>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 DOCPROPERTY </w:instrText>
            </w:r>
            <w:r>
              <w:rPr>
                <w:rFonts w:ascii="Arial" w:eastAsia="黑体" w:hAnsi="Arial" w:cs="Arial"/>
                <w:sz w:val="18"/>
                <w:szCs w:val="18"/>
              </w:rPr>
              <w:instrText>当期资产负债表日</w:instrText>
            </w:r>
            <w:r>
              <w:rPr>
                <w:rFonts w:ascii="Arial" w:eastAsia="黑体" w:hAnsi="Arial" w:cs="Arial"/>
                <w:sz w:val="18"/>
                <w:szCs w:val="18"/>
              </w:rPr>
              <w:instrText xml:space="preserve"> </w:instrText>
            </w:r>
            <w:r>
              <w:rPr>
                <w:rFonts w:ascii="Arial" w:eastAsia="黑体" w:hAnsi="Arial" w:cs="Arial"/>
                <w:sz w:val="18"/>
                <w:szCs w:val="18"/>
              </w:rPr>
              <w:fldChar w:fldCharType="separate"/>
            </w:r>
            <w:r>
              <w:rPr>
                <w:rFonts w:ascii="Arial" w:eastAsia="黑体" w:hAnsi="Arial" w:cs="Arial"/>
                <w:sz w:val="18"/>
                <w:szCs w:val="18"/>
              </w:rPr>
              <w:t>2023</w:t>
            </w:r>
            <w:r>
              <w:rPr>
                <w:rFonts w:ascii="Arial" w:eastAsia="黑体" w:hAnsi="Arial" w:cs="Arial"/>
                <w:sz w:val="18"/>
                <w:szCs w:val="18"/>
              </w:rPr>
              <w:t>年</w:t>
            </w:r>
            <w:r>
              <w:rPr>
                <w:rFonts w:ascii="Arial" w:eastAsia="黑体" w:hAnsi="Arial" w:cs="Arial"/>
                <w:sz w:val="18"/>
                <w:szCs w:val="18"/>
              </w:rPr>
              <w:t>6</w:t>
            </w:r>
            <w:r>
              <w:rPr>
                <w:rFonts w:ascii="Arial" w:eastAsia="黑体" w:hAnsi="Arial" w:cs="Arial"/>
                <w:sz w:val="18"/>
                <w:szCs w:val="18"/>
              </w:rPr>
              <w:t>月</w:t>
            </w:r>
            <w:r>
              <w:rPr>
                <w:rFonts w:ascii="Arial" w:eastAsia="黑体" w:hAnsi="Arial" w:cs="Arial"/>
                <w:sz w:val="18"/>
                <w:szCs w:val="18"/>
              </w:rPr>
              <w:t>30</w:t>
            </w:r>
            <w:r>
              <w:rPr>
                <w:rFonts w:ascii="Arial" w:eastAsia="黑体" w:hAnsi="Arial" w:cs="Arial"/>
                <w:sz w:val="18"/>
                <w:szCs w:val="18"/>
              </w:rPr>
              <w:t>日</w:t>
            </w:r>
            <w:r>
              <w:rPr>
                <w:rFonts w:ascii="Arial" w:eastAsia="黑体" w:hAnsi="Arial" w:cs="Arial"/>
                <w:sz w:val="18"/>
                <w:szCs w:val="18"/>
              </w:rPr>
              <w:fldChar w:fldCharType="end"/>
            </w:r>
          </w:p>
        </w:tc>
        <w:tc>
          <w:tcPr>
            <w:tcW w:w="56" w:type="dxa"/>
            <w:tcBorders>
              <w:top w:val="nil"/>
              <w:left w:val="nil"/>
              <w:bottom w:val="nil"/>
              <w:right w:val="nil"/>
            </w:tcBorders>
            <w:vAlign w:val="bottom"/>
          </w:tcPr>
          <w:p w:rsidR="00AD5BB5" w:rsidRDefault="00AD5BB5">
            <w:pPr>
              <w:autoSpaceDE w:val="0"/>
              <w:autoSpaceDN w:val="0"/>
              <w:ind w:firstLineChars="39" w:firstLine="70"/>
              <w:rPr>
                <w:rFonts w:ascii="Arial" w:eastAsia="黑体" w:hAnsi="Arial" w:cs="Arial"/>
                <w:sz w:val="18"/>
                <w:szCs w:val="18"/>
              </w:rPr>
            </w:pPr>
          </w:p>
        </w:tc>
        <w:tc>
          <w:tcPr>
            <w:tcW w:w="8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981" w:type="dxa"/>
            <w:gridSpan w:val="4"/>
            <w:tcBorders>
              <w:top w:val="nil"/>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 DOCPROPERTY </w:instrText>
            </w:r>
            <w:r>
              <w:rPr>
                <w:rFonts w:ascii="Arial" w:eastAsia="黑体" w:hAnsi="Arial" w:cs="Arial"/>
                <w:sz w:val="18"/>
                <w:szCs w:val="18"/>
              </w:rPr>
              <w:instrText>上期资产负债表日</w:instrText>
            </w:r>
            <w:r>
              <w:rPr>
                <w:rFonts w:ascii="Arial" w:eastAsia="黑体" w:hAnsi="Arial" w:cs="Arial"/>
                <w:sz w:val="18"/>
                <w:szCs w:val="18"/>
              </w:rPr>
              <w:instrText xml:space="preserve"> </w:instrText>
            </w:r>
            <w:r>
              <w:rPr>
                <w:rFonts w:ascii="Arial" w:eastAsia="黑体" w:hAnsi="Arial" w:cs="Arial"/>
                <w:sz w:val="18"/>
                <w:szCs w:val="18"/>
              </w:rPr>
              <w:fldChar w:fldCharType="separate"/>
            </w:r>
            <w:r>
              <w:rPr>
                <w:rFonts w:ascii="Arial" w:eastAsia="黑体" w:hAnsi="Arial" w:cs="Arial"/>
                <w:sz w:val="18"/>
                <w:szCs w:val="18"/>
              </w:rPr>
              <w:t>2022</w:t>
            </w:r>
            <w:r>
              <w:rPr>
                <w:rFonts w:ascii="Arial" w:eastAsia="黑体" w:hAnsi="Arial" w:cs="Arial"/>
                <w:sz w:val="18"/>
                <w:szCs w:val="18"/>
              </w:rPr>
              <w:t>年</w:t>
            </w:r>
            <w:r>
              <w:rPr>
                <w:rFonts w:ascii="Arial" w:eastAsia="黑体" w:hAnsi="Arial" w:cs="Arial"/>
                <w:sz w:val="18"/>
                <w:szCs w:val="18"/>
              </w:rPr>
              <w:t>12</w:t>
            </w:r>
            <w:r>
              <w:rPr>
                <w:rFonts w:ascii="Arial" w:eastAsia="黑体" w:hAnsi="Arial" w:cs="Arial"/>
                <w:sz w:val="18"/>
                <w:szCs w:val="18"/>
              </w:rPr>
              <w:t>月</w:t>
            </w:r>
            <w:r>
              <w:rPr>
                <w:rFonts w:ascii="Arial" w:eastAsia="黑体" w:hAnsi="Arial" w:cs="Arial"/>
                <w:sz w:val="18"/>
                <w:szCs w:val="18"/>
              </w:rPr>
              <w:t>31</w:t>
            </w:r>
            <w:r>
              <w:rPr>
                <w:rFonts w:ascii="Arial" w:eastAsia="黑体" w:hAnsi="Arial" w:cs="Arial"/>
                <w:sz w:val="18"/>
                <w:szCs w:val="18"/>
              </w:rPr>
              <w:t>日</w:t>
            </w:r>
            <w:r>
              <w:rPr>
                <w:rFonts w:ascii="Arial" w:eastAsia="黑体" w:hAnsi="Arial" w:cs="Arial"/>
                <w:sz w:val="18"/>
                <w:szCs w:val="18"/>
              </w:rPr>
              <w:fldChar w:fldCharType="end"/>
            </w:r>
          </w:p>
        </w:tc>
        <w:tc>
          <w:tcPr>
            <w:tcW w:w="12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002"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交易余额</w:t>
            </w:r>
            <w:r>
              <w:rPr>
                <w:rFonts w:ascii="Arial" w:eastAsia="黑体" w:hAnsi="Arial" w:cs="Arial"/>
                <w:sz w:val="18"/>
                <w:szCs w:val="18"/>
              </w:rPr>
              <w:t xml:space="preserve"> </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4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w:t>
            </w:r>
            <w:proofErr w:type="gramStart"/>
            <w:r>
              <w:rPr>
                <w:rFonts w:ascii="Arial" w:eastAsia="黑体" w:hAnsi="Arial" w:cs="Arial"/>
                <w:sz w:val="18"/>
                <w:szCs w:val="18"/>
              </w:rPr>
              <w:t>占有关</w:t>
            </w:r>
            <w:proofErr w:type="gramEnd"/>
            <w:r>
              <w:rPr>
                <w:rFonts w:ascii="Arial" w:eastAsia="黑体" w:hAnsi="Arial" w:cs="Arial"/>
                <w:sz w:val="18"/>
                <w:szCs w:val="18"/>
              </w:rPr>
              <w:t>同类</w:t>
            </w:r>
          </w:p>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交易比例</w:t>
            </w:r>
            <w:r>
              <w:rPr>
                <w:rFonts w:ascii="Arial" w:eastAsia="黑体" w:hAnsi="Arial" w:cs="Arial"/>
                <w:sz w:val="18"/>
                <w:szCs w:val="18"/>
              </w:rPr>
              <w:t xml:space="preserve">% </w:t>
            </w:r>
          </w:p>
        </w:tc>
        <w:tc>
          <w:tcPr>
            <w:tcW w:w="5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8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7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交易余额</w:t>
            </w:r>
            <w:r>
              <w:rPr>
                <w:rFonts w:ascii="Arial" w:eastAsia="黑体" w:hAnsi="Arial" w:cs="Arial"/>
                <w:sz w:val="18"/>
                <w:szCs w:val="18"/>
              </w:rPr>
              <w:t xml:space="preserve"> </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7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 xml:space="preserve"> </w:t>
            </w:r>
            <w:proofErr w:type="gramStart"/>
            <w:r>
              <w:rPr>
                <w:rFonts w:ascii="Arial" w:eastAsia="黑体" w:hAnsi="Arial" w:cs="Arial"/>
                <w:sz w:val="18"/>
                <w:szCs w:val="18"/>
              </w:rPr>
              <w:t>占有关</w:t>
            </w:r>
            <w:proofErr w:type="gramEnd"/>
            <w:r>
              <w:rPr>
                <w:rFonts w:ascii="Arial" w:eastAsia="黑体" w:hAnsi="Arial" w:cs="Arial"/>
                <w:sz w:val="18"/>
                <w:szCs w:val="18"/>
              </w:rPr>
              <w:t>同类交易比例</w:t>
            </w:r>
            <w:r>
              <w:rPr>
                <w:rFonts w:ascii="Arial" w:eastAsia="黑体" w:hAnsi="Arial" w:cs="Arial"/>
                <w:sz w:val="18"/>
                <w:szCs w:val="18"/>
              </w:rPr>
              <w:t xml:space="preserve">% </w:t>
            </w:r>
          </w:p>
        </w:tc>
        <w:tc>
          <w:tcPr>
            <w:tcW w:w="12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002"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4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5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8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7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7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2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2002"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担保</w:t>
            </w:r>
            <w:r>
              <w:rPr>
                <w:rFonts w:ascii="Arial" w:eastAsia="黑体" w:hAnsi="Arial" w:cs="Arial"/>
                <w:sz w:val="18"/>
                <w:szCs w:val="18"/>
              </w:rPr>
              <w:t xml:space="preserve"> </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37" w:type="dxa"/>
            <w:tcBorders>
              <w:top w:val="nil"/>
              <w:left w:val="nil"/>
              <w:bottom w:val="nil"/>
              <w:right w:val="nil"/>
            </w:tcBorders>
            <w:vAlign w:val="bottom"/>
          </w:tcPr>
          <w:p w:rsidR="00AD5BB5" w:rsidRDefault="00F87FF6">
            <w:pPr>
              <w:pBdr>
                <w:bottom w:val="double" w:sz="4" w:space="1" w:color="auto"/>
              </w:pBdr>
              <w:autoSpaceDE w:val="0"/>
              <w:autoSpaceDN w:val="0"/>
              <w:jc w:val="right"/>
              <w:rPr>
                <w:rFonts w:ascii="Arial" w:eastAsia="黑体" w:hAnsi="Arial" w:cs="Arial"/>
                <w:sz w:val="18"/>
                <w:szCs w:val="18"/>
              </w:rPr>
            </w:pPr>
            <w:r>
              <w:rPr>
                <w:rFonts w:ascii="Arial" w:eastAsia="黑体" w:hAnsi="Arial" w:cs="Arial"/>
                <w:sz w:val="18"/>
              </w:rPr>
              <w:t>2,661,665,706.04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46" w:type="dxa"/>
            <w:tcBorders>
              <w:top w:val="nil"/>
              <w:left w:val="nil"/>
              <w:bottom w:val="nil"/>
              <w:right w:val="nil"/>
            </w:tcBorders>
            <w:vAlign w:val="bottom"/>
          </w:tcPr>
          <w:p w:rsidR="00AD5BB5" w:rsidRDefault="00F87FF6">
            <w:pPr>
              <w:pBdr>
                <w:bottom w:val="double" w:sz="4" w:space="1" w:color="auto"/>
              </w:pBdr>
              <w:autoSpaceDE w:val="0"/>
              <w:autoSpaceDN w:val="0"/>
              <w:jc w:val="right"/>
              <w:rPr>
                <w:rFonts w:ascii="Arial" w:eastAsia="黑体" w:hAnsi="Arial" w:cs="Arial"/>
                <w:sz w:val="18"/>
                <w:szCs w:val="18"/>
              </w:rPr>
            </w:pPr>
            <w:r>
              <w:rPr>
                <w:rFonts w:ascii="Arial" w:eastAsia="黑体" w:hAnsi="Arial" w:cs="Arial"/>
                <w:sz w:val="18"/>
                <w:szCs w:val="18"/>
              </w:rPr>
              <w:t>不适用</w:t>
            </w:r>
          </w:p>
        </w:tc>
        <w:tc>
          <w:tcPr>
            <w:tcW w:w="5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84"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679" w:type="dxa"/>
            <w:tcBorders>
              <w:top w:val="nil"/>
              <w:left w:val="nil"/>
              <w:bottom w:val="nil"/>
              <w:right w:val="nil"/>
            </w:tcBorders>
            <w:vAlign w:val="bottom"/>
          </w:tcPr>
          <w:p w:rsidR="00AD5BB5" w:rsidRDefault="00F87FF6">
            <w:pPr>
              <w:pBdr>
                <w:bottom w:val="double" w:sz="4" w:space="1" w:color="auto"/>
              </w:pBdr>
              <w:autoSpaceDE w:val="0"/>
              <w:autoSpaceDN w:val="0"/>
              <w:jc w:val="right"/>
              <w:rPr>
                <w:rFonts w:ascii="Arial" w:eastAsia="黑体" w:hAnsi="Arial" w:cs="Arial"/>
                <w:sz w:val="18"/>
                <w:szCs w:val="18"/>
              </w:rPr>
            </w:pPr>
            <w:r>
              <w:rPr>
                <w:rFonts w:ascii="Arial" w:eastAsia="黑体" w:hAnsi="Arial" w:cs="Arial"/>
                <w:sz w:val="18"/>
                <w:szCs w:val="18"/>
              </w:rPr>
              <w:t>3,252,601,314.21</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76" w:type="dxa"/>
            <w:tcBorders>
              <w:top w:val="nil"/>
              <w:left w:val="nil"/>
              <w:bottom w:val="nil"/>
              <w:right w:val="nil"/>
            </w:tcBorders>
            <w:vAlign w:val="bottom"/>
          </w:tcPr>
          <w:p w:rsidR="00AD5BB5" w:rsidRDefault="00F87FF6">
            <w:pPr>
              <w:pBdr>
                <w:bottom w:val="double" w:sz="4" w:space="1" w:color="auto"/>
              </w:pBdr>
              <w:autoSpaceDE w:val="0"/>
              <w:autoSpaceDN w:val="0"/>
              <w:jc w:val="right"/>
              <w:rPr>
                <w:rFonts w:ascii="Arial" w:eastAsia="黑体" w:hAnsi="Arial" w:cs="Arial"/>
                <w:sz w:val="18"/>
                <w:szCs w:val="18"/>
              </w:rPr>
            </w:pPr>
            <w:r>
              <w:rPr>
                <w:rFonts w:ascii="Arial" w:eastAsia="黑体" w:hAnsi="Arial" w:cs="Arial"/>
                <w:sz w:val="18"/>
                <w:szCs w:val="18"/>
              </w:rPr>
              <w:t>不适用</w:t>
            </w:r>
          </w:p>
        </w:tc>
        <w:tc>
          <w:tcPr>
            <w:tcW w:w="126"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bl>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adjustRightInd w:val="0"/>
        <w:snapToGrid w:val="0"/>
        <w:rPr>
          <w:rFonts w:ascii="Arial" w:eastAsia="黑体" w:hAnsi="Arial" w:cs="Arial"/>
          <w:snapToGrid w:val="0"/>
          <w:szCs w:val="21"/>
        </w:rPr>
      </w:pPr>
      <w:r>
        <w:rPr>
          <w:rFonts w:ascii="Arial" w:eastAsia="黑体" w:hAnsi="Arial" w:cs="Arial"/>
          <w:snapToGrid w:val="0"/>
          <w:szCs w:val="21"/>
        </w:rPr>
        <w:t>本行与关联方发生关联交易业务均系本行正常经营活动需要，交易条件及定价水平均执行本行业务管理和监管机构的一般规定，不存在优于一般借款人或交易对手的情形，业务程序亦符合监管机构及本行关联交易管理的相关规定。</w:t>
      </w:r>
    </w:p>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overflowPunct w:val="0"/>
        <w:autoSpaceDE w:val="0"/>
        <w:autoSpaceDN w:val="0"/>
        <w:snapToGrid w:val="0"/>
        <w:ind w:left="720" w:hanging="720"/>
        <w:outlineLvl w:val="4"/>
        <w:rPr>
          <w:rFonts w:ascii="Arial" w:eastAsia="黑体" w:hAnsi="Arial" w:cs="Arial"/>
          <w:b/>
          <w:bCs/>
          <w:snapToGrid w:val="0"/>
          <w:szCs w:val="21"/>
        </w:rPr>
      </w:pPr>
      <w:bookmarkStart w:id="552" w:name="afsaddin_Section_11860e172ca74d01a2a21d1"/>
      <w:r>
        <w:rPr>
          <w:rFonts w:ascii="Arial" w:eastAsia="黑体" w:hAnsi="Arial" w:cs="Arial"/>
          <w:b/>
          <w:bCs/>
          <w:snapToGrid w:val="0"/>
          <w:szCs w:val="21"/>
        </w:rPr>
        <w:t>4.</w:t>
      </w:r>
      <w:r>
        <w:rPr>
          <w:rFonts w:ascii="Arial" w:eastAsia="黑体" w:hAnsi="Arial" w:cs="Arial"/>
          <w:b/>
          <w:bCs/>
          <w:snapToGrid w:val="0"/>
          <w:szCs w:val="21"/>
        </w:rPr>
        <w:tab/>
      </w:r>
      <w:r>
        <w:rPr>
          <w:rFonts w:ascii="Arial" w:eastAsia="黑体" w:hAnsi="Arial" w:cs="Arial"/>
          <w:b/>
          <w:bCs/>
          <w:snapToGrid w:val="0"/>
          <w:szCs w:val="21"/>
        </w:rPr>
        <w:t>《银行保险机构关联交易管理办法》下的重大关联交易</w:t>
      </w:r>
    </w:p>
    <w:bookmarkEnd w:id="552"/>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overflowPunct w:val="0"/>
        <w:autoSpaceDE w:val="0"/>
        <w:autoSpaceDN w:val="0"/>
        <w:adjustRightInd w:val="0"/>
        <w:snapToGrid w:val="0"/>
        <w:rPr>
          <w:rFonts w:ascii="Arial" w:eastAsia="黑体" w:hAnsi="Arial" w:cs="Arial"/>
          <w:snapToGrid w:val="0"/>
          <w:szCs w:val="21"/>
        </w:rPr>
      </w:pPr>
      <w:r>
        <w:rPr>
          <w:rFonts w:ascii="Arial" w:eastAsia="黑体" w:hAnsi="Arial" w:cs="Arial"/>
          <w:snapToGrid w:val="0"/>
          <w:szCs w:val="21"/>
        </w:rPr>
        <w:t>根据《银行保险机构关联交易管理办法》（银保监会令</w:t>
      </w:r>
      <w:r>
        <w:rPr>
          <w:rFonts w:ascii="Arial" w:eastAsia="黑体" w:hAnsi="Arial" w:cs="Arial"/>
          <w:snapToGrid w:val="0"/>
          <w:szCs w:val="21"/>
        </w:rPr>
        <w:t>2022</w:t>
      </w:r>
      <w:r>
        <w:rPr>
          <w:rFonts w:ascii="Arial" w:eastAsia="黑体" w:hAnsi="Arial" w:cs="Arial"/>
          <w:snapToGrid w:val="0"/>
          <w:szCs w:val="21"/>
        </w:rPr>
        <w:t>年第</w:t>
      </w:r>
      <w:r>
        <w:rPr>
          <w:rFonts w:ascii="Arial" w:eastAsia="黑体" w:hAnsi="Arial" w:cs="Arial"/>
          <w:snapToGrid w:val="0"/>
          <w:szCs w:val="21"/>
        </w:rPr>
        <w:t>1</w:t>
      </w:r>
      <w:r>
        <w:rPr>
          <w:rFonts w:ascii="Arial" w:eastAsia="黑体" w:hAnsi="Arial" w:cs="Arial"/>
          <w:snapToGrid w:val="0"/>
          <w:szCs w:val="21"/>
        </w:rPr>
        <w:t>号）规定，重大关联交易指银行机构与单个关联方之间单笔交易金额达到银行机构上季末资本净额</w:t>
      </w:r>
      <w:r>
        <w:rPr>
          <w:rFonts w:ascii="Arial" w:eastAsia="黑体" w:hAnsi="Arial" w:cs="Arial"/>
          <w:snapToGrid w:val="0"/>
          <w:szCs w:val="21"/>
        </w:rPr>
        <w:t>1%</w:t>
      </w:r>
      <w:r>
        <w:rPr>
          <w:rFonts w:ascii="Arial" w:eastAsia="黑体" w:hAnsi="Arial" w:cs="Arial"/>
          <w:snapToGrid w:val="0"/>
          <w:szCs w:val="21"/>
        </w:rPr>
        <w:t>以上，或累计达到银行机构上季末资本净额</w:t>
      </w:r>
      <w:r>
        <w:rPr>
          <w:rFonts w:ascii="Arial" w:eastAsia="黑体" w:hAnsi="Arial" w:cs="Arial"/>
          <w:snapToGrid w:val="0"/>
          <w:szCs w:val="21"/>
        </w:rPr>
        <w:t>5%</w:t>
      </w:r>
      <w:r>
        <w:rPr>
          <w:rFonts w:ascii="Arial" w:eastAsia="黑体" w:hAnsi="Arial" w:cs="Arial"/>
          <w:snapToGrid w:val="0"/>
          <w:szCs w:val="21"/>
        </w:rPr>
        <w:t>以上的交易。（银行机构与单个关联方的交易金额累计达到前款标准后，其后发生的关联交易，每累计达到上季末资本净额</w:t>
      </w:r>
      <w:r>
        <w:rPr>
          <w:rFonts w:ascii="Arial" w:eastAsia="黑体" w:hAnsi="Arial" w:cs="Arial"/>
          <w:snapToGrid w:val="0"/>
          <w:szCs w:val="21"/>
        </w:rPr>
        <w:t>1%</w:t>
      </w:r>
      <w:r>
        <w:rPr>
          <w:rFonts w:ascii="Arial" w:eastAsia="黑体" w:hAnsi="Arial" w:cs="Arial"/>
          <w:snapToGrid w:val="0"/>
          <w:szCs w:val="21"/>
        </w:rPr>
        <w:t>以上，则应当重新认定为重大关联交易。）</w:t>
      </w:r>
    </w:p>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overflowPunct w:val="0"/>
        <w:autoSpaceDE w:val="0"/>
        <w:autoSpaceDN w:val="0"/>
        <w:adjustRightInd w:val="0"/>
        <w:snapToGrid w:val="0"/>
        <w:rPr>
          <w:rFonts w:ascii="Arial" w:eastAsia="黑体" w:hAnsi="Arial" w:cs="Arial"/>
          <w:snapToGrid w:val="0"/>
          <w:szCs w:val="21"/>
        </w:rPr>
      </w:pPr>
      <w:r>
        <w:rPr>
          <w:rFonts w:ascii="Arial" w:eastAsia="黑体" w:hAnsi="Arial" w:cs="Arial"/>
          <w:snapToGrid w:val="0"/>
          <w:szCs w:val="21"/>
        </w:rPr>
        <w:t>2023</w:t>
      </w:r>
      <w:r>
        <w:rPr>
          <w:rFonts w:ascii="Arial" w:eastAsia="黑体" w:hAnsi="Arial" w:cs="Arial"/>
          <w:snapToGrid w:val="0"/>
          <w:szCs w:val="21"/>
        </w:rPr>
        <w:t>年</w:t>
      </w:r>
      <w:r>
        <w:rPr>
          <w:rFonts w:ascii="Arial" w:eastAsia="黑体" w:hAnsi="Arial" w:cs="Arial"/>
          <w:snapToGrid w:val="0"/>
          <w:szCs w:val="21"/>
        </w:rPr>
        <w:t>1</w:t>
      </w:r>
      <w:r>
        <w:rPr>
          <w:rFonts w:ascii="Arial" w:eastAsia="黑体" w:hAnsi="Arial" w:cs="Arial"/>
          <w:snapToGrid w:val="0"/>
          <w:szCs w:val="21"/>
        </w:rPr>
        <w:t>月至</w:t>
      </w:r>
      <w:r>
        <w:rPr>
          <w:rFonts w:ascii="Arial" w:eastAsia="黑体" w:hAnsi="Arial" w:cs="Arial"/>
          <w:snapToGrid w:val="0"/>
          <w:szCs w:val="21"/>
        </w:rPr>
        <w:t>6</w:t>
      </w:r>
      <w:r>
        <w:rPr>
          <w:rFonts w:ascii="Arial" w:eastAsia="黑体" w:hAnsi="Arial" w:cs="Arial"/>
          <w:snapToGrid w:val="0"/>
          <w:szCs w:val="21"/>
        </w:rPr>
        <w:t>月，与符合前述关联</w:t>
      </w:r>
      <w:proofErr w:type="gramStart"/>
      <w:r>
        <w:rPr>
          <w:rFonts w:ascii="Arial" w:eastAsia="黑体" w:hAnsi="Arial" w:cs="Arial"/>
          <w:snapToGrid w:val="0"/>
          <w:szCs w:val="21"/>
        </w:rPr>
        <w:t>方条件</w:t>
      </w:r>
      <w:proofErr w:type="gramEnd"/>
      <w:r>
        <w:rPr>
          <w:rFonts w:ascii="Arial" w:eastAsia="黑体" w:hAnsi="Arial" w:cs="Arial"/>
          <w:snapToGrid w:val="0"/>
          <w:szCs w:val="21"/>
        </w:rPr>
        <w:t>的关联方之间符合上述重大关联交易条件的重大授</w:t>
      </w:r>
      <w:proofErr w:type="gramStart"/>
      <w:r>
        <w:rPr>
          <w:rFonts w:ascii="Arial" w:eastAsia="黑体" w:hAnsi="Arial" w:cs="Arial"/>
          <w:snapToGrid w:val="0"/>
          <w:szCs w:val="21"/>
        </w:rPr>
        <w:t>信交易</w:t>
      </w:r>
      <w:proofErr w:type="gramEnd"/>
      <w:r>
        <w:rPr>
          <w:rFonts w:ascii="Arial" w:eastAsia="黑体" w:hAnsi="Arial" w:cs="Arial"/>
          <w:snapToGrid w:val="0"/>
          <w:szCs w:val="21"/>
        </w:rPr>
        <w:t>如下：</w:t>
      </w:r>
    </w:p>
    <w:p w:rsidR="00AD5BB5" w:rsidRDefault="00AD5BB5">
      <w:pPr>
        <w:overflowPunct w:val="0"/>
        <w:autoSpaceDE w:val="0"/>
        <w:autoSpaceDN w:val="0"/>
        <w:adjustRightInd w:val="0"/>
        <w:snapToGrid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57ae2bba-954e-41e1-96a5-53ce015cf508"/>
        <w:tblDescription w:val="{&quot;UUID&quot;:&quot;afsaddin_tabledata_2_56437_57ae2bba-954e-41e1-96a5-53ce015cf508&quot;,&quot;TitleRowCount&quot;:1,&quot;SplitedTable&quot;:false,&quot;FirstTableId&quot;:&quot;57ae2bba-954e-41e1-96a5-53ce015cf508&quot;}"/>
      </w:tblPr>
      <w:tblGrid>
        <w:gridCol w:w="570"/>
        <w:gridCol w:w="3684"/>
        <w:gridCol w:w="3958"/>
      </w:tblGrid>
      <w:tr w:rsidR="00AD5BB5">
        <w:trPr>
          <w:trHeight w:val="48"/>
        </w:trPr>
        <w:tc>
          <w:tcPr>
            <w:tcW w:w="570"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rsidR="00AD5BB5" w:rsidRDefault="00F87FF6">
            <w:pPr>
              <w:jc w:val="center"/>
              <w:textAlignment w:val="center"/>
              <w:rPr>
                <w:rFonts w:ascii="Arial" w:eastAsia="黑体" w:hAnsi="Arial" w:cs="Arial"/>
                <w:b/>
                <w:color w:val="000000"/>
                <w:szCs w:val="21"/>
              </w:rPr>
            </w:pPr>
            <w:r>
              <w:rPr>
                <w:rFonts w:ascii="Arial" w:eastAsia="黑体" w:hAnsi="Arial" w:cs="Arial"/>
                <w:b/>
                <w:color w:val="000000"/>
                <w:szCs w:val="21"/>
              </w:rPr>
              <w:t>序号</w:t>
            </w:r>
          </w:p>
        </w:tc>
        <w:tc>
          <w:tcPr>
            <w:tcW w:w="36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D5BB5" w:rsidRDefault="00F87FF6">
            <w:pPr>
              <w:ind w:left="211" w:hangingChars="100" w:hanging="211"/>
              <w:jc w:val="center"/>
              <w:textAlignment w:val="center"/>
              <w:rPr>
                <w:rFonts w:ascii="Arial" w:eastAsia="黑体" w:hAnsi="Arial" w:cs="Arial"/>
                <w:b/>
                <w:color w:val="000000"/>
                <w:szCs w:val="21"/>
              </w:rPr>
            </w:pPr>
            <w:r>
              <w:rPr>
                <w:rFonts w:ascii="Arial" w:eastAsia="黑体" w:hAnsi="Arial" w:cs="Arial"/>
                <w:b/>
                <w:color w:val="000000"/>
                <w:szCs w:val="21"/>
              </w:rPr>
              <w:t>关联方</w:t>
            </w:r>
          </w:p>
        </w:tc>
        <w:tc>
          <w:tcPr>
            <w:tcW w:w="39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D5BB5" w:rsidRDefault="00F87FF6">
            <w:pPr>
              <w:jc w:val="center"/>
              <w:textAlignment w:val="center"/>
              <w:rPr>
                <w:rFonts w:ascii="Arial" w:eastAsia="黑体" w:hAnsi="Arial" w:cs="Arial"/>
                <w:b/>
                <w:color w:val="000000"/>
                <w:szCs w:val="21"/>
              </w:rPr>
            </w:pPr>
            <w:r>
              <w:rPr>
                <w:rFonts w:ascii="Arial" w:eastAsia="黑体" w:hAnsi="Arial" w:cs="Arial"/>
                <w:b/>
                <w:color w:val="000000"/>
                <w:szCs w:val="21"/>
              </w:rPr>
              <w:t>重大关联交易授</w:t>
            </w:r>
            <w:proofErr w:type="gramStart"/>
            <w:r>
              <w:rPr>
                <w:rFonts w:ascii="Arial" w:eastAsia="黑体" w:hAnsi="Arial" w:cs="Arial"/>
                <w:b/>
                <w:color w:val="000000"/>
                <w:szCs w:val="21"/>
              </w:rPr>
              <w:t>信获批情况</w:t>
            </w:r>
            <w:proofErr w:type="gramEnd"/>
          </w:p>
        </w:tc>
      </w:tr>
      <w:tr w:rsidR="00AD5BB5">
        <w:trPr>
          <w:trHeight w:val="48"/>
        </w:trPr>
        <w:tc>
          <w:tcPr>
            <w:tcW w:w="570"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AD5BB5" w:rsidRDefault="00F87FF6">
            <w:pPr>
              <w:jc w:val="center"/>
              <w:textAlignment w:val="center"/>
              <w:rPr>
                <w:rFonts w:ascii="Arial" w:eastAsia="黑体" w:hAnsi="Arial" w:cs="Arial"/>
                <w:color w:val="000000"/>
                <w:szCs w:val="21"/>
              </w:rPr>
            </w:pPr>
            <w:r>
              <w:rPr>
                <w:rFonts w:ascii="Arial" w:eastAsia="黑体" w:hAnsi="Arial" w:cs="Arial"/>
                <w:color w:val="000000"/>
                <w:szCs w:val="21"/>
              </w:rPr>
              <w:t>1</w:t>
            </w:r>
          </w:p>
        </w:tc>
        <w:tc>
          <w:tcPr>
            <w:tcW w:w="368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D5BB5" w:rsidRDefault="00F87FF6">
            <w:pPr>
              <w:ind w:left="210" w:hangingChars="100" w:hanging="210"/>
              <w:textAlignment w:val="center"/>
              <w:rPr>
                <w:rFonts w:ascii="Arial" w:eastAsia="黑体" w:hAnsi="Arial" w:cs="Arial"/>
                <w:color w:val="000000"/>
                <w:szCs w:val="21"/>
              </w:rPr>
            </w:pPr>
            <w:r>
              <w:rPr>
                <w:rFonts w:ascii="Arial" w:eastAsia="黑体" w:hAnsi="Arial" w:cs="Arial"/>
                <w:color w:val="000000"/>
                <w:szCs w:val="21"/>
              </w:rPr>
              <w:t>福建海西金融租赁有限责任公司</w:t>
            </w:r>
          </w:p>
        </w:tc>
        <w:tc>
          <w:tcPr>
            <w:tcW w:w="395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D5BB5" w:rsidRDefault="00F87FF6">
            <w:pPr>
              <w:textAlignment w:val="center"/>
              <w:rPr>
                <w:rFonts w:ascii="Arial" w:eastAsia="黑体" w:hAnsi="Arial" w:cs="Arial"/>
                <w:color w:val="000000"/>
                <w:szCs w:val="21"/>
              </w:rPr>
            </w:pPr>
            <w:r>
              <w:rPr>
                <w:rFonts w:ascii="Arial" w:eastAsia="黑体" w:hAnsi="Arial" w:cs="Arial"/>
                <w:color w:val="000000"/>
                <w:szCs w:val="21"/>
              </w:rPr>
              <w:t>综合授信额度敞口</w:t>
            </w:r>
            <w:r>
              <w:rPr>
                <w:rFonts w:ascii="Arial" w:eastAsia="黑体" w:hAnsi="Arial" w:cs="Arial"/>
                <w:color w:val="000000"/>
                <w:szCs w:val="21"/>
              </w:rPr>
              <w:t>20</w:t>
            </w:r>
            <w:r>
              <w:rPr>
                <w:rFonts w:ascii="Arial" w:eastAsia="黑体" w:hAnsi="Arial" w:cs="Arial"/>
                <w:color w:val="000000"/>
                <w:szCs w:val="21"/>
              </w:rPr>
              <w:t>亿元（含投资额度敞口</w:t>
            </w:r>
            <w:r>
              <w:rPr>
                <w:rFonts w:ascii="Arial" w:eastAsia="黑体" w:hAnsi="Arial" w:cs="Arial"/>
                <w:color w:val="000000"/>
                <w:szCs w:val="21"/>
              </w:rPr>
              <w:t>20</w:t>
            </w:r>
            <w:r>
              <w:rPr>
                <w:rFonts w:ascii="Arial" w:eastAsia="黑体" w:hAnsi="Arial" w:cs="Arial"/>
                <w:color w:val="000000"/>
                <w:szCs w:val="21"/>
              </w:rPr>
              <w:t>亿元，传统授信额度</w:t>
            </w:r>
            <w:r>
              <w:rPr>
                <w:rFonts w:ascii="Arial" w:eastAsia="黑体" w:hAnsi="Arial" w:cs="Arial"/>
                <w:color w:val="000000"/>
                <w:szCs w:val="21"/>
              </w:rPr>
              <w:t>3.5</w:t>
            </w:r>
            <w:r>
              <w:rPr>
                <w:rFonts w:ascii="Arial" w:eastAsia="黑体" w:hAnsi="Arial" w:cs="Arial"/>
                <w:color w:val="000000"/>
                <w:szCs w:val="21"/>
              </w:rPr>
              <w:t>亿元）</w:t>
            </w:r>
          </w:p>
        </w:tc>
      </w:tr>
    </w:tbl>
    <w:p w:rsidR="00AD5BB5" w:rsidRDefault="00AD5BB5">
      <w:pPr>
        <w:overflowPunct w:val="0"/>
        <w:autoSpaceDE w:val="0"/>
        <w:autoSpaceDN w:val="0"/>
        <w:adjustRightInd w:val="0"/>
        <w:snapToGrid w:val="0"/>
        <w:rPr>
          <w:rFonts w:ascii="Arial" w:eastAsia="黑体" w:hAnsi="Arial" w:cs="Arial"/>
          <w:snapToGrid w:val="0"/>
          <w:sz w:val="20"/>
        </w:rPr>
      </w:pPr>
    </w:p>
    <w:p w:rsidR="00AD5BB5" w:rsidRDefault="00AD5BB5">
      <w:pPr>
        <w:overflowPunct w:val="0"/>
        <w:autoSpaceDE w:val="0"/>
        <w:autoSpaceDN w:val="0"/>
        <w:adjustRightInd w:val="0"/>
        <w:snapToGrid w:val="0"/>
        <w:rPr>
          <w:rFonts w:ascii="Arial" w:eastAsia="黑体" w:hAnsi="Arial" w:cs="Arial"/>
          <w:snapToGrid w:val="0"/>
          <w:sz w:val="20"/>
        </w:rPr>
      </w:pPr>
    </w:p>
    <w:p w:rsidR="00AD5BB5" w:rsidRDefault="00F87FF6">
      <w:pPr>
        <w:pStyle w:val="a3"/>
        <w:numPr>
          <w:ilvl w:val="0"/>
          <w:numId w:val="0"/>
        </w:numPr>
        <w:ind w:left="720" w:hanging="720"/>
        <w:rPr>
          <w:sz w:val="21"/>
          <w:szCs w:val="21"/>
        </w:rPr>
      </w:pPr>
      <w:bookmarkStart w:id="553" w:name="afsaddin_Section_b7d248235d4c4e84a6dd051"/>
      <w:r>
        <w:rPr>
          <w:sz w:val="21"/>
          <w:szCs w:val="21"/>
        </w:rPr>
        <w:t>十、</w:t>
      </w:r>
      <w:r>
        <w:rPr>
          <w:sz w:val="21"/>
          <w:szCs w:val="21"/>
        </w:rPr>
        <w:tab/>
      </w:r>
      <w:r>
        <w:rPr>
          <w:sz w:val="21"/>
          <w:szCs w:val="21"/>
        </w:rPr>
        <w:t>承诺、或有事项及主要表外事项</w:t>
      </w:r>
    </w:p>
    <w:bookmarkEnd w:id="553"/>
    <w:p w:rsidR="00AD5BB5" w:rsidRDefault="00AD5BB5">
      <w:pPr>
        <w:overflowPunct w:val="0"/>
        <w:autoSpaceDE w:val="0"/>
        <w:autoSpaceDN w:val="0"/>
        <w:rPr>
          <w:rFonts w:ascii="Arial" w:eastAsia="黑体" w:hAnsi="Arial" w:cs="Arial"/>
          <w:snapToGrid w:val="0"/>
          <w:szCs w:val="21"/>
        </w:rPr>
      </w:pPr>
    </w:p>
    <w:p w:rsidR="00AD5BB5" w:rsidRDefault="00F87FF6">
      <w:pPr>
        <w:pStyle w:val="af5"/>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554" w:name="afsaddin_Section_d48e7ee958274ddc893d1ef"/>
      <w:r>
        <w:rPr>
          <w:rFonts w:ascii="Arial" w:eastAsia="黑体" w:hAnsi="Arial" w:cs="Arial" w:hint="default"/>
          <w:bCs w:val="0"/>
          <w:snapToGrid w:val="0"/>
          <w:color w:val="auto"/>
          <w:sz w:val="21"/>
          <w:szCs w:val="21"/>
        </w:rPr>
        <w:t>1.</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未决诉讼</w:t>
      </w:r>
    </w:p>
    <w:bookmarkEnd w:id="554"/>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于</w:t>
      </w: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当期资产负债表日</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2023</w:t>
      </w:r>
      <w:r>
        <w:rPr>
          <w:rFonts w:ascii="Arial" w:eastAsia="黑体" w:hAnsi="Arial" w:cs="Arial"/>
          <w:snapToGrid w:val="0"/>
          <w:szCs w:val="21"/>
        </w:rPr>
        <w:t>年</w:t>
      </w:r>
      <w:r>
        <w:rPr>
          <w:rFonts w:ascii="Arial" w:eastAsia="黑体" w:hAnsi="Arial" w:cs="Arial"/>
          <w:snapToGrid w:val="0"/>
          <w:szCs w:val="21"/>
        </w:rPr>
        <w:t>6</w:t>
      </w:r>
      <w:r>
        <w:rPr>
          <w:rFonts w:ascii="Arial" w:eastAsia="黑体" w:hAnsi="Arial" w:cs="Arial"/>
          <w:snapToGrid w:val="0"/>
          <w:szCs w:val="21"/>
        </w:rPr>
        <w:t>月</w:t>
      </w:r>
      <w:r>
        <w:rPr>
          <w:rFonts w:ascii="Arial" w:eastAsia="黑体" w:hAnsi="Arial" w:cs="Arial"/>
          <w:snapToGrid w:val="0"/>
          <w:szCs w:val="21"/>
        </w:rPr>
        <w:t>30</w:t>
      </w:r>
      <w:r>
        <w:rPr>
          <w:rFonts w:ascii="Arial" w:eastAsia="黑体" w:hAnsi="Arial" w:cs="Arial"/>
          <w:snapToGrid w:val="0"/>
          <w:szCs w:val="21"/>
        </w:rPr>
        <w:t>日</w:t>
      </w:r>
      <w:r>
        <w:rPr>
          <w:rFonts w:ascii="Arial" w:eastAsia="黑体" w:hAnsi="Arial" w:cs="Arial"/>
          <w:snapToGrid w:val="0"/>
          <w:szCs w:val="21"/>
        </w:rPr>
        <w:fldChar w:fldCharType="end"/>
      </w:r>
      <w:r>
        <w:rPr>
          <w:rFonts w:ascii="Arial" w:eastAsia="黑体" w:hAnsi="Arial" w:cs="Arial"/>
          <w:snapToGrid w:val="0"/>
          <w:szCs w:val="21"/>
        </w:rPr>
        <w:t>，无以本集团作为被告的重大未决诉讼案件（</w:t>
      </w: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上期资产负债表日</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2022</w:t>
      </w:r>
      <w:r>
        <w:rPr>
          <w:rFonts w:ascii="Arial" w:eastAsia="黑体" w:hAnsi="Arial" w:cs="Arial"/>
          <w:snapToGrid w:val="0"/>
          <w:szCs w:val="21"/>
        </w:rPr>
        <w:t>年</w:t>
      </w:r>
      <w:r>
        <w:rPr>
          <w:rFonts w:ascii="Arial" w:eastAsia="黑体" w:hAnsi="Arial" w:cs="Arial"/>
          <w:snapToGrid w:val="0"/>
          <w:szCs w:val="21"/>
        </w:rPr>
        <w:t>12</w:t>
      </w:r>
      <w:r>
        <w:rPr>
          <w:rFonts w:ascii="Arial" w:eastAsia="黑体" w:hAnsi="Arial" w:cs="Arial"/>
          <w:snapToGrid w:val="0"/>
          <w:szCs w:val="21"/>
        </w:rPr>
        <w:t>月</w:t>
      </w:r>
      <w:r>
        <w:rPr>
          <w:rFonts w:ascii="Arial" w:eastAsia="黑体" w:hAnsi="Arial" w:cs="Arial"/>
          <w:snapToGrid w:val="0"/>
          <w:szCs w:val="21"/>
        </w:rPr>
        <w:t>31</w:t>
      </w:r>
      <w:r>
        <w:rPr>
          <w:rFonts w:ascii="Arial" w:eastAsia="黑体" w:hAnsi="Arial" w:cs="Arial"/>
          <w:snapToGrid w:val="0"/>
          <w:szCs w:val="21"/>
        </w:rPr>
        <w:t>日</w:t>
      </w:r>
      <w:r>
        <w:rPr>
          <w:rFonts w:ascii="Arial" w:eastAsia="黑体" w:hAnsi="Arial" w:cs="Arial"/>
          <w:snapToGrid w:val="0"/>
          <w:szCs w:val="21"/>
        </w:rPr>
        <w:fldChar w:fldCharType="end"/>
      </w:r>
      <w:r>
        <w:rPr>
          <w:rFonts w:ascii="Arial" w:eastAsia="黑体" w:hAnsi="Arial" w:cs="Arial"/>
          <w:snapToGrid w:val="0"/>
          <w:szCs w:val="21"/>
        </w:rPr>
        <w:t>：无）。</w:t>
      </w:r>
    </w:p>
    <w:p w:rsidR="00AD5BB5" w:rsidRDefault="00AD5BB5">
      <w:pPr>
        <w:overflowPunct w:val="0"/>
        <w:autoSpaceDE w:val="0"/>
        <w:autoSpaceDN w:val="0"/>
        <w:rPr>
          <w:rFonts w:ascii="Arial" w:eastAsia="黑体" w:hAnsi="Arial" w:cs="Arial"/>
          <w:snapToGrid w:val="0"/>
          <w:szCs w:val="21"/>
        </w:rPr>
      </w:pPr>
    </w:p>
    <w:p w:rsidR="00AD5BB5" w:rsidRDefault="00F87FF6">
      <w:pPr>
        <w:pStyle w:val="af5"/>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555" w:name="afsaddin_WithXu_ff7c77a975804c99ad0cde65"/>
      <w:bookmarkStart w:id="556" w:name="afsaddin_Section_90087675fb9445e68d42687"/>
      <w:bookmarkEnd w:id="555"/>
      <w:r>
        <w:rPr>
          <w:rFonts w:ascii="Arial" w:eastAsia="黑体" w:hAnsi="Arial" w:cs="Arial" w:hint="default"/>
          <w:bCs w:val="0"/>
          <w:snapToGrid w:val="0"/>
          <w:color w:val="auto"/>
          <w:sz w:val="21"/>
          <w:szCs w:val="21"/>
        </w:rPr>
        <w:t>2.</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用作质押的金融资产</w:t>
      </w:r>
    </w:p>
    <w:bookmarkEnd w:id="556"/>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本集团部分资产被用作卖出回购业务、国库定期存款、人民银行再贷款及常备借贷便利的质押物，该等交易按相关业务的常规及惯常条款进行，具体质押物情况列示如下：</w:t>
      </w:r>
      <w:r>
        <w:rPr>
          <w:rFonts w:ascii="Arial" w:eastAsia="黑体" w:hAnsi="Arial" w:cs="Arial"/>
          <w:snapToGrid w:val="0"/>
          <w:szCs w:val="21"/>
        </w:rPr>
        <w:br w:type="page"/>
      </w:r>
    </w:p>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557" w:name="afsaddin_WithXu_34391df96ca24bd9bccfcdbd"/>
      <w:r>
        <w:rPr>
          <w:rFonts w:ascii="Arial" w:eastAsia="黑体" w:hAnsi="Arial" w:cs="Arial"/>
          <w:b/>
          <w:snapToGrid w:val="0"/>
          <w:szCs w:val="21"/>
        </w:rPr>
        <w:t>十、</w:t>
      </w:r>
      <w:r>
        <w:rPr>
          <w:rFonts w:ascii="Arial" w:eastAsia="黑体" w:hAnsi="Arial" w:cs="Arial"/>
          <w:b/>
          <w:snapToGrid w:val="0"/>
          <w:szCs w:val="21"/>
        </w:rPr>
        <w:tab/>
      </w:r>
      <w:r>
        <w:rPr>
          <w:rFonts w:ascii="Arial" w:eastAsia="黑体" w:hAnsi="Arial" w:cs="Arial"/>
          <w:b/>
          <w:snapToGrid w:val="0"/>
          <w:szCs w:val="21"/>
        </w:rPr>
        <w:t>承诺、或有事项及主要表外事项（续）</w:t>
      </w:r>
      <w:bookmarkEnd w:id="557"/>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558" w:name="afsaddin_WithXu_3e85a591d9ec4991b5b3b7cf"/>
      <w:r>
        <w:rPr>
          <w:rFonts w:ascii="Arial" w:eastAsia="黑体" w:hAnsi="Arial" w:cs="Arial"/>
          <w:b/>
          <w:snapToGrid w:val="0"/>
          <w:szCs w:val="21"/>
        </w:rPr>
        <w:t>2.</w:t>
      </w:r>
      <w:r>
        <w:rPr>
          <w:rFonts w:ascii="Arial" w:eastAsia="黑体" w:hAnsi="Arial" w:cs="Arial"/>
          <w:b/>
          <w:snapToGrid w:val="0"/>
          <w:szCs w:val="21"/>
        </w:rPr>
        <w:tab/>
      </w:r>
      <w:r>
        <w:rPr>
          <w:rFonts w:ascii="Arial" w:eastAsia="黑体" w:hAnsi="Arial" w:cs="Arial"/>
          <w:b/>
          <w:snapToGrid w:val="0"/>
          <w:szCs w:val="21"/>
        </w:rPr>
        <w:t>用作质押的金融资产（续）</w:t>
      </w:r>
      <w:bookmarkEnd w:id="558"/>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80a37063-271d-402e-a165-1494cb571255"/>
        <w:tblDescription w:val="{&quot;UUID&quot;:&quot;afsaddin_tabledata_2_56437_80a37063-271d-402e-a165-1494cb571255&quot;,&quot;TitleRowCount&quot;:2,&quot;SplitedTable&quot;:false,&quot;FirstTableId&quot;:&quot;80a37063-271d-402e-a165-1494cb571255&quot;}"/>
      </w:tblPr>
      <w:tblGrid>
        <w:gridCol w:w="3417"/>
        <w:gridCol w:w="113"/>
        <w:gridCol w:w="2278"/>
        <w:gridCol w:w="113"/>
        <w:gridCol w:w="113"/>
        <w:gridCol w:w="2278"/>
        <w:gridCol w:w="113"/>
      </w:tblGrid>
      <w:tr w:rsidR="00AD5BB5">
        <w:tc>
          <w:tcPr>
            <w:tcW w:w="341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jc w:val="right"/>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8" w:type="dxa"/>
            <w:tcBorders>
              <w:top w:val="nil"/>
              <w:left w:val="nil"/>
              <w:bottom w:val="nil"/>
              <w:right w:val="nil"/>
            </w:tcBorders>
            <w:shd w:val="clear" w:color="000000" w:fill="auto"/>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fldChar w:fldCharType="begin"/>
            </w:r>
            <w:r>
              <w:rPr>
                <w:rFonts w:ascii="Arial" w:eastAsia="黑体" w:hAnsi="Arial" w:cs="Arial"/>
                <w:color w:val="000000"/>
                <w:szCs w:val="21"/>
              </w:rPr>
              <w:instrText xml:space="preserve"> DOCPROPERTY </w:instrText>
            </w:r>
            <w:r>
              <w:rPr>
                <w:rFonts w:ascii="Arial" w:eastAsia="黑体" w:hAnsi="Arial" w:cs="Arial"/>
                <w:color w:val="000000"/>
                <w:szCs w:val="21"/>
              </w:rPr>
              <w:instrText>当期资产负债表日</w:instrText>
            </w:r>
            <w:r>
              <w:rPr>
                <w:rFonts w:ascii="Arial" w:eastAsia="黑体" w:hAnsi="Arial" w:cs="Arial"/>
                <w:color w:val="000000"/>
                <w:szCs w:val="21"/>
              </w:rPr>
              <w:instrText xml:space="preserve"> </w:instrText>
            </w:r>
            <w:r>
              <w:rPr>
                <w:rFonts w:ascii="Arial" w:eastAsia="黑体" w:hAnsi="Arial" w:cs="Arial"/>
                <w:color w:val="000000"/>
                <w:szCs w:val="21"/>
              </w:rPr>
              <w:fldChar w:fldCharType="separate"/>
            </w:r>
            <w:r>
              <w:rPr>
                <w:rFonts w:ascii="Arial" w:eastAsia="黑体" w:hAnsi="Arial" w:cs="Arial"/>
                <w:color w:val="000000"/>
                <w:szCs w:val="21"/>
              </w:rPr>
              <w:t>2023</w:t>
            </w:r>
            <w:r>
              <w:rPr>
                <w:rFonts w:ascii="Arial" w:eastAsia="黑体" w:hAnsi="Arial" w:cs="Arial"/>
                <w:color w:val="000000"/>
                <w:szCs w:val="21"/>
              </w:rPr>
              <w:t>年</w:t>
            </w:r>
            <w:r>
              <w:rPr>
                <w:rFonts w:ascii="Arial" w:eastAsia="黑体" w:hAnsi="Arial" w:cs="Arial"/>
                <w:color w:val="000000"/>
                <w:szCs w:val="21"/>
              </w:rPr>
              <w:t>6</w:t>
            </w:r>
            <w:r>
              <w:rPr>
                <w:rFonts w:ascii="Arial" w:eastAsia="黑体" w:hAnsi="Arial" w:cs="Arial"/>
                <w:color w:val="000000"/>
                <w:szCs w:val="21"/>
              </w:rPr>
              <w:t>月</w:t>
            </w:r>
            <w:r>
              <w:rPr>
                <w:rFonts w:ascii="Arial" w:eastAsia="黑体" w:hAnsi="Arial" w:cs="Arial"/>
                <w:color w:val="000000"/>
                <w:szCs w:val="21"/>
              </w:rPr>
              <w:t>30</w:t>
            </w:r>
            <w:r>
              <w:rPr>
                <w:rFonts w:ascii="Arial" w:eastAsia="黑体" w:hAnsi="Arial" w:cs="Arial"/>
                <w:color w:val="000000"/>
                <w:szCs w:val="21"/>
              </w:rPr>
              <w:t>日</w:t>
            </w:r>
            <w:r>
              <w:rPr>
                <w:rFonts w:ascii="Arial" w:eastAsia="黑体" w:hAnsi="Arial" w:cs="Arial"/>
                <w:color w:val="000000"/>
                <w:szCs w:val="21"/>
              </w:rPr>
              <w:fldChar w:fldCharType="end"/>
            </w:r>
          </w:p>
        </w:tc>
        <w:tc>
          <w:tcPr>
            <w:tcW w:w="113"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3"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2278" w:type="dxa"/>
            <w:tcBorders>
              <w:top w:val="nil"/>
              <w:left w:val="nil"/>
              <w:bottom w:val="nil"/>
              <w:right w:val="nil"/>
            </w:tcBorders>
            <w:shd w:val="clear" w:color="000000" w:fill="auto"/>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2022</w:t>
            </w:r>
            <w:r>
              <w:rPr>
                <w:rFonts w:ascii="Arial" w:eastAsia="黑体" w:hAnsi="Arial" w:cs="Arial"/>
                <w:color w:val="000000"/>
                <w:szCs w:val="21"/>
              </w:rPr>
              <w:t>年</w:t>
            </w:r>
            <w:r>
              <w:rPr>
                <w:rFonts w:ascii="Arial" w:eastAsia="黑体" w:hAnsi="Arial" w:cs="Arial"/>
                <w:color w:val="000000"/>
                <w:szCs w:val="21"/>
              </w:rPr>
              <w:t>12</w:t>
            </w:r>
            <w:r>
              <w:rPr>
                <w:rFonts w:ascii="Arial" w:eastAsia="黑体" w:hAnsi="Arial" w:cs="Arial"/>
                <w:color w:val="000000"/>
                <w:szCs w:val="21"/>
              </w:rPr>
              <w:t>月</w:t>
            </w:r>
            <w:r>
              <w:rPr>
                <w:rFonts w:ascii="Arial" w:eastAsia="黑体" w:hAnsi="Arial" w:cs="Arial"/>
                <w:color w:val="000000"/>
                <w:szCs w:val="21"/>
              </w:rPr>
              <w:t>31</w:t>
            </w:r>
            <w:r>
              <w:rPr>
                <w:rFonts w:ascii="Arial" w:eastAsia="黑体" w:hAnsi="Arial" w:cs="Arial"/>
                <w:color w:val="000000"/>
                <w:szCs w:val="21"/>
              </w:rPr>
              <w:t>日</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r>
      <w:tr w:rsidR="00AD5BB5">
        <w:tc>
          <w:tcPr>
            <w:tcW w:w="341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jc w:val="right"/>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8" w:type="dxa"/>
            <w:tcBorders>
              <w:top w:val="nil"/>
              <w:left w:val="nil"/>
              <w:bottom w:val="nil"/>
              <w:right w:val="nil"/>
            </w:tcBorders>
            <w:shd w:val="clear" w:color="000000" w:fill="auto"/>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3"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2278" w:type="dxa"/>
            <w:tcBorders>
              <w:top w:val="nil"/>
              <w:left w:val="nil"/>
              <w:bottom w:val="nil"/>
              <w:right w:val="nil"/>
            </w:tcBorders>
            <w:shd w:val="clear" w:color="000000" w:fill="auto"/>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r>
      <w:tr w:rsidR="00AD5BB5">
        <w:tc>
          <w:tcPr>
            <w:tcW w:w="34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债券投资</w:t>
            </w:r>
          </w:p>
        </w:tc>
        <w:tc>
          <w:tcPr>
            <w:tcW w:w="113"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78"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26,675,368,946.57</w:t>
            </w:r>
          </w:p>
        </w:tc>
        <w:tc>
          <w:tcPr>
            <w:tcW w:w="113"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8" w:type="dxa"/>
            <w:tcBorders>
              <w:top w:val="nil"/>
              <w:left w:val="nil"/>
              <w:bottom w:val="nil"/>
              <w:right w:val="nil"/>
            </w:tcBorders>
            <w:shd w:val="clear" w:color="auto" w:fill="auto"/>
            <w:noWrap/>
            <w:vAlign w:val="bottom"/>
          </w:tcPr>
          <w:p w:rsidR="00AD5BB5" w:rsidRDefault="00F87FF6">
            <w:pPr>
              <w:overflowPunct w:val="0"/>
              <w:autoSpaceDE w:val="0"/>
              <w:autoSpaceDN w:val="0"/>
              <w:snapToGrid w:val="0"/>
              <w:ind w:right="28"/>
              <w:jc w:val="right"/>
              <w:rPr>
                <w:rFonts w:ascii="Arial" w:eastAsia="黑体" w:hAnsi="Arial" w:cs="Arial"/>
                <w:snapToGrid w:val="0"/>
                <w:szCs w:val="21"/>
              </w:rPr>
            </w:pPr>
            <w:r>
              <w:rPr>
                <w:rFonts w:ascii="Arial" w:eastAsia="黑体" w:hAnsi="Arial" w:cs="Arial"/>
                <w:snapToGrid w:val="0"/>
                <w:szCs w:val="21"/>
              </w:rPr>
              <w:t>23,680,550,715.32</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r>
      <w:tr w:rsidR="00AD5BB5">
        <w:tc>
          <w:tcPr>
            <w:tcW w:w="341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票据</w:t>
            </w:r>
          </w:p>
        </w:tc>
        <w:tc>
          <w:tcPr>
            <w:tcW w:w="113"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78" w:type="dxa"/>
            <w:tcBorders>
              <w:top w:val="nil"/>
              <w:left w:val="nil"/>
              <w:bottom w:val="single" w:sz="4" w:space="0" w:color="auto"/>
              <w:right w:val="nil"/>
            </w:tcBorders>
            <w:shd w:val="clear" w:color="000000" w:fill="auto"/>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2,696,229,652.67</w:t>
            </w:r>
          </w:p>
        </w:tc>
        <w:tc>
          <w:tcPr>
            <w:tcW w:w="113"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3"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8" w:type="dxa"/>
            <w:tcBorders>
              <w:top w:val="nil"/>
              <w:left w:val="nil"/>
              <w:bottom w:val="single" w:sz="4" w:space="0" w:color="auto"/>
              <w:right w:val="nil"/>
            </w:tcBorders>
            <w:shd w:val="clear" w:color="000000" w:fill="auto"/>
            <w:vAlign w:val="bottom"/>
          </w:tcPr>
          <w:p w:rsidR="00AD5BB5" w:rsidRDefault="00F87FF6">
            <w:pPr>
              <w:overflowPunct w:val="0"/>
              <w:autoSpaceDE w:val="0"/>
              <w:autoSpaceDN w:val="0"/>
              <w:snapToGrid w:val="0"/>
              <w:ind w:right="28"/>
              <w:jc w:val="right"/>
              <w:rPr>
                <w:rFonts w:ascii="Arial" w:eastAsia="黑体" w:hAnsi="Arial" w:cs="Arial"/>
                <w:snapToGrid w:val="0"/>
                <w:szCs w:val="21"/>
              </w:rPr>
            </w:pPr>
            <w:r>
              <w:rPr>
                <w:rFonts w:ascii="Arial" w:eastAsia="黑体" w:hAnsi="Arial" w:cs="Arial"/>
                <w:snapToGrid w:val="0"/>
                <w:szCs w:val="21"/>
              </w:rPr>
              <w:t>6,746,956,811.41</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41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jc w:val="right"/>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8"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3"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8" w:type="dxa"/>
            <w:tcBorders>
              <w:top w:val="single" w:sz="4" w:space="0" w:color="auto"/>
              <w:left w:val="nil"/>
              <w:bottom w:val="nil"/>
              <w:right w:val="nil"/>
            </w:tcBorders>
            <w:shd w:val="clear" w:color="auto" w:fill="auto"/>
            <w:noWrap/>
            <w:vAlign w:val="bottom"/>
          </w:tcPr>
          <w:p w:rsidR="00AD5BB5" w:rsidRDefault="00AD5BB5">
            <w:pPr>
              <w:overflowPunct w:val="0"/>
              <w:autoSpaceDE w:val="0"/>
              <w:autoSpaceDN w:val="0"/>
              <w:snapToGrid w:val="0"/>
              <w:ind w:right="28"/>
              <w:jc w:val="right"/>
              <w:rPr>
                <w:rFonts w:ascii="Arial" w:eastAsia="黑体" w:hAnsi="Arial" w:cs="Arial"/>
                <w:snapToGrid w:val="0"/>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r>
      <w:tr w:rsidR="00AD5BB5">
        <w:tc>
          <w:tcPr>
            <w:tcW w:w="34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合计</w:t>
            </w:r>
            <w:r>
              <w:rPr>
                <w:rFonts w:ascii="Arial" w:eastAsia="黑体" w:hAnsi="Arial" w:cs="Arial"/>
                <w:szCs w:val="21"/>
              </w:rPr>
              <w:t xml:space="preserve"> </w:t>
            </w:r>
          </w:p>
        </w:tc>
        <w:tc>
          <w:tcPr>
            <w:tcW w:w="113"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8" w:type="dxa"/>
            <w:tcBorders>
              <w:top w:val="nil"/>
              <w:left w:val="nil"/>
              <w:bottom w:val="double" w:sz="4" w:space="0" w:color="auto"/>
              <w:right w:val="nil"/>
            </w:tcBorders>
            <w:shd w:val="clear" w:color="000000" w:fill="auto"/>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29,371,598,599.24</w:t>
            </w:r>
          </w:p>
        </w:tc>
        <w:tc>
          <w:tcPr>
            <w:tcW w:w="113"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3"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8" w:type="dxa"/>
            <w:tcBorders>
              <w:top w:val="nil"/>
              <w:left w:val="nil"/>
              <w:bottom w:val="double" w:sz="4" w:space="0" w:color="auto"/>
              <w:right w:val="nil"/>
            </w:tcBorders>
            <w:shd w:val="clear" w:color="000000" w:fill="auto"/>
            <w:vAlign w:val="bottom"/>
          </w:tcPr>
          <w:p w:rsidR="00AD5BB5" w:rsidRDefault="00F87FF6">
            <w:pPr>
              <w:overflowPunct w:val="0"/>
              <w:autoSpaceDE w:val="0"/>
              <w:autoSpaceDN w:val="0"/>
              <w:snapToGrid w:val="0"/>
              <w:ind w:right="28"/>
              <w:jc w:val="right"/>
              <w:rPr>
                <w:rFonts w:ascii="Arial" w:eastAsia="黑体" w:hAnsi="Arial" w:cs="Arial"/>
                <w:snapToGrid w:val="0"/>
                <w:szCs w:val="21"/>
              </w:rPr>
            </w:pPr>
            <w:r>
              <w:rPr>
                <w:rFonts w:ascii="Arial" w:eastAsia="黑体" w:hAnsi="Arial" w:cs="Arial"/>
                <w:snapToGrid w:val="0"/>
                <w:szCs w:val="21"/>
              </w:rPr>
              <w:t>30,427,507,526.73</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bl>
    <w:p w:rsidR="00AD5BB5" w:rsidRDefault="00AD5BB5">
      <w:pPr>
        <w:overflowPunct w:val="0"/>
        <w:autoSpaceDE w:val="0"/>
        <w:autoSpaceDN w:val="0"/>
        <w:rPr>
          <w:rFonts w:ascii="Arial" w:eastAsia="黑体" w:hAnsi="Arial" w:cs="Arial"/>
          <w:snapToGrid w:val="0"/>
          <w:szCs w:val="21"/>
        </w:rPr>
      </w:pPr>
    </w:p>
    <w:p w:rsidR="00AD5BB5" w:rsidRDefault="00F87FF6">
      <w:pPr>
        <w:pStyle w:val="af5"/>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559" w:name="afsaddin_Section_eb21edaaac94468699afcef"/>
      <w:r>
        <w:rPr>
          <w:rFonts w:ascii="Arial" w:eastAsia="黑体" w:hAnsi="Arial" w:cs="Arial" w:hint="default"/>
          <w:bCs w:val="0"/>
          <w:snapToGrid w:val="0"/>
          <w:color w:val="auto"/>
          <w:sz w:val="21"/>
          <w:szCs w:val="21"/>
        </w:rPr>
        <w:t>3.</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买入返售接纳的担保物</w:t>
      </w:r>
    </w:p>
    <w:bookmarkEnd w:id="559"/>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本集团按照一般拆借业务的标准条款进行买入返售协议交易，并相应持有交易项下的担保物。买断式买入</w:t>
      </w:r>
      <w:proofErr w:type="gramStart"/>
      <w:r>
        <w:rPr>
          <w:rFonts w:ascii="Arial" w:eastAsia="黑体" w:hAnsi="Arial" w:cs="Arial"/>
          <w:snapToGrid w:val="0"/>
          <w:szCs w:val="21"/>
        </w:rPr>
        <w:t>返售所接纳</w:t>
      </w:r>
      <w:proofErr w:type="gramEnd"/>
      <w:r>
        <w:rPr>
          <w:rFonts w:ascii="Arial" w:eastAsia="黑体" w:hAnsi="Arial" w:cs="Arial"/>
          <w:snapToGrid w:val="0"/>
          <w:szCs w:val="21"/>
        </w:rPr>
        <w:t>的担保物，在交易对手未违约的情况下，本集团可将其直接处置或再质押，且有义务于约定的</w:t>
      </w:r>
      <w:proofErr w:type="gramStart"/>
      <w:r>
        <w:rPr>
          <w:rFonts w:ascii="Arial" w:eastAsia="黑体" w:hAnsi="Arial" w:cs="Arial"/>
          <w:snapToGrid w:val="0"/>
          <w:szCs w:val="21"/>
        </w:rPr>
        <w:t>返售日返还</w:t>
      </w:r>
      <w:proofErr w:type="gramEnd"/>
      <w:r>
        <w:rPr>
          <w:rFonts w:ascii="Arial" w:eastAsia="黑体" w:hAnsi="Arial" w:cs="Arial"/>
          <w:snapToGrid w:val="0"/>
          <w:szCs w:val="21"/>
        </w:rPr>
        <w:t>这些担保物。于</w:t>
      </w: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当期资产负债表日</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2023</w:t>
      </w:r>
      <w:r>
        <w:rPr>
          <w:rFonts w:ascii="Arial" w:eastAsia="黑体" w:hAnsi="Arial" w:cs="Arial"/>
          <w:snapToGrid w:val="0"/>
          <w:szCs w:val="21"/>
        </w:rPr>
        <w:t>年</w:t>
      </w:r>
      <w:r>
        <w:rPr>
          <w:rFonts w:ascii="Arial" w:eastAsia="黑体" w:hAnsi="Arial" w:cs="Arial"/>
          <w:snapToGrid w:val="0"/>
          <w:szCs w:val="21"/>
        </w:rPr>
        <w:t>6</w:t>
      </w:r>
      <w:r>
        <w:rPr>
          <w:rFonts w:ascii="Arial" w:eastAsia="黑体" w:hAnsi="Arial" w:cs="Arial"/>
          <w:snapToGrid w:val="0"/>
          <w:szCs w:val="21"/>
        </w:rPr>
        <w:t>月</w:t>
      </w:r>
      <w:r>
        <w:rPr>
          <w:rFonts w:ascii="Arial" w:eastAsia="黑体" w:hAnsi="Arial" w:cs="Arial"/>
          <w:snapToGrid w:val="0"/>
          <w:szCs w:val="21"/>
        </w:rPr>
        <w:t>30</w:t>
      </w:r>
      <w:r>
        <w:rPr>
          <w:rFonts w:ascii="Arial" w:eastAsia="黑体" w:hAnsi="Arial" w:cs="Arial"/>
          <w:snapToGrid w:val="0"/>
          <w:szCs w:val="21"/>
        </w:rPr>
        <w:t>日</w:t>
      </w:r>
      <w:r>
        <w:rPr>
          <w:rFonts w:ascii="Arial" w:eastAsia="黑体" w:hAnsi="Arial" w:cs="Arial"/>
          <w:snapToGrid w:val="0"/>
          <w:szCs w:val="21"/>
        </w:rPr>
        <w:fldChar w:fldCharType="end"/>
      </w:r>
      <w:r>
        <w:rPr>
          <w:rFonts w:ascii="Arial" w:eastAsia="黑体" w:hAnsi="Arial" w:cs="Arial"/>
          <w:snapToGrid w:val="0"/>
          <w:szCs w:val="21"/>
        </w:rPr>
        <w:t>，本集团无从同业接受的上述质押物（</w:t>
      </w: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上期资产负债表日</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2022</w:t>
      </w:r>
      <w:r>
        <w:rPr>
          <w:rFonts w:ascii="Arial" w:eastAsia="黑体" w:hAnsi="Arial" w:cs="Arial"/>
          <w:snapToGrid w:val="0"/>
          <w:szCs w:val="21"/>
        </w:rPr>
        <w:t>年</w:t>
      </w:r>
      <w:r>
        <w:rPr>
          <w:rFonts w:ascii="Arial" w:eastAsia="黑体" w:hAnsi="Arial" w:cs="Arial"/>
          <w:snapToGrid w:val="0"/>
          <w:szCs w:val="21"/>
        </w:rPr>
        <w:t>12</w:t>
      </w:r>
      <w:r>
        <w:rPr>
          <w:rFonts w:ascii="Arial" w:eastAsia="黑体" w:hAnsi="Arial" w:cs="Arial"/>
          <w:snapToGrid w:val="0"/>
          <w:szCs w:val="21"/>
        </w:rPr>
        <w:t>月</w:t>
      </w:r>
      <w:r>
        <w:rPr>
          <w:rFonts w:ascii="Arial" w:eastAsia="黑体" w:hAnsi="Arial" w:cs="Arial"/>
          <w:snapToGrid w:val="0"/>
          <w:szCs w:val="21"/>
        </w:rPr>
        <w:t>31</w:t>
      </w:r>
      <w:r>
        <w:rPr>
          <w:rFonts w:ascii="Arial" w:eastAsia="黑体" w:hAnsi="Arial" w:cs="Arial"/>
          <w:snapToGrid w:val="0"/>
          <w:szCs w:val="21"/>
        </w:rPr>
        <w:t>日</w:t>
      </w:r>
      <w:r>
        <w:rPr>
          <w:rFonts w:ascii="Arial" w:eastAsia="黑体" w:hAnsi="Arial" w:cs="Arial"/>
          <w:snapToGrid w:val="0"/>
          <w:szCs w:val="21"/>
        </w:rPr>
        <w:fldChar w:fldCharType="end"/>
      </w:r>
      <w:r>
        <w:rPr>
          <w:rFonts w:ascii="Arial" w:eastAsia="黑体" w:hAnsi="Arial" w:cs="Arial"/>
          <w:snapToGrid w:val="0"/>
          <w:szCs w:val="21"/>
        </w:rPr>
        <w:t>：无）。</w:t>
      </w:r>
    </w:p>
    <w:p w:rsidR="00AD5BB5" w:rsidRDefault="00AD5BB5">
      <w:pPr>
        <w:overflowPunct w:val="0"/>
        <w:autoSpaceDE w:val="0"/>
        <w:autoSpaceDN w:val="0"/>
        <w:rPr>
          <w:rFonts w:ascii="Arial" w:eastAsia="黑体" w:hAnsi="Arial" w:cs="Arial"/>
          <w:snapToGrid w:val="0"/>
          <w:szCs w:val="21"/>
        </w:rPr>
      </w:pPr>
    </w:p>
    <w:p w:rsidR="00AD5BB5" w:rsidRDefault="00F87FF6">
      <w:pPr>
        <w:pStyle w:val="af5"/>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560" w:name="afsaddin_Section_9d3ac43308cd4efe91497fa"/>
      <w:r>
        <w:rPr>
          <w:rFonts w:ascii="Arial" w:eastAsia="黑体" w:hAnsi="Arial" w:cs="Arial" w:hint="default"/>
          <w:bCs w:val="0"/>
          <w:snapToGrid w:val="0"/>
          <w:color w:val="auto"/>
          <w:sz w:val="21"/>
          <w:szCs w:val="21"/>
        </w:rPr>
        <w:t>4.</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资本性支出承诺</w:t>
      </w:r>
    </w:p>
    <w:bookmarkEnd w:id="560"/>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af161830-4b22-462d-8bd8-cf7565d8b2c9"/>
        <w:tblDescription w:val="{&quot;UUID&quot;:&quot;afsaddin_tabledata_2_56437_af161830-4b22-462d-8bd8-cf7565d8b2c9&quot;,&quot;TitleRowCount&quot;:2,&quot;SplitedTable&quot;:false,&quot;FirstTableId&quot;:&quot;af161830-4b22-462d-8bd8-cf7565d8b2c9&quot;}"/>
      </w:tblPr>
      <w:tblGrid>
        <w:gridCol w:w="3417"/>
        <w:gridCol w:w="111"/>
        <w:gridCol w:w="2280"/>
        <w:gridCol w:w="113"/>
        <w:gridCol w:w="98"/>
        <w:gridCol w:w="2293"/>
        <w:gridCol w:w="113"/>
      </w:tblGrid>
      <w:tr w:rsidR="00AD5BB5">
        <w:tc>
          <w:tcPr>
            <w:tcW w:w="341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jc w:val="right"/>
              <w:rPr>
                <w:rFonts w:ascii="Arial" w:eastAsia="黑体" w:hAnsi="Arial" w:cs="Arial"/>
                <w:szCs w:val="21"/>
              </w:rPr>
            </w:pPr>
          </w:p>
        </w:tc>
        <w:tc>
          <w:tcPr>
            <w:tcW w:w="111"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80" w:type="dxa"/>
            <w:tcBorders>
              <w:top w:val="nil"/>
              <w:left w:val="nil"/>
              <w:bottom w:val="nil"/>
              <w:right w:val="nil"/>
            </w:tcBorders>
            <w:shd w:val="clear" w:color="000000" w:fill="auto"/>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fldChar w:fldCharType="begin"/>
            </w:r>
            <w:r>
              <w:rPr>
                <w:rFonts w:ascii="Arial" w:eastAsia="黑体" w:hAnsi="Arial" w:cs="Arial"/>
                <w:color w:val="000000"/>
                <w:szCs w:val="21"/>
              </w:rPr>
              <w:instrText xml:space="preserve"> DOCPROPERTY </w:instrText>
            </w:r>
            <w:r>
              <w:rPr>
                <w:rFonts w:ascii="Arial" w:eastAsia="黑体" w:hAnsi="Arial" w:cs="Arial"/>
                <w:color w:val="000000"/>
                <w:szCs w:val="21"/>
              </w:rPr>
              <w:instrText>当期资产负债表日</w:instrText>
            </w:r>
            <w:r>
              <w:rPr>
                <w:rFonts w:ascii="Arial" w:eastAsia="黑体" w:hAnsi="Arial" w:cs="Arial"/>
                <w:color w:val="000000"/>
                <w:szCs w:val="21"/>
              </w:rPr>
              <w:instrText xml:space="preserve"> </w:instrText>
            </w:r>
            <w:r>
              <w:rPr>
                <w:rFonts w:ascii="Arial" w:eastAsia="黑体" w:hAnsi="Arial" w:cs="Arial"/>
                <w:color w:val="000000"/>
                <w:szCs w:val="21"/>
              </w:rPr>
              <w:fldChar w:fldCharType="separate"/>
            </w:r>
            <w:r>
              <w:rPr>
                <w:rFonts w:ascii="Arial" w:eastAsia="黑体" w:hAnsi="Arial" w:cs="Arial"/>
                <w:color w:val="000000"/>
                <w:szCs w:val="21"/>
              </w:rPr>
              <w:t>2023</w:t>
            </w:r>
            <w:r>
              <w:rPr>
                <w:rFonts w:ascii="Arial" w:eastAsia="黑体" w:hAnsi="Arial" w:cs="Arial"/>
                <w:color w:val="000000"/>
                <w:szCs w:val="21"/>
              </w:rPr>
              <w:t>年</w:t>
            </w:r>
            <w:r>
              <w:rPr>
                <w:rFonts w:ascii="Arial" w:eastAsia="黑体" w:hAnsi="Arial" w:cs="Arial"/>
                <w:color w:val="000000"/>
                <w:szCs w:val="21"/>
              </w:rPr>
              <w:t>6</w:t>
            </w:r>
            <w:r>
              <w:rPr>
                <w:rFonts w:ascii="Arial" w:eastAsia="黑体" w:hAnsi="Arial" w:cs="Arial"/>
                <w:color w:val="000000"/>
                <w:szCs w:val="21"/>
              </w:rPr>
              <w:t>月</w:t>
            </w:r>
            <w:r>
              <w:rPr>
                <w:rFonts w:ascii="Arial" w:eastAsia="黑体" w:hAnsi="Arial" w:cs="Arial"/>
                <w:color w:val="000000"/>
                <w:szCs w:val="21"/>
              </w:rPr>
              <w:t>30</w:t>
            </w:r>
            <w:r>
              <w:rPr>
                <w:rFonts w:ascii="Arial" w:eastAsia="黑体" w:hAnsi="Arial" w:cs="Arial"/>
                <w:color w:val="000000"/>
                <w:szCs w:val="21"/>
              </w:rPr>
              <w:t>日</w:t>
            </w:r>
            <w:r>
              <w:rPr>
                <w:rFonts w:ascii="Arial" w:eastAsia="黑体" w:hAnsi="Arial" w:cs="Arial"/>
                <w:color w:val="000000"/>
                <w:szCs w:val="21"/>
              </w:rPr>
              <w:fldChar w:fldCharType="end"/>
            </w:r>
          </w:p>
        </w:tc>
        <w:tc>
          <w:tcPr>
            <w:tcW w:w="113"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98"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2293" w:type="dxa"/>
            <w:tcBorders>
              <w:top w:val="nil"/>
              <w:left w:val="nil"/>
              <w:bottom w:val="nil"/>
              <w:right w:val="nil"/>
            </w:tcBorders>
            <w:shd w:val="clear" w:color="000000" w:fill="auto"/>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2022</w:t>
            </w:r>
            <w:r>
              <w:rPr>
                <w:rFonts w:ascii="Arial" w:eastAsia="黑体" w:hAnsi="Arial" w:cs="Arial"/>
                <w:color w:val="000000"/>
                <w:szCs w:val="21"/>
              </w:rPr>
              <w:t>年</w:t>
            </w:r>
            <w:r>
              <w:rPr>
                <w:rFonts w:ascii="Arial" w:eastAsia="黑体" w:hAnsi="Arial" w:cs="Arial"/>
                <w:color w:val="000000"/>
                <w:szCs w:val="21"/>
              </w:rPr>
              <w:t>12</w:t>
            </w:r>
            <w:r>
              <w:rPr>
                <w:rFonts w:ascii="Arial" w:eastAsia="黑体" w:hAnsi="Arial" w:cs="Arial"/>
                <w:color w:val="000000"/>
                <w:szCs w:val="21"/>
              </w:rPr>
              <w:t>月</w:t>
            </w:r>
            <w:r>
              <w:rPr>
                <w:rFonts w:ascii="Arial" w:eastAsia="黑体" w:hAnsi="Arial" w:cs="Arial"/>
                <w:color w:val="000000"/>
                <w:szCs w:val="21"/>
              </w:rPr>
              <w:t>31</w:t>
            </w:r>
            <w:r>
              <w:rPr>
                <w:rFonts w:ascii="Arial" w:eastAsia="黑体" w:hAnsi="Arial" w:cs="Arial"/>
                <w:color w:val="000000"/>
                <w:szCs w:val="21"/>
              </w:rPr>
              <w:t>日</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r>
      <w:tr w:rsidR="00AD5BB5">
        <w:tc>
          <w:tcPr>
            <w:tcW w:w="341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15" w:hangingChars="150" w:hanging="315"/>
              <w:jc w:val="right"/>
              <w:rPr>
                <w:rFonts w:ascii="Arial" w:eastAsia="黑体" w:hAnsi="Arial" w:cs="Arial"/>
                <w:szCs w:val="21"/>
              </w:rPr>
            </w:pPr>
          </w:p>
        </w:tc>
        <w:tc>
          <w:tcPr>
            <w:tcW w:w="111"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80" w:type="dxa"/>
            <w:tcBorders>
              <w:top w:val="nil"/>
              <w:left w:val="nil"/>
              <w:bottom w:val="nil"/>
              <w:right w:val="nil"/>
            </w:tcBorders>
            <w:shd w:val="clear" w:color="000000" w:fill="auto"/>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98"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2293" w:type="dxa"/>
            <w:tcBorders>
              <w:top w:val="nil"/>
              <w:left w:val="nil"/>
              <w:bottom w:val="nil"/>
              <w:right w:val="nil"/>
            </w:tcBorders>
            <w:shd w:val="clear" w:color="000000" w:fill="auto"/>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r>
      <w:tr w:rsidR="00AD5BB5">
        <w:tc>
          <w:tcPr>
            <w:tcW w:w="3417"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color w:val="000000"/>
                <w:szCs w:val="21"/>
              </w:rPr>
              <w:t>已签约但未拨付</w:t>
            </w:r>
          </w:p>
        </w:tc>
        <w:tc>
          <w:tcPr>
            <w:tcW w:w="111"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80" w:type="dxa"/>
            <w:tcBorders>
              <w:top w:val="nil"/>
              <w:left w:val="nil"/>
              <w:bottom w:val="double" w:sz="4" w:space="0" w:color="auto"/>
              <w:right w:val="nil"/>
            </w:tcBorders>
            <w:shd w:val="clear" w:color="000000" w:fill="auto"/>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925,938,649.66</w:t>
            </w:r>
          </w:p>
        </w:tc>
        <w:tc>
          <w:tcPr>
            <w:tcW w:w="113"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98"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93" w:type="dxa"/>
            <w:tcBorders>
              <w:top w:val="nil"/>
              <w:left w:val="nil"/>
              <w:bottom w:val="double" w:sz="4" w:space="0" w:color="auto"/>
              <w:right w:val="nil"/>
            </w:tcBorders>
            <w:shd w:val="clear" w:color="000000" w:fill="auto"/>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994,419,035.77</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bl>
    <w:p w:rsidR="00AD5BB5" w:rsidRDefault="00AD5BB5">
      <w:pPr>
        <w:overflowPunct w:val="0"/>
        <w:autoSpaceDE w:val="0"/>
        <w:autoSpaceDN w:val="0"/>
        <w:adjustRightInd w:val="0"/>
        <w:snapToGrid w:val="0"/>
        <w:rPr>
          <w:rFonts w:ascii="Arial" w:eastAsia="黑体" w:hAnsi="Arial" w:cs="Arial"/>
          <w:snapToGrid w:val="0"/>
          <w:sz w:val="20"/>
        </w:rPr>
      </w:pPr>
    </w:p>
    <w:p w:rsidR="00AD5BB5" w:rsidRDefault="00F87FF6">
      <w:pPr>
        <w:pStyle w:val="af5"/>
        <w:overflowPunct w:val="0"/>
        <w:autoSpaceDE w:val="0"/>
        <w:autoSpaceDN w:val="0"/>
        <w:adjustRightInd w:val="0"/>
        <w:snapToGrid w:val="0"/>
        <w:spacing w:before="0" w:after="0"/>
        <w:jc w:val="both"/>
        <w:textAlignment w:val="bottom"/>
        <w:outlineLvl w:val="2"/>
        <w:rPr>
          <w:rFonts w:ascii="Arial" w:eastAsia="黑体" w:hAnsi="Arial" w:cs="Arial" w:hint="default"/>
          <w:bCs w:val="0"/>
          <w:snapToGrid w:val="0"/>
          <w:color w:val="auto"/>
          <w:sz w:val="21"/>
          <w:szCs w:val="21"/>
        </w:rPr>
      </w:pPr>
      <w:r>
        <w:rPr>
          <w:rFonts w:ascii="Arial" w:eastAsia="黑体" w:hAnsi="Arial" w:cs="Arial" w:hint="default"/>
          <w:bCs w:val="0"/>
          <w:snapToGrid w:val="0"/>
          <w:color w:val="auto"/>
          <w:sz w:val="21"/>
          <w:szCs w:val="21"/>
        </w:rPr>
        <w:t>5.</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表外承诺事项</w:t>
      </w:r>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21d92a2a-46d0-4018-858c-1a15fae46ccf"/>
        <w:tblDescription w:val="{&quot;UUID&quot;:&quot;afsaddin_tabledata_2_56437_21d92a2a-46d0-4018-858c-1a15fae46ccf&quot;,&quot;TitleRowCount&quot;:2,&quot;SplitedTable&quot;:false,&quot;FirstTableId&quot;:&quot;21d92a2a-46d0-4018-858c-1a15fae46ccf&quot;}"/>
      </w:tblPr>
      <w:tblGrid>
        <w:gridCol w:w="3417"/>
        <w:gridCol w:w="113"/>
        <w:gridCol w:w="2278"/>
        <w:gridCol w:w="113"/>
        <w:gridCol w:w="113"/>
        <w:gridCol w:w="2278"/>
        <w:gridCol w:w="113"/>
      </w:tblGrid>
      <w:tr w:rsidR="00AD5BB5">
        <w:tc>
          <w:tcPr>
            <w:tcW w:w="3417"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当期资产负债表日</w:instrText>
            </w:r>
            <w:r>
              <w:rPr>
                <w:rFonts w:ascii="Arial" w:eastAsia="黑体" w:hAnsi="Arial" w:cs="Arial"/>
                <w:szCs w:val="21"/>
              </w:rPr>
              <w:instrText xml:space="preserve"> </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t>年</w:t>
            </w:r>
            <w:r>
              <w:rPr>
                <w:rFonts w:ascii="Arial" w:eastAsia="黑体" w:hAnsi="Arial" w:cs="Arial"/>
                <w:szCs w:val="21"/>
              </w:rPr>
              <w:t>6</w:t>
            </w:r>
            <w:r>
              <w:rPr>
                <w:rFonts w:ascii="Arial" w:eastAsia="黑体" w:hAnsi="Arial" w:cs="Arial"/>
                <w:szCs w:val="21"/>
              </w:rPr>
              <w:t>月</w:t>
            </w:r>
            <w:r>
              <w:rPr>
                <w:rFonts w:ascii="Arial" w:eastAsia="黑体" w:hAnsi="Arial" w:cs="Arial"/>
                <w:szCs w:val="21"/>
              </w:rPr>
              <w:t>30</w:t>
            </w:r>
            <w:r>
              <w:rPr>
                <w:rFonts w:ascii="Arial" w:eastAsia="黑体" w:hAnsi="Arial" w:cs="Arial"/>
                <w:szCs w:val="21"/>
              </w:rPr>
              <w:t>日</w:t>
            </w:r>
            <w:r>
              <w:rPr>
                <w:rFonts w:ascii="Arial" w:eastAsia="黑体" w:hAnsi="Arial" w:cs="Arial"/>
                <w:szCs w:val="21"/>
              </w:rPr>
              <w:fldChar w:fldCharType="end"/>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2022</w:t>
            </w:r>
            <w:r>
              <w:rPr>
                <w:rFonts w:ascii="Arial" w:eastAsia="黑体" w:hAnsi="Arial" w:cs="Arial"/>
                <w:szCs w:val="21"/>
              </w:rPr>
              <w:t>年</w:t>
            </w:r>
            <w:r>
              <w:rPr>
                <w:rFonts w:ascii="Arial" w:eastAsia="黑体" w:hAnsi="Arial" w:cs="Arial"/>
                <w:szCs w:val="21"/>
              </w:rPr>
              <w:t>12</w:t>
            </w:r>
            <w:r>
              <w:rPr>
                <w:rFonts w:ascii="Arial" w:eastAsia="黑体" w:hAnsi="Arial" w:cs="Arial"/>
                <w:szCs w:val="21"/>
              </w:rPr>
              <w:t>月</w:t>
            </w:r>
            <w:r>
              <w:rPr>
                <w:rFonts w:ascii="Arial" w:eastAsia="黑体" w:hAnsi="Arial" w:cs="Arial"/>
                <w:szCs w:val="21"/>
              </w:rPr>
              <w:t>31</w:t>
            </w:r>
            <w:r>
              <w:rPr>
                <w:rFonts w:ascii="Arial" w:eastAsia="黑体" w:hAnsi="Arial" w:cs="Arial"/>
                <w:szCs w:val="21"/>
              </w:rPr>
              <w:t>日</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银行承兑汇票</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35,821,300,129.74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51,498,848,747.86</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开出保函</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3,811,123,638.18</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3,551,098,530.07</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开出信用证</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5,331,663,028.02</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5,669,814,801.65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信用卡未使用透支额度</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6,540,866,396.75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10,390,310,849.38</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合计</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51,504,953,192.69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71,110,072,928.96</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bl>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财务担保合同具有担保性质，一旦客户未按其与受益人签订的合同偿还债务或履行约定义务时，本集团需履行担保责任。</w:t>
      </w:r>
    </w:p>
    <w:p w:rsidR="00AD5BB5" w:rsidRDefault="00AD5BB5">
      <w:pPr>
        <w:overflowPunct w:val="0"/>
        <w:autoSpaceDE w:val="0"/>
        <w:autoSpaceDN w:val="0"/>
        <w:adjustRightInd w:val="0"/>
        <w:snapToGrid w:val="0"/>
        <w:rPr>
          <w:rFonts w:ascii="Arial" w:eastAsia="黑体" w:hAnsi="Arial" w:cs="Arial"/>
          <w:snapToGrid w:val="0"/>
          <w:sz w:val="20"/>
        </w:rPr>
      </w:pPr>
    </w:p>
    <w:p w:rsidR="00AD5BB5" w:rsidRDefault="00AD5BB5">
      <w:pPr>
        <w:overflowPunct w:val="0"/>
        <w:autoSpaceDE w:val="0"/>
        <w:autoSpaceDN w:val="0"/>
        <w:adjustRightInd w:val="0"/>
        <w:snapToGrid w:val="0"/>
        <w:rPr>
          <w:rFonts w:ascii="Arial" w:eastAsia="黑体" w:hAnsi="Arial" w:cs="Arial"/>
          <w:snapToGrid w:val="0"/>
          <w:sz w:val="20"/>
        </w:rPr>
      </w:pPr>
    </w:p>
    <w:p w:rsidR="00AD5BB5" w:rsidRDefault="00AD5BB5">
      <w:pPr>
        <w:overflowPunct w:val="0"/>
        <w:autoSpaceDE w:val="0"/>
        <w:autoSpaceDN w:val="0"/>
        <w:adjustRightInd w:val="0"/>
        <w:snapToGrid w:val="0"/>
        <w:rPr>
          <w:rFonts w:ascii="Arial" w:eastAsia="黑体" w:hAnsi="Arial" w:cs="Arial"/>
          <w:snapToGrid w:val="0"/>
          <w:sz w:val="20"/>
        </w:rPr>
      </w:pPr>
    </w:p>
    <w:p w:rsidR="00AD5BB5" w:rsidRDefault="00AD5BB5">
      <w:pPr>
        <w:overflowPunct w:val="0"/>
        <w:autoSpaceDE w:val="0"/>
        <w:autoSpaceDN w:val="0"/>
        <w:adjustRightInd w:val="0"/>
        <w:snapToGrid w:val="0"/>
        <w:rPr>
          <w:rFonts w:ascii="Arial" w:eastAsia="黑体" w:hAnsi="Arial" w:cs="Arial"/>
          <w:snapToGrid w:val="0"/>
          <w:sz w:val="20"/>
        </w:rPr>
      </w:pPr>
    </w:p>
    <w:p w:rsidR="00AD5BB5" w:rsidRDefault="00AD5BB5">
      <w:pPr>
        <w:overflowPunct w:val="0"/>
        <w:autoSpaceDE w:val="0"/>
        <w:autoSpaceDN w:val="0"/>
        <w:adjustRightInd w:val="0"/>
        <w:snapToGrid w:val="0"/>
        <w:rPr>
          <w:rFonts w:ascii="Arial" w:eastAsia="黑体" w:hAnsi="Arial" w:cs="Arial"/>
          <w:snapToGrid w:val="0"/>
          <w:sz w:val="20"/>
        </w:rPr>
        <w:sectPr w:rsidR="00AD5BB5">
          <w:headerReference w:type="even" r:id="rId84"/>
          <w:headerReference w:type="default" r:id="rId85"/>
          <w:footerReference w:type="default" r:id="rId86"/>
          <w:headerReference w:type="first" r:id="rId87"/>
          <w:pgSz w:w="11907" w:h="16840"/>
          <w:pgMar w:top="1440" w:right="1842" w:bottom="1440" w:left="1797" w:header="720" w:footer="720" w:gutter="0"/>
          <w:cols w:space="720"/>
          <w:docGrid w:linePitch="360"/>
        </w:sectPr>
      </w:pPr>
    </w:p>
    <w:p w:rsidR="00AD5BB5" w:rsidRDefault="00AD5BB5">
      <w:pPr>
        <w:overflowPunct w:val="0"/>
        <w:autoSpaceDE w:val="0"/>
        <w:autoSpaceDN w:val="0"/>
        <w:rPr>
          <w:rFonts w:ascii="Arial" w:eastAsia="黑体" w:hAnsi="Arial" w:cs="Arial"/>
        </w:rPr>
      </w:pPr>
    </w:p>
    <w:p w:rsidR="00AD5BB5" w:rsidRDefault="00AD5BB5">
      <w:pPr>
        <w:overflowPunct w:val="0"/>
        <w:autoSpaceDE w:val="0"/>
        <w:autoSpaceDN w:val="0"/>
        <w:rPr>
          <w:rFonts w:ascii="Arial" w:eastAsia="黑体" w:hAnsi="Arial" w:cs="Arial"/>
        </w:rPr>
      </w:pPr>
    </w:p>
    <w:p w:rsidR="00AD5BB5" w:rsidRDefault="00F87FF6">
      <w:pPr>
        <w:overflowPunct w:val="0"/>
        <w:autoSpaceDE w:val="0"/>
        <w:autoSpaceDN w:val="0"/>
        <w:ind w:left="720" w:hanging="720"/>
        <w:rPr>
          <w:rFonts w:ascii="Arial" w:eastAsia="黑体" w:hAnsi="Arial" w:cs="Arial"/>
          <w:b/>
        </w:rPr>
      </w:pPr>
      <w:bookmarkStart w:id="561" w:name="afsaddin_WithXu_ec083dc418254f44a47fc2c1"/>
      <w:r>
        <w:rPr>
          <w:rFonts w:ascii="Arial" w:eastAsia="黑体" w:hAnsi="Arial" w:cs="Arial"/>
          <w:b/>
        </w:rPr>
        <w:t>十、</w:t>
      </w:r>
      <w:r>
        <w:rPr>
          <w:rFonts w:ascii="Arial" w:eastAsia="黑体" w:hAnsi="Arial" w:cs="Arial"/>
          <w:b/>
        </w:rPr>
        <w:tab/>
      </w:r>
      <w:r>
        <w:rPr>
          <w:rFonts w:ascii="Arial" w:eastAsia="黑体" w:hAnsi="Arial" w:cs="Arial"/>
          <w:b/>
        </w:rPr>
        <w:t>承诺、或有事项及主要表外事项（续）</w:t>
      </w:r>
      <w:bookmarkEnd w:id="561"/>
    </w:p>
    <w:p w:rsidR="00AD5BB5" w:rsidRDefault="00AD5BB5">
      <w:pPr>
        <w:overflowPunct w:val="0"/>
        <w:autoSpaceDE w:val="0"/>
        <w:autoSpaceDN w:val="0"/>
        <w:rPr>
          <w:rFonts w:ascii="Arial" w:eastAsia="黑体" w:hAnsi="Arial" w:cs="Arial"/>
        </w:rPr>
      </w:pPr>
    </w:p>
    <w:p w:rsidR="00AD5BB5" w:rsidRDefault="00F87FF6">
      <w:pPr>
        <w:pStyle w:val="af5"/>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562" w:name="afsaddin_WithXu_abbd9f489d0746c6bb25014d"/>
      <w:bookmarkStart w:id="563" w:name="afsaddin_Section_b3cb889a5c2840bb8d3f045"/>
      <w:bookmarkEnd w:id="562"/>
      <w:r>
        <w:rPr>
          <w:rFonts w:ascii="Arial" w:eastAsia="黑体" w:hAnsi="Arial" w:cs="Arial" w:hint="default"/>
          <w:bCs w:val="0"/>
          <w:snapToGrid w:val="0"/>
          <w:color w:val="auto"/>
          <w:sz w:val="21"/>
          <w:szCs w:val="21"/>
        </w:rPr>
        <w:t>6.</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委托代理业务</w:t>
      </w:r>
    </w:p>
    <w:bookmarkEnd w:id="563"/>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f498a328-1044-43fc-8ff0-8db8c39e75ed"/>
        <w:tblDescription w:val="{&quot;UUID&quot;:&quot;afsaddin_tabledata_2_56437_f498a328-1044-43fc-8ff0-8db8c39e75ed&quot;,&quot;TitleRowCount&quot;:2,&quot;SplitedTable&quot;:false,&quot;FirstTableId&quot;:&quot;f498a328-1044-43fc-8ff0-8db8c39e75ed&quot;}"/>
      </w:tblPr>
      <w:tblGrid>
        <w:gridCol w:w="3417"/>
        <w:gridCol w:w="113"/>
        <w:gridCol w:w="2278"/>
        <w:gridCol w:w="113"/>
        <w:gridCol w:w="113"/>
        <w:gridCol w:w="2278"/>
        <w:gridCol w:w="113"/>
      </w:tblGrid>
      <w:tr w:rsidR="00AD5BB5">
        <w:tc>
          <w:tcPr>
            <w:tcW w:w="3417"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当期资产负债表日</w:instrText>
            </w:r>
            <w:r>
              <w:rPr>
                <w:rFonts w:ascii="Arial" w:eastAsia="黑体" w:hAnsi="Arial" w:cs="Arial"/>
                <w:szCs w:val="21"/>
              </w:rPr>
              <w:instrText xml:space="preserve"> </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t>年</w:t>
            </w:r>
            <w:r>
              <w:rPr>
                <w:rFonts w:ascii="Arial" w:eastAsia="黑体" w:hAnsi="Arial" w:cs="Arial"/>
                <w:szCs w:val="21"/>
              </w:rPr>
              <w:t>6</w:t>
            </w:r>
            <w:r>
              <w:rPr>
                <w:rFonts w:ascii="Arial" w:eastAsia="黑体" w:hAnsi="Arial" w:cs="Arial"/>
                <w:szCs w:val="21"/>
              </w:rPr>
              <w:t>月</w:t>
            </w:r>
            <w:r>
              <w:rPr>
                <w:rFonts w:ascii="Arial" w:eastAsia="黑体" w:hAnsi="Arial" w:cs="Arial"/>
                <w:szCs w:val="21"/>
              </w:rPr>
              <w:t>30</w:t>
            </w:r>
            <w:r>
              <w:rPr>
                <w:rFonts w:ascii="Arial" w:eastAsia="黑体" w:hAnsi="Arial" w:cs="Arial"/>
                <w:szCs w:val="21"/>
              </w:rPr>
              <w:t>日</w:t>
            </w:r>
            <w:r>
              <w:rPr>
                <w:rFonts w:ascii="Arial" w:eastAsia="黑体" w:hAnsi="Arial" w:cs="Arial"/>
                <w:szCs w:val="21"/>
              </w:rPr>
              <w:fldChar w:fldCharType="end"/>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2022</w:t>
            </w:r>
            <w:r>
              <w:rPr>
                <w:rFonts w:ascii="Arial" w:eastAsia="黑体" w:hAnsi="Arial" w:cs="Arial"/>
                <w:szCs w:val="21"/>
              </w:rPr>
              <w:t>年</w:t>
            </w:r>
            <w:r>
              <w:rPr>
                <w:rFonts w:ascii="Arial" w:eastAsia="黑体" w:hAnsi="Arial" w:cs="Arial"/>
                <w:szCs w:val="21"/>
              </w:rPr>
              <w:t>12</w:t>
            </w:r>
            <w:r>
              <w:rPr>
                <w:rFonts w:ascii="Arial" w:eastAsia="黑体" w:hAnsi="Arial" w:cs="Arial"/>
                <w:szCs w:val="21"/>
              </w:rPr>
              <w:t>月</w:t>
            </w:r>
            <w:r>
              <w:rPr>
                <w:rFonts w:ascii="Arial" w:eastAsia="黑体" w:hAnsi="Arial" w:cs="Arial"/>
                <w:szCs w:val="21"/>
              </w:rPr>
              <w:t>31</w:t>
            </w:r>
            <w:r>
              <w:rPr>
                <w:rFonts w:ascii="Arial" w:eastAsia="黑体" w:hAnsi="Arial" w:cs="Arial"/>
                <w:szCs w:val="21"/>
              </w:rPr>
              <w:t>日</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委托贷款资金</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2,910,594,667.31</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2,655,390,266.10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委托理财资金</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13,199,475,807.78</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12,301,871,417.61</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bl>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委托贷款资金是指存款人存于本集团的款项，仅用于向存款者指定的第三方发放贷款之用。贷款相关的信贷风险由存款人承担。委托贷款和委托贷款资金并不属于本集团的资产和负债，故未在资产负债表内确认，但如果委托贷款资金大于委托贷款，有关剩余资金确认为吸收存款。委托贷款业务相关服务收入于手续费及佣金收入中确认。</w:t>
      </w: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委托理财业务是指本集团按照与客户事先约定的投资计划和方式，以客户支付的本金进行投资和资产管理，投资收益由本集团代为收取，根据约定条件和实际投资收益向客户支付收益的业务。本集团将理财产品销售给企业或个人，募集资金投资于国家债券、央行票据、政策性银行债券、企业短期融资</w:t>
      </w:r>
      <w:proofErr w:type="gramStart"/>
      <w:r>
        <w:rPr>
          <w:rFonts w:ascii="Arial" w:eastAsia="黑体" w:hAnsi="Arial" w:cs="Arial"/>
          <w:snapToGrid w:val="0"/>
          <w:szCs w:val="21"/>
        </w:rPr>
        <w:t>券</w:t>
      </w:r>
      <w:proofErr w:type="gramEnd"/>
      <w:r>
        <w:rPr>
          <w:rFonts w:ascii="Arial" w:eastAsia="黑体" w:hAnsi="Arial" w:cs="Arial"/>
          <w:snapToGrid w:val="0"/>
          <w:szCs w:val="21"/>
        </w:rPr>
        <w:t>等投资品种。与理财产品相关的投资风险由投资者承担，理财产品投资和募集的资金不属于本集团的资产和负债，故未在资产负债表内确认。委托理财业务相关服务收入于手续费及佣金收入中确认。</w:t>
      </w:r>
    </w:p>
    <w:p w:rsidR="00AD5BB5" w:rsidRDefault="00AD5BB5">
      <w:pPr>
        <w:overflowPunct w:val="0"/>
        <w:autoSpaceDE w:val="0"/>
        <w:autoSpaceDN w:val="0"/>
        <w:rPr>
          <w:rFonts w:ascii="Arial" w:eastAsia="黑体" w:hAnsi="Arial" w:cs="Arial"/>
          <w:snapToGrid w:val="0"/>
          <w:szCs w:val="21"/>
        </w:rPr>
      </w:pPr>
    </w:p>
    <w:p w:rsidR="00AD5BB5" w:rsidRDefault="00F87FF6">
      <w:pPr>
        <w:pStyle w:val="af5"/>
        <w:overflowPunct w:val="0"/>
        <w:autoSpaceDE w:val="0"/>
        <w:autoSpaceDN w:val="0"/>
        <w:adjustRightInd w:val="0"/>
        <w:snapToGrid w:val="0"/>
        <w:spacing w:before="0" w:after="0"/>
        <w:ind w:left="720" w:hanging="720"/>
        <w:jc w:val="both"/>
        <w:textAlignment w:val="bottom"/>
        <w:outlineLvl w:val="2"/>
        <w:rPr>
          <w:rFonts w:ascii="Arial" w:eastAsia="黑体" w:hAnsi="Arial" w:cs="Arial" w:hint="default"/>
          <w:bCs w:val="0"/>
          <w:snapToGrid w:val="0"/>
          <w:color w:val="auto"/>
          <w:sz w:val="21"/>
          <w:szCs w:val="21"/>
        </w:rPr>
      </w:pPr>
      <w:bookmarkStart w:id="564" w:name="afsaddin_Section_6a9c1f7aa19b459bb09fa17"/>
      <w:r>
        <w:rPr>
          <w:rFonts w:ascii="Arial" w:eastAsia="黑体" w:hAnsi="Arial" w:cs="Arial" w:hint="default"/>
          <w:bCs w:val="0"/>
          <w:snapToGrid w:val="0"/>
          <w:color w:val="auto"/>
          <w:sz w:val="21"/>
          <w:szCs w:val="21"/>
        </w:rPr>
        <w:t>7.</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金融资产的转让</w:t>
      </w:r>
    </w:p>
    <w:bookmarkEnd w:id="564"/>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在日常业务中，本集团进行的某些交易会将已确认的金融资产转让给第三方。这些金融资产转让若符合终止确认条件的，相关金融资产全部或部分终止确认。当本集团保留了已转让资产几乎所有的风险与回报时，相关金融资产转让不符合终止确认的条件，本集团继续在财务状况表中确认上述资产。</w:t>
      </w: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b/>
          <w:bCs/>
          <w:snapToGrid w:val="0"/>
          <w:szCs w:val="21"/>
        </w:rPr>
      </w:pPr>
      <w:r>
        <w:rPr>
          <w:rFonts w:ascii="Arial" w:eastAsia="黑体" w:hAnsi="Arial" w:cs="Arial"/>
          <w:b/>
          <w:bCs/>
          <w:snapToGrid w:val="0"/>
          <w:szCs w:val="21"/>
        </w:rPr>
        <w:t>卖出回购交易</w:t>
      </w:r>
    </w:p>
    <w:p w:rsidR="00AD5BB5" w:rsidRDefault="00AD5BB5">
      <w:pPr>
        <w:overflowPunct w:val="0"/>
        <w:autoSpaceDE w:val="0"/>
        <w:autoSpaceDN w:val="0"/>
        <w:rPr>
          <w:rFonts w:ascii="Arial" w:eastAsia="黑体" w:hAnsi="Arial" w:cs="Arial"/>
          <w:b/>
          <w:bCs/>
          <w:snapToGrid w:val="0"/>
          <w:szCs w:val="21"/>
        </w:rPr>
      </w:pPr>
    </w:p>
    <w:p w:rsidR="00AD5BB5" w:rsidRDefault="00F87FF6">
      <w:pPr>
        <w:overflowPunct w:val="0"/>
        <w:autoSpaceDE w:val="0"/>
        <w:autoSpaceDN w:val="0"/>
        <w:rPr>
          <w:rFonts w:ascii="Arial" w:eastAsia="黑体" w:hAnsi="Arial" w:cs="Arial"/>
          <w:snapToGrid w:val="0"/>
          <w:sz w:val="20"/>
        </w:rPr>
      </w:pPr>
      <w:r>
        <w:rPr>
          <w:rFonts w:ascii="Arial" w:eastAsia="黑体" w:hAnsi="Arial" w:cs="Arial"/>
          <w:snapToGrid w:val="0"/>
          <w:sz w:val="20"/>
        </w:rPr>
        <w:t>全部未终止确认的已转让金融资产主要为卖断式卖出回购交易中作为担保物交付给交易对手的证券，此种交易下交易对手在本集团无任何违约的情况下，可以将上述证券出售或再次用于担保，但同时需承担在协议规定的到期日将上述证券归还于本集团的义务。在某些情况下，</w:t>
      </w:r>
      <w:proofErr w:type="gramStart"/>
      <w:r>
        <w:rPr>
          <w:rFonts w:ascii="Arial" w:eastAsia="黑体" w:hAnsi="Arial" w:cs="Arial"/>
          <w:snapToGrid w:val="0"/>
          <w:sz w:val="20"/>
        </w:rPr>
        <w:t>若相关</w:t>
      </w:r>
      <w:proofErr w:type="gramEnd"/>
      <w:r>
        <w:rPr>
          <w:rFonts w:ascii="Arial" w:eastAsia="黑体" w:hAnsi="Arial" w:cs="Arial"/>
          <w:snapToGrid w:val="0"/>
          <w:sz w:val="20"/>
        </w:rPr>
        <w:t>证券价值上升或下降，本集团可能需要向交易对手归还部分现金抵押物或要求交易对手支付额外的现金作为抵押。对于上述交易，本集团认为本集团保留了相关证券几乎所有的风险和报酬，故未对相关证券进行终止确认。同时，本集团将收到的现金抵押品确认为一项金融负债。</w:t>
      </w:r>
    </w:p>
    <w:p w:rsidR="00AD5BB5" w:rsidRDefault="00AD5BB5">
      <w:pPr>
        <w:overflowPunct w:val="0"/>
        <w:autoSpaceDE w:val="0"/>
        <w:autoSpaceDN w:val="0"/>
        <w:rPr>
          <w:rFonts w:ascii="Arial" w:eastAsia="黑体" w:hAnsi="Arial" w:cs="Arial"/>
          <w:snapToGrid w:val="0"/>
          <w:sz w:val="20"/>
        </w:rPr>
      </w:pPr>
    </w:p>
    <w:p w:rsidR="00AD5BB5" w:rsidRDefault="00F87FF6">
      <w:pPr>
        <w:overflowPunct w:val="0"/>
        <w:autoSpaceDE w:val="0"/>
        <w:autoSpaceDN w:val="0"/>
        <w:rPr>
          <w:rFonts w:ascii="Arial" w:eastAsia="黑体" w:hAnsi="Arial" w:cs="Arial"/>
          <w:snapToGrid w:val="0"/>
          <w:sz w:val="20"/>
        </w:rPr>
      </w:pPr>
      <w:r>
        <w:rPr>
          <w:rFonts w:ascii="Arial" w:eastAsia="黑体" w:hAnsi="Arial" w:cs="Arial"/>
          <w:snapToGrid w:val="0"/>
          <w:sz w:val="20"/>
        </w:rPr>
        <w:t>于</w:t>
      </w:r>
      <w:r>
        <w:rPr>
          <w:rFonts w:ascii="Arial" w:eastAsia="黑体" w:hAnsi="Arial" w:cs="Arial"/>
          <w:snapToGrid w:val="0"/>
          <w:sz w:val="20"/>
        </w:rPr>
        <w:fldChar w:fldCharType="begin"/>
      </w:r>
      <w:r>
        <w:rPr>
          <w:rFonts w:ascii="Arial" w:eastAsia="黑体" w:hAnsi="Arial" w:cs="Arial"/>
          <w:snapToGrid w:val="0"/>
          <w:sz w:val="20"/>
        </w:rPr>
        <w:instrText xml:space="preserve"> DOCPROPERTY </w:instrText>
      </w:r>
      <w:r>
        <w:rPr>
          <w:rFonts w:ascii="Arial" w:eastAsia="黑体" w:hAnsi="Arial" w:cs="Arial"/>
          <w:snapToGrid w:val="0"/>
          <w:sz w:val="20"/>
        </w:rPr>
        <w:instrText>当期资产负债表日</w:instrText>
      </w:r>
      <w:r>
        <w:rPr>
          <w:rFonts w:ascii="Arial" w:eastAsia="黑体" w:hAnsi="Arial" w:cs="Arial"/>
          <w:snapToGrid w:val="0"/>
          <w:sz w:val="20"/>
        </w:rPr>
        <w:instrText xml:space="preserve"> </w:instrText>
      </w:r>
      <w:r>
        <w:rPr>
          <w:rFonts w:ascii="Arial" w:eastAsia="黑体" w:hAnsi="Arial" w:cs="Arial"/>
          <w:snapToGrid w:val="0"/>
          <w:sz w:val="20"/>
        </w:rPr>
        <w:fldChar w:fldCharType="separate"/>
      </w:r>
      <w:r>
        <w:rPr>
          <w:rFonts w:ascii="Arial" w:eastAsia="黑体" w:hAnsi="Arial" w:cs="Arial"/>
          <w:snapToGrid w:val="0"/>
          <w:sz w:val="20"/>
        </w:rPr>
        <w:t>2023</w:t>
      </w:r>
      <w:r>
        <w:rPr>
          <w:rFonts w:ascii="Arial" w:eastAsia="黑体" w:hAnsi="Arial" w:cs="Arial"/>
          <w:snapToGrid w:val="0"/>
          <w:sz w:val="20"/>
        </w:rPr>
        <w:t>年</w:t>
      </w:r>
      <w:r>
        <w:rPr>
          <w:rFonts w:ascii="Arial" w:eastAsia="黑体" w:hAnsi="Arial" w:cs="Arial"/>
          <w:snapToGrid w:val="0"/>
          <w:sz w:val="20"/>
        </w:rPr>
        <w:t>6</w:t>
      </w:r>
      <w:r>
        <w:rPr>
          <w:rFonts w:ascii="Arial" w:eastAsia="黑体" w:hAnsi="Arial" w:cs="Arial"/>
          <w:snapToGrid w:val="0"/>
          <w:sz w:val="20"/>
        </w:rPr>
        <w:t>月</w:t>
      </w:r>
      <w:r>
        <w:rPr>
          <w:rFonts w:ascii="Arial" w:eastAsia="黑体" w:hAnsi="Arial" w:cs="Arial"/>
          <w:snapToGrid w:val="0"/>
          <w:sz w:val="20"/>
        </w:rPr>
        <w:t>30</w:t>
      </w:r>
      <w:r>
        <w:rPr>
          <w:rFonts w:ascii="Arial" w:eastAsia="黑体" w:hAnsi="Arial" w:cs="Arial"/>
          <w:snapToGrid w:val="0"/>
          <w:sz w:val="20"/>
        </w:rPr>
        <w:t>日</w:t>
      </w:r>
      <w:r>
        <w:rPr>
          <w:rFonts w:ascii="Arial" w:eastAsia="黑体" w:hAnsi="Arial" w:cs="Arial"/>
          <w:snapToGrid w:val="0"/>
          <w:sz w:val="20"/>
        </w:rPr>
        <w:fldChar w:fldCharType="end"/>
      </w:r>
      <w:r>
        <w:rPr>
          <w:rFonts w:ascii="Arial" w:eastAsia="黑体" w:hAnsi="Arial" w:cs="Arial"/>
          <w:snapToGrid w:val="0"/>
          <w:sz w:val="20"/>
        </w:rPr>
        <w:t>，本集团无已转让给第三方而不符合终止确认条件的金融资产及相关金融负债（</w:t>
      </w:r>
      <w:r>
        <w:rPr>
          <w:rFonts w:ascii="Arial" w:eastAsia="黑体" w:hAnsi="Arial" w:cs="Arial"/>
          <w:snapToGrid w:val="0"/>
          <w:sz w:val="20"/>
        </w:rPr>
        <w:fldChar w:fldCharType="begin"/>
      </w:r>
      <w:r>
        <w:rPr>
          <w:rFonts w:ascii="Arial" w:eastAsia="黑体" w:hAnsi="Arial" w:cs="Arial"/>
          <w:snapToGrid w:val="0"/>
          <w:sz w:val="20"/>
        </w:rPr>
        <w:instrText xml:space="preserve"> DOCPROPERTY </w:instrText>
      </w:r>
      <w:r>
        <w:rPr>
          <w:rFonts w:ascii="Arial" w:eastAsia="黑体" w:hAnsi="Arial" w:cs="Arial"/>
          <w:snapToGrid w:val="0"/>
          <w:sz w:val="20"/>
        </w:rPr>
        <w:instrText>上期资产负债表日</w:instrText>
      </w:r>
      <w:r>
        <w:rPr>
          <w:rFonts w:ascii="Arial" w:eastAsia="黑体" w:hAnsi="Arial" w:cs="Arial"/>
          <w:snapToGrid w:val="0"/>
          <w:sz w:val="20"/>
        </w:rPr>
        <w:instrText xml:space="preserve"> </w:instrText>
      </w:r>
      <w:r>
        <w:rPr>
          <w:rFonts w:ascii="Arial" w:eastAsia="黑体" w:hAnsi="Arial" w:cs="Arial"/>
          <w:snapToGrid w:val="0"/>
          <w:sz w:val="20"/>
        </w:rPr>
        <w:fldChar w:fldCharType="separate"/>
      </w:r>
      <w:r>
        <w:rPr>
          <w:rFonts w:ascii="Arial" w:eastAsia="黑体" w:hAnsi="Arial" w:cs="Arial"/>
          <w:snapToGrid w:val="0"/>
          <w:sz w:val="20"/>
        </w:rPr>
        <w:t>2022</w:t>
      </w:r>
      <w:r>
        <w:rPr>
          <w:rFonts w:ascii="Arial" w:eastAsia="黑体" w:hAnsi="Arial" w:cs="Arial"/>
          <w:snapToGrid w:val="0"/>
          <w:sz w:val="20"/>
        </w:rPr>
        <w:t>年</w:t>
      </w:r>
      <w:r>
        <w:rPr>
          <w:rFonts w:ascii="Arial" w:eastAsia="黑体" w:hAnsi="Arial" w:cs="Arial"/>
          <w:snapToGrid w:val="0"/>
          <w:sz w:val="20"/>
        </w:rPr>
        <w:t>12</w:t>
      </w:r>
      <w:r>
        <w:rPr>
          <w:rFonts w:ascii="Arial" w:eastAsia="黑体" w:hAnsi="Arial" w:cs="Arial"/>
          <w:snapToGrid w:val="0"/>
          <w:sz w:val="20"/>
        </w:rPr>
        <w:t>月</w:t>
      </w:r>
      <w:r>
        <w:rPr>
          <w:rFonts w:ascii="Arial" w:eastAsia="黑体" w:hAnsi="Arial" w:cs="Arial"/>
          <w:snapToGrid w:val="0"/>
          <w:sz w:val="20"/>
        </w:rPr>
        <w:t>31</w:t>
      </w:r>
      <w:r>
        <w:rPr>
          <w:rFonts w:ascii="Arial" w:eastAsia="黑体" w:hAnsi="Arial" w:cs="Arial"/>
          <w:snapToGrid w:val="0"/>
          <w:sz w:val="20"/>
        </w:rPr>
        <w:t>日</w:t>
      </w:r>
      <w:r>
        <w:rPr>
          <w:rFonts w:ascii="Arial" w:eastAsia="黑体" w:hAnsi="Arial" w:cs="Arial"/>
          <w:snapToGrid w:val="0"/>
          <w:sz w:val="20"/>
        </w:rPr>
        <w:fldChar w:fldCharType="end"/>
      </w:r>
      <w:r>
        <w:rPr>
          <w:rFonts w:ascii="Arial" w:eastAsia="黑体" w:hAnsi="Arial" w:cs="Arial"/>
          <w:snapToGrid w:val="0"/>
          <w:sz w:val="20"/>
        </w:rPr>
        <w:t>：无）。</w:t>
      </w:r>
    </w:p>
    <w:p w:rsidR="00AD5BB5" w:rsidRDefault="00AD5BB5">
      <w:pPr>
        <w:overflowPunct w:val="0"/>
        <w:autoSpaceDE w:val="0"/>
        <w:autoSpaceDN w:val="0"/>
        <w:rPr>
          <w:rFonts w:ascii="Arial" w:eastAsia="黑体" w:hAnsi="Arial" w:cs="Arial"/>
          <w:b/>
          <w:bCs/>
          <w:snapToGrid w:val="0"/>
          <w:szCs w:val="21"/>
        </w:rPr>
      </w:pPr>
    </w:p>
    <w:p w:rsidR="00AD5BB5" w:rsidRDefault="00F87FF6">
      <w:pPr>
        <w:pStyle w:val="a3"/>
        <w:numPr>
          <w:ilvl w:val="0"/>
          <w:numId w:val="0"/>
        </w:numPr>
        <w:ind w:left="720" w:hanging="720"/>
        <w:rPr>
          <w:sz w:val="20"/>
          <w:szCs w:val="20"/>
        </w:rPr>
      </w:pPr>
      <w:r>
        <w:rPr>
          <w:sz w:val="20"/>
          <w:szCs w:val="20"/>
        </w:rPr>
        <w:t>十一、资产负债表日后事项</w:t>
      </w:r>
    </w:p>
    <w:p w:rsidR="00AD5BB5" w:rsidRDefault="00AD5BB5">
      <w:pPr>
        <w:overflowPunct w:val="0"/>
        <w:autoSpaceDE w:val="0"/>
        <w:autoSpaceDN w:val="0"/>
        <w:rPr>
          <w:rFonts w:ascii="Arial" w:eastAsia="黑体" w:hAnsi="Arial" w:cs="Arial"/>
          <w:snapToGrid w:val="0"/>
          <w:sz w:val="20"/>
        </w:rPr>
      </w:pPr>
    </w:p>
    <w:p w:rsidR="00AD5BB5" w:rsidRDefault="00F87FF6">
      <w:pPr>
        <w:autoSpaceDE w:val="0"/>
        <w:autoSpaceDN w:val="0"/>
        <w:rPr>
          <w:rFonts w:ascii="Arial" w:eastAsia="黑体" w:hAnsi="Arial" w:cs="Arial"/>
          <w:snapToGrid w:val="0"/>
          <w:sz w:val="20"/>
        </w:rPr>
      </w:pPr>
      <w:r>
        <w:rPr>
          <w:rFonts w:ascii="Arial" w:eastAsia="黑体" w:hAnsi="Arial" w:cs="Arial"/>
          <w:snapToGrid w:val="0"/>
          <w:sz w:val="20"/>
        </w:rPr>
        <w:t>1</w:t>
      </w:r>
      <w:r>
        <w:rPr>
          <w:rFonts w:ascii="Arial" w:eastAsia="黑体" w:hAnsi="Arial" w:cs="Arial"/>
          <w:snapToGrid w:val="0"/>
          <w:sz w:val="20"/>
        </w:rPr>
        <w:t>、发行无固定期限资本债券</w:t>
      </w:r>
    </w:p>
    <w:p w:rsidR="00AD5BB5" w:rsidRDefault="00F87FF6">
      <w:pPr>
        <w:autoSpaceDE w:val="0"/>
        <w:autoSpaceDN w:val="0"/>
        <w:rPr>
          <w:rFonts w:ascii="Arial" w:eastAsia="黑体" w:hAnsi="Arial" w:cs="Arial"/>
          <w:snapToGrid w:val="0"/>
          <w:sz w:val="20"/>
        </w:rPr>
      </w:pPr>
      <w:r>
        <w:rPr>
          <w:rFonts w:ascii="Arial" w:eastAsia="黑体" w:hAnsi="Arial" w:cs="Arial"/>
          <w:snapToGrid w:val="0"/>
          <w:sz w:val="20"/>
        </w:rPr>
        <w:t>经中国银行保险监督管理委员会厦门监管局和中国人民银行批准，本集团于</w:t>
      </w:r>
      <w:r>
        <w:rPr>
          <w:rFonts w:ascii="Arial" w:eastAsia="黑体" w:hAnsi="Arial" w:cs="Arial"/>
          <w:snapToGrid w:val="0"/>
          <w:sz w:val="20"/>
        </w:rPr>
        <w:t>2023</w:t>
      </w:r>
      <w:r>
        <w:rPr>
          <w:rFonts w:ascii="Arial" w:eastAsia="黑体" w:hAnsi="Arial" w:cs="Arial"/>
          <w:snapToGrid w:val="0"/>
          <w:sz w:val="20"/>
        </w:rPr>
        <w:t>年</w:t>
      </w:r>
      <w:r>
        <w:rPr>
          <w:rFonts w:ascii="Arial" w:eastAsia="黑体" w:hAnsi="Arial" w:cs="Arial"/>
          <w:snapToGrid w:val="0"/>
          <w:sz w:val="20"/>
        </w:rPr>
        <w:t>7</w:t>
      </w:r>
      <w:r>
        <w:rPr>
          <w:rFonts w:ascii="Arial" w:eastAsia="黑体" w:hAnsi="Arial" w:cs="Arial"/>
          <w:snapToGrid w:val="0"/>
          <w:sz w:val="20"/>
        </w:rPr>
        <w:t>月</w:t>
      </w:r>
      <w:r>
        <w:rPr>
          <w:rFonts w:ascii="Arial" w:eastAsia="黑体" w:hAnsi="Arial" w:cs="Arial"/>
          <w:snapToGrid w:val="0"/>
          <w:sz w:val="20"/>
        </w:rPr>
        <w:t>13</w:t>
      </w:r>
      <w:r>
        <w:rPr>
          <w:rFonts w:ascii="Arial" w:eastAsia="黑体" w:hAnsi="Arial" w:cs="Arial"/>
          <w:snapToGrid w:val="0"/>
          <w:sz w:val="20"/>
        </w:rPr>
        <w:t>日完成发行厦门银行股份有限公司</w:t>
      </w:r>
      <w:r>
        <w:rPr>
          <w:rFonts w:ascii="Arial" w:eastAsia="黑体" w:hAnsi="Arial" w:cs="Arial"/>
          <w:snapToGrid w:val="0"/>
          <w:sz w:val="20"/>
        </w:rPr>
        <w:t>2023</w:t>
      </w:r>
      <w:r>
        <w:rPr>
          <w:rFonts w:ascii="Arial" w:eastAsia="黑体" w:hAnsi="Arial" w:cs="Arial"/>
          <w:snapToGrid w:val="0"/>
          <w:sz w:val="20"/>
        </w:rPr>
        <w:t>年无固定期限资本债券（第一期）。此次债券发行规模为人民币</w:t>
      </w:r>
      <w:r>
        <w:rPr>
          <w:rFonts w:ascii="Arial" w:eastAsia="黑体" w:hAnsi="Arial" w:cs="Arial"/>
          <w:snapToGrid w:val="0"/>
          <w:sz w:val="20"/>
        </w:rPr>
        <w:t>35</w:t>
      </w:r>
      <w:r>
        <w:rPr>
          <w:rFonts w:ascii="Arial" w:eastAsia="黑体" w:hAnsi="Arial" w:cs="Arial"/>
          <w:snapToGrid w:val="0"/>
          <w:sz w:val="20"/>
        </w:rPr>
        <w:t>亿元，前</w:t>
      </w:r>
      <w:r>
        <w:rPr>
          <w:rFonts w:ascii="Arial" w:eastAsia="黑体" w:hAnsi="Arial" w:cs="Arial"/>
          <w:snapToGrid w:val="0"/>
          <w:sz w:val="20"/>
        </w:rPr>
        <w:t>5</w:t>
      </w:r>
      <w:r>
        <w:rPr>
          <w:rFonts w:ascii="Arial" w:eastAsia="黑体" w:hAnsi="Arial" w:cs="Arial"/>
          <w:snapToGrid w:val="0"/>
          <w:sz w:val="20"/>
        </w:rPr>
        <w:t>年票面利率为</w:t>
      </w:r>
      <w:r>
        <w:rPr>
          <w:rFonts w:ascii="Arial" w:eastAsia="黑体" w:hAnsi="Arial" w:cs="Arial"/>
          <w:snapToGrid w:val="0"/>
          <w:sz w:val="20"/>
        </w:rPr>
        <w:t>3.95%</w:t>
      </w:r>
      <w:r>
        <w:rPr>
          <w:rFonts w:ascii="Arial" w:eastAsia="黑体" w:hAnsi="Arial" w:cs="Arial"/>
          <w:snapToGrid w:val="0"/>
          <w:sz w:val="20"/>
        </w:rPr>
        <w:t>，每</w:t>
      </w:r>
      <w:r>
        <w:rPr>
          <w:rFonts w:ascii="Arial" w:eastAsia="黑体" w:hAnsi="Arial" w:cs="Arial"/>
          <w:snapToGrid w:val="0"/>
          <w:sz w:val="20"/>
        </w:rPr>
        <w:t>5</w:t>
      </w:r>
      <w:r>
        <w:rPr>
          <w:rFonts w:ascii="Arial" w:eastAsia="黑体" w:hAnsi="Arial" w:cs="Arial"/>
          <w:snapToGrid w:val="0"/>
          <w:sz w:val="20"/>
        </w:rPr>
        <w:t>年调整一次，在第</w:t>
      </w:r>
      <w:r>
        <w:rPr>
          <w:rFonts w:ascii="Arial" w:eastAsia="黑体" w:hAnsi="Arial" w:cs="Arial"/>
          <w:snapToGrid w:val="0"/>
          <w:sz w:val="20"/>
        </w:rPr>
        <w:t>5</w:t>
      </w:r>
      <w:r>
        <w:rPr>
          <w:rFonts w:ascii="Arial" w:eastAsia="黑体" w:hAnsi="Arial" w:cs="Arial"/>
          <w:snapToGrid w:val="0"/>
          <w:sz w:val="20"/>
        </w:rPr>
        <w:t>年及之后的每个</w:t>
      </w:r>
      <w:proofErr w:type="gramStart"/>
      <w:r>
        <w:rPr>
          <w:rFonts w:ascii="Arial" w:eastAsia="黑体" w:hAnsi="Arial" w:cs="Arial"/>
          <w:snapToGrid w:val="0"/>
          <w:sz w:val="20"/>
        </w:rPr>
        <w:t>付息日附发行人</w:t>
      </w:r>
      <w:proofErr w:type="gramEnd"/>
      <w:r>
        <w:rPr>
          <w:rFonts w:ascii="Arial" w:eastAsia="黑体" w:hAnsi="Arial" w:cs="Arial"/>
          <w:snapToGrid w:val="0"/>
          <w:sz w:val="20"/>
        </w:rPr>
        <w:t>有条件赎回权。</w:t>
      </w:r>
    </w:p>
    <w:p w:rsidR="00AD5BB5" w:rsidRDefault="00F87FF6">
      <w:pPr>
        <w:overflowPunct w:val="0"/>
        <w:autoSpaceDE w:val="0"/>
        <w:autoSpaceDN w:val="0"/>
        <w:rPr>
          <w:rFonts w:ascii="Arial" w:eastAsia="黑体" w:hAnsi="Arial" w:cs="Arial"/>
          <w:b/>
          <w:bCs/>
          <w:snapToGrid w:val="0"/>
          <w:szCs w:val="21"/>
        </w:rPr>
      </w:pPr>
      <w:r>
        <w:rPr>
          <w:rFonts w:ascii="Arial" w:eastAsia="黑体" w:hAnsi="Arial" w:cs="Arial"/>
          <w:snapToGrid w:val="0"/>
        </w:rPr>
        <w:br w:type="page"/>
      </w:r>
    </w:p>
    <w:p w:rsidR="00AD5BB5" w:rsidRDefault="00AD5BB5">
      <w:pPr>
        <w:overflowPunct w:val="0"/>
        <w:autoSpaceDE w:val="0"/>
        <w:autoSpaceDN w:val="0"/>
        <w:rPr>
          <w:rFonts w:ascii="Arial" w:eastAsia="黑体" w:hAnsi="Arial" w:cs="Arial"/>
          <w:snapToGrid w:val="0"/>
        </w:rPr>
      </w:pPr>
    </w:p>
    <w:p w:rsidR="00AD5BB5" w:rsidRDefault="00AD5BB5">
      <w:pPr>
        <w:overflowPunct w:val="0"/>
        <w:autoSpaceDE w:val="0"/>
        <w:autoSpaceDN w:val="0"/>
        <w:rPr>
          <w:rFonts w:ascii="Arial" w:eastAsia="黑体" w:hAnsi="Arial" w:cs="Arial"/>
          <w:snapToGrid w:val="0"/>
        </w:rPr>
      </w:pPr>
    </w:p>
    <w:p w:rsidR="00AD5BB5" w:rsidRDefault="00F87FF6">
      <w:pPr>
        <w:pStyle w:val="a3"/>
        <w:numPr>
          <w:ilvl w:val="0"/>
          <w:numId w:val="0"/>
        </w:numPr>
        <w:ind w:left="720" w:hanging="720"/>
        <w:rPr>
          <w:sz w:val="20"/>
          <w:szCs w:val="20"/>
        </w:rPr>
      </w:pPr>
      <w:bookmarkStart w:id="565" w:name="afsaddin_Section_7b113e04007443c2b10295b"/>
      <w:r>
        <w:rPr>
          <w:sz w:val="20"/>
          <w:szCs w:val="20"/>
        </w:rPr>
        <w:t>十一、资产负债表日后事项</w:t>
      </w:r>
      <w:r>
        <w:rPr>
          <w:rFonts w:hint="eastAsia"/>
          <w:sz w:val="20"/>
          <w:szCs w:val="20"/>
        </w:rPr>
        <w:t>（续）</w:t>
      </w:r>
    </w:p>
    <w:bookmarkEnd w:id="565"/>
    <w:p w:rsidR="00AD5BB5" w:rsidRDefault="00AD5BB5">
      <w:pPr>
        <w:overflowPunct w:val="0"/>
        <w:autoSpaceDE w:val="0"/>
        <w:autoSpaceDN w:val="0"/>
        <w:rPr>
          <w:rFonts w:ascii="Arial" w:eastAsia="黑体" w:hAnsi="Arial" w:cs="Arial"/>
          <w:snapToGrid w:val="0"/>
          <w:sz w:val="20"/>
        </w:rPr>
      </w:pPr>
    </w:p>
    <w:p w:rsidR="00AD5BB5" w:rsidRDefault="00F87FF6">
      <w:pPr>
        <w:autoSpaceDE w:val="0"/>
        <w:autoSpaceDN w:val="0"/>
        <w:rPr>
          <w:rFonts w:ascii="Arial" w:eastAsia="黑体" w:hAnsi="Arial" w:cs="Arial"/>
          <w:snapToGrid w:val="0"/>
          <w:sz w:val="20"/>
        </w:rPr>
      </w:pPr>
      <w:r>
        <w:rPr>
          <w:rFonts w:ascii="Arial" w:eastAsia="黑体" w:hAnsi="Arial" w:cs="Arial"/>
          <w:snapToGrid w:val="0"/>
          <w:sz w:val="20"/>
        </w:rPr>
        <w:t>2</w:t>
      </w:r>
      <w:r>
        <w:rPr>
          <w:rFonts w:ascii="Arial" w:eastAsia="黑体" w:hAnsi="Arial" w:cs="Arial"/>
          <w:snapToGrid w:val="0"/>
          <w:sz w:val="20"/>
        </w:rPr>
        <w:t>、发行小型微型企业贷款专项金融债券</w:t>
      </w:r>
    </w:p>
    <w:p w:rsidR="00AD5BB5" w:rsidRDefault="00F87FF6">
      <w:pPr>
        <w:autoSpaceDE w:val="0"/>
        <w:autoSpaceDN w:val="0"/>
        <w:rPr>
          <w:rFonts w:ascii="Arial" w:eastAsia="黑体" w:hAnsi="Arial" w:cs="Arial"/>
          <w:snapToGrid w:val="0"/>
          <w:sz w:val="20"/>
        </w:rPr>
      </w:pPr>
      <w:r>
        <w:rPr>
          <w:rFonts w:ascii="Arial" w:eastAsia="黑体" w:hAnsi="Arial" w:cs="Arial"/>
          <w:snapToGrid w:val="0"/>
          <w:sz w:val="20"/>
        </w:rPr>
        <w:t>经中国人民银行批准，本集团于</w:t>
      </w:r>
      <w:r>
        <w:rPr>
          <w:rFonts w:ascii="Arial" w:eastAsia="黑体" w:hAnsi="Arial" w:cs="Arial"/>
          <w:snapToGrid w:val="0"/>
          <w:sz w:val="20"/>
        </w:rPr>
        <w:t>2023</w:t>
      </w:r>
      <w:r>
        <w:rPr>
          <w:rFonts w:ascii="Arial" w:eastAsia="黑体" w:hAnsi="Arial" w:cs="Arial"/>
          <w:snapToGrid w:val="0"/>
          <w:sz w:val="20"/>
        </w:rPr>
        <w:t>年</w:t>
      </w:r>
      <w:r>
        <w:rPr>
          <w:rFonts w:ascii="Arial" w:eastAsia="黑体" w:hAnsi="Arial" w:cs="Arial"/>
          <w:snapToGrid w:val="0"/>
          <w:sz w:val="20"/>
        </w:rPr>
        <w:t>7</w:t>
      </w:r>
      <w:r>
        <w:rPr>
          <w:rFonts w:ascii="Arial" w:eastAsia="黑体" w:hAnsi="Arial" w:cs="Arial"/>
          <w:snapToGrid w:val="0"/>
          <w:sz w:val="20"/>
        </w:rPr>
        <w:t>月</w:t>
      </w:r>
      <w:r>
        <w:rPr>
          <w:rFonts w:ascii="Arial" w:eastAsia="黑体" w:hAnsi="Arial" w:cs="Arial"/>
          <w:snapToGrid w:val="0"/>
          <w:sz w:val="20"/>
        </w:rPr>
        <w:t>27</w:t>
      </w:r>
      <w:r>
        <w:rPr>
          <w:rFonts w:ascii="Arial" w:eastAsia="黑体" w:hAnsi="Arial" w:cs="Arial"/>
          <w:snapToGrid w:val="0"/>
          <w:sz w:val="20"/>
        </w:rPr>
        <w:t>日完成发行厦门银行股份有限公司</w:t>
      </w:r>
      <w:r>
        <w:rPr>
          <w:rFonts w:ascii="Arial" w:eastAsia="黑体" w:hAnsi="Arial" w:cs="Arial"/>
          <w:snapToGrid w:val="0"/>
          <w:sz w:val="20"/>
        </w:rPr>
        <w:t>2023</w:t>
      </w:r>
      <w:r>
        <w:rPr>
          <w:rFonts w:ascii="Arial" w:eastAsia="黑体" w:hAnsi="Arial" w:cs="Arial"/>
          <w:snapToGrid w:val="0"/>
          <w:sz w:val="20"/>
        </w:rPr>
        <w:t>年第一期小型微型企业贷款专项金融债券。此次债券发行规模为人民币</w:t>
      </w:r>
      <w:r>
        <w:rPr>
          <w:rFonts w:ascii="Arial" w:eastAsia="黑体" w:hAnsi="Arial" w:cs="Arial"/>
          <w:snapToGrid w:val="0"/>
          <w:sz w:val="20"/>
        </w:rPr>
        <w:t>50</w:t>
      </w:r>
      <w:r>
        <w:rPr>
          <w:rFonts w:ascii="Arial" w:eastAsia="黑体" w:hAnsi="Arial" w:cs="Arial"/>
          <w:snapToGrid w:val="0"/>
          <w:sz w:val="20"/>
        </w:rPr>
        <w:t>亿元，品种为</w:t>
      </w:r>
      <w:r>
        <w:rPr>
          <w:rFonts w:ascii="Arial" w:eastAsia="黑体" w:hAnsi="Arial" w:cs="Arial"/>
          <w:snapToGrid w:val="0"/>
          <w:sz w:val="20"/>
        </w:rPr>
        <w:t>3</w:t>
      </w:r>
      <w:r>
        <w:rPr>
          <w:rFonts w:ascii="Arial" w:eastAsia="黑体" w:hAnsi="Arial" w:cs="Arial"/>
          <w:snapToGrid w:val="0"/>
          <w:sz w:val="20"/>
        </w:rPr>
        <w:t>年期固定利率债券，票面利率为</w:t>
      </w:r>
      <w:r>
        <w:rPr>
          <w:rFonts w:ascii="Arial" w:eastAsia="黑体" w:hAnsi="Arial" w:cs="Arial"/>
          <w:snapToGrid w:val="0"/>
          <w:sz w:val="20"/>
        </w:rPr>
        <w:t>2.80%</w:t>
      </w:r>
      <w:r>
        <w:rPr>
          <w:rFonts w:ascii="Arial" w:eastAsia="黑体" w:hAnsi="Arial" w:cs="Arial"/>
          <w:snapToGrid w:val="0"/>
          <w:sz w:val="20"/>
        </w:rPr>
        <w:t>。</w:t>
      </w:r>
    </w:p>
    <w:p w:rsidR="00AD5BB5" w:rsidRDefault="00AD5BB5">
      <w:pPr>
        <w:autoSpaceDE w:val="0"/>
        <w:autoSpaceDN w:val="0"/>
        <w:rPr>
          <w:rFonts w:ascii="Arial" w:eastAsia="黑体" w:hAnsi="Arial" w:cs="Arial"/>
          <w:snapToGrid w:val="0"/>
          <w:sz w:val="20"/>
        </w:rPr>
      </w:pPr>
    </w:p>
    <w:p w:rsidR="00AD5BB5" w:rsidRDefault="00AD5BB5">
      <w:pPr>
        <w:autoSpaceDE w:val="0"/>
        <w:autoSpaceDN w:val="0"/>
        <w:rPr>
          <w:rFonts w:ascii="Arial" w:eastAsia="黑体" w:hAnsi="Arial" w:cs="Arial"/>
          <w:snapToGrid w:val="0"/>
          <w:sz w:val="20"/>
        </w:rPr>
      </w:pPr>
    </w:p>
    <w:p w:rsidR="00AD5BB5" w:rsidRDefault="00F87FF6">
      <w:pPr>
        <w:pStyle w:val="a3"/>
        <w:numPr>
          <w:ilvl w:val="0"/>
          <w:numId w:val="0"/>
        </w:numPr>
        <w:ind w:left="720" w:hanging="720"/>
        <w:rPr>
          <w:b w:val="0"/>
          <w:sz w:val="20"/>
          <w:szCs w:val="20"/>
        </w:rPr>
      </w:pPr>
      <w:bookmarkStart w:id="566" w:name="afsaddin_Section_377d5d8633ed4616b816289"/>
      <w:r>
        <w:rPr>
          <w:sz w:val="20"/>
          <w:szCs w:val="20"/>
        </w:rPr>
        <w:t>十二、比较数字</w:t>
      </w:r>
      <w:r>
        <w:rPr>
          <w:sz w:val="20"/>
          <w:szCs w:val="20"/>
        </w:rPr>
        <w:t xml:space="preserve"> </w:t>
      </w:r>
    </w:p>
    <w:bookmarkEnd w:id="566"/>
    <w:p w:rsidR="00AD5BB5" w:rsidRDefault="00AD5BB5">
      <w:pPr>
        <w:autoSpaceDE w:val="0"/>
        <w:autoSpaceDN w:val="0"/>
        <w:rPr>
          <w:rFonts w:ascii="Arial" w:eastAsia="黑体" w:hAnsi="Arial" w:cs="Arial"/>
          <w:snapToGrid w:val="0"/>
          <w:sz w:val="20"/>
        </w:rPr>
      </w:pPr>
    </w:p>
    <w:p w:rsidR="00AD5BB5" w:rsidRDefault="00F87FF6">
      <w:pPr>
        <w:autoSpaceDE w:val="0"/>
        <w:autoSpaceDN w:val="0"/>
        <w:rPr>
          <w:rFonts w:ascii="Arial" w:eastAsia="黑体" w:hAnsi="Arial" w:cs="Arial"/>
          <w:snapToGrid w:val="0"/>
          <w:sz w:val="20"/>
        </w:rPr>
      </w:pPr>
      <w:r>
        <w:rPr>
          <w:rFonts w:ascii="Arial" w:eastAsia="黑体" w:hAnsi="Arial" w:cs="Arial"/>
          <w:snapToGrid w:val="0"/>
          <w:sz w:val="20"/>
        </w:rPr>
        <w:t>为符合本财务报表的列报方式，本集团对上期比较数据中的黄金租赁业务等个别比较数字的列示进行了调整。</w:t>
      </w:r>
    </w:p>
    <w:p w:rsidR="00AD5BB5" w:rsidRDefault="00AD5BB5">
      <w:pPr>
        <w:overflowPunct w:val="0"/>
        <w:autoSpaceDE w:val="0"/>
        <w:autoSpaceDN w:val="0"/>
        <w:adjustRightInd w:val="0"/>
        <w:snapToGrid w:val="0"/>
        <w:textAlignment w:val="bottom"/>
        <w:rPr>
          <w:rFonts w:ascii="Arial" w:eastAsia="黑体" w:hAnsi="Arial" w:cs="Arial"/>
          <w:snapToGrid w:val="0"/>
          <w:sz w:val="20"/>
        </w:rPr>
      </w:pPr>
    </w:p>
    <w:p w:rsidR="00AD5BB5" w:rsidRDefault="00AD5BB5">
      <w:pPr>
        <w:overflowPunct w:val="0"/>
        <w:autoSpaceDE w:val="0"/>
        <w:autoSpaceDN w:val="0"/>
        <w:adjustRightInd w:val="0"/>
        <w:snapToGrid w:val="0"/>
        <w:textAlignment w:val="bottom"/>
        <w:rPr>
          <w:rFonts w:ascii="Arial" w:eastAsia="黑体" w:hAnsi="Arial" w:cs="Arial"/>
          <w:snapToGrid w:val="0"/>
          <w:sz w:val="20"/>
        </w:rPr>
      </w:pPr>
    </w:p>
    <w:p w:rsidR="00AD5BB5" w:rsidRDefault="00F87FF6">
      <w:pPr>
        <w:pStyle w:val="a3"/>
        <w:numPr>
          <w:ilvl w:val="0"/>
          <w:numId w:val="0"/>
        </w:numPr>
        <w:ind w:left="720" w:hanging="720"/>
        <w:rPr>
          <w:sz w:val="20"/>
          <w:szCs w:val="20"/>
        </w:rPr>
      </w:pPr>
      <w:bookmarkStart w:id="567" w:name="afsaddin_Section_559e62d8ca684be089e7a1a"/>
      <w:r>
        <w:rPr>
          <w:sz w:val="20"/>
          <w:szCs w:val="20"/>
        </w:rPr>
        <w:t>十三、其他重要事项</w:t>
      </w:r>
    </w:p>
    <w:bookmarkEnd w:id="567"/>
    <w:p w:rsidR="00AD5BB5" w:rsidRDefault="00AD5BB5">
      <w:pPr>
        <w:overflowPunct w:val="0"/>
        <w:autoSpaceDE w:val="0"/>
        <w:autoSpaceDN w:val="0"/>
        <w:adjustRightInd w:val="0"/>
        <w:snapToGrid w:val="0"/>
        <w:textAlignment w:val="bottom"/>
        <w:rPr>
          <w:rFonts w:ascii="Arial" w:eastAsia="黑体" w:hAnsi="Arial" w:cs="Arial"/>
          <w:snapToGrid w:val="0"/>
          <w:sz w:val="20"/>
        </w:rPr>
      </w:pPr>
    </w:p>
    <w:p w:rsidR="00AD5BB5" w:rsidRDefault="00F87FF6">
      <w:pPr>
        <w:pStyle w:val="af5"/>
        <w:overflowPunct w:val="0"/>
        <w:autoSpaceDE w:val="0"/>
        <w:autoSpaceDN w:val="0"/>
        <w:adjustRightInd w:val="0"/>
        <w:snapToGrid w:val="0"/>
        <w:spacing w:before="0" w:after="0"/>
        <w:ind w:left="644" w:hanging="644"/>
        <w:jc w:val="both"/>
        <w:textAlignment w:val="bottom"/>
        <w:outlineLvl w:val="2"/>
        <w:rPr>
          <w:rFonts w:ascii="Arial" w:eastAsia="黑体" w:hAnsi="Arial" w:cs="Arial" w:hint="default"/>
          <w:bCs w:val="0"/>
          <w:snapToGrid w:val="0"/>
          <w:color w:val="auto"/>
          <w:sz w:val="20"/>
          <w:szCs w:val="20"/>
        </w:rPr>
      </w:pPr>
      <w:bookmarkStart w:id="568" w:name="afsaddin_Section_73ad3a8f745045a6b395dff"/>
      <w:r>
        <w:rPr>
          <w:rFonts w:ascii="Arial" w:eastAsia="黑体" w:hAnsi="Arial" w:cs="Arial" w:hint="default"/>
          <w:bCs w:val="0"/>
          <w:snapToGrid w:val="0"/>
          <w:color w:val="auto"/>
          <w:sz w:val="20"/>
          <w:szCs w:val="20"/>
        </w:rPr>
        <w:t>1.</w:t>
      </w:r>
      <w:r>
        <w:rPr>
          <w:rFonts w:ascii="Arial" w:eastAsia="黑体" w:hAnsi="Arial" w:cs="Arial" w:hint="default"/>
          <w:bCs w:val="0"/>
          <w:snapToGrid w:val="0"/>
          <w:color w:val="auto"/>
          <w:sz w:val="20"/>
          <w:szCs w:val="20"/>
        </w:rPr>
        <w:tab/>
      </w:r>
      <w:r>
        <w:rPr>
          <w:rFonts w:ascii="Arial" w:eastAsia="黑体" w:hAnsi="Arial" w:cs="Arial" w:hint="default"/>
          <w:bCs w:val="0"/>
          <w:snapToGrid w:val="0"/>
          <w:color w:val="auto"/>
          <w:sz w:val="20"/>
          <w:szCs w:val="20"/>
        </w:rPr>
        <w:t>分部报告</w:t>
      </w:r>
    </w:p>
    <w:bookmarkEnd w:id="568"/>
    <w:p w:rsidR="00AD5BB5" w:rsidRDefault="00AD5BB5">
      <w:pPr>
        <w:overflowPunct w:val="0"/>
        <w:autoSpaceDE w:val="0"/>
        <w:autoSpaceDN w:val="0"/>
        <w:rPr>
          <w:rFonts w:ascii="Arial" w:eastAsia="黑体" w:hAnsi="Arial" w:cs="Arial"/>
          <w:snapToGrid w:val="0"/>
          <w:sz w:val="20"/>
        </w:rPr>
      </w:pPr>
    </w:p>
    <w:p w:rsidR="00AD5BB5" w:rsidRDefault="00F87FF6">
      <w:pPr>
        <w:overflowPunct w:val="0"/>
        <w:autoSpaceDE w:val="0"/>
        <w:autoSpaceDN w:val="0"/>
        <w:adjustRightInd w:val="0"/>
        <w:snapToGrid w:val="0"/>
        <w:ind w:right="-2"/>
        <w:rPr>
          <w:rFonts w:ascii="Arial" w:eastAsia="黑体" w:hAnsi="Arial" w:cs="Arial"/>
          <w:snapToGrid w:val="0"/>
          <w:sz w:val="20"/>
        </w:rPr>
      </w:pPr>
      <w:r>
        <w:rPr>
          <w:rFonts w:ascii="Arial" w:eastAsia="黑体" w:hAnsi="Arial" w:cs="Arial"/>
          <w:snapToGrid w:val="0"/>
          <w:sz w:val="20"/>
        </w:rPr>
        <w:t>本集团按业务条线将业务划分为不同的营运组别，从而进行业务管理。本集团的经营分部已按与内部报送信息一致的方式列报，这些内部报送信息是提供给本行管理层以向分部分配资源并评价分部业绩。本财务报告中，本集团以经营分部为基础，确定了下列报告分部：</w:t>
      </w:r>
    </w:p>
    <w:p w:rsidR="00AD5BB5" w:rsidRDefault="00AD5BB5">
      <w:pPr>
        <w:overflowPunct w:val="0"/>
        <w:autoSpaceDE w:val="0"/>
        <w:autoSpaceDN w:val="0"/>
        <w:adjustRightInd w:val="0"/>
        <w:snapToGrid w:val="0"/>
        <w:ind w:right="-2"/>
        <w:rPr>
          <w:rFonts w:ascii="Arial" w:eastAsia="黑体" w:hAnsi="Arial" w:cs="Arial"/>
          <w:snapToGrid w:val="0"/>
          <w:sz w:val="20"/>
        </w:rPr>
      </w:pPr>
    </w:p>
    <w:p w:rsidR="00AD5BB5" w:rsidRDefault="00F87FF6">
      <w:pPr>
        <w:overflowPunct w:val="0"/>
        <w:autoSpaceDE w:val="0"/>
        <w:autoSpaceDN w:val="0"/>
        <w:adjustRightInd w:val="0"/>
        <w:snapToGrid w:val="0"/>
        <w:ind w:right="-2"/>
        <w:rPr>
          <w:rFonts w:ascii="Arial" w:eastAsia="黑体" w:hAnsi="Arial" w:cs="Arial"/>
          <w:snapToGrid w:val="0"/>
          <w:sz w:val="20"/>
        </w:rPr>
      </w:pPr>
      <w:r>
        <w:rPr>
          <w:rFonts w:ascii="Arial" w:eastAsia="黑体" w:hAnsi="Arial" w:cs="Arial"/>
          <w:snapToGrid w:val="0"/>
          <w:sz w:val="20"/>
        </w:rPr>
        <w:t>公司业务</w:t>
      </w:r>
    </w:p>
    <w:p w:rsidR="00AD5BB5" w:rsidRDefault="00AD5BB5">
      <w:pPr>
        <w:overflowPunct w:val="0"/>
        <w:autoSpaceDE w:val="0"/>
        <w:autoSpaceDN w:val="0"/>
        <w:adjustRightInd w:val="0"/>
        <w:snapToGrid w:val="0"/>
        <w:ind w:right="-2"/>
        <w:rPr>
          <w:rFonts w:ascii="Arial" w:eastAsia="黑体" w:hAnsi="Arial" w:cs="Arial"/>
          <w:snapToGrid w:val="0"/>
          <w:sz w:val="20"/>
        </w:rPr>
      </w:pPr>
    </w:p>
    <w:p w:rsidR="00AD5BB5" w:rsidRDefault="00F87FF6">
      <w:pPr>
        <w:overflowPunct w:val="0"/>
        <w:autoSpaceDE w:val="0"/>
        <w:autoSpaceDN w:val="0"/>
        <w:adjustRightInd w:val="0"/>
        <w:snapToGrid w:val="0"/>
        <w:ind w:right="-2"/>
        <w:rPr>
          <w:rFonts w:ascii="Arial" w:eastAsia="黑体" w:hAnsi="Arial" w:cs="Arial"/>
          <w:snapToGrid w:val="0"/>
          <w:sz w:val="20"/>
        </w:rPr>
      </w:pPr>
      <w:r>
        <w:rPr>
          <w:rFonts w:ascii="Arial" w:eastAsia="黑体" w:hAnsi="Arial" w:cs="Arial"/>
          <w:snapToGrid w:val="0"/>
          <w:sz w:val="20"/>
        </w:rPr>
        <w:t>该分部向公司类客户、政府机关和金融机构提供多种金融产品和服务，包括企业贷款</w:t>
      </w:r>
      <w:proofErr w:type="gramStart"/>
      <w:r>
        <w:rPr>
          <w:rFonts w:ascii="Arial" w:eastAsia="黑体" w:hAnsi="Arial" w:cs="Arial"/>
          <w:snapToGrid w:val="0"/>
          <w:sz w:val="20"/>
        </w:rPr>
        <w:t>及其他授信</w:t>
      </w:r>
      <w:proofErr w:type="gramEnd"/>
      <w:r>
        <w:rPr>
          <w:rFonts w:ascii="Arial" w:eastAsia="黑体" w:hAnsi="Arial" w:cs="Arial"/>
          <w:snapToGrid w:val="0"/>
          <w:sz w:val="20"/>
        </w:rPr>
        <w:t>服务、委托贷款、存款服务、代理服务、现金管理服务、财务顾问与咨询服务、汇款和结算服务、托管服务及担保服务等。</w:t>
      </w:r>
    </w:p>
    <w:p w:rsidR="00AD5BB5" w:rsidRDefault="00AD5BB5">
      <w:pPr>
        <w:overflowPunct w:val="0"/>
        <w:autoSpaceDE w:val="0"/>
        <w:autoSpaceDN w:val="0"/>
        <w:adjustRightInd w:val="0"/>
        <w:snapToGrid w:val="0"/>
        <w:ind w:right="-2"/>
        <w:rPr>
          <w:rFonts w:ascii="Arial" w:eastAsia="黑体" w:hAnsi="Arial" w:cs="Arial"/>
          <w:snapToGrid w:val="0"/>
          <w:sz w:val="20"/>
        </w:rPr>
      </w:pPr>
    </w:p>
    <w:p w:rsidR="00AD5BB5" w:rsidRDefault="00F87FF6">
      <w:pPr>
        <w:overflowPunct w:val="0"/>
        <w:autoSpaceDE w:val="0"/>
        <w:autoSpaceDN w:val="0"/>
        <w:adjustRightInd w:val="0"/>
        <w:snapToGrid w:val="0"/>
        <w:ind w:right="-2"/>
        <w:rPr>
          <w:rFonts w:ascii="Arial" w:eastAsia="黑体" w:hAnsi="Arial" w:cs="Arial"/>
          <w:snapToGrid w:val="0"/>
          <w:sz w:val="20"/>
        </w:rPr>
      </w:pPr>
      <w:r>
        <w:rPr>
          <w:rFonts w:ascii="Arial" w:eastAsia="黑体" w:hAnsi="Arial" w:cs="Arial"/>
          <w:snapToGrid w:val="0"/>
          <w:sz w:val="20"/>
        </w:rPr>
        <w:t>个人业务</w:t>
      </w:r>
    </w:p>
    <w:p w:rsidR="00AD5BB5" w:rsidRDefault="00AD5BB5">
      <w:pPr>
        <w:overflowPunct w:val="0"/>
        <w:autoSpaceDE w:val="0"/>
        <w:autoSpaceDN w:val="0"/>
        <w:adjustRightInd w:val="0"/>
        <w:snapToGrid w:val="0"/>
        <w:ind w:right="-2"/>
        <w:rPr>
          <w:rFonts w:ascii="Arial" w:eastAsia="黑体" w:hAnsi="Arial" w:cs="Arial"/>
          <w:snapToGrid w:val="0"/>
          <w:sz w:val="20"/>
        </w:rPr>
      </w:pPr>
    </w:p>
    <w:p w:rsidR="00AD5BB5" w:rsidRDefault="00F87FF6">
      <w:pPr>
        <w:overflowPunct w:val="0"/>
        <w:autoSpaceDE w:val="0"/>
        <w:autoSpaceDN w:val="0"/>
        <w:adjustRightInd w:val="0"/>
        <w:snapToGrid w:val="0"/>
        <w:ind w:right="-2"/>
        <w:rPr>
          <w:rFonts w:ascii="Arial" w:eastAsia="黑体" w:hAnsi="Arial" w:cs="Arial"/>
          <w:snapToGrid w:val="0"/>
          <w:sz w:val="20"/>
        </w:rPr>
      </w:pPr>
      <w:r>
        <w:rPr>
          <w:rFonts w:ascii="Arial" w:eastAsia="黑体" w:hAnsi="Arial" w:cs="Arial"/>
          <w:snapToGrid w:val="0"/>
          <w:sz w:val="20"/>
        </w:rPr>
        <w:t>该分部向个人客户提供多种金融产品和服务，包括贷款服务、存款服务、理财服务、汇款服务、证券代理服务等。</w:t>
      </w:r>
    </w:p>
    <w:p w:rsidR="00AD5BB5" w:rsidRDefault="00AD5BB5">
      <w:pPr>
        <w:overflowPunct w:val="0"/>
        <w:autoSpaceDE w:val="0"/>
        <w:autoSpaceDN w:val="0"/>
        <w:adjustRightInd w:val="0"/>
        <w:snapToGrid w:val="0"/>
        <w:ind w:right="-2"/>
        <w:rPr>
          <w:rFonts w:ascii="Arial" w:eastAsia="黑体" w:hAnsi="Arial" w:cs="Arial"/>
          <w:snapToGrid w:val="0"/>
          <w:sz w:val="20"/>
        </w:rPr>
      </w:pPr>
    </w:p>
    <w:p w:rsidR="00AD5BB5" w:rsidRDefault="00F87FF6">
      <w:pPr>
        <w:overflowPunct w:val="0"/>
        <w:autoSpaceDE w:val="0"/>
        <w:autoSpaceDN w:val="0"/>
        <w:adjustRightInd w:val="0"/>
        <w:snapToGrid w:val="0"/>
        <w:ind w:right="-2"/>
        <w:rPr>
          <w:rFonts w:ascii="Arial" w:eastAsia="黑体" w:hAnsi="Arial" w:cs="Arial"/>
          <w:snapToGrid w:val="0"/>
          <w:sz w:val="20"/>
        </w:rPr>
      </w:pPr>
      <w:r>
        <w:rPr>
          <w:rFonts w:ascii="Arial" w:eastAsia="黑体" w:hAnsi="Arial" w:cs="Arial"/>
          <w:snapToGrid w:val="0"/>
          <w:sz w:val="20"/>
        </w:rPr>
        <w:t>资金业务</w:t>
      </w:r>
    </w:p>
    <w:p w:rsidR="00AD5BB5" w:rsidRDefault="00AD5BB5">
      <w:pPr>
        <w:overflowPunct w:val="0"/>
        <w:autoSpaceDE w:val="0"/>
        <w:autoSpaceDN w:val="0"/>
        <w:adjustRightInd w:val="0"/>
        <w:snapToGrid w:val="0"/>
        <w:ind w:right="-2"/>
        <w:rPr>
          <w:rFonts w:ascii="Arial" w:eastAsia="黑体" w:hAnsi="Arial" w:cs="Arial"/>
          <w:snapToGrid w:val="0"/>
          <w:sz w:val="20"/>
        </w:rPr>
      </w:pPr>
    </w:p>
    <w:p w:rsidR="00AD5BB5" w:rsidRDefault="00F87FF6">
      <w:pPr>
        <w:overflowPunct w:val="0"/>
        <w:autoSpaceDE w:val="0"/>
        <w:autoSpaceDN w:val="0"/>
        <w:adjustRightInd w:val="0"/>
        <w:snapToGrid w:val="0"/>
        <w:ind w:right="-2"/>
        <w:rPr>
          <w:rFonts w:ascii="Arial" w:eastAsia="黑体" w:hAnsi="Arial" w:cs="Arial"/>
          <w:snapToGrid w:val="0"/>
          <w:sz w:val="20"/>
        </w:rPr>
      </w:pPr>
      <w:r>
        <w:rPr>
          <w:rFonts w:ascii="Arial" w:eastAsia="黑体" w:hAnsi="Arial" w:cs="Arial"/>
          <w:snapToGrid w:val="0"/>
          <w:sz w:val="20"/>
        </w:rPr>
        <w:t>该分部包括在银行间市场进行同业拆借交易、回购交易、债券投资和买卖、衍生金融工具、权益投资及外汇买卖。该分部还对本行流动性水平进行管理，包括发行债券。</w:t>
      </w:r>
    </w:p>
    <w:p w:rsidR="00AD5BB5" w:rsidRDefault="00F87FF6">
      <w:pPr>
        <w:overflowPunct w:val="0"/>
        <w:autoSpaceDE w:val="0"/>
        <w:autoSpaceDN w:val="0"/>
        <w:adjustRightInd w:val="0"/>
        <w:snapToGrid w:val="0"/>
        <w:ind w:right="-2"/>
        <w:rPr>
          <w:rFonts w:ascii="Arial" w:eastAsia="黑体" w:hAnsi="Arial" w:cs="Arial"/>
          <w:snapToGrid w:val="0"/>
          <w:sz w:val="20"/>
        </w:rPr>
      </w:pPr>
      <w:r>
        <w:rPr>
          <w:rFonts w:ascii="Arial" w:eastAsia="黑体" w:hAnsi="Arial" w:cs="Arial"/>
          <w:snapToGrid w:val="0"/>
          <w:sz w:val="20"/>
        </w:rPr>
        <w:t>其他业务</w:t>
      </w:r>
    </w:p>
    <w:p w:rsidR="00AD5BB5" w:rsidRDefault="00AD5BB5">
      <w:pPr>
        <w:overflowPunct w:val="0"/>
        <w:autoSpaceDE w:val="0"/>
        <w:autoSpaceDN w:val="0"/>
        <w:adjustRightInd w:val="0"/>
        <w:snapToGrid w:val="0"/>
        <w:ind w:right="-2"/>
        <w:rPr>
          <w:rFonts w:ascii="Arial" w:eastAsia="黑体" w:hAnsi="Arial" w:cs="Arial"/>
          <w:snapToGrid w:val="0"/>
          <w:sz w:val="20"/>
        </w:rPr>
      </w:pPr>
    </w:p>
    <w:p w:rsidR="00AD5BB5" w:rsidRDefault="00F87FF6">
      <w:pPr>
        <w:overflowPunct w:val="0"/>
        <w:autoSpaceDE w:val="0"/>
        <w:autoSpaceDN w:val="0"/>
        <w:adjustRightInd w:val="0"/>
        <w:snapToGrid w:val="0"/>
        <w:ind w:right="-2"/>
        <w:rPr>
          <w:rFonts w:ascii="Arial" w:eastAsia="黑体" w:hAnsi="Arial" w:cs="Arial"/>
          <w:snapToGrid w:val="0"/>
          <w:sz w:val="20"/>
        </w:rPr>
      </w:pPr>
      <w:r>
        <w:rPr>
          <w:rFonts w:ascii="Arial" w:eastAsia="黑体" w:hAnsi="Arial" w:cs="Arial"/>
          <w:snapToGrid w:val="0"/>
          <w:sz w:val="20"/>
        </w:rPr>
        <w:t>其他业务指其他自身没有形成可单独列报的分部或不能按照合理基准进行分配的业务。</w:t>
      </w:r>
    </w:p>
    <w:p w:rsidR="00AD5BB5" w:rsidRDefault="00AD5BB5">
      <w:pPr>
        <w:overflowPunct w:val="0"/>
        <w:autoSpaceDE w:val="0"/>
        <w:autoSpaceDN w:val="0"/>
        <w:adjustRightInd w:val="0"/>
        <w:snapToGrid w:val="0"/>
        <w:ind w:right="-2"/>
        <w:rPr>
          <w:rFonts w:ascii="Arial" w:eastAsia="黑体" w:hAnsi="Arial" w:cs="Arial"/>
          <w:snapToGrid w:val="0"/>
          <w:sz w:val="20"/>
        </w:rPr>
      </w:pPr>
    </w:p>
    <w:p w:rsidR="00AD5BB5" w:rsidRDefault="00F87FF6">
      <w:pPr>
        <w:overflowPunct w:val="0"/>
        <w:autoSpaceDE w:val="0"/>
        <w:autoSpaceDN w:val="0"/>
        <w:adjustRightInd w:val="0"/>
        <w:snapToGrid w:val="0"/>
        <w:ind w:right="-2"/>
        <w:rPr>
          <w:rFonts w:ascii="Arial" w:eastAsia="黑体" w:hAnsi="Arial" w:cs="Arial"/>
          <w:snapToGrid w:val="0"/>
          <w:sz w:val="20"/>
        </w:rPr>
      </w:pPr>
      <w:r>
        <w:rPr>
          <w:rFonts w:ascii="Arial" w:eastAsia="黑体" w:hAnsi="Arial" w:cs="Arial"/>
          <w:snapToGrid w:val="0"/>
          <w:sz w:val="20"/>
        </w:rPr>
        <w:t>编制分部报告所采用的会计政策与编制本集团财务报表所采用的会计政策一致。</w:t>
      </w:r>
    </w:p>
    <w:p w:rsidR="00AD5BB5" w:rsidRDefault="00AD5BB5">
      <w:pPr>
        <w:overflowPunct w:val="0"/>
        <w:autoSpaceDE w:val="0"/>
        <w:autoSpaceDN w:val="0"/>
        <w:adjustRightInd w:val="0"/>
        <w:snapToGrid w:val="0"/>
        <w:ind w:right="-2"/>
        <w:rPr>
          <w:rFonts w:ascii="Arial" w:eastAsia="黑体" w:hAnsi="Arial" w:cs="Arial"/>
          <w:snapToGrid w:val="0"/>
          <w:sz w:val="20"/>
        </w:rPr>
      </w:pPr>
    </w:p>
    <w:p w:rsidR="00AD5BB5" w:rsidRDefault="00F87FF6">
      <w:pPr>
        <w:overflowPunct w:val="0"/>
        <w:autoSpaceDE w:val="0"/>
        <w:autoSpaceDN w:val="0"/>
        <w:adjustRightInd w:val="0"/>
        <w:snapToGrid w:val="0"/>
        <w:ind w:right="-2"/>
        <w:rPr>
          <w:rFonts w:ascii="Arial" w:eastAsia="黑体" w:hAnsi="Arial" w:cs="Arial"/>
          <w:snapToGrid w:val="0"/>
          <w:sz w:val="20"/>
        </w:rPr>
      </w:pPr>
      <w:r>
        <w:rPr>
          <w:rFonts w:ascii="Arial" w:eastAsia="黑体" w:hAnsi="Arial" w:cs="Arial"/>
          <w:snapToGrid w:val="0"/>
          <w:sz w:val="20"/>
        </w:rPr>
        <w:t>分部之间的交易按一般商业条款及条件进行。内部收费及转让定价是参考市场价格确定，并已在各分部的业绩中反映。与第三方交易产生的利息收入和支出以</w:t>
      </w:r>
      <w:r>
        <w:rPr>
          <w:rFonts w:ascii="Arial" w:eastAsia="黑体" w:hAnsi="Arial" w:cs="Arial"/>
          <w:snapToGrid w:val="0"/>
          <w:sz w:val="20"/>
        </w:rPr>
        <w:t>“</w:t>
      </w:r>
      <w:r>
        <w:rPr>
          <w:rFonts w:ascii="Arial" w:eastAsia="黑体" w:hAnsi="Arial" w:cs="Arial"/>
          <w:snapToGrid w:val="0"/>
          <w:sz w:val="20"/>
        </w:rPr>
        <w:t>外部利息净收入</w:t>
      </w:r>
      <w:r>
        <w:rPr>
          <w:rFonts w:ascii="Arial" w:eastAsia="黑体" w:hAnsi="Arial" w:cs="Arial"/>
          <w:snapToGrid w:val="0"/>
          <w:sz w:val="20"/>
        </w:rPr>
        <w:t>”</w:t>
      </w:r>
      <w:r>
        <w:rPr>
          <w:rFonts w:ascii="Arial" w:eastAsia="黑体" w:hAnsi="Arial" w:cs="Arial"/>
          <w:snapToGrid w:val="0"/>
          <w:sz w:val="20"/>
        </w:rPr>
        <w:t>列示，内部收费及转让定价调整所产生的利息净收入和支出以</w:t>
      </w:r>
      <w:r>
        <w:rPr>
          <w:rFonts w:ascii="Arial" w:eastAsia="黑体" w:hAnsi="Arial" w:cs="Arial"/>
          <w:snapToGrid w:val="0"/>
          <w:sz w:val="20"/>
        </w:rPr>
        <w:t>“</w:t>
      </w:r>
      <w:r>
        <w:rPr>
          <w:rFonts w:ascii="Arial" w:eastAsia="黑体" w:hAnsi="Arial" w:cs="Arial"/>
          <w:snapToGrid w:val="0"/>
          <w:sz w:val="20"/>
        </w:rPr>
        <w:t>内部利息净收入</w:t>
      </w:r>
      <w:r>
        <w:rPr>
          <w:rFonts w:ascii="Arial" w:eastAsia="黑体" w:hAnsi="Arial" w:cs="Arial"/>
          <w:snapToGrid w:val="0"/>
          <w:sz w:val="20"/>
        </w:rPr>
        <w:t>/</w:t>
      </w:r>
      <w:r>
        <w:rPr>
          <w:rFonts w:ascii="Arial" w:eastAsia="黑体" w:hAnsi="Arial" w:cs="Arial"/>
          <w:snapToGrid w:val="0"/>
          <w:sz w:val="20"/>
        </w:rPr>
        <w:t>（支出）</w:t>
      </w:r>
      <w:r>
        <w:rPr>
          <w:rFonts w:ascii="Arial" w:eastAsia="黑体" w:hAnsi="Arial" w:cs="Arial"/>
          <w:snapToGrid w:val="0"/>
          <w:sz w:val="20"/>
        </w:rPr>
        <w:t>”</w:t>
      </w:r>
      <w:r>
        <w:rPr>
          <w:rFonts w:ascii="Arial" w:eastAsia="黑体" w:hAnsi="Arial" w:cs="Arial"/>
          <w:snapToGrid w:val="0"/>
          <w:sz w:val="20"/>
        </w:rPr>
        <w:t>列示。</w:t>
      </w:r>
    </w:p>
    <w:p w:rsidR="00AD5BB5" w:rsidRDefault="00AD5BB5">
      <w:pPr>
        <w:overflowPunct w:val="0"/>
        <w:autoSpaceDE w:val="0"/>
        <w:autoSpaceDN w:val="0"/>
        <w:adjustRightInd w:val="0"/>
        <w:snapToGrid w:val="0"/>
        <w:ind w:right="-2"/>
        <w:rPr>
          <w:rFonts w:ascii="Arial" w:eastAsia="黑体" w:hAnsi="Arial" w:cs="Arial"/>
          <w:snapToGrid w:val="0"/>
          <w:sz w:val="20"/>
        </w:rPr>
      </w:pPr>
    </w:p>
    <w:p w:rsidR="00AD5BB5" w:rsidRDefault="00F87FF6">
      <w:pPr>
        <w:overflowPunct w:val="0"/>
        <w:autoSpaceDE w:val="0"/>
        <w:autoSpaceDN w:val="0"/>
        <w:adjustRightInd w:val="0"/>
        <w:snapToGrid w:val="0"/>
        <w:ind w:right="-2"/>
        <w:rPr>
          <w:rFonts w:ascii="Arial" w:eastAsia="黑体" w:hAnsi="Arial" w:cs="Arial"/>
          <w:snapToGrid w:val="0"/>
          <w:sz w:val="20"/>
        </w:rPr>
      </w:pPr>
      <w:r>
        <w:rPr>
          <w:rFonts w:ascii="Arial" w:eastAsia="黑体" w:hAnsi="Arial" w:cs="Arial"/>
          <w:snapToGrid w:val="0"/>
          <w:sz w:val="20"/>
        </w:rPr>
        <w:t>分部收入、支出、资产与负债包含直接归属某一分部，以及按合理的基准分配至该分部的项目。分部收入、支出、资产和负债包含在编制财务报表时</w:t>
      </w:r>
      <w:proofErr w:type="gramStart"/>
      <w:r>
        <w:rPr>
          <w:rFonts w:ascii="Arial" w:eastAsia="黑体" w:hAnsi="Arial" w:cs="Arial"/>
          <w:snapToGrid w:val="0"/>
          <w:sz w:val="20"/>
        </w:rPr>
        <w:t>抵销</w:t>
      </w:r>
      <w:proofErr w:type="gramEnd"/>
      <w:r>
        <w:rPr>
          <w:rFonts w:ascii="Arial" w:eastAsia="黑体" w:hAnsi="Arial" w:cs="Arial"/>
          <w:snapToGrid w:val="0"/>
          <w:sz w:val="20"/>
        </w:rPr>
        <w:t>的内部往来的余额和内部交易。分部资本性支出是指在会计期间内分部购入的固定资产、无形资产、其他长期资产和新增在建工程所发生的支出</w:t>
      </w:r>
      <w:r>
        <w:rPr>
          <w:rFonts w:ascii="Arial" w:eastAsia="黑体" w:hAnsi="Arial" w:cs="Arial" w:hint="eastAsia"/>
          <w:snapToGrid w:val="0"/>
          <w:sz w:val="20"/>
        </w:rPr>
        <w:t>总额。</w:t>
      </w:r>
      <w:r>
        <w:rPr>
          <w:rFonts w:ascii="Arial" w:eastAsia="黑体" w:hAnsi="Arial" w:cs="Arial"/>
          <w:snapToGrid w:val="0"/>
          <w:sz w:val="20"/>
        </w:rPr>
        <w:br w:type="page"/>
      </w:r>
    </w:p>
    <w:p w:rsidR="00AD5BB5" w:rsidRDefault="00AD5BB5">
      <w:pPr>
        <w:overflowPunct w:val="0"/>
        <w:autoSpaceDE w:val="0"/>
        <w:autoSpaceDN w:val="0"/>
        <w:adjustRightInd w:val="0"/>
        <w:snapToGrid w:val="0"/>
        <w:ind w:right="-2"/>
        <w:rPr>
          <w:rFonts w:ascii="Arial" w:eastAsia="黑体" w:hAnsi="Arial" w:cs="Arial"/>
          <w:snapToGrid w:val="0"/>
        </w:rPr>
      </w:pPr>
    </w:p>
    <w:p w:rsidR="00AD5BB5" w:rsidRDefault="00AD5BB5">
      <w:pPr>
        <w:overflowPunct w:val="0"/>
        <w:autoSpaceDE w:val="0"/>
        <w:autoSpaceDN w:val="0"/>
        <w:adjustRightInd w:val="0"/>
        <w:snapToGrid w:val="0"/>
        <w:textAlignment w:val="bottom"/>
        <w:rPr>
          <w:rFonts w:ascii="Arial" w:eastAsia="黑体" w:hAnsi="Arial" w:cs="Arial"/>
          <w:snapToGrid w:val="0"/>
          <w:szCs w:val="21"/>
        </w:rPr>
      </w:pPr>
    </w:p>
    <w:p w:rsidR="00AD5BB5" w:rsidRDefault="00F87FF6">
      <w:pPr>
        <w:overflowPunct w:val="0"/>
        <w:autoSpaceDE w:val="0"/>
        <w:autoSpaceDN w:val="0"/>
        <w:adjustRightInd w:val="0"/>
        <w:snapToGrid w:val="0"/>
        <w:ind w:left="720" w:hanging="720"/>
        <w:textAlignment w:val="bottom"/>
        <w:rPr>
          <w:rFonts w:ascii="Arial" w:eastAsia="黑体" w:hAnsi="Arial" w:cs="Arial"/>
          <w:b/>
          <w:snapToGrid w:val="0"/>
          <w:sz w:val="20"/>
          <w:szCs w:val="21"/>
        </w:rPr>
      </w:pPr>
      <w:bookmarkStart w:id="569" w:name="afsaddin_WithXu_59655c5c79ef401e9b401b2c"/>
      <w:r>
        <w:rPr>
          <w:rFonts w:ascii="Arial" w:eastAsia="黑体" w:hAnsi="Arial" w:cs="Arial"/>
          <w:b/>
          <w:snapToGrid w:val="0"/>
          <w:sz w:val="20"/>
          <w:szCs w:val="21"/>
        </w:rPr>
        <w:t>十三、其他重要事项（续）</w:t>
      </w:r>
      <w:bookmarkEnd w:id="569"/>
    </w:p>
    <w:p w:rsidR="00AD5BB5" w:rsidRDefault="00AD5BB5">
      <w:pPr>
        <w:overflowPunct w:val="0"/>
        <w:autoSpaceDE w:val="0"/>
        <w:autoSpaceDN w:val="0"/>
        <w:adjustRightInd w:val="0"/>
        <w:snapToGrid w:val="0"/>
        <w:textAlignment w:val="bottom"/>
        <w:rPr>
          <w:rFonts w:ascii="Arial" w:eastAsia="黑体" w:hAnsi="Arial" w:cs="Arial"/>
          <w:snapToGrid w:val="0"/>
          <w:szCs w:val="21"/>
        </w:rPr>
      </w:pPr>
    </w:p>
    <w:p w:rsidR="00AD5BB5" w:rsidRDefault="00F87FF6">
      <w:pPr>
        <w:overflowPunct w:val="0"/>
        <w:autoSpaceDE w:val="0"/>
        <w:autoSpaceDN w:val="0"/>
        <w:adjustRightInd w:val="0"/>
        <w:snapToGrid w:val="0"/>
        <w:ind w:left="644" w:hanging="644"/>
        <w:textAlignment w:val="bottom"/>
        <w:rPr>
          <w:rFonts w:ascii="Arial" w:eastAsia="黑体" w:hAnsi="Arial" w:cs="Arial"/>
          <w:b/>
          <w:snapToGrid w:val="0"/>
          <w:sz w:val="20"/>
          <w:szCs w:val="21"/>
        </w:rPr>
      </w:pPr>
      <w:bookmarkStart w:id="570" w:name="afsaddin_WithXu_f4b1592840c04bf2b06b6174"/>
      <w:r>
        <w:rPr>
          <w:rFonts w:ascii="Arial" w:eastAsia="黑体" w:hAnsi="Arial" w:cs="Arial"/>
          <w:b/>
          <w:snapToGrid w:val="0"/>
          <w:sz w:val="20"/>
          <w:szCs w:val="21"/>
        </w:rPr>
        <w:t>1.</w:t>
      </w:r>
      <w:r>
        <w:rPr>
          <w:rFonts w:ascii="Arial" w:eastAsia="黑体" w:hAnsi="Arial" w:cs="Arial"/>
          <w:b/>
          <w:snapToGrid w:val="0"/>
          <w:sz w:val="20"/>
          <w:szCs w:val="21"/>
        </w:rPr>
        <w:tab/>
      </w:r>
      <w:r>
        <w:rPr>
          <w:rFonts w:ascii="Arial" w:eastAsia="黑体" w:hAnsi="Arial" w:cs="Arial"/>
          <w:b/>
          <w:snapToGrid w:val="0"/>
          <w:sz w:val="20"/>
          <w:szCs w:val="21"/>
        </w:rPr>
        <w:t>分部报告（续）</w:t>
      </w:r>
      <w:bookmarkEnd w:id="570"/>
    </w:p>
    <w:p w:rsidR="00AD5BB5" w:rsidRDefault="00AD5BB5">
      <w:pPr>
        <w:overflowPunct w:val="0"/>
        <w:autoSpaceDE w:val="0"/>
        <w:autoSpaceDN w:val="0"/>
        <w:adjustRightInd w:val="0"/>
        <w:snapToGrid w:val="0"/>
        <w:textAlignment w:val="bottom"/>
        <w:rPr>
          <w:rFonts w:ascii="Arial" w:eastAsia="黑体" w:hAnsi="Arial" w:cs="Arial"/>
          <w:snapToGrid w:val="0"/>
          <w:szCs w:val="21"/>
        </w:rPr>
      </w:pPr>
    </w:p>
    <w:tbl>
      <w:tblPr>
        <w:tblW w:w="8426" w:type="dxa"/>
        <w:tblLayout w:type="fixed"/>
        <w:tblCellMar>
          <w:left w:w="0" w:type="dxa"/>
          <w:right w:w="0" w:type="dxa"/>
        </w:tblCellMar>
        <w:tblLook w:val="04A0" w:firstRow="1" w:lastRow="0" w:firstColumn="1" w:lastColumn="0" w:noHBand="0" w:noVBand="1"/>
        <w:tblCaption w:val="7787bca9-ab0f-4c9a-b57c-4b6ef42677f9"/>
        <w:tblDescription w:val="{&quot;UUID&quot;:&quot;afsaddin_tabledata_2_56437_7787bca9-ab0f-4c9a-b57c-4b6ef42677f9&quot;,&quot;TitleRowCount&quot;:3,&quot;SplitedTable&quot;:false,&quot;FirstTableId&quot;:&quot;7787bca9-ab0f-4c9a-b57c-4b6ef42677f9&quot;}"/>
      </w:tblPr>
      <w:tblGrid>
        <w:gridCol w:w="1261"/>
        <w:gridCol w:w="106"/>
        <w:gridCol w:w="1293"/>
        <w:gridCol w:w="106"/>
        <w:gridCol w:w="105"/>
        <w:gridCol w:w="1214"/>
        <w:gridCol w:w="105"/>
        <w:gridCol w:w="105"/>
        <w:gridCol w:w="1293"/>
        <w:gridCol w:w="105"/>
        <w:gridCol w:w="105"/>
        <w:gridCol w:w="1020"/>
        <w:gridCol w:w="105"/>
        <w:gridCol w:w="105"/>
        <w:gridCol w:w="1293"/>
        <w:gridCol w:w="105"/>
      </w:tblGrid>
      <w:tr w:rsidR="00AD5BB5">
        <w:tc>
          <w:tcPr>
            <w:tcW w:w="126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项目</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6954" w:type="dxa"/>
            <w:gridSpan w:val="13"/>
            <w:tcBorders>
              <w:top w:val="nil"/>
              <w:left w:val="nil"/>
              <w:bottom w:val="nil"/>
              <w:right w:val="nil"/>
            </w:tcBorders>
            <w:vAlign w:val="bottom"/>
          </w:tcPr>
          <w:p w:rsidR="00AD5BB5" w:rsidRDefault="00F87FF6">
            <w:pPr>
              <w:autoSpaceDE w:val="0"/>
              <w:autoSpaceDN w:val="0"/>
              <w:jc w:val="center"/>
              <w:rPr>
                <w:rFonts w:ascii="Arial" w:eastAsia="黑体" w:hAnsi="Arial" w:cs="Arial"/>
                <w:sz w:val="13"/>
                <w:szCs w:val="13"/>
              </w:rPr>
            </w:pPr>
            <w:r>
              <w:rPr>
                <w:rFonts w:ascii="Arial" w:eastAsia="黑体" w:hAnsi="Arial" w:cs="Arial"/>
                <w:sz w:val="13"/>
                <w:szCs w:val="13"/>
              </w:rPr>
              <w:fldChar w:fldCharType="begin"/>
            </w:r>
            <w:r>
              <w:rPr>
                <w:rFonts w:ascii="Arial" w:eastAsia="黑体" w:hAnsi="Arial" w:cs="Arial"/>
                <w:sz w:val="13"/>
                <w:szCs w:val="13"/>
              </w:rPr>
              <w:instrText xml:space="preserve">DOCPROPERTY </w:instrText>
            </w:r>
            <w:r>
              <w:rPr>
                <w:rFonts w:ascii="Arial" w:eastAsia="黑体" w:hAnsi="Arial" w:cs="Arial"/>
                <w:sz w:val="13"/>
                <w:szCs w:val="13"/>
              </w:rPr>
              <w:instrText>当期会计期间</w:instrText>
            </w:r>
            <w:r>
              <w:rPr>
                <w:rFonts w:ascii="Arial" w:eastAsia="黑体" w:hAnsi="Arial" w:cs="Arial"/>
                <w:sz w:val="13"/>
                <w:szCs w:val="13"/>
              </w:rPr>
              <w:fldChar w:fldCharType="separate"/>
            </w:r>
            <w:r>
              <w:rPr>
                <w:rFonts w:ascii="Arial" w:eastAsia="黑体" w:hAnsi="Arial" w:cs="Arial"/>
                <w:sz w:val="13"/>
                <w:szCs w:val="13"/>
              </w:rPr>
              <w:t>2023</w:t>
            </w:r>
            <w:r>
              <w:rPr>
                <w:rFonts w:ascii="Arial" w:eastAsia="黑体" w:hAnsi="Arial" w:cs="Arial"/>
                <w:sz w:val="13"/>
                <w:szCs w:val="13"/>
              </w:rPr>
              <w:fldChar w:fldCharType="end"/>
            </w:r>
            <w:r>
              <w:rPr>
                <w:rFonts w:ascii="Arial" w:eastAsia="黑体" w:hAnsi="Arial" w:cs="Arial"/>
                <w:sz w:val="13"/>
                <w:szCs w:val="13"/>
              </w:rPr>
              <w:t>年</w:t>
            </w:r>
            <w:r>
              <w:rPr>
                <w:rFonts w:ascii="Arial" w:eastAsia="黑体" w:hAnsi="Arial" w:cs="Arial"/>
                <w:sz w:val="13"/>
                <w:szCs w:val="13"/>
              </w:rPr>
              <w:t>1-6</w:t>
            </w:r>
            <w:r>
              <w:rPr>
                <w:rFonts w:ascii="Arial" w:eastAsia="黑体" w:hAnsi="Arial" w:cs="Arial"/>
                <w:sz w:val="13"/>
                <w:szCs w:val="13"/>
              </w:rPr>
              <w:t>月</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261" w:type="dxa"/>
            <w:tcBorders>
              <w:top w:val="nil"/>
              <w:left w:val="nil"/>
              <w:bottom w:val="nil"/>
              <w:right w:val="nil"/>
            </w:tcBorders>
            <w:vAlign w:val="bottom"/>
          </w:tcPr>
          <w:p w:rsidR="00AD5BB5" w:rsidRDefault="00AD5BB5">
            <w:pPr>
              <w:autoSpaceDE w:val="0"/>
              <w:autoSpaceDN w:val="0"/>
              <w:ind w:left="195" w:hangingChars="150" w:hanging="195"/>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公司业务</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个人业务</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资金业务</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2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其他业务</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合计</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261" w:type="dxa"/>
            <w:tcBorders>
              <w:top w:val="nil"/>
              <w:left w:val="nil"/>
              <w:bottom w:val="nil"/>
              <w:right w:val="nil"/>
            </w:tcBorders>
            <w:vAlign w:val="bottom"/>
          </w:tcPr>
          <w:p w:rsidR="00AD5BB5" w:rsidRDefault="00AD5BB5">
            <w:pPr>
              <w:autoSpaceDE w:val="0"/>
              <w:autoSpaceDN w:val="0"/>
              <w:ind w:left="195" w:hangingChars="150" w:hanging="195"/>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2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26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外部利息净收入</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933,449,466.95</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4" w:type="dxa"/>
            <w:tcBorders>
              <w:top w:val="nil"/>
              <w:left w:val="nil"/>
              <w:bottom w:val="nil"/>
              <w:right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872,394,810.61</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293" w:type="dxa"/>
            <w:tcBorders>
              <w:top w:val="nil"/>
              <w:left w:val="nil"/>
              <w:bottom w:val="nil"/>
              <w:right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432,280,922.62</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2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293" w:type="dxa"/>
            <w:tcBorders>
              <w:top w:val="nil"/>
              <w:left w:val="nil"/>
              <w:bottom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2,238,125,200.18</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26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内部利息净</w:t>
            </w:r>
          </w:p>
          <w:p w:rsidR="00AD5BB5" w:rsidRDefault="00F87FF6">
            <w:pPr>
              <w:autoSpaceDE w:val="0"/>
              <w:autoSpaceDN w:val="0"/>
              <w:ind w:leftChars="65" w:left="266" w:hangingChars="100" w:hanging="130"/>
              <w:rPr>
                <w:rFonts w:ascii="Arial" w:eastAsia="黑体" w:hAnsi="Arial" w:cs="Arial"/>
                <w:sz w:val="13"/>
                <w:szCs w:val="13"/>
              </w:rPr>
            </w:pPr>
            <w:r>
              <w:rPr>
                <w:rFonts w:ascii="Arial" w:eastAsia="黑体" w:hAnsi="Arial" w:cs="Arial"/>
                <w:sz w:val="13"/>
                <w:szCs w:val="13"/>
              </w:rPr>
              <w:t>收入</w:t>
            </w:r>
            <w:r>
              <w:rPr>
                <w:rFonts w:ascii="Arial" w:eastAsia="黑体" w:hAnsi="Arial" w:cs="Arial"/>
                <w:sz w:val="13"/>
                <w:szCs w:val="13"/>
              </w:rPr>
              <w:t>/</w:t>
            </w:r>
            <w:r>
              <w:rPr>
                <w:rFonts w:ascii="Arial" w:eastAsia="黑体" w:hAnsi="Arial" w:cs="Arial"/>
                <w:sz w:val="13"/>
                <w:szCs w:val="13"/>
              </w:rPr>
              <w:t>（支出）</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685,209,045.05</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(282,738,724.30</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293"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(402,470,320.75</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2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293" w:type="dxa"/>
            <w:tcBorders>
              <w:top w:val="nil"/>
              <w:left w:val="nil"/>
              <w:bottom w:val="nil"/>
            </w:tcBorders>
            <w:shd w:val="clear" w:color="auto" w:fill="auto"/>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26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利息净收入</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1,618,658,512.00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4" w:type="dxa"/>
            <w:tcBorders>
              <w:top w:val="nil"/>
              <w:left w:val="nil"/>
              <w:bottom w:val="nil"/>
              <w:right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589,656,086.31</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293" w:type="dxa"/>
            <w:tcBorders>
              <w:top w:val="nil"/>
              <w:left w:val="nil"/>
              <w:bottom w:val="nil"/>
              <w:right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29,810,601.87</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2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293" w:type="dxa"/>
            <w:tcBorders>
              <w:top w:val="nil"/>
              <w:left w:val="nil"/>
              <w:bottom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2,238,125,200.18</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26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手续费及佣金净收入</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91,809,447.06</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4" w:type="dxa"/>
            <w:tcBorders>
              <w:top w:val="nil"/>
              <w:left w:val="nil"/>
              <w:bottom w:val="nil"/>
              <w:right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67,076,076.21</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293" w:type="dxa"/>
            <w:tcBorders>
              <w:top w:val="nil"/>
              <w:left w:val="nil"/>
              <w:bottom w:val="nil"/>
              <w:right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36,454,766.02</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2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293" w:type="dxa"/>
            <w:tcBorders>
              <w:top w:val="nil"/>
              <w:left w:val="nil"/>
              <w:bottom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195,340,289.29</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26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投资收益</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4" w:type="dxa"/>
            <w:tcBorders>
              <w:top w:val="nil"/>
              <w:left w:val="nil"/>
              <w:bottom w:val="nil"/>
              <w:right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293" w:type="dxa"/>
            <w:tcBorders>
              <w:top w:val="nil"/>
              <w:left w:val="nil"/>
              <w:bottom w:val="nil"/>
              <w:right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145,411,185.68</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2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293" w:type="dxa"/>
            <w:tcBorders>
              <w:top w:val="nil"/>
              <w:left w:val="nil"/>
              <w:bottom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145,411,185.68</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26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公允价值变动损失</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4" w:type="dxa"/>
            <w:tcBorders>
              <w:top w:val="nil"/>
              <w:left w:val="nil"/>
              <w:bottom w:val="nil"/>
              <w:right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293" w:type="dxa"/>
            <w:tcBorders>
              <w:top w:val="nil"/>
              <w:left w:val="nil"/>
              <w:bottom w:val="nil"/>
              <w:right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145,755,099.27</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2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293" w:type="dxa"/>
            <w:tcBorders>
              <w:top w:val="nil"/>
              <w:left w:val="nil"/>
              <w:bottom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145,755,099.27</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26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汇兑收益</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19,884,711.12</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4" w:type="dxa"/>
            <w:tcBorders>
              <w:top w:val="nil"/>
              <w:left w:val="nil"/>
              <w:bottom w:val="nil"/>
              <w:right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293" w:type="dxa"/>
            <w:tcBorders>
              <w:top w:val="nil"/>
              <w:left w:val="nil"/>
              <w:bottom w:val="nil"/>
              <w:right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23,916,250.21</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2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293" w:type="dxa"/>
            <w:tcBorders>
              <w:top w:val="nil"/>
              <w:left w:val="nil"/>
              <w:bottom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43,800,961.33</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26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其他业务收入</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4" w:type="dxa"/>
            <w:tcBorders>
              <w:top w:val="nil"/>
              <w:left w:val="nil"/>
              <w:bottom w:val="nil"/>
              <w:right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293" w:type="dxa"/>
            <w:tcBorders>
              <w:top w:val="nil"/>
              <w:left w:val="nil"/>
              <w:bottom w:val="nil"/>
              <w:right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2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6,425,069.98</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293" w:type="dxa"/>
            <w:tcBorders>
              <w:top w:val="nil"/>
              <w:left w:val="nil"/>
              <w:bottom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6,425,069.98</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26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资产处置收益</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4" w:type="dxa"/>
            <w:tcBorders>
              <w:top w:val="nil"/>
              <w:left w:val="nil"/>
              <w:bottom w:val="nil"/>
              <w:right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293" w:type="dxa"/>
            <w:tcBorders>
              <w:top w:val="nil"/>
              <w:left w:val="nil"/>
              <w:bottom w:val="nil"/>
              <w:right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2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8,831,209.56</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293" w:type="dxa"/>
            <w:tcBorders>
              <w:top w:val="nil"/>
              <w:left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8,831,209.56</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26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其他收益</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74,025,501.25</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4" w:type="dxa"/>
            <w:tcBorders>
              <w:top w:val="nil"/>
              <w:left w:val="nil"/>
              <w:bottom w:val="nil"/>
              <w:right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97,461,970.45</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293" w:type="dxa"/>
            <w:tcBorders>
              <w:top w:val="nil"/>
              <w:left w:val="nil"/>
              <w:bottom w:val="nil"/>
              <w:right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2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2,340,092.05</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293" w:type="dxa"/>
            <w:tcBorders>
              <w:top w:val="nil"/>
              <w:left w:val="nil"/>
              <w:bottom w:val="single" w:sz="4" w:space="0" w:color="auto"/>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173,827,563.75</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261" w:type="dxa"/>
            <w:tcBorders>
              <w:top w:val="nil"/>
              <w:left w:val="nil"/>
              <w:bottom w:val="nil"/>
              <w:right w:val="nil"/>
            </w:tcBorders>
            <w:vAlign w:val="bottom"/>
          </w:tcPr>
          <w:p w:rsidR="00AD5BB5" w:rsidRDefault="00AD5BB5">
            <w:pPr>
              <w:autoSpaceDE w:val="0"/>
              <w:autoSpaceDN w:val="0"/>
              <w:ind w:left="195" w:hangingChars="150" w:hanging="195"/>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2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single" w:sz="4" w:space="0" w:color="auto"/>
              <w:left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261" w:type="dxa"/>
            <w:tcBorders>
              <w:top w:val="nil"/>
              <w:left w:val="nil"/>
              <w:bottom w:val="nil"/>
              <w:right w:val="nil"/>
            </w:tcBorders>
            <w:vAlign w:val="bottom"/>
          </w:tcPr>
          <w:p w:rsidR="00AD5BB5" w:rsidRDefault="00F87FF6">
            <w:pPr>
              <w:autoSpaceDE w:val="0"/>
              <w:autoSpaceDN w:val="0"/>
              <w:ind w:left="131" w:hangingChars="100" w:hanging="131"/>
              <w:rPr>
                <w:rFonts w:ascii="Arial" w:eastAsia="黑体" w:hAnsi="Arial" w:cs="Arial"/>
                <w:b/>
                <w:bCs/>
                <w:sz w:val="13"/>
                <w:szCs w:val="13"/>
              </w:rPr>
            </w:pPr>
            <w:r>
              <w:rPr>
                <w:rFonts w:ascii="Arial" w:eastAsia="黑体" w:hAnsi="Arial" w:cs="Arial"/>
                <w:b/>
                <w:bCs/>
                <w:sz w:val="13"/>
                <w:szCs w:val="13"/>
              </w:rPr>
              <w:t>营业收入</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3" w:type="dxa"/>
            <w:tcBorders>
              <w:top w:val="nil"/>
              <w:left w:val="nil"/>
              <w:bottom w:val="nil"/>
              <w:right w:val="nil"/>
            </w:tcBorders>
            <w:shd w:val="clear" w:color="auto" w:fill="auto"/>
            <w:vAlign w:val="center"/>
          </w:tcPr>
          <w:p w:rsidR="00AD5BB5" w:rsidRDefault="00F87FF6">
            <w:pPr>
              <w:autoSpaceDE w:val="0"/>
              <w:autoSpaceDN w:val="0"/>
              <w:jc w:val="right"/>
              <w:rPr>
                <w:rFonts w:ascii="Arial" w:eastAsia="黑体" w:hAnsi="Arial" w:cs="Arial"/>
                <w:b/>
                <w:bCs/>
                <w:sz w:val="13"/>
              </w:rPr>
            </w:pPr>
            <w:r>
              <w:rPr>
                <w:rFonts w:ascii="Arial" w:eastAsia="黑体" w:hAnsi="Arial" w:cs="Arial"/>
                <w:b/>
                <w:bCs/>
                <w:sz w:val="13"/>
              </w:rPr>
              <w:t>1,804,378,171.43</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rPr>
            </w:pPr>
          </w:p>
        </w:tc>
        <w:tc>
          <w:tcPr>
            <w:tcW w:w="1214" w:type="dxa"/>
            <w:tcBorders>
              <w:top w:val="nil"/>
              <w:left w:val="nil"/>
              <w:bottom w:val="nil"/>
              <w:right w:val="nil"/>
            </w:tcBorders>
            <w:shd w:val="clear" w:color="auto" w:fill="auto"/>
            <w:vAlign w:val="center"/>
          </w:tcPr>
          <w:p w:rsidR="00AD5BB5" w:rsidRDefault="00F87FF6">
            <w:pPr>
              <w:autoSpaceDE w:val="0"/>
              <w:autoSpaceDN w:val="0"/>
              <w:jc w:val="right"/>
              <w:rPr>
                <w:rFonts w:ascii="Arial" w:eastAsia="黑体" w:hAnsi="Arial" w:cs="Arial"/>
                <w:b/>
                <w:bCs/>
                <w:sz w:val="13"/>
              </w:rPr>
            </w:pPr>
            <w:r>
              <w:rPr>
                <w:rFonts w:ascii="Arial" w:eastAsia="黑体" w:hAnsi="Arial" w:cs="Arial"/>
                <w:b/>
                <w:bCs/>
                <w:sz w:val="13"/>
              </w:rPr>
              <w:t>754,194,132.97</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rPr>
            </w:pPr>
          </w:p>
        </w:tc>
        <w:tc>
          <w:tcPr>
            <w:tcW w:w="1293" w:type="dxa"/>
            <w:tcBorders>
              <w:top w:val="nil"/>
              <w:left w:val="nil"/>
              <w:bottom w:val="nil"/>
              <w:right w:val="nil"/>
            </w:tcBorders>
            <w:shd w:val="clear" w:color="auto" w:fill="auto"/>
            <w:vAlign w:val="center"/>
          </w:tcPr>
          <w:p w:rsidR="00AD5BB5" w:rsidRDefault="00F87FF6">
            <w:pPr>
              <w:autoSpaceDE w:val="0"/>
              <w:autoSpaceDN w:val="0"/>
              <w:jc w:val="right"/>
              <w:rPr>
                <w:rFonts w:ascii="Arial" w:eastAsia="黑体" w:hAnsi="Arial" w:cs="Arial"/>
                <w:b/>
                <w:bCs/>
                <w:sz w:val="13"/>
              </w:rPr>
            </w:pPr>
            <w:r>
              <w:rPr>
                <w:rFonts w:ascii="Arial" w:eastAsia="黑体" w:hAnsi="Arial" w:cs="Arial"/>
                <w:b/>
                <w:bCs/>
                <w:sz w:val="13"/>
              </w:rPr>
              <w:t>381,347,903.05</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rPr>
            </w:pPr>
          </w:p>
        </w:tc>
        <w:tc>
          <w:tcPr>
            <w:tcW w:w="1020"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13"/>
              </w:rPr>
            </w:pPr>
            <w:r>
              <w:rPr>
                <w:rFonts w:ascii="Arial" w:eastAsia="黑体" w:hAnsi="Arial" w:cs="Arial"/>
                <w:b/>
                <w:bCs/>
                <w:sz w:val="13"/>
              </w:rPr>
              <w:t>17,596,371.59</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rPr>
            </w:pPr>
          </w:p>
        </w:tc>
        <w:tc>
          <w:tcPr>
            <w:tcW w:w="1293" w:type="dxa"/>
            <w:tcBorders>
              <w:top w:val="nil"/>
              <w:left w:val="nil"/>
              <w:bottom w:val="nil"/>
            </w:tcBorders>
            <w:shd w:val="clear" w:color="auto" w:fill="auto"/>
            <w:vAlign w:val="center"/>
          </w:tcPr>
          <w:p w:rsidR="00AD5BB5" w:rsidRDefault="00F87FF6">
            <w:pPr>
              <w:autoSpaceDE w:val="0"/>
              <w:autoSpaceDN w:val="0"/>
              <w:jc w:val="right"/>
              <w:rPr>
                <w:rFonts w:ascii="Arial" w:eastAsia="黑体" w:hAnsi="Arial" w:cs="Arial"/>
                <w:b/>
                <w:bCs/>
                <w:sz w:val="13"/>
              </w:rPr>
            </w:pPr>
            <w:r>
              <w:rPr>
                <w:rFonts w:ascii="Arial" w:eastAsia="黑体" w:hAnsi="Arial" w:cs="Arial"/>
                <w:b/>
                <w:bCs/>
                <w:sz w:val="13"/>
              </w:rPr>
              <w:t>2,957,516,579.04</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261" w:type="dxa"/>
            <w:tcBorders>
              <w:top w:val="nil"/>
              <w:left w:val="nil"/>
              <w:bottom w:val="nil"/>
              <w:right w:val="nil"/>
            </w:tcBorders>
            <w:vAlign w:val="bottom"/>
          </w:tcPr>
          <w:p w:rsidR="00AD5BB5" w:rsidRDefault="00AD5BB5">
            <w:pPr>
              <w:autoSpaceDE w:val="0"/>
              <w:autoSpaceDN w:val="0"/>
              <w:ind w:left="195" w:hangingChars="150" w:hanging="195"/>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shd w:val="clear" w:color="auto" w:fill="auto"/>
            <w:vAlign w:val="center"/>
          </w:tcPr>
          <w:p w:rsidR="00AD5BB5" w:rsidRDefault="00AD5BB5">
            <w:pPr>
              <w:autoSpaceDE w:val="0"/>
              <w:autoSpaceDN w:val="0"/>
              <w:jc w:val="right"/>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4" w:type="dxa"/>
            <w:tcBorders>
              <w:top w:val="nil"/>
              <w:left w:val="nil"/>
              <w:bottom w:val="nil"/>
              <w:right w:val="nil"/>
            </w:tcBorders>
            <w:shd w:val="clear" w:color="auto" w:fill="auto"/>
            <w:vAlign w:val="center"/>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shd w:val="clear" w:color="auto" w:fill="auto"/>
            <w:vAlign w:val="center"/>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2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tcBorders>
            <w:shd w:val="clear" w:color="auto" w:fill="auto"/>
            <w:vAlign w:val="center"/>
          </w:tcPr>
          <w:p w:rsidR="00AD5BB5" w:rsidRDefault="00F87FF6">
            <w:pPr>
              <w:autoSpaceDE w:val="0"/>
              <w:autoSpaceDN w:val="0"/>
              <w:jc w:val="right"/>
              <w:rPr>
                <w:rFonts w:ascii="Arial" w:eastAsia="黑体" w:hAnsi="Arial" w:cs="Arial"/>
                <w:sz w:val="13"/>
                <w:szCs w:val="13"/>
              </w:rPr>
            </w:pPr>
            <w:r>
              <w:rPr>
                <w:rFonts w:ascii="Arial" w:hAnsi="Arial" w:cs="Arial"/>
                <w:color w:val="000000"/>
                <w:sz w:val="20"/>
              </w:rPr>
              <w:t xml:space="preserve">　</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26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税金及附加</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(19,121,677.00</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21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(13,603,891.69</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293"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(3,220,268.94</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2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293" w:type="dxa"/>
            <w:tcBorders>
              <w:top w:val="nil"/>
              <w:left w:val="nil"/>
              <w:bottom w:val="nil"/>
            </w:tcBorders>
            <w:shd w:val="clear" w:color="auto" w:fill="auto"/>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(35,945,837.63</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szCs w:val="13"/>
              </w:rPr>
            </w:pPr>
            <w:r>
              <w:rPr>
                <w:rFonts w:ascii="Arial" w:eastAsia="黑体" w:hAnsi="Arial" w:cs="Arial"/>
                <w:sz w:val="13"/>
              </w:rPr>
              <w:t>)</w:t>
            </w:r>
          </w:p>
        </w:tc>
      </w:tr>
      <w:tr w:rsidR="00AD5BB5">
        <w:tc>
          <w:tcPr>
            <w:tcW w:w="126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业务及管理费</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(651,998,877.52</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21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(315,929,539.34</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293"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(107,059,835.87</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2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(6,964,184.87</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293" w:type="dxa"/>
            <w:tcBorders>
              <w:top w:val="nil"/>
              <w:left w:val="nil"/>
              <w:bottom w:val="nil"/>
            </w:tcBorders>
            <w:shd w:val="clear" w:color="auto" w:fill="auto"/>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(1,081,952,437.60</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szCs w:val="13"/>
              </w:rPr>
            </w:pPr>
            <w:r>
              <w:rPr>
                <w:rFonts w:ascii="Arial" w:eastAsia="黑体" w:hAnsi="Arial" w:cs="Arial"/>
                <w:sz w:val="13"/>
              </w:rPr>
              <w:t>)</w:t>
            </w:r>
          </w:p>
        </w:tc>
      </w:tr>
      <w:tr w:rsidR="00AD5BB5">
        <w:tc>
          <w:tcPr>
            <w:tcW w:w="126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信用减值损失</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(231,491,540.27</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21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(28,415,613.14</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293"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70,084,319.02</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2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293" w:type="dxa"/>
            <w:tcBorders>
              <w:top w:val="nil"/>
              <w:left w:val="nil"/>
              <w:bottom w:val="nil"/>
            </w:tcBorders>
            <w:shd w:val="clear" w:color="auto" w:fill="auto"/>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(189,822,834.39</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szCs w:val="13"/>
              </w:rPr>
            </w:pPr>
            <w:r>
              <w:rPr>
                <w:rFonts w:ascii="Arial" w:eastAsia="黑体" w:hAnsi="Arial" w:cs="Arial"/>
                <w:sz w:val="13"/>
              </w:rPr>
              <w:t>)</w:t>
            </w:r>
          </w:p>
        </w:tc>
      </w:tr>
      <w:tr w:rsidR="00AD5BB5">
        <w:tc>
          <w:tcPr>
            <w:tcW w:w="126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资产减值损失</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293"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2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293" w:type="dxa"/>
            <w:tcBorders>
              <w:top w:val="nil"/>
              <w:left w:val="nil"/>
            </w:tcBorders>
            <w:shd w:val="clear" w:color="auto" w:fill="auto"/>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w:t>
            </w:r>
          </w:p>
        </w:tc>
        <w:tc>
          <w:tcPr>
            <w:tcW w:w="105" w:type="dxa"/>
            <w:tcBorders>
              <w:top w:val="nil"/>
              <w:left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26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其他业务成本</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293"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2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(322,116.99</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293" w:type="dxa"/>
            <w:tcBorders>
              <w:top w:val="nil"/>
              <w:left w:val="nil"/>
              <w:bottom w:val="nil"/>
            </w:tcBorders>
            <w:shd w:val="clear" w:color="auto" w:fill="auto"/>
            <w:vAlign w:val="bottom"/>
          </w:tcPr>
          <w:p w:rsidR="00AD5BB5" w:rsidRDefault="00F87FF6">
            <w:pPr>
              <w:autoSpaceDE w:val="0"/>
              <w:autoSpaceDN w:val="0"/>
              <w:jc w:val="right"/>
              <w:rPr>
                <w:rFonts w:ascii="Arial" w:eastAsia="黑体" w:hAnsi="Arial" w:cs="Arial"/>
                <w:sz w:val="13"/>
              </w:rPr>
            </w:pPr>
            <w:r>
              <w:rPr>
                <w:rFonts w:ascii="Arial" w:eastAsia="黑体" w:hAnsi="Arial" w:cs="Arial"/>
                <w:sz w:val="13"/>
              </w:rPr>
              <w:t>(322,116.99</w:t>
            </w:r>
          </w:p>
        </w:tc>
        <w:tc>
          <w:tcPr>
            <w:tcW w:w="105" w:type="dxa"/>
            <w:tcBorders>
              <w:top w:val="nil"/>
              <w:bottom w:val="nil"/>
            </w:tcBorders>
            <w:vAlign w:val="bottom"/>
          </w:tcPr>
          <w:p w:rsidR="00AD5BB5" w:rsidRDefault="00F87FF6">
            <w:pPr>
              <w:autoSpaceDE w:val="0"/>
              <w:autoSpaceDN w:val="0"/>
              <w:rPr>
                <w:rFonts w:ascii="Arial" w:eastAsia="黑体" w:hAnsi="Arial" w:cs="Arial"/>
                <w:sz w:val="13"/>
                <w:szCs w:val="13"/>
              </w:rPr>
            </w:pPr>
            <w:r>
              <w:rPr>
                <w:rFonts w:ascii="Arial" w:eastAsia="黑体" w:hAnsi="Arial" w:cs="Arial"/>
                <w:sz w:val="13"/>
              </w:rPr>
              <w:t>)</w:t>
            </w:r>
          </w:p>
        </w:tc>
      </w:tr>
      <w:tr w:rsidR="00AD5BB5">
        <w:tc>
          <w:tcPr>
            <w:tcW w:w="1261" w:type="dxa"/>
            <w:tcBorders>
              <w:top w:val="nil"/>
              <w:left w:val="nil"/>
              <w:bottom w:val="nil"/>
              <w:right w:val="nil"/>
            </w:tcBorders>
            <w:vAlign w:val="bottom"/>
          </w:tcPr>
          <w:p w:rsidR="00AD5BB5" w:rsidRDefault="00AD5BB5">
            <w:pPr>
              <w:autoSpaceDE w:val="0"/>
              <w:autoSpaceDN w:val="0"/>
              <w:ind w:left="196" w:hangingChars="150" w:hanging="196"/>
              <w:rPr>
                <w:rFonts w:ascii="Arial" w:eastAsia="黑体" w:hAnsi="Arial" w:cs="Arial"/>
                <w:b/>
                <w:bCs/>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2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261" w:type="dxa"/>
            <w:tcBorders>
              <w:top w:val="nil"/>
              <w:left w:val="nil"/>
              <w:bottom w:val="nil"/>
              <w:right w:val="nil"/>
            </w:tcBorders>
            <w:vAlign w:val="bottom"/>
          </w:tcPr>
          <w:p w:rsidR="00AD5BB5" w:rsidRDefault="00F87FF6">
            <w:pPr>
              <w:autoSpaceDE w:val="0"/>
              <w:autoSpaceDN w:val="0"/>
              <w:ind w:left="131" w:hangingChars="100" w:hanging="131"/>
              <w:rPr>
                <w:rFonts w:ascii="Arial" w:eastAsia="黑体" w:hAnsi="Arial" w:cs="Arial"/>
                <w:b/>
                <w:bCs/>
                <w:sz w:val="13"/>
                <w:szCs w:val="13"/>
              </w:rPr>
            </w:pPr>
            <w:r>
              <w:rPr>
                <w:rFonts w:ascii="Arial" w:eastAsia="黑体" w:hAnsi="Arial" w:cs="Arial"/>
                <w:b/>
                <w:bCs/>
                <w:sz w:val="13"/>
                <w:szCs w:val="13"/>
              </w:rPr>
              <w:t>营业支出</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3"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b/>
                <w:bCs/>
                <w:sz w:val="13"/>
              </w:rPr>
            </w:pPr>
            <w:r>
              <w:rPr>
                <w:rFonts w:ascii="Arial" w:eastAsia="黑体" w:hAnsi="Arial" w:cs="Arial"/>
                <w:b/>
                <w:bCs/>
                <w:sz w:val="13"/>
              </w:rPr>
              <w:t>(902,612,094.79</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b/>
                <w:bCs/>
                <w:sz w:val="13"/>
              </w:rPr>
            </w:pPr>
            <w:r>
              <w:rPr>
                <w:rFonts w:ascii="Arial" w:eastAsia="黑体" w:hAnsi="Arial" w:cs="Arial"/>
                <w:b/>
                <w:bCs/>
                <w:sz w:val="13"/>
              </w:rPr>
              <w:t>(357,949,044.17</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b/>
                <w:bCs/>
                <w:sz w:val="13"/>
              </w:rPr>
            </w:pPr>
            <w:r>
              <w:rPr>
                <w:rFonts w:ascii="Arial" w:eastAsia="黑体" w:hAnsi="Arial" w:cs="Arial"/>
                <w:b/>
                <w:bCs/>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rPr>
            </w:pPr>
          </w:p>
        </w:tc>
        <w:tc>
          <w:tcPr>
            <w:tcW w:w="1293"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b/>
                <w:bCs/>
                <w:sz w:val="13"/>
              </w:rPr>
            </w:pPr>
            <w:r>
              <w:rPr>
                <w:rFonts w:ascii="Arial" w:eastAsia="黑体" w:hAnsi="Arial" w:cs="Arial"/>
                <w:b/>
                <w:bCs/>
                <w:sz w:val="13"/>
              </w:rPr>
              <w:t>(40,195,785.79</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b/>
                <w:bCs/>
                <w:sz w:val="13"/>
                <w:szCs w:val="13"/>
              </w:rPr>
            </w:pPr>
            <w:r>
              <w:rPr>
                <w:rFonts w:ascii="Arial" w:eastAsia="黑体" w:hAnsi="Arial" w:cs="Arial"/>
                <w:b/>
                <w:bCs/>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20"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rPr>
              <w:t>(7,286,301.86</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b/>
                <w:bCs/>
                <w:sz w:val="13"/>
                <w:szCs w:val="13"/>
              </w:rPr>
            </w:pPr>
            <w:r>
              <w:rPr>
                <w:rFonts w:ascii="Arial" w:eastAsia="黑体" w:hAnsi="Arial" w:cs="Arial"/>
                <w:b/>
                <w:bCs/>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3"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rPr>
              <w:t>(1,308,043,226.61</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b/>
                <w:bCs/>
                <w:sz w:val="13"/>
                <w:szCs w:val="13"/>
              </w:rPr>
            </w:pPr>
            <w:r>
              <w:rPr>
                <w:rFonts w:ascii="Arial" w:eastAsia="黑体" w:hAnsi="Arial" w:cs="Arial"/>
                <w:b/>
                <w:bCs/>
                <w:sz w:val="13"/>
              </w:rPr>
              <w:t>)</w:t>
            </w:r>
          </w:p>
        </w:tc>
      </w:tr>
      <w:tr w:rsidR="00AD5BB5">
        <w:tc>
          <w:tcPr>
            <w:tcW w:w="1261" w:type="dxa"/>
            <w:tcBorders>
              <w:top w:val="nil"/>
              <w:left w:val="nil"/>
              <w:bottom w:val="nil"/>
              <w:right w:val="nil"/>
            </w:tcBorders>
            <w:vAlign w:val="bottom"/>
          </w:tcPr>
          <w:p w:rsidR="00AD5BB5" w:rsidRDefault="00AD5BB5">
            <w:pPr>
              <w:autoSpaceDE w:val="0"/>
              <w:autoSpaceDN w:val="0"/>
              <w:ind w:left="196" w:hangingChars="150" w:hanging="196"/>
              <w:rPr>
                <w:rFonts w:ascii="Arial" w:eastAsia="黑体" w:hAnsi="Arial" w:cs="Arial"/>
                <w:b/>
                <w:bCs/>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3"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b/>
                <w:bCs/>
                <w:sz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4"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b/>
                <w:bCs/>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rPr>
            </w:pPr>
          </w:p>
        </w:tc>
        <w:tc>
          <w:tcPr>
            <w:tcW w:w="1293"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b/>
                <w:bCs/>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20" w:type="dxa"/>
            <w:tcBorders>
              <w:top w:val="nil"/>
              <w:left w:val="nil"/>
              <w:bottom w:val="nil"/>
              <w:right w:val="nil"/>
            </w:tcBorders>
            <w:vAlign w:val="bottom"/>
          </w:tcPr>
          <w:p w:rsidR="00AD5BB5" w:rsidRDefault="00AD5BB5">
            <w:pPr>
              <w:autoSpaceDE w:val="0"/>
              <w:autoSpaceDN w:val="0"/>
              <w:jc w:val="right"/>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3" w:type="dxa"/>
            <w:tcBorders>
              <w:top w:val="nil"/>
              <w:left w:val="nil"/>
              <w:bottom w:val="nil"/>
              <w:right w:val="nil"/>
            </w:tcBorders>
            <w:vAlign w:val="bottom"/>
          </w:tcPr>
          <w:p w:rsidR="00AD5BB5" w:rsidRDefault="00AD5BB5">
            <w:pPr>
              <w:autoSpaceDE w:val="0"/>
              <w:autoSpaceDN w:val="0"/>
              <w:jc w:val="right"/>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261" w:type="dxa"/>
            <w:tcBorders>
              <w:top w:val="nil"/>
              <w:left w:val="nil"/>
              <w:bottom w:val="nil"/>
              <w:right w:val="nil"/>
            </w:tcBorders>
            <w:vAlign w:val="bottom"/>
          </w:tcPr>
          <w:p w:rsidR="00AD5BB5" w:rsidRDefault="00F87FF6">
            <w:pPr>
              <w:autoSpaceDE w:val="0"/>
              <w:autoSpaceDN w:val="0"/>
              <w:ind w:left="131" w:hangingChars="100" w:hanging="131"/>
              <w:rPr>
                <w:rFonts w:ascii="Arial" w:eastAsia="黑体" w:hAnsi="Arial" w:cs="Arial"/>
                <w:b/>
                <w:bCs/>
                <w:sz w:val="13"/>
                <w:szCs w:val="13"/>
              </w:rPr>
            </w:pPr>
            <w:r>
              <w:rPr>
                <w:rFonts w:ascii="Arial" w:eastAsia="黑体" w:hAnsi="Arial" w:cs="Arial"/>
                <w:b/>
                <w:bCs/>
                <w:sz w:val="13"/>
                <w:szCs w:val="13"/>
              </w:rPr>
              <w:t>营业利润</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3"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b/>
                <w:bCs/>
                <w:sz w:val="13"/>
              </w:rPr>
            </w:pPr>
            <w:r>
              <w:rPr>
                <w:rFonts w:ascii="Arial" w:eastAsia="黑体" w:hAnsi="Arial" w:cs="Arial"/>
                <w:b/>
                <w:bCs/>
                <w:sz w:val="13"/>
              </w:rPr>
              <w:t>901,766,076.64</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b/>
                <w:bCs/>
                <w:sz w:val="13"/>
              </w:rPr>
            </w:pPr>
            <w:r>
              <w:rPr>
                <w:rFonts w:ascii="Arial" w:eastAsia="黑体" w:hAnsi="Arial" w:cs="Arial"/>
                <w:b/>
                <w:bCs/>
                <w:sz w:val="13"/>
              </w:rPr>
              <w:t>396,245,088.80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rPr>
            </w:pPr>
          </w:p>
        </w:tc>
        <w:tc>
          <w:tcPr>
            <w:tcW w:w="1293"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b/>
                <w:bCs/>
                <w:sz w:val="13"/>
              </w:rPr>
            </w:pPr>
            <w:r>
              <w:rPr>
                <w:rFonts w:ascii="Arial" w:eastAsia="黑体" w:hAnsi="Arial" w:cs="Arial"/>
                <w:b/>
                <w:bCs/>
                <w:sz w:val="13"/>
              </w:rPr>
              <w:t>341,152,117.26</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20"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rPr>
              <w:t>10,310,069.73</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3"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rPr>
              <w:t>1,649,473,352.43</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r>
      <w:tr w:rsidR="00AD5BB5">
        <w:tc>
          <w:tcPr>
            <w:tcW w:w="1261" w:type="dxa"/>
            <w:tcBorders>
              <w:top w:val="nil"/>
              <w:left w:val="nil"/>
              <w:bottom w:val="nil"/>
              <w:right w:val="nil"/>
            </w:tcBorders>
            <w:vAlign w:val="bottom"/>
          </w:tcPr>
          <w:p w:rsidR="00AD5BB5" w:rsidRDefault="00AD5BB5">
            <w:pPr>
              <w:autoSpaceDE w:val="0"/>
              <w:autoSpaceDN w:val="0"/>
              <w:ind w:left="195" w:hangingChars="150" w:hanging="195"/>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1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2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261" w:type="dxa"/>
            <w:tcBorders>
              <w:top w:val="nil"/>
              <w:left w:val="nil"/>
              <w:bottom w:val="nil"/>
              <w:right w:val="nil"/>
            </w:tcBorders>
            <w:vAlign w:val="bottom"/>
          </w:tcPr>
          <w:p w:rsidR="00AD5BB5" w:rsidRDefault="00F87FF6">
            <w:pPr>
              <w:autoSpaceDE w:val="0"/>
              <w:autoSpaceDN w:val="0"/>
              <w:ind w:left="390" w:hangingChars="300" w:hanging="390"/>
              <w:rPr>
                <w:rFonts w:ascii="Arial" w:eastAsia="黑体" w:hAnsi="Arial" w:cs="Arial"/>
                <w:sz w:val="13"/>
                <w:szCs w:val="13"/>
              </w:rPr>
            </w:pPr>
            <w:r>
              <w:rPr>
                <w:rFonts w:ascii="Arial" w:eastAsia="黑体" w:hAnsi="Arial" w:cs="Arial"/>
                <w:sz w:val="13"/>
                <w:szCs w:val="13"/>
              </w:rPr>
              <w:t>加：营业外收入</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1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2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rPr>
              <w:t>1,376,067.18</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rPr>
              <w:t>1,376,067.18</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261" w:type="dxa"/>
            <w:tcBorders>
              <w:top w:val="nil"/>
              <w:left w:val="nil"/>
              <w:bottom w:val="nil"/>
              <w:right w:val="nil"/>
            </w:tcBorders>
            <w:vAlign w:val="bottom"/>
          </w:tcPr>
          <w:p w:rsidR="00AD5BB5" w:rsidRDefault="00F87FF6">
            <w:pPr>
              <w:autoSpaceDE w:val="0"/>
              <w:autoSpaceDN w:val="0"/>
              <w:ind w:left="390" w:hangingChars="300" w:hanging="390"/>
              <w:rPr>
                <w:rFonts w:ascii="Arial" w:eastAsia="黑体" w:hAnsi="Arial" w:cs="Arial"/>
                <w:sz w:val="13"/>
                <w:szCs w:val="13"/>
              </w:rPr>
            </w:pPr>
            <w:r>
              <w:rPr>
                <w:rFonts w:ascii="Arial" w:eastAsia="黑体" w:hAnsi="Arial" w:cs="Arial"/>
                <w:sz w:val="13"/>
                <w:szCs w:val="13"/>
              </w:rPr>
              <w:t>减：营业外支出</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1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2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rPr>
              <w:t>(3,512,463.15</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szCs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rPr>
              <w:t>(3,512,463.15</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szCs w:val="13"/>
              </w:rPr>
            </w:pPr>
            <w:r>
              <w:rPr>
                <w:rFonts w:ascii="Arial" w:eastAsia="黑体" w:hAnsi="Arial" w:cs="Arial"/>
                <w:sz w:val="13"/>
              </w:rPr>
              <w:t>)</w:t>
            </w:r>
          </w:p>
        </w:tc>
      </w:tr>
      <w:tr w:rsidR="00AD5BB5">
        <w:tc>
          <w:tcPr>
            <w:tcW w:w="1261" w:type="dxa"/>
            <w:tcBorders>
              <w:top w:val="nil"/>
              <w:left w:val="nil"/>
              <w:bottom w:val="nil"/>
              <w:right w:val="nil"/>
            </w:tcBorders>
            <w:vAlign w:val="bottom"/>
          </w:tcPr>
          <w:p w:rsidR="00AD5BB5" w:rsidRDefault="00AD5BB5">
            <w:pPr>
              <w:autoSpaceDE w:val="0"/>
              <w:autoSpaceDN w:val="0"/>
              <w:ind w:left="196" w:hangingChars="150" w:hanging="196"/>
              <w:rPr>
                <w:rFonts w:ascii="Arial" w:eastAsia="黑体" w:hAnsi="Arial" w:cs="Arial"/>
                <w:b/>
                <w:bCs/>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1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2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261" w:type="dxa"/>
            <w:tcBorders>
              <w:top w:val="nil"/>
              <w:left w:val="nil"/>
              <w:bottom w:val="nil"/>
              <w:right w:val="nil"/>
            </w:tcBorders>
            <w:vAlign w:val="bottom"/>
          </w:tcPr>
          <w:p w:rsidR="00AD5BB5" w:rsidRDefault="00F87FF6">
            <w:pPr>
              <w:autoSpaceDE w:val="0"/>
              <w:autoSpaceDN w:val="0"/>
              <w:ind w:left="131" w:hangingChars="100" w:hanging="131"/>
              <w:rPr>
                <w:rFonts w:ascii="Arial" w:eastAsia="黑体" w:hAnsi="Arial" w:cs="Arial"/>
                <w:b/>
                <w:bCs/>
                <w:sz w:val="13"/>
                <w:szCs w:val="13"/>
              </w:rPr>
            </w:pPr>
            <w:r>
              <w:rPr>
                <w:rFonts w:ascii="Arial" w:eastAsia="黑体" w:hAnsi="Arial" w:cs="Arial"/>
                <w:b/>
                <w:bCs/>
                <w:sz w:val="13"/>
                <w:szCs w:val="13"/>
              </w:rPr>
              <w:t>利润总额</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3"/>
              </w:rPr>
            </w:pPr>
            <w:r>
              <w:rPr>
                <w:rFonts w:ascii="Arial" w:eastAsia="黑体" w:hAnsi="Arial" w:cs="Arial"/>
                <w:b/>
                <w:bCs/>
                <w:sz w:val="13"/>
              </w:rPr>
              <w:t>901,766,076.64</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1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3"/>
              </w:rPr>
            </w:pPr>
            <w:r>
              <w:rPr>
                <w:rFonts w:ascii="Arial" w:eastAsia="黑体" w:hAnsi="Arial" w:cs="Arial"/>
                <w:b/>
                <w:bCs/>
                <w:sz w:val="13"/>
              </w:rPr>
              <w:t>396,245,088.80</w:t>
            </w:r>
          </w:p>
        </w:tc>
        <w:tc>
          <w:tcPr>
            <w:tcW w:w="105" w:type="dxa"/>
            <w:tcBorders>
              <w:top w:val="nil"/>
              <w:left w:val="nil"/>
              <w:bottom w:val="nil"/>
              <w:right w:val="nil"/>
            </w:tcBorders>
            <w:vAlign w:val="bottom"/>
          </w:tcPr>
          <w:p w:rsidR="00AD5BB5" w:rsidRDefault="00AD5BB5">
            <w:pPr>
              <w:autoSpaceDE w:val="0"/>
              <w:autoSpaceDN w:val="0"/>
              <w:ind w:right="393"/>
              <w:jc w:val="right"/>
              <w:rPr>
                <w:rFonts w:ascii="Arial" w:eastAsia="黑体" w:hAnsi="Arial" w:cs="Arial"/>
                <w:b/>
                <w:bCs/>
                <w:sz w:val="13"/>
              </w:rPr>
            </w:pPr>
          </w:p>
        </w:tc>
        <w:tc>
          <w:tcPr>
            <w:tcW w:w="105" w:type="dxa"/>
            <w:tcBorders>
              <w:top w:val="nil"/>
              <w:left w:val="nil"/>
              <w:bottom w:val="nil"/>
              <w:right w:val="nil"/>
            </w:tcBorders>
            <w:vAlign w:val="bottom"/>
          </w:tcPr>
          <w:p w:rsidR="00AD5BB5" w:rsidRDefault="00AD5BB5">
            <w:pPr>
              <w:autoSpaceDE w:val="0"/>
              <w:autoSpaceDN w:val="0"/>
              <w:jc w:val="right"/>
              <w:rPr>
                <w:rFonts w:ascii="Arial" w:eastAsia="黑体" w:hAnsi="Arial" w:cs="Arial"/>
                <w:b/>
                <w:bCs/>
                <w:sz w:val="13"/>
              </w:rPr>
            </w:pPr>
          </w:p>
        </w:tc>
        <w:tc>
          <w:tcPr>
            <w:tcW w:w="129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3"/>
              </w:rPr>
            </w:pPr>
            <w:r>
              <w:rPr>
                <w:rFonts w:ascii="Arial" w:eastAsia="黑体" w:hAnsi="Arial" w:cs="Arial"/>
                <w:b/>
                <w:bCs/>
                <w:sz w:val="13"/>
              </w:rPr>
              <w:t>341,152,117.26</w:t>
            </w:r>
          </w:p>
        </w:tc>
        <w:tc>
          <w:tcPr>
            <w:tcW w:w="105" w:type="dxa"/>
            <w:tcBorders>
              <w:top w:val="nil"/>
              <w:left w:val="nil"/>
              <w:bottom w:val="nil"/>
              <w:right w:val="nil"/>
            </w:tcBorders>
            <w:vAlign w:val="bottom"/>
          </w:tcPr>
          <w:p w:rsidR="00AD5BB5" w:rsidRDefault="00AD5BB5">
            <w:pPr>
              <w:autoSpaceDE w:val="0"/>
              <w:autoSpaceDN w:val="0"/>
              <w:jc w:val="right"/>
              <w:rPr>
                <w:rFonts w:ascii="Arial" w:eastAsia="黑体" w:hAnsi="Arial" w:cs="Arial"/>
                <w:b/>
                <w:bCs/>
                <w:sz w:val="13"/>
              </w:rPr>
            </w:pPr>
          </w:p>
        </w:tc>
        <w:tc>
          <w:tcPr>
            <w:tcW w:w="105" w:type="dxa"/>
            <w:tcBorders>
              <w:top w:val="nil"/>
              <w:left w:val="nil"/>
              <w:bottom w:val="nil"/>
              <w:right w:val="nil"/>
            </w:tcBorders>
            <w:vAlign w:val="bottom"/>
          </w:tcPr>
          <w:p w:rsidR="00AD5BB5" w:rsidRDefault="00AD5BB5">
            <w:pPr>
              <w:autoSpaceDE w:val="0"/>
              <w:autoSpaceDN w:val="0"/>
              <w:jc w:val="right"/>
              <w:rPr>
                <w:rFonts w:ascii="Arial" w:eastAsia="黑体" w:hAnsi="Arial" w:cs="Arial"/>
                <w:b/>
                <w:bCs/>
                <w:sz w:val="13"/>
              </w:rPr>
            </w:pPr>
          </w:p>
        </w:tc>
        <w:tc>
          <w:tcPr>
            <w:tcW w:w="1020"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3"/>
              </w:rPr>
            </w:pPr>
            <w:r>
              <w:rPr>
                <w:rFonts w:ascii="Arial" w:eastAsia="黑体" w:hAnsi="Arial" w:cs="Arial"/>
                <w:b/>
                <w:bCs/>
                <w:sz w:val="13"/>
              </w:rPr>
              <w:t>8,173,673.76</w:t>
            </w:r>
          </w:p>
        </w:tc>
        <w:tc>
          <w:tcPr>
            <w:tcW w:w="105" w:type="dxa"/>
            <w:tcBorders>
              <w:top w:val="nil"/>
              <w:left w:val="nil"/>
              <w:bottom w:val="nil"/>
              <w:right w:val="nil"/>
            </w:tcBorders>
            <w:vAlign w:val="bottom"/>
          </w:tcPr>
          <w:p w:rsidR="00AD5BB5" w:rsidRDefault="00AD5BB5">
            <w:pPr>
              <w:autoSpaceDE w:val="0"/>
              <w:autoSpaceDN w:val="0"/>
              <w:jc w:val="right"/>
              <w:rPr>
                <w:rFonts w:ascii="Arial" w:eastAsia="黑体" w:hAnsi="Arial" w:cs="Arial"/>
                <w:b/>
                <w:bCs/>
                <w:sz w:val="13"/>
              </w:rPr>
            </w:pPr>
          </w:p>
        </w:tc>
        <w:tc>
          <w:tcPr>
            <w:tcW w:w="105" w:type="dxa"/>
            <w:tcBorders>
              <w:top w:val="nil"/>
              <w:left w:val="nil"/>
              <w:bottom w:val="nil"/>
              <w:right w:val="nil"/>
            </w:tcBorders>
            <w:vAlign w:val="bottom"/>
          </w:tcPr>
          <w:p w:rsidR="00AD5BB5" w:rsidRDefault="00AD5BB5">
            <w:pPr>
              <w:autoSpaceDE w:val="0"/>
              <w:autoSpaceDN w:val="0"/>
              <w:jc w:val="right"/>
              <w:rPr>
                <w:rFonts w:ascii="Arial" w:eastAsia="黑体" w:hAnsi="Arial" w:cs="Arial"/>
                <w:b/>
                <w:bCs/>
                <w:sz w:val="13"/>
              </w:rPr>
            </w:pPr>
          </w:p>
        </w:tc>
        <w:tc>
          <w:tcPr>
            <w:tcW w:w="129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3"/>
              </w:rPr>
            </w:pPr>
            <w:r>
              <w:rPr>
                <w:rFonts w:ascii="Arial" w:eastAsia="黑体" w:hAnsi="Arial" w:cs="Arial"/>
                <w:b/>
                <w:bCs/>
                <w:sz w:val="13"/>
              </w:rPr>
              <w:t>1,647,336,956.46</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261" w:type="dxa"/>
            <w:tcBorders>
              <w:top w:val="nil"/>
              <w:left w:val="nil"/>
              <w:bottom w:val="nil"/>
              <w:right w:val="nil"/>
            </w:tcBorders>
            <w:vAlign w:val="bottom"/>
          </w:tcPr>
          <w:p w:rsidR="00AD5BB5" w:rsidRDefault="00AD5BB5">
            <w:pPr>
              <w:autoSpaceDE w:val="0"/>
              <w:autoSpaceDN w:val="0"/>
              <w:ind w:left="195" w:hangingChars="150" w:hanging="195"/>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14"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20"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26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所得税费用</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1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2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rPr>
              <w:t>(172,325,491.94</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szCs w:val="13"/>
              </w:rPr>
            </w:pPr>
            <w:r>
              <w:rPr>
                <w:rFonts w:ascii="Arial" w:eastAsia="黑体" w:hAnsi="Arial" w:cs="Arial"/>
                <w:sz w:val="13"/>
              </w:rPr>
              <w:t>)</w:t>
            </w:r>
          </w:p>
        </w:tc>
      </w:tr>
      <w:tr w:rsidR="00AD5BB5">
        <w:tc>
          <w:tcPr>
            <w:tcW w:w="1261" w:type="dxa"/>
            <w:tcBorders>
              <w:top w:val="nil"/>
              <w:left w:val="nil"/>
              <w:bottom w:val="nil"/>
              <w:right w:val="nil"/>
            </w:tcBorders>
            <w:vAlign w:val="bottom"/>
          </w:tcPr>
          <w:p w:rsidR="00AD5BB5" w:rsidRDefault="00AD5BB5">
            <w:pPr>
              <w:autoSpaceDE w:val="0"/>
              <w:autoSpaceDN w:val="0"/>
              <w:ind w:left="195" w:hangingChars="150" w:hanging="195"/>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1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2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26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净利润</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1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2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rPr>
              <w:t>1,475,011,464.52</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261" w:type="dxa"/>
            <w:tcBorders>
              <w:top w:val="nil"/>
              <w:left w:val="nil"/>
              <w:bottom w:val="nil"/>
              <w:right w:val="nil"/>
            </w:tcBorders>
            <w:vAlign w:val="bottom"/>
          </w:tcPr>
          <w:p w:rsidR="00AD5BB5" w:rsidRDefault="00AD5BB5">
            <w:pPr>
              <w:autoSpaceDE w:val="0"/>
              <w:autoSpaceDN w:val="0"/>
              <w:ind w:left="196" w:hangingChars="150" w:hanging="196"/>
              <w:rPr>
                <w:rFonts w:ascii="Arial" w:eastAsia="黑体" w:hAnsi="Arial" w:cs="Arial"/>
                <w:b/>
                <w:bCs/>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3" w:type="dxa"/>
            <w:tcBorders>
              <w:top w:val="nil"/>
              <w:left w:val="nil"/>
              <w:bottom w:val="nil"/>
              <w:right w:val="nil"/>
            </w:tcBorders>
            <w:vAlign w:val="bottom"/>
          </w:tcPr>
          <w:p w:rsidR="00AD5BB5" w:rsidRDefault="00AD5BB5">
            <w:pPr>
              <w:autoSpaceDE w:val="0"/>
              <w:autoSpaceDN w:val="0"/>
              <w:jc w:val="right"/>
              <w:rPr>
                <w:rFonts w:ascii="Arial" w:eastAsia="黑体" w:hAnsi="Arial" w:cs="Arial"/>
                <w:b/>
                <w:bCs/>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14" w:type="dxa"/>
            <w:tcBorders>
              <w:top w:val="nil"/>
              <w:left w:val="nil"/>
              <w:bottom w:val="nil"/>
              <w:right w:val="nil"/>
            </w:tcBorders>
            <w:vAlign w:val="bottom"/>
          </w:tcPr>
          <w:p w:rsidR="00AD5BB5" w:rsidRDefault="00AD5BB5">
            <w:pPr>
              <w:autoSpaceDE w:val="0"/>
              <w:autoSpaceDN w:val="0"/>
              <w:jc w:val="right"/>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3" w:type="dxa"/>
            <w:tcBorders>
              <w:top w:val="nil"/>
              <w:left w:val="nil"/>
              <w:bottom w:val="nil"/>
              <w:right w:val="nil"/>
            </w:tcBorders>
            <w:vAlign w:val="bottom"/>
          </w:tcPr>
          <w:p w:rsidR="00AD5BB5" w:rsidRDefault="00AD5BB5">
            <w:pPr>
              <w:autoSpaceDE w:val="0"/>
              <w:autoSpaceDN w:val="0"/>
              <w:jc w:val="right"/>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20" w:type="dxa"/>
            <w:tcBorders>
              <w:top w:val="nil"/>
              <w:left w:val="nil"/>
              <w:bottom w:val="nil"/>
              <w:right w:val="nil"/>
            </w:tcBorders>
            <w:vAlign w:val="bottom"/>
          </w:tcPr>
          <w:p w:rsidR="00AD5BB5" w:rsidRDefault="00AD5BB5">
            <w:pPr>
              <w:autoSpaceDE w:val="0"/>
              <w:autoSpaceDN w:val="0"/>
              <w:jc w:val="right"/>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3" w:type="dxa"/>
            <w:tcBorders>
              <w:top w:val="nil"/>
              <w:left w:val="nil"/>
              <w:bottom w:val="nil"/>
              <w:right w:val="nil"/>
            </w:tcBorders>
            <w:vAlign w:val="bottom"/>
          </w:tcPr>
          <w:p w:rsidR="00AD5BB5" w:rsidRDefault="00AD5BB5">
            <w:pPr>
              <w:autoSpaceDE w:val="0"/>
              <w:autoSpaceDN w:val="0"/>
              <w:jc w:val="right"/>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261" w:type="dxa"/>
            <w:tcBorders>
              <w:top w:val="nil"/>
              <w:left w:val="nil"/>
              <w:bottom w:val="nil"/>
              <w:right w:val="nil"/>
            </w:tcBorders>
            <w:vAlign w:val="bottom"/>
          </w:tcPr>
          <w:p w:rsidR="00AD5BB5" w:rsidRDefault="00F87FF6">
            <w:pPr>
              <w:autoSpaceDE w:val="0"/>
              <w:autoSpaceDN w:val="0"/>
              <w:ind w:left="131" w:hangingChars="100" w:hanging="131"/>
              <w:rPr>
                <w:rFonts w:ascii="Arial" w:eastAsia="黑体" w:hAnsi="Arial" w:cs="Arial"/>
                <w:b/>
                <w:bCs/>
                <w:sz w:val="13"/>
                <w:szCs w:val="13"/>
              </w:rPr>
            </w:pPr>
            <w:r>
              <w:rPr>
                <w:rFonts w:ascii="Arial" w:eastAsia="黑体" w:hAnsi="Arial" w:cs="Arial"/>
                <w:b/>
                <w:bCs/>
                <w:sz w:val="13"/>
                <w:szCs w:val="13"/>
              </w:rPr>
              <w:t>分部资产</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rPr>
              <w:t>109,434,006,357.60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rPr>
              <w:t>76,174,163,146.73</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rPr>
              <w:t>167,270,006,767.81</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20"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rPr>
              <w:t>38,138,222.24</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rPr>
              <w:t>352,916,314,494.38</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261" w:type="dxa"/>
            <w:tcBorders>
              <w:top w:val="nil"/>
              <w:left w:val="nil"/>
              <w:bottom w:val="nil"/>
              <w:right w:val="nil"/>
            </w:tcBorders>
            <w:vAlign w:val="bottom"/>
          </w:tcPr>
          <w:p w:rsidR="00AD5BB5" w:rsidRDefault="00AD5BB5">
            <w:pPr>
              <w:autoSpaceDE w:val="0"/>
              <w:autoSpaceDN w:val="0"/>
              <w:ind w:left="196" w:hangingChars="150" w:hanging="196"/>
              <w:rPr>
                <w:rFonts w:ascii="Arial" w:eastAsia="黑体" w:hAnsi="Arial" w:cs="Arial"/>
                <w:b/>
                <w:bCs/>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3"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4"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3"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20"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3"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261" w:type="dxa"/>
            <w:tcBorders>
              <w:top w:val="nil"/>
              <w:left w:val="nil"/>
              <w:bottom w:val="nil"/>
              <w:right w:val="nil"/>
            </w:tcBorders>
            <w:vAlign w:val="bottom"/>
          </w:tcPr>
          <w:p w:rsidR="00AD5BB5" w:rsidRDefault="00F87FF6">
            <w:pPr>
              <w:autoSpaceDE w:val="0"/>
              <w:autoSpaceDN w:val="0"/>
              <w:ind w:left="131" w:hangingChars="100" w:hanging="131"/>
              <w:rPr>
                <w:rFonts w:ascii="Arial" w:eastAsia="黑体" w:hAnsi="Arial" w:cs="Arial"/>
                <w:b/>
                <w:bCs/>
                <w:sz w:val="13"/>
                <w:szCs w:val="13"/>
              </w:rPr>
            </w:pPr>
            <w:r>
              <w:rPr>
                <w:rFonts w:ascii="Arial" w:eastAsia="黑体" w:hAnsi="Arial" w:cs="Arial"/>
                <w:b/>
                <w:bCs/>
                <w:sz w:val="13"/>
                <w:szCs w:val="13"/>
              </w:rPr>
              <w:t>分部负债</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rPr>
              <w:t>(128,228,353,045.21</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rPr>
              <w:t>(62,699,285,938.39</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b/>
                <w:bCs/>
                <w:sz w:val="13"/>
                <w:szCs w:val="13"/>
              </w:rPr>
            </w:pPr>
            <w:r>
              <w:rPr>
                <w:rFonts w:ascii="Arial" w:eastAsia="黑体" w:hAnsi="Arial" w:cs="Arial"/>
                <w:b/>
                <w:bCs/>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rPr>
              <w:t>(136,080,475,888.20</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b/>
                <w:bCs/>
                <w:sz w:val="13"/>
                <w:szCs w:val="13"/>
              </w:rPr>
            </w:pPr>
            <w:r>
              <w:rPr>
                <w:rFonts w:ascii="Arial" w:eastAsia="黑体" w:hAnsi="Arial" w:cs="Arial"/>
                <w:b/>
                <w:bCs/>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20"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rPr>
              <w:t>(170,956,302.64</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b/>
                <w:bCs/>
                <w:sz w:val="13"/>
                <w:szCs w:val="13"/>
              </w:rPr>
            </w:pPr>
            <w:r>
              <w:rPr>
                <w:rFonts w:ascii="Arial" w:eastAsia="黑体" w:hAnsi="Arial" w:cs="Arial"/>
                <w:b/>
                <w:bCs/>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rPr>
              <w:t>(327,179,071,174.44</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b/>
                <w:bCs/>
                <w:sz w:val="13"/>
                <w:szCs w:val="13"/>
              </w:rPr>
            </w:pPr>
            <w:r>
              <w:rPr>
                <w:rFonts w:ascii="Arial" w:eastAsia="黑体" w:hAnsi="Arial" w:cs="Arial"/>
                <w:b/>
                <w:bCs/>
                <w:sz w:val="13"/>
              </w:rPr>
              <w:t>)</w:t>
            </w:r>
          </w:p>
        </w:tc>
      </w:tr>
      <w:tr w:rsidR="00AD5BB5">
        <w:tc>
          <w:tcPr>
            <w:tcW w:w="1261" w:type="dxa"/>
            <w:tcBorders>
              <w:top w:val="nil"/>
              <w:left w:val="nil"/>
              <w:bottom w:val="nil"/>
              <w:right w:val="nil"/>
            </w:tcBorders>
            <w:vAlign w:val="bottom"/>
          </w:tcPr>
          <w:p w:rsidR="00AD5BB5" w:rsidRDefault="00AD5BB5">
            <w:pPr>
              <w:autoSpaceDE w:val="0"/>
              <w:autoSpaceDN w:val="0"/>
              <w:ind w:left="195" w:hangingChars="150" w:hanging="195"/>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4"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20"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26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其他分部信息：</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2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26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折旧和摊销的费用</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81,414,191.56</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4" w:type="dxa"/>
            <w:tcBorders>
              <w:top w:val="nil"/>
              <w:left w:val="nil"/>
              <w:bottom w:val="nil"/>
              <w:right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40,198,639.98</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293" w:type="dxa"/>
            <w:tcBorders>
              <w:top w:val="nil"/>
              <w:left w:val="nil"/>
              <w:bottom w:val="nil"/>
              <w:right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20,843,631.81</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2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rPr>
              <w:t>935,134.93</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rPr>
              <w:t>143,391,598.28</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26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资本性支出</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172,485,517.34</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4" w:type="dxa"/>
            <w:tcBorders>
              <w:top w:val="nil"/>
              <w:left w:val="nil"/>
              <w:bottom w:val="nil"/>
              <w:right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(3,660,443.08</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293" w:type="dxa"/>
            <w:tcBorders>
              <w:top w:val="nil"/>
              <w:left w:val="nil"/>
              <w:bottom w:val="nil"/>
              <w:right w:val="nil"/>
            </w:tcBorders>
            <w:shd w:val="clear" w:color="auto" w:fill="auto"/>
            <w:vAlign w:val="center"/>
          </w:tcPr>
          <w:p w:rsidR="00AD5BB5" w:rsidRDefault="00F87FF6">
            <w:pPr>
              <w:autoSpaceDE w:val="0"/>
              <w:autoSpaceDN w:val="0"/>
              <w:jc w:val="right"/>
              <w:rPr>
                <w:rFonts w:ascii="Arial" w:eastAsia="黑体" w:hAnsi="Arial" w:cs="Arial"/>
                <w:sz w:val="13"/>
              </w:rPr>
            </w:pPr>
            <w:r>
              <w:rPr>
                <w:rFonts w:ascii="Arial" w:eastAsia="黑体" w:hAnsi="Arial" w:cs="Arial"/>
                <w:sz w:val="13"/>
              </w:rPr>
              <w:t>(8,208,640.51</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rPr>
            </w:pPr>
          </w:p>
        </w:tc>
        <w:tc>
          <w:tcPr>
            <w:tcW w:w="102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rPr>
              <w:t>(51,586.44</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szCs w:val="13"/>
              </w:rPr>
            </w:pPr>
            <w:r>
              <w:rPr>
                <w:rFonts w:ascii="Arial" w:eastAsia="黑体" w:hAnsi="Arial" w:cs="Arial"/>
                <w:sz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rPr>
              <w:t>160,564,847.31</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bl>
    <w:p w:rsidR="00AD5BB5" w:rsidRDefault="00F87FF6">
      <w:pPr>
        <w:rPr>
          <w:rFonts w:ascii="Arial" w:eastAsia="黑体" w:hAnsi="Arial" w:cs="Arial"/>
          <w:snapToGrid w:val="0"/>
          <w:szCs w:val="21"/>
        </w:rPr>
      </w:pPr>
      <w:r>
        <w:rPr>
          <w:rFonts w:ascii="Arial" w:eastAsia="黑体" w:hAnsi="Arial" w:cs="Arial"/>
          <w:snapToGrid w:val="0"/>
          <w:szCs w:val="21"/>
        </w:rPr>
        <w:br w:type="page"/>
      </w:r>
    </w:p>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 w:val="20"/>
          <w:szCs w:val="21"/>
        </w:rPr>
      </w:pPr>
      <w:bookmarkStart w:id="571" w:name="afsaddin_WithXu_6673dcee2f0c472a9ea3605a"/>
      <w:r>
        <w:rPr>
          <w:rFonts w:ascii="Arial" w:eastAsia="黑体" w:hAnsi="Arial" w:cs="Arial"/>
          <w:b/>
          <w:snapToGrid w:val="0"/>
          <w:sz w:val="20"/>
          <w:szCs w:val="21"/>
        </w:rPr>
        <w:t>十三、其他重要事项（续）</w:t>
      </w:r>
      <w:bookmarkEnd w:id="571"/>
    </w:p>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644" w:hanging="644"/>
        <w:rPr>
          <w:rFonts w:ascii="Arial" w:eastAsia="黑体" w:hAnsi="Arial" w:cs="Arial"/>
          <w:b/>
          <w:snapToGrid w:val="0"/>
          <w:sz w:val="20"/>
          <w:szCs w:val="21"/>
        </w:rPr>
      </w:pPr>
      <w:bookmarkStart w:id="572" w:name="afsaddin_WithXu_4c1d564d928c40fea834d6e7"/>
      <w:r>
        <w:rPr>
          <w:rFonts w:ascii="Arial" w:eastAsia="黑体" w:hAnsi="Arial" w:cs="Arial"/>
          <w:b/>
          <w:snapToGrid w:val="0"/>
          <w:sz w:val="20"/>
          <w:szCs w:val="21"/>
        </w:rPr>
        <w:t>1.</w:t>
      </w:r>
      <w:r>
        <w:rPr>
          <w:rFonts w:ascii="Arial" w:eastAsia="黑体" w:hAnsi="Arial" w:cs="Arial"/>
          <w:b/>
          <w:snapToGrid w:val="0"/>
          <w:sz w:val="20"/>
          <w:szCs w:val="21"/>
        </w:rPr>
        <w:tab/>
      </w:r>
      <w:r>
        <w:rPr>
          <w:rFonts w:ascii="Arial" w:eastAsia="黑体" w:hAnsi="Arial" w:cs="Arial"/>
          <w:b/>
          <w:snapToGrid w:val="0"/>
          <w:sz w:val="20"/>
          <w:szCs w:val="21"/>
        </w:rPr>
        <w:t>分部报告（续）</w:t>
      </w:r>
      <w:bookmarkEnd w:id="572"/>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66ea286d-7205-40b1-8dc4-71ffa95eeea4"/>
        <w:tblDescription w:val="{&quot;UUID&quot;:&quot;afsaddin_tabledata_2_56437_66ea286d-7205-40b1-8dc4-71ffa95eeea4&quot;,&quot;TitleRowCount&quot;:3,&quot;SplitedTable&quot;:false,&quot;FirstTableId&quot;:&quot;66ea286d-7205-40b1-8dc4-71ffa95eeea4&quot;}"/>
      </w:tblPr>
      <w:tblGrid>
        <w:gridCol w:w="1301"/>
        <w:gridCol w:w="106"/>
        <w:gridCol w:w="1294"/>
        <w:gridCol w:w="106"/>
        <w:gridCol w:w="105"/>
        <w:gridCol w:w="1216"/>
        <w:gridCol w:w="105"/>
        <w:gridCol w:w="105"/>
        <w:gridCol w:w="1293"/>
        <w:gridCol w:w="105"/>
        <w:gridCol w:w="105"/>
        <w:gridCol w:w="976"/>
        <w:gridCol w:w="105"/>
        <w:gridCol w:w="105"/>
        <w:gridCol w:w="1294"/>
        <w:gridCol w:w="105"/>
      </w:tblGrid>
      <w:tr w:rsidR="00AD5BB5">
        <w:tc>
          <w:tcPr>
            <w:tcW w:w="130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bookmarkStart w:id="573" w:name="afsaddin_WithXu_b3b20dcfade24170865bb903"/>
            <w:bookmarkStart w:id="574" w:name="afsaddin_WithXu_08fdfd45040a49719588f2a9"/>
            <w:bookmarkEnd w:id="573"/>
            <w:bookmarkEnd w:id="574"/>
            <w:r>
              <w:rPr>
                <w:rFonts w:ascii="Arial" w:eastAsia="黑体" w:hAnsi="Arial" w:cs="Arial"/>
                <w:sz w:val="13"/>
                <w:szCs w:val="13"/>
              </w:rPr>
              <w:t>项目</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6914" w:type="dxa"/>
            <w:gridSpan w:val="13"/>
            <w:tcBorders>
              <w:top w:val="nil"/>
              <w:left w:val="nil"/>
              <w:bottom w:val="nil"/>
              <w:right w:val="nil"/>
            </w:tcBorders>
            <w:vAlign w:val="bottom"/>
          </w:tcPr>
          <w:p w:rsidR="00AD5BB5" w:rsidRDefault="00F87FF6">
            <w:pPr>
              <w:autoSpaceDE w:val="0"/>
              <w:autoSpaceDN w:val="0"/>
              <w:jc w:val="center"/>
              <w:rPr>
                <w:rFonts w:ascii="Arial" w:eastAsia="黑体" w:hAnsi="Arial" w:cs="Arial"/>
                <w:sz w:val="13"/>
                <w:szCs w:val="13"/>
              </w:rPr>
            </w:pPr>
            <w:r>
              <w:rPr>
                <w:rFonts w:ascii="Arial" w:eastAsia="黑体" w:hAnsi="Arial" w:cs="Arial"/>
                <w:sz w:val="13"/>
                <w:szCs w:val="13"/>
              </w:rPr>
              <w:fldChar w:fldCharType="begin"/>
            </w:r>
            <w:r>
              <w:rPr>
                <w:rFonts w:ascii="Arial" w:eastAsia="黑体" w:hAnsi="Arial" w:cs="Arial"/>
                <w:sz w:val="13"/>
                <w:szCs w:val="13"/>
              </w:rPr>
              <w:instrText xml:space="preserve">DOCPROPERTY </w:instrText>
            </w:r>
            <w:r>
              <w:rPr>
                <w:rFonts w:ascii="Arial" w:eastAsia="黑体" w:hAnsi="Arial" w:cs="Arial"/>
                <w:sz w:val="13"/>
                <w:szCs w:val="13"/>
              </w:rPr>
              <w:instrText>对比会计期间</w:instrText>
            </w:r>
            <w:r>
              <w:rPr>
                <w:rFonts w:ascii="Arial" w:eastAsia="黑体" w:hAnsi="Arial" w:cs="Arial"/>
                <w:sz w:val="13"/>
                <w:szCs w:val="13"/>
              </w:rPr>
              <w:fldChar w:fldCharType="separate"/>
            </w:r>
            <w:r>
              <w:rPr>
                <w:rFonts w:ascii="Arial" w:eastAsia="黑体" w:hAnsi="Arial" w:cs="Arial"/>
                <w:sz w:val="13"/>
                <w:szCs w:val="13"/>
              </w:rPr>
              <w:t>2022</w:t>
            </w:r>
            <w:r>
              <w:rPr>
                <w:rFonts w:ascii="Arial" w:eastAsia="黑体" w:hAnsi="Arial" w:cs="Arial"/>
                <w:sz w:val="13"/>
                <w:szCs w:val="13"/>
              </w:rPr>
              <w:fldChar w:fldCharType="end"/>
            </w:r>
            <w:r>
              <w:rPr>
                <w:rFonts w:ascii="Arial" w:eastAsia="黑体" w:hAnsi="Arial" w:cs="Arial"/>
                <w:sz w:val="13"/>
                <w:szCs w:val="13"/>
              </w:rPr>
              <w:t>年</w:t>
            </w:r>
            <w:r>
              <w:rPr>
                <w:rFonts w:ascii="Arial" w:eastAsia="黑体" w:hAnsi="Arial" w:cs="Arial"/>
                <w:sz w:val="13"/>
                <w:szCs w:val="13"/>
              </w:rPr>
              <w:t>1-6</w:t>
            </w:r>
            <w:r>
              <w:rPr>
                <w:rFonts w:ascii="Arial" w:eastAsia="黑体" w:hAnsi="Arial" w:cs="Arial"/>
                <w:sz w:val="13"/>
                <w:szCs w:val="13"/>
              </w:rPr>
              <w:t>月</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301" w:type="dxa"/>
            <w:tcBorders>
              <w:top w:val="nil"/>
              <w:left w:val="nil"/>
              <w:bottom w:val="nil"/>
              <w:right w:val="nil"/>
            </w:tcBorders>
            <w:vAlign w:val="bottom"/>
          </w:tcPr>
          <w:p w:rsidR="00AD5BB5" w:rsidRDefault="00AD5BB5">
            <w:pPr>
              <w:autoSpaceDE w:val="0"/>
              <w:autoSpaceDN w:val="0"/>
              <w:ind w:left="195" w:hangingChars="150" w:hanging="195"/>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公司业务</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个人业务</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资金业务</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97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其他业务</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合计</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301" w:type="dxa"/>
            <w:tcBorders>
              <w:top w:val="nil"/>
              <w:left w:val="nil"/>
              <w:bottom w:val="nil"/>
              <w:right w:val="nil"/>
            </w:tcBorders>
            <w:vAlign w:val="bottom"/>
          </w:tcPr>
          <w:p w:rsidR="00AD5BB5" w:rsidRDefault="00AD5BB5">
            <w:pPr>
              <w:autoSpaceDE w:val="0"/>
              <w:autoSpaceDN w:val="0"/>
              <w:ind w:left="195" w:hangingChars="150" w:hanging="195"/>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97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30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外部利息净收入</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675,279,500.38</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1,004,203,090.48</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595,230,486.32</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97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2,274,713,077.18</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30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内部利息净</w:t>
            </w:r>
          </w:p>
          <w:p w:rsidR="00AD5BB5" w:rsidRDefault="00F87FF6">
            <w:pPr>
              <w:autoSpaceDE w:val="0"/>
              <w:autoSpaceDN w:val="0"/>
              <w:ind w:leftChars="52" w:left="239" w:hangingChars="100" w:hanging="130"/>
              <w:rPr>
                <w:rFonts w:ascii="Arial" w:eastAsia="黑体" w:hAnsi="Arial" w:cs="Arial"/>
                <w:sz w:val="13"/>
                <w:szCs w:val="13"/>
              </w:rPr>
            </w:pPr>
            <w:r>
              <w:rPr>
                <w:rFonts w:ascii="Arial" w:eastAsia="黑体" w:hAnsi="Arial" w:cs="Arial"/>
                <w:sz w:val="13"/>
                <w:szCs w:val="13"/>
              </w:rPr>
              <w:t>收入</w:t>
            </w:r>
            <w:r>
              <w:rPr>
                <w:rFonts w:ascii="Arial" w:eastAsia="黑体" w:hAnsi="Arial" w:cs="Arial"/>
                <w:sz w:val="13"/>
                <w:szCs w:val="13"/>
              </w:rPr>
              <w:t>/</w:t>
            </w:r>
            <w:r>
              <w:rPr>
                <w:rFonts w:ascii="Arial" w:eastAsia="黑体" w:hAnsi="Arial" w:cs="Arial"/>
                <w:sz w:val="13"/>
                <w:szCs w:val="13"/>
              </w:rPr>
              <w:t>（支出）</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956,021,441.38</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(492,791,058.26</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(463,230,383.12</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97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30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利息净收入</w:t>
            </w:r>
            <w:r>
              <w:rPr>
                <w:rFonts w:ascii="Arial" w:eastAsia="黑体" w:hAnsi="Arial" w:cs="Arial"/>
                <w:sz w:val="13"/>
                <w:szCs w:val="13"/>
              </w:rPr>
              <w:t>/</w:t>
            </w:r>
            <w:r>
              <w:rPr>
                <w:rFonts w:ascii="Arial" w:eastAsia="黑体" w:hAnsi="Arial" w:cs="Arial"/>
                <w:sz w:val="13"/>
                <w:szCs w:val="13"/>
              </w:rPr>
              <w:t>（支出）</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1,631,300,941.76</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511,412,032.22</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132,000,103.20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97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2,274,713,077.18</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30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手续费及佣金净收入</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97,457,951.89</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97,977,465.33</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43,840,473.50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97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239,275,890.72</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30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投资净收益</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326,640,598.46</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97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326,640,598.46</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30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公允价值变动损失</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(114,518,900.12</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97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(114,518,900.12</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szCs w:val="13"/>
              </w:rPr>
            </w:pPr>
            <w:r>
              <w:rPr>
                <w:rFonts w:ascii="Arial" w:eastAsia="黑体" w:hAnsi="Arial" w:cs="Arial"/>
                <w:sz w:val="13"/>
                <w:szCs w:val="13"/>
              </w:rPr>
              <w:t>)</w:t>
            </w:r>
          </w:p>
        </w:tc>
      </w:tr>
      <w:tr w:rsidR="00AD5BB5">
        <w:tc>
          <w:tcPr>
            <w:tcW w:w="130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汇兑收益</w:t>
            </w:r>
            <w:r>
              <w:rPr>
                <w:rFonts w:ascii="Arial" w:eastAsia="黑体" w:hAnsi="Arial" w:cs="Arial"/>
                <w:sz w:val="13"/>
                <w:szCs w:val="13"/>
              </w:rPr>
              <w:t>/(</w:t>
            </w:r>
            <w:r>
              <w:rPr>
                <w:rFonts w:ascii="Arial" w:eastAsia="黑体" w:hAnsi="Arial" w:cs="Arial"/>
                <w:sz w:val="13"/>
                <w:szCs w:val="13"/>
              </w:rPr>
              <w:t>损失</w:t>
            </w:r>
            <w:r>
              <w:rPr>
                <w:rFonts w:ascii="Arial" w:eastAsia="黑体" w:hAnsi="Arial" w:cs="Arial"/>
                <w:sz w:val="13"/>
                <w:szCs w:val="13"/>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18,059,033.79</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71,615,925.73</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97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89,674,959.52</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30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其他业务收入</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97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823,540.19</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823,540.19</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30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资产处置损失</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97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487,294.10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487,294.10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30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其他收益</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97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37,662,514.00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37,662,514.00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301" w:type="dxa"/>
            <w:tcBorders>
              <w:top w:val="nil"/>
              <w:left w:val="nil"/>
              <w:bottom w:val="nil"/>
              <w:right w:val="nil"/>
            </w:tcBorders>
            <w:vAlign w:val="bottom"/>
          </w:tcPr>
          <w:p w:rsidR="00AD5BB5" w:rsidRDefault="00AD5BB5">
            <w:pPr>
              <w:autoSpaceDE w:val="0"/>
              <w:autoSpaceDN w:val="0"/>
              <w:ind w:left="195" w:hangingChars="150" w:hanging="195"/>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97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301" w:type="dxa"/>
            <w:tcBorders>
              <w:top w:val="nil"/>
              <w:left w:val="nil"/>
              <w:bottom w:val="nil"/>
              <w:right w:val="nil"/>
            </w:tcBorders>
            <w:vAlign w:val="bottom"/>
          </w:tcPr>
          <w:p w:rsidR="00AD5BB5" w:rsidRDefault="00F87FF6">
            <w:pPr>
              <w:autoSpaceDE w:val="0"/>
              <w:autoSpaceDN w:val="0"/>
              <w:ind w:left="131" w:hangingChars="100" w:hanging="131"/>
              <w:rPr>
                <w:rFonts w:ascii="Arial" w:eastAsia="黑体" w:hAnsi="Arial" w:cs="Arial"/>
                <w:b/>
                <w:bCs/>
                <w:sz w:val="13"/>
                <w:szCs w:val="13"/>
              </w:rPr>
            </w:pPr>
            <w:r>
              <w:rPr>
                <w:rFonts w:ascii="Arial" w:eastAsia="黑体" w:hAnsi="Arial" w:cs="Arial"/>
                <w:b/>
                <w:bCs/>
                <w:sz w:val="13"/>
                <w:szCs w:val="13"/>
              </w:rPr>
              <w:t>营业收入</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szCs w:val="13"/>
              </w:rPr>
              <w:t>1,746,817,927.44</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16"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szCs w:val="13"/>
              </w:rPr>
              <w:t>609,389,497.55</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3"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szCs w:val="13"/>
              </w:rPr>
              <w:t>459,578,200.77</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976"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szCs w:val="13"/>
              </w:rPr>
              <w:t>38,973,348.29</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szCs w:val="13"/>
              </w:rPr>
              <w:t>2,854,758,974.05</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301" w:type="dxa"/>
            <w:tcBorders>
              <w:top w:val="nil"/>
              <w:left w:val="nil"/>
              <w:bottom w:val="nil"/>
              <w:right w:val="nil"/>
            </w:tcBorders>
            <w:vAlign w:val="bottom"/>
          </w:tcPr>
          <w:p w:rsidR="00AD5BB5" w:rsidRDefault="00AD5BB5">
            <w:pPr>
              <w:autoSpaceDE w:val="0"/>
              <w:autoSpaceDN w:val="0"/>
              <w:ind w:left="195" w:hangingChars="150" w:hanging="195"/>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97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30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税金及附加</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(19,909,529.77</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(14,274,382.11</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(3,875,817.52</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97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(38,059,729.40</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szCs w:val="13"/>
              </w:rPr>
            </w:pPr>
            <w:r>
              <w:rPr>
                <w:rFonts w:ascii="Arial" w:eastAsia="黑体" w:hAnsi="Arial" w:cs="Arial"/>
                <w:sz w:val="13"/>
                <w:szCs w:val="13"/>
              </w:rPr>
              <w:t>)</w:t>
            </w:r>
          </w:p>
        </w:tc>
      </w:tr>
      <w:tr w:rsidR="00AD5BB5">
        <w:tc>
          <w:tcPr>
            <w:tcW w:w="130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业务及管理费</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(547,656,191.51</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(212,689,967.71</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(175,663,254.29</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97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(13,110,506.55</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(949,119,920.06</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szCs w:val="13"/>
              </w:rPr>
            </w:pPr>
            <w:r>
              <w:rPr>
                <w:rFonts w:ascii="Arial" w:eastAsia="黑体" w:hAnsi="Arial" w:cs="Arial"/>
                <w:sz w:val="13"/>
                <w:szCs w:val="13"/>
              </w:rPr>
              <w:t>)</w:t>
            </w:r>
          </w:p>
        </w:tc>
      </w:tr>
      <w:tr w:rsidR="00AD5BB5">
        <w:tc>
          <w:tcPr>
            <w:tcW w:w="130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信用减值损失</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(499,572,553.53</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(82,565,892.53</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19,107,235.94</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97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(563,031,210.12</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szCs w:val="13"/>
              </w:rPr>
            </w:pPr>
            <w:r>
              <w:rPr>
                <w:rFonts w:ascii="Arial" w:eastAsia="黑体" w:hAnsi="Arial" w:cs="Arial"/>
                <w:sz w:val="13"/>
                <w:szCs w:val="13"/>
              </w:rPr>
              <w:t>)</w:t>
            </w:r>
          </w:p>
        </w:tc>
      </w:tr>
      <w:tr w:rsidR="00AD5BB5">
        <w:tc>
          <w:tcPr>
            <w:tcW w:w="130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资产减值损失</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97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30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其他业务成本</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97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(295,210.07</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(295,210.07</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szCs w:val="13"/>
              </w:rPr>
            </w:pPr>
            <w:r>
              <w:rPr>
                <w:rFonts w:ascii="Arial" w:eastAsia="黑体" w:hAnsi="Arial" w:cs="Arial"/>
                <w:sz w:val="13"/>
                <w:szCs w:val="13"/>
              </w:rPr>
              <w:t>)</w:t>
            </w:r>
          </w:p>
        </w:tc>
      </w:tr>
      <w:tr w:rsidR="00AD5BB5">
        <w:tc>
          <w:tcPr>
            <w:tcW w:w="1301" w:type="dxa"/>
            <w:tcBorders>
              <w:top w:val="nil"/>
              <w:left w:val="nil"/>
              <w:bottom w:val="nil"/>
              <w:right w:val="nil"/>
            </w:tcBorders>
            <w:vAlign w:val="bottom"/>
          </w:tcPr>
          <w:p w:rsidR="00AD5BB5" w:rsidRDefault="00AD5BB5">
            <w:pPr>
              <w:autoSpaceDE w:val="0"/>
              <w:autoSpaceDN w:val="0"/>
              <w:ind w:left="195" w:hangingChars="150" w:hanging="195"/>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97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301" w:type="dxa"/>
            <w:tcBorders>
              <w:top w:val="nil"/>
              <w:left w:val="nil"/>
              <w:bottom w:val="nil"/>
              <w:right w:val="nil"/>
            </w:tcBorders>
            <w:vAlign w:val="bottom"/>
          </w:tcPr>
          <w:p w:rsidR="00AD5BB5" w:rsidRDefault="00F87FF6">
            <w:pPr>
              <w:autoSpaceDE w:val="0"/>
              <w:autoSpaceDN w:val="0"/>
              <w:ind w:left="131" w:hangingChars="100" w:hanging="131"/>
              <w:rPr>
                <w:rFonts w:ascii="Arial" w:eastAsia="黑体" w:hAnsi="Arial" w:cs="Arial"/>
                <w:b/>
                <w:bCs/>
                <w:sz w:val="13"/>
                <w:szCs w:val="13"/>
              </w:rPr>
            </w:pPr>
            <w:r>
              <w:rPr>
                <w:rFonts w:ascii="Arial" w:eastAsia="黑体" w:hAnsi="Arial" w:cs="Arial"/>
                <w:b/>
                <w:bCs/>
                <w:sz w:val="13"/>
                <w:szCs w:val="13"/>
              </w:rPr>
              <w:t>营业支出</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szCs w:val="13"/>
              </w:rPr>
              <w:t>(1,067,138,274.81</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b/>
                <w:bCs/>
                <w:sz w:val="13"/>
                <w:szCs w:val="13"/>
              </w:rPr>
            </w:pPr>
            <w:r>
              <w:rPr>
                <w:rFonts w:ascii="Arial" w:eastAsia="黑体" w:hAnsi="Arial" w:cs="Arial"/>
                <w:b/>
                <w:bCs/>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16"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szCs w:val="13"/>
              </w:rPr>
              <w:t>(309,530,242.35</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b/>
                <w:bCs/>
                <w:sz w:val="13"/>
                <w:szCs w:val="13"/>
              </w:rPr>
            </w:pPr>
            <w:r>
              <w:rPr>
                <w:rFonts w:ascii="Arial" w:eastAsia="黑体" w:hAnsi="Arial" w:cs="Arial"/>
                <w:b/>
                <w:bCs/>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3"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szCs w:val="13"/>
              </w:rPr>
              <w:t>(160,431,835.87</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b/>
                <w:bCs/>
                <w:sz w:val="13"/>
                <w:szCs w:val="13"/>
              </w:rPr>
            </w:pPr>
            <w:r>
              <w:rPr>
                <w:rFonts w:ascii="Arial" w:eastAsia="黑体" w:hAnsi="Arial" w:cs="Arial"/>
                <w:b/>
                <w:bCs/>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976"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szCs w:val="13"/>
              </w:rPr>
              <w:t>(13,405,716.62</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b/>
                <w:bCs/>
                <w:sz w:val="13"/>
                <w:szCs w:val="13"/>
              </w:rPr>
            </w:pPr>
            <w:r>
              <w:rPr>
                <w:rFonts w:ascii="Arial" w:eastAsia="黑体" w:hAnsi="Arial" w:cs="Arial"/>
                <w:b/>
                <w:bCs/>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szCs w:val="13"/>
              </w:rPr>
              <w:t>(1,550,506,069.65</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szCs w:val="13"/>
              </w:rPr>
            </w:pPr>
            <w:r>
              <w:rPr>
                <w:rFonts w:ascii="Arial" w:eastAsia="黑体" w:hAnsi="Arial" w:cs="Arial"/>
                <w:sz w:val="13"/>
                <w:szCs w:val="13"/>
              </w:rPr>
              <w:t>)</w:t>
            </w:r>
          </w:p>
        </w:tc>
      </w:tr>
      <w:tr w:rsidR="00AD5BB5">
        <w:tc>
          <w:tcPr>
            <w:tcW w:w="1301" w:type="dxa"/>
            <w:tcBorders>
              <w:top w:val="nil"/>
              <w:left w:val="nil"/>
              <w:bottom w:val="nil"/>
              <w:right w:val="nil"/>
            </w:tcBorders>
            <w:vAlign w:val="bottom"/>
          </w:tcPr>
          <w:p w:rsidR="00AD5BB5" w:rsidRDefault="00AD5BB5">
            <w:pPr>
              <w:autoSpaceDE w:val="0"/>
              <w:autoSpaceDN w:val="0"/>
              <w:ind w:left="195" w:hangingChars="150" w:hanging="195"/>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97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301" w:type="dxa"/>
            <w:tcBorders>
              <w:top w:val="nil"/>
              <w:left w:val="nil"/>
              <w:bottom w:val="nil"/>
              <w:right w:val="nil"/>
            </w:tcBorders>
            <w:vAlign w:val="bottom"/>
          </w:tcPr>
          <w:p w:rsidR="00AD5BB5" w:rsidRDefault="00F87FF6">
            <w:pPr>
              <w:autoSpaceDE w:val="0"/>
              <w:autoSpaceDN w:val="0"/>
              <w:ind w:left="131" w:hangingChars="100" w:hanging="131"/>
              <w:rPr>
                <w:rFonts w:ascii="Arial" w:eastAsia="黑体" w:hAnsi="Arial" w:cs="Arial"/>
                <w:b/>
                <w:bCs/>
                <w:sz w:val="13"/>
                <w:szCs w:val="13"/>
              </w:rPr>
            </w:pPr>
            <w:r>
              <w:rPr>
                <w:rFonts w:ascii="Arial" w:eastAsia="黑体" w:hAnsi="Arial" w:cs="Arial"/>
                <w:b/>
                <w:bCs/>
                <w:sz w:val="13"/>
                <w:szCs w:val="13"/>
              </w:rPr>
              <w:t>营业利润</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szCs w:val="13"/>
              </w:rPr>
              <w:t>679,679,652.63</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16"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szCs w:val="13"/>
              </w:rPr>
              <w:t>299,859,255.20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3"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szCs w:val="13"/>
              </w:rPr>
              <w:t>299,146,364.90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976"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szCs w:val="13"/>
              </w:rPr>
              <w:t>25,567,631.67</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szCs w:val="13"/>
              </w:rPr>
              <w:t>1,304,252,904.40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301" w:type="dxa"/>
            <w:tcBorders>
              <w:top w:val="nil"/>
              <w:left w:val="nil"/>
              <w:bottom w:val="nil"/>
              <w:right w:val="nil"/>
            </w:tcBorders>
            <w:vAlign w:val="bottom"/>
          </w:tcPr>
          <w:p w:rsidR="00AD5BB5" w:rsidRDefault="00AD5BB5">
            <w:pPr>
              <w:autoSpaceDE w:val="0"/>
              <w:autoSpaceDN w:val="0"/>
              <w:ind w:left="195" w:hangingChars="150" w:hanging="195"/>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97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301" w:type="dxa"/>
            <w:tcBorders>
              <w:top w:val="nil"/>
              <w:left w:val="nil"/>
              <w:bottom w:val="nil"/>
              <w:right w:val="nil"/>
            </w:tcBorders>
            <w:vAlign w:val="bottom"/>
          </w:tcPr>
          <w:p w:rsidR="00AD5BB5" w:rsidRDefault="00F87FF6">
            <w:pPr>
              <w:autoSpaceDE w:val="0"/>
              <w:autoSpaceDN w:val="0"/>
              <w:ind w:left="390" w:hangingChars="300" w:hanging="390"/>
              <w:rPr>
                <w:rFonts w:ascii="Arial" w:eastAsia="黑体" w:hAnsi="Arial" w:cs="Arial"/>
                <w:sz w:val="13"/>
                <w:szCs w:val="13"/>
              </w:rPr>
            </w:pPr>
            <w:r>
              <w:rPr>
                <w:rFonts w:ascii="Arial" w:eastAsia="黑体" w:hAnsi="Arial" w:cs="Arial"/>
                <w:sz w:val="13"/>
                <w:szCs w:val="13"/>
              </w:rPr>
              <w:t>加：营业外收入</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 xml:space="preserve"> -   </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 xml:space="preserve"> -   </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 xml:space="preserve"> -   </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97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2,240,203.28</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2,240,203.28</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301" w:type="dxa"/>
            <w:tcBorders>
              <w:top w:val="nil"/>
              <w:left w:val="nil"/>
              <w:bottom w:val="nil"/>
              <w:right w:val="nil"/>
            </w:tcBorders>
            <w:vAlign w:val="bottom"/>
          </w:tcPr>
          <w:p w:rsidR="00AD5BB5" w:rsidRDefault="00F87FF6">
            <w:pPr>
              <w:autoSpaceDE w:val="0"/>
              <w:autoSpaceDN w:val="0"/>
              <w:ind w:left="390" w:hangingChars="300" w:hanging="390"/>
              <w:rPr>
                <w:rFonts w:ascii="Arial" w:eastAsia="黑体" w:hAnsi="Arial" w:cs="Arial"/>
                <w:sz w:val="13"/>
                <w:szCs w:val="13"/>
              </w:rPr>
            </w:pPr>
            <w:r>
              <w:rPr>
                <w:rFonts w:ascii="Arial" w:eastAsia="黑体" w:hAnsi="Arial" w:cs="Arial"/>
                <w:sz w:val="13"/>
                <w:szCs w:val="13"/>
              </w:rPr>
              <w:t>减：营业外支出</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 xml:space="preserve"> -   </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 xml:space="preserve"> -   </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 xml:space="preserve"> -   </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97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(4,043,086.70</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szCs w:val="13"/>
              </w:rPr>
            </w:pPr>
            <w:r>
              <w:rPr>
                <w:rFonts w:ascii="Arial" w:eastAsia="黑体" w:hAnsi="Arial" w:cs="Arial"/>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(4,043,086.70</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szCs w:val="13"/>
              </w:rPr>
            </w:pPr>
            <w:r>
              <w:rPr>
                <w:rFonts w:ascii="Arial" w:eastAsia="黑体" w:hAnsi="Arial" w:cs="Arial"/>
                <w:sz w:val="13"/>
                <w:szCs w:val="13"/>
              </w:rPr>
              <w:t>)</w:t>
            </w:r>
          </w:p>
        </w:tc>
      </w:tr>
      <w:tr w:rsidR="00AD5BB5">
        <w:trPr>
          <w:trHeight w:val="297"/>
        </w:trPr>
        <w:tc>
          <w:tcPr>
            <w:tcW w:w="1301" w:type="dxa"/>
            <w:tcBorders>
              <w:top w:val="nil"/>
              <w:left w:val="nil"/>
              <w:bottom w:val="nil"/>
              <w:right w:val="nil"/>
            </w:tcBorders>
            <w:vAlign w:val="bottom"/>
          </w:tcPr>
          <w:p w:rsidR="00AD5BB5" w:rsidRDefault="00AD5BB5">
            <w:pPr>
              <w:autoSpaceDE w:val="0"/>
              <w:autoSpaceDN w:val="0"/>
              <w:ind w:left="195" w:hangingChars="150" w:hanging="195"/>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97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301" w:type="dxa"/>
            <w:tcBorders>
              <w:top w:val="nil"/>
              <w:left w:val="nil"/>
              <w:bottom w:val="nil"/>
              <w:right w:val="nil"/>
            </w:tcBorders>
            <w:vAlign w:val="bottom"/>
          </w:tcPr>
          <w:p w:rsidR="00AD5BB5" w:rsidRDefault="00F87FF6">
            <w:pPr>
              <w:autoSpaceDE w:val="0"/>
              <w:autoSpaceDN w:val="0"/>
              <w:ind w:left="131" w:hangingChars="100" w:hanging="131"/>
              <w:rPr>
                <w:rFonts w:ascii="Arial" w:eastAsia="黑体" w:hAnsi="Arial" w:cs="Arial"/>
                <w:b/>
                <w:bCs/>
                <w:sz w:val="13"/>
                <w:szCs w:val="13"/>
              </w:rPr>
            </w:pPr>
            <w:r>
              <w:rPr>
                <w:rFonts w:ascii="Arial" w:eastAsia="黑体" w:hAnsi="Arial" w:cs="Arial"/>
                <w:b/>
                <w:bCs/>
                <w:sz w:val="13"/>
                <w:szCs w:val="13"/>
              </w:rPr>
              <w:t>利润总额</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szCs w:val="13"/>
              </w:rPr>
              <w:t>679,679,652.63</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1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szCs w:val="13"/>
              </w:rPr>
              <w:t>299,859,255.20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szCs w:val="13"/>
              </w:rPr>
              <w:t>299,146,364.90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97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szCs w:val="13"/>
              </w:rPr>
              <w:t>23,764,748.25</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szCs w:val="13"/>
              </w:rPr>
              <w:t>1,302,450,020.98</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301" w:type="dxa"/>
            <w:tcBorders>
              <w:top w:val="nil"/>
              <w:left w:val="nil"/>
              <w:bottom w:val="nil"/>
              <w:right w:val="nil"/>
            </w:tcBorders>
            <w:vAlign w:val="bottom"/>
          </w:tcPr>
          <w:p w:rsidR="00AD5BB5" w:rsidRDefault="00AD5BB5">
            <w:pPr>
              <w:autoSpaceDE w:val="0"/>
              <w:autoSpaceDN w:val="0"/>
              <w:ind w:left="195" w:hangingChars="150" w:hanging="195"/>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6"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976"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30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所得税费用</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97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(40,728,122.17</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szCs w:val="13"/>
              </w:rPr>
            </w:pPr>
            <w:r>
              <w:rPr>
                <w:rFonts w:ascii="Arial" w:eastAsia="黑体" w:hAnsi="Arial" w:cs="Arial"/>
                <w:sz w:val="13"/>
                <w:szCs w:val="13"/>
              </w:rPr>
              <w:t>)</w:t>
            </w:r>
          </w:p>
        </w:tc>
      </w:tr>
      <w:tr w:rsidR="00AD5BB5">
        <w:tc>
          <w:tcPr>
            <w:tcW w:w="1301" w:type="dxa"/>
            <w:tcBorders>
              <w:top w:val="nil"/>
              <w:left w:val="nil"/>
              <w:bottom w:val="nil"/>
              <w:right w:val="nil"/>
            </w:tcBorders>
            <w:vAlign w:val="bottom"/>
          </w:tcPr>
          <w:p w:rsidR="00AD5BB5" w:rsidRDefault="00AD5BB5">
            <w:pPr>
              <w:autoSpaceDE w:val="0"/>
              <w:autoSpaceDN w:val="0"/>
              <w:ind w:left="195" w:hangingChars="150" w:hanging="195"/>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97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30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净利润</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97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1,261,721,898.81</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301" w:type="dxa"/>
            <w:tcBorders>
              <w:top w:val="nil"/>
              <w:left w:val="nil"/>
              <w:bottom w:val="nil"/>
              <w:right w:val="nil"/>
            </w:tcBorders>
            <w:vAlign w:val="bottom"/>
          </w:tcPr>
          <w:p w:rsidR="00AD5BB5" w:rsidRDefault="00AD5BB5">
            <w:pPr>
              <w:autoSpaceDE w:val="0"/>
              <w:autoSpaceDN w:val="0"/>
              <w:ind w:left="195" w:hangingChars="150" w:hanging="195"/>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97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301" w:type="dxa"/>
            <w:tcBorders>
              <w:top w:val="nil"/>
              <w:left w:val="nil"/>
              <w:bottom w:val="nil"/>
              <w:right w:val="nil"/>
            </w:tcBorders>
            <w:vAlign w:val="bottom"/>
          </w:tcPr>
          <w:p w:rsidR="00AD5BB5" w:rsidRDefault="00F87FF6">
            <w:pPr>
              <w:autoSpaceDE w:val="0"/>
              <w:autoSpaceDN w:val="0"/>
              <w:ind w:left="131" w:hangingChars="100" w:hanging="131"/>
              <w:rPr>
                <w:rFonts w:ascii="Arial" w:eastAsia="黑体" w:hAnsi="Arial" w:cs="Arial"/>
                <w:b/>
                <w:bCs/>
                <w:sz w:val="13"/>
                <w:szCs w:val="13"/>
              </w:rPr>
            </w:pPr>
            <w:r>
              <w:rPr>
                <w:rFonts w:ascii="Arial" w:eastAsia="黑体" w:hAnsi="Arial" w:cs="Arial"/>
                <w:b/>
                <w:bCs/>
                <w:sz w:val="13"/>
                <w:szCs w:val="13"/>
              </w:rPr>
              <w:t>分部资产</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szCs w:val="13"/>
              </w:rPr>
              <w:t>107,674,932,210.99</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1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szCs w:val="13"/>
              </w:rPr>
              <w:t>69,367,254,570.43</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szCs w:val="13"/>
              </w:rPr>
              <w:t>174,558,533,872.68</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97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szCs w:val="13"/>
              </w:rPr>
              <w:t>111,580,471.80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szCs w:val="13"/>
              </w:rPr>
              <w:t>351,712,301,125.90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301" w:type="dxa"/>
            <w:tcBorders>
              <w:top w:val="nil"/>
              <w:left w:val="nil"/>
              <w:bottom w:val="nil"/>
              <w:right w:val="nil"/>
            </w:tcBorders>
            <w:vAlign w:val="bottom"/>
          </w:tcPr>
          <w:p w:rsidR="00AD5BB5" w:rsidRDefault="00AD5BB5">
            <w:pPr>
              <w:autoSpaceDE w:val="0"/>
              <w:autoSpaceDN w:val="0"/>
              <w:ind w:left="195" w:hangingChars="150" w:hanging="195"/>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6"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976"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301" w:type="dxa"/>
            <w:tcBorders>
              <w:top w:val="nil"/>
              <w:left w:val="nil"/>
              <w:bottom w:val="nil"/>
              <w:right w:val="nil"/>
            </w:tcBorders>
            <w:vAlign w:val="bottom"/>
          </w:tcPr>
          <w:p w:rsidR="00AD5BB5" w:rsidRDefault="00F87FF6">
            <w:pPr>
              <w:autoSpaceDE w:val="0"/>
              <w:autoSpaceDN w:val="0"/>
              <w:ind w:left="131" w:hangingChars="100" w:hanging="131"/>
              <w:rPr>
                <w:rFonts w:ascii="Arial" w:eastAsia="黑体" w:hAnsi="Arial" w:cs="Arial"/>
                <w:b/>
                <w:bCs/>
                <w:sz w:val="13"/>
                <w:szCs w:val="13"/>
              </w:rPr>
            </w:pPr>
            <w:r>
              <w:rPr>
                <w:rFonts w:ascii="Arial" w:eastAsia="黑体" w:hAnsi="Arial" w:cs="Arial"/>
                <w:b/>
                <w:bCs/>
                <w:sz w:val="13"/>
                <w:szCs w:val="13"/>
              </w:rPr>
              <w:t>分部负债</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szCs w:val="13"/>
              </w:rPr>
              <w:t>(171,040,272,810.52</w:t>
            </w:r>
          </w:p>
        </w:tc>
        <w:tc>
          <w:tcPr>
            <w:tcW w:w="106" w:type="dxa"/>
            <w:tcBorders>
              <w:top w:val="nil"/>
              <w:left w:val="nil"/>
              <w:bottom w:val="nil"/>
              <w:right w:val="nil"/>
            </w:tcBorders>
            <w:vAlign w:val="bottom"/>
          </w:tcPr>
          <w:p w:rsidR="00AD5BB5" w:rsidRDefault="00F87FF6">
            <w:pPr>
              <w:autoSpaceDE w:val="0"/>
              <w:autoSpaceDN w:val="0"/>
              <w:rPr>
                <w:rFonts w:ascii="Arial" w:eastAsia="黑体" w:hAnsi="Arial" w:cs="Arial"/>
                <w:b/>
                <w:bCs/>
                <w:sz w:val="13"/>
                <w:szCs w:val="13"/>
              </w:rPr>
            </w:pPr>
            <w:r>
              <w:rPr>
                <w:rFonts w:ascii="Arial" w:eastAsia="黑体" w:hAnsi="Arial" w:cs="Arial"/>
                <w:b/>
                <w:bCs/>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1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szCs w:val="13"/>
              </w:rPr>
              <w:t>(46,108,810,264.89</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b/>
                <w:bCs/>
                <w:sz w:val="13"/>
                <w:szCs w:val="13"/>
              </w:rPr>
            </w:pPr>
            <w:r>
              <w:rPr>
                <w:rFonts w:ascii="Arial" w:eastAsia="黑体" w:hAnsi="Arial" w:cs="Arial"/>
                <w:b/>
                <w:bCs/>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szCs w:val="13"/>
              </w:rPr>
              <w:t>(110,708,442,398.20</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b/>
                <w:bCs/>
                <w:sz w:val="13"/>
                <w:szCs w:val="13"/>
              </w:rPr>
            </w:pPr>
            <w:r>
              <w:rPr>
                <w:rFonts w:ascii="Arial" w:eastAsia="黑体" w:hAnsi="Arial" w:cs="Arial"/>
                <w:b/>
                <w:bCs/>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97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szCs w:val="13"/>
              </w:rPr>
              <w:t>(141,905,943.65</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b/>
                <w:bCs/>
                <w:sz w:val="13"/>
                <w:szCs w:val="13"/>
              </w:rPr>
            </w:pPr>
            <w:r>
              <w:rPr>
                <w:rFonts w:ascii="Arial" w:eastAsia="黑体" w:hAnsi="Arial" w:cs="Arial"/>
                <w:b/>
                <w:bCs/>
                <w:sz w:val="13"/>
                <w:szCs w:val="13"/>
              </w:rPr>
              <w:t>)</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b/>
                <w:bCs/>
                <w:sz w:val="13"/>
                <w:szCs w:val="13"/>
              </w:rPr>
            </w:pPr>
          </w:p>
        </w:tc>
        <w:tc>
          <w:tcPr>
            <w:tcW w:w="129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b/>
                <w:bCs/>
                <w:sz w:val="13"/>
                <w:szCs w:val="13"/>
              </w:rPr>
            </w:pPr>
            <w:r>
              <w:rPr>
                <w:rFonts w:ascii="Arial" w:eastAsia="黑体" w:hAnsi="Arial" w:cs="Arial"/>
                <w:b/>
                <w:bCs/>
                <w:sz w:val="13"/>
                <w:szCs w:val="13"/>
              </w:rPr>
              <w:t>(327,999,431,417.26</w:t>
            </w:r>
          </w:p>
        </w:tc>
        <w:tc>
          <w:tcPr>
            <w:tcW w:w="105" w:type="dxa"/>
            <w:tcBorders>
              <w:top w:val="nil"/>
              <w:left w:val="nil"/>
              <w:bottom w:val="nil"/>
              <w:right w:val="nil"/>
            </w:tcBorders>
            <w:vAlign w:val="bottom"/>
          </w:tcPr>
          <w:p w:rsidR="00AD5BB5" w:rsidRDefault="00F87FF6">
            <w:pPr>
              <w:autoSpaceDE w:val="0"/>
              <w:autoSpaceDN w:val="0"/>
              <w:rPr>
                <w:rFonts w:ascii="Arial" w:eastAsia="黑体" w:hAnsi="Arial" w:cs="Arial"/>
                <w:sz w:val="13"/>
                <w:szCs w:val="13"/>
              </w:rPr>
            </w:pPr>
            <w:r>
              <w:rPr>
                <w:rFonts w:ascii="Arial" w:eastAsia="黑体" w:hAnsi="Arial" w:cs="Arial"/>
                <w:sz w:val="13"/>
                <w:szCs w:val="13"/>
              </w:rPr>
              <w:t>)</w:t>
            </w:r>
          </w:p>
        </w:tc>
      </w:tr>
      <w:tr w:rsidR="00AD5BB5">
        <w:tc>
          <w:tcPr>
            <w:tcW w:w="1301" w:type="dxa"/>
            <w:tcBorders>
              <w:top w:val="nil"/>
              <w:left w:val="nil"/>
              <w:bottom w:val="nil"/>
              <w:right w:val="nil"/>
            </w:tcBorders>
            <w:vAlign w:val="bottom"/>
          </w:tcPr>
          <w:p w:rsidR="00AD5BB5" w:rsidRDefault="00AD5BB5">
            <w:pPr>
              <w:autoSpaceDE w:val="0"/>
              <w:autoSpaceDN w:val="0"/>
              <w:ind w:left="195" w:hangingChars="150" w:hanging="195"/>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6"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976"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30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其他分部信息：</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97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30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折旧和摊销的费用</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69,955,731.70</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28,144,304.67</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23,202,972.47</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97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1,772,179.65</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123,075,188.49</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r w:rsidR="00AD5BB5">
        <w:tc>
          <w:tcPr>
            <w:tcW w:w="1301" w:type="dxa"/>
            <w:tcBorders>
              <w:top w:val="nil"/>
              <w:left w:val="nil"/>
              <w:bottom w:val="nil"/>
              <w:right w:val="nil"/>
            </w:tcBorders>
            <w:vAlign w:val="bottom"/>
          </w:tcPr>
          <w:p w:rsidR="00AD5BB5" w:rsidRDefault="00F87FF6">
            <w:pPr>
              <w:autoSpaceDE w:val="0"/>
              <w:autoSpaceDN w:val="0"/>
              <w:ind w:left="130" w:hangingChars="100" w:hanging="130"/>
              <w:rPr>
                <w:rFonts w:ascii="Arial" w:eastAsia="黑体" w:hAnsi="Arial" w:cs="Arial"/>
                <w:sz w:val="13"/>
                <w:szCs w:val="13"/>
              </w:rPr>
            </w:pPr>
            <w:r>
              <w:rPr>
                <w:rFonts w:ascii="Arial" w:eastAsia="黑体" w:hAnsi="Arial" w:cs="Arial"/>
                <w:sz w:val="13"/>
                <w:szCs w:val="13"/>
              </w:rPr>
              <w:t>资本性支出</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109,613,502.77</w:t>
            </w:r>
          </w:p>
        </w:tc>
        <w:tc>
          <w:tcPr>
            <w:tcW w:w="106"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1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44,769,471.38</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36,943,667.80</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97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2,818,745.04</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c>
          <w:tcPr>
            <w:tcW w:w="129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3"/>
                <w:szCs w:val="13"/>
              </w:rPr>
            </w:pPr>
            <w:r>
              <w:rPr>
                <w:rFonts w:ascii="Arial" w:eastAsia="黑体" w:hAnsi="Arial" w:cs="Arial"/>
                <w:sz w:val="13"/>
                <w:szCs w:val="13"/>
              </w:rPr>
              <w:t>194,145,386.99</w:t>
            </w:r>
          </w:p>
        </w:tc>
        <w:tc>
          <w:tcPr>
            <w:tcW w:w="105" w:type="dxa"/>
            <w:tcBorders>
              <w:top w:val="nil"/>
              <w:left w:val="nil"/>
              <w:bottom w:val="nil"/>
              <w:right w:val="nil"/>
            </w:tcBorders>
            <w:vAlign w:val="bottom"/>
          </w:tcPr>
          <w:p w:rsidR="00AD5BB5" w:rsidRDefault="00AD5BB5">
            <w:pPr>
              <w:autoSpaceDE w:val="0"/>
              <w:autoSpaceDN w:val="0"/>
              <w:rPr>
                <w:rFonts w:ascii="Arial" w:eastAsia="黑体" w:hAnsi="Arial" w:cs="Arial"/>
                <w:sz w:val="13"/>
                <w:szCs w:val="13"/>
              </w:rPr>
            </w:pPr>
          </w:p>
        </w:tc>
      </w:tr>
    </w:tbl>
    <w:p w:rsidR="00AD5BB5" w:rsidRDefault="00AD5BB5">
      <w:pPr>
        <w:overflowPunct w:val="0"/>
        <w:autoSpaceDE w:val="0"/>
        <w:autoSpaceDN w:val="0"/>
        <w:adjustRightInd w:val="0"/>
        <w:snapToGrid w:val="0"/>
        <w:rPr>
          <w:rFonts w:ascii="Arial" w:eastAsia="黑体" w:hAnsi="Arial" w:cs="Arial"/>
          <w:snapToGrid w:val="0"/>
          <w:szCs w:val="21"/>
        </w:rPr>
      </w:pPr>
    </w:p>
    <w:p w:rsidR="00AD5BB5" w:rsidRDefault="00F87FF6">
      <w:pPr>
        <w:pStyle w:val="a3"/>
        <w:numPr>
          <w:ilvl w:val="0"/>
          <w:numId w:val="0"/>
        </w:numPr>
        <w:tabs>
          <w:tab w:val="left" w:pos="709"/>
        </w:tabs>
        <w:ind w:left="709" w:hanging="709"/>
        <w:rPr>
          <w:sz w:val="21"/>
          <w:szCs w:val="21"/>
        </w:rPr>
      </w:pPr>
      <w:bookmarkStart w:id="575" w:name="afsaddin_Section_a12ffd1ebfd045738671f42"/>
      <w:r>
        <w:rPr>
          <w:sz w:val="21"/>
          <w:szCs w:val="21"/>
        </w:rPr>
        <w:t>十四、公司财务报表主要项目注释</w:t>
      </w:r>
    </w:p>
    <w:bookmarkEnd w:id="575"/>
    <w:p w:rsidR="00AD5BB5" w:rsidRDefault="00AD5BB5">
      <w:pPr>
        <w:overflowPunct w:val="0"/>
        <w:autoSpaceDE w:val="0"/>
        <w:autoSpaceDN w:val="0"/>
        <w:rPr>
          <w:rFonts w:ascii="Arial" w:eastAsia="黑体" w:hAnsi="Arial" w:cs="Arial"/>
          <w:szCs w:val="21"/>
        </w:rPr>
      </w:pPr>
    </w:p>
    <w:p w:rsidR="00AD5BB5" w:rsidRDefault="00F87FF6">
      <w:pPr>
        <w:pStyle w:val="af5"/>
        <w:overflowPunct w:val="0"/>
        <w:autoSpaceDE w:val="0"/>
        <w:autoSpaceDN w:val="0"/>
        <w:adjustRightInd w:val="0"/>
        <w:snapToGrid w:val="0"/>
        <w:spacing w:before="0" w:after="0"/>
        <w:ind w:left="658" w:hanging="644"/>
        <w:jc w:val="both"/>
        <w:textAlignment w:val="bottom"/>
        <w:outlineLvl w:val="2"/>
        <w:rPr>
          <w:rFonts w:ascii="Arial" w:eastAsia="黑体" w:hAnsi="Arial" w:cs="Arial" w:hint="default"/>
          <w:bCs w:val="0"/>
          <w:snapToGrid w:val="0"/>
          <w:color w:val="auto"/>
          <w:sz w:val="21"/>
          <w:szCs w:val="21"/>
        </w:rPr>
      </w:pPr>
      <w:bookmarkStart w:id="576" w:name="afsaddin_Section_bcacc4b709ca48e786202c9"/>
      <w:r>
        <w:rPr>
          <w:rFonts w:ascii="Arial" w:eastAsia="黑体" w:hAnsi="Arial" w:cs="Arial" w:hint="default"/>
          <w:bCs w:val="0"/>
          <w:snapToGrid w:val="0"/>
          <w:color w:val="auto"/>
          <w:sz w:val="21"/>
          <w:szCs w:val="21"/>
        </w:rPr>
        <w:t>1.</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现金及存放中央银行款项</w:t>
      </w:r>
    </w:p>
    <w:bookmarkEnd w:id="576"/>
    <w:tbl>
      <w:tblPr>
        <w:tblW w:w="0" w:type="auto"/>
        <w:tblLayout w:type="fixed"/>
        <w:tblCellMar>
          <w:left w:w="0" w:type="dxa"/>
          <w:right w:w="0" w:type="dxa"/>
        </w:tblCellMar>
        <w:tblLook w:val="04A0" w:firstRow="1" w:lastRow="0" w:firstColumn="1" w:lastColumn="0" w:noHBand="0" w:noVBand="1"/>
        <w:tblCaption w:val="63c83bfa-1b93-4d64-aa00-3efc4e7aee58"/>
        <w:tblDescription w:val="{&quot;UUID&quot;:&quot;afsaddin_tabledata_2_56437_63c83bfa-1b93-4d64-aa00-3efc4e7aee58&quot;,&quot;TitleRowCount&quot;:2,&quot;SplitedTable&quot;:false,&quot;FirstTableId&quot;:&quot;63c83bfa-1b93-4d64-aa00-3efc4e7aee58&quot;}"/>
      </w:tblPr>
      <w:tblGrid>
        <w:gridCol w:w="3752"/>
        <w:gridCol w:w="111"/>
        <w:gridCol w:w="2156"/>
        <w:gridCol w:w="111"/>
        <w:gridCol w:w="111"/>
        <w:gridCol w:w="2102"/>
        <w:gridCol w:w="111"/>
      </w:tblGrid>
      <w:tr w:rsidR="00AD5BB5">
        <w:tc>
          <w:tcPr>
            <w:tcW w:w="3752"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left="270" w:hangingChars="150" w:hanging="270"/>
              <w:rPr>
                <w:rFonts w:ascii="Arial" w:eastAsia="黑体" w:hAnsi="Arial" w:cs="Arial"/>
                <w:sz w:val="18"/>
                <w:szCs w:val="18"/>
              </w:rPr>
            </w:pP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18"/>
                <w:szCs w:val="18"/>
              </w:rPr>
            </w:pPr>
          </w:p>
        </w:tc>
        <w:tc>
          <w:tcPr>
            <w:tcW w:w="2156" w:type="dxa"/>
            <w:tcBorders>
              <w:top w:val="nil"/>
              <w:left w:val="nil"/>
              <w:bottom w:val="nil"/>
              <w:right w:val="nil"/>
            </w:tcBorders>
            <w:shd w:val="clear" w:color="000000" w:fill="auto"/>
            <w:noWrap/>
            <w:vAlign w:val="bottom"/>
          </w:tcPr>
          <w:p w:rsidR="00AD5BB5" w:rsidRDefault="00F87FF6">
            <w:pPr>
              <w:tabs>
                <w:tab w:val="decimal" w:pos="1092"/>
              </w:tabs>
              <w:overflowPunct w:val="0"/>
              <w:autoSpaceDE w:val="0"/>
              <w:autoSpaceDN w:val="0"/>
              <w:snapToGrid w:val="0"/>
              <w:ind w:rightChars="19" w:right="40"/>
              <w:jc w:val="right"/>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 DOCPROPERTY </w:instrText>
            </w:r>
            <w:r>
              <w:rPr>
                <w:rFonts w:ascii="Arial" w:eastAsia="黑体" w:hAnsi="Arial" w:cs="Arial"/>
                <w:sz w:val="18"/>
                <w:szCs w:val="18"/>
              </w:rPr>
              <w:instrText>当期资产负债表日</w:instrText>
            </w:r>
            <w:r>
              <w:rPr>
                <w:rFonts w:ascii="Arial" w:eastAsia="黑体" w:hAnsi="Arial" w:cs="Arial"/>
                <w:sz w:val="18"/>
                <w:szCs w:val="18"/>
              </w:rPr>
              <w:instrText xml:space="preserve"> </w:instrText>
            </w:r>
            <w:r>
              <w:rPr>
                <w:rFonts w:ascii="Arial" w:eastAsia="黑体" w:hAnsi="Arial" w:cs="Arial"/>
                <w:sz w:val="18"/>
                <w:szCs w:val="18"/>
              </w:rPr>
              <w:fldChar w:fldCharType="separate"/>
            </w:r>
            <w:r>
              <w:rPr>
                <w:rFonts w:ascii="Arial" w:eastAsia="黑体" w:hAnsi="Arial" w:cs="Arial"/>
                <w:sz w:val="18"/>
                <w:szCs w:val="18"/>
              </w:rPr>
              <w:t>2023</w:t>
            </w:r>
            <w:r>
              <w:rPr>
                <w:rFonts w:ascii="Arial" w:eastAsia="黑体" w:hAnsi="Arial" w:cs="Arial"/>
                <w:sz w:val="18"/>
                <w:szCs w:val="18"/>
              </w:rPr>
              <w:t>年</w:t>
            </w:r>
            <w:r>
              <w:rPr>
                <w:rFonts w:ascii="Arial" w:eastAsia="黑体" w:hAnsi="Arial" w:cs="Arial"/>
                <w:sz w:val="18"/>
                <w:szCs w:val="18"/>
              </w:rPr>
              <w:t>6</w:t>
            </w:r>
            <w:r>
              <w:rPr>
                <w:rFonts w:ascii="Arial" w:eastAsia="黑体" w:hAnsi="Arial" w:cs="Arial"/>
                <w:sz w:val="18"/>
                <w:szCs w:val="18"/>
              </w:rPr>
              <w:t>月</w:t>
            </w:r>
            <w:r>
              <w:rPr>
                <w:rFonts w:ascii="Arial" w:eastAsia="黑体" w:hAnsi="Arial" w:cs="Arial"/>
                <w:sz w:val="18"/>
                <w:szCs w:val="18"/>
              </w:rPr>
              <w:t>30</w:t>
            </w:r>
            <w:r>
              <w:rPr>
                <w:rFonts w:ascii="Arial" w:eastAsia="黑体" w:hAnsi="Arial" w:cs="Arial"/>
                <w:sz w:val="18"/>
                <w:szCs w:val="18"/>
              </w:rPr>
              <w:t>日</w:t>
            </w:r>
            <w:r>
              <w:rPr>
                <w:rFonts w:ascii="Arial" w:eastAsia="黑体" w:hAnsi="Arial" w:cs="Arial"/>
                <w:sz w:val="18"/>
                <w:szCs w:val="18"/>
              </w:rPr>
              <w:fldChar w:fldCharType="end"/>
            </w: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8"/>
                <w:szCs w:val="18"/>
              </w:rPr>
            </w:pP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8"/>
                <w:szCs w:val="18"/>
              </w:rPr>
            </w:pPr>
          </w:p>
        </w:tc>
        <w:tc>
          <w:tcPr>
            <w:tcW w:w="2102" w:type="dxa"/>
            <w:tcBorders>
              <w:top w:val="nil"/>
              <w:left w:val="nil"/>
              <w:bottom w:val="nil"/>
              <w:right w:val="nil"/>
            </w:tcBorders>
            <w:shd w:val="clear" w:color="000000" w:fill="auto"/>
            <w:noWrap/>
            <w:vAlign w:val="bottom"/>
          </w:tcPr>
          <w:p w:rsidR="00AD5BB5" w:rsidRDefault="00F87FF6">
            <w:pPr>
              <w:tabs>
                <w:tab w:val="decimal" w:pos="1092"/>
              </w:tabs>
              <w:overflowPunct w:val="0"/>
              <w:autoSpaceDE w:val="0"/>
              <w:autoSpaceDN w:val="0"/>
              <w:snapToGrid w:val="0"/>
              <w:ind w:rightChars="19" w:right="40"/>
              <w:jc w:val="right"/>
              <w:rPr>
                <w:rFonts w:ascii="Arial" w:eastAsia="黑体" w:hAnsi="Arial" w:cs="Arial"/>
                <w:sz w:val="18"/>
                <w:szCs w:val="18"/>
              </w:rPr>
            </w:pPr>
            <w:r>
              <w:rPr>
                <w:rFonts w:ascii="Arial" w:eastAsia="黑体" w:hAnsi="Arial" w:cs="Arial"/>
                <w:sz w:val="18"/>
                <w:szCs w:val="18"/>
              </w:rPr>
              <w:t>2022</w:t>
            </w:r>
            <w:r>
              <w:rPr>
                <w:rFonts w:ascii="Arial" w:eastAsia="黑体" w:hAnsi="Arial" w:cs="Arial"/>
                <w:sz w:val="18"/>
                <w:szCs w:val="18"/>
              </w:rPr>
              <w:t>年</w:t>
            </w:r>
            <w:r>
              <w:rPr>
                <w:rFonts w:ascii="Arial" w:eastAsia="黑体" w:hAnsi="Arial" w:cs="Arial"/>
                <w:sz w:val="18"/>
                <w:szCs w:val="18"/>
              </w:rPr>
              <w:t>12</w:t>
            </w:r>
            <w:r>
              <w:rPr>
                <w:rFonts w:ascii="Arial" w:eastAsia="黑体" w:hAnsi="Arial" w:cs="Arial"/>
                <w:sz w:val="18"/>
                <w:szCs w:val="18"/>
              </w:rPr>
              <w:t>月</w:t>
            </w:r>
            <w:r>
              <w:rPr>
                <w:rFonts w:ascii="Arial" w:eastAsia="黑体" w:hAnsi="Arial" w:cs="Arial"/>
                <w:sz w:val="18"/>
                <w:szCs w:val="18"/>
              </w:rPr>
              <w:t>31</w:t>
            </w:r>
            <w:r>
              <w:rPr>
                <w:rFonts w:ascii="Arial" w:eastAsia="黑体" w:hAnsi="Arial" w:cs="Arial"/>
                <w:sz w:val="18"/>
                <w:szCs w:val="18"/>
              </w:rPr>
              <w:t>日</w:t>
            </w: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6"/>
                <w:szCs w:val="16"/>
              </w:rPr>
            </w:pPr>
          </w:p>
        </w:tc>
      </w:tr>
      <w:tr w:rsidR="00AD5BB5">
        <w:tc>
          <w:tcPr>
            <w:tcW w:w="3752"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left="270" w:hangingChars="150" w:hanging="270"/>
              <w:rPr>
                <w:rFonts w:ascii="Arial" w:eastAsia="黑体" w:hAnsi="Arial" w:cs="Arial"/>
                <w:sz w:val="18"/>
                <w:szCs w:val="18"/>
              </w:rPr>
            </w:pP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18"/>
                <w:szCs w:val="18"/>
              </w:rPr>
            </w:pPr>
          </w:p>
        </w:tc>
        <w:tc>
          <w:tcPr>
            <w:tcW w:w="2156" w:type="dxa"/>
            <w:tcBorders>
              <w:top w:val="nil"/>
              <w:left w:val="nil"/>
              <w:bottom w:val="nil"/>
              <w:right w:val="nil"/>
            </w:tcBorders>
            <w:shd w:val="clear" w:color="000000" w:fill="auto"/>
            <w:noWrap/>
            <w:vAlign w:val="bottom"/>
          </w:tcPr>
          <w:p w:rsidR="00AD5BB5" w:rsidRDefault="00AD5BB5">
            <w:pPr>
              <w:tabs>
                <w:tab w:val="decimal" w:pos="1092"/>
                <w:tab w:val="left" w:pos="2169"/>
              </w:tabs>
              <w:overflowPunct w:val="0"/>
              <w:autoSpaceDE w:val="0"/>
              <w:autoSpaceDN w:val="0"/>
              <w:snapToGrid w:val="0"/>
              <w:jc w:val="right"/>
              <w:rPr>
                <w:rFonts w:ascii="Arial" w:eastAsia="黑体" w:hAnsi="Arial" w:cs="Arial"/>
                <w:sz w:val="18"/>
                <w:szCs w:val="18"/>
              </w:rPr>
            </w:pP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8"/>
                <w:szCs w:val="18"/>
              </w:rPr>
            </w:pP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8"/>
                <w:szCs w:val="18"/>
              </w:rPr>
            </w:pPr>
          </w:p>
        </w:tc>
        <w:tc>
          <w:tcPr>
            <w:tcW w:w="2102" w:type="dxa"/>
            <w:tcBorders>
              <w:top w:val="nil"/>
              <w:left w:val="nil"/>
              <w:bottom w:val="nil"/>
              <w:right w:val="nil"/>
            </w:tcBorders>
            <w:shd w:val="clear" w:color="000000" w:fill="auto"/>
            <w:noWrap/>
            <w:vAlign w:val="bottom"/>
          </w:tcPr>
          <w:p w:rsidR="00AD5BB5" w:rsidRDefault="00AD5BB5">
            <w:pPr>
              <w:tabs>
                <w:tab w:val="decimal" w:pos="1092"/>
              </w:tabs>
              <w:overflowPunct w:val="0"/>
              <w:autoSpaceDE w:val="0"/>
              <w:autoSpaceDN w:val="0"/>
              <w:snapToGrid w:val="0"/>
              <w:ind w:rightChars="19" w:right="40"/>
              <w:jc w:val="right"/>
              <w:rPr>
                <w:rFonts w:ascii="Arial" w:eastAsia="黑体" w:hAnsi="Arial" w:cs="Arial"/>
                <w:sz w:val="18"/>
                <w:szCs w:val="18"/>
              </w:rPr>
            </w:pP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16"/>
                <w:szCs w:val="16"/>
              </w:rPr>
            </w:pPr>
          </w:p>
        </w:tc>
      </w:tr>
      <w:tr w:rsidR="00AD5BB5">
        <w:tc>
          <w:tcPr>
            <w:tcW w:w="375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180" w:hangingChars="100" w:hanging="180"/>
              <w:rPr>
                <w:rFonts w:ascii="Arial" w:eastAsia="黑体" w:hAnsi="Arial" w:cs="Arial"/>
                <w:color w:val="000000"/>
                <w:sz w:val="18"/>
                <w:szCs w:val="18"/>
              </w:rPr>
            </w:pPr>
            <w:r>
              <w:rPr>
                <w:rFonts w:ascii="Arial" w:eastAsia="黑体" w:hAnsi="Arial" w:cs="Arial"/>
                <w:color w:val="000000"/>
                <w:sz w:val="18"/>
                <w:szCs w:val="18"/>
              </w:rPr>
              <w:t>库存现金</w:t>
            </w: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8"/>
                <w:szCs w:val="18"/>
              </w:rPr>
            </w:pPr>
          </w:p>
        </w:tc>
        <w:tc>
          <w:tcPr>
            <w:tcW w:w="2156" w:type="dxa"/>
            <w:tcBorders>
              <w:top w:val="nil"/>
              <w:left w:val="nil"/>
              <w:bottom w:val="nil"/>
              <w:right w:val="nil"/>
            </w:tcBorders>
            <w:shd w:val="clear" w:color="000000" w:fill="auto"/>
            <w:noWrap/>
            <w:vAlign w:val="bottom"/>
          </w:tcPr>
          <w:p w:rsidR="00AD5BB5" w:rsidRDefault="00F87FF6">
            <w:pPr>
              <w:tabs>
                <w:tab w:val="decimal" w:pos="1092"/>
                <w:tab w:val="left" w:pos="1875"/>
              </w:tabs>
              <w:overflowPunct w:val="0"/>
              <w:autoSpaceDE w:val="0"/>
              <w:autoSpaceDN w:val="0"/>
              <w:snapToGrid w:val="0"/>
              <w:jc w:val="right"/>
              <w:rPr>
                <w:rFonts w:ascii="Arial" w:eastAsia="黑体" w:hAnsi="Arial" w:cs="Arial"/>
                <w:sz w:val="18"/>
                <w:szCs w:val="18"/>
              </w:rPr>
            </w:pPr>
            <w:r>
              <w:rPr>
                <w:rFonts w:ascii="Arial" w:eastAsia="黑体" w:hAnsi="Arial" w:cs="Arial"/>
                <w:sz w:val="18"/>
                <w:szCs w:val="18"/>
              </w:rPr>
              <w:t>230,076,577.40</w:t>
            </w: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8"/>
                <w:szCs w:val="18"/>
              </w:rPr>
            </w:pP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18"/>
                <w:szCs w:val="18"/>
              </w:rPr>
            </w:pPr>
          </w:p>
        </w:tc>
        <w:tc>
          <w:tcPr>
            <w:tcW w:w="2102" w:type="dxa"/>
            <w:tcBorders>
              <w:top w:val="nil"/>
              <w:left w:val="nil"/>
              <w:bottom w:val="nil"/>
              <w:right w:val="nil"/>
            </w:tcBorders>
            <w:shd w:val="clear" w:color="000000" w:fill="auto"/>
            <w:noWrap/>
            <w:vAlign w:val="bottom"/>
          </w:tcPr>
          <w:p w:rsidR="00AD5BB5" w:rsidRDefault="00F87FF6">
            <w:pPr>
              <w:tabs>
                <w:tab w:val="decimal" w:pos="1092"/>
                <w:tab w:val="left" w:pos="1875"/>
              </w:tabs>
              <w:overflowPunct w:val="0"/>
              <w:autoSpaceDE w:val="0"/>
              <w:autoSpaceDN w:val="0"/>
              <w:snapToGrid w:val="0"/>
              <w:jc w:val="right"/>
              <w:rPr>
                <w:rFonts w:ascii="Arial" w:eastAsia="黑体" w:hAnsi="Arial" w:cs="Arial"/>
                <w:sz w:val="18"/>
                <w:szCs w:val="18"/>
              </w:rPr>
            </w:pPr>
            <w:r>
              <w:rPr>
                <w:rFonts w:ascii="Arial" w:eastAsia="黑体" w:hAnsi="Arial" w:cs="Arial"/>
                <w:sz w:val="18"/>
                <w:szCs w:val="18"/>
              </w:rPr>
              <w:t>232,517,983.41</w:t>
            </w: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r>
      <w:tr w:rsidR="00AD5BB5">
        <w:tc>
          <w:tcPr>
            <w:tcW w:w="375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180" w:hangingChars="100" w:hanging="180"/>
              <w:rPr>
                <w:rFonts w:ascii="Arial" w:eastAsia="黑体" w:hAnsi="Arial" w:cs="Arial"/>
                <w:color w:val="000000"/>
                <w:sz w:val="18"/>
                <w:szCs w:val="18"/>
              </w:rPr>
            </w:pPr>
            <w:r>
              <w:rPr>
                <w:rFonts w:ascii="Arial" w:eastAsia="黑体" w:hAnsi="Arial" w:cs="Arial"/>
                <w:color w:val="000000"/>
                <w:sz w:val="18"/>
                <w:szCs w:val="18"/>
              </w:rPr>
              <w:t>存放中央银行款项</w:t>
            </w: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8"/>
                <w:szCs w:val="18"/>
              </w:rPr>
            </w:pPr>
          </w:p>
        </w:tc>
        <w:tc>
          <w:tcPr>
            <w:tcW w:w="2156" w:type="dxa"/>
            <w:tcBorders>
              <w:top w:val="nil"/>
              <w:left w:val="nil"/>
              <w:bottom w:val="nil"/>
              <w:right w:val="nil"/>
            </w:tcBorders>
            <w:shd w:val="clear" w:color="000000" w:fill="auto"/>
            <w:noWrap/>
            <w:vAlign w:val="bottom"/>
          </w:tcPr>
          <w:p w:rsidR="00AD5BB5" w:rsidRDefault="00AD5BB5">
            <w:pPr>
              <w:tabs>
                <w:tab w:val="decimal" w:pos="1092"/>
                <w:tab w:val="left" w:pos="1875"/>
              </w:tabs>
              <w:overflowPunct w:val="0"/>
              <w:autoSpaceDE w:val="0"/>
              <w:autoSpaceDN w:val="0"/>
              <w:snapToGrid w:val="0"/>
              <w:ind w:rightChars="19" w:right="40"/>
              <w:jc w:val="right"/>
              <w:rPr>
                <w:rFonts w:ascii="Arial" w:eastAsia="黑体" w:hAnsi="Arial" w:cs="Arial"/>
                <w:sz w:val="18"/>
                <w:szCs w:val="18"/>
              </w:rPr>
            </w:pP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8"/>
                <w:szCs w:val="18"/>
              </w:rPr>
            </w:pP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18"/>
                <w:szCs w:val="18"/>
              </w:rPr>
            </w:pPr>
          </w:p>
        </w:tc>
        <w:tc>
          <w:tcPr>
            <w:tcW w:w="2102" w:type="dxa"/>
            <w:tcBorders>
              <w:top w:val="nil"/>
              <w:left w:val="nil"/>
              <w:bottom w:val="nil"/>
              <w:right w:val="nil"/>
            </w:tcBorders>
            <w:shd w:val="clear" w:color="000000" w:fill="auto"/>
            <w:noWrap/>
            <w:vAlign w:val="bottom"/>
          </w:tcPr>
          <w:p w:rsidR="00AD5BB5" w:rsidRDefault="00AD5BB5">
            <w:pPr>
              <w:tabs>
                <w:tab w:val="decimal" w:pos="1092"/>
                <w:tab w:val="left" w:pos="1875"/>
              </w:tabs>
              <w:overflowPunct w:val="0"/>
              <w:autoSpaceDE w:val="0"/>
              <w:autoSpaceDN w:val="0"/>
              <w:snapToGrid w:val="0"/>
              <w:jc w:val="right"/>
              <w:rPr>
                <w:rFonts w:ascii="Arial" w:eastAsia="黑体" w:hAnsi="Arial" w:cs="Arial"/>
                <w:sz w:val="18"/>
                <w:szCs w:val="18"/>
              </w:rPr>
            </w:pP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r>
      <w:tr w:rsidR="00AD5BB5">
        <w:tc>
          <w:tcPr>
            <w:tcW w:w="375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Chars="76" w:left="340" w:hangingChars="100" w:hanging="180"/>
              <w:rPr>
                <w:rFonts w:ascii="Arial" w:eastAsia="黑体" w:hAnsi="Arial" w:cs="Arial"/>
                <w:color w:val="000000"/>
                <w:sz w:val="18"/>
                <w:szCs w:val="18"/>
              </w:rPr>
            </w:pPr>
            <w:r>
              <w:rPr>
                <w:rFonts w:ascii="Arial" w:eastAsia="黑体" w:hAnsi="Arial" w:cs="Arial"/>
                <w:color w:val="000000"/>
                <w:sz w:val="18"/>
                <w:szCs w:val="18"/>
              </w:rPr>
              <w:t>法定准备金</w:t>
            </w: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8"/>
                <w:szCs w:val="18"/>
              </w:rPr>
            </w:pPr>
          </w:p>
        </w:tc>
        <w:tc>
          <w:tcPr>
            <w:tcW w:w="2156" w:type="dxa"/>
            <w:tcBorders>
              <w:top w:val="nil"/>
              <w:left w:val="nil"/>
              <w:bottom w:val="nil"/>
              <w:right w:val="nil"/>
            </w:tcBorders>
            <w:shd w:val="clear" w:color="000000" w:fill="auto"/>
            <w:noWrap/>
            <w:vAlign w:val="bottom"/>
          </w:tcPr>
          <w:p w:rsidR="00AD5BB5" w:rsidRDefault="00F87FF6">
            <w:pPr>
              <w:tabs>
                <w:tab w:val="decimal" w:pos="1092"/>
                <w:tab w:val="left" w:pos="1875"/>
              </w:tabs>
              <w:overflowPunct w:val="0"/>
              <w:autoSpaceDE w:val="0"/>
              <w:autoSpaceDN w:val="0"/>
              <w:snapToGrid w:val="0"/>
              <w:jc w:val="right"/>
              <w:rPr>
                <w:rFonts w:ascii="Arial" w:eastAsia="黑体" w:hAnsi="Arial" w:cs="Arial"/>
                <w:sz w:val="18"/>
                <w:szCs w:val="18"/>
              </w:rPr>
            </w:pPr>
            <w:r>
              <w:rPr>
                <w:rFonts w:ascii="Arial" w:eastAsia="黑体" w:hAnsi="Arial" w:cs="Arial"/>
                <w:sz w:val="18"/>
                <w:szCs w:val="18"/>
              </w:rPr>
              <w:t>12,765,584,328.78</w:t>
            </w: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8"/>
                <w:szCs w:val="18"/>
              </w:rPr>
            </w:pP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18"/>
                <w:szCs w:val="18"/>
              </w:rPr>
            </w:pPr>
          </w:p>
        </w:tc>
        <w:tc>
          <w:tcPr>
            <w:tcW w:w="2102" w:type="dxa"/>
            <w:tcBorders>
              <w:top w:val="nil"/>
              <w:left w:val="nil"/>
              <w:bottom w:val="nil"/>
              <w:right w:val="nil"/>
            </w:tcBorders>
            <w:shd w:val="clear" w:color="000000" w:fill="auto"/>
            <w:noWrap/>
            <w:vAlign w:val="bottom"/>
          </w:tcPr>
          <w:p w:rsidR="00AD5BB5" w:rsidRDefault="00F87FF6">
            <w:pPr>
              <w:tabs>
                <w:tab w:val="decimal" w:pos="1092"/>
                <w:tab w:val="left" w:pos="1875"/>
              </w:tabs>
              <w:overflowPunct w:val="0"/>
              <w:autoSpaceDE w:val="0"/>
              <w:autoSpaceDN w:val="0"/>
              <w:snapToGrid w:val="0"/>
              <w:jc w:val="right"/>
              <w:rPr>
                <w:rFonts w:ascii="Arial" w:eastAsia="黑体" w:hAnsi="Arial" w:cs="Arial"/>
                <w:sz w:val="18"/>
                <w:szCs w:val="18"/>
              </w:rPr>
            </w:pPr>
            <w:r>
              <w:rPr>
                <w:rFonts w:ascii="Arial" w:eastAsia="黑体" w:hAnsi="Arial" w:cs="Arial"/>
                <w:sz w:val="18"/>
                <w:szCs w:val="18"/>
              </w:rPr>
              <w:t>14,542,640,935.33</w:t>
            </w: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r>
      <w:tr w:rsidR="00AD5BB5">
        <w:tc>
          <w:tcPr>
            <w:tcW w:w="375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Chars="76" w:left="340" w:hangingChars="100" w:hanging="180"/>
              <w:rPr>
                <w:rFonts w:ascii="Arial" w:eastAsia="黑体" w:hAnsi="Arial" w:cs="Arial"/>
                <w:color w:val="000000"/>
                <w:sz w:val="18"/>
                <w:szCs w:val="18"/>
              </w:rPr>
            </w:pPr>
            <w:r>
              <w:rPr>
                <w:rFonts w:ascii="Arial" w:eastAsia="黑体" w:hAnsi="Arial" w:cs="Arial"/>
                <w:color w:val="000000"/>
                <w:sz w:val="18"/>
                <w:szCs w:val="18"/>
              </w:rPr>
              <w:t>超额存款准备金</w:t>
            </w: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8"/>
                <w:szCs w:val="18"/>
              </w:rPr>
            </w:pPr>
          </w:p>
        </w:tc>
        <w:tc>
          <w:tcPr>
            <w:tcW w:w="2156" w:type="dxa"/>
            <w:tcBorders>
              <w:top w:val="nil"/>
              <w:left w:val="nil"/>
              <w:bottom w:val="nil"/>
              <w:right w:val="nil"/>
            </w:tcBorders>
            <w:shd w:val="clear" w:color="000000" w:fill="auto"/>
            <w:noWrap/>
            <w:vAlign w:val="bottom"/>
          </w:tcPr>
          <w:p w:rsidR="00AD5BB5" w:rsidRDefault="00F87FF6">
            <w:pPr>
              <w:tabs>
                <w:tab w:val="decimal" w:pos="1092"/>
                <w:tab w:val="left" w:pos="1875"/>
              </w:tabs>
              <w:overflowPunct w:val="0"/>
              <w:autoSpaceDE w:val="0"/>
              <w:autoSpaceDN w:val="0"/>
              <w:snapToGrid w:val="0"/>
              <w:jc w:val="right"/>
              <w:rPr>
                <w:rFonts w:ascii="Arial" w:eastAsia="黑体" w:hAnsi="Arial" w:cs="Arial"/>
                <w:sz w:val="18"/>
                <w:szCs w:val="18"/>
              </w:rPr>
            </w:pPr>
            <w:r>
              <w:rPr>
                <w:rFonts w:ascii="Arial" w:eastAsia="黑体" w:hAnsi="Arial" w:cs="Arial"/>
                <w:sz w:val="18"/>
                <w:szCs w:val="18"/>
              </w:rPr>
              <w:t>4,310,521,917.83</w:t>
            </w: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8"/>
                <w:szCs w:val="18"/>
              </w:rPr>
            </w:pP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18"/>
                <w:szCs w:val="18"/>
              </w:rPr>
            </w:pPr>
          </w:p>
        </w:tc>
        <w:tc>
          <w:tcPr>
            <w:tcW w:w="2102" w:type="dxa"/>
            <w:tcBorders>
              <w:top w:val="nil"/>
              <w:left w:val="nil"/>
              <w:bottom w:val="nil"/>
              <w:right w:val="nil"/>
            </w:tcBorders>
            <w:shd w:val="clear" w:color="000000" w:fill="auto"/>
            <w:noWrap/>
            <w:vAlign w:val="bottom"/>
          </w:tcPr>
          <w:p w:rsidR="00AD5BB5" w:rsidRDefault="00F87FF6">
            <w:pPr>
              <w:tabs>
                <w:tab w:val="decimal" w:pos="1092"/>
                <w:tab w:val="left" w:pos="1875"/>
              </w:tabs>
              <w:overflowPunct w:val="0"/>
              <w:autoSpaceDE w:val="0"/>
              <w:autoSpaceDN w:val="0"/>
              <w:snapToGrid w:val="0"/>
              <w:jc w:val="right"/>
              <w:rPr>
                <w:rFonts w:ascii="Arial" w:eastAsia="黑体" w:hAnsi="Arial" w:cs="Arial"/>
                <w:sz w:val="18"/>
                <w:szCs w:val="18"/>
              </w:rPr>
            </w:pPr>
            <w:r>
              <w:rPr>
                <w:rFonts w:ascii="Arial" w:eastAsia="黑体" w:hAnsi="Arial" w:cs="Arial"/>
                <w:sz w:val="18"/>
                <w:szCs w:val="18"/>
              </w:rPr>
              <w:t>10,364,212,758.04</w:t>
            </w: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r>
      <w:tr w:rsidR="00AD5BB5">
        <w:tc>
          <w:tcPr>
            <w:tcW w:w="3752"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Chars="76" w:left="340" w:hangingChars="100" w:hanging="180"/>
              <w:rPr>
                <w:rFonts w:ascii="Arial" w:eastAsia="黑体" w:hAnsi="Arial" w:cs="Arial"/>
                <w:color w:val="000000"/>
                <w:sz w:val="18"/>
                <w:szCs w:val="18"/>
              </w:rPr>
            </w:pPr>
            <w:r>
              <w:rPr>
                <w:rFonts w:ascii="Arial" w:eastAsia="黑体" w:hAnsi="Arial" w:cs="Arial"/>
                <w:color w:val="000000"/>
                <w:sz w:val="18"/>
                <w:szCs w:val="18"/>
              </w:rPr>
              <w:t>财政性存款</w:t>
            </w: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8"/>
                <w:szCs w:val="18"/>
              </w:rPr>
            </w:pPr>
          </w:p>
        </w:tc>
        <w:tc>
          <w:tcPr>
            <w:tcW w:w="2156" w:type="dxa"/>
            <w:tcBorders>
              <w:top w:val="nil"/>
              <w:left w:val="nil"/>
              <w:bottom w:val="nil"/>
              <w:right w:val="nil"/>
            </w:tcBorders>
            <w:shd w:val="clear" w:color="000000" w:fill="auto"/>
            <w:noWrap/>
            <w:vAlign w:val="bottom"/>
          </w:tcPr>
          <w:p w:rsidR="00AD5BB5" w:rsidRDefault="00F87FF6">
            <w:pPr>
              <w:tabs>
                <w:tab w:val="decimal" w:pos="1092"/>
                <w:tab w:val="left" w:pos="1875"/>
              </w:tabs>
              <w:overflowPunct w:val="0"/>
              <w:autoSpaceDE w:val="0"/>
              <w:autoSpaceDN w:val="0"/>
              <w:snapToGrid w:val="0"/>
              <w:jc w:val="right"/>
              <w:rPr>
                <w:rFonts w:ascii="Arial" w:eastAsia="黑体" w:hAnsi="Arial" w:cs="Arial"/>
                <w:sz w:val="18"/>
                <w:szCs w:val="18"/>
              </w:rPr>
            </w:pPr>
            <w:r>
              <w:rPr>
                <w:rFonts w:ascii="Arial" w:eastAsia="黑体" w:hAnsi="Arial" w:cs="Arial"/>
                <w:sz w:val="18"/>
                <w:szCs w:val="18"/>
              </w:rPr>
              <w:t>4,169,750,000.00</w:t>
            </w: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8"/>
                <w:szCs w:val="18"/>
              </w:rPr>
            </w:pP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18"/>
                <w:szCs w:val="18"/>
              </w:rPr>
            </w:pPr>
          </w:p>
        </w:tc>
        <w:tc>
          <w:tcPr>
            <w:tcW w:w="2102" w:type="dxa"/>
            <w:tcBorders>
              <w:top w:val="nil"/>
              <w:left w:val="nil"/>
              <w:bottom w:val="nil"/>
              <w:right w:val="nil"/>
            </w:tcBorders>
            <w:shd w:val="clear" w:color="000000" w:fill="auto"/>
            <w:noWrap/>
            <w:vAlign w:val="bottom"/>
          </w:tcPr>
          <w:p w:rsidR="00AD5BB5" w:rsidRDefault="00F87FF6">
            <w:pPr>
              <w:tabs>
                <w:tab w:val="decimal" w:pos="1092"/>
                <w:tab w:val="left" w:pos="1875"/>
              </w:tabs>
              <w:overflowPunct w:val="0"/>
              <w:autoSpaceDE w:val="0"/>
              <w:autoSpaceDN w:val="0"/>
              <w:snapToGrid w:val="0"/>
              <w:jc w:val="right"/>
              <w:rPr>
                <w:rFonts w:ascii="Arial" w:eastAsia="黑体" w:hAnsi="Arial" w:cs="Arial"/>
                <w:sz w:val="18"/>
                <w:szCs w:val="18"/>
              </w:rPr>
            </w:pPr>
            <w:r>
              <w:rPr>
                <w:rFonts w:ascii="Arial" w:eastAsia="黑体" w:hAnsi="Arial" w:cs="Arial"/>
                <w:sz w:val="18"/>
                <w:szCs w:val="18"/>
              </w:rPr>
              <w:t>4,623,355,000.00</w:t>
            </w: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r>
      <w:tr w:rsidR="00AD5BB5">
        <w:tc>
          <w:tcPr>
            <w:tcW w:w="3752"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180" w:hangingChars="100" w:hanging="180"/>
              <w:rPr>
                <w:rFonts w:ascii="Arial" w:eastAsia="黑体" w:hAnsi="Arial" w:cs="Arial"/>
                <w:sz w:val="18"/>
                <w:szCs w:val="18"/>
              </w:rPr>
            </w:pPr>
            <w:r>
              <w:rPr>
                <w:rFonts w:ascii="Arial" w:eastAsia="黑体" w:hAnsi="Arial" w:cs="Arial"/>
                <w:sz w:val="18"/>
                <w:szCs w:val="18"/>
              </w:rPr>
              <w:t>存放央行外汇风险准备金</w:t>
            </w: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18"/>
                <w:szCs w:val="18"/>
              </w:rPr>
            </w:pPr>
          </w:p>
        </w:tc>
        <w:tc>
          <w:tcPr>
            <w:tcW w:w="2156" w:type="dxa"/>
            <w:tcBorders>
              <w:top w:val="nil"/>
              <w:left w:val="nil"/>
              <w:bottom w:val="single" w:sz="4" w:space="0" w:color="auto"/>
              <w:right w:val="nil"/>
            </w:tcBorders>
            <w:shd w:val="clear" w:color="auto" w:fill="auto"/>
            <w:noWrap/>
            <w:vAlign w:val="bottom"/>
          </w:tcPr>
          <w:p w:rsidR="00AD5BB5" w:rsidRDefault="00F87FF6">
            <w:pPr>
              <w:tabs>
                <w:tab w:val="decimal" w:pos="1092"/>
                <w:tab w:val="left" w:pos="1875"/>
              </w:tabs>
              <w:overflowPunct w:val="0"/>
              <w:autoSpaceDE w:val="0"/>
              <w:autoSpaceDN w:val="0"/>
              <w:snapToGrid w:val="0"/>
              <w:jc w:val="right"/>
              <w:rPr>
                <w:rFonts w:ascii="Arial" w:eastAsia="黑体" w:hAnsi="Arial" w:cs="Arial"/>
                <w:sz w:val="18"/>
                <w:szCs w:val="18"/>
              </w:rPr>
            </w:pPr>
            <w:r>
              <w:rPr>
                <w:rFonts w:ascii="Arial" w:eastAsia="黑体" w:hAnsi="Arial" w:cs="Arial"/>
                <w:sz w:val="18"/>
                <w:szCs w:val="18"/>
              </w:rPr>
              <w:t>52,294,073.03</w:t>
            </w: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18"/>
                <w:szCs w:val="18"/>
              </w:rPr>
            </w:pP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18"/>
                <w:szCs w:val="18"/>
              </w:rPr>
            </w:pPr>
          </w:p>
        </w:tc>
        <w:tc>
          <w:tcPr>
            <w:tcW w:w="2102" w:type="dxa"/>
            <w:tcBorders>
              <w:top w:val="nil"/>
              <w:left w:val="nil"/>
              <w:bottom w:val="single" w:sz="4" w:space="0" w:color="auto"/>
              <w:right w:val="nil"/>
            </w:tcBorders>
            <w:shd w:val="clear" w:color="auto" w:fill="auto"/>
            <w:noWrap/>
            <w:vAlign w:val="bottom"/>
          </w:tcPr>
          <w:p w:rsidR="00AD5BB5" w:rsidRDefault="00F87FF6">
            <w:pPr>
              <w:tabs>
                <w:tab w:val="decimal" w:pos="1092"/>
                <w:tab w:val="left" w:pos="1875"/>
              </w:tabs>
              <w:overflowPunct w:val="0"/>
              <w:autoSpaceDE w:val="0"/>
              <w:autoSpaceDN w:val="0"/>
              <w:snapToGrid w:val="0"/>
              <w:jc w:val="right"/>
              <w:rPr>
                <w:rFonts w:ascii="Arial" w:eastAsia="黑体" w:hAnsi="Arial" w:cs="Arial"/>
                <w:sz w:val="18"/>
                <w:szCs w:val="18"/>
              </w:rPr>
            </w:pPr>
            <w:r>
              <w:rPr>
                <w:rFonts w:ascii="Arial" w:eastAsia="黑体" w:hAnsi="Arial" w:cs="Arial"/>
                <w:sz w:val="18"/>
                <w:szCs w:val="18"/>
              </w:rPr>
              <w:t>36,105,216.01</w:t>
            </w: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16"/>
                <w:szCs w:val="16"/>
              </w:rPr>
            </w:pPr>
          </w:p>
        </w:tc>
      </w:tr>
      <w:tr w:rsidR="00AD5BB5">
        <w:tc>
          <w:tcPr>
            <w:tcW w:w="3752"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left="270" w:hangingChars="150" w:hanging="270"/>
              <w:rPr>
                <w:rFonts w:ascii="Arial" w:eastAsia="黑体" w:hAnsi="Arial" w:cs="Arial"/>
                <w:sz w:val="18"/>
                <w:szCs w:val="18"/>
              </w:rPr>
            </w:pP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8"/>
                <w:szCs w:val="18"/>
              </w:rPr>
            </w:pPr>
          </w:p>
        </w:tc>
        <w:tc>
          <w:tcPr>
            <w:tcW w:w="2156" w:type="dxa"/>
            <w:tcBorders>
              <w:top w:val="single" w:sz="4" w:space="0" w:color="auto"/>
              <w:left w:val="nil"/>
              <w:bottom w:val="nil"/>
              <w:right w:val="nil"/>
            </w:tcBorders>
            <w:shd w:val="clear" w:color="auto" w:fill="auto"/>
            <w:noWrap/>
            <w:vAlign w:val="bottom"/>
          </w:tcPr>
          <w:p w:rsidR="00AD5BB5" w:rsidRDefault="00AD5BB5">
            <w:pPr>
              <w:tabs>
                <w:tab w:val="decimal" w:pos="1092"/>
                <w:tab w:val="left" w:pos="1875"/>
              </w:tabs>
              <w:overflowPunct w:val="0"/>
              <w:autoSpaceDE w:val="0"/>
              <w:autoSpaceDN w:val="0"/>
              <w:snapToGrid w:val="0"/>
              <w:jc w:val="right"/>
              <w:rPr>
                <w:rFonts w:ascii="Arial" w:eastAsia="黑体" w:hAnsi="Arial" w:cs="Arial"/>
                <w:sz w:val="18"/>
                <w:szCs w:val="18"/>
              </w:rPr>
            </w:pP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18"/>
                <w:szCs w:val="18"/>
              </w:rPr>
            </w:pP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18"/>
                <w:szCs w:val="18"/>
              </w:rPr>
            </w:pPr>
          </w:p>
        </w:tc>
        <w:tc>
          <w:tcPr>
            <w:tcW w:w="2102" w:type="dxa"/>
            <w:tcBorders>
              <w:top w:val="single" w:sz="4" w:space="0" w:color="auto"/>
              <w:left w:val="nil"/>
              <w:bottom w:val="nil"/>
              <w:right w:val="nil"/>
            </w:tcBorders>
            <w:shd w:val="clear" w:color="auto" w:fill="auto"/>
            <w:noWrap/>
            <w:vAlign w:val="bottom"/>
          </w:tcPr>
          <w:p w:rsidR="00AD5BB5" w:rsidRDefault="00AD5BB5">
            <w:pPr>
              <w:tabs>
                <w:tab w:val="decimal" w:pos="1092"/>
                <w:tab w:val="left" w:pos="1875"/>
              </w:tabs>
              <w:overflowPunct w:val="0"/>
              <w:autoSpaceDE w:val="0"/>
              <w:autoSpaceDN w:val="0"/>
              <w:snapToGrid w:val="0"/>
              <w:jc w:val="right"/>
              <w:rPr>
                <w:rFonts w:ascii="Arial" w:eastAsia="黑体" w:hAnsi="Arial" w:cs="Arial"/>
                <w:sz w:val="18"/>
                <w:szCs w:val="18"/>
              </w:rPr>
            </w:pP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r>
      <w:tr w:rsidR="00AD5BB5">
        <w:tc>
          <w:tcPr>
            <w:tcW w:w="3752"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180" w:hangingChars="100" w:hanging="180"/>
              <w:rPr>
                <w:rFonts w:ascii="Arial" w:eastAsia="黑体" w:hAnsi="Arial" w:cs="Arial"/>
                <w:sz w:val="18"/>
                <w:szCs w:val="18"/>
              </w:rPr>
            </w:pPr>
            <w:r>
              <w:rPr>
                <w:rFonts w:ascii="Arial" w:eastAsia="黑体" w:hAnsi="Arial" w:cs="Arial"/>
                <w:sz w:val="18"/>
                <w:szCs w:val="18"/>
              </w:rPr>
              <w:t>小计</w:t>
            </w: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8"/>
                <w:szCs w:val="18"/>
              </w:rPr>
            </w:pPr>
          </w:p>
        </w:tc>
        <w:tc>
          <w:tcPr>
            <w:tcW w:w="2156" w:type="dxa"/>
            <w:tcBorders>
              <w:top w:val="nil"/>
              <w:left w:val="nil"/>
              <w:bottom w:val="single" w:sz="4" w:space="0" w:color="auto"/>
              <w:right w:val="nil"/>
            </w:tcBorders>
            <w:shd w:val="clear" w:color="auto" w:fill="auto"/>
            <w:noWrap/>
            <w:vAlign w:val="bottom"/>
          </w:tcPr>
          <w:p w:rsidR="00AD5BB5" w:rsidRDefault="00F87FF6">
            <w:pPr>
              <w:tabs>
                <w:tab w:val="decimal" w:pos="1092"/>
                <w:tab w:val="left" w:pos="1875"/>
              </w:tabs>
              <w:overflowPunct w:val="0"/>
              <w:autoSpaceDE w:val="0"/>
              <w:autoSpaceDN w:val="0"/>
              <w:snapToGrid w:val="0"/>
              <w:jc w:val="right"/>
              <w:rPr>
                <w:rFonts w:ascii="Arial" w:eastAsia="黑体" w:hAnsi="Arial" w:cs="Arial"/>
                <w:sz w:val="18"/>
                <w:szCs w:val="18"/>
              </w:rPr>
            </w:pPr>
            <w:r>
              <w:rPr>
                <w:rFonts w:ascii="Arial" w:eastAsia="黑体" w:hAnsi="Arial" w:cs="Arial"/>
                <w:sz w:val="18"/>
                <w:szCs w:val="18"/>
              </w:rPr>
              <w:t>21,528,226,897.04</w:t>
            </w: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18"/>
                <w:szCs w:val="18"/>
              </w:rPr>
            </w:pP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18"/>
                <w:szCs w:val="18"/>
              </w:rPr>
            </w:pPr>
          </w:p>
        </w:tc>
        <w:tc>
          <w:tcPr>
            <w:tcW w:w="2102" w:type="dxa"/>
            <w:tcBorders>
              <w:top w:val="nil"/>
              <w:left w:val="nil"/>
              <w:bottom w:val="single" w:sz="4" w:space="0" w:color="auto"/>
              <w:right w:val="nil"/>
            </w:tcBorders>
            <w:shd w:val="clear" w:color="auto" w:fill="auto"/>
            <w:noWrap/>
            <w:vAlign w:val="bottom"/>
          </w:tcPr>
          <w:p w:rsidR="00AD5BB5" w:rsidRDefault="00F87FF6">
            <w:pPr>
              <w:tabs>
                <w:tab w:val="decimal" w:pos="1092"/>
                <w:tab w:val="left" w:pos="1875"/>
              </w:tabs>
              <w:overflowPunct w:val="0"/>
              <w:autoSpaceDE w:val="0"/>
              <w:autoSpaceDN w:val="0"/>
              <w:snapToGrid w:val="0"/>
              <w:jc w:val="right"/>
              <w:rPr>
                <w:rFonts w:ascii="Arial" w:eastAsia="黑体" w:hAnsi="Arial" w:cs="Arial"/>
                <w:sz w:val="18"/>
                <w:szCs w:val="18"/>
              </w:rPr>
            </w:pPr>
            <w:r>
              <w:rPr>
                <w:rFonts w:ascii="Arial" w:eastAsia="黑体" w:hAnsi="Arial" w:cs="Arial"/>
                <w:sz w:val="18"/>
                <w:szCs w:val="18"/>
              </w:rPr>
              <w:t>29,798,831,892.79</w:t>
            </w: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r>
      <w:tr w:rsidR="00AD5BB5">
        <w:tc>
          <w:tcPr>
            <w:tcW w:w="3752"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left="270" w:hangingChars="150" w:hanging="270"/>
              <w:rPr>
                <w:rFonts w:ascii="Arial" w:eastAsia="黑体" w:hAnsi="Arial" w:cs="Arial"/>
                <w:sz w:val="18"/>
                <w:szCs w:val="18"/>
              </w:rPr>
            </w:pP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8"/>
                <w:szCs w:val="18"/>
              </w:rPr>
            </w:pPr>
          </w:p>
        </w:tc>
        <w:tc>
          <w:tcPr>
            <w:tcW w:w="2156" w:type="dxa"/>
            <w:tcBorders>
              <w:top w:val="single" w:sz="4" w:space="0" w:color="auto"/>
              <w:left w:val="nil"/>
              <w:bottom w:val="nil"/>
              <w:right w:val="nil"/>
            </w:tcBorders>
            <w:shd w:val="clear" w:color="auto" w:fill="auto"/>
            <w:noWrap/>
            <w:vAlign w:val="bottom"/>
          </w:tcPr>
          <w:p w:rsidR="00AD5BB5" w:rsidRDefault="00AD5BB5">
            <w:pPr>
              <w:tabs>
                <w:tab w:val="decimal" w:pos="1092"/>
                <w:tab w:val="left" w:pos="1875"/>
              </w:tabs>
              <w:overflowPunct w:val="0"/>
              <w:autoSpaceDE w:val="0"/>
              <w:autoSpaceDN w:val="0"/>
              <w:snapToGrid w:val="0"/>
              <w:jc w:val="right"/>
              <w:rPr>
                <w:rFonts w:ascii="Arial" w:eastAsia="黑体" w:hAnsi="Arial" w:cs="Arial"/>
                <w:sz w:val="18"/>
                <w:szCs w:val="18"/>
              </w:rPr>
            </w:pP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18"/>
                <w:szCs w:val="18"/>
              </w:rPr>
            </w:pP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18"/>
                <w:szCs w:val="18"/>
              </w:rPr>
            </w:pPr>
          </w:p>
        </w:tc>
        <w:tc>
          <w:tcPr>
            <w:tcW w:w="2102" w:type="dxa"/>
            <w:tcBorders>
              <w:top w:val="single" w:sz="4" w:space="0" w:color="auto"/>
              <w:left w:val="nil"/>
              <w:bottom w:val="nil"/>
              <w:right w:val="nil"/>
            </w:tcBorders>
            <w:shd w:val="clear" w:color="auto" w:fill="auto"/>
            <w:noWrap/>
            <w:vAlign w:val="bottom"/>
          </w:tcPr>
          <w:p w:rsidR="00AD5BB5" w:rsidRDefault="00AD5BB5">
            <w:pPr>
              <w:tabs>
                <w:tab w:val="decimal" w:pos="1092"/>
                <w:tab w:val="left" w:pos="1875"/>
              </w:tabs>
              <w:overflowPunct w:val="0"/>
              <w:autoSpaceDE w:val="0"/>
              <w:autoSpaceDN w:val="0"/>
              <w:snapToGrid w:val="0"/>
              <w:jc w:val="right"/>
              <w:rPr>
                <w:rFonts w:ascii="Arial" w:eastAsia="黑体" w:hAnsi="Arial" w:cs="Arial"/>
                <w:sz w:val="18"/>
                <w:szCs w:val="18"/>
              </w:rPr>
            </w:pP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r>
      <w:tr w:rsidR="00AD5BB5">
        <w:tc>
          <w:tcPr>
            <w:tcW w:w="3752"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180" w:hangingChars="100" w:hanging="180"/>
              <w:rPr>
                <w:rFonts w:ascii="Arial" w:eastAsia="黑体" w:hAnsi="Arial" w:cs="Arial"/>
                <w:sz w:val="18"/>
                <w:szCs w:val="18"/>
              </w:rPr>
            </w:pPr>
            <w:r>
              <w:rPr>
                <w:rFonts w:ascii="Arial" w:eastAsia="黑体" w:hAnsi="Arial" w:cs="Arial"/>
                <w:sz w:val="18"/>
                <w:szCs w:val="18"/>
              </w:rPr>
              <w:t>应计利息</w:t>
            </w: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8"/>
                <w:szCs w:val="18"/>
              </w:rPr>
            </w:pPr>
          </w:p>
        </w:tc>
        <w:tc>
          <w:tcPr>
            <w:tcW w:w="2156" w:type="dxa"/>
            <w:tcBorders>
              <w:top w:val="nil"/>
              <w:left w:val="nil"/>
              <w:bottom w:val="single" w:sz="4" w:space="0" w:color="auto"/>
              <w:right w:val="nil"/>
            </w:tcBorders>
            <w:shd w:val="clear" w:color="auto" w:fill="auto"/>
            <w:noWrap/>
            <w:vAlign w:val="bottom"/>
          </w:tcPr>
          <w:p w:rsidR="00AD5BB5" w:rsidRDefault="00F87FF6">
            <w:pPr>
              <w:tabs>
                <w:tab w:val="decimal" w:pos="1092"/>
                <w:tab w:val="left" w:pos="1875"/>
              </w:tabs>
              <w:overflowPunct w:val="0"/>
              <w:autoSpaceDE w:val="0"/>
              <w:autoSpaceDN w:val="0"/>
              <w:snapToGrid w:val="0"/>
              <w:jc w:val="right"/>
              <w:rPr>
                <w:rFonts w:ascii="Arial" w:eastAsia="黑体" w:hAnsi="Arial" w:cs="Arial"/>
                <w:sz w:val="18"/>
                <w:szCs w:val="18"/>
              </w:rPr>
            </w:pPr>
            <w:r>
              <w:rPr>
                <w:rFonts w:ascii="Arial" w:eastAsia="黑体" w:hAnsi="Arial" w:cs="Arial"/>
                <w:sz w:val="18"/>
                <w:szCs w:val="18"/>
              </w:rPr>
              <w:t>8,243,524.96</w:t>
            </w: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18"/>
                <w:szCs w:val="18"/>
              </w:rPr>
            </w:pP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18"/>
                <w:szCs w:val="18"/>
              </w:rPr>
            </w:pPr>
          </w:p>
        </w:tc>
        <w:tc>
          <w:tcPr>
            <w:tcW w:w="2102" w:type="dxa"/>
            <w:tcBorders>
              <w:top w:val="nil"/>
              <w:left w:val="nil"/>
              <w:bottom w:val="single" w:sz="4" w:space="0" w:color="auto"/>
              <w:right w:val="nil"/>
            </w:tcBorders>
            <w:shd w:val="clear" w:color="auto" w:fill="auto"/>
            <w:noWrap/>
            <w:vAlign w:val="bottom"/>
          </w:tcPr>
          <w:p w:rsidR="00AD5BB5" w:rsidRDefault="00F87FF6">
            <w:pPr>
              <w:tabs>
                <w:tab w:val="decimal" w:pos="1092"/>
                <w:tab w:val="left" w:pos="1875"/>
              </w:tabs>
              <w:overflowPunct w:val="0"/>
              <w:autoSpaceDE w:val="0"/>
              <w:autoSpaceDN w:val="0"/>
              <w:snapToGrid w:val="0"/>
              <w:jc w:val="right"/>
              <w:rPr>
                <w:rFonts w:ascii="Arial" w:eastAsia="黑体" w:hAnsi="Arial" w:cs="Arial"/>
                <w:sz w:val="18"/>
                <w:szCs w:val="18"/>
              </w:rPr>
            </w:pPr>
            <w:r>
              <w:rPr>
                <w:rFonts w:ascii="Arial" w:eastAsia="黑体" w:hAnsi="Arial" w:cs="Arial"/>
                <w:sz w:val="18"/>
                <w:szCs w:val="18"/>
              </w:rPr>
              <w:t>9,611,096.05</w:t>
            </w: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r>
      <w:tr w:rsidR="00AD5BB5">
        <w:tc>
          <w:tcPr>
            <w:tcW w:w="3752"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left="270" w:hangingChars="150" w:hanging="270"/>
              <w:rPr>
                <w:rFonts w:ascii="Arial" w:eastAsia="黑体" w:hAnsi="Arial" w:cs="Arial"/>
                <w:sz w:val="18"/>
                <w:szCs w:val="18"/>
              </w:rPr>
            </w:pP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18"/>
                <w:szCs w:val="18"/>
              </w:rPr>
            </w:pPr>
          </w:p>
        </w:tc>
        <w:tc>
          <w:tcPr>
            <w:tcW w:w="2156" w:type="dxa"/>
            <w:tcBorders>
              <w:top w:val="single" w:sz="4" w:space="0" w:color="auto"/>
              <w:left w:val="nil"/>
              <w:bottom w:val="nil"/>
              <w:right w:val="nil"/>
            </w:tcBorders>
            <w:shd w:val="clear" w:color="000000" w:fill="auto"/>
            <w:noWrap/>
            <w:vAlign w:val="bottom"/>
          </w:tcPr>
          <w:p w:rsidR="00AD5BB5" w:rsidRDefault="00AD5BB5">
            <w:pPr>
              <w:tabs>
                <w:tab w:val="decimal" w:pos="1092"/>
                <w:tab w:val="left" w:pos="1875"/>
              </w:tabs>
              <w:overflowPunct w:val="0"/>
              <w:autoSpaceDE w:val="0"/>
              <w:autoSpaceDN w:val="0"/>
              <w:snapToGrid w:val="0"/>
              <w:jc w:val="right"/>
              <w:rPr>
                <w:rFonts w:ascii="Arial" w:eastAsia="黑体" w:hAnsi="Arial" w:cs="Arial"/>
                <w:sz w:val="18"/>
                <w:szCs w:val="18"/>
              </w:rPr>
            </w:pP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8"/>
                <w:szCs w:val="18"/>
              </w:rPr>
            </w:pP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18"/>
                <w:szCs w:val="18"/>
              </w:rPr>
            </w:pPr>
          </w:p>
        </w:tc>
        <w:tc>
          <w:tcPr>
            <w:tcW w:w="2102" w:type="dxa"/>
            <w:tcBorders>
              <w:top w:val="single" w:sz="4" w:space="0" w:color="auto"/>
              <w:left w:val="nil"/>
              <w:bottom w:val="nil"/>
              <w:right w:val="nil"/>
            </w:tcBorders>
            <w:shd w:val="clear" w:color="000000" w:fill="auto"/>
            <w:noWrap/>
            <w:vAlign w:val="bottom"/>
          </w:tcPr>
          <w:p w:rsidR="00AD5BB5" w:rsidRDefault="00AD5BB5">
            <w:pPr>
              <w:tabs>
                <w:tab w:val="decimal" w:pos="1092"/>
                <w:tab w:val="left" w:pos="1875"/>
              </w:tabs>
              <w:overflowPunct w:val="0"/>
              <w:autoSpaceDE w:val="0"/>
              <w:autoSpaceDN w:val="0"/>
              <w:snapToGrid w:val="0"/>
              <w:jc w:val="right"/>
              <w:rPr>
                <w:rFonts w:ascii="Arial" w:eastAsia="黑体" w:hAnsi="Arial" w:cs="Arial"/>
                <w:sz w:val="18"/>
                <w:szCs w:val="18"/>
              </w:rPr>
            </w:pP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r>
      <w:tr w:rsidR="00AD5BB5">
        <w:tc>
          <w:tcPr>
            <w:tcW w:w="3752"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180" w:hangingChars="100" w:hanging="180"/>
              <w:rPr>
                <w:rFonts w:ascii="Arial" w:eastAsia="黑体" w:hAnsi="Arial" w:cs="Arial"/>
                <w:sz w:val="18"/>
                <w:szCs w:val="18"/>
              </w:rPr>
            </w:pPr>
            <w:r>
              <w:rPr>
                <w:rFonts w:ascii="Arial" w:eastAsia="黑体" w:hAnsi="Arial" w:cs="Arial"/>
                <w:sz w:val="18"/>
                <w:szCs w:val="18"/>
              </w:rPr>
              <w:t>合计</w:t>
            </w: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18"/>
                <w:szCs w:val="18"/>
              </w:rPr>
            </w:pPr>
          </w:p>
        </w:tc>
        <w:tc>
          <w:tcPr>
            <w:tcW w:w="2156" w:type="dxa"/>
            <w:tcBorders>
              <w:top w:val="nil"/>
              <w:left w:val="nil"/>
              <w:bottom w:val="double" w:sz="4" w:space="0" w:color="auto"/>
              <w:right w:val="nil"/>
            </w:tcBorders>
            <w:shd w:val="clear" w:color="000000" w:fill="auto"/>
            <w:noWrap/>
            <w:vAlign w:val="bottom"/>
          </w:tcPr>
          <w:p w:rsidR="00AD5BB5" w:rsidRDefault="00F87FF6">
            <w:pPr>
              <w:tabs>
                <w:tab w:val="decimal" w:pos="1092"/>
                <w:tab w:val="left" w:pos="1875"/>
              </w:tabs>
              <w:overflowPunct w:val="0"/>
              <w:autoSpaceDE w:val="0"/>
              <w:autoSpaceDN w:val="0"/>
              <w:snapToGrid w:val="0"/>
              <w:jc w:val="right"/>
              <w:rPr>
                <w:rFonts w:ascii="Arial" w:eastAsia="黑体" w:hAnsi="Arial" w:cs="Arial"/>
                <w:sz w:val="18"/>
                <w:szCs w:val="18"/>
              </w:rPr>
            </w:pPr>
            <w:r>
              <w:rPr>
                <w:rFonts w:ascii="Arial" w:eastAsia="黑体" w:hAnsi="Arial" w:cs="Arial"/>
                <w:sz w:val="18"/>
                <w:szCs w:val="18"/>
              </w:rPr>
              <w:t>21,536,470,422.00</w:t>
            </w: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8"/>
                <w:szCs w:val="18"/>
              </w:rPr>
            </w:pP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18"/>
                <w:szCs w:val="18"/>
              </w:rPr>
            </w:pPr>
          </w:p>
        </w:tc>
        <w:tc>
          <w:tcPr>
            <w:tcW w:w="2102" w:type="dxa"/>
            <w:tcBorders>
              <w:top w:val="nil"/>
              <w:left w:val="nil"/>
              <w:bottom w:val="double" w:sz="4" w:space="0" w:color="auto"/>
              <w:right w:val="nil"/>
            </w:tcBorders>
            <w:shd w:val="clear" w:color="000000" w:fill="auto"/>
            <w:noWrap/>
            <w:vAlign w:val="bottom"/>
          </w:tcPr>
          <w:p w:rsidR="00AD5BB5" w:rsidRDefault="00F87FF6">
            <w:pPr>
              <w:tabs>
                <w:tab w:val="decimal" w:pos="1092"/>
                <w:tab w:val="left" w:pos="1875"/>
              </w:tabs>
              <w:overflowPunct w:val="0"/>
              <w:autoSpaceDE w:val="0"/>
              <w:autoSpaceDN w:val="0"/>
              <w:snapToGrid w:val="0"/>
              <w:jc w:val="right"/>
              <w:rPr>
                <w:rFonts w:ascii="Arial" w:eastAsia="黑体" w:hAnsi="Arial" w:cs="Arial"/>
                <w:sz w:val="18"/>
                <w:szCs w:val="18"/>
              </w:rPr>
            </w:pPr>
            <w:r>
              <w:rPr>
                <w:rFonts w:ascii="Arial" w:eastAsia="黑体" w:hAnsi="Arial" w:cs="Arial"/>
                <w:sz w:val="18"/>
                <w:szCs w:val="18"/>
              </w:rPr>
              <w:t>29,808,442,988.84</w:t>
            </w:r>
          </w:p>
        </w:tc>
        <w:tc>
          <w:tcPr>
            <w:tcW w:w="111"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16"/>
                <w:szCs w:val="16"/>
              </w:rPr>
            </w:pPr>
          </w:p>
        </w:tc>
      </w:tr>
    </w:tbl>
    <w:p w:rsidR="00AD5BB5" w:rsidRDefault="00F87FF6">
      <w:pPr>
        <w:rPr>
          <w:rFonts w:ascii="Arial" w:eastAsia="黑体" w:hAnsi="Arial" w:cs="Arial"/>
          <w:snapToGrid w:val="0"/>
          <w:szCs w:val="16"/>
        </w:rPr>
      </w:pPr>
      <w:r>
        <w:rPr>
          <w:rFonts w:ascii="Arial" w:eastAsia="黑体" w:hAnsi="Arial" w:cs="Arial"/>
          <w:snapToGrid w:val="0"/>
          <w:szCs w:val="16"/>
        </w:rPr>
        <w:br w:type="page"/>
      </w:r>
    </w:p>
    <w:p w:rsidR="00AD5BB5" w:rsidRDefault="00AD5BB5">
      <w:pPr>
        <w:overflowPunct w:val="0"/>
        <w:autoSpaceDE w:val="0"/>
        <w:autoSpaceDN w:val="0"/>
        <w:adjustRightInd w:val="0"/>
        <w:snapToGrid w:val="0"/>
        <w:rPr>
          <w:rFonts w:ascii="Arial" w:eastAsia="黑体" w:hAnsi="Arial" w:cs="Arial"/>
          <w:snapToGrid w:val="0"/>
          <w:szCs w:val="16"/>
        </w:rPr>
      </w:pPr>
    </w:p>
    <w:p w:rsidR="00AD5BB5" w:rsidRDefault="00AD5BB5">
      <w:pPr>
        <w:overflowPunct w:val="0"/>
        <w:autoSpaceDE w:val="0"/>
        <w:autoSpaceDN w:val="0"/>
        <w:adjustRightInd w:val="0"/>
        <w:snapToGrid w:val="0"/>
        <w:rPr>
          <w:rFonts w:ascii="Arial" w:eastAsia="黑体" w:hAnsi="Arial" w:cs="Arial"/>
          <w:snapToGrid w:val="0"/>
          <w:szCs w:val="16"/>
        </w:rPr>
      </w:pPr>
    </w:p>
    <w:p w:rsidR="00AD5BB5" w:rsidRDefault="00F87FF6">
      <w:pPr>
        <w:tabs>
          <w:tab w:val="left" w:pos="709"/>
        </w:tabs>
        <w:overflowPunct w:val="0"/>
        <w:autoSpaceDE w:val="0"/>
        <w:autoSpaceDN w:val="0"/>
        <w:adjustRightInd w:val="0"/>
        <w:snapToGrid w:val="0"/>
        <w:ind w:left="709" w:hanging="709"/>
        <w:rPr>
          <w:rFonts w:ascii="Arial" w:eastAsia="黑体" w:hAnsi="Arial" w:cs="Arial"/>
          <w:b/>
          <w:snapToGrid w:val="0"/>
          <w:szCs w:val="16"/>
        </w:rPr>
      </w:pPr>
      <w:bookmarkStart w:id="577" w:name="afsaddin_WithXu_fb2e718b9172404da789bfb5"/>
      <w:r>
        <w:rPr>
          <w:rFonts w:ascii="Arial" w:eastAsia="黑体" w:hAnsi="Arial" w:cs="Arial"/>
          <w:b/>
          <w:snapToGrid w:val="0"/>
          <w:szCs w:val="16"/>
        </w:rPr>
        <w:t>十四、公司财务报表主要项目注释（续）</w:t>
      </w:r>
      <w:bookmarkEnd w:id="577"/>
    </w:p>
    <w:p w:rsidR="00AD5BB5" w:rsidRDefault="00AD5BB5">
      <w:pPr>
        <w:tabs>
          <w:tab w:val="left" w:pos="709"/>
        </w:tabs>
        <w:overflowPunct w:val="0"/>
        <w:autoSpaceDE w:val="0"/>
        <w:autoSpaceDN w:val="0"/>
        <w:adjustRightInd w:val="0"/>
        <w:snapToGrid w:val="0"/>
        <w:rPr>
          <w:rFonts w:ascii="Arial" w:eastAsia="黑体" w:hAnsi="Arial" w:cs="Arial"/>
          <w:snapToGrid w:val="0"/>
          <w:szCs w:val="16"/>
        </w:rPr>
      </w:pPr>
    </w:p>
    <w:p w:rsidR="00AD5BB5" w:rsidRDefault="00F87FF6">
      <w:pPr>
        <w:pStyle w:val="af5"/>
        <w:overflowPunct w:val="0"/>
        <w:autoSpaceDE w:val="0"/>
        <w:autoSpaceDN w:val="0"/>
        <w:adjustRightInd w:val="0"/>
        <w:snapToGrid w:val="0"/>
        <w:spacing w:before="0" w:after="0"/>
        <w:ind w:left="658" w:hanging="644"/>
        <w:jc w:val="both"/>
        <w:textAlignment w:val="bottom"/>
        <w:outlineLvl w:val="2"/>
        <w:rPr>
          <w:rFonts w:ascii="Arial" w:eastAsia="黑体" w:hAnsi="Arial" w:cs="Arial" w:hint="default"/>
          <w:bCs w:val="0"/>
          <w:snapToGrid w:val="0"/>
          <w:color w:val="auto"/>
          <w:sz w:val="21"/>
          <w:szCs w:val="21"/>
        </w:rPr>
      </w:pPr>
      <w:bookmarkStart w:id="578" w:name="afsaddin_WithXu_8482eaf02bab43a691aad750"/>
      <w:bookmarkStart w:id="579" w:name="afsaddin_Section_9ee28bc547d5475882ff031"/>
      <w:bookmarkEnd w:id="578"/>
      <w:r>
        <w:rPr>
          <w:rFonts w:ascii="Arial" w:eastAsia="黑体" w:hAnsi="Arial" w:cs="Arial" w:hint="default"/>
          <w:bCs w:val="0"/>
          <w:snapToGrid w:val="0"/>
          <w:color w:val="auto"/>
          <w:sz w:val="21"/>
          <w:szCs w:val="21"/>
        </w:rPr>
        <w:t>2.</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发放贷款及垫款</w:t>
      </w:r>
    </w:p>
    <w:bookmarkEnd w:id="579"/>
    <w:p w:rsidR="00AD5BB5" w:rsidRDefault="00AD5BB5">
      <w:pPr>
        <w:overflowPunct w:val="0"/>
        <w:autoSpaceDE w:val="0"/>
        <w:autoSpaceDN w:val="0"/>
        <w:rPr>
          <w:rFonts w:ascii="Arial" w:eastAsia="黑体" w:hAnsi="Arial" w:cs="Arial"/>
          <w:szCs w:val="21"/>
        </w:rPr>
      </w:pPr>
    </w:p>
    <w:p w:rsidR="00AD5BB5" w:rsidRDefault="00F87FF6">
      <w:pPr>
        <w:pStyle w:val="af5"/>
        <w:overflowPunct w:val="0"/>
        <w:autoSpaceDE w:val="0"/>
        <w:autoSpaceDN w:val="0"/>
        <w:adjustRightInd w:val="0"/>
        <w:snapToGrid w:val="0"/>
        <w:spacing w:before="0" w:after="0"/>
        <w:ind w:left="720" w:hanging="720"/>
        <w:jc w:val="both"/>
        <w:textAlignment w:val="bottom"/>
        <w:outlineLvl w:val="3"/>
        <w:rPr>
          <w:rFonts w:ascii="Arial" w:eastAsia="黑体" w:hAnsi="Arial" w:cs="Arial" w:hint="default"/>
          <w:bCs w:val="0"/>
          <w:snapToGrid w:val="0"/>
          <w:color w:val="auto"/>
          <w:sz w:val="21"/>
          <w:szCs w:val="21"/>
        </w:rPr>
      </w:pPr>
      <w:bookmarkStart w:id="580" w:name="afsaddin_Section_036df313e44c42ac8b2fafa"/>
      <w:r>
        <w:rPr>
          <w:rFonts w:ascii="Arial" w:eastAsia="黑体" w:hAnsi="Arial" w:cs="Arial" w:hint="default"/>
          <w:bCs w:val="0"/>
          <w:snapToGrid w:val="0"/>
          <w:color w:val="auto"/>
          <w:sz w:val="21"/>
          <w:szCs w:val="21"/>
        </w:rPr>
        <w:t>2.1</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按性质分析</w:t>
      </w:r>
    </w:p>
    <w:bookmarkEnd w:id="580"/>
    <w:p w:rsidR="00AD5BB5" w:rsidRDefault="00AD5BB5">
      <w:pPr>
        <w:overflowPunct w:val="0"/>
        <w:autoSpaceDE w:val="0"/>
        <w:autoSpaceDN w:val="0"/>
        <w:rPr>
          <w:rFonts w:ascii="Arial" w:hAnsi="Arial" w:cs="Arial"/>
        </w:rPr>
      </w:pPr>
    </w:p>
    <w:tbl>
      <w:tblPr>
        <w:tblW w:w="0" w:type="auto"/>
        <w:tblLayout w:type="fixed"/>
        <w:tblCellMar>
          <w:left w:w="0" w:type="dxa"/>
          <w:right w:w="0" w:type="dxa"/>
        </w:tblCellMar>
        <w:tblLook w:val="04A0" w:firstRow="1" w:lastRow="0" w:firstColumn="1" w:lastColumn="0" w:noHBand="0" w:noVBand="1"/>
        <w:tblCaption w:val="8484573f-3555-456f-95e9-59f8312b96a4"/>
        <w:tblDescription w:val="{&quot;UUID&quot;:&quot;afsaddin_tabledata_2_56437_8484573f-3555-456f-95e9-59f8312b96a4&quot;,&quot;TitleRowCount&quot;:3,&quot;SplitedTable&quot;:false,&quot;FirstTableId&quot;:&quot;8484573f-3555-456f-95e9-59f8312b96a4&quot;}"/>
      </w:tblPr>
      <w:tblGrid>
        <w:gridCol w:w="3752"/>
        <w:gridCol w:w="111"/>
        <w:gridCol w:w="2156"/>
        <w:gridCol w:w="111"/>
        <w:gridCol w:w="111"/>
        <w:gridCol w:w="2102"/>
        <w:gridCol w:w="111"/>
      </w:tblGrid>
      <w:tr w:rsidR="00AD5BB5">
        <w:tc>
          <w:tcPr>
            <w:tcW w:w="3752"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215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 DOCPROPERTY </w:instrText>
            </w:r>
            <w:r>
              <w:rPr>
                <w:rFonts w:ascii="Arial" w:eastAsia="黑体" w:hAnsi="Arial" w:cs="Arial"/>
                <w:sz w:val="18"/>
                <w:szCs w:val="18"/>
              </w:rPr>
              <w:instrText>当期资产负债表日</w:instrText>
            </w:r>
            <w:r>
              <w:rPr>
                <w:rFonts w:ascii="Arial" w:eastAsia="黑体" w:hAnsi="Arial" w:cs="Arial"/>
                <w:sz w:val="18"/>
                <w:szCs w:val="18"/>
              </w:rPr>
              <w:instrText xml:space="preserve"> </w:instrText>
            </w:r>
            <w:r>
              <w:rPr>
                <w:rFonts w:ascii="Arial" w:eastAsia="黑体" w:hAnsi="Arial" w:cs="Arial"/>
                <w:sz w:val="18"/>
                <w:szCs w:val="18"/>
              </w:rPr>
              <w:fldChar w:fldCharType="separate"/>
            </w:r>
            <w:r>
              <w:rPr>
                <w:rFonts w:ascii="Arial" w:eastAsia="黑体" w:hAnsi="Arial" w:cs="Arial"/>
                <w:sz w:val="18"/>
                <w:szCs w:val="18"/>
              </w:rPr>
              <w:t>2023</w:t>
            </w:r>
            <w:r>
              <w:rPr>
                <w:rFonts w:ascii="Arial" w:eastAsia="黑体" w:hAnsi="Arial" w:cs="Arial"/>
                <w:sz w:val="18"/>
                <w:szCs w:val="18"/>
              </w:rPr>
              <w:t>年</w:t>
            </w:r>
            <w:r>
              <w:rPr>
                <w:rFonts w:ascii="Arial" w:eastAsia="黑体" w:hAnsi="Arial" w:cs="Arial"/>
                <w:sz w:val="18"/>
                <w:szCs w:val="18"/>
              </w:rPr>
              <w:t>6</w:t>
            </w:r>
            <w:r>
              <w:rPr>
                <w:rFonts w:ascii="Arial" w:eastAsia="黑体" w:hAnsi="Arial" w:cs="Arial"/>
                <w:sz w:val="18"/>
                <w:szCs w:val="18"/>
              </w:rPr>
              <w:t>月</w:t>
            </w:r>
            <w:r>
              <w:rPr>
                <w:rFonts w:ascii="Arial" w:eastAsia="黑体" w:hAnsi="Arial" w:cs="Arial"/>
                <w:sz w:val="18"/>
                <w:szCs w:val="18"/>
              </w:rPr>
              <w:t>30</w:t>
            </w:r>
            <w:r>
              <w:rPr>
                <w:rFonts w:ascii="Arial" w:eastAsia="黑体" w:hAnsi="Arial" w:cs="Arial"/>
                <w:sz w:val="18"/>
                <w:szCs w:val="18"/>
              </w:rPr>
              <w:t>日</w:t>
            </w:r>
            <w:r>
              <w:rPr>
                <w:rFonts w:ascii="Arial" w:eastAsia="黑体" w:hAnsi="Arial" w:cs="Arial"/>
                <w:sz w:val="18"/>
                <w:szCs w:val="18"/>
              </w:rPr>
              <w:fldChar w:fldCharType="end"/>
            </w:r>
          </w:p>
        </w:tc>
        <w:tc>
          <w:tcPr>
            <w:tcW w:w="11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210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2022</w:t>
            </w:r>
            <w:r>
              <w:rPr>
                <w:rFonts w:ascii="Arial" w:eastAsia="黑体" w:hAnsi="Arial" w:cs="Arial"/>
                <w:sz w:val="18"/>
                <w:szCs w:val="18"/>
              </w:rPr>
              <w:t>年</w:t>
            </w:r>
            <w:r>
              <w:rPr>
                <w:rFonts w:ascii="Arial" w:eastAsia="黑体" w:hAnsi="Arial" w:cs="Arial"/>
                <w:sz w:val="18"/>
                <w:szCs w:val="18"/>
              </w:rPr>
              <w:t>12</w:t>
            </w:r>
            <w:r>
              <w:rPr>
                <w:rFonts w:ascii="Arial" w:eastAsia="黑体" w:hAnsi="Arial" w:cs="Arial"/>
                <w:sz w:val="18"/>
                <w:szCs w:val="18"/>
              </w:rPr>
              <w:t>月</w:t>
            </w:r>
            <w:r>
              <w:rPr>
                <w:rFonts w:ascii="Arial" w:eastAsia="黑体" w:hAnsi="Arial" w:cs="Arial"/>
                <w:sz w:val="18"/>
                <w:szCs w:val="18"/>
              </w:rPr>
              <w:t>31</w:t>
            </w:r>
            <w:r>
              <w:rPr>
                <w:rFonts w:ascii="Arial" w:eastAsia="黑体" w:hAnsi="Arial" w:cs="Arial"/>
                <w:sz w:val="18"/>
                <w:szCs w:val="18"/>
              </w:rPr>
              <w:t>日</w:t>
            </w:r>
          </w:p>
        </w:tc>
        <w:tc>
          <w:tcPr>
            <w:tcW w:w="11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r>
      <w:tr w:rsidR="00AD5BB5">
        <w:tc>
          <w:tcPr>
            <w:tcW w:w="3752"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以摊</w:t>
            </w:r>
            <w:proofErr w:type="gramStart"/>
            <w:r>
              <w:rPr>
                <w:rFonts w:ascii="Arial" w:eastAsia="黑体" w:hAnsi="Arial" w:cs="Arial"/>
                <w:sz w:val="18"/>
                <w:szCs w:val="18"/>
              </w:rPr>
              <w:t>余成本</w:t>
            </w:r>
            <w:proofErr w:type="gramEnd"/>
            <w:r>
              <w:rPr>
                <w:rFonts w:ascii="Arial" w:eastAsia="黑体" w:hAnsi="Arial" w:cs="Arial"/>
                <w:sz w:val="18"/>
                <w:szCs w:val="18"/>
              </w:rPr>
              <w:t>计量：</w:t>
            </w:r>
          </w:p>
        </w:tc>
        <w:tc>
          <w:tcPr>
            <w:tcW w:w="11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215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210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r>
      <w:tr w:rsidR="00AD5BB5">
        <w:tc>
          <w:tcPr>
            <w:tcW w:w="3752"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215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210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r>
      <w:tr w:rsidR="00AD5BB5">
        <w:tc>
          <w:tcPr>
            <w:tcW w:w="3752"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企业贷款及垫款</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89,661,587,239.93</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0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90,658,792,105.09</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752"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0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752"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个人住房贷款</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24,848,338,027.97</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0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27,946,199,095.17</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752"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个人消费贷款</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7,361,160,199.22</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0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7,820,060,463.37</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752"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个人经营贷款</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43,767,937,004.41</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0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40,912,717,778.07</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752"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0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752"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个人贷款及垫款</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75,977,435,231.60</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0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76,678,977,336.61</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752"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0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752"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小计</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165,639,022,471.53</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0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167,337,769,441.70</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752"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0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752" w:type="dxa"/>
            <w:tcBorders>
              <w:top w:val="nil"/>
              <w:left w:val="nil"/>
              <w:bottom w:val="nil"/>
              <w:right w:val="nil"/>
            </w:tcBorders>
            <w:vAlign w:val="bottom"/>
          </w:tcPr>
          <w:p w:rsidR="00AD5BB5" w:rsidRDefault="00F87FF6">
            <w:pPr>
              <w:autoSpaceDE w:val="0"/>
              <w:autoSpaceDN w:val="0"/>
              <w:ind w:left="180" w:rightChars="-93" w:right="-195" w:hangingChars="100" w:hanging="180"/>
              <w:rPr>
                <w:rFonts w:ascii="Arial" w:eastAsia="黑体" w:hAnsi="Arial" w:cs="Arial"/>
                <w:sz w:val="18"/>
                <w:szCs w:val="18"/>
              </w:rPr>
            </w:pPr>
            <w:r>
              <w:rPr>
                <w:rFonts w:ascii="Arial" w:eastAsia="黑体" w:hAnsi="Arial" w:cs="Arial"/>
                <w:sz w:val="18"/>
                <w:szCs w:val="18"/>
              </w:rPr>
              <w:t>以公允价值计量且其变动计入其他综合收益：</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0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752"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0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752"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企业贷款</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9,987,339.39</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0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9,842,802.05</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752"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贴现</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21,159,652,248.05</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0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20,053,606,082.79</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752"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0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752"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小计</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21,169,639,587.44</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0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20,063,448,884.84</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752"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0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752"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合计</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186,808,662,058.97</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0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187,401,218,326.54</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752"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0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752"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应计利息</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346,628,906.81</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0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404,520,955.15</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752"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0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752"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发放贷款及垫款总额</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187,155,290,965.78</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0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187,805,739,281.69</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752"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0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752" w:type="dxa"/>
            <w:tcBorders>
              <w:top w:val="nil"/>
              <w:left w:val="nil"/>
              <w:bottom w:val="nil"/>
              <w:right w:val="nil"/>
            </w:tcBorders>
            <w:vAlign w:val="bottom"/>
          </w:tcPr>
          <w:p w:rsidR="00AD5BB5" w:rsidRDefault="00F87FF6">
            <w:pPr>
              <w:autoSpaceDE w:val="0"/>
              <w:autoSpaceDN w:val="0"/>
              <w:ind w:left="540" w:hangingChars="300" w:hanging="540"/>
              <w:rPr>
                <w:rFonts w:ascii="Arial" w:eastAsia="黑体" w:hAnsi="Arial" w:cs="Arial"/>
                <w:sz w:val="18"/>
                <w:szCs w:val="18"/>
              </w:rPr>
            </w:pPr>
            <w:r>
              <w:rPr>
                <w:rFonts w:ascii="Arial" w:eastAsia="黑体" w:hAnsi="Arial" w:cs="Arial"/>
                <w:sz w:val="18"/>
                <w:szCs w:val="18"/>
              </w:rPr>
              <w:t>减：以摊</w:t>
            </w:r>
            <w:proofErr w:type="gramStart"/>
            <w:r>
              <w:rPr>
                <w:rFonts w:ascii="Arial" w:eastAsia="黑体" w:hAnsi="Arial" w:cs="Arial"/>
                <w:sz w:val="18"/>
                <w:szCs w:val="18"/>
              </w:rPr>
              <w:t>余成本</w:t>
            </w:r>
            <w:proofErr w:type="gramEnd"/>
            <w:r>
              <w:rPr>
                <w:rFonts w:ascii="Arial" w:eastAsia="黑体" w:hAnsi="Arial" w:cs="Arial"/>
                <w:sz w:val="18"/>
                <w:szCs w:val="18"/>
              </w:rPr>
              <w:t>计量的贷款及垫款</w:t>
            </w:r>
          </w:p>
          <w:p w:rsidR="00AD5BB5" w:rsidRDefault="00F87FF6">
            <w:pPr>
              <w:autoSpaceDE w:val="0"/>
              <w:autoSpaceDN w:val="0"/>
              <w:ind w:leftChars="233" w:left="669" w:hangingChars="100" w:hanging="180"/>
              <w:rPr>
                <w:rFonts w:ascii="Arial" w:eastAsia="黑体" w:hAnsi="Arial" w:cs="Arial"/>
                <w:sz w:val="18"/>
                <w:szCs w:val="18"/>
              </w:rPr>
            </w:pPr>
            <w:r>
              <w:rPr>
                <w:rFonts w:ascii="Arial" w:eastAsia="黑体" w:hAnsi="Arial" w:cs="Arial"/>
                <w:sz w:val="18"/>
              </w:rPr>
              <w:t>减值准备（附注十三、</w:t>
            </w:r>
            <w:r>
              <w:rPr>
                <w:rFonts w:ascii="Arial" w:eastAsia="黑体" w:hAnsi="Arial" w:cs="Arial"/>
                <w:sz w:val="18"/>
              </w:rPr>
              <w:t>2.4</w:t>
            </w:r>
            <w:r>
              <w:rPr>
                <w:rFonts w:ascii="Arial" w:eastAsia="黑体" w:hAnsi="Arial" w:cs="Arial"/>
                <w:sz w:val="18"/>
              </w:rPr>
              <w:t>）</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(5,754,301,423.50</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0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(6,139,015,057.72</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w:t>
            </w:r>
          </w:p>
        </w:tc>
      </w:tr>
      <w:tr w:rsidR="00AD5BB5">
        <w:tc>
          <w:tcPr>
            <w:tcW w:w="3752"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0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752"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发放贷款及垫款账面价值</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181,400,989,542.28</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0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181,666,724,223.97</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752"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6"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02" w:type="dxa"/>
            <w:tcBorders>
              <w:top w:val="doub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3752" w:type="dxa"/>
            <w:tcBorders>
              <w:top w:val="nil"/>
              <w:left w:val="nil"/>
              <w:bottom w:val="nil"/>
              <w:right w:val="nil"/>
            </w:tcBorders>
            <w:vAlign w:val="bottom"/>
          </w:tcPr>
          <w:p w:rsidR="00AD5BB5" w:rsidRDefault="00F87FF6">
            <w:pPr>
              <w:autoSpaceDE w:val="0"/>
              <w:autoSpaceDN w:val="0"/>
              <w:ind w:left="209" w:rightChars="55" w:right="115" w:hangingChars="116" w:hanging="209"/>
              <w:rPr>
                <w:rFonts w:ascii="Arial" w:eastAsia="黑体" w:hAnsi="Arial" w:cs="Arial"/>
                <w:sz w:val="18"/>
                <w:szCs w:val="18"/>
              </w:rPr>
            </w:pPr>
            <w:r>
              <w:rPr>
                <w:rFonts w:ascii="Arial" w:eastAsia="黑体" w:hAnsi="Arial" w:cs="Arial"/>
                <w:sz w:val="18"/>
              </w:rPr>
              <w:t>以公允价值计量且其变动计入其他综合收益的贷款及垫款减值准备（附注十三、</w:t>
            </w:r>
            <w:r>
              <w:rPr>
                <w:rFonts w:ascii="Arial" w:eastAsia="黑体" w:hAnsi="Arial" w:cs="Arial"/>
                <w:sz w:val="18"/>
              </w:rPr>
              <w:t>2.4</w:t>
            </w:r>
            <w:r>
              <w:rPr>
                <w:rFonts w:ascii="Arial" w:eastAsia="黑体" w:hAnsi="Arial" w:cs="Arial"/>
                <w:sz w:val="18"/>
              </w:rPr>
              <w:t>）</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5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(44,397,175.78</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10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(51,370,759.82</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w:t>
            </w:r>
          </w:p>
        </w:tc>
      </w:tr>
    </w:tbl>
    <w:p w:rsidR="00AD5BB5" w:rsidRDefault="00AD5BB5">
      <w:pPr>
        <w:overflowPunct w:val="0"/>
        <w:autoSpaceDE w:val="0"/>
        <w:autoSpaceDN w:val="0"/>
        <w:rPr>
          <w:rFonts w:ascii="Arial" w:eastAsia="黑体" w:hAnsi="Arial" w:cs="Arial"/>
          <w:bCs/>
          <w:snapToGrid w:val="0"/>
          <w:sz w:val="22"/>
          <w:szCs w:val="21"/>
        </w:rPr>
      </w:pPr>
    </w:p>
    <w:p w:rsidR="00AD5BB5" w:rsidRDefault="00F87FF6">
      <w:pPr>
        <w:pStyle w:val="af5"/>
        <w:overflowPunct w:val="0"/>
        <w:autoSpaceDE w:val="0"/>
        <w:autoSpaceDN w:val="0"/>
        <w:adjustRightInd w:val="0"/>
        <w:snapToGrid w:val="0"/>
        <w:spacing w:before="0" w:after="0"/>
        <w:ind w:left="672" w:hanging="644"/>
        <w:jc w:val="both"/>
        <w:textAlignment w:val="bottom"/>
        <w:outlineLvl w:val="3"/>
        <w:rPr>
          <w:rFonts w:ascii="Arial" w:eastAsia="黑体" w:hAnsi="Arial" w:cs="Arial" w:hint="default"/>
          <w:bCs w:val="0"/>
          <w:snapToGrid w:val="0"/>
          <w:color w:val="auto"/>
          <w:sz w:val="21"/>
          <w:szCs w:val="21"/>
        </w:rPr>
      </w:pPr>
      <w:bookmarkStart w:id="581" w:name="afsaddin_Section_d2c193d250d5429692bab49"/>
      <w:r>
        <w:rPr>
          <w:rFonts w:ascii="Arial" w:eastAsia="黑体" w:hAnsi="Arial" w:cs="Arial" w:hint="default"/>
          <w:bCs w:val="0"/>
          <w:snapToGrid w:val="0"/>
          <w:color w:val="auto"/>
          <w:sz w:val="21"/>
          <w:szCs w:val="21"/>
        </w:rPr>
        <w:t>2.2</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按担保方式分析</w:t>
      </w:r>
    </w:p>
    <w:bookmarkEnd w:id="581"/>
    <w:p w:rsidR="00AD5BB5" w:rsidRDefault="00AD5BB5">
      <w:pPr>
        <w:overflowPunct w:val="0"/>
        <w:autoSpaceDE w:val="0"/>
        <w:autoSpaceDN w:val="0"/>
        <w:rPr>
          <w:rFonts w:ascii="Arial" w:eastAsia="黑体" w:hAnsi="Arial" w:cs="Arial"/>
          <w:szCs w:val="21"/>
        </w:rPr>
      </w:pPr>
    </w:p>
    <w:tbl>
      <w:tblPr>
        <w:tblW w:w="0" w:type="auto"/>
        <w:tblLayout w:type="fixed"/>
        <w:tblCellMar>
          <w:left w:w="0" w:type="dxa"/>
          <w:right w:w="0" w:type="dxa"/>
        </w:tblCellMar>
        <w:tblLook w:val="04A0" w:firstRow="1" w:lastRow="0" w:firstColumn="1" w:lastColumn="0" w:noHBand="0" w:noVBand="1"/>
        <w:tblCaption w:val="1bb544b6-eb08-458d-9350-22f36eae4856"/>
        <w:tblDescription w:val="{&quot;UUID&quot;:&quot;afsaddin_tabledata_2_56437_1bb544b6-eb08-458d-9350-22f36eae4856&quot;,&quot;TitleRowCount&quot;:2,&quot;SplitedTable&quot;:false,&quot;FirstTableId&quot;:&quot;1bb544b6-eb08-458d-9350-22f36eae4856&quot;}"/>
      </w:tblPr>
      <w:tblGrid>
        <w:gridCol w:w="3417"/>
        <w:gridCol w:w="113"/>
        <w:gridCol w:w="2278"/>
        <w:gridCol w:w="113"/>
        <w:gridCol w:w="113"/>
        <w:gridCol w:w="2278"/>
        <w:gridCol w:w="113"/>
      </w:tblGrid>
      <w:tr w:rsidR="00AD5BB5">
        <w:tc>
          <w:tcPr>
            <w:tcW w:w="3417"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fldChar w:fldCharType="begin"/>
            </w:r>
            <w:r>
              <w:rPr>
                <w:rFonts w:ascii="Arial" w:eastAsia="黑体" w:hAnsi="Arial" w:cs="Arial"/>
                <w:sz w:val="20"/>
              </w:rPr>
              <w:instrText xml:space="preserve"> DOCPROPERTY </w:instrText>
            </w:r>
            <w:r>
              <w:rPr>
                <w:rFonts w:ascii="Arial" w:eastAsia="黑体" w:hAnsi="Arial" w:cs="Arial"/>
                <w:sz w:val="20"/>
              </w:rPr>
              <w:instrText>当期资产负债表日</w:instrText>
            </w:r>
            <w:r>
              <w:rPr>
                <w:rFonts w:ascii="Arial" w:eastAsia="黑体" w:hAnsi="Arial" w:cs="Arial"/>
                <w:sz w:val="20"/>
              </w:rPr>
              <w:instrText xml:space="preserve"> </w:instrText>
            </w:r>
            <w:r>
              <w:rPr>
                <w:rFonts w:ascii="Arial" w:eastAsia="黑体" w:hAnsi="Arial" w:cs="Arial"/>
                <w:sz w:val="20"/>
              </w:rPr>
              <w:fldChar w:fldCharType="separate"/>
            </w:r>
            <w:r>
              <w:rPr>
                <w:rFonts w:ascii="Arial" w:eastAsia="黑体" w:hAnsi="Arial" w:cs="Arial"/>
                <w:sz w:val="20"/>
              </w:rPr>
              <w:t>2023</w:t>
            </w:r>
            <w:r>
              <w:rPr>
                <w:rFonts w:ascii="Arial" w:eastAsia="黑体" w:hAnsi="Arial" w:cs="Arial"/>
                <w:sz w:val="20"/>
              </w:rPr>
              <w:t>年</w:t>
            </w:r>
            <w:r>
              <w:rPr>
                <w:rFonts w:ascii="Arial" w:eastAsia="黑体" w:hAnsi="Arial" w:cs="Arial"/>
                <w:sz w:val="20"/>
              </w:rPr>
              <w:t>6</w:t>
            </w:r>
            <w:r>
              <w:rPr>
                <w:rFonts w:ascii="Arial" w:eastAsia="黑体" w:hAnsi="Arial" w:cs="Arial"/>
                <w:sz w:val="20"/>
              </w:rPr>
              <w:t>月</w:t>
            </w:r>
            <w:r>
              <w:rPr>
                <w:rFonts w:ascii="Arial" w:eastAsia="黑体" w:hAnsi="Arial" w:cs="Arial"/>
                <w:sz w:val="20"/>
              </w:rPr>
              <w:t>30</w:t>
            </w:r>
            <w:r>
              <w:rPr>
                <w:rFonts w:ascii="Arial" w:eastAsia="黑体" w:hAnsi="Arial" w:cs="Arial"/>
                <w:sz w:val="20"/>
              </w:rPr>
              <w:t>日</w:t>
            </w:r>
            <w:r>
              <w:rPr>
                <w:rFonts w:ascii="Arial" w:eastAsia="黑体" w:hAnsi="Arial" w:cs="Arial"/>
                <w:sz w:val="20"/>
              </w:rPr>
              <w:fldChar w:fldCharType="end"/>
            </w:r>
          </w:p>
        </w:tc>
        <w:tc>
          <w:tcPr>
            <w:tcW w:w="11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2022</w:t>
            </w:r>
            <w:r>
              <w:rPr>
                <w:rFonts w:ascii="Arial" w:eastAsia="黑体" w:hAnsi="Arial" w:cs="Arial"/>
                <w:sz w:val="20"/>
              </w:rPr>
              <w:t>年</w:t>
            </w:r>
            <w:r>
              <w:rPr>
                <w:rFonts w:ascii="Arial" w:eastAsia="黑体" w:hAnsi="Arial" w:cs="Arial"/>
                <w:sz w:val="20"/>
              </w:rPr>
              <w:t>12</w:t>
            </w:r>
            <w:r>
              <w:rPr>
                <w:rFonts w:ascii="Arial" w:eastAsia="黑体" w:hAnsi="Arial" w:cs="Arial"/>
                <w:sz w:val="20"/>
              </w:rPr>
              <w:t>月</w:t>
            </w:r>
            <w:r>
              <w:rPr>
                <w:rFonts w:ascii="Arial" w:eastAsia="黑体" w:hAnsi="Arial" w:cs="Arial"/>
                <w:sz w:val="20"/>
              </w:rPr>
              <w:t>31</w:t>
            </w:r>
            <w:r>
              <w:rPr>
                <w:rFonts w:ascii="Arial" w:eastAsia="黑体" w:hAnsi="Arial" w:cs="Arial"/>
                <w:sz w:val="20"/>
              </w:rPr>
              <w:t>日</w:t>
            </w:r>
          </w:p>
        </w:tc>
        <w:tc>
          <w:tcPr>
            <w:tcW w:w="11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r>
      <w:tr w:rsidR="00AD5BB5">
        <w:tc>
          <w:tcPr>
            <w:tcW w:w="3417"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27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227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r>
      <w:tr w:rsidR="00AD5BB5">
        <w:tc>
          <w:tcPr>
            <w:tcW w:w="3417" w:type="dxa"/>
            <w:tcBorders>
              <w:top w:val="nil"/>
              <w:left w:val="nil"/>
              <w:bottom w:val="nil"/>
              <w:right w:val="nil"/>
            </w:tcBorders>
            <w:vAlign w:val="bottom"/>
          </w:tcPr>
          <w:p w:rsidR="00AD5BB5" w:rsidRDefault="00F87FF6">
            <w:pPr>
              <w:autoSpaceDE w:val="0"/>
              <w:autoSpaceDN w:val="0"/>
              <w:ind w:left="200" w:hangingChars="100" w:hanging="200"/>
              <w:rPr>
                <w:rFonts w:ascii="Arial" w:eastAsia="黑体" w:hAnsi="Arial" w:cs="Arial"/>
                <w:color w:val="000000"/>
                <w:sz w:val="20"/>
              </w:rPr>
            </w:pPr>
            <w:r>
              <w:rPr>
                <w:rFonts w:ascii="Arial" w:eastAsia="黑体" w:hAnsi="Arial" w:cs="Arial"/>
                <w:sz w:val="20"/>
              </w:rPr>
              <w:t>附担保</w:t>
            </w:r>
            <w:proofErr w:type="gramStart"/>
            <w:r>
              <w:rPr>
                <w:rFonts w:ascii="Arial" w:eastAsia="黑体" w:hAnsi="Arial" w:cs="Arial"/>
                <w:sz w:val="20"/>
              </w:rPr>
              <w:t>物贷款</w:t>
            </w:r>
            <w:proofErr w:type="gramEnd"/>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20"/>
              </w:rPr>
            </w:pPr>
          </w:p>
        </w:tc>
        <w:tc>
          <w:tcPr>
            <w:tcW w:w="2278" w:type="dxa"/>
            <w:tcBorders>
              <w:top w:val="nil"/>
              <w:left w:val="nil"/>
              <w:bottom w:val="nil"/>
              <w:right w:val="nil"/>
            </w:tcBorders>
            <w:vAlign w:val="bottom"/>
          </w:tcPr>
          <w:p w:rsidR="00AD5BB5" w:rsidRDefault="00AD5BB5">
            <w:pPr>
              <w:autoSpaceDE w:val="0"/>
              <w:autoSpaceDN w:val="0"/>
              <w:jc w:val="right"/>
              <w:rPr>
                <w:rFonts w:ascii="Arial" w:eastAsia="黑体" w:hAnsi="Arial" w:cs="Arial"/>
                <w:color w:val="000000"/>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20"/>
              </w:rPr>
            </w:pPr>
          </w:p>
        </w:tc>
        <w:tc>
          <w:tcPr>
            <w:tcW w:w="2278" w:type="dxa"/>
            <w:tcBorders>
              <w:top w:val="nil"/>
              <w:left w:val="nil"/>
              <w:bottom w:val="nil"/>
              <w:right w:val="nil"/>
            </w:tcBorders>
            <w:vAlign w:val="bottom"/>
          </w:tcPr>
          <w:p w:rsidR="00AD5BB5" w:rsidRDefault="00AD5BB5">
            <w:pPr>
              <w:autoSpaceDE w:val="0"/>
              <w:autoSpaceDN w:val="0"/>
              <w:jc w:val="right"/>
              <w:rPr>
                <w:rFonts w:ascii="Arial" w:eastAsia="黑体" w:hAnsi="Arial" w:cs="Arial"/>
                <w:color w:val="000000"/>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color w:val="000000"/>
                <w:sz w:val="20"/>
              </w:rPr>
            </w:pPr>
          </w:p>
        </w:tc>
      </w:tr>
      <w:tr w:rsidR="00AD5BB5">
        <w:tc>
          <w:tcPr>
            <w:tcW w:w="3417" w:type="dxa"/>
            <w:tcBorders>
              <w:top w:val="nil"/>
              <w:left w:val="nil"/>
              <w:bottom w:val="nil"/>
              <w:right w:val="nil"/>
            </w:tcBorders>
            <w:vAlign w:val="bottom"/>
          </w:tcPr>
          <w:p w:rsidR="00AD5BB5" w:rsidRDefault="00F87FF6">
            <w:pPr>
              <w:autoSpaceDE w:val="0"/>
              <w:autoSpaceDN w:val="0"/>
              <w:ind w:leftChars="100" w:left="410" w:hangingChars="100" w:hanging="200"/>
              <w:rPr>
                <w:rFonts w:ascii="Arial" w:eastAsia="黑体" w:hAnsi="Arial" w:cs="Arial"/>
                <w:sz w:val="20"/>
              </w:rPr>
            </w:pPr>
            <w:r>
              <w:rPr>
                <w:rFonts w:ascii="Arial" w:eastAsia="黑体" w:hAnsi="Arial" w:cs="Arial"/>
                <w:sz w:val="20"/>
              </w:rPr>
              <w:t>质押贷款</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29,357,960,014.31</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29,257,217,043.59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17" w:type="dxa"/>
            <w:tcBorders>
              <w:top w:val="nil"/>
              <w:left w:val="nil"/>
              <w:bottom w:val="nil"/>
              <w:right w:val="nil"/>
            </w:tcBorders>
            <w:vAlign w:val="bottom"/>
          </w:tcPr>
          <w:p w:rsidR="00AD5BB5" w:rsidRDefault="00F87FF6">
            <w:pPr>
              <w:autoSpaceDE w:val="0"/>
              <w:autoSpaceDN w:val="0"/>
              <w:ind w:leftChars="100" w:left="410" w:hangingChars="100" w:hanging="200"/>
              <w:rPr>
                <w:rFonts w:ascii="Arial" w:eastAsia="黑体" w:hAnsi="Arial" w:cs="Arial"/>
                <w:sz w:val="20"/>
              </w:rPr>
            </w:pPr>
            <w:r>
              <w:rPr>
                <w:rFonts w:ascii="Arial" w:eastAsia="黑体" w:hAnsi="Arial" w:cs="Arial"/>
                <w:sz w:val="20"/>
              </w:rPr>
              <w:t>抵押贷款</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123,625,360,779.46</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122,498,580,533.70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17" w:type="dxa"/>
            <w:tcBorders>
              <w:top w:val="nil"/>
              <w:left w:val="nil"/>
              <w:bottom w:val="nil"/>
              <w:right w:val="nil"/>
            </w:tcBorders>
            <w:vAlign w:val="bottom"/>
          </w:tcPr>
          <w:p w:rsidR="00AD5BB5" w:rsidRDefault="00F87FF6">
            <w:pPr>
              <w:autoSpaceDE w:val="0"/>
              <w:autoSpaceDN w:val="0"/>
              <w:ind w:left="200" w:hangingChars="100" w:hanging="200"/>
              <w:rPr>
                <w:rFonts w:ascii="Arial" w:eastAsia="黑体" w:hAnsi="Arial" w:cs="Arial"/>
                <w:sz w:val="20"/>
              </w:rPr>
            </w:pPr>
            <w:r>
              <w:rPr>
                <w:rFonts w:ascii="Arial" w:eastAsia="黑体" w:hAnsi="Arial" w:cs="Arial"/>
                <w:sz w:val="20"/>
              </w:rPr>
              <w:t>保证贷款</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19,802,740,668.12</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20,130,476,633.62</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17" w:type="dxa"/>
            <w:tcBorders>
              <w:top w:val="nil"/>
              <w:left w:val="nil"/>
              <w:bottom w:val="nil"/>
              <w:right w:val="nil"/>
            </w:tcBorders>
            <w:vAlign w:val="bottom"/>
          </w:tcPr>
          <w:p w:rsidR="00AD5BB5" w:rsidRDefault="00F87FF6">
            <w:pPr>
              <w:autoSpaceDE w:val="0"/>
              <w:autoSpaceDN w:val="0"/>
              <w:ind w:left="200" w:hangingChars="100" w:hanging="200"/>
              <w:rPr>
                <w:rFonts w:ascii="Arial" w:eastAsia="黑体" w:hAnsi="Arial" w:cs="Arial"/>
                <w:sz w:val="20"/>
              </w:rPr>
            </w:pPr>
            <w:r>
              <w:rPr>
                <w:rFonts w:ascii="Arial" w:eastAsia="黑体" w:hAnsi="Arial" w:cs="Arial"/>
                <w:sz w:val="20"/>
              </w:rPr>
              <w:t>信用贷款</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27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14,022,600,597.08</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27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15,514,944,115.63</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17"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27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27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417" w:type="dxa"/>
            <w:tcBorders>
              <w:top w:val="nil"/>
              <w:left w:val="nil"/>
              <w:bottom w:val="nil"/>
              <w:right w:val="nil"/>
            </w:tcBorders>
            <w:vAlign w:val="bottom"/>
          </w:tcPr>
          <w:p w:rsidR="00AD5BB5" w:rsidRDefault="00F87FF6">
            <w:pPr>
              <w:autoSpaceDE w:val="0"/>
              <w:autoSpaceDN w:val="0"/>
              <w:ind w:left="200" w:hangingChars="100" w:hanging="200"/>
              <w:rPr>
                <w:rFonts w:ascii="Arial" w:eastAsia="黑体" w:hAnsi="Arial" w:cs="Arial"/>
                <w:sz w:val="20"/>
              </w:rPr>
            </w:pPr>
            <w:r>
              <w:rPr>
                <w:rFonts w:ascii="Arial" w:eastAsia="黑体" w:hAnsi="Arial" w:cs="Arial"/>
                <w:sz w:val="20"/>
              </w:rPr>
              <w:t>合计</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27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186,808,662,058.97</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27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187,401,218,326.54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bl>
    <w:p w:rsidR="00AD5BB5" w:rsidRDefault="00F87FF6">
      <w:pPr>
        <w:rPr>
          <w:rFonts w:ascii="Arial" w:eastAsia="黑体" w:hAnsi="Arial" w:cs="Arial"/>
          <w:szCs w:val="21"/>
        </w:rPr>
      </w:pPr>
      <w:r>
        <w:rPr>
          <w:rFonts w:ascii="Arial" w:eastAsia="黑体" w:hAnsi="Arial" w:cs="Arial"/>
          <w:szCs w:val="21"/>
        </w:rPr>
        <w:br w:type="page"/>
      </w:r>
    </w:p>
    <w:p w:rsidR="00AD5BB5" w:rsidRDefault="00AD5BB5">
      <w:pPr>
        <w:overflowPunct w:val="0"/>
        <w:autoSpaceDE w:val="0"/>
        <w:autoSpaceDN w:val="0"/>
        <w:rPr>
          <w:rFonts w:ascii="Arial" w:eastAsia="黑体" w:hAnsi="Arial" w:cs="Arial"/>
          <w:szCs w:val="21"/>
        </w:rPr>
      </w:pPr>
    </w:p>
    <w:p w:rsidR="00AD5BB5" w:rsidRDefault="00AD5BB5">
      <w:pPr>
        <w:overflowPunct w:val="0"/>
        <w:autoSpaceDE w:val="0"/>
        <w:autoSpaceDN w:val="0"/>
        <w:rPr>
          <w:rFonts w:ascii="Arial" w:eastAsia="黑体" w:hAnsi="Arial" w:cs="Arial"/>
          <w:szCs w:val="21"/>
        </w:rPr>
      </w:pPr>
    </w:p>
    <w:p w:rsidR="00AD5BB5" w:rsidRDefault="00F87FF6">
      <w:pPr>
        <w:tabs>
          <w:tab w:val="left" w:pos="709"/>
        </w:tabs>
        <w:overflowPunct w:val="0"/>
        <w:autoSpaceDE w:val="0"/>
        <w:autoSpaceDN w:val="0"/>
        <w:ind w:left="709" w:hanging="709"/>
        <w:rPr>
          <w:rFonts w:ascii="Arial" w:eastAsia="黑体" w:hAnsi="Arial" w:cs="Arial"/>
          <w:b/>
          <w:szCs w:val="21"/>
        </w:rPr>
      </w:pPr>
      <w:bookmarkStart w:id="582" w:name="afsaddin_WithXu_c612056a398f4fb4a157eb27"/>
      <w:r>
        <w:rPr>
          <w:rFonts w:ascii="Arial" w:eastAsia="黑体" w:hAnsi="Arial" w:cs="Arial"/>
          <w:b/>
          <w:szCs w:val="21"/>
        </w:rPr>
        <w:t>十四、公司财务报表主要项目注释（续）</w:t>
      </w:r>
      <w:bookmarkEnd w:id="582"/>
    </w:p>
    <w:p w:rsidR="00AD5BB5" w:rsidRDefault="00AD5BB5">
      <w:pPr>
        <w:tabs>
          <w:tab w:val="left" w:pos="709"/>
        </w:tabs>
        <w:overflowPunct w:val="0"/>
        <w:autoSpaceDE w:val="0"/>
        <w:autoSpaceDN w:val="0"/>
        <w:rPr>
          <w:rFonts w:ascii="Arial" w:eastAsia="黑体" w:hAnsi="Arial" w:cs="Arial"/>
          <w:szCs w:val="21"/>
        </w:rPr>
      </w:pPr>
    </w:p>
    <w:p w:rsidR="00AD5BB5" w:rsidRDefault="00F87FF6">
      <w:pPr>
        <w:overflowPunct w:val="0"/>
        <w:autoSpaceDE w:val="0"/>
        <w:autoSpaceDN w:val="0"/>
        <w:ind w:left="720" w:hanging="720"/>
        <w:rPr>
          <w:rFonts w:ascii="Arial" w:eastAsia="黑体" w:hAnsi="Arial" w:cs="Arial"/>
          <w:b/>
          <w:szCs w:val="21"/>
        </w:rPr>
      </w:pPr>
      <w:bookmarkStart w:id="583" w:name="afsaddin_WithXu_6eb43c6e24744bc899fa1cf1"/>
      <w:r>
        <w:rPr>
          <w:rFonts w:ascii="Arial" w:eastAsia="黑体" w:hAnsi="Arial" w:cs="Arial"/>
          <w:b/>
          <w:szCs w:val="21"/>
        </w:rPr>
        <w:t>2.</w:t>
      </w:r>
      <w:r>
        <w:rPr>
          <w:rFonts w:ascii="Arial" w:eastAsia="黑体" w:hAnsi="Arial" w:cs="Arial"/>
          <w:b/>
          <w:szCs w:val="21"/>
        </w:rPr>
        <w:tab/>
      </w:r>
      <w:r>
        <w:rPr>
          <w:rFonts w:ascii="Arial" w:eastAsia="黑体" w:hAnsi="Arial" w:cs="Arial"/>
          <w:b/>
          <w:szCs w:val="21"/>
        </w:rPr>
        <w:t>发放贷款及垫款（续）</w:t>
      </w:r>
      <w:bookmarkEnd w:id="583"/>
    </w:p>
    <w:p w:rsidR="00AD5BB5" w:rsidRDefault="00AD5BB5">
      <w:pPr>
        <w:overflowPunct w:val="0"/>
        <w:autoSpaceDE w:val="0"/>
        <w:autoSpaceDN w:val="0"/>
        <w:rPr>
          <w:rFonts w:ascii="Arial" w:eastAsia="黑体" w:hAnsi="Arial" w:cs="Arial"/>
          <w:szCs w:val="21"/>
        </w:rPr>
      </w:pPr>
    </w:p>
    <w:p w:rsidR="00AD5BB5" w:rsidRDefault="00F87FF6">
      <w:pPr>
        <w:overflowPunct w:val="0"/>
        <w:autoSpaceDE w:val="0"/>
        <w:autoSpaceDN w:val="0"/>
        <w:ind w:left="672" w:hanging="644"/>
        <w:rPr>
          <w:rFonts w:ascii="Arial" w:eastAsia="黑体" w:hAnsi="Arial" w:cs="Arial"/>
          <w:b/>
          <w:szCs w:val="21"/>
        </w:rPr>
      </w:pPr>
      <w:bookmarkStart w:id="584" w:name="afsaddin_WithXu_26a68cf241b148f7838b625f"/>
      <w:r>
        <w:rPr>
          <w:rFonts w:ascii="Arial" w:eastAsia="黑体" w:hAnsi="Arial" w:cs="Arial"/>
          <w:b/>
          <w:szCs w:val="21"/>
        </w:rPr>
        <w:t>2.2</w:t>
      </w:r>
      <w:r>
        <w:rPr>
          <w:rFonts w:ascii="Arial" w:eastAsia="黑体" w:hAnsi="Arial" w:cs="Arial"/>
          <w:b/>
          <w:szCs w:val="21"/>
        </w:rPr>
        <w:tab/>
      </w:r>
      <w:r>
        <w:rPr>
          <w:rFonts w:ascii="Arial" w:eastAsia="黑体" w:hAnsi="Arial" w:cs="Arial"/>
          <w:b/>
          <w:szCs w:val="21"/>
        </w:rPr>
        <w:t>按担保方式分析（续）</w:t>
      </w:r>
      <w:bookmarkEnd w:id="584"/>
    </w:p>
    <w:p w:rsidR="00AD5BB5" w:rsidRDefault="00AD5BB5">
      <w:pPr>
        <w:overflowPunct w:val="0"/>
        <w:autoSpaceDE w:val="0"/>
        <w:autoSpaceDN w:val="0"/>
        <w:rPr>
          <w:rFonts w:ascii="Arial" w:eastAsia="黑体" w:hAnsi="Arial" w:cs="Arial"/>
          <w:szCs w:val="21"/>
        </w:rPr>
      </w:pPr>
    </w:p>
    <w:p w:rsidR="00AD5BB5" w:rsidRDefault="00F87FF6">
      <w:pPr>
        <w:overflowPunct w:val="0"/>
        <w:autoSpaceDE w:val="0"/>
        <w:autoSpaceDN w:val="0"/>
        <w:rPr>
          <w:rFonts w:ascii="Arial" w:hAnsi="Arial" w:cs="Arial"/>
        </w:rPr>
      </w:pPr>
      <w:bookmarkStart w:id="585" w:name="afsaddin_WithXu_a3e9874ae9804e46be0b6eca"/>
      <w:bookmarkStart w:id="586" w:name="afsaddin_WithXu_bd81fb5c066b4116a20b58b6"/>
      <w:bookmarkStart w:id="587" w:name="afsaddin_WithXu_2c0967e8804c4a7a9ceb0fa1"/>
      <w:bookmarkStart w:id="588" w:name="_Hlk132390130"/>
      <w:bookmarkEnd w:id="585"/>
      <w:bookmarkEnd w:id="586"/>
      <w:bookmarkEnd w:id="587"/>
      <w:r>
        <w:rPr>
          <w:rFonts w:ascii="Arial" w:eastAsia="黑体" w:hAnsi="Arial" w:cs="Arial"/>
          <w:snapToGrid w:val="0"/>
          <w:szCs w:val="21"/>
        </w:rPr>
        <w:t>于</w:t>
      </w:r>
      <w:r>
        <w:rPr>
          <w:rFonts w:ascii="Arial" w:eastAsia="黑体" w:hAnsi="Arial" w:cs="Arial"/>
          <w:snapToGrid w:val="0"/>
          <w:szCs w:val="21"/>
        </w:rPr>
        <w:t>2023</w:t>
      </w:r>
      <w:r>
        <w:rPr>
          <w:rFonts w:ascii="Arial" w:eastAsia="黑体" w:hAnsi="Arial" w:cs="Arial"/>
          <w:snapToGrid w:val="0"/>
          <w:szCs w:val="21"/>
        </w:rPr>
        <w:t>年</w:t>
      </w:r>
      <w:r>
        <w:rPr>
          <w:rFonts w:ascii="Arial" w:eastAsia="黑体" w:hAnsi="Arial" w:cs="Arial"/>
          <w:snapToGrid w:val="0"/>
          <w:szCs w:val="21"/>
        </w:rPr>
        <w:t>6</w:t>
      </w:r>
      <w:r>
        <w:rPr>
          <w:rFonts w:ascii="Arial" w:eastAsia="黑体" w:hAnsi="Arial" w:cs="Arial"/>
          <w:snapToGrid w:val="0"/>
          <w:szCs w:val="21"/>
        </w:rPr>
        <w:t>月</w:t>
      </w:r>
      <w:r>
        <w:rPr>
          <w:rFonts w:ascii="Arial" w:eastAsia="黑体" w:hAnsi="Arial" w:cs="Arial"/>
          <w:snapToGrid w:val="0"/>
          <w:szCs w:val="21"/>
        </w:rPr>
        <w:t>30</w:t>
      </w:r>
      <w:r>
        <w:rPr>
          <w:rFonts w:ascii="Arial" w:eastAsia="黑体" w:hAnsi="Arial" w:cs="Arial"/>
          <w:snapToGrid w:val="0"/>
          <w:szCs w:val="21"/>
        </w:rPr>
        <w:t>日，本</w:t>
      </w:r>
      <w:r>
        <w:rPr>
          <w:rFonts w:ascii="Arial" w:eastAsia="黑体" w:hAnsi="Arial" w:cs="Arial" w:hint="eastAsia"/>
          <w:snapToGrid w:val="0"/>
          <w:szCs w:val="21"/>
        </w:rPr>
        <w:t>行</w:t>
      </w:r>
      <w:r>
        <w:rPr>
          <w:rFonts w:ascii="Arial" w:eastAsia="黑体" w:hAnsi="Arial" w:cs="Arial"/>
          <w:snapToGrid w:val="0"/>
          <w:szCs w:val="21"/>
        </w:rPr>
        <w:t>发放贷款及垫款中有人民币</w:t>
      </w:r>
      <w:r>
        <w:rPr>
          <w:rFonts w:ascii="Arial" w:eastAsia="黑体" w:hAnsi="Arial" w:cs="Arial"/>
          <w:snapToGrid w:val="0"/>
          <w:szCs w:val="21"/>
        </w:rPr>
        <w:t xml:space="preserve"> </w:t>
      </w:r>
      <w:r>
        <w:rPr>
          <w:rFonts w:ascii="Arial" w:eastAsia="黑体" w:hAnsi="Arial" w:cs="Arial"/>
          <w:color w:val="000000"/>
          <w:szCs w:val="21"/>
        </w:rPr>
        <w:t>2,696,229,652.67</w:t>
      </w:r>
      <w:r>
        <w:rPr>
          <w:rFonts w:ascii="Arial" w:eastAsia="黑体" w:hAnsi="Arial" w:cs="Arial"/>
          <w:snapToGrid w:val="0"/>
          <w:szCs w:val="21"/>
        </w:rPr>
        <w:t xml:space="preserve"> </w:t>
      </w:r>
      <w:r>
        <w:rPr>
          <w:rFonts w:ascii="Arial" w:eastAsia="黑体" w:hAnsi="Arial" w:cs="Arial"/>
          <w:snapToGrid w:val="0"/>
          <w:szCs w:val="21"/>
        </w:rPr>
        <w:t>元质押于卖出回购协议（</w:t>
      </w:r>
      <w:r>
        <w:rPr>
          <w:rFonts w:ascii="Arial" w:eastAsia="黑体" w:hAnsi="Arial" w:cs="Arial"/>
          <w:snapToGrid w:val="0"/>
          <w:szCs w:val="21"/>
        </w:rPr>
        <w:t>2022</w:t>
      </w:r>
      <w:r>
        <w:rPr>
          <w:rFonts w:ascii="Arial" w:eastAsia="黑体" w:hAnsi="Arial" w:cs="Arial"/>
          <w:snapToGrid w:val="0"/>
          <w:szCs w:val="21"/>
        </w:rPr>
        <w:t>年</w:t>
      </w:r>
      <w:r>
        <w:rPr>
          <w:rFonts w:ascii="Arial" w:eastAsia="黑体" w:hAnsi="Arial" w:cs="Arial"/>
          <w:snapToGrid w:val="0"/>
          <w:szCs w:val="21"/>
        </w:rPr>
        <w:t>12</w:t>
      </w:r>
      <w:r>
        <w:rPr>
          <w:rFonts w:ascii="Arial" w:eastAsia="黑体" w:hAnsi="Arial" w:cs="Arial"/>
          <w:snapToGrid w:val="0"/>
          <w:szCs w:val="21"/>
        </w:rPr>
        <w:t>月</w:t>
      </w:r>
      <w:r>
        <w:rPr>
          <w:rFonts w:ascii="Arial" w:eastAsia="黑体" w:hAnsi="Arial" w:cs="Arial"/>
          <w:snapToGrid w:val="0"/>
          <w:szCs w:val="21"/>
        </w:rPr>
        <w:t>31</w:t>
      </w:r>
      <w:r>
        <w:rPr>
          <w:rFonts w:ascii="Arial" w:eastAsia="黑体" w:hAnsi="Arial" w:cs="Arial"/>
          <w:snapToGrid w:val="0"/>
          <w:szCs w:val="21"/>
        </w:rPr>
        <w:t>日：</w:t>
      </w:r>
      <w:r>
        <w:rPr>
          <w:rFonts w:ascii="Arial" w:eastAsia="黑体" w:hAnsi="Arial" w:cs="Arial"/>
          <w:snapToGrid w:val="0"/>
          <w:szCs w:val="21"/>
        </w:rPr>
        <w:t xml:space="preserve">6,746,956,811.41 </w:t>
      </w:r>
      <w:r>
        <w:rPr>
          <w:rFonts w:ascii="Arial" w:eastAsia="黑体" w:hAnsi="Arial" w:cs="Arial"/>
          <w:snapToGrid w:val="0"/>
          <w:szCs w:val="21"/>
        </w:rPr>
        <w:t>元）。</w:t>
      </w:r>
      <w:bookmarkEnd w:id="588"/>
    </w:p>
    <w:p w:rsidR="00AD5BB5" w:rsidRDefault="00AD5BB5">
      <w:pPr>
        <w:overflowPunct w:val="0"/>
        <w:autoSpaceDE w:val="0"/>
        <w:autoSpaceDN w:val="0"/>
        <w:rPr>
          <w:rFonts w:ascii="Arial" w:eastAsia="黑体" w:hAnsi="Arial" w:cs="Arial"/>
          <w:szCs w:val="21"/>
        </w:rPr>
      </w:pPr>
    </w:p>
    <w:p w:rsidR="00AD5BB5" w:rsidRDefault="00F87FF6">
      <w:pPr>
        <w:pStyle w:val="af5"/>
        <w:overflowPunct w:val="0"/>
        <w:autoSpaceDE w:val="0"/>
        <w:autoSpaceDN w:val="0"/>
        <w:adjustRightInd w:val="0"/>
        <w:snapToGrid w:val="0"/>
        <w:spacing w:before="0" w:after="0"/>
        <w:ind w:left="672" w:hanging="644"/>
        <w:jc w:val="both"/>
        <w:textAlignment w:val="bottom"/>
        <w:outlineLvl w:val="3"/>
        <w:rPr>
          <w:rFonts w:ascii="Arial" w:eastAsia="黑体" w:hAnsi="Arial" w:cs="Arial" w:hint="default"/>
          <w:bCs w:val="0"/>
          <w:snapToGrid w:val="0"/>
          <w:color w:val="auto"/>
          <w:sz w:val="21"/>
          <w:szCs w:val="21"/>
        </w:rPr>
      </w:pPr>
      <w:bookmarkStart w:id="589" w:name="afsaddin_Section_e79a53b3e1cc4c2c90d3aed"/>
      <w:r>
        <w:rPr>
          <w:rFonts w:ascii="Arial" w:eastAsia="黑体" w:hAnsi="Arial" w:cs="Arial" w:hint="default"/>
          <w:bCs w:val="0"/>
          <w:snapToGrid w:val="0"/>
          <w:color w:val="auto"/>
          <w:sz w:val="21"/>
          <w:szCs w:val="21"/>
        </w:rPr>
        <w:t>2.3</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按担保方式分类的逾期贷款分析</w:t>
      </w:r>
    </w:p>
    <w:bookmarkEnd w:id="589"/>
    <w:p w:rsidR="00AD5BB5" w:rsidRDefault="00AD5BB5">
      <w:pPr>
        <w:overflowPunct w:val="0"/>
        <w:autoSpaceDE w:val="0"/>
        <w:autoSpaceDN w:val="0"/>
        <w:rPr>
          <w:rFonts w:ascii="Arial" w:eastAsia="黑体" w:hAnsi="Arial" w:cs="Arial"/>
          <w:szCs w:val="21"/>
        </w:rPr>
      </w:pPr>
    </w:p>
    <w:tbl>
      <w:tblPr>
        <w:tblW w:w="0" w:type="auto"/>
        <w:tblLayout w:type="fixed"/>
        <w:tblCellMar>
          <w:left w:w="0" w:type="dxa"/>
          <w:right w:w="0" w:type="dxa"/>
        </w:tblCellMar>
        <w:tblLook w:val="04A0" w:firstRow="1" w:lastRow="0" w:firstColumn="1" w:lastColumn="0" w:noHBand="0" w:noVBand="1"/>
        <w:tblCaption w:val="2d3140e2-94fe-4bef-af35-f8a90456b164"/>
        <w:tblDescription w:val="{&quot;UUID&quot;:&quot;afsaddin_tabledata_2_56437_2d3140e2-94fe-4bef-af35-f8a90456b164&quot;,&quot;TitleRowCount&quot;:3,&quot;SplitedTable&quot;:false,&quot;FirstTableId&quot;:&quot;2d3140e2-94fe-4bef-af35-f8a90456b164&quot;}"/>
      </w:tblPr>
      <w:tblGrid>
        <w:gridCol w:w="970"/>
        <w:gridCol w:w="23"/>
        <w:gridCol w:w="1261"/>
        <w:gridCol w:w="103"/>
        <w:gridCol w:w="103"/>
        <w:gridCol w:w="1298"/>
        <w:gridCol w:w="103"/>
        <w:gridCol w:w="103"/>
        <w:gridCol w:w="1298"/>
        <w:gridCol w:w="103"/>
        <w:gridCol w:w="103"/>
        <w:gridCol w:w="1298"/>
        <w:gridCol w:w="103"/>
        <w:gridCol w:w="103"/>
        <w:gridCol w:w="1357"/>
        <w:gridCol w:w="103"/>
      </w:tblGrid>
      <w:tr w:rsidR="00AD5BB5">
        <w:tc>
          <w:tcPr>
            <w:tcW w:w="97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3"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7336" w:type="dxa"/>
            <w:gridSpan w:val="13"/>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fldChar w:fldCharType="begin"/>
            </w:r>
            <w:r>
              <w:rPr>
                <w:rFonts w:ascii="Arial" w:eastAsia="黑体" w:hAnsi="Arial" w:cs="Arial"/>
                <w:sz w:val="16"/>
                <w:szCs w:val="16"/>
              </w:rPr>
              <w:instrText xml:space="preserve"> DOCPROPERTY </w:instrText>
            </w:r>
            <w:r>
              <w:rPr>
                <w:rFonts w:ascii="Arial" w:eastAsia="黑体" w:hAnsi="Arial" w:cs="Arial"/>
                <w:sz w:val="16"/>
                <w:szCs w:val="16"/>
              </w:rPr>
              <w:instrText>当期资产负债表日</w:instrText>
            </w:r>
            <w:r>
              <w:rPr>
                <w:rFonts w:ascii="Arial" w:eastAsia="黑体" w:hAnsi="Arial" w:cs="Arial"/>
                <w:sz w:val="16"/>
                <w:szCs w:val="16"/>
              </w:rPr>
              <w:instrText xml:space="preserve"> </w:instrText>
            </w:r>
            <w:r>
              <w:rPr>
                <w:rFonts w:ascii="Arial" w:eastAsia="黑体" w:hAnsi="Arial" w:cs="Arial"/>
                <w:sz w:val="16"/>
                <w:szCs w:val="16"/>
              </w:rPr>
              <w:fldChar w:fldCharType="separate"/>
            </w:r>
            <w:r>
              <w:rPr>
                <w:rFonts w:ascii="Arial" w:eastAsia="黑体" w:hAnsi="Arial" w:cs="Arial"/>
                <w:sz w:val="16"/>
                <w:szCs w:val="16"/>
              </w:rPr>
              <w:t>2023</w:t>
            </w:r>
            <w:r>
              <w:rPr>
                <w:rFonts w:ascii="Arial" w:eastAsia="黑体" w:hAnsi="Arial" w:cs="Arial"/>
                <w:sz w:val="16"/>
                <w:szCs w:val="16"/>
              </w:rPr>
              <w:t>年</w:t>
            </w:r>
            <w:r>
              <w:rPr>
                <w:rFonts w:ascii="Arial" w:eastAsia="黑体" w:hAnsi="Arial" w:cs="Arial"/>
                <w:sz w:val="16"/>
                <w:szCs w:val="16"/>
              </w:rPr>
              <w:t>6</w:t>
            </w:r>
            <w:r>
              <w:rPr>
                <w:rFonts w:ascii="Arial" w:eastAsia="黑体" w:hAnsi="Arial" w:cs="Arial"/>
                <w:sz w:val="16"/>
                <w:szCs w:val="16"/>
              </w:rPr>
              <w:t>月</w:t>
            </w:r>
            <w:r>
              <w:rPr>
                <w:rFonts w:ascii="Arial" w:eastAsia="黑体" w:hAnsi="Arial" w:cs="Arial"/>
                <w:sz w:val="16"/>
                <w:szCs w:val="16"/>
              </w:rPr>
              <w:t>30</w:t>
            </w:r>
            <w:r>
              <w:rPr>
                <w:rFonts w:ascii="Arial" w:eastAsia="黑体" w:hAnsi="Arial" w:cs="Arial"/>
                <w:sz w:val="16"/>
                <w:szCs w:val="16"/>
              </w:rPr>
              <w:t>日</w:t>
            </w:r>
            <w:r>
              <w:rPr>
                <w:rFonts w:ascii="Arial" w:eastAsia="黑体" w:hAnsi="Arial" w:cs="Arial"/>
                <w:sz w:val="16"/>
                <w:szCs w:val="16"/>
              </w:rPr>
              <w:fldChar w:fldCharType="end"/>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97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3"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261"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逾期</w:t>
            </w:r>
            <w:r>
              <w:rPr>
                <w:rFonts w:ascii="Arial" w:eastAsia="黑体" w:hAnsi="Arial" w:cs="Arial"/>
                <w:sz w:val="16"/>
                <w:szCs w:val="16"/>
              </w:rPr>
              <w:t>1</w:t>
            </w:r>
            <w:r>
              <w:rPr>
                <w:rFonts w:ascii="Arial" w:eastAsia="黑体" w:hAnsi="Arial" w:cs="Arial"/>
                <w:sz w:val="16"/>
                <w:szCs w:val="16"/>
              </w:rPr>
              <w:t>天至</w:t>
            </w:r>
            <w:r>
              <w:rPr>
                <w:rFonts w:ascii="Arial" w:eastAsia="黑体" w:hAnsi="Arial" w:cs="Arial"/>
                <w:sz w:val="16"/>
                <w:szCs w:val="16"/>
              </w:rPr>
              <w:t>90</w:t>
            </w:r>
            <w:r>
              <w:rPr>
                <w:rFonts w:ascii="Arial" w:eastAsia="黑体" w:hAnsi="Arial" w:cs="Arial"/>
                <w:sz w:val="16"/>
                <w:szCs w:val="16"/>
              </w:rPr>
              <w:t>天</w:t>
            </w:r>
          </w:p>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（含</w:t>
            </w:r>
            <w:r>
              <w:rPr>
                <w:rFonts w:ascii="Arial" w:eastAsia="黑体" w:hAnsi="Arial" w:cs="Arial"/>
                <w:sz w:val="16"/>
                <w:szCs w:val="16"/>
              </w:rPr>
              <w:t>90</w:t>
            </w:r>
            <w:r>
              <w:rPr>
                <w:rFonts w:ascii="Arial" w:eastAsia="黑体" w:hAnsi="Arial" w:cs="Arial"/>
                <w:sz w:val="16"/>
                <w:szCs w:val="16"/>
              </w:rPr>
              <w:t>天）</w:t>
            </w:r>
          </w:p>
        </w:tc>
        <w:tc>
          <w:tcPr>
            <w:tcW w:w="103"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逾期</w:t>
            </w:r>
            <w:r>
              <w:rPr>
                <w:rFonts w:ascii="Arial" w:eastAsia="黑体" w:hAnsi="Arial" w:cs="Arial"/>
                <w:sz w:val="16"/>
                <w:szCs w:val="16"/>
              </w:rPr>
              <w:t>90</w:t>
            </w:r>
            <w:r>
              <w:rPr>
                <w:rFonts w:ascii="Arial" w:eastAsia="黑体" w:hAnsi="Arial" w:cs="Arial"/>
                <w:sz w:val="16"/>
                <w:szCs w:val="16"/>
              </w:rPr>
              <w:t>天至</w:t>
            </w:r>
            <w:r>
              <w:rPr>
                <w:rFonts w:ascii="Arial" w:eastAsia="黑体" w:hAnsi="Arial" w:cs="Arial"/>
                <w:sz w:val="16"/>
                <w:szCs w:val="16"/>
              </w:rPr>
              <w:t>1</w:t>
            </w:r>
            <w:r>
              <w:rPr>
                <w:rFonts w:ascii="Arial" w:eastAsia="黑体" w:hAnsi="Arial" w:cs="Arial"/>
                <w:sz w:val="16"/>
                <w:szCs w:val="16"/>
              </w:rPr>
              <w:t>年</w:t>
            </w:r>
          </w:p>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（含</w:t>
            </w:r>
            <w:r>
              <w:rPr>
                <w:rFonts w:ascii="Arial" w:eastAsia="黑体" w:hAnsi="Arial" w:cs="Arial"/>
                <w:sz w:val="16"/>
                <w:szCs w:val="16"/>
              </w:rPr>
              <w:t>1</w:t>
            </w:r>
            <w:r>
              <w:rPr>
                <w:rFonts w:ascii="Arial" w:eastAsia="黑体" w:hAnsi="Arial" w:cs="Arial"/>
                <w:sz w:val="16"/>
                <w:szCs w:val="16"/>
              </w:rPr>
              <w:t>年）</w:t>
            </w:r>
          </w:p>
        </w:tc>
        <w:tc>
          <w:tcPr>
            <w:tcW w:w="103"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逾期</w:t>
            </w:r>
            <w:r>
              <w:rPr>
                <w:rFonts w:ascii="Arial" w:eastAsia="黑体" w:hAnsi="Arial" w:cs="Arial"/>
                <w:sz w:val="16"/>
                <w:szCs w:val="16"/>
              </w:rPr>
              <w:t>1</w:t>
            </w:r>
            <w:r>
              <w:rPr>
                <w:rFonts w:ascii="Arial" w:eastAsia="黑体" w:hAnsi="Arial" w:cs="Arial"/>
                <w:sz w:val="16"/>
                <w:szCs w:val="16"/>
              </w:rPr>
              <w:t>年至</w:t>
            </w:r>
            <w:r>
              <w:rPr>
                <w:rFonts w:ascii="Arial" w:eastAsia="黑体" w:hAnsi="Arial" w:cs="Arial"/>
                <w:sz w:val="16"/>
                <w:szCs w:val="16"/>
              </w:rPr>
              <w:t>3</w:t>
            </w:r>
            <w:r>
              <w:rPr>
                <w:rFonts w:ascii="Arial" w:eastAsia="黑体" w:hAnsi="Arial" w:cs="Arial"/>
                <w:sz w:val="16"/>
                <w:szCs w:val="16"/>
              </w:rPr>
              <w:t>年</w:t>
            </w:r>
          </w:p>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（含</w:t>
            </w:r>
            <w:r>
              <w:rPr>
                <w:rFonts w:ascii="Arial" w:eastAsia="黑体" w:hAnsi="Arial" w:cs="Arial"/>
                <w:sz w:val="16"/>
                <w:szCs w:val="16"/>
              </w:rPr>
              <w:t>3</w:t>
            </w:r>
            <w:r>
              <w:rPr>
                <w:rFonts w:ascii="Arial" w:eastAsia="黑体" w:hAnsi="Arial" w:cs="Arial"/>
                <w:sz w:val="16"/>
                <w:szCs w:val="16"/>
              </w:rPr>
              <w:t>年）</w:t>
            </w:r>
          </w:p>
        </w:tc>
        <w:tc>
          <w:tcPr>
            <w:tcW w:w="103"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逾期</w:t>
            </w:r>
            <w:r>
              <w:rPr>
                <w:rFonts w:ascii="Arial" w:eastAsia="黑体" w:hAnsi="Arial" w:cs="Arial"/>
                <w:sz w:val="16"/>
                <w:szCs w:val="16"/>
              </w:rPr>
              <w:t>3</w:t>
            </w:r>
            <w:r>
              <w:rPr>
                <w:rFonts w:ascii="Arial" w:eastAsia="黑体" w:hAnsi="Arial" w:cs="Arial"/>
                <w:sz w:val="16"/>
                <w:szCs w:val="16"/>
              </w:rPr>
              <w:t>年以上</w:t>
            </w:r>
          </w:p>
        </w:tc>
        <w:tc>
          <w:tcPr>
            <w:tcW w:w="103"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57"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合计</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97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3"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26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5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97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质押贷款</w:t>
            </w:r>
          </w:p>
        </w:tc>
        <w:tc>
          <w:tcPr>
            <w:tcW w:w="23"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26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405,224,786.42</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5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405,224,786.42</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97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抵押贷款</w:t>
            </w:r>
          </w:p>
        </w:tc>
        <w:tc>
          <w:tcPr>
            <w:tcW w:w="23"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26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1,049,948,318.01</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606,018,845.79</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200,678,276.05</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3,160,997.89</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5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1,859,806,437.74</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97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保证贷款</w:t>
            </w:r>
          </w:p>
        </w:tc>
        <w:tc>
          <w:tcPr>
            <w:tcW w:w="23"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26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213,785,147.28</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182,131,488.27</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96,940,000.00</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29,542,500.00</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5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522,399,135.55</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97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信用贷款</w:t>
            </w:r>
          </w:p>
        </w:tc>
        <w:tc>
          <w:tcPr>
            <w:tcW w:w="23"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261"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86,156,994.01</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116,592,703.93</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8,235,044.96</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1,016,147.17</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5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212,000,890.07</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97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3"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26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5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97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合计</w:t>
            </w:r>
          </w:p>
        </w:tc>
        <w:tc>
          <w:tcPr>
            <w:tcW w:w="23"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261"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1,755,115,245.72</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904,743,037.99</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305,853,321.01</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33,719,645.06</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5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rPr>
              <w:t>2,999,431,249.78</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bl>
    <w:p w:rsidR="00AD5BB5" w:rsidRDefault="00AD5BB5">
      <w:pPr>
        <w:overflowPunct w:val="0"/>
        <w:autoSpaceDE w:val="0"/>
        <w:autoSpaceDN w:val="0"/>
        <w:rPr>
          <w:rFonts w:ascii="Arial" w:eastAsia="黑体" w:hAnsi="Arial" w:cs="Arial"/>
          <w:szCs w:val="21"/>
        </w:rPr>
      </w:pPr>
    </w:p>
    <w:tbl>
      <w:tblPr>
        <w:tblW w:w="0" w:type="auto"/>
        <w:tblLayout w:type="fixed"/>
        <w:tblCellMar>
          <w:left w:w="0" w:type="dxa"/>
          <w:right w:w="0" w:type="dxa"/>
        </w:tblCellMar>
        <w:tblLook w:val="04A0" w:firstRow="1" w:lastRow="0" w:firstColumn="1" w:lastColumn="0" w:noHBand="0" w:noVBand="1"/>
        <w:tblCaption w:val="fe102230-c51a-446a-ac59-cbadf6e45f9d"/>
        <w:tblDescription w:val="{&quot;UUID&quot;:&quot;afsaddin_tabledata_2_56437_fe102230-c51a-446a-ac59-cbadf6e45f9d&quot;,&quot;TitleRowCount&quot;:3,&quot;SplitedTable&quot;:false,&quot;FirstTableId&quot;:&quot;fe102230-c51a-446a-ac59-cbadf6e45f9d&quot;}"/>
      </w:tblPr>
      <w:tblGrid>
        <w:gridCol w:w="970"/>
        <w:gridCol w:w="23"/>
        <w:gridCol w:w="1261"/>
        <w:gridCol w:w="103"/>
        <w:gridCol w:w="103"/>
        <w:gridCol w:w="1298"/>
        <w:gridCol w:w="103"/>
        <w:gridCol w:w="103"/>
        <w:gridCol w:w="1298"/>
        <w:gridCol w:w="103"/>
        <w:gridCol w:w="103"/>
        <w:gridCol w:w="1298"/>
        <w:gridCol w:w="103"/>
        <w:gridCol w:w="103"/>
        <w:gridCol w:w="1357"/>
        <w:gridCol w:w="103"/>
      </w:tblGrid>
      <w:tr w:rsidR="00AD5BB5">
        <w:tc>
          <w:tcPr>
            <w:tcW w:w="97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3"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7336" w:type="dxa"/>
            <w:gridSpan w:val="13"/>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2022</w:t>
            </w:r>
            <w:r>
              <w:rPr>
                <w:rFonts w:ascii="Arial" w:eastAsia="黑体" w:hAnsi="Arial" w:cs="Arial"/>
                <w:sz w:val="16"/>
                <w:szCs w:val="16"/>
              </w:rPr>
              <w:t>年</w:t>
            </w:r>
            <w:r>
              <w:rPr>
                <w:rFonts w:ascii="Arial" w:eastAsia="黑体" w:hAnsi="Arial" w:cs="Arial"/>
                <w:sz w:val="16"/>
                <w:szCs w:val="16"/>
              </w:rPr>
              <w:t>12</w:t>
            </w:r>
            <w:r>
              <w:rPr>
                <w:rFonts w:ascii="Arial" w:eastAsia="黑体" w:hAnsi="Arial" w:cs="Arial"/>
                <w:sz w:val="16"/>
                <w:szCs w:val="16"/>
              </w:rPr>
              <w:t>月</w:t>
            </w:r>
            <w:r>
              <w:rPr>
                <w:rFonts w:ascii="Arial" w:eastAsia="黑体" w:hAnsi="Arial" w:cs="Arial"/>
                <w:sz w:val="16"/>
                <w:szCs w:val="16"/>
              </w:rPr>
              <w:t>31</w:t>
            </w:r>
            <w:r>
              <w:rPr>
                <w:rFonts w:ascii="Arial" w:eastAsia="黑体" w:hAnsi="Arial" w:cs="Arial"/>
                <w:sz w:val="16"/>
                <w:szCs w:val="16"/>
              </w:rPr>
              <w:t>日</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97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3"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261"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逾期</w:t>
            </w:r>
            <w:r>
              <w:rPr>
                <w:rFonts w:ascii="Arial" w:eastAsia="黑体" w:hAnsi="Arial" w:cs="Arial"/>
                <w:sz w:val="16"/>
                <w:szCs w:val="16"/>
              </w:rPr>
              <w:t>1</w:t>
            </w:r>
            <w:r>
              <w:rPr>
                <w:rFonts w:ascii="Arial" w:eastAsia="黑体" w:hAnsi="Arial" w:cs="Arial"/>
                <w:sz w:val="16"/>
                <w:szCs w:val="16"/>
              </w:rPr>
              <w:t>天至</w:t>
            </w:r>
            <w:r>
              <w:rPr>
                <w:rFonts w:ascii="Arial" w:eastAsia="黑体" w:hAnsi="Arial" w:cs="Arial"/>
                <w:sz w:val="16"/>
                <w:szCs w:val="16"/>
              </w:rPr>
              <w:t>90</w:t>
            </w:r>
            <w:r>
              <w:rPr>
                <w:rFonts w:ascii="Arial" w:eastAsia="黑体" w:hAnsi="Arial" w:cs="Arial"/>
                <w:sz w:val="16"/>
                <w:szCs w:val="16"/>
              </w:rPr>
              <w:t>天</w:t>
            </w:r>
          </w:p>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（含</w:t>
            </w:r>
            <w:r>
              <w:rPr>
                <w:rFonts w:ascii="Arial" w:eastAsia="黑体" w:hAnsi="Arial" w:cs="Arial"/>
                <w:sz w:val="16"/>
                <w:szCs w:val="16"/>
              </w:rPr>
              <w:t>90</w:t>
            </w:r>
            <w:r>
              <w:rPr>
                <w:rFonts w:ascii="Arial" w:eastAsia="黑体" w:hAnsi="Arial" w:cs="Arial"/>
                <w:sz w:val="16"/>
                <w:szCs w:val="16"/>
              </w:rPr>
              <w:t>天）</w:t>
            </w:r>
          </w:p>
        </w:tc>
        <w:tc>
          <w:tcPr>
            <w:tcW w:w="103"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逾期</w:t>
            </w:r>
            <w:r>
              <w:rPr>
                <w:rFonts w:ascii="Arial" w:eastAsia="黑体" w:hAnsi="Arial" w:cs="Arial"/>
                <w:sz w:val="16"/>
                <w:szCs w:val="16"/>
              </w:rPr>
              <w:t>90</w:t>
            </w:r>
            <w:r>
              <w:rPr>
                <w:rFonts w:ascii="Arial" w:eastAsia="黑体" w:hAnsi="Arial" w:cs="Arial"/>
                <w:sz w:val="16"/>
                <w:szCs w:val="16"/>
              </w:rPr>
              <w:t>天至</w:t>
            </w:r>
            <w:r>
              <w:rPr>
                <w:rFonts w:ascii="Arial" w:eastAsia="黑体" w:hAnsi="Arial" w:cs="Arial"/>
                <w:sz w:val="16"/>
                <w:szCs w:val="16"/>
              </w:rPr>
              <w:t>1</w:t>
            </w:r>
            <w:r>
              <w:rPr>
                <w:rFonts w:ascii="Arial" w:eastAsia="黑体" w:hAnsi="Arial" w:cs="Arial"/>
                <w:sz w:val="16"/>
                <w:szCs w:val="16"/>
              </w:rPr>
              <w:t>年</w:t>
            </w:r>
          </w:p>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（含</w:t>
            </w:r>
            <w:r>
              <w:rPr>
                <w:rFonts w:ascii="Arial" w:eastAsia="黑体" w:hAnsi="Arial" w:cs="Arial"/>
                <w:sz w:val="16"/>
                <w:szCs w:val="16"/>
              </w:rPr>
              <w:t>1</w:t>
            </w:r>
            <w:r>
              <w:rPr>
                <w:rFonts w:ascii="Arial" w:eastAsia="黑体" w:hAnsi="Arial" w:cs="Arial"/>
                <w:sz w:val="16"/>
                <w:szCs w:val="16"/>
              </w:rPr>
              <w:t>年）</w:t>
            </w:r>
          </w:p>
        </w:tc>
        <w:tc>
          <w:tcPr>
            <w:tcW w:w="103"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逾期</w:t>
            </w:r>
            <w:r>
              <w:rPr>
                <w:rFonts w:ascii="Arial" w:eastAsia="黑体" w:hAnsi="Arial" w:cs="Arial"/>
                <w:sz w:val="16"/>
                <w:szCs w:val="16"/>
              </w:rPr>
              <w:t>1</w:t>
            </w:r>
            <w:r>
              <w:rPr>
                <w:rFonts w:ascii="Arial" w:eastAsia="黑体" w:hAnsi="Arial" w:cs="Arial"/>
                <w:sz w:val="16"/>
                <w:szCs w:val="16"/>
              </w:rPr>
              <w:t>年至</w:t>
            </w:r>
            <w:r>
              <w:rPr>
                <w:rFonts w:ascii="Arial" w:eastAsia="黑体" w:hAnsi="Arial" w:cs="Arial"/>
                <w:sz w:val="16"/>
                <w:szCs w:val="16"/>
              </w:rPr>
              <w:t>3</w:t>
            </w:r>
            <w:r>
              <w:rPr>
                <w:rFonts w:ascii="Arial" w:eastAsia="黑体" w:hAnsi="Arial" w:cs="Arial"/>
                <w:sz w:val="16"/>
                <w:szCs w:val="16"/>
              </w:rPr>
              <w:t>年</w:t>
            </w:r>
          </w:p>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（含</w:t>
            </w:r>
            <w:r>
              <w:rPr>
                <w:rFonts w:ascii="Arial" w:eastAsia="黑体" w:hAnsi="Arial" w:cs="Arial"/>
                <w:sz w:val="16"/>
                <w:szCs w:val="16"/>
              </w:rPr>
              <w:t>3</w:t>
            </w:r>
            <w:r>
              <w:rPr>
                <w:rFonts w:ascii="Arial" w:eastAsia="黑体" w:hAnsi="Arial" w:cs="Arial"/>
                <w:sz w:val="16"/>
                <w:szCs w:val="16"/>
              </w:rPr>
              <w:t>年）</w:t>
            </w:r>
          </w:p>
        </w:tc>
        <w:tc>
          <w:tcPr>
            <w:tcW w:w="103"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逾期</w:t>
            </w:r>
            <w:r>
              <w:rPr>
                <w:rFonts w:ascii="Arial" w:eastAsia="黑体" w:hAnsi="Arial" w:cs="Arial"/>
                <w:sz w:val="16"/>
                <w:szCs w:val="16"/>
              </w:rPr>
              <w:t>3</w:t>
            </w:r>
            <w:r>
              <w:rPr>
                <w:rFonts w:ascii="Arial" w:eastAsia="黑体" w:hAnsi="Arial" w:cs="Arial"/>
                <w:sz w:val="16"/>
                <w:szCs w:val="16"/>
              </w:rPr>
              <w:t>年以上</w:t>
            </w:r>
          </w:p>
        </w:tc>
        <w:tc>
          <w:tcPr>
            <w:tcW w:w="103"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57"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合计</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97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3"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26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5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97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质押贷款</w:t>
            </w:r>
          </w:p>
        </w:tc>
        <w:tc>
          <w:tcPr>
            <w:tcW w:w="23"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26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424,767,420.48</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249,641,845.92</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5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674,409,266.40</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97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抵押贷款</w:t>
            </w:r>
          </w:p>
        </w:tc>
        <w:tc>
          <w:tcPr>
            <w:tcW w:w="23"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26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431,373,453.09</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237,013,455.80</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301,194,805.23</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2,407,474.36</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5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971,989,188.48</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97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保证贷款</w:t>
            </w:r>
          </w:p>
        </w:tc>
        <w:tc>
          <w:tcPr>
            <w:tcW w:w="23"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261"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306,311,670.17</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155,827,130.22</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92,150,000.00</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32,272,051.69</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5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586,560,852.08</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97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信用贷款</w:t>
            </w:r>
          </w:p>
        </w:tc>
        <w:tc>
          <w:tcPr>
            <w:tcW w:w="23"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261"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62,004,301.17</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70,276,610.86</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7,770,287.62</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400,764.32</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5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140,451,963.97</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970"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23"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261"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5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r w:rsidR="00AD5BB5">
        <w:tc>
          <w:tcPr>
            <w:tcW w:w="970" w:type="dxa"/>
            <w:tcBorders>
              <w:top w:val="nil"/>
              <w:left w:val="nil"/>
              <w:bottom w:val="nil"/>
              <w:right w:val="nil"/>
            </w:tcBorders>
            <w:vAlign w:val="bottom"/>
          </w:tcPr>
          <w:p w:rsidR="00AD5BB5" w:rsidRDefault="00F87FF6">
            <w:pPr>
              <w:autoSpaceDE w:val="0"/>
              <w:autoSpaceDN w:val="0"/>
              <w:rPr>
                <w:rFonts w:ascii="Arial" w:eastAsia="黑体" w:hAnsi="Arial" w:cs="Arial"/>
                <w:sz w:val="16"/>
                <w:szCs w:val="16"/>
              </w:rPr>
            </w:pPr>
            <w:r>
              <w:rPr>
                <w:rFonts w:ascii="Arial" w:eastAsia="黑体" w:hAnsi="Arial" w:cs="Arial"/>
                <w:sz w:val="16"/>
                <w:szCs w:val="16"/>
              </w:rPr>
              <w:t>合计</w:t>
            </w:r>
          </w:p>
        </w:tc>
        <w:tc>
          <w:tcPr>
            <w:tcW w:w="23" w:type="dxa"/>
            <w:tcBorders>
              <w:top w:val="nil"/>
              <w:left w:val="nil"/>
              <w:bottom w:val="nil"/>
              <w:right w:val="nil"/>
            </w:tcBorders>
            <w:vAlign w:val="bottom"/>
          </w:tcPr>
          <w:p w:rsidR="00AD5BB5" w:rsidRDefault="00AD5BB5">
            <w:pPr>
              <w:autoSpaceDE w:val="0"/>
              <w:autoSpaceDN w:val="0"/>
              <w:ind w:left="240" w:hangingChars="150" w:hanging="240"/>
              <w:rPr>
                <w:rFonts w:ascii="Arial" w:eastAsia="黑体" w:hAnsi="Arial" w:cs="Arial"/>
                <w:sz w:val="16"/>
                <w:szCs w:val="16"/>
              </w:rPr>
            </w:pPr>
          </w:p>
        </w:tc>
        <w:tc>
          <w:tcPr>
            <w:tcW w:w="1261"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1,224,456,844.91</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463,117,196.88</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401,115,092.85</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29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284,722,136.29</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5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2,373,411,270.93</w:t>
            </w:r>
          </w:p>
        </w:tc>
        <w:tc>
          <w:tcPr>
            <w:tcW w:w="103"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r>
    </w:tbl>
    <w:p w:rsidR="00AD5BB5" w:rsidRDefault="00AD5BB5">
      <w:pPr>
        <w:overflowPunct w:val="0"/>
        <w:autoSpaceDE w:val="0"/>
        <w:autoSpaceDN w:val="0"/>
        <w:rPr>
          <w:rFonts w:ascii="Arial" w:eastAsia="黑体" w:hAnsi="Arial" w:cs="Arial"/>
          <w:bCs/>
          <w:snapToGrid w:val="0"/>
          <w:szCs w:val="21"/>
        </w:rPr>
      </w:pPr>
    </w:p>
    <w:p w:rsidR="00AD5BB5" w:rsidRDefault="00F87FF6">
      <w:pPr>
        <w:pStyle w:val="af5"/>
        <w:overflowPunct w:val="0"/>
        <w:autoSpaceDE w:val="0"/>
        <w:autoSpaceDN w:val="0"/>
        <w:adjustRightInd w:val="0"/>
        <w:snapToGrid w:val="0"/>
        <w:spacing w:before="0" w:after="0"/>
        <w:ind w:left="672" w:hanging="644"/>
        <w:jc w:val="both"/>
        <w:textAlignment w:val="bottom"/>
        <w:outlineLvl w:val="3"/>
        <w:rPr>
          <w:rFonts w:ascii="Arial" w:eastAsia="黑体" w:hAnsi="Arial" w:cs="Arial" w:hint="default"/>
          <w:bCs w:val="0"/>
          <w:snapToGrid w:val="0"/>
          <w:color w:val="auto"/>
          <w:sz w:val="21"/>
          <w:szCs w:val="21"/>
        </w:rPr>
      </w:pPr>
      <w:bookmarkStart w:id="590" w:name="afsaddin_WithXu_834364500b7a418e95afbeb1"/>
      <w:bookmarkStart w:id="591" w:name="afsaddin_WithXu_368e24dfd66848ababc0b6e8"/>
      <w:bookmarkStart w:id="592" w:name="afsaddin_Section_da950ed6d01d408c874b6ef"/>
      <w:bookmarkEnd w:id="590"/>
      <w:bookmarkEnd w:id="591"/>
      <w:r>
        <w:rPr>
          <w:rFonts w:ascii="Arial" w:eastAsia="黑体" w:hAnsi="Arial" w:cs="Arial" w:hint="default"/>
          <w:bCs w:val="0"/>
          <w:snapToGrid w:val="0"/>
          <w:color w:val="auto"/>
          <w:sz w:val="21"/>
          <w:szCs w:val="21"/>
        </w:rPr>
        <w:t>2.4</w:t>
      </w:r>
      <w:r>
        <w:rPr>
          <w:rFonts w:ascii="Arial" w:eastAsia="黑体" w:hAnsi="Arial" w:cs="Arial" w:hint="default"/>
          <w:bCs w:val="0"/>
          <w:snapToGrid w:val="0"/>
          <w:color w:val="auto"/>
          <w:sz w:val="21"/>
          <w:szCs w:val="21"/>
        </w:rPr>
        <w:tab/>
        <w:t xml:space="preserve"> </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贷款损失准备</w:t>
      </w:r>
    </w:p>
    <w:bookmarkEnd w:id="592"/>
    <w:p w:rsidR="00AD5BB5" w:rsidRDefault="00AD5BB5">
      <w:pPr>
        <w:pStyle w:val="af5"/>
        <w:keepNext w:val="0"/>
        <w:keepLines w:val="0"/>
        <w:outlineLvl w:val="9"/>
        <w:rPr>
          <w:rFonts w:hint="default"/>
          <w:sz w:val="21"/>
          <w:szCs w:val="21"/>
        </w:rPr>
      </w:pPr>
    </w:p>
    <w:p w:rsidR="00AD5BB5" w:rsidRDefault="00F87FF6">
      <w:pPr>
        <w:pStyle w:val="aff2"/>
        <w:numPr>
          <w:ilvl w:val="0"/>
          <w:numId w:val="42"/>
        </w:numPr>
        <w:overflowPunct w:val="0"/>
        <w:autoSpaceDE w:val="0"/>
        <w:autoSpaceDN w:val="0"/>
        <w:adjustRightInd w:val="0"/>
        <w:snapToGrid w:val="0"/>
        <w:ind w:firstLine="420"/>
        <w:textAlignment w:val="bottom"/>
        <w:outlineLvl w:val="4"/>
        <w:rPr>
          <w:rFonts w:ascii="Arial" w:eastAsia="黑体" w:hAnsi="Arial" w:cs="Arial"/>
          <w:bCs/>
          <w:szCs w:val="21"/>
          <w:lang w:val="en-GB"/>
        </w:rPr>
      </w:pPr>
      <w:bookmarkStart w:id="593" w:name="afsaddin_Section_67949fd6191e415ab4a3c4e"/>
      <w:r>
        <w:rPr>
          <w:rFonts w:ascii="Arial" w:eastAsia="黑体" w:hAnsi="Arial" w:cs="Arial"/>
          <w:bCs/>
          <w:szCs w:val="21"/>
          <w:lang w:val="en-GB"/>
        </w:rPr>
        <w:t>以摊</w:t>
      </w:r>
      <w:proofErr w:type="gramStart"/>
      <w:r>
        <w:rPr>
          <w:rFonts w:ascii="Arial" w:eastAsia="黑体" w:hAnsi="Arial" w:cs="Arial"/>
          <w:bCs/>
          <w:szCs w:val="21"/>
          <w:lang w:val="en-GB"/>
        </w:rPr>
        <w:t>余成本</w:t>
      </w:r>
      <w:proofErr w:type="gramEnd"/>
      <w:r>
        <w:rPr>
          <w:rFonts w:ascii="Arial" w:eastAsia="黑体" w:hAnsi="Arial" w:cs="Arial"/>
          <w:bCs/>
          <w:szCs w:val="21"/>
          <w:lang w:val="en-GB"/>
        </w:rPr>
        <w:t>计量的发放贷款及垫款：</w:t>
      </w:r>
    </w:p>
    <w:bookmarkEnd w:id="593"/>
    <w:p w:rsidR="00AD5BB5" w:rsidRDefault="00AD5BB5">
      <w:pPr>
        <w:pStyle w:val="aff2"/>
        <w:tabs>
          <w:tab w:val="left" w:pos="720"/>
        </w:tabs>
        <w:overflowPunct w:val="0"/>
        <w:autoSpaceDE w:val="0"/>
        <w:autoSpaceDN w:val="0"/>
        <w:snapToGrid w:val="0"/>
        <w:ind w:left="1447"/>
        <w:rPr>
          <w:rFonts w:ascii="Arial" w:eastAsia="黑体" w:hAnsi="Arial" w:cs="Arial"/>
          <w:szCs w:val="21"/>
        </w:rPr>
      </w:pPr>
    </w:p>
    <w:tbl>
      <w:tblPr>
        <w:tblW w:w="0" w:type="auto"/>
        <w:tblLayout w:type="fixed"/>
        <w:tblCellMar>
          <w:left w:w="0" w:type="dxa"/>
          <w:right w:w="0" w:type="dxa"/>
        </w:tblCellMar>
        <w:tblLook w:val="04A0" w:firstRow="1" w:lastRow="0" w:firstColumn="1" w:lastColumn="0" w:noHBand="0" w:noVBand="1"/>
        <w:tblCaption w:val="5b9dd05a-149d-4068-8c23-7638c7abae28"/>
        <w:tblDescription w:val="{&quot;UUID&quot;:&quot;afsaddin_tabledata_2_56437_5b9dd05a-149d-4068-8c23-7638c7abae28&quot;,&quot;TitleRowCount&quot;:4,&quot;SplitedTable&quot;:false,&quot;FirstTableId&quot;:&quot;5b9dd05a-149d-4068-8c23-7638c7abae28&quot;}"/>
      </w:tblPr>
      <w:tblGrid>
        <w:gridCol w:w="1418"/>
        <w:gridCol w:w="108"/>
        <w:gridCol w:w="1750"/>
        <w:gridCol w:w="108"/>
        <w:gridCol w:w="108"/>
        <w:gridCol w:w="1434"/>
        <w:gridCol w:w="108"/>
        <w:gridCol w:w="108"/>
        <w:gridCol w:w="1502"/>
        <w:gridCol w:w="108"/>
        <w:gridCol w:w="108"/>
        <w:gridCol w:w="1483"/>
        <w:gridCol w:w="108"/>
      </w:tblGrid>
      <w:tr w:rsidR="00AD5BB5">
        <w:tc>
          <w:tcPr>
            <w:tcW w:w="1418"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6817" w:type="dxa"/>
            <w:gridSpan w:val="10"/>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DOCPROPERTY </w:instrText>
            </w:r>
            <w:r>
              <w:rPr>
                <w:rFonts w:ascii="Arial" w:eastAsia="黑体" w:hAnsi="Arial" w:cs="Arial"/>
                <w:sz w:val="18"/>
                <w:szCs w:val="18"/>
              </w:rPr>
              <w:instrText>当期会计期间</w:instrText>
            </w:r>
            <w:r>
              <w:rPr>
                <w:rFonts w:ascii="Arial" w:eastAsia="黑体" w:hAnsi="Arial" w:cs="Arial"/>
                <w:sz w:val="18"/>
                <w:szCs w:val="18"/>
              </w:rPr>
              <w:fldChar w:fldCharType="separate"/>
            </w:r>
            <w:r>
              <w:rPr>
                <w:rFonts w:ascii="Arial" w:eastAsia="黑体" w:hAnsi="Arial" w:cs="Arial"/>
                <w:sz w:val="18"/>
                <w:szCs w:val="18"/>
              </w:rPr>
              <w:t>2023</w:t>
            </w:r>
            <w:r>
              <w:rPr>
                <w:rFonts w:ascii="Arial" w:eastAsia="黑体" w:hAnsi="Arial" w:cs="Arial"/>
                <w:sz w:val="18"/>
                <w:szCs w:val="18"/>
              </w:rPr>
              <w:fldChar w:fldCharType="end"/>
            </w:r>
            <w:r>
              <w:rPr>
                <w:rFonts w:ascii="Arial" w:eastAsia="黑体" w:hAnsi="Arial" w:cs="Arial"/>
                <w:sz w:val="18"/>
                <w:szCs w:val="18"/>
              </w:rPr>
              <w:t>年</w:t>
            </w:r>
            <w:r>
              <w:rPr>
                <w:rFonts w:ascii="Arial" w:eastAsia="黑体" w:hAnsi="Arial" w:cs="Arial"/>
                <w:sz w:val="18"/>
                <w:szCs w:val="18"/>
              </w:rPr>
              <w:t>1-6</w:t>
            </w:r>
            <w:r>
              <w:rPr>
                <w:rFonts w:ascii="Arial" w:eastAsia="黑体" w:hAnsi="Arial" w:cs="Arial"/>
                <w:sz w:val="18"/>
                <w:szCs w:val="18"/>
              </w:rPr>
              <w:t>月</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418"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50" w:type="dxa"/>
            <w:tcBorders>
              <w:top w:val="single" w:sz="4" w:space="0" w:color="auto"/>
              <w:left w:val="nil"/>
              <w:bottom w:val="single" w:sz="4" w:space="0" w:color="auto"/>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12</w:t>
            </w:r>
            <w:r>
              <w:rPr>
                <w:rFonts w:ascii="Arial" w:eastAsia="黑体" w:hAnsi="Arial" w:cs="Arial"/>
                <w:sz w:val="18"/>
                <w:szCs w:val="18"/>
              </w:rPr>
              <w:t>个月预期信用损失</w:t>
            </w:r>
          </w:p>
        </w:tc>
        <w:tc>
          <w:tcPr>
            <w:tcW w:w="108"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3152" w:type="dxa"/>
            <w:gridSpan w:val="4"/>
            <w:tcBorders>
              <w:top w:val="single" w:sz="4" w:space="0" w:color="auto"/>
              <w:left w:val="nil"/>
              <w:bottom w:val="single" w:sz="4" w:space="0" w:color="auto"/>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整个存续期预期信用损失</w:t>
            </w:r>
          </w:p>
        </w:tc>
        <w:tc>
          <w:tcPr>
            <w:tcW w:w="108"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83"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418"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50"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阶段</w:t>
            </w:r>
            <w:proofErr w:type="gramStart"/>
            <w:r>
              <w:rPr>
                <w:rFonts w:ascii="Arial" w:eastAsia="黑体" w:hAnsi="Arial" w:cs="Arial"/>
                <w:sz w:val="18"/>
                <w:szCs w:val="18"/>
              </w:rPr>
              <w:t>一</w:t>
            </w:r>
            <w:proofErr w:type="gramEnd"/>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34"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阶段二</w:t>
            </w:r>
          </w:p>
        </w:tc>
        <w:tc>
          <w:tcPr>
            <w:tcW w:w="108"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02"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阶段三</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83"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合计</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418"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5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3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0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8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418"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 DOCPROPERTY </w:instrText>
            </w:r>
            <w:r>
              <w:rPr>
                <w:rFonts w:ascii="Arial" w:eastAsia="黑体" w:hAnsi="Arial" w:cs="Arial"/>
                <w:sz w:val="18"/>
                <w:szCs w:val="18"/>
              </w:rPr>
              <w:instrText>当期会计期间</w:instrText>
            </w:r>
            <w:r>
              <w:rPr>
                <w:rFonts w:ascii="Arial" w:eastAsia="黑体" w:hAnsi="Arial" w:cs="Arial"/>
                <w:sz w:val="18"/>
                <w:szCs w:val="18"/>
              </w:rPr>
              <w:instrText xml:space="preserve"> </w:instrText>
            </w:r>
            <w:r>
              <w:rPr>
                <w:rFonts w:ascii="Arial" w:eastAsia="黑体" w:hAnsi="Arial" w:cs="Arial"/>
                <w:sz w:val="18"/>
                <w:szCs w:val="18"/>
              </w:rPr>
              <w:fldChar w:fldCharType="separate"/>
            </w:r>
            <w:r>
              <w:rPr>
                <w:rFonts w:ascii="Arial" w:eastAsia="黑体" w:hAnsi="Arial" w:cs="Arial"/>
                <w:sz w:val="18"/>
                <w:szCs w:val="18"/>
              </w:rPr>
              <w:t>2023</w:t>
            </w:r>
            <w:r>
              <w:rPr>
                <w:rFonts w:ascii="Arial" w:eastAsia="黑体" w:hAnsi="Arial" w:cs="Arial"/>
                <w:sz w:val="18"/>
                <w:szCs w:val="18"/>
              </w:rPr>
              <w:fldChar w:fldCharType="end"/>
            </w:r>
            <w:r>
              <w:rPr>
                <w:rFonts w:ascii="Arial" w:eastAsia="黑体" w:hAnsi="Arial" w:cs="Arial"/>
                <w:sz w:val="18"/>
                <w:szCs w:val="18"/>
              </w:rPr>
              <w:t>年</w:t>
            </w:r>
            <w:r>
              <w:rPr>
                <w:rFonts w:ascii="Arial" w:eastAsia="黑体" w:hAnsi="Arial" w:cs="Arial"/>
                <w:sz w:val="18"/>
                <w:szCs w:val="18"/>
              </w:rPr>
              <w:t>1</w:t>
            </w:r>
            <w:r>
              <w:rPr>
                <w:rFonts w:ascii="Arial" w:eastAsia="黑体" w:hAnsi="Arial" w:cs="Arial"/>
                <w:sz w:val="18"/>
                <w:szCs w:val="18"/>
              </w:rPr>
              <w:t>月</w:t>
            </w:r>
            <w:r>
              <w:rPr>
                <w:rFonts w:ascii="Arial" w:eastAsia="黑体" w:hAnsi="Arial" w:cs="Arial"/>
                <w:sz w:val="18"/>
                <w:szCs w:val="18"/>
              </w:rPr>
              <w:t>1</w:t>
            </w:r>
            <w:r>
              <w:rPr>
                <w:rFonts w:ascii="Arial" w:eastAsia="黑体" w:hAnsi="Arial" w:cs="Arial"/>
                <w:sz w:val="18"/>
                <w:szCs w:val="18"/>
              </w:rPr>
              <w:t>日</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5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4,323,518,316.22</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444,167,864.76</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0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1,371,328,876.74</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8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6,139,015,057.72</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418"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5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3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0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83"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418"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期初余额在本期</w:t>
            </w:r>
          </w:p>
          <w:p w:rsidR="00AD5BB5" w:rsidRDefault="00F87FF6">
            <w:pPr>
              <w:autoSpaceDE w:val="0"/>
              <w:autoSpaceDN w:val="0"/>
              <w:ind w:left="360" w:hangingChars="200" w:hanging="360"/>
              <w:rPr>
                <w:rFonts w:ascii="Arial" w:eastAsia="黑体" w:hAnsi="Arial" w:cs="Arial"/>
                <w:sz w:val="18"/>
                <w:szCs w:val="18"/>
              </w:rPr>
            </w:pPr>
            <w:r>
              <w:rPr>
                <w:rFonts w:ascii="Arial" w:eastAsia="黑体" w:hAnsi="Arial" w:cs="Arial"/>
                <w:sz w:val="18"/>
                <w:szCs w:val="18"/>
              </w:rPr>
              <w:t xml:space="preserve">  </w:t>
            </w:r>
            <w:r>
              <w:rPr>
                <w:rFonts w:ascii="Arial" w:eastAsia="黑体" w:hAnsi="Arial" w:cs="Arial"/>
                <w:sz w:val="18"/>
                <w:szCs w:val="18"/>
              </w:rPr>
              <w:t>阶段转换</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5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(33,750,310.27</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23,963,741.29</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0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9,786,568.98</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8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418"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本期计提</w:t>
            </w:r>
            <w:r>
              <w:rPr>
                <w:rFonts w:ascii="Arial" w:eastAsia="黑体" w:hAnsi="Arial" w:cs="Arial"/>
                <w:sz w:val="18"/>
                <w:szCs w:val="18"/>
              </w:rPr>
              <w:t>(i)</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5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(284,834,978.93</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78,358,820.33</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0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497,158,597.20</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8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290,682,438.60</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418"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核销</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5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0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(776,547,119.99</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8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(776,547,119.99</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w:t>
            </w:r>
          </w:p>
        </w:tc>
      </w:tr>
      <w:tr w:rsidR="00AD5BB5">
        <w:tc>
          <w:tcPr>
            <w:tcW w:w="1418"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收回已核销</w:t>
            </w:r>
          </w:p>
          <w:p w:rsidR="00AD5BB5" w:rsidRDefault="00F87FF6">
            <w:pPr>
              <w:autoSpaceDE w:val="0"/>
              <w:autoSpaceDN w:val="0"/>
              <w:ind w:leftChars="70" w:left="327" w:hangingChars="100" w:hanging="180"/>
              <w:rPr>
                <w:rFonts w:ascii="Arial" w:eastAsia="黑体" w:hAnsi="Arial" w:cs="Arial"/>
                <w:sz w:val="18"/>
                <w:szCs w:val="18"/>
              </w:rPr>
            </w:pPr>
            <w:r>
              <w:rPr>
                <w:rFonts w:ascii="Arial" w:eastAsia="黑体" w:hAnsi="Arial" w:cs="Arial"/>
                <w:sz w:val="18"/>
                <w:szCs w:val="18"/>
              </w:rPr>
              <w:t>贷款而转回</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5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0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110,716,273.76</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8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110,716,273.76</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418"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已减值贷款</w:t>
            </w:r>
          </w:p>
          <w:p w:rsidR="00AD5BB5" w:rsidRDefault="00F87FF6">
            <w:pPr>
              <w:autoSpaceDE w:val="0"/>
              <w:autoSpaceDN w:val="0"/>
              <w:ind w:leftChars="70" w:left="327" w:hangingChars="100" w:hanging="180"/>
              <w:rPr>
                <w:rFonts w:ascii="Arial" w:eastAsia="黑体" w:hAnsi="Arial" w:cs="Arial"/>
                <w:sz w:val="18"/>
                <w:szCs w:val="18"/>
              </w:rPr>
            </w:pPr>
            <w:r>
              <w:rPr>
                <w:rFonts w:ascii="Arial" w:eastAsia="黑体" w:hAnsi="Arial" w:cs="Arial"/>
                <w:sz w:val="18"/>
                <w:szCs w:val="18"/>
              </w:rPr>
              <w:t>利息回拨</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5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3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0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(13,914,103.10</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83"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(13,914,103.10</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w:t>
            </w:r>
          </w:p>
        </w:tc>
      </w:tr>
      <w:tr w:rsidR="00AD5BB5">
        <w:tc>
          <w:tcPr>
            <w:tcW w:w="1418"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其他</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5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4,348,876.51</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3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0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83"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4,348,876.51</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418"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5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3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0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83"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418"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期末余额</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750"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4,009,281,903.53</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3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546,490,426.38</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0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1,198,529,093.59</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83"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rPr>
              <w:t>5,754,301,423.50</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bl>
    <w:p w:rsidR="00AD5BB5" w:rsidRDefault="00F87FF6">
      <w:pPr>
        <w:rPr>
          <w:rFonts w:ascii="Arial" w:eastAsia="黑体" w:hAnsi="Arial" w:cs="Arial"/>
          <w:szCs w:val="21"/>
        </w:rPr>
      </w:pPr>
      <w:r>
        <w:rPr>
          <w:rFonts w:ascii="Arial" w:eastAsia="黑体" w:hAnsi="Arial" w:cs="Arial"/>
          <w:szCs w:val="21"/>
        </w:rPr>
        <w:lastRenderedPageBreak/>
        <w:br w:type="page"/>
      </w:r>
    </w:p>
    <w:p w:rsidR="00AD5BB5" w:rsidRDefault="00AD5BB5">
      <w:pPr>
        <w:pStyle w:val="aff2"/>
        <w:tabs>
          <w:tab w:val="left" w:pos="720"/>
        </w:tabs>
        <w:overflowPunct w:val="0"/>
        <w:autoSpaceDE w:val="0"/>
        <w:autoSpaceDN w:val="0"/>
        <w:snapToGrid w:val="0"/>
        <w:ind w:left="1447"/>
        <w:rPr>
          <w:rFonts w:ascii="Arial" w:eastAsia="黑体" w:hAnsi="Arial" w:cs="Arial"/>
          <w:szCs w:val="21"/>
        </w:rPr>
      </w:pPr>
    </w:p>
    <w:p w:rsidR="00AD5BB5" w:rsidRDefault="00AD5BB5">
      <w:pPr>
        <w:pStyle w:val="aff2"/>
        <w:tabs>
          <w:tab w:val="left" w:pos="720"/>
        </w:tabs>
        <w:overflowPunct w:val="0"/>
        <w:autoSpaceDE w:val="0"/>
        <w:autoSpaceDN w:val="0"/>
        <w:snapToGrid w:val="0"/>
        <w:ind w:left="1447"/>
        <w:rPr>
          <w:rFonts w:ascii="Arial" w:eastAsia="黑体" w:hAnsi="Arial" w:cs="Arial"/>
          <w:szCs w:val="21"/>
        </w:rPr>
      </w:pPr>
    </w:p>
    <w:p w:rsidR="00AD5BB5" w:rsidRDefault="00F87FF6">
      <w:pPr>
        <w:widowControl/>
        <w:overflowPunct w:val="0"/>
        <w:autoSpaceDE w:val="0"/>
        <w:autoSpaceDN w:val="0"/>
        <w:snapToGrid w:val="0"/>
        <w:ind w:left="709"/>
        <w:rPr>
          <w:rFonts w:ascii="Arial" w:eastAsia="黑体" w:hAnsi="Arial" w:cs="Arial"/>
          <w:b/>
          <w:kern w:val="0"/>
          <w:szCs w:val="21"/>
        </w:rPr>
      </w:pPr>
      <w:bookmarkStart w:id="594" w:name="afsaddin_WithXu_e680127e61954552b097eb2d"/>
      <w:r>
        <w:rPr>
          <w:rFonts w:ascii="Arial" w:eastAsia="黑体" w:hAnsi="Arial" w:cs="Arial"/>
          <w:b/>
          <w:kern w:val="0"/>
          <w:szCs w:val="21"/>
        </w:rPr>
        <w:t>十四、公司财务报表主要项目注释（续）</w:t>
      </w:r>
      <w:bookmarkEnd w:id="594"/>
    </w:p>
    <w:p w:rsidR="00AD5BB5" w:rsidRDefault="00AD5BB5">
      <w:pPr>
        <w:pStyle w:val="aff2"/>
        <w:tabs>
          <w:tab w:val="left" w:pos="709"/>
        </w:tabs>
        <w:overflowPunct w:val="0"/>
        <w:autoSpaceDE w:val="0"/>
        <w:autoSpaceDN w:val="0"/>
        <w:snapToGrid w:val="0"/>
        <w:ind w:left="1447"/>
        <w:rPr>
          <w:rFonts w:ascii="Arial" w:eastAsia="黑体" w:hAnsi="Arial" w:cs="Arial"/>
          <w:szCs w:val="21"/>
        </w:rPr>
      </w:pPr>
    </w:p>
    <w:p w:rsidR="00AD5BB5" w:rsidRDefault="00F87FF6">
      <w:pPr>
        <w:widowControl/>
        <w:overflowPunct w:val="0"/>
        <w:autoSpaceDE w:val="0"/>
        <w:autoSpaceDN w:val="0"/>
        <w:snapToGrid w:val="0"/>
        <w:ind w:left="672" w:hanging="644"/>
        <w:rPr>
          <w:rFonts w:ascii="Arial" w:eastAsia="黑体" w:hAnsi="Arial" w:cs="Arial"/>
          <w:b/>
          <w:kern w:val="0"/>
          <w:szCs w:val="21"/>
        </w:rPr>
      </w:pPr>
      <w:bookmarkStart w:id="595" w:name="afsaddin_WithXu_afa267500bf84e148e5502dd"/>
      <w:r>
        <w:rPr>
          <w:rFonts w:ascii="Arial" w:eastAsia="黑体" w:hAnsi="Arial" w:cs="Arial"/>
          <w:b/>
          <w:kern w:val="0"/>
          <w:szCs w:val="21"/>
        </w:rPr>
        <w:t>2.</w:t>
      </w:r>
      <w:r>
        <w:rPr>
          <w:rFonts w:ascii="Arial" w:eastAsia="黑体" w:hAnsi="Arial" w:cs="Arial"/>
          <w:b/>
          <w:kern w:val="0"/>
          <w:szCs w:val="21"/>
        </w:rPr>
        <w:tab/>
      </w:r>
      <w:r>
        <w:rPr>
          <w:rFonts w:ascii="Arial" w:eastAsia="黑体" w:hAnsi="Arial" w:cs="Arial"/>
          <w:b/>
          <w:kern w:val="0"/>
          <w:szCs w:val="21"/>
        </w:rPr>
        <w:t>发放贷款及垫款（续）</w:t>
      </w:r>
      <w:bookmarkEnd w:id="595"/>
    </w:p>
    <w:p w:rsidR="00AD5BB5" w:rsidRDefault="00AD5BB5">
      <w:pPr>
        <w:pStyle w:val="aff2"/>
        <w:overflowPunct w:val="0"/>
        <w:autoSpaceDE w:val="0"/>
        <w:autoSpaceDN w:val="0"/>
        <w:snapToGrid w:val="0"/>
        <w:ind w:left="1447"/>
        <w:rPr>
          <w:rFonts w:ascii="Arial" w:eastAsia="黑体" w:hAnsi="Arial" w:cs="Arial"/>
          <w:szCs w:val="21"/>
        </w:rPr>
      </w:pPr>
    </w:p>
    <w:p w:rsidR="00AD5BB5" w:rsidRDefault="00F87FF6">
      <w:pPr>
        <w:widowControl/>
        <w:overflowPunct w:val="0"/>
        <w:autoSpaceDE w:val="0"/>
        <w:autoSpaceDN w:val="0"/>
        <w:snapToGrid w:val="0"/>
        <w:ind w:left="672" w:hanging="644"/>
        <w:rPr>
          <w:rFonts w:ascii="Arial" w:eastAsia="黑体" w:hAnsi="Arial" w:cs="Arial"/>
          <w:b/>
          <w:kern w:val="0"/>
          <w:szCs w:val="21"/>
        </w:rPr>
      </w:pPr>
      <w:bookmarkStart w:id="596" w:name="afsaddin_WithXu_fbfd9169661d491e88649373"/>
      <w:r>
        <w:rPr>
          <w:rFonts w:ascii="Arial" w:eastAsia="黑体" w:hAnsi="Arial" w:cs="Arial"/>
          <w:b/>
          <w:kern w:val="0"/>
          <w:szCs w:val="21"/>
        </w:rPr>
        <w:t>2.4</w:t>
      </w:r>
      <w:r>
        <w:rPr>
          <w:rFonts w:ascii="Arial" w:eastAsia="黑体" w:hAnsi="Arial" w:cs="Arial"/>
          <w:b/>
          <w:kern w:val="0"/>
          <w:szCs w:val="21"/>
        </w:rPr>
        <w:tab/>
        <w:t xml:space="preserve"> </w:t>
      </w:r>
      <w:r>
        <w:rPr>
          <w:rFonts w:ascii="Arial" w:eastAsia="黑体" w:hAnsi="Arial" w:cs="Arial"/>
          <w:b/>
          <w:kern w:val="0"/>
          <w:szCs w:val="21"/>
        </w:rPr>
        <w:tab/>
      </w:r>
      <w:r>
        <w:rPr>
          <w:rFonts w:ascii="Arial" w:eastAsia="黑体" w:hAnsi="Arial" w:cs="Arial"/>
          <w:b/>
          <w:kern w:val="0"/>
          <w:szCs w:val="21"/>
        </w:rPr>
        <w:t>贷款损失准备（续）</w:t>
      </w:r>
      <w:bookmarkEnd w:id="596"/>
    </w:p>
    <w:p w:rsidR="00AD5BB5" w:rsidRDefault="00AD5BB5">
      <w:pPr>
        <w:pStyle w:val="aff2"/>
        <w:overflowPunct w:val="0"/>
        <w:autoSpaceDE w:val="0"/>
        <w:autoSpaceDN w:val="0"/>
        <w:snapToGrid w:val="0"/>
        <w:ind w:left="1447"/>
        <w:rPr>
          <w:rFonts w:ascii="Arial" w:eastAsia="黑体" w:hAnsi="Arial" w:cs="Arial"/>
          <w:szCs w:val="21"/>
        </w:rPr>
      </w:pPr>
    </w:p>
    <w:p w:rsidR="00AD5BB5" w:rsidRDefault="00F87FF6">
      <w:pPr>
        <w:pStyle w:val="aff2"/>
        <w:overflowPunct w:val="0"/>
        <w:autoSpaceDE w:val="0"/>
        <w:autoSpaceDN w:val="0"/>
        <w:snapToGrid w:val="0"/>
        <w:ind w:left="420"/>
        <w:rPr>
          <w:rFonts w:ascii="Arial" w:eastAsia="黑体" w:hAnsi="Arial" w:cs="Arial"/>
          <w:szCs w:val="21"/>
        </w:rPr>
      </w:pPr>
      <w:bookmarkStart w:id="597" w:name="afsaddin_WithXu_49b200930b5a487da537a9bc"/>
      <w:r>
        <w:rPr>
          <w:rFonts w:ascii="Arial" w:eastAsia="黑体" w:hAnsi="Arial" w:cs="Arial"/>
          <w:szCs w:val="21"/>
        </w:rPr>
        <w:t>(1)</w:t>
      </w:r>
      <w:r>
        <w:rPr>
          <w:rFonts w:ascii="Arial" w:eastAsia="黑体" w:hAnsi="Arial" w:cs="Arial"/>
          <w:szCs w:val="21"/>
        </w:rPr>
        <w:tab/>
      </w:r>
      <w:r>
        <w:rPr>
          <w:rFonts w:ascii="Arial" w:eastAsia="黑体" w:hAnsi="Arial" w:cs="Arial"/>
          <w:szCs w:val="21"/>
        </w:rPr>
        <w:t>以摊</w:t>
      </w:r>
      <w:proofErr w:type="gramStart"/>
      <w:r>
        <w:rPr>
          <w:rFonts w:ascii="Arial" w:eastAsia="黑体" w:hAnsi="Arial" w:cs="Arial"/>
          <w:szCs w:val="21"/>
        </w:rPr>
        <w:t>余成本</w:t>
      </w:r>
      <w:proofErr w:type="gramEnd"/>
      <w:r>
        <w:rPr>
          <w:rFonts w:ascii="Arial" w:eastAsia="黑体" w:hAnsi="Arial" w:cs="Arial"/>
          <w:szCs w:val="21"/>
        </w:rPr>
        <w:t>计量的发放贷款及垫款：（续）</w:t>
      </w:r>
      <w:bookmarkEnd w:id="597"/>
    </w:p>
    <w:p w:rsidR="00AD5BB5" w:rsidRDefault="00AD5BB5">
      <w:pPr>
        <w:pStyle w:val="aff2"/>
        <w:overflowPunct w:val="0"/>
        <w:autoSpaceDE w:val="0"/>
        <w:autoSpaceDN w:val="0"/>
        <w:snapToGrid w:val="0"/>
        <w:ind w:left="1447"/>
        <w:rPr>
          <w:rFonts w:ascii="Arial" w:eastAsia="黑体" w:hAnsi="Arial" w:cs="Arial"/>
          <w:szCs w:val="21"/>
        </w:rPr>
      </w:pPr>
    </w:p>
    <w:tbl>
      <w:tblPr>
        <w:tblW w:w="0" w:type="auto"/>
        <w:tblLayout w:type="fixed"/>
        <w:tblCellMar>
          <w:left w:w="0" w:type="dxa"/>
          <w:right w:w="0" w:type="dxa"/>
        </w:tblCellMar>
        <w:tblLook w:val="04A0" w:firstRow="1" w:lastRow="0" w:firstColumn="1" w:lastColumn="0" w:noHBand="0" w:noVBand="1"/>
        <w:tblCaption w:val="71ac6e6b-d9ec-462a-bce5-c01727bbc073"/>
        <w:tblDescription w:val="{&quot;UUID&quot;:&quot;afsaddin_tabledata_2_56437_71ac6e6b-d9ec-462a-bce5-c01727bbc073&quot;,&quot;TitleRowCount&quot;:4,&quot;SplitedTable&quot;:false,&quot;FirstTableId&quot;:&quot;71ac6e6b-d9ec-462a-bce5-c01727bbc073&quot;}"/>
      </w:tblPr>
      <w:tblGrid>
        <w:gridCol w:w="1385"/>
        <w:gridCol w:w="107"/>
        <w:gridCol w:w="1808"/>
        <w:gridCol w:w="108"/>
        <w:gridCol w:w="108"/>
        <w:gridCol w:w="1380"/>
        <w:gridCol w:w="108"/>
        <w:gridCol w:w="108"/>
        <w:gridCol w:w="1446"/>
        <w:gridCol w:w="108"/>
        <w:gridCol w:w="108"/>
        <w:gridCol w:w="1544"/>
        <w:gridCol w:w="108"/>
      </w:tblGrid>
      <w:tr w:rsidR="00AD5BB5">
        <w:tc>
          <w:tcPr>
            <w:tcW w:w="1385"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6826" w:type="dxa"/>
            <w:gridSpan w:val="10"/>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 DOCPROPERTY </w:instrText>
            </w:r>
            <w:r>
              <w:rPr>
                <w:rFonts w:ascii="Arial" w:eastAsia="黑体" w:hAnsi="Arial" w:cs="Arial"/>
                <w:sz w:val="18"/>
                <w:szCs w:val="18"/>
              </w:rPr>
              <w:instrText>对比会计期间</w:instrText>
            </w:r>
            <w:r>
              <w:rPr>
                <w:rFonts w:ascii="Arial" w:eastAsia="黑体" w:hAnsi="Arial" w:cs="Arial"/>
                <w:sz w:val="18"/>
                <w:szCs w:val="18"/>
              </w:rPr>
              <w:instrText xml:space="preserve"> </w:instrText>
            </w:r>
            <w:r>
              <w:rPr>
                <w:rFonts w:ascii="Arial" w:eastAsia="黑体" w:hAnsi="Arial" w:cs="Arial"/>
                <w:sz w:val="18"/>
                <w:szCs w:val="18"/>
              </w:rPr>
              <w:fldChar w:fldCharType="separate"/>
            </w:r>
            <w:r>
              <w:rPr>
                <w:rFonts w:ascii="Arial" w:eastAsia="黑体" w:hAnsi="Arial" w:cs="Arial"/>
                <w:sz w:val="18"/>
                <w:szCs w:val="18"/>
              </w:rPr>
              <w:t>2022</w:t>
            </w:r>
            <w:r>
              <w:rPr>
                <w:rFonts w:ascii="Arial" w:eastAsia="黑体" w:hAnsi="Arial" w:cs="Arial"/>
                <w:sz w:val="18"/>
                <w:szCs w:val="18"/>
              </w:rPr>
              <w:fldChar w:fldCharType="end"/>
            </w:r>
            <w:r>
              <w:rPr>
                <w:rFonts w:ascii="Arial" w:eastAsia="黑体" w:hAnsi="Arial" w:cs="Arial"/>
                <w:sz w:val="18"/>
                <w:szCs w:val="18"/>
              </w:rPr>
              <w:t>年度</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385"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08" w:type="dxa"/>
            <w:tcBorders>
              <w:top w:val="single" w:sz="4" w:space="0" w:color="auto"/>
              <w:left w:val="nil"/>
              <w:bottom w:val="single" w:sz="4" w:space="0" w:color="auto"/>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12</w:t>
            </w:r>
            <w:r>
              <w:rPr>
                <w:rFonts w:ascii="Arial" w:eastAsia="黑体" w:hAnsi="Arial" w:cs="Arial"/>
                <w:sz w:val="18"/>
                <w:szCs w:val="18"/>
              </w:rPr>
              <w:t>个月预期信用损失</w:t>
            </w:r>
          </w:p>
        </w:tc>
        <w:tc>
          <w:tcPr>
            <w:tcW w:w="108"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3042" w:type="dxa"/>
            <w:gridSpan w:val="4"/>
            <w:tcBorders>
              <w:top w:val="single" w:sz="4" w:space="0" w:color="auto"/>
              <w:left w:val="nil"/>
              <w:bottom w:val="single" w:sz="4" w:space="0" w:color="auto"/>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整个存续期预期信用损失</w:t>
            </w:r>
          </w:p>
        </w:tc>
        <w:tc>
          <w:tcPr>
            <w:tcW w:w="108"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44"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385"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08"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阶段</w:t>
            </w:r>
            <w:proofErr w:type="gramStart"/>
            <w:r>
              <w:rPr>
                <w:rFonts w:ascii="Arial" w:eastAsia="黑体" w:hAnsi="Arial" w:cs="Arial"/>
                <w:sz w:val="18"/>
                <w:szCs w:val="18"/>
              </w:rPr>
              <w:t>一</w:t>
            </w:r>
            <w:proofErr w:type="gramEnd"/>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380"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阶段二</w:t>
            </w:r>
          </w:p>
        </w:tc>
        <w:tc>
          <w:tcPr>
            <w:tcW w:w="108"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46"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阶段三</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44"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合计</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385"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0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38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4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4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385"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 DOCPROPERTY </w:instrText>
            </w:r>
            <w:r>
              <w:rPr>
                <w:rFonts w:ascii="Arial" w:eastAsia="黑体" w:hAnsi="Arial" w:cs="Arial"/>
                <w:sz w:val="18"/>
                <w:szCs w:val="18"/>
              </w:rPr>
              <w:instrText>对比会计期间</w:instrText>
            </w:r>
            <w:r>
              <w:rPr>
                <w:rFonts w:ascii="Arial" w:eastAsia="黑体" w:hAnsi="Arial" w:cs="Arial"/>
                <w:sz w:val="18"/>
                <w:szCs w:val="18"/>
              </w:rPr>
              <w:instrText xml:space="preserve"> </w:instrText>
            </w:r>
            <w:r>
              <w:rPr>
                <w:rFonts w:ascii="Arial" w:eastAsia="黑体" w:hAnsi="Arial" w:cs="Arial"/>
                <w:sz w:val="18"/>
                <w:szCs w:val="18"/>
              </w:rPr>
              <w:fldChar w:fldCharType="separate"/>
            </w:r>
            <w:r>
              <w:rPr>
                <w:rFonts w:ascii="Arial" w:eastAsia="黑体" w:hAnsi="Arial" w:cs="Arial"/>
                <w:sz w:val="18"/>
                <w:szCs w:val="18"/>
              </w:rPr>
              <w:t>2022</w:t>
            </w:r>
            <w:r>
              <w:rPr>
                <w:rFonts w:ascii="Arial" w:eastAsia="黑体" w:hAnsi="Arial" w:cs="Arial"/>
                <w:sz w:val="18"/>
                <w:szCs w:val="18"/>
              </w:rPr>
              <w:fldChar w:fldCharType="end"/>
            </w:r>
            <w:r>
              <w:rPr>
                <w:rFonts w:ascii="Arial" w:eastAsia="黑体" w:hAnsi="Arial" w:cs="Arial"/>
                <w:sz w:val="18"/>
                <w:szCs w:val="18"/>
              </w:rPr>
              <w:t>年</w:t>
            </w:r>
            <w:r>
              <w:rPr>
                <w:rFonts w:ascii="Arial" w:eastAsia="黑体" w:hAnsi="Arial" w:cs="Arial"/>
                <w:sz w:val="18"/>
                <w:szCs w:val="18"/>
              </w:rPr>
              <w:t>1</w:t>
            </w:r>
            <w:r>
              <w:rPr>
                <w:rFonts w:ascii="Arial" w:eastAsia="黑体" w:hAnsi="Arial" w:cs="Arial"/>
                <w:sz w:val="18"/>
                <w:szCs w:val="18"/>
              </w:rPr>
              <w:t>月</w:t>
            </w:r>
            <w:r>
              <w:rPr>
                <w:rFonts w:ascii="Arial" w:eastAsia="黑体" w:hAnsi="Arial" w:cs="Arial"/>
                <w:sz w:val="18"/>
                <w:szCs w:val="18"/>
              </w:rPr>
              <w:t>1</w:t>
            </w:r>
            <w:r>
              <w:rPr>
                <w:rFonts w:ascii="Arial" w:eastAsia="黑体" w:hAnsi="Arial" w:cs="Arial"/>
                <w:sz w:val="18"/>
                <w:szCs w:val="18"/>
              </w:rPr>
              <w:t>日</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0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4,296,665,230.22</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38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284,807,201.13</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4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920,082,674.71</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4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5,501,555,106.06</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385"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0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38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4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4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385"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年初余额在本年</w:t>
            </w:r>
          </w:p>
          <w:p w:rsidR="00AD5BB5" w:rsidRDefault="00F87FF6">
            <w:pPr>
              <w:autoSpaceDE w:val="0"/>
              <w:autoSpaceDN w:val="0"/>
              <w:ind w:left="360" w:hangingChars="200" w:hanging="360"/>
              <w:rPr>
                <w:rFonts w:ascii="Arial" w:eastAsia="黑体" w:hAnsi="Arial" w:cs="Arial"/>
                <w:sz w:val="18"/>
                <w:szCs w:val="18"/>
              </w:rPr>
            </w:pPr>
            <w:r>
              <w:rPr>
                <w:rFonts w:ascii="Arial" w:eastAsia="黑体" w:hAnsi="Arial" w:cs="Arial"/>
                <w:sz w:val="18"/>
                <w:szCs w:val="18"/>
              </w:rPr>
              <w:t xml:space="preserve">  </w:t>
            </w:r>
            <w:r>
              <w:rPr>
                <w:rFonts w:ascii="Arial" w:eastAsia="黑体" w:hAnsi="Arial" w:cs="Arial"/>
                <w:sz w:val="18"/>
                <w:szCs w:val="18"/>
              </w:rPr>
              <w:t>阶段转换</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0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(81,002,680.75</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38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(18,943,519.08</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4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99,946,199.83</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4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385"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本年计提</w:t>
            </w:r>
            <w:r>
              <w:rPr>
                <w:rFonts w:ascii="Arial" w:eastAsia="黑体" w:hAnsi="Arial" w:cs="Arial"/>
                <w:sz w:val="18"/>
                <w:szCs w:val="18"/>
              </w:rPr>
              <w:t>(i)</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0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89,206,633.81</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38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178,304,182.71</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4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953,524,466.81</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4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1,221,035,283.33</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385"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核销</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0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38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4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(793,984,451.69</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4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(793,984,451.69</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w:t>
            </w:r>
          </w:p>
        </w:tc>
      </w:tr>
      <w:tr w:rsidR="00AD5BB5">
        <w:tc>
          <w:tcPr>
            <w:tcW w:w="1385"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收回已核销</w:t>
            </w:r>
          </w:p>
          <w:p w:rsidR="00AD5BB5" w:rsidRDefault="00F87FF6">
            <w:pPr>
              <w:autoSpaceDE w:val="0"/>
              <w:autoSpaceDN w:val="0"/>
              <w:ind w:leftChars="70" w:left="327" w:hangingChars="100" w:hanging="180"/>
              <w:rPr>
                <w:rFonts w:ascii="Arial" w:eastAsia="黑体" w:hAnsi="Arial" w:cs="Arial"/>
                <w:sz w:val="18"/>
                <w:szCs w:val="18"/>
              </w:rPr>
            </w:pPr>
            <w:r>
              <w:rPr>
                <w:rFonts w:ascii="Arial" w:eastAsia="黑体" w:hAnsi="Arial" w:cs="Arial"/>
                <w:sz w:val="18"/>
                <w:szCs w:val="18"/>
              </w:rPr>
              <w:t>贷款而转回</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0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38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4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224,384,991.78</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4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224,384,991.78</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385"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已减值贷款</w:t>
            </w:r>
          </w:p>
          <w:p w:rsidR="00AD5BB5" w:rsidRDefault="00F87FF6">
            <w:pPr>
              <w:autoSpaceDE w:val="0"/>
              <w:autoSpaceDN w:val="0"/>
              <w:ind w:leftChars="70" w:left="327" w:hangingChars="100" w:hanging="180"/>
              <w:rPr>
                <w:rFonts w:ascii="Arial" w:eastAsia="黑体" w:hAnsi="Arial" w:cs="Arial"/>
                <w:sz w:val="18"/>
                <w:szCs w:val="18"/>
              </w:rPr>
            </w:pPr>
            <w:r>
              <w:rPr>
                <w:rFonts w:ascii="Arial" w:eastAsia="黑体" w:hAnsi="Arial" w:cs="Arial"/>
                <w:sz w:val="18"/>
                <w:szCs w:val="18"/>
              </w:rPr>
              <w:t>利息回拨</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0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38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4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(32,625,004.70</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4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(32,625,004.70</w:t>
            </w:r>
          </w:p>
        </w:tc>
        <w:tc>
          <w:tcPr>
            <w:tcW w:w="108"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w:t>
            </w:r>
          </w:p>
        </w:tc>
      </w:tr>
      <w:tr w:rsidR="00AD5BB5">
        <w:tc>
          <w:tcPr>
            <w:tcW w:w="1385"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其他</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0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18,649,132.94</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38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46"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4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18,649,132.94</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385"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08" w:type="dxa"/>
            <w:tcBorders>
              <w:top w:val="single" w:sz="4" w:space="0" w:color="auto"/>
              <w:left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380" w:type="dxa"/>
            <w:tcBorders>
              <w:top w:val="single" w:sz="4" w:space="0" w:color="auto"/>
              <w:left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46"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4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385"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年末余额</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80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4,323,518,316.22</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380"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444,167,864.76</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46"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1,371,328,876.74</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4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6,139,015,057.72</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bl>
    <w:p w:rsidR="00AD5BB5" w:rsidRDefault="00AD5BB5">
      <w:pPr>
        <w:overflowPunct w:val="0"/>
        <w:autoSpaceDE w:val="0"/>
        <w:autoSpaceDN w:val="0"/>
        <w:adjustRightInd w:val="0"/>
        <w:snapToGrid w:val="0"/>
        <w:ind w:left="424" w:hangingChars="202" w:hanging="424"/>
        <w:textAlignment w:val="bottom"/>
        <w:rPr>
          <w:rFonts w:ascii="Arial" w:eastAsia="黑体" w:hAnsi="Arial" w:cs="Arial"/>
          <w:szCs w:val="21"/>
        </w:rPr>
      </w:pPr>
    </w:p>
    <w:p w:rsidR="00AD5BB5" w:rsidRDefault="00F87FF6">
      <w:pPr>
        <w:overflowPunct w:val="0"/>
        <w:autoSpaceDE w:val="0"/>
        <w:autoSpaceDN w:val="0"/>
        <w:adjustRightInd w:val="0"/>
        <w:snapToGrid w:val="0"/>
        <w:ind w:leftChars="-16" w:left="147" w:hangingChars="86" w:hanging="181"/>
        <w:textAlignment w:val="bottom"/>
        <w:rPr>
          <w:rFonts w:ascii="Arial" w:eastAsia="黑体" w:hAnsi="Arial" w:cs="Arial"/>
          <w:szCs w:val="21"/>
        </w:rPr>
      </w:pPr>
      <w:r>
        <w:rPr>
          <w:rFonts w:ascii="Arial" w:eastAsia="黑体" w:hAnsi="Arial" w:cs="Arial"/>
          <w:szCs w:val="21"/>
        </w:rPr>
        <w:t>(i)</w:t>
      </w:r>
      <w:r>
        <w:rPr>
          <w:rFonts w:ascii="Arial" w:eastAsia="黑体" w:hAnsi="Arial" w:cs="Arial"/>
          <w:szCs w:val="21"/>
        </w:rPr>
        <w:t>本期计提包括新发放贷款、未发生阶段转换存量贷款、模型</w:t>
      </w:r>
      <w:r>
        <w:rPr>
          <w:rFonts w:ascii="Arial" w:eastAsia="黑体" w:hAnsi="Arial" w:cs="Arial"/>
          <w:szCs w:val="21"/>
        </w:rPr>
        <w:t>/</w:t>
      </w:r>
      <w:r>
        <w:rPr>
          <w:rFonts w:ascii="Arial" w:eastAsia="黑体" w:hAnsi="Arial" w:cs="Arial"/>
          <w:szCs w:val="21"/>
        </w:rPr>
        <w:t>风险参数调整等导致的计提。</w:t>
      </w:r>
    </w:p>
    <w:p w:rsidR="00AD5BB5" w:rsidRDefault="00AD5BB5">
      <w:pPr>
        <w:overflowPunct w:val="0"/>
        <w:autoSpaceDE w:val="0"/>
        <w:autoSpaceDN w:val="0"/>
        <w:rPr>
          <w:rFonts w:ascii="Arial" w:eastAsia="黑体" w:hAnsi="Arial" w:cs="Arial"/>
          <w:szCs w:val="21"/>
        </w:rPr>
      </w:pPr>
    </w:p>
    <w:p w:rsidR="00AD5BB5" w:rsidRDefault="00F87FF6">
      <w:pPr>
        <w:pStyle w:val="aff2"/>
        <w:numPr>
          <w:ilvl w:val="0"/>
          <w:numId w:val="42"/>
        </w:numPr>
        <w:overflowPunct w:val="0"/>
        <w:autoSpaceDE w:val="0"/>
        <w:autoSpaceDN w:val="0"/>
        <w:adjustRightInd w:val="0"/>
        <w:snapToGrid w:val="0"/>
        <w:ind w:firstLine="420"/>
        <w:textAlignment w:val="bottom"/>
        <w:outlineLvl w:val="4"/>
        <w:rPr>
          <w:rFonts w:ascii="Arial" w:eastAsia="黑体" w:hAnsi="Arial" w:cs="Arial"/>
          <w:bCs/>
          <w:szCs w:val="21"/>
          <w:lang w:val="en-GB"/>
        </w:rPr>
      </w:pPr>
      <w:bookmarkStart w:id="598" w:name="afsaddin_WithXu_0b1162d925394211b8c8b43a"/>
      <w:bookmarkStart w:id="599" w:name="afsaddin_WithXu_8e3b734337f24352a96ef5fb"/>
      <w:bookmarkStart w:id="600" w:name="afsaddin_WithXu_69f9a0a2e0c047c199775713"/>
      <w:bookmarkStart w:id="601" w:name="afsaddin_Section_bc11463589bd49529e53fd3"/>
      <w:bookmarkEnd w:id="598"/>
      <w:bookmarkEnd w:id="599"/>
      <w:bookmarkEnd w:id="600"/>
      <w:r>
        <w:rPr>
          <w:rFonts w:ascii="Arial" w:eastAsia="黑体" w:hAnsi="Arial" w:cs="Arial"/>
          <w:bCs/>
          <w:szCs w:val="21"/>
          <w:lang w:val="en-GB"/>
        </w:rPr>
        <w:t>以公允价值计量且其变动计入其他综合收益的发放贷款及垫款：</w:t>
      </w:r>
    </w:p>
    <w:bookmarkEnd w:id="601"/>
    <w:p w:rsidR="00AD5BB5" w:rsidRDefault="00AD5BB5">
      <w:pPr>
        <w:overflowPunct w:val="0"/>
        <w:autoSpaceDE w:val="0"/>
        <w:autoSpaceDN w:val="0"/>
        <w:rPr>
          <w:rFonts w:ascii="Arial" w:eastAsia="黑体" w:hAnsi="Arial" w:cs="Arial"/>
          <w:szCs w:val="21"/>
          <w:lang w:val="en-GB"/>
        </w:rPr>
      </w:pPr>
    </w:p>
    <w:tbl>
      <w:tblPr>
        <w:tblW w:w="0" w:type="auto"/>
        <w:tblLayout w:type="fixed"/>
        <w:tblCellMar>
          <w:left w:w="0" w:type="dxa"/>
          <w:right w:w="0" w:type="dxa"/>
        </w:tblCellMar>
        <w:tblLook w:val="04A0" w:firstRow="1" w:lastRow="0" w:firstColumn="1" w:lastColumn="0" w:noHBand="0" w:noVBand="1"/>
        <w:tblCaption w:val="883b6b63-8a54-4378-ab62-7aded2f1fb64"/>
        <w:tblDescription w:val="{&quot;UUID&quot;:&quot;afsaddin_tabledata_2_56437_883b6b63-8a54-4378-ab62-7aded2f1fb64&quot;,&quot;TitleRowCount&quot;:4,&quot;SplitedTable&quot;:false,&quot;FirstTableId&quot;:&quot;883b6b63-8a54-4378-ab62-7aded2f1fb64&quot;}"/>
      </w:tblPr>
      <w:tblGrid>
        <w:gridCol w:w="1390"/>
        <w:gridCol w:w="106"/>
        <w:gridCol w:w="1995"/>
        <w:gridCol w:w="105"/>
        <w:gridCol w:w="105"/>
        <w:gridCol w:w="1400"/>
        <w:gridCol w:w="105"/>
        <w:gridCol w:w="105"/>
        <w:gridCol w:w="1400"/>
        <w:gridCol w:w="105"/>
        <w:gridCol w:w="105"/>
        <w:gridCol w:w="1400"/>
        <w:gridCol w:w="105"/>
      </w:tblGrid>
      <w:tr w:rsidR="00AD5BB5">
        <w:tc>
          <w:tcPr>
            <w:tcW w:w="1390" w:type="dxa"/>
            <w:tcBorders>
              <w:top w:val="nil"/>
              <w:left w:val="nil"/>
              <w:bottom w:val="nil"/>
              <w:right w:val="nil"/>
            </w:tcBorders>
            <w:shd w:val="clear" w:color="auto" w:fill="auto"/>
            <w:vAlign w:val="bottom"/>
          </w:tcPr>
          <w:p w:rsidR="00AD5BB5" w:rsidRDefault="00AD5BB5">
            <w:pPr>
              <w:autoSpaceDE w:val="0"/>
              <w:autoSpaceDN w:val="0"/>
              <w:ind w:left="270" w:hangingChars="150" w:hanging="270"/>
              <w:rPr>
                <w:rFonts w:ascii="Arial" w:eastAsia="黑体" w:hAnsi="Arial" w:cs="Arial"/>
                <w:sz w:val="18"/>
                <w:szCs w:val="18"/>
              </w:rPr>
            </w:pP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6825" w:type="dxa"/>
            <w:gridSpan w:val="10"/>
            <w:tcBorders>
              <w:top w:val="nil"/>
              <w:left w:val="nil"/>
              <w:bottom w:val="single" w:sz="4" w:space="0" w:color="auto"/>
              <w:right w:val="nil"/>
            </w:tcBorders>
            <w:shd w:val="clear" w:color="auto" w:fill="auto"/>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DOCPROPERTY </w:instrText>
            </w:r>
            <w:r>
              <w:rPr>
                <w:rFonts w:ascii="Arial" w:eastAsia="黑体" w:hAnsi="Arial" w:cs="Arial"/>
                <w:sz w:val="18"/>
                <w:szCs w:val="18"/>
              </w:rPr>
              <w:instrText>当期会计期间</w:instrText>
            </w:r>
            <w:r>
              <w:rPr>
                <w:rFonts w:ascii="Arial" w:eastAsia="黑体" w:hAnsi="Arial" w:cs="Arial"/>
                <w:sz w:val="18"/>
                <w:szCs w:val="18"/>
              </w:rPr>
              <w:fldChar w:fldCharType="separate"/>
            </w:r>
            <w:r>
              <w:rPr>
                <w:rFonts w:ascii="Arial" w:eastAsia="黑体" w:hAnsi="Arial" w:cs="Arial"/>
                <w:sz w:val="18"/>
                <w:szCs w:val="18"/>
              </w:rPr>
              <w:t>2023</w:t>
            </w:r>
            <w:r>
              <w:rPr>
                <w:rFonts w:ascii="Arial" w:eastAsia="黑体" w:hAnsi="Arial" w:cs="Arial"/>
                <w:sz w:val="18"/>
                <w:szCs w:val="18"/>
              </w:rPr>
              <w:fldChar w:fldCharType="end"/>
            </w:r>
            <w:r>
              <w:rPr>
                <w:rFonts w:ascii="Arial" w:eastAsia="黑体" w:hAnsi="Arial" w:cs="Arial"/>
                <w:sz w:val="18"/>
                <w:szCs w:val="18"/>
              </w:rPr>
              <w:t>年</w:t>
            </w:r>
            <w:r>
              <w:rPr>
                <w:rFonts w:ascii="Arial" w:eastAsia="黑体" w:hAnsi="Arial" w:cs="Arial"/>
                <w:sz w:val="18"/>
                <w:szCs w:val="18"/>
              </w:rPr>
              <w:t>1-6</w:t>
            </w:r>
            <w:r>
              <w:rPr>
                <w:rFonts w:ascii="Arial" w:eastAsia="黑体" w:hAnsi="Arial" w:cs="Arial"/>
                <w:sz w:val="18"/>
                <w:szCs w:val="18"/>
              </w:rPr>
              <w:t>月</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1390" w:type="dxa"/>
            <w:tcBorders>
              <w:top w:val="nil"/>
              <w:left w:val="nil"/>
              <w:bottom w:val="nil"/>
              <w:right w:val="nil"/>
            </w:tcBorders>
            <w:shd w:val="clear" w:color="auto" w:fill="auto"/>
            <w:vAlign w:val="bottom"/>
          </w:tcPr>
          <w:p w:rsidR="00AD5BB5" w:rsidRDefault="00AD5BB5">
            <w:pPr>
              <w:autoSpaceDE w:val="0"/>
              <w:autoSpaceDN w:val="0"/>
              <w:ind w:left="270" w:hangingChars="150" w:hanging="270"/>
              <w:rPr>
                <w:rFonts w:ascii="Arial" w:eastAsia="黑体" w:hAnsi="Arial" w:cs="Arial"/>
                <w:sz w:val="18"/>
                <w:szCs w:val="18"/>
              </w:rPr>
            </w:pP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5" w:type="dxa"/>
            <w:tcBorders>
              <w:top w:val="single" w:sz="4" w:space="0" w:color="auto"/>
              <w:left w:val="nil"/>
              <w:bottom w:val="single" w:sz="4" w:space="0" w:color="auto"/>
              <w:right w:val="nil"/>
            </w:tcBorders>
            <w:shd w:val="clear" w:color="auto" w:fill="auto"/>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12</w:t>
            </w:r>
            <w:r>
              <w:rPr>
                <w:rFonts w:ascii="Arial" w:eastAsia="黑体" w:hAnsi="Arial" w:cs="Arial"/>
                <w:sz w:val="18"/>
                <w:szCs w:val="18"/>
              </w:rPr>
              <w:t>个月预期信用损失</w:t>
            </w:r>
          </w:p>
        </w:tc>
        <w:tc>
          <w:tcPr>
            <w:tcW w:w="105" w:type="dxa"/>
            <w:tcBorders>
              <w:top w:val="single" w:sz="4" w:space="0" w:color="auto"/>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5" w:type="dxa"/>
            <w:tcBorders>
              <w:top w:val="single" w:sz="4" w:space="0" w:color="auto"/>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3010" w:type="dxa"/>
            <w:gridSpan w:val="4"/>
            <w:tcBorders>
              <w:top w:val="single" w:sz="4" w:space="0" w:color="auto"/>
              <w:left w:val="nil"/>
              <w:bottom w:val="single" w:sz="4" w:space="0" w:color="auto"/>
              <w:right w:val="nil"/>
            </w:tcBorders>
            <w:shd w:val="clear" w:color="auto" w:fill="auto"/>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整个存续期预期信用损失</w:t>
            </w:r>
          </w:p>
        </w:tc>
        <w:tc>
          <w:tcPr>
            <w:tcW w:w="105" w:type="dxa"/>
            <w:tcBorders>
              <w:top w:val="single" w:sz="4" w:space="0" w:color="auto"/>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5" w:type="dxa"/>
            <w:tcBorders>
              <w:top w:val="single" w:sz="4" w:space="0" w:color="auto"/>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400" w:type="dxa"/>
            <w:tcBorders>
              <w:top w:val="single" w:sz="4" w:space="0" w:color="auto"/>
              <w:left w:val="nil"/>
              <w:bottom w:val="nil"/>
              <w:right w:val="nil"/>
            </w:tcBorders>
            <w:shd w:val="clear" w:color="auto" w:fill="auto"/>
            <w:vAlign w:val="bottom"/>
          </w:tcPr>
          <w:p w:rsidR="00AD5BB5" w:rsidRDefault="00AD5BB5">
            <w:pPr>
              <w:autoSpaceDE w:val="0"/>
              <w:autoSpaceDN w:val="0"/>
              <w:jc w:val="center"/>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1390" w:type="dxa"/>
            <w:tcBorders>
              <w:top w:val="nil"/>
              <w:left w:val="nil"/>
              <w:bottom w:val="nil"/>
              <w:right w:val="nil"/>
            </w:tcBorders>
            <w:shd w:val="clear" w:color="auto" w:fill="auto"/>
            <w:vAlign w:val="bottom"/>
          </w:tcPr>
          <w:p w:rsidR="00AD5BB5" w:rsidRDefault="00AD5BB5">
            <w:pPr>
              <w:autoSpaceDE w:val="0"/>
              <w:autoSpaceDN w:val="0"/>
              <w:ind w:left="270" w:hangingChars="150" w:hanging="270"/>
              <w:rPr>
                <w:rFonts w:ascii="Arial" w:eastAsia="黑体" w:hAnsi="Arial" w:cs="Arial"/>
                <w:sz w:val="18"/>
                <w:szCs w:val="18"/>
              </w:rPr>
            </w:pP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5" w:type="dxa"/>
            <w:tcBorders>
              <w:top w:val="single" w:sz="4" w:space="0" w:color="auto"/>
              <w:left w:val="nil"/>
              <w:bottom w:val="nil"/>
              <w:right w:val="nil"/>
            </w:tcBorders>
            <w:shd w:val="clear" w:color="auto" w:fill="auto"/>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阶段</w:t>
            </w:r>
            <w:proofErr w:type="gramStart"/>
            <w:r>
              <w:rPr>
                <w:rFonts w:ascii="Arial" w:eastAsia="黑体" w:hAnsi="Arial" w:cs="Arial"/>
                <w:sz w:val="18"/>
                <w:szCs w:val="18"/>
              </w:rPr>
              <w:t>一</w:t>
            </w:r>
            <w:proofErr w:type="gramEnd"/>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400" w:type="dxa"/>
            <w:tcBorders>
              <w:top w:val="single" w:sz="4" w:space="0" w:color="auto"/>
              <w:left w:val="nil"/>
              <w:bottom w:val="nil"/>
              <w:right w:val="nil"/>
            </w:tcBorders>
            <w:shd w:val="clear" w:color="auto" w:fill="auto"/>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阶段二</w:t>
            </w:r>
          </w:p>
        </w:tc>
        <w:tc>
          <w:tcPr>
            <w:tcW w:w="105" w:type="dxa"/>
            <w:tcBorders>
              <w:top w:val="single" w:sz="4" w:space="0" w:color="auto"/>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5" w:type="dxa"/>
            <w:tcBorders>
              <w:top w:val="single" w:sz="4" w:space="0" w:color="auto"/>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400" w:type="dxa"/>
            <w:tcBorders>
              <w:top w:val="single" w:sz="4" w:space="0" w:color="auto"/>
              <w:left w:val="nil"/>
              <w:bottom w:val="nil"/>
              <w:right w:val="nil"/>
            </w:tcBorders>
            <w:shd w:val="clear" w:color="auto" w:fill="auto"/>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阶段三</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400" w:type="dxa"/>
            <w:tcBorders>
              <w:top w:val="nil"/>
              <w:left w:val="nil"/>
              <w:bottom w:val="nil"/>
              <w:right w:val="nil"/>
            </w:tcBorders>
            <w:shd w:val="clear" w:color="auto" w:fill="auto"/>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合计</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1390" w:type="dxa"/>
            <w:tcBorders>
              <w:top w:val="nil"/>
              <w:left w:val="nil"/>
              <w:bottom w:val="nil"/>
              <w:right w:val="nil"/>
            </w:tcBorders>
            <w:shd w:val="clear" w:color="auto" w:fill="auto"/>
            <w:vAlign w:val="bottom"/>
          </w:tcPr>
          <w:p w:rsidR="00AD5BB5" w:rsidRDefault="00AD5BB5">
            <w:pPr>
              <w:autoSpaceDE w:val="0"/>
              <w:autoSpaceDN w:val="0"/>
              <w:ind w:left="270" w:hangingChars="150" w:hanging="270"/>
              <w:rPr>
                <w:rFonts w:ascii="Arial" w:eastAsia="黑体" w:hAnsi="Arial" w:cs="Arial"/>
                <w:sz w:val="18"/>
                <w:szCs w:val="18"/>
              </w:rPr>
            </w:pP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400"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400"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400"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1390" w:type="dxa"/>
            <w:tcBorders>
              <w:top w:val="nil"/>
              <w:left w:val="nil"/>
              <w:bottom w:val="nil"/>
              <w:right w:val="nil"/>
            </w:tcBorders>
            <w:shd w:val="clear" w:color="auto" w:fill="auto"/>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 DOCPROPERTY </w:instrText>
            </w:r>
            <w:r>
              <w:rPr>
                <w:rFonts w:ascii="Arial" w:eastAsia="黑体" w:hAnsi="Arial" w:cs="Arial"/>
                <w:sz w:val="18"/>
                <w:szCs w:val="18"/>
              </w:rPr>
              <w:instrText>当期会计期间</w:instrText>
            </w:r>
            <w:r>
              <w:rPr>
                <w:rFonts w:ascii="Arial" w:eastAsia="黑体" w:hAnsi="Arial" w:cs="Arial"/>
                <w:sz w:val="18"/>
                <w:szCs w:val="18"/>
              </w:rPr>
              <w:instrText xml:space="preserve"> </w:instrText>
            </w:r>
            <w:r>
              <w:rPr>
                <w:rFonts w:ascii="Arial" w:eastAsia="黑体" w:hAnsi="Arial" w:cs="Arial"/>
                <w:sz w:val="18"/>
                <w:szCs w:val="18"/>
              </w:rPr>
              <w:fldChar w:fldCharType="separate"/>
            </w:r>
            <w:r>
              <w:rPr>
                <w:rFonts w:ascii="Arial" w:eastAsia="黑体" w:hAnsi="Arial" w:cs="Arial"/>
                <w:sz w:val="18"/>
                <w:szCs w:val="18"/>
              </w:rPr>
              <w:t>2023</w:t>
            </w:r>
            <w:r>
              <w:rPr>
                <w:rFonts w:ascii="Arial" w:eastAsia="黑体" w:hAnsi="Arial" w:cs="Arial"/>
                <w:sz w:val="18"/>
                <w:szCs w:val="18"/>
              </w:rPr>
              <w:fldChar w:fldCharType="end"/>
            </w:r>
            <w:r>
              <w:rPr>
                <w:rFonts w:ascii="Arial" w:eastAsia="黑体" w:hAnsi="Arial" w:cs="Arial"/>
                <w:sz w:val="18"/>
                <w:szCs w:val="18"/>
              </w:rPr>
              <w:t>年</w:t>
            </w:r>
            <w:r>
              <w:rPr>
                <w:rFonts w:ascii="Arial" w:eastAsia="黑体" w:hAnsi="Arial" w:cs="Arial"/>
                <w:sz w:val="18"/>
                <w:szCs w:val="18"/>
              </w:rPr>
              <w:t>1</w:t>
            </w:r>
            <w:r>
              <w:rPr>
                <w:rFonts w:ascii="Arial" w:eastAsia="黑体" w:hAnsi="Arial" w:cs="Arial"/>
                <w:sz w:val="18"/>
                <w:szCs w:val="18"/>
              </w:rPr>
              <w:t>月</w:t>
            </w:r>
            <w:r>
              <w:rPr>
                <w:rFonts w:ascii="Arial" w:eastAsia="黑体" w:hAnsi="Arial" w:cs="Arial"/>
                <w:sz w:val="18"/>
                <w:szCs w:val="18"/>
              </w:rPr>
              <w:t>1</w:t>
            </w:r>
            <w:r>
              <w:rPr>
                <w:rFonts w:ascii="Arial" w:eastAsia="黑体" w:hAnsi="Arial" w:cs="Arial"/>
                <w:sz w:val="18"/>
                <w:szCs w:val="18"/>
              </w:rPr>
              <w:t>日</w:t>
            </w: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5"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51,370,759.82</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400"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400"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400"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51,370,759.82</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1390" w:type="dxa"/>
            <w:tcBorders>
              <w:top w:val="nil"/>
              <w:left w:val="nil"/>
              <w:bottom w:val="nil"/>
              <w:right w:val="nil"/>
            </w:tcBorders>
            <w:shd w:val="clear" w:color="auto" w:fill="auto"/>
            <w:vAlign w:val="bottom"/>
          </w:tcPr>
          <w:p w:rsidR="00AD5BB5" w:rsidRDefault="00AD5BB5">
            <w:pPr>
              <w:autoSpaceDE w:val="0"/>
              <w:autoSpaceDN w:val="0"/>
              <w:ind w:left="270" w:hangingChars="150" w:hanging="270"/>
              <w:rPr>
                <w:rFonts w:ascii="Arial" w:eastAsia="黑体" w:hAnsi="Arial" w:cs="Arial"/>
                <w:sz w:val="18"/>
                <w:szCs w:val="18"/>
              </w:rPr>
            </w:pP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5"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400"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400"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400"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1390" w:type="dxa"/>
            <w:tcBorders>
              <w:top w:val="nil"/>
              <w:left w:val="nil"/>
              <w:bottom w:val="nil"/>
              <w:right w:val="nil"/>
            </w:tcBorders>
            <w:shd w:val="clear" w:color="auto" w:fill="auto"/>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本期回拨</w:t>
            </w: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5"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(6,973,584.04</w:t>
            </w:r>
          </w:p>
        </w:tc>
        <w:tc>
          <w:tcPr>
            <w:tcW w:w="105" w:type="dxa"/>
            <w:tcBorders>
              <w:top w:val="nil"/>
              <w:left w:val="nil"/>
              <w:bottom w:val="nil"/>
              <w:right w:val="nil"/>
            </w:tcBorders>
            <w:shd w:val="clear" w:color="auto" w:fill="auto"/>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400"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400"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400"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(6,973,584.04</w:t>
            </w:r>
          </w:p>
        </w:tc>
        <w:tc>
          <w:tcPr>
            <w:tcW w:w="105" w:type="dxa"/>
            <w:tcBorders>
              <w:top w:val="nil"/>
              <w:left w:val="nil"/>
              <w:bottom w:val="nil"/>
              <w:right w:val="nil"/>
            </w:tcBorders>
            <w:shd w:val="clear" w:color="auto" w:fill="auto"/>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w:t>
            </w:r>
          </w:p>
        </w:tc>
      </w:tr>
      <w:tr w:rsidR="00AD5BB5">
        <w:tc>
          <w:tcPr>
            <w:tcW w:w="1390" w:type="dxa"/>
            <w:tcBorders>
              <w:top w:val="nil"/>
              <w:left w:val="nil"/>
              <w:bottom w:val="nil"/>
              <w:right w:val="nil"/>
            </w:tcBorders>
            <w:shd w:val="clear" w:color="auto" w:fill="auto"/>
            <w:vAlign w:val="bottom"/>
          </w:tcPr>
          <w:p w:rsidR="00AD5BB5" w:rsidRDefault="00AD5BB5">
            <w:pPr>
              <w:autoSpaceDE w:val="0"/>
              <w:autoSpaceDN w:val="0"/>
              <w:ind w:left="270" w:hangingChars="150" w:hanging="270"/>
              <w:rPr>
                <w:rFonts w:ascii="Arial" w:eastAsia="黑体" w:hAnsi="Arial" w:cs="Arial"/>
                <w:sz w:val="18"/>
                <w:szCs w:val="18"/>
              </w:rPr>
            </w:pP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5"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400"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400"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400"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r w:rsidR="00AD5BB5">
        <w:tc>
          <w:tcPr>
            <w:tcW w:w="1390" w:type="dxa"/>
            <w:tcBorders>
              <w:top w:val="nil"/>
              <w:left w:val="nil"/>
              <w:bottom w:val="nil"/>
              <w:right w:val="nil"/>
            </w:tcBorders>
            <w:shd w:val="clear" w:color="auto" w:fill="auto"/>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期末余额</w:t>
            </w:r>
          </w:p>
        </w:tc>
        <w:tc>
          <w:tcPr>
            <w:tcW w:w="106"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995" w:type="dxa"/>
            <w:tcBorders>
              <w:top w:val="nil"/>
              <w:left w:val="nil"/>
              <w:bottom w:val="doub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44,397,175.78</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400" w:type="dxa"/>
            <w:tcBorders>
              <w:top w:val="nil"/>
              <w:left w:val="nil"/>
              <w:bottom w:val="doub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400" w:type="dxa"/>
            <w:tcBorders>
              <w:top w:val="nil"/>
              <w:left w:val="nil"/>
              <w:bottom w:val="doub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c>
          <w:tcPr>
            <w:tcW w:w="1400" w:type="dxa"/>
            <w:tcBorders>
              <w:top w:val="nil"/>
              <w:left w:val="nil"/>
              <w:bottom w:val="double" w:sz="4" w:space="0" w:color="auto"/>
              <w:right w:val="nil"/>
            </w:tcBorders>
            <w:shd w:val="clear" w:color="auto" w:fill="auto"/>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44,397,175.78</w:t>
            </w:r>
          </w:p>
        </w:tc>
        <w:tc>
          <w:tcPr>
            <w:tcW w:w="105"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 w:val="18"/>
                <w:szCs w:val="18"/>
              </w:rPr>
            </w:pPr>
          </w:p>
        </w:tc>
      </w:tr>
    </w:tbl>
    <w:p w:rsidR="00AD5BB5" w:rsidRDefault="00AD5BB5">
      <w:pPr>
        <w:overflowPunct w:val="0"/>
        <w:autoSpaceDE w:val="0"/>
        <w:autoSpaceDN w:val="0"/>
        <w:rPr>
          <w:rFonts w:ascii="Arial" w:eastAsia="黑体" w:hAnsi="Arial" w:cs="Arial"/>
          <w:szCs w:val="21"/>
          <w:lang w:val="en-GB"/>
        </w:rPr>
      </w:pPr>
    </w:p>
    <w:tbl>
      <w:tblPr>
        <w:tblW w:w="0" w:type="auto"/>
        <w:tblLayout w:type="fixed"/>
        <w:tblCellMar>
          <w:left w:w="0" w:type="dxa"/>
          <w:right w:w="0" w:type="dxa"/>
        </w:tblCellMar>
        <w:tblLook w:val="04A0" w:firstRow="1" w:lastRow="0" w:firstColumn="1" w:lastColumn="0" w:noHBand="0" w:noVBand="1"/>
        <w:tblCaption w:val="a90592f5-d44d-4d1c-bbf3-07b1f33ac554"/>
        <w:tblDescription w:val="{&quot;UUID&quot;:&quot;afsaddin_tabledata_2_56437_a90592f5-d44d-4d1c-bbf3-07b1f33ac554&quot;,&quot;TitleRowCount&quot;:4,&quot;SplitedTable&quot;:false,&quot;FirstTableId&quot;:&quot;a90592f5-d44d-4d1c-bbf3-07b1f33ac554&quot;}"/>
      </w:tblPr>
      <w:tblGrid>
        <w:gridCol w:w="1337"/>
        <w:gridCol w:w="108"/>
        <w:gridCol w:w="1924"/>
        <w:gridCol w:w="107"/>
        <w:gridCol w:w="107"/>
        <w:gridCol w:w="1349"/>
        <w:gridCol w:w="107"/>
        <w:gridCol w:w="107"/>
        <w:gridCol w:w="1422"/>
        <w:gridCol w:w="107"/>
        <w:gridCol w:w="107"/>
        <w:gridCol w:w="1537"/>
        <w:gridCol w:w="107"/>
      </w:tblGrid>
      <w:tr w:rsidR="00AD5BB5">
        <w:tc>
          <w:tcPr>
            <w:tcW w:w="1337"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6874" w:type="dxa"/>
            <w:gridSpan w:val="10"/>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 DOCPROPERTY </w:instrText>
            </w:r>
            <w:r>
              <w:rPr>
                <w:rFonts w:ascii="Arial" w:eastAsia="黑体" w:hAnsi="Arial" w:cs="Arial"/>
                <w:sz w:val="18"/>
                <w:szCs w:val="18"/>
              </w:rPr>
              <w:instrText>对比会计期间</w:instrText>
            </w:r>
            <w:r>
              <w:rPr>
                <w:rFonts w:ascii="Arial" w:eastAsia="黑体" w:hAnsi="Arial" w:cs="Arial"/>
                <w:sz w:val="18"/>
                <w:szCs w:val="18"/>
              </w:rPr>
              <w:instrText xml:space="preserve"> </w:instrText>
            </w:r>
            <w:r>
              <w:rPr>
                <w:rFonts w:ascii="Arial" w:eastAsia="黑体" w:hAnsi="Arial" w:cs="Arial"/>
                <w:sz w:val="18"/>
                <w:szCs w:val="18"/>
              </w:rPr>
              <w:fldChar w:fldCharType="separate"/>
            </w:r>
            <w:r>
              <w:rPr>
                <w:rFonts w:ascii="Arial" w:eastAsia="黑体" w:hAnsi="Arial" w:cs="Arial"/>
                <w:sz w:val="18"/>
                <w:szCs w:val="18"/>
              </w:rPr>
              <w:t>2022</w:t>
            </w:r>
            <w:r>
              <w:rPr>
                <w:rFonts w:ascii="Arial" w:eastAsia="黑体" w:hAnsi="Arial" w:cs="Arial"/>
                <w:sz w:val="18"/>
                <w:szCs w:val="18"/>
              </w:rPr>
              <w:fldChar w:fldCharType="end"/>
            </w:r>
            <w:r>
              <w:rPr>
                <w:rFonts w:ascii="Arial" w:eastAsia="黑体" w:hAnsi="Arial" w:cs="Arial"/>
                <w:sz w:val="18"/>
                <w:szCs w:val="18"/>
              </w:rPr>
              <w:t>年度</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337"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24" w:type="dxa"/>
            <w:tcBorders>
              <w:top w:val="single" w:sz="4" w:space="0" w:color="auto"/>
              <w:left w:val="nil"/>
              <w:bottom w:val="single" w:sz="4" w:space="0" w:color="auto"/>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12</w:t>
            </w:r>
            <w:r>
              <w:rPr>
                <w:rFonts w:ascii="Arial" w:eastAsia="黑体" w:hAnsi="Arial" w:cs="Arial"/>
                <w:sz w:val="18"/>
                <w:szCs w:val="18"/>
              </w:rPr>
              <w:t>个月预期信用损失</w:t>
            </w:r>
          </w:p>
        </w:tc>
        <w:tc>
          <w:tcPr>
            <w:tcW w:w="107"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7"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2985" w:type="dxa"/>
            <w:gridSpan w:val="4"/>
            <w:tcBorders>
              <w:top w:val="single" w:sz="4" w:space="0" w:color="auto"/>
              <w:left w:val="nil"/>
              <w:bottom w:val="single" w:sz="4" w:space="0" w:color="auto"/>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整个存续期预期信用损失</w:t>
            </w:r>
          </w:p>
        </w:tc>
        <w:tc>
          <w:tcPr>
            <w:tcW w:w="107"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7"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37" w:type="dxa"/>
            <w:tcBorders>
              <w:top w:val="single" w:sz="4" w:space="0" w:color="auto"/>
              <w:left w:val="nil"/>
              <w:bottom w:val="nil"/>
              <w:right w:val="nil"/>
            </w:tcBorders>
            <w:vAlign w:val="bottom"/>
          </w:tcPr>
          <w:p w:rsidR="00AD5BB5" w:rsidRDefault="00AD5BB5">
            <w:pPr>
              <w:autoSpaceDE w:val="0"/>
              <w:autoSpaceDN w:val="0"/>
              <w:jc w:val="center"/>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337"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24"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阶段</w:t>
            </w:r>
            <w:proofErr w:type="gramStart"/>
            <w:r>
              <w:rPr>
                <w:rFonts w:ascii="Arial" w:eastAsia="黑体" w:hAnsi="Arial" w:cs="Arial"/>
                <w:sz w:val="18"/>
                <w:szCs w:val="18"/>
              </w:rPr>
              <w:t>一</w:t>
            </w:r>
            <w:proofErr w:type="gramEnd"/>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349"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阶段二</w:t>
            </w:r>
          </w:p>
        </w:tc>
        <w:tc>
          <w:tcPr>
            <w:tcW w:w="107"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7" w:type="dxa"/>
            <w:tcBorders>
              <w:top w:val="single" w:sz="4" w:space="0" w:color="auto"/>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2" w:type="dxa"/>
            <w:tcBorders>
              <w:top w:val="single" w:sz="4" w:space="0" w:color="auto"/>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阶段三</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37"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18"/>
                <w:szCs w:val="18"/>
              </w:rPr>
            </w:pPr>
            <w:r>
              <w:rPr>
                <w:rFonts w:ascii="Arial" w:eastAsia="黑体" w:hAnsi="Arial" w:cs="Arial"/>
                <w:sz w:val="18"/>
                <w:szCs w:val="18"/>
              </w:rPr>
              <w:t>合计</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337"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2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34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3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337"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fldChar w:fldCharType="begin"/>
            </w:r>
            <w:r>
              <w:rPr>
                <w:rFonts w:ascii="Arial" w:eastAsia="黑体" w:hAnsi="Arial" w:cs="Arial"/>
                <w:sz w:val="18"/>
                <w:szCs w:val="18"/>
              </w:rPr>
              <w:instrText xml:space="preserve"> DOCPROPERTY </w:instrText>
            </w:r>
            <w:r>
              <w:rPr>
                <w:rFonts w:ascii="Arial" w:eastAsia="黑体" w:hAnsi="Arial" w:cs="Arial"/>
                <w:sz w:val="18"/>
                <w:szCs w:val="18"/>
              </w:rPr>
              <w:instrText>对比会计期间</w:instrText>
            </w:r>
            <w:r>
              <w:rPr>
                <w:rFonts w:ascii="Arial" w:eastAsia="黑体" w:hAnsi="Arial" w:cs="Arial"/>
                <w:sz w:val="18"/>
                <w:szCs w:val="18"/>
              </w:rPr>
              <w:instrText xml:space="preserve"> </w:instrText>
            </w:r>
            <w:r>
              <w:rPr>
                <w:rFonts w:ascii="Arial" w:eastAsia="黑体" w:hAnsi="Arial" w:cs="Arial"/>
                <w:sz w:val="18"/>
                <w:szCs w:val="18"/>
              </w:rPr>
              <w:fldChar w:fldCharType="separate"/>
            </w:r>
            <w:r>
              <w:rPr>
                <w:rFonts w:ascii="Arial" w:eastAsia="黑体" w:hAnsi="Arial" w:cs="Arial"/>
                <w:sz w:val="18"/>
                <w:szCs w:val="18"/>
              </w:rPr>
              <w:t>2022</w:t>
            </w:r>
            <w:r>
              <w:rPr>
                <w:rFonts w:ascii="Arial" w:eastAsia="黑体" w:hAnsi="Arial" w:cs="Arial"/>
                <w:sz w:val="18"/>
                <w:szCs w:val="18"/>
              </w:rPr>
              <w:fldChar w:fldCharType="end"/>
            </w:r>
            <w:r>
              <w:rPr>
                <w:rFonts w:ascii="Arial" w:eastAsia="黑体" w:hAnsi="Arial" w:cs="Arial"/>
                <w:sz w:val="18"/>
                <w:szCs w:val="18"/>
              </w:rPr>
              <w:t>年</w:t>
            </w:r>
            <w:r>
              <w:rPr>
                <w:rFonts w:ascii="Arial" w:eastAsia="黑体" w:hAnsi="Arial" w:cs="Arial"/>
                <w:sz w:val="18"/>
                <w:szCs w:val="18"/>
              </w:rPr>
              <w:t>1</w:t>
            </w:r>
            <w:r>
              <w:rPr>
                <w:rFonts w:ascii="Arial" w:eastAsia="黑体" w:hAnsi="Arial" w:cs="Arial"/>
                <w:sz w:val="18"/>
                <w:szCs w:val="18"/>
              </w:rPr>
              <w:t>月</w:t>
            </w:r>
            <w:r>
              <w:rPr>
                <w:rFonts w:ascii="Arial" w:eastAsia="黑体" w:hAnsi="Arial" w:cs="Arial"/>
                <w:sz w:val="18"/>
                <w:szCs w:val="18"/>
              </w:rPr>
              <w:t>1</w:t>
            </w:r>
            <w:r>
              <w:rPr>
                <w:rFonts w:ascii="Arial" w:eastAsia="黑体" w:hAnsi="Arial" w:cs="Arial"/>
                <w:sz w:val="18"/>
                <w:szCs w:val="18"/>
              </w:rPr>
              <w:t>日</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2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56,336,184.38</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349"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2"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3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56,336,184.38</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337"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2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349"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2"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3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337"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本年回拨</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2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(4,965,424.56</w:t>
            </w:r>
          </w:p>
        </w:tc>
        <w:tc>
          <w:tcPr>
            <w:tcW w:w="107"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349"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37"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(4,965,424.56</w:t>
            </w:r>
          </w:p>
        </w:tc>
        <w:tc>
          <w:tcPr>
            <w:tcW w:w="107" w:type="dxa"/>
            <w:tcBorders>
              <w:top w:val="nil"/>
              <w:left w:val="nil"/>
              <w:bottom w:val="nil"/>
              <w:right w:val="nil"/>
            </w:tcBorders>
            <w:vAlign w:val="bottom"/>
          </w:tcPr>
          <w:p w:rsidR="00AD5BB5" w:rsidRDefault="00F87FF6">
            <w:pPr>
              <w:autoSpaceDE w:val="0"/>
              <w:autoSpaceDN w:val="0"/>
              <w:rPr>
                <w:rFonts w:ascii="Arial" w:eastAsia="黑体" w:hAnsi="Arial" w:cs="Arial"/>
                <w:sz w:val="18"/>
                <w:szCs w:val="18"/>
              </w:rPr>
            </w:pPr>
            <w:r>
              <w:rPr>
                <w:rFonts w:ascii="Arial" w:eastAsia="黑体" w:hAnsi="Arial" w:cs="Arial"/>
                <w:sz w:val="18"/>
                <w:szCs w:val="18"/>
              </w:rPr>
              <w:t>)</w:t>
            </w:r>
          </w:p>
        </w:tc>
      </w:tr>
      <w:tr w:rsidR="00AD5BB5">
        <w:tc>
          <w:tcPr>
            <w:tcW w:w="1337" w:type="dxa"/>
            <w:tcBorders>
              <w:top w:val="nil"/>
              <w:left w:val="nil"/>
              <w:bottom w:val="nil"/>
              <w:right w:val="nil"/>
            </w:tcBorders>
            <w:vAlign w:val="bottom"/>
          </w:tcPr>
          <w:p w:rsidR="00AD5BB5" w:rsidRDefault="00AD5BB5">
            <w:pPr>
              <w:autoSpaceDE w:val="0"/>
              <w:autoSpaceDN w:val="0"/>
              <w:ind w:left="270" w:hangingChars="150" w:hanging="270"/>
              <w:rPr>
                <w:rFonts w:ascii="Arial" w:eastAsia="黑体" w:hAnsi="Arial" w:cs="Arial"/>
                <w:sz w:val="18"/>
                <w:szCs w:val="18"/>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2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349"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3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r w:rsidR="00AD5BB5">
        <w:tc>
          <w:tcPr>
            <w:tcW w:w="1337" w:type="dxa"/>
            <w:tcBorders>
              <w:top w:val="nil"/>
              <w:left w:val="nil"/>
              <w:bottom w:val="nil"/>
              <w:right w:val="nil"/>
            </w:tcBorders>
            <w:vAlign w:val="bottom"/>
          </w:tcPr>
          <w:p w:rsidR="00AD5BB5" w:rsidRDefault="00F87FF6">
            <w:pPr>
              <w:autoSpaceDE w:val="0"/>
              <w:autoSpaceDN w:val="0"/>
              <w:ind w:left="180" w:hangingChars="100" w:hanging="180"/>
              <w:rPr>
                <w:rFonts w:ascii="Arial" w:eastAsia="黑体" w:hAnsi="Arial" w:cs="Arial"/>
                <w:sz w:val="18"/>
                <w:szCs w:val="18"/>
              </w:rPr>
            </w:pPr>
            <w:r>
              <w:rPr>
                <w:rFonts w:ascii="Arial" w:eastAsia="黑体" w:hAnsi="Arial" w:cs="Arial"/>
                <w:sz w:val="18"/>
                <w:szCs w:val="18"/>
              </w:rPr>
              <w:t>年末余额</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92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51,370,759.82</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349"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42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c>
          <w:tcPr>
            <w:tcW w:w="1537"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18"/>
                <w:szCs w:val="18"/>
              </w:rPr>
            </w:pPr>
            <w:r>
              <w:rPr>
                <w:rFonts w:ascii="Arial" w:eastAsia="黑体" w:hAnsi="Arial" w:cs="Arial"/>
                <w:sz w:val="18"/>
                <w:szCs w:val="18"/>
              </w:rPr>
              <w:t>51,370,759.82</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 w:val="18"/>
                <w:szCs w:val="18"/>
              </w:rPr>
            </w:pPr>
          </w:p>
        </w:tc>
      </w:tr>
    </w:tbl>
    <w:p w:rsidR="00AD5BB5" w:rsidRDefault="00F87FF6">
      <w:pPr>
        <w:rPr>
          <w:rFonts w:ascii="Arial" w:eastAsia="黑体" w:hAnsi="Arial" w:cs="Arial"/>
          <w:szCs w:val="21"/>
        </w:rPr>
      </w:pPr>
      <w:r>
        <w:rPr>
          <w:rFonts w:ascii="Arial" w:eastAsia="黑体" w:hAnsi="Arial" w:cs="Arial"/>
          <w:szCs w:val="21"/>
        </w:rPr>
        <w:br w:type="page"/>
      </w:r>
    </w:p>
    <w:p w:rsidR="00AD5BB5" w:rsidRDefault="00AD5BB5">
      <w:pPr>
        <w:overflowPunct w:val="0"/>
        <w:autoSpaceDE w:val="0"/>
        <w:autoSpaceDN w:val="0"/>
        <w:rPr>
          <w:rFonts w:ascii="Arial" w:eastAsia="黑体" w:hAnsi="Arial" w:cs="Arial"/>
          <w:szCs w:val="21"/>
        </w:rPr>
      </w:pPr>
    </w:p>
    <w:p w:rsidR="00AD5BB5" w:rsidRDefault="00AD5BB5">
      <w:pPr>
        <w:overflowPunct w:val="0"/>
        <w:autoSpaceDE w:val="0"/>
        <w:autoSpaceDN w:val="0"/>
        <w:rPr>
          <w:rFonts w:ascii="Arial" w:eastAsia="黑体" w:hAnsi="Arial" w:cs="Arial"/>
          <w:szCs w:val="21"/>
        </w:rPr>
      </w:pPr>
    </w:p>
    <w:p w:rsidR="00AD5BB5" w:rsidRDefault="00F87FF6">
      <w:pPr>
        <w:tabs>
          <w:tab w:val="left" w:pos="709"/>
        </w:tabs>
        <w:overflowPunct w:val="0"/>
        <w:autoSpaceDE w:val="0"/>
        <w:autoSpaceDN w:val="0"/>
        <w:ind w:left="709" w:hanging="709"/>
        <w:rPr>
          <w:rFonts w:ascii="Arial" w:eastAsia="黑体" w:hAnsi="Arial" w:cs="Arial"/>
          <w:b/>
          <w:szCs w:val="21"/>
        </w:rPr>
      </w:pPr>
      <w:bookmarkStart w:id="602" w:name="afsaddin_WithXu_97b9d87e161248de8559b88a"/>
      <w:r>
        <w:rPr>
          <w:rFonts w:ascii="Arial" w:eastAsia="黑体" w:hAnsi="Arial" w:cs="Arial"/>
          <w:b/>
          <w:szCs w:val="21"/>
        </w:rPr>
        <w:t>十四、公司财务报表主要项目注释（续）</w:t>
      </w:r>
      <w:bookmarkEnd w:id="602"/>
    </w:p>
    <w:p w:rsidR="00AD5BB5" w:rsidRDefault="00AD5BB5">
      <w:pPr>
        <w:tabs>
          <w:tab w:val="left" w:pos="709"/>
        </w:tabs>
        <w:overflowPunct w:val="0"/>
        <w:autoSpaceDE w:val="0"/>
        <w:autoSpaceDN w:val="0"/>
        <w:rPr>
          <w:rFonts w:ascii="Arial" w:eastAsia="黑体" w:hAnsi="Arial" w:cs="Arial"/>
          <w:szCs w:val="21"/>
        </w:rPr>
      </w:pPr>
    </w:p>
    <w:p w:rsidR="00AD5BB5" w:rsidRDefault="00F87FF6">
      <w:pPr>
        <w:pStyle w:val="af5"/>
        <w:overflowPunct w:val="0"/>
        <w:autoSpaceDE w:val="0"/>
        <w:autoSpaceDN w:val="0"/>
        <w:adjustRightInd w:val="0"/>
        <w:snapToGrid w:val="0"/>
        <w:spacing w:before="0" w:after="0"/>
        <w:ind w:left="644" w:hanging="630"/>
        <w:jc w:val="both"/>
        <w:textAlignment w:val="bottom"/>
        <w:outlineLvl w:val="2"/>
        <w:rPr>
          <w:rFonts w:ascii="Arial" w:eastAsia="黑体" w:hAnsi="Arial" w:cs="Arial" w:hint="default"/>
          <w:bCs w:val="0"/>
          <w:snapToGrid w:val="0"/>
          <w:color w:val="auto"/>
          <w:sz w:val="21"/>
          <w:szCs w:val="21"/>
        </w:rPr>
      </w:pPr>
      <w:bookmarkStart w:id="603" w:name="afsaddin_Section_b8e056da821c4e9e94153e7"/>
      <w:r>
        <w:rPr>
          <w:rFonts w:ascii="Arial" w:eastAsia="黑体" w:hAnsi="Arial" w:cs="Arial" w:hint="default"/>
          <w:bCs w:val="0"/>
          <w:snapToGrid w:val="0"/>
          <w:color w:val="auto"/>
          <w:sz w:val="21"/>
          <w:szCs w:val="21"/>
        </w:rPr>
        <w:t>3.</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长期股权投资</w:t>
      </w:r>
    </w:p>
    <w:bookmarkEnd w:id="603"/>
    <w:p w:rsidR="00AD5BB5" w:rsidRDefault="00AD5BB5">
      <w:pPr>
        <w:overflowPunct w:val="0"/>
        <w:autoSpaceDE w:val="0"/>
        <w:autoSpaceDN w:val="0"/>
        <w:rPr>
          <w:rFonts w:ascii="Arial" w:eastAsia="黑体" w:hAnsi="Arial" w:cs="Arial"/>
          <w:szCs w:val="21"/>
        </w:rPr>
      </w:pPr>
    </w:p>
    <w:tbl>
      <w:tblPr>
        <w:tblW w:w="0" w:type="auto"/>
        <w:tblLayout w:type="fixed"/>
        <w:tblCellMar>
          <w:left w:w="0" w:type="dxa"/>
          <w:right w:w="0" w:type="dxa"/>
        </w:tblCellMar>
        <w:tblLook w:val="04A0" w:firstRow="1" w:lastRow="0" w:firstColumn="1" w:lastColumn="0" w:noHBand="0" w:noVBand="1"/>
        <w:tblCaption w:val="7969c9a8-99bd-4369-8d9d-5c9b4aa95d13"/>
        <w:tblDescription w:val="{&quot;UUID&quot;:&quot;afsaddin_tabledata_2_56437_7969c9a8-99bd-4369-8d9d-5c9b4aa95d13&quot;,&quot;TitleRowCount&quot;:2,&quot;SplitedTable&quot;:false,&quot;FirstTableId&quot;:&quot;7969c9a8-99bd-4369-8d9d-5c9b4aa95d13&quot;}"/>
      </w:tblPr>
      <w:tblGrid>
        <w:gridCol w:w="3417"/>
        <w:gridCol w:w="113"/>
        <w:gridCol w:w="2278"/>
        <w:gridCol w:w="113"/>
        <w:gridCol w:w="113"/>
        <w:gridCol w:w="2278"/>
        <w:gridCol w:w="113"/>
      </w:tblGrid>
      <w:tr w:rsidR="00AD5BB5">
        <w:tc>
          <w:tcPr>
            <w:tcW w:w="3417"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ind w:rightChars="-5" w:right="-1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当期资产负债表日</w:instrText>
            </w:r>
            <w:r>
              <w:rPr>
                <w:rFonts w:ascii="Arial" w:eastAsia="黑体" w:hAnsi="Arial" w:cs="Arial"/>
                <w:szCs w:val="21"/>
              </w:rPr>
              <w:instrText xml:space="preserve"> </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t>年</w:t>
            </w:r>
            <w:r>
              <w:rPr>
                <w:rFonts w:ascii="Arial" w:eastAsia="黑体" w:hAnsi="Arial" w:cs="Arial"/>
                <w:szCs w:val="21"/>
              </w:rPr>
              <w:t>6</w:t>
            </w:r>
            <w:r>
              <w:rPr>
                <w:rFonts w:ascii="Arial" w:eastAsia="黑体" w:hAnsi="Arial" w:cs="Arial"/>
                <w:szCs w:val="21"/>
              </w:rPr>
              <w:t>月</w:t>
            </w:r>
            <w:r>
              <w:rPr>
                <w:rFonts w:ascii="Arial" w:eastAsia="黑体" w:hAnsi="Arial" w:cs="Arial"/>
                <w:szCs w:val="21"/>
              </w:rPr>
              <w:t>30</w:t>
            </w:r>
            <w:r>
              <w:rPr>
                <w:rFonts w:ascii="Arial" w:eastAsia="黑体" w:hAnsi="Arial" w:cs="Arial"/>
                <w:szCs w:val="21"/>
              </w:rPr>
              <w:t>日</w:t>
            </w:r>
            <w:r>
              <w:rPr>
                <w:rFonts w:ascii="Arial" w:eastAsia="黑体" w:hAnsi="Arial" w:cs="Arial"/>
                <w:szCs w:val="21"/>
              </w:rPr>
              <w:fldChar w:fldCharType="end"/>
            </w:r>
          </w:p>
        </w:tc>
        <w:tc>
          <w:tcPr>
            <w:tcW w:w="113"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2022</w:t>
            </w:r>
            <w:r>
              <w:rPr>
                <w:rFonts w:ascii="Arial" w:eastAsia="黑体" w:hAnsi="Arial" w:cs="Arial"/>
                <w:szCs w:val="21"/>
              </w:rPr>
              <w:t>年</w:t>
            </w:r>
            <w:r>
              <w:rPr>
                <w:rFonts w:ascii="Arial" w:eastAsia="黑体" w:hAnsi="Arial" w:cs="Arial"/>
                <w:szCs w:val="21"/>
              </w:rPr>
              <w:t>12</w:t>
            </w:r>
            <w:r>
              <w:rPr>
                <w:rFonts w:ascii="Arial" w:eastAsia="黑体" w:hAnsi="Arial" w:cs="Arial"/>
                <w:szCs w:val="21"/>
              </w:rPr>
              <w:t>月</w:t>
            </w:r>
            <w:r>
              <w:rPr>
                <w:rFonts w:ascii="Arial" w:eastAsia="黑体" w:hAnsi="Arial" w:cs="Arial"/>
                <w:szCs w:val="21"/>
              </w:rPr>
              <w:t>31</w:t>
            </w:r>
            <w:r>
              <w:rPr>
                <w:rFonts w:ascii="Arial" w:eastAsia="黑体" w:hAnsi="Arial" w:cs="Arial"/>
                <w:szCs w:val="21"/>
              </w:rPr>
              <w:t>日</w:t>
            </w:r>
          </w:p>
        </w:tc>
        <w:tc>
          <w:tcPr>
            <w:tcW w:w="113"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227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成本法：</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子公司（注</w:t>
            </w:r>
            <w:r>
              <w:rPr>
                <w:rFonts w:ascii="Arial" w:eastAsia="黑体" w:hAnsi="Arial" w:cs="Arial"/>
                <w:szCs w:val="21"/>
              </w:rPr>
              <w:t>1</w:t>
            </w:r>
            <w:r>
              <w:rPr>
                <w:rFonts w:ascii="Arial" w:eastAsia="黑体" w:hAnsi="Arial" w:cs="Arial"/>
                <w:szCs w:val="21"/>
              </w:rPr>
              <w:t>）</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927,000,000.00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927,000,000.00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bl>
    <w:p w:rsidR="00AD5BB5" w:rsidRDefault="00AD5BB5">
      <w:pPr>
        <w:overflowPunct w:val="0"/>
        <w:autoSpaceDE w:val="0"/>
        <w:autoSpaceDN w:val="0"/>
        <w:rPr>
          <w:rFonts w:ascii="Arial" w:eastAsia="黑体" w:hAnsi="Arial" w:cs="Arial"/>
          <w:szCs w:val="21"/>
        </w:rPr>
      </w:pPr>
    </w:p>
    <w:p w:rsidR="00AD5BB5" w:rsidRDefault="00F87FF6">
      <w:pPr>
        <w:overflowPunct w:val="0"/>
        <w:autoSpaceDE w:val="0"/>
        <w:autoSpaceDN w:val="0"/>
        <w:adjustRightInd w:val="0"/>
        <w:snapToGrid w:val="0"/>
        <w:textAlignment w:val="bottom"/>
        <w:rPr>
          <w:rFonts w:ascii="Arial" w:eastAsia="黑体" w:hAnsi="Arial" w:cs="Arial"/>
          <w:bCs/>
          <w:szCs w:val="21"/>
          <w:lang w:val="en-GB"/>
        </w:rPr>
      </w:pPr>
      <w:r>
        <w:rPr>
          <w:rFonts w:ascii="Arial" w:eastAsia="黑体" w:hAnsi="Arial" w:cs="Arial"/>
          <w:bCs/>
          <w:szCs w:val="21"/>
          <w:lang w:val="en-GB"/>
        </w:rPr>
        <w:t>注</w:t>
      </w:r>
      <w:r>
        <w:rPr>
          <w:rFonts w:ascii="Arial" w:eastAsia="黑体" w:hAnsi="Arial" w:cs="Arial"/>
          <w:bCs/>
          <w:szCs w:val="21"/>
          <w:lang w:val="en-GB"/>
        </w:rPr>
        <w:t>1</w:t>
      </w:r>
      <w:r>
        <w:rPr>
          <w:rFonts w:ascii="Arial" w:eastAsia="黑体" w:hAnsi="Arial" w:cs="Arial"/>
          <w:bCs/>
          <w:szCs w:val="21"/>
          <w:lang w:val="en-GB"/>
        </w:rPr>
        <w:t>：本行通过设立方式取得的纳入合并范围的子公司的基本情况列示如下：</w:t>
      </w:r>
    </w:p>
    <w:p w:rsidR="00AD5BB5" w:rsidRDefault="00AD5BB5">
      <w:pPr>
        <w:overflowPunct w:val="0"/>
        <w:autoSpaceDE w:val="0"/>
        <w:autoSpaceDN w:val="0"/>
        <w:adjustRightInd w:val="0"/>
        <w:snapToGrid w:val="0"/>
        <w:textAlignment w:val="bottom"/>
        <w:rPr>
          <w:rFonts w:ascii="Arial" w:eastAsia="黑体" w:hAnsi="Arial" w:cs="Arial"/>
          <w:bCs/>
          <w:szCs w:val="21"/>
          <w:lang w:val="en-GB"/>
        </w:rPr>
      </w:pPr>
    </w:p>
    <w:tbl>
      <w:tblPr>
        <w:tblW w:w="0" w:type="auto"/>
        <w:tblLayout w:type="fixed"/>
        <w:tblCellMar>
          <w:left w:w="57" w:type="dxa"/>
          <w:right w:w="57" w:type="dxa"/>
        </w:tblCellMar>
        <w:tblLook w:val="04A0" w:firstRow="1" w:lastRow="0" w:firstColumn="1" w:lastColumn="0" w:noHBand="0" w:noVBand="1"/>
        <w:tblCaption w:val="91437b2c-802f-475e-9fe6-615ce1d4642e"/>
        <w:tblDescription w:val="{&quot;UUID&quot;:&quot;afsaddin_tabledata_2_56437_91437b2c-802f-475e-9fe6-615ce1d4642e&quot;,&quot;TitleRowCount&quot;:-1,&quot;SplitedTable&quot;:null,&quot;FirstTableId&quot;:null}"/>
      </w:tblPr>
      <w:tblGrid>
        <w:gridCol w:w="1386"/>
        <w:gridCol w:w="994"/>
        <w:gridCol w:w="1358"/>
        <w:gridCol w:w="1106"/>
        <w:gridCol w:w="1147"/>
        <w:gridCol w:w="1288"/>
        <w:gridCol w:w="1050"/>
      </w:tblGrid>
      <w:tr w:rsidR="00AD5BB5">
        <w:tc>
          <w:tcPr>
            <w:tcW w:w="1386" w:type="dxa"/>
            <w:tcBorders>
              <w:top w:val="nil"/>
              <w:left w:val="nil"/>
              <w:bottom w:val="nil"/>
              <w:right w:val="nil"/>
            </w:tcBorders>
            <w:shd w:val="clear" w:color="auto" w:fill="auto"/>
            <w:vAlign w:val="bottom"/>
          </w:tcPr>
          <w:p w:rsidR="00AD5BB5" w:rsidRDefault="00AD5BB5">
            <w:pPr>
              <w:autoSpaceDE w:val="0"/>
              <w:autoSpaceDN w:val="0"/>
              <w:ind w:left="85" w:rightChars="82" w:right="172" w:hanging="85"/>
              <w:jc w:val="center"/>
              <w:rPr>
                <w:rFonts w:ascii="Arial" w:eastAsia="黑体" w:hAnsi="Arial" w:cs="Arial"/>
                <w:sz w:val="16"/>
                <w:szCs w:val="16"/>
              </w:rPr>
            </w:pPr>
          </w:p>
        </w:tc>
        <w:tc>
          <w:tcPr>
            <w:tcW w:w="99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主要经营地</w:t>
            </w:r>
            <w:r>
              <w:rPr>
                <w:rFonts w:ascii="Arial" w:eastAsia="黑体" w:hAnsi="Arial" w:cs="Arial"/>
                <w:sz w:val="16"/>
                <w:szCs w:val="16"/>
              </w:rPr>
              <w:t>/</w:t>
            </w:r>
          </w:p>
        </w:tc>
        <w:tc>
          <w:tcPr>
            <w:tcW w:w="1358"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2253" w:type="dxa"/>
            <w:gridSpan w:val="2"/>
            <w:tcBorders>
              <w:top w:val="nil"/>
              <w:left w:val="nil"/>
              <w:bottom w:val="nil"/>
              <w:right w:val="nil"/>
            </w:tcBorders>
            <w:vAlign w:val="bottom"/>
          </w:tcPr>
          <w:p w:rsidR="00AD5BB5" w:rsidRDefault="00F87FF6">
            <w:pPr>
              <w:pBdr>
                <w:bottom w:val="single" w:sz="4" w:space="1" w:color="auto"/>
              </w:pBdr>
              <w:autoSpaceDE w:val="0"/>
              <w:autoSpaceDN w:val="0"/>
              <w:jc w:val="center"/>
              <w:rPr>
                <w:rFonts w:ascii="Arial" w:eastAsia="黑体" w:hAnsi="Arial" w:cs="Arial"/>
                <w:sz w:val="16"/>
                <w:szCs w:val="16"/>
              </w:rPr>
            </w:pPr>
            <w:r>
              <w:rPr>
                <w:rFonts w:ascii="Arial" w:eastAsia="黑体" w:hAnsi="Arial" w:cs="Arial"/>
                <w:sz w:val="16"/>
                <w:szCs w:val="16"/>
              </w:rPr>
              <w:t>本行持股比例</w:t>
            </w:r>
            <w:r>
              <w:rPr>
                <w:rFonts w:ascii="Arial" w:eastAsia="黑体" w:hAnsi="Arial" w:cs="Arial"/>
                <w:sz w:val="16"/>
                <w:szCs w:val="16"/>
              </w:rPr>
              <w:t>(%)</w:t>
            </w:r>
          </w:p>
        </w:tc>
        <w:tc>
          <w:tcPr>
            <w:tcW w:w="2338" w:type="dxa"/>
            <w:gridSpan w:val="2"/>
            <w:tcBorders>
              <w:top w:val="nil"/>
              <w:left w:val="nil"/>
              <w:bottom w:val="nil"/>
              <w:right w:val="nil"/>
            </w:tcBorders>
            <w:vAlign w:val="bottom"/>
          </w:tcPr>
          <w:p w:rsidR="00AD5BB5" w:rsidRDefault="00F87FF6">
            <w:pPr>
              <w:pBdr>
                <w:bottom w:val="single" w:sz="4" w:space="1" w:color="auto"/>
              </w:pBdr>
              <w:autoSpaceDE w:val="0"/>
              <w:autoSpaceDN w:val="0"/>
              <w:jc w:val="center"/>
              <w:rPr>
                <w:rFonts w:ascii="Arial" w:eastAsia="黑体" w:hAnsi="Arial" w:cs="Arial"/>
                <w:sz w:val="16"/>
                <w:szCs w:val="16"/>
              </w:rPr>
            </w:pPr>
            <w:r>
              <w:rPr>
                <w:rFonts w:ascii="Arial" w:eastAsia="黑体" w:hAnsi="Arial" w:cs="Arial"/>
                <w:sz w:val="16"/>
                <w:szCs w:val="16"/>
              </w:rPr>
              <w:t>本行表决权比例</w:t>
            </w:r>
            <w:r>
              <w:rPr>
                <w:rFonts w:ascii="Arial" w:eastAsia="黑体" w:hAnsi="Arial" w:cs="Arial"/>
                <w:sz w:val="16"/>
                <w:szCs w:val="16"/>
              </w:rPr>
              <w:t>(%)</w:t>
            </w:r>
          </w:p>
        </w:tc>
      </w:tr>
      <w:tr w:rsidR="00AD5BB5">
        <w:trPr>
          <w:trHeight w:val="56"/>
        </w:trPr>
        <w:tc>
          <w:tcPr>
            <w:tcW w:w="1386" w:type="dxa"/>
            <w:tcBorders>
              <w:top w:val="nil"/>
              <w:left w:val="nil"/>
              <w:bottom w:val="nil"/>
              <w:right w:val="nil"/>
            </w:tcBorders>
            <w:shd w:val="clear" w:color="auto" w:fill="auto"/>
            <w:vAlign w:val="bottom"/>
          </w:tcPr>
          <w:p w:rsidR="00AD5BB5" w:rsidRDefault="00F87FF6">
            <w:pPr>
              <w:autoSpaceDE w:val="0"/>
              <w:autoSpaceDN w:val="0"/>
              <w:ind w:left="85" w:hanging="85"/>
              <w:rPr>
                <w:rFonts w:ascii="Arial" w:eastAsia="黑体" w:hAnsi="Arial" w:cs="Arial"/>
                <w:sz w:val="16"/>
                <w:szCs w:val="16"/>
              </w:rPr>
            </w:pPr>
            <w:r>
              <w:rPr>
                <w:rFonts w:ascii="Arial" w:eastAsia="黑体" w:hAnsi="Arial" w:cs="Arial"/>
                <w:sz w:val="16"/>
                <w:szCs w:val="16"/>
              </w:rPr>
              <w:t>子公司名称</w:t>
            </w:r>
          </w:p>
        </w:tc>
        <w:tc>
          <w:tcPr>
            <w:tcW w:w="994"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注册地</w:t>
            </w:r>
          </w:p>
        </w:tc>
        <w:tc>
          <w:tcPr>
            <w:tcW w:w="1358"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注册资本</w:t>
            </w:r>
          </w:p>
        </w:tc>
        <w:tc>
          <w:tcPr>
            <w:tcW w:w="1106" w:type="dxa"/>
            <w:tcBorders>
              <w:top w:val="nil"/>
              <w:left w:val="nil"/>
              <w:bottom w:val="nil"/>
              <w:right w:val="nil"/>
            </w:tcBorders>
            <w:vAlign w:val="bottom"/>
          </w:tcPr>
          <w:p w:rsidR="00AD5BB5" w:rsidRDefault="00F87FF6">
            <w:pPr>
              <w:autoSpaceDE w:val="0"/>
              <w:autoSpaceDN w:val="0"/>
              <w:ind w:leftChars="-56" w:left="-67" w:hangingChars="32" w:hanging="51"/>
              <w:jc w:val="right"/>
              <w:rPr>
                <w:rFonts w:ascii="Arial" w:eastAsia="黑体" w:hAnsi="Arial" w:cs="Arial"/>
                <w:sz w:val="16"/>
                <w:szCs w:val="16"/>
              </w:rPr>
            </w:pPr>
            <w:r>
              <w:rPr>
                <w:rFonts w:ascii="Arial" w:eastAsia="黑体" w:hAnsi="Arial" w:cs="Arial"/>
                <w:sz w:val="16"/>
                <w:szCs w:val="16"/>
              </w:rPr>
              <w:t>2023</w:t>
            </w:r>
            <w:r>
              <w:rPr>
                <w:rFonts w:ascii="Arial" w:eastAsia="黑体" w:hAnsi="Arial" w:cs="Arial"/>
                <w:sz w:val="16"/>
                <w:szCs w:val="16"/>
              </w:rPr>
              <w:t>年</w:t>
            </w:r>
          </w:p>
          <w:p w:rsidR="00AD5BB5" w:rsidRDefault="00F87FF6">
            <w:pPr>
              <w:autoSpaceDE w:val="0"/>
              <w:autoSpaceDN w:val="0"/>
              <w:ind w:leftChars="-56" w:left="-67" w:hangingChars="32" w:hanging="51"/>
              <w:jc w:val="right"/>
              <w:rPr>
                <w:rFonts w:ascii="Arial" w:eastAsia="黑体" w:hAnsi="Arial" w:cs="Arial"/>
                <w:sz w:val="16"/>
                <w:szCs w:val="16"/>
              </w:rPr>
            </w:pPr>
            <w:r>
              <w:rPr>
                <w:rFonts w:ascii="Arial" w:eastAsia="黑体" w:hAnsi="Arial" w:cs="Arial"/>
                <w:sz w:val="16"/>
                <w:szCs w:val="16"/>
              </w:rPr>
              <w:t>6</w:t>
            </w:r>
            <w:r>
              <w:rPr>
                <w:rFonts w:ascii="Arial" w:eastAsia="黑体" w:hAnsi="Arial" w:cs="Arial"/>
                <w:sz w:val="16"/>
                <w:szCs w:val="16"/>
              </w:rPr>
              <w:t>月</w:t>
            </w:r>
            <w:r>
              <w:rPr>
                <w:rFonts w:ascii="Arial" w:eastAsia="黑体" w:hAnsi="Arial" w:cs="Arial"/>
                <w:sz w:val="16"/>
                <w:szCs w:val="16"/>
              </w:rPr>
              <w:t>30</w:t>
            </w:r>
            <w:r>
              <w:rPr>
                <w:rFonts w:ascii="Arial" w:eastAsia="黑体" w:hAnsi="Arial" w:cs="Arial"/>
                <w:sz w:val="16"/>
                <w:szCs w:val="16"/>
              </w:rPr>
              <w:t>日</w:t>
            </w:r>
          </w:p>
        </w:tc>
        <w:tc>
          <w:tcPr>
            <w:tcW w:w="1147" w:type="dxa"/>
            <w:tcBorders>
              <w:top w:val="nil"/>
              <w:left w:val="nil"/>
              <w:bottom w:val="nil"/>
              <w:right w:val="nil"/>
            </w:tcBorders>
            <w:shd w:val="clear" w:color="auto" w:fill="auto"/>
            <w:vAlign w:val="bottom"/>
          </w:tcPr>
          <w:p w:rsidR="00AD5BB5" w:rsidRDefault="00F87FF6">
            <w:pPr>
              <w:autoSpaceDE w:val="0"/>
              <w:autoSpaceDN w:val="0"/>
              <w:ind w:leftChars="-36" w:left="10" w:hangingChars="54" w:hanging="86"/>
              <w:jc w:val="right"/>
              <w:rPr>
                <w:rFonts w:ascii="Arial" w:eastAsia="黑体" w:hAnsi="Arial" w:cs="Arial"/>
                <w:sz w:val="16"/>
                <w:szCs w:val="16"/>
              </w:rPr>
            </w:pPr>
            <w:r>
              <w:rPr>
                <w:rFonts w:ascii="Arial" w:eastAsia="黑体" w:hAnsi="Arial" w:cs="Arial"/>
                <w:sz w:val="16"/>
                <w:szCs w:val="16"/>
              </w:rPr>
              <w:t>2022</w:t>
            </w:r>
            <w:r>
              <w:rPr>
                <w:rFonts w:ascii="Arial" w:eastAsia="黑体" w:hAnsi="Arial" w:cs="Arial"/>
                <w:sz w:val="16"/>
                <w:szCs w:val="16"/>
              </w:rPr>
              <w:t>年</w:t>
            </w:r>
          </w:p>
          <w:p w:rsidR="00AD5BB5" w:rsidRDefault="00F87FF6">
            <w:pPr>
              <w:autoSpaceDE w:val="0"/>
              <w:autoSpaceDN w:val="0"/>
              <w:ind w:leftChars="-36" w:left="10" w:hangingChars="54" w:hanging="86"/>
              <w:jc w:val="right"/>
              <w:rPr>
                <w:rFonts w:ascii="Arial" w:eastAsia="黑体" w:hAnsi="Arial" w:cs="Arial"/>
                <w:sz w:val="16"/>
                <w:szCs w:val="16"/>
              </w:rPr>
            </w:pPr>
            <w:r>
              <w:rPr>
                <w:rFonts w:ascii="Arial" w:eastAsia="黑体" w:hAnsi="Arial" w:cs="Arial"/>
                <w:sz w:val="16"/>
                <w:szCs w:val="16"/>
              </w:rPr>
              <w:t>12</w:t>
            </w:r>
            <w:r>
              <w:rPr>
                <w:rFonts w:ascii="Arial" w:eastAsia="黑体" w:hAnsi="Arial" w:cs="Arial"/>
                <w:sz w:val="16"/>
                <w:szCs w:val="16"/>
              </w:rPr>
              <w:t>月</w:t>
            </w:r>
            <w:r>
              <w:rPr>
                <w:rFonts w:ascii="Arial" w:eastAsia="黑体" w:hAnsi="Arial" w:cs="Arial"/>
                <w:sz w:val="16"/>
                <w:szCs w:val="16"/>
              </w:rPr>
              <w:t>31</w:t>
            </w:r>
            <w:r>
              <w:rPr>
                <w:rFonts w:ascii="Arial" w:eastAsia="黑体" w:hAnsi="Arial" w:cs="Arial"/>
                <w:sz w:val="16"/>
                <w:szCs w:val="16"/>
              </w:rPr>
              <w:t>日</w:t>
            </w:r>
          </w:p>
        </w:tc>
        <w:tc>
          <w:tcPr>
            <w:tcW w:w="1288" w:type="dxa"/>
            <w:tcBorders>
              <w:top w:val="nil"/>
              <w:left w:val="nil"/>
              <w:bottom w:val="nil"/>
              <w:right w:val="nil"/>
            </w:tcBorders>
            <w:vAlign w:val="bottom"/>
          </w:tcPr>
          <w:p w:rsidR="00AD5BB5" w:rsidRDefault="00F87FF6">
            <w:pPr>
              <w:autoSpaceDE w:val="0"/>
              <w:autoSpaceDN w:val="0"/>
              <w:ind w:leftChars="-36" w:left="10" w:hangingChars="54" w:hanging="86"/>
              <w:jc w:val="right"/>
              <w:rPr>
                <w:rFonts w:ascii="Arial" w:eastAsia="黑体" w:hAnsi="Arial" w:cs="Arial"/>
                <w:sz w:val="16"/>
                <w:szCs w:val="16"/>
              </w:rPr>
            </w:pPr>
            <w:r>
              <w:rPr>
                <w:rFonts w:ascii="Arial" w:eastAsia="黑体" w:hAnsi="Arial" w:cs="Arial"/>
                <w:sz w:val="16"/>
                <w:szCs w:val="16"/>
              </w:rPr>
              <w:t>2023</w:t>
            </w:r>
            <w:r>
              <w:rPr>
                <w:rFonts w:ascii="Arial" w:eastAsia="黑体" w:hAnsi="Arial" w:cs="Arial"/>
                <w:sz w:val="16"/>
                <w:szCs w:val="16"/>
              </w:rPr>
              <w:t>年</w:t>
            </w:r>
          </w:p>
          <w:p w:rsidR="00AD5BB5" w:rsidRDefault="00F87FF6">
            <w:pPr>
              <w:autoSpaceDE w:val="0"/>
              <w:autoSpaceDN w:val="0"/>
              <w:ind w:leftChars="-36" w:left="10" w:hangingChars="54" w:hanging="86"/>
              <w:jc w:val="right"/>
              <w:rPr>
                <w:rFonts w:ascii="Arial" w:eastAsia="黑体" w:hAnsi="Arial" w:cs="Arial"/>
                <w:sz w:val="16"/>
                <w:szCs w:val="16"/>
              </w:rPr>
            </w:pPr>
            <w:r>
              <w:rPr>
                <w:rFonts w:ascii="Arial" w:eastAsia="黑体" w:hAnsi="Arial" w:cs="Arial"/>
                <w:sz w:val="16"/>
                <w:szCs w:val="16"/>
              </w:rPr>
              <w:t>6</w:t>
            </w:r>
            <w:r>
              <w:rPr>
                <w:rFonts w:ascii="Arial" w:eastAsia="黑体" w:hAnsi="Arial" w:cs="Arial"/>
                <w:sz w:val="16"/>
                <w:szCs w:val="16"/>
              </w:rPr>
              <w:t>月</w:t>
            </w:r>
            <w:r>
              <w:rPr>
                <w:rFonts w:ascii="Arial" w:eastAsia="黑体" w:hAnsi="Arial" w:cs="Arial"/>
                <w:sz w:val="16"/>
                <w:szCs w:val="16"/>
              </w:rPr>
              <w:t>30</w:t>
            </w:r>
            <w:r>
              <w:rPr>
                <w:rFonts w:ascii="Arial" w:eastAsia="黑体" w:hAnsi="Arial" w:cs="Arial"/>
                <w:sz w:val="16"/>
                <w:szCs w:val="16"/>
              </w:rPr>
              <w:t>日</w:t>
            </w:r>
          </w:p>
        </w:tc>
        <w:tc>
          <w:tcPr>
            <w:tcW w:w="1050" w:type="dxa"/>
            <w:tcBorders>
              <w:top w:val="nil"/>
              <w:left w:val="nil"/>
              <w:bottom w:val="nil"/>
              <w:right w:val="nil"/>
            </w:tcBorders>
            <w:shd w:val="clear" w:color="auto" w:fill="auto"/>
            <w:vAlign w:val="bottom"/>
          </w:tcPr>
          <w:p w:rsidR="00AD5BB5" w:rsidRDefault="00F87FF6">
            <w:pPr>
              <w:autoSpaceDE w:val="0"/>
              <w:autoSpaceDN w:val="0"/>
              <w:ind w:leftChars="-36" w:left="10" w:hangingChars="54" w:hanging="86"/>
              <w:jc w:val="right"/>
              <w:rPr>
                <w:rFonts w:ascii="Arial" w:eastAsia="黑体" w:hAnsi="Arial" w:cs="Arial"/>
                <w:sz w:val="16"/>
                <w:szCs w:val="16"/>
              </w:rPr>
            </w:pPr>
            <w:r>
              <w:rPr>
                <w:rFonts w:ascii="Arial" w:eastAsia="黑体" w:hAnsi="Arial" w:cs="Arial"/>
                <w:sz w:val="16"/>
                <w:szCs w:val="16"/>
              </w:rPr>
              <w:t>2022</w:t>
            </w:r>
            <w:r>
              <w:rPr>
                <w:rFonts w:ascii="Arial" w:eastAsia="黑体" w:hAnsi="Arial" w:cs="Arial"/>
                <w:sz w:val="16"/>
                <w:szCs w:val="16"/>
              </w:rPr>
              <w:t>年</w:t>
            </w:r>
          </w:p>
          <w:p w:rsidR="00AD5BB5" w:rsidRDefault="00F87FF6">
            <w:pPr>
              <w:autoSpaceDE w:val="0"/>
              <w:autoSpaceDN w:val="0"/>
              <w:ind w:leftChars="-36" w:left="10" w:hangingChars="54" w:hanging="86"/>
              <w:jc w:val="right"/>
              <w:rPr>
                <w:rFonts w:ascii="Arial" w:eastAsia="黑体" w:hAnsi="Arial" w:cs="Arial"/>
                <w:sz w:val="16"/>
                <w:szCs w:val="16"/>
              </w:rPr>
            </w:pPr>
            <w:r>
              <w:rPr>
                <w:rFonts w:ascii="Arial" w:eastAsia="黑体" w:hAnsi="Arial" w:cs="Arial"/>
                <w:sz w:val="16"/>
                <w:szCs w:val="16"/>
              </w:rPr>
              <w:t>12</w:t>
            </w:r>
            <w:r>
              <w:rPr>
                <w:rFonts w:ascii="Arial" w:eastAsia="黑体" w:hAnsi="Arial" w:cs="Arial"/>
                <w:sz w:val="16"/>
                <w:szCs w:val="16"/>
              </w:rPr>
              <w:t>月</w:t>
            </w:r>
            <w:r>
              <w:rPr>
                <w:rFonts w:ascii="Arial" w:eastAsia="黑体" w:hAnsi="Arial" w:cs="Arial"/>
                <w:sz w:val="16"/>
                <w:szCs w:val="16"/>
              </w:rPr>
              <w:t>31</w:t>
            </w:r>
            <w:r>
              <w:rPr>
                <w:rFonts w:ascii="Arial" w:eastAsia="黑体" w:hAnsi="Arial" w:cs="Arial"/>
                <w:sz w:val="16"/>
                <w:szCs w:val="16"/>
              </w:rPr>
              <w:t>日</w:t>
            </w:r>
          </w:p>
        </w:tc>
      </w:tr>
      <w:tr w:rsidR="00AD5BB5">
        <w:tc>
          <w:tcPr>
            <w:tcW w:w="1386" w:type="dxa"/>
            <w:tcBorders>
              <w:top w:val="nil"/>
              <w:left w:val="nil"/>
              <w:bottom w:val="nil"/>
              <w:right w:val="nil"/>
            </w:tcBorders>
            <w:shd w:val="clear" w:color="auto" w:fill="auto"/>
            <w:vAlign w:val="bottom"/>
          </w:tcPr>
          <w:p w:rsidR="00AD5BB5" w:rsidRDefault="00AD5BB5">
            <w:pPr>
              <w:autoSpaceDE w:val="0"/>
              <w:autoSpaceDN w:val="0"/>
              <w:ind w:left="85" w:hanging="85"/>
              <w:jc w:val="center"/>
              <w:rPr>
                <w:rFonts w:ascii="Arial" w:eastAsia="黑体" w:hAnsi="Arial" w:cs="Arial"/>
                <w:sz w:val="16"/>
                <w:szCs w:val="16"/>
              </w:rPr>
            </w:pPr>
          </w:p>
        </w:tc>
        <w:tc>
          <w:tcPr>
            <w:tcW w:w="994"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358"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（人民币）</w:t>
            </w:r>
          </w:p>
        </w:tc>
        <w:tc>
          <w:tcPr>
            <w:tcW w:w="1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47"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c>
          <w:tcPr>
            <w:tcW w:w="128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0"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 w:val="16"/>
                <w:szCs w:val="16"/>
              </w:rPr>
            </w:pPr>
          </w:p>
        </w:tc>
      </w:tr>
      <w:tr w:rsidR="00AD5BB5">
        <w:tc>
          <w:tcPr>
            <w:tcW w:w="1386" w:type="dxa"/>
            <w:tcBorders>
              <w:top w:val="nil"/>
              <w:left w:val="nil"/>
              <w:bottom w:val="nil"/>
              <w:right w:val="nil"/>
            </w:tcBorders>
            <w:vAlign w:val="bottom"/>
          </w:tcPr>
          <w:p w:rsidR="00AD5BB5" w:rsidRDefault="00AD5BB5">
            <w:pPr>
              <w:autoSpaceDE w:val="0"/>
              <w:autoSpaceDN w:val="0"/>
              <w:ind w:left="85" w:hanging="85"/>
              <w:rPr>
                <w:rFonts w:ascii="Arial" w:eastAsia="黑体" w:hAnsi="Arial" w:cs="Arial"/>
                <w:sz w:val="16"/>
                <w:szCs w:val="16"/>
              </w:rPr>
            </w:pPr>
          </w:p>
        </w:tc>
        <w:tc>
          <w:tcPr>
            <w:tcW w:w="994" w:type="dxa"/>
            <w:tcBorders>
              <w:top w:val="nil"/>
              <w:left w:val="nil"/>
              <w:bottom w:val="nil"/>
              <w:right w:val="nil"/>
            </w:tcBorders>
            <w:vAlign w:val="bottom"/>
          </w:tcPr>
          <w:p w:rsidR="00AD5BB5" w:rsidRDefault="00AD5BB5">
            <w:pPr>
              <w:autoSpaceDE w:val="0"/>
              <w:autoSpaceDN w:val="0"/>
              <w:rPr>
                <w:rFonts w:ascii="Arial" w:eastAsia="黑体" w:hAnsi="Arial" w:cs="Arial"/>
                <w:sz w:val="16"/>
                <w:szCs w:val="16"/>
              </w:rPr>
            </w:pPr>
          </w:p>
        </w:tc>
        <w:tc>
          <w:tcPr>
            <w:tcW w:w="135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06"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147"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288"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c>
          <w:tcPr>
            <w:tcW w:w="105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16"/>
                <w:szCs w:val="16"/>
              </w:rPr>
            </w:pPr>
          </w:p>
        </w:tc>
      </w:tr>
      <w:tr w:rsidR="00AD5BB5">
        <w:tc>
          <w:tcPr>
            <w:tcW w:w="1386" w:type="dxa"/>
            <w:tcBorders>
              <w:top w:val="nil"/>
              <w:left w:val="nil"/>
              <w:bottom w:val="nil"/>
              <w:right w:val="nil"/>
            </w:tcBorders>
            <w:vAlign w:val="bottom"/>
          </w:tcPr>
          <w:p w:rsidR="00AD5BB5" w:rsidRDefault="00F87FF6">
            <w:pPr>
              <w:autoSpaceDE w:val="0"/>
              <w:autoSpaceDN w:val="0"/>
              <w:ind w:left="139" w:hanging="128"/>
              <w:rPr>
                <w:rFonts w:ascii="Arial" w:eastAsia="黑体" w:hAnsi="Arial" w:cs="Arial"/>
                <w:sz w:val="16"/>
                <w:szCs w:val="16"/>
              </w:rPr>
            </w:pPr>
            <w:r>
              <w:rPr>
                <w:rFonts w:ascii="Arial" w:eastAsia="黑体" w:hAnsi="Arial" w:cs="Arial"/>
                <w:sz w:val="16"/>
                <w:szCs w:val="16"/>
              </w:rPr>
              <w:t>福建海西金融租赁有限责任公司</w:t>
            </w:r>
          </w:p>
        </w:tc>
        <w:tc>
          <w:tcPr>
            <w:tcW w:w="994" w:type="dxa"/>
            <w:tcBorders>
              <w:top w:val="nil"/>
              <w:left w:val="nil"/>
              <w:bottom w:val="nil"/>
              <w:right w:val="nil"/>
            </w:tcBorders>
            <w:vAlign w:val="bottom"/>
          </w:tcPr>
          <w:p w:rsidR="00AD5BB5" w:rsidRDefault="00F87FF6">
            <w:pPr>
              <w:autoSpaceDE w:val="0"/>
              <w:autoSpaceDN w:val="0"/>
              <w:jc w:val="center"/>
              <w:rPr>
                <w:rFonts w:ascii="Arial" w:eastAsia="黑体" w:hAnsi="Arial" w:cs="Arial"/>
                <w:sz w:val="16"/>
                <w:szCs w:val="16"/>
              </w:rPr>
            </w:pPr>
            <w:r>
              <w:rPr>
                <w:rFonts w:ascii="Arial" w:eastAsia="黑体" w:hAnsi="Arial" w:cs="Arial"/>
                <w:sz w:val="16"/>
                <w:szCs w:val="16"/>
              </w:rPr>
              <w:t>福建泉州</w:t>
            </w:r>
          </w:p>
        </w:tc>
        <w:tc>
          <w:tcPr>
            <w:tcW w:w="1358" w:type="dxa"/>
            <w:tcBorders>
              <w:top w:val="nil"/>
              <w:left w:val="nil"/>
              <w:bottom w:val="nil"/>
              <w:right w:val="nil"/>
            </w:tcBorders>
            <w:vAlign w:val="bottom"/>
          </w:tcPr>
          <w:p w:rsidR="00AD5BB5" w:rsidRDefault="00F87FF6">
            <w:pPr>
              <w:autoSpaceDE w:val="0"/>
              <w:autoSpaceDN w:val="0"/>
              <w:ind w:leftChars="-50" w:left="17" w:rightChars="-20" w:right="-42" w:hangingChars="76" w:hanging="122"/>
              <w:jc w:val="right"/>
              <w:rPr>
                <w:rFonts w:ascii="Arial" w:eastAsia="黑体" w:hAnsi="Arial" w:cs="Arial"/>
                <w:sz w:val="16"/>
                <w:szCs w:val="16"/>
              </w:rPr>
            </w:pPr>
            <w:r>
              <w:rPr>
                <w:rFonts w:ascii="Arial" w:eastAsia="黑体" w:hAnsi="Arial" w:cs="Arial"/>
                <w:sz w:val="16"/>
                <w:szCs w:val="16"/>
              </w:rPr>
              <w:t>1,200,000,000.00</w:t>
            </w:r>
          </w:p>
        </w:tc>
        <w:tc>
          <w:tcPr>
            <w:tcW w:w="1106"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69.75%</w:t>
            </w:r>
          </w:p>
        </w:tc>
        <w:tc>
          <w:tcPr>
            <w:tcW w:w="1147"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69.75%</w:t>
            </w:r>
          </w:p>
        </w:tc>
        <w:tc>
          <w:tcPr>
            <w:tcW w:w="1288"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69.75%</w:t>
            </w:r>
          </w:p>
        </w:tc>
        <w:tc>
          <w:tcPr>
            <w:tcW w:w="105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16"/>
                <w:szCs w:val="16"/>
              </w:rPr>
            </w:pPr>
            <w:r>
              <w:rPr>
                <w:rFonts w:ascii="Arial" w:eastAsia="黑体" w:hAnsi="Arial" w:cs="Arial"/>
                <w:sz w:val="16"/>
                <w:szCs w:val="16"/>
              </w:rPr>
              <w:t>69.75%</w:t>
            </w:r>
          </w:p>
        </w:tc>
      </w:tr>
    </w:tbl>
    <w:p w:rsidR="00AD5BB5" w:rsidRDefault="00AD5BB5">
      <w:pPr>
        <w:overflowPunct w:val="0"/>
        <w:autoSpaceDE w:val="0"/>
        <w:autoSpaceDN w:val="0"/>
        <w:rPr>
          <w:rFonts w:ascii="Arial" w:eastAsia="黑体" w:hAnsi="Arial" w:cs="Arial"/>
          <w:bCs/>
          <w:szCs w:val="21"/>
          <w:lang w:val="en-GB"/>
        </w:rPr>
      </w:pPr>
    </w:p>
    <w:p w:rsidR="00AD5BB5" w:rsidRDefault="00F87FF6">
      <w:pPr>
        <w:overflowPunct w:val="0"/>
        <w:autoSpaceDE w:val="0"/>
        <w:autoSpaceDN w:val="0"/>
        <w:rPr>
          <w:rFonts w:ascii="Arial" w:eastAsia="黑体" w:hAnsi="Arial" w:cs="Arial"/>
          <w:bCs/>
          <w:szCs w:val="21"/>
          <w:lang w:val="en-GB"/>
        </w:rPr>
      </w:pPr>
      <w:r>
        <w:rPr>
          <w:rFonts w:ascii="Arial" w:eastAsia="黑体" w:hAnsi="Arial" w:cs="Arial"/>
          <w:bCs/>
          <w:szCs w:val="21"/>
          <w:lang w:val="en-GB"/>
        </w:rPr>
        <w:t>经本行</w:t>
      </w:r>
      <w:r>
        <w:rPr>
          <w:rFonts w:ascii="Arial" w:eastAsia="黑体" w:hAnsi="Arial" w:cs="Arial"/>
          <w:bCs/>
          <w:szCs w:val="21"/>
          <w:lang w:val="en-GB"/>
        </w:rPr>
        <w:t>2021</w:t>
      </w:r>
      <w:r>
        <w:rPr>
          <w:rFonts w:ascii="Arial" w:eastAsia="黑体" w:hAnsi="Arial" w:cs="Arial"/>
          <w:bCs/>
          <w:szCs w:val="21"/>
          <w:lang w:val="en-GB"/>
        </w:rPr>
        <w:t>年</w:t>
      </w:r>
      <w:r>
        <w:rPr>
          <w:rFonts w:ascii="Arial" w:eastAsia="黑体" w:hAnsi="Arial" w:cs="Arial"/>
          <w:bCs/>
          <w:szCs w:val="21"/>
          <w:lang w:val="en-GB"/>
        </w:rPr>
        <w:t>1</w:t>
      </w:r>
      <w:r>
        <w:rPr>
          <w:rFonts w:ascii="Arial" w:eastAsia="黑体" w:hAnsi="Arial" w:cs="Arial"/>
          <w:bCs/>
          <w:szCs w:val="21"/>
          <w:lang w:val="en-GB"/>
        </w:rPr>
        <w:t>月</w:t>
      </w:r>
      <w:r>
        <w:rPr>
          <w:rFonts w:ascii="Arial" w:eastAsia="黑体" w:hAnsi="Arial" w:cs="Arial"/>
          <w:bCs/>
          <w:szCs w:val="21"/>
          <w:lang w:val="en-GB"/>
        </w:rPr>
        <w:t>8</w:t>
      </w:r>
      <w:r>
        <w:rPr>
          <w:rFonts w:ascii="Arial" w:eastAsia="黑体" w:hAnsi="Arial" w:cs="Arial"/>
          <w:bCs/>
          <w:szCs w:val="21"/>
          <w:lang w:val="en-GB"/>
        </w:rPr>
        <w:t>日第八届董事会第一次会议决议，同意参与控股子公司福建海西金融租赁有限责任公司本次增资，本行拟出资人民币</w:t>
      </w:r>
      <w:r>
        <w:rPr>
          <w:rFonts w:ascii="Arial" w:eastAsia="黑体" w:hAnsi="Arial" w:cs="Arial"/>
          <w:bCs/>
          <w:szCs w:val="21"/>
          <w:lang w:val="en-GB"/>
        </w:rPr>
        <w:t>4.65</w:t>
      </w:r>
      <w:r>
        <w:rPr>
          <w:rFonts w:ascii="Arial" w:eastAsia="黑体" w:hAnsi="Arial" w:cs="Arial"/>
          <w:bCs/>
          <w:szCs w:val="21"/>
          <w:lang w:val="en-GB"/>
        </w:rPr>
        <w:t>亿元；本次增资完成后，本行持股比例将由原</w:t>
      </w:r>
      <w:r>
        <w:rPr>
          <w:rFonts w:ascii="Arial" w:eastAsia="黑体" w:hAnsi="Arial" w:cs="Arial"/>
          <w:bCs/>
          <w:szCs w:val="21"/>
          <w:lang w:val="en-GB"/>
        </w:rPr>
        <w:t>66.00%</w:t>
      </w:r>
      <w:r>
        <w:rPr>
          <w:rFonts w:ascii="Arial" w:eastAsia="黑体" w:hAnsi="Arial" w:cs="Arial"/>
          <w:bCs/>
          <w:szCs w:val="21"/>
          <w:lang w:val="en-GB"/>
        </w:rPr>
        <w:t>增加至</w:t>
      </w:r>
      <w:r>
        <w:rPr>
          <w:rFonts w:ascii="Arial" w:eastAsia="黑体" w:hAnsi="Arial" w:cs="Arial"/>
          <w:bCs/>
          <w:szCs w:val="21"/>
          <w:lang w:val="en-GB"/>
        </w:rPr>
        <w:t>69.75%</w:t>
      </w:r>
      <w:r>
        <w:rPr>
          <w:rFonts w:ascii="Arial" w:eastAsia="黑体" w:hAnsi="Arial" w:cs="Arial"/>
          <w:bCs/>
          <w:szCs w:val="21"/>
          <w:lang w:val="en-GB"/>
        </w:rPr>
        <w:t>。</w:t>
      </w:r>
      <w:r>
        <w:rPr>
          <w:rFonts w:ascii="Arial" w:eastAsia="黑体" w:hAnsi="Arial" w:cs="Arial"/>
          <w:bCs/>
          <w:szCs w:val="21"/>
          <w:lang w:val="en-GB"/>
        </w:rPr>
        <w:t>2021</w:t>
      </w:r>
      <w:r>
        <w:rPr>
          <w:rFonts w:ascii="Arial" w:eastAsia="黑体" w:hAnsi="Arial" w:cs="Arial"/>
          <w:bCs/>
          <w:szCs w:val="21"/>
          <w:lang w:val="en-GB"/>
        </w:rPr>
        <w:t>年</w:t>
      </w:r>
      <w:r>
        <w:rPr>
          <w:rFonts w:ascii="Arial" w:eastAsia="黑体" w:hAnsi="Arial" w:cs="Arial"/>
          <w:bCs/>
          <w:szCs w:val="21"/>
          <w:lang w:val="en-GB"/>
        </w:rPr>
        <w:t>3</w:t>
      </w:r>
      <w:r>
        <w:rPr>
          <w:rFonts w:ascii="Arial" w:eastAsia="黑体" w:hAnsi="Arial" w:cs="Arial"/>
          <w:bCs/>
          <w:szCs w:val="21"/>
          <w:lang w:val="en-GB"/>
        </w:rPr>
        <w:t>月</w:t>
      </w:r>
      <w:r>
        <w:rPr>
          <w:rFonts w:ascii="Arial" w:eastAsia="黑体" w:hAnsi="Arial" w:cs="Arial"/>
          <w:bCs/>
          <w:szCs w:val="21"/>
          <w:lang w:val="en-GB"/>
        </w:rPr>
        <w:t>2</w:t>
      </w:r>
      <w:r>
        <w:rPr>
          <w:rFonts w:ascii="Arial" w:eastAsia="黑体" w:hAnsi="Arial" w:cs="Arial"/>
          <w:bCs/>
          <w:szCs w:val="21"/>
          <w:lang w:val="en-GB"/>
        </w:rPr>
        <w:t>日，经</w:t>
      </w:r>
      <w:r>
        <w:rPr>
          <w:rFonts w:ascii="Arial" w:eastAsia="黑体" w:hAnsi="Arial" w:cs="Arial" w:hint="eastAsia"/>
          <w:snapToGrid w:val="0"/>
          <w:szCs w:val="21"/>
        </w:rPr>
        <w:t>国家金融监督管理总局泉州监管分局（原</w:t>
      </w:r>
      <w:r>
        <w:rPr>
          <w:rFonts w:ascii="Arial" w:eastAsia="黑体" w:hAnsi="Arial" w:cs="Arial"/>
          <w:bCs/>
          <w:szCs w:val="21"/>
          <w:lang w:val="en-GB"/>
        </w:rPr>
        <w:t>中国银行保险监督管理委员会泉州银保监分局</w:t>
      </w:r>
      <w:r>
        <w:rPr>
          <w:rFonts w:ascii="Arial" w:eastAsia="黑体" w:hAnsi="Arial" w:cs="Arial" w:hint="eastAsia"/>
          <w:bCs/>
          <w:szCs w:val="21"/>
          <w:lang w:val="en-GB"/>
        </w:rPr>
        <w:t>）的</w:t>
      </w:r>
      <w:r>
        <w:rPr>
          <w:rFonts w:ascii="Arial" w:eastAsia="黑体" w:hAnsi="Arial" w:cs="Arial"/>
          <w:bCs/>
          <w:szCs w:val="21"/>
          <w:lang w:val="en-GB"/>
        </w:rPr>
        <w:t>《泉州银保监分局关于福建海西金融租赁有限责任公司变更注册资本的批复》（泉银保监</w:t>
      </w:r>
      <w:r>
        <w:rPr>
          <w:rFonts w:ascii="Arial" w:eastAsia="黑体" w:hAnsi="Arial" w:cs="Arial"/>
          <w:bCs/>
          <w:szCs w:val="21"/>
          <w:lang w:val="en-GB"/>
        </w:rPr>
        <w:t>[2021]27</w:t>
      </w:r>
      <w:r>
        <w:rPr>
          <w:rFonts w:ascii="Arial" w:eastAsia="黑体" w:hAnsi="Arial" w:cs="Arial"/>
          <w:bCs/>
          <w:szCs w:val="21"/>
          <w:lang w:val="en-GB"/>
        </w:rPr>
        <w:t>号）批准同意福建海西金融租赁有限责任公司将注册资本由人民币</w:t>
      </w:r>
      <w:r>
        <w:rPr>
          <w:rFonts w:ascii="Arial" w:eastAsia="黑体" w:hAnsi="Arial" w:cs="Arial"/>
          <w:bCs/>
          <w:szCs w:val="21"/>
          <w:lang w:val="en-GB"/>
        </w:rPr>
        <w:t>7</w:t>
      </w:r>
      <w:r>
        <w:rPr>
          <w:rFonts w:ascii="Arial" w:eastAsia="黑体" w:hAnsi="Arial" w:cs="Arial"/>
          <w:bCs/>
          <w:szCs w:val="21"/>
          <w:lang w:val="en-GB"/>
        </w:rPr>
        <w:t>亿元变更为人民币</w:t>
      </w:r>
      <w:r>
        <w:rPr>
          <w:rFonts w:ascii="Arial" w:eastAsia="黑体" w:hAnsi="Arial" w:cs="Arial"/>
          <w:bCs/>
          <w:szCs w:val="21"/>
          <w:lang w:val="en-GB"/>
        </w:rPr>
        <w:t>12</w:t>
      </w:r>
      <w:r>
        <w:rPr>
          <w:rFonts w:ascii="Arial" w:eastAsia="黑体" w:hAnsi="Arial" w:cs="Arial"/>
          <w:bCs/>
          <w:szCs w:val="21"/>
          <w:lang w:val="en-GB"/>
        </w:rPr>
        <w:t>亿元。</w:t>
      </w:r>
    </w:p>
    <w:p w:rsidR="00AD5BB5" w:rsidRDefault="00AD5BB5">
      <w:pPr>
        <w:overflowPunct w:val="0"/>
        <w:autoSpaceDE w:val="0"/>
        <w:autoSpaceDN w:val="0"/>
        <w:adjustRightInd w:val="0"/>
        <w:snapToGrid w:val="0"/>
        <w:textAlignment w:val="bottom"/>
        <w:rPr>
          <w:rFonts w:ascii="Arial" w:eastAsia="黑体" w:hAnsi="Arial" w:cs="Arial"/>
          <w:bCs/>
          <w:snapToGrid w:val="0"/>
          <w:szCs w:val="21"/>
          <w:lang w:val="en-GB"/>
        </w:rPr>
      </w:pPr>
    </w:p>
    <w:p w:rsidR="00AD5BB5" w:rsidRDefault="00F87FF6">
      <w:pPr>
        <w:pStyle w:val="af5"/>
        <w:overflowPunct w:val="0"/>
        <w:autoSpaceDE w:val="0"/>
        <w:autoSpaceDN w:val="0"/>
        <w:adjustRightInd w:val="0"/>
        <w:snapToGrid w:val="0"/>
        <w:spacing w:before="0" w:after="0"/>
        <w:ind w:left="644" w:hanging="616"/>
        <w:jc w:val="both"/>
        <w:textAlignment w:val="bottom"/>
        <w:outlineLvl w:val="2"/>
        <w:rPr>
          <w:rFonts w:ascii="Arial" w:eastAsia="黑体" w:hAnsi="Arial" w:cs="Arial" w:hint="default"/>
          <w:bCs w:val="0"/>
          <w:snapToGrid w:val="0"/>
          <w:color w:val="auto"/>
          <w:sz w:val="21"/>
          <w:szCs w:val="21"/>
        </w:rPr>
      </w:pPr>
      <w:bookmarkStart w:id="604" w:name="afsaddin_WithXu_61d11ae77eb04831ab4b50de"/>
      <w:bookmarkStart w:id="605" w:name="afsaddin_Section_1fc93af01ced4d4db5a811b"/>
      <w:bookmarkEnd w:id="604"/>
      <w:r>
        <w:rPr>
          <w:rFonts w:ascii="Arial" w:eastAsia="黑体" w:hAnsi="Arial" w:cs="Arial" w:hint="default"/>
          <w:bCs w:val="0"/>
          <w:snapToGrid w:val="0"/>
          <w:color w:val="auto"/>
          <w:sz w:val="21"/>
          <w:szCs w:val="21"/>
        </w:rPr>
        <w:t>4.</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同业及其他金融机构存放款项</w:t>
      </w:r>
    </w:p>
    <w:bookmarkEnd w:id="605"/>
    <w:p w:rsidR="00AD5BB5" w:rsidRDefault="00AD5BB5">
      <w:pPr>
        <w:overflowPunct w:val="0"/>
        <w:autoSpaceDE w:val="0"/>
        <w:autoSpaceDN w:val="0"/>
        <w:adjustRightInd w:val="0"/>
        <w:snapToGrid w:val="0"/>
        <w:textAlignment w:val="bottom"/>
        <w:rPr>
          <w:rFonts w:ascii="Arial" w:eastAsia="黑体" w:hAnsi="Arial" w:cs="Arial"/>
          <w:bCs/>
          <w:szCs w:val="21"/>
          <w:lang w:val="en-GB"/>
        </w:rPr>
      </w:pPr>
    </w:p>
    <w:tbl>
      <w:tblPr>
        <w:tblW w:w="0" w:type="auto"/>
        <w:tblLayout w:type="fixed"/>
        <w:tblCellMar>
          <w:left w:w="0" w:type="dxa"/>
          <w:right w:w="0" w:type="dxa"/>
        </w:tblCellMar>
        <w:tblLook w:val="04A0" w:firstRow="1" w:lastRow="0" w:firstColumn="1" w:lastColumn="0" w:noHBand="0" w:noVBand="1"/>
        <w:tblCaption w:val="af9328bb-4bdc-47eb-8641-2eb2b9f3893a"/>
        <w:tblDescription w:val="{&quot;UUID&quot;:&quot;afsaddin_tabledata_2_56437_af9328bb-4bdc-47eb-8641-2eb2b9f3893a&quot;,&quot;TitleRowCount&quot;:2,&quot;SplitedTable&quot;:false,&quot;FirstTableId&quot;:&quot;af9328bb-4bdc-47eb-8641-2eb2b9f3893a&quot;}"/>
      </w:tblPr>
      <w:tblGrid>
        <w:gridCol w:w="3417"/>
        <w:gridCol w:w="113"/>
        <w:gridCol w:w="2278"/>
        <w:gridCol w:w="113"/>
        <w:gridCol w:w="113"/>
        <w:gridCol w:w="2278"/>
        <w:gridCol w:w="113"/>
      </w:tblGrid>
      <w:tr w:rsidR="00AD5BB5">
        <w:tc>
          <w:tcPr>
            <w:tcW w:w="3417"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当期资产负债表日</w:instrText>
            </w:r>
            <w:r>
              <w:rPr>
                <w:rFonts w:ascii="Arial" w:eastAsia="黑体" w:hAnsi="Arial" w:cs="Arial"/>
                <w:szCs w:val="21"/>
              </w:rPr>
              <w:instrText xml:space="preserve"> </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t>年</w:t>
            </w:r>
            <w:r>
              <w:rPr>
                <w:rFonts w:ascii="Arial" w:eastAsia="黑体" w:hAnsi="Arial" w:cs="Arial"/>
                <w:szCs w:val="21"/>
              </w:rPr>
              <w:t>6</w:t>
            </w:r>
            <w:r>
              <w:rPr>
                <w:rFonts w:ascii="Arial" w:eastAsia="黑体" w:hAnsi="Arial" w:cs="Arial"/>
                <w:szCs w:val="21"/>
              </w:rPr>
              <w:t>月</w:t>
            </w:r>
            <w:r>
              <w:rPr>
                <w:rFonts w:ascii="Arial" w:eastAsia="黑体" w:hAnsi="Arial" w:cs="Arial"/>
                <w:szCs w:val="21"/>
              </w:rPr>
              <w:t>30</w:t>
            </w:r>
            <w:r>
              <w:rPr>
                <w:rFonts w:ascii="Arial" w:eastAsia="黑体" w:hAnsi="Arial" w:cs="Arial"/>
                <w:szCs w:val="21"/>
              </w:rPr>
              <w:t>日</w:t>
            </w:r>
            <w:r>
              <w:rPr>
                <w:rFonts w:ascii="Arial" w:eastAsia="黑体" w:hAnsi="Arial" w:cs="Arial"/>
                <w:szCs w:val="21"/>
              </w:rPr>
              <w:fldChar w:fldCharType="end"/>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227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t>2022</w:t>
            </w:r>
            <w:r>
              <w:rPr>
                <w:rFonts w:ascii="Arial" w:eastAsia="黑体" w:hAnsi="Arial" w:cs="Arial"/>
                <w:szCs w:val="21"/>
              </w:rPr>
              <w:t>年</w:t>
            </w:r>
            <w:r>
              <w:rPr>
                <w:rFonts w:ascii="Arial" w:eastAsia="黑体" w:hAnsi="Arial" w:cs="Arial"/>
                <w:szCs w:val="21"/>
              </w:rPr>
              <w:t>12</w:t>
            </w:r>
            <w:r>
              <w:rPr>
                <w:rFonts w:ascii="Arial" w:eastAsia="黑体" w:hAnsi="Arial" w:cs="Arial"/>
                <w:szCs w:val="21"/>
              </w:rPr>
              <w:t>月</w:t>
            </w:r>
            <w:r>
              <w:rPr>
                <w:rFonts w:ascii="Arial" w:eastAsia="黑体" w:hAnsi="Arial" w:cs="Arial"/>
                <w:szCs w:val="21"/>
              </w:rPr>
              <w:t>31</w:t>
            </w:r>
            <w:r>
              <w:rPr>
                <w:rFonts w:ascii="Arial" w:eastAsia="黑体" w:hAnsi="Arial" w:cs="Arial"/>
                <w:szCs w:val="21"/>
              </w:rPr>
              <w:t>日</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r>
      <w:tr w:rsidR="00AD5BB5">
        <w:tc>
          <w:tcPr>
            <w:tcW w:w="3417"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8"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2278"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r>
      <w:tr w:rsidR="00AD5BB5">
        <w:tc>
          <w:tcPr>
            <w:tcW w:w="341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境内银行同业</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7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rPr>
              <w:t>1,740,000,097.35</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4,685,002,107.16</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41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境内其他金融机构</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7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rPr>
              <w:t>8,099,791,060.86</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8,507,076,166.78</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41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境外银行同业</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78"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rPr>
              <w:t>26,888,689.87</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8"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26,771,996.86</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417"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8"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8"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r>
      <w:tr w:rsidR="00AD5BB5">
        <w:tc>
          <w:tcPr>
            <w:tcW w:w="3417"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小计</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78"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rPr>
              <w:t>9,866,679,848.08</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8"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t>13,218,850,270.80</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417"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78"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8"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417"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应计利息</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78"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289,928,638.96</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8"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t>210,201,790.45</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rPr>
          <w:trHeight w:val="110"/>
        </w:trPr>
        <w:tc>
          <w:tcPr>
            <w:tcW w:w="3417"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78"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8"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417"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合计</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8"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rPr>
              <w:t>10,156,608,487.04</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8"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13,429,052,061.25</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bl>
    <w:p w:rsidR="00AD5BB5" w:rsidRDefault="00F87FF6">
      <w:pPr>
        <w:rPr>
          <w:rFonts w:ascii="Arial" w:eastAsia="黑体" w:hAnsi="Arial" w:cs="Arial"/>
          <w:bCs/>
          <w:szCs w:val="21"/>
          <w:lang w:val="en-GB"/>
        </w:rPr>
      </w:pPr>
      <w:r>
        <w:rPr>
          <w:rFonts w:ascii="Arial" w:eastAsia="黑体" w:hAnsi="Arial" w:cs="Arial"/>
          <w:bCs/>
          <w:szCs w:val="21"/>
          <w:lang w:val="en-GB"/>
        </w:rPr>
        <w:br w:type="page"/>
      </w:r>
    </w:p>
    <w:p w:rsidR="00AD5BB5" w:rsidRDefault="00AD5BB5">
      <w:pPr>
        <w:overflowPunct w:val="0"/>
        <w:autoSpaceDE w:val="0"/>
        <w:autoSpaceDN w:val="0"/>
        <w:adjustRightInd w:val="0"/>
        <w:snapToGrid w:val="0"/>
        <w:textAlignment w:val="bottom"/>
        <w:rPr>
          <w:rFonts w:ascii="Arial" w:eastAsia="黑体" w:hAnsi="Arial" w:cs="Arial"/>
          <w:bCs/>
          <w:szCs w:val="21"/>
          <w:lang w:val="en-GB"/>
        </w:rPr>
      </w:pPr>
    </w:p>
    <w:p w:rsidR="00AD5BB5" w:rsidRDefault="00AD5BB5">
      <w:pPr>
        <w:overflowPunct w:val="0"/>
        <w:autoSpaceDE w:val="0"/>
        <w:autoSpaceDN w:val="0"/>
        <w:adjustRightInd w:val="0"/>
        <w:snapToGrid w:val="0"/>
        <w:textAlignment w:val="bottom"/>
        <w:rPr>
          <w:rFonts w:ascii="Arial" w:eastAsia="黑体" w:hAnsi="Arial" w:cs="Arial"/>
          <w:bCs/>
          <w:szCs w:val="21"/>
          <w:lang w:val="en-GB"/>
        </w:rPr>
      </w:pPr>
    </w:p>
    <w:p w:rsidR="00AD5BB5" w:rsidRDefault="00F87FF6">
      <w:pPr>
        <w:tabs>
          <w:tab w:val="left" w:pos="709"/>
        </w:tabs>
        <w:overflowPunct w:val="0"/>
        <w:autoSpaceDE w:val="0"/>
        <w:autoSpaceDN w:val="0"/>
        <w:adjustRightInd w:val="0"/>
        <w:snapToGrid w:val="0"/>
        <w:ind w:left="709" w:hanging="709"/>
        <w:textAlignment w:val="bottom"/>
        <w:rPr>
          <w:rFonts w:ascii="Arial" w:eastAsia="黑体" w:hAnsi="Arial" w:cs="Arial"/>
          <w:b/>
          <w:bCs/>
          <w:szCs w:val="21"/>
          <w:lang w:val="en-GB"/>
        </w:rPr>
      </w:pPr>
      <w:bookmarkStart w:id="606" w:name="afsaddin_WithXu_74d6dad5cd184c1190b3c285"/>
      <w:r>
        <w:rPr>
          <w:rFonts w:ascii="Arial" w:eastAsia="黑体" w:hAnsi="Arial" w:cs="Arial"/>
          <w:b/>
          <w:bCs/>
          <w:szCs w:val="21"/>
          <w:lang w:val="en-GB"/>
        </w:rPr>
        <w:t>十四、公司财务报表主要项目注释（续）</w:t>
      </w:r>
      <w:bookmarkEnd w:id="606"/>
    </w:p>
    <w:p w:rsidR="00AD5BB5" w:rsidRDefault="00AD5BB5">
      <w:pPr>
        <w:tabs>
          <w:tab w:val="left" w:pos="709"/>
        </w:tabs>
        <w:overflowPunct w:val="0"/>
        <w:autoSpaceDE w:val="0"/>
        <w:autoSpaceDN w:val="0"/>
        <w:adjustRightInd w:val="0"/>
        <w:snapToGrid w:val="0"/>
        <w:textAlignment w:val="bottom"/>
        <w:rPr>
          <w:rFonts w:ascii="Arial" w:eastAsia="黑体" w:hAnsi="Arial" w:cs="Arial"/>
          <w:bCs/>
          <w:szCs w:val="21"/>
          <w:lang w:val="en-GB"/>
        </w:rPr>
      </w:pPr>
    </w:p>
    <w:p w:rsidR="00AD5BB5" w:rsidRDefault="00F87FF6">
      <w:pPr>
        <w:pStyle w:val="af5"/>
        <w:overflowPunct w:val="0"/>
        <w:autoSpaceDE w:val="0"/>
        <w:autoSpaceDN w:val="0"/>
        <w:adjustRightInd w:val="0"/>
        <w:snapToGrid w:val="0"/>
        <w:spacing w:before="0" w:after="0"/>
        <w:ind w:left="686" w:hanging="686"/>
        <w:jc w:val="both"/>
        <w:textAlignment w:val="bottom"/>
        <w:outlineLvl w:val="2"/>
        <w:rPr>
          <w:rFonts w:ascii="Arial" w:eastAsia="黑体" w:hAnsi="Arial" w:cs="Arial" w:hint="default"/>
          <w:bCs w:val="0"/>
          <w:snapToGrid w:val="0"/>
          <w:color w:val="auto"/>
          <w:sz w:val="21"/>
          <w:szCs w:val="21"/>
        </w:rPr>
      </w:pPr>
      <w:bookmarkStart w:id="607" w:name="afsaddin_Section_76f888d654a4407b950eb1c"/>
      <w:r>
        <w:rPr>
          <w:rFonts w:ascii="Arial" w:eastAsia="黑体" w:hAnsi="Arial" w:cs="Arial" w:hint="default"/>
          <w:bCs w:val="0"/>
          <w:snapToGrid w:val="0"/>
          <w:color w:val="auto"/>
          <w:sz w:val="21"/>
          <w:szCs w:val="21"/>
        </w:rPr>
        <w:t>5.</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拆入资金</w:t>
      </w:r>
    </w:p>
    <w:bookmarkEnd w:id="607"/>
    <w:p w:rsidR="00AD5BB5" w:rsidRDefault="00AD5BB5">
      <w:pPr>
        <w:overflowPunct w:val="0"/>
        <w:autoSpaceDE w:val="0"/>
        <w:autoSpaceDN w:val="0"/>
        <w:adjustRightInd w:val="0"/>
        <w:snapToGrid w:val="0"/>
        <w:textAlignment w:val="bottom"/>
        <w:rPr>
          <w:rFonts w:ascii="Arial" w:eastAsia="黑体" w:hAnsi="Arial" w:cs="Arial"/>
          <w:bCs/>
          <w:szCs w:val="21"/>
          <w:lang w:val="en-GB"/>
        </w:rPr>
      </w:pPr>
    </w:p>
    <w:tbl>
      <w:tblPr>
        <w:tblW w:w="0" w:type="auto"/>
        <w:tblLayout w:type="fixed"/>
        <w:tblCellMar>
          <w:left w:w="0" w:type="dxa"/>
          <w:right w:w="0" w:type="dxa"/>
        </w:tblCellMar>
        <w:tblLook w:val="04A0" w:firstRow="1" w:lastRow="0" w:firstColumn="1" w:lastColumn="0" w:noHBand="0" w:noVBand="1"/>
        <w:tblCaption w:val="a377b4fe-ab09-4bba-9911-34e89f83bc1c"/>
        <w:tblDescription w:val="{&quot;UUID&quot;:&quot;afsaddin_tabledata_2_56437_a377b4fe-ab09-4bba-9911-34e89f83bc1c&quot;,&quot;TitleRowCount&quot;:2,&quot;SplitedTable&quot;:false,&quot;FirstTableId&quot;:&quot;a377b4fe-ab09-4bba-9911-34e89f83bc1c&quot;}"/>
      </w:tblPr>
      <w:tblGrid>
        <w:gridCol w:w="3417"/>
        <w:gridCol w:w="113"/>
        <w:gridCol w:w="2278"/>
        <w:gridCol w:w="113"/>
        <w:gridCol w:w="113"/>
        <w:gridCol w:w="2278"/>
        <w:gridCol w:w="113"/>
      </w:tblGrid>
      <w:tr w:rsidR="00AD5BB5">
        <w:tc>
          <w:tcPr>
            <w:tcW w:w="3417"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 DOCPROPERTY </w:instrText>
            </w:r>
            <w:r>
              <w:rPr>
                <w:rFonts w:ascii="Arial" w:eastAsia="黑体" w:hAnsi="Arial" w:cs="Arial"/>
                <w:szCs w:val="21"/>
              </w:rPr>
              <w:instrText>当期资产负债表日</w:instrText>
            </w:r>
            <w:r>
              <w:rPr>
                <w:rFonts w:ascii="Arial" w:eastAsia="黑体" w:hAnsi="Arial" w:cs="Arial"/>
                <w:szCs w:val="21"/>
              </w:rPr>
              <w:instrText xml:space="preserve"> </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t>年</w:t>
            </w:r>
            <w:r>
              <w:rPr>
                <w:rFonts w:ascii="Arial" w:eastAsia="黑体" w:hAnsi="Arial" w:cs="Arial"/>
                <w:szCs w:val="21"/>
              </w:rPr>
              <w:t>6</w:t>
            </w:r>
            <w:r>
              <w:rPr>
                <w:rFonts w:ascii="Arial" w:eastAsia="黑体" w:hAnsi="Arial" w:cs="Arial"/>
                <w:szCs w:val="21"/>
              </w:rPr>
              <w:t>月</w:t>
            </w:r>
            <w:r>
              <w:rPr>
                <w:rFonts w:ascii="Arial" w:eastAsia="黑体" w:hAnsi="Arial" w:cs="Arial"/>
                <w:szCs w:val="21"/>
              </w:rPr>
              <w:t>30</w:t>
            </w:r>
            <w:r>
              <w:rPr>
                <w:rFonts w:ascii="Arial" w:eastAsia="黑体" w:hAnsi="Arial" w:cs="Arial"/>
                <w:szCs w:val="21"/>
              </w:rPr>
              <w:t>日</w:t>
            </w:r>
            <w:r>
              <w:rPr>
                <w:rFonts w:ascii="Arial" w:eastAsia="黑体" w:hAnsi="Arial" w:cs="Arial"/>
                <w:szCs w:val="21"/>
              </w:rPr>
              <w:fldChar w:fldCharType="end"/>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227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t>2022</w:t>
            </w:r>
            <w:r>
              <w:rPr>
                <w:rFonts w:ascii="Arial" w:eastAsia="黑体" w:hAnsi="Arial" w:cs="Arial"/>
                <w:szCs w:val="21"/>
              </w:rPr>
              <w:t>年</w:t>
            </w:r>
            <w:r>
              <w:rPr>
                <w:rFonts w:ascii="Arial" w:eastAsia="黑体" w:hAnsi="Arial" w:cs="Arial"/>
                <w:szCs w:val="21"/>
              </w:rPr>
              <w:t>12</w:t>
            </w:r>
            <w:r>
              <w:rPr>
                <w:rFonts w:ascii="Arial" w:eastAsia="黑体" w:hAnsi="Arial" w:cs="Arial"/>
                <w:szCs w:val="21"/>
              </w:rPr>
              <w:t>月</w:t>
            </w:r>
            <w:r>
              <w:rPr>
                <w:rFonts w:ascii="Arial" w:eastAsia="黑体" w:hAnsi="Arial" w:cs="Arial"/>
                <w:szCs w:val="21"/>
              </w:rPr>
              <w:t>31</w:t>
            </w:r>
            <w:r>
              <w:rPr>
                <w:rFonts w:ascii="Arial" w:eastAsia="黑体" w:hAnsi="Arial" w:cs="Arial"/>
                <w:szCs w:val="21"/>
              </w:rPr>
              <w:t>日</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r>
      <w:tr w:rsidR="00AD5BB5">
        <w:tc>
          <w:tcPr>
            <w:tcW w:w="3417"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8"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2278"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r>
      <w:tr w:rsidR="00AD5BB5">
        <w:tc>
          <w:tcPr>
            <w:tcW w:w="341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color w:val="000000"/>
                <w:szCs w:val="21"/>
              </w:rPr>
              <w:t>境内银行同业</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7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14,053,202,649.21</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8"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12,067,148,576.36</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417"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10" w:hangingChars="100" w:hanging="210"/>
              <w:rPr>
                <w:rFonts w:ascii="Arial" w:eastAsia="黑体" w:hAnsi="Arial" w:cs="Arial"/>
                <w:color w:val="000000"/>
                <w:szCs w:val="21"/>
              </w:rPr>
            </w:pPr>
            <w:r>
              <w:rPr>
                <w:rFonts w:ascii="Arial" w:eastAsia="黑体" w:hAnsi="Arial" w:cs="Arial"/>
                <w:snapToGrid w:val="0"/>
                <w:szCs w:val="21"/>
              </w:rPr>
              <w:t>境内其他金融机构</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78"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8"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700,000,000.00</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417"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8"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8"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r>
      <w:tr w:rsidR="00AD5BB5">
        <w:tc>
          <w:tcPr>
            <w:tcW w:w="3417"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小计</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78"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14,053,202,649.21</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8"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t>12,767,148,576.36</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417"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78"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8"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417"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应计利息</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78"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48,553,016.03</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8" w:type="dxa"/>
            <w:tcBorders>
              <w:top w:val="nil"/>
              <w:left w:val="nil"/>
              <w:bottom w:val="single" w:sz="4" w:space="0" w:color="auto"/>
              <w:right w:val="nil"/>
            </w:tcBorders>
            <w:shd w:val="clear" w:color="auto"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szCs w:val="21"/>
              </w:rPr>
            </w:pPr>
            <w:r>
              <w:rPr>
                <w:rFonts w:ascii="Arial" w:eastAsia="黑体" w:hAnsi="Arial" w:cs="Arial"/>
                <w:szCs w:val="21"/>
              </w:rPr>
              <w:t>29,614,521.80</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417" w:type="dxa"/>
            <w:tcBorders>
              <w:top w:val="nil"/>
              <w:left w:val="nil"/>
              <w:bottom w:val="nil"/>
              <w:right w:val="nil"/>
            </w:tcBorders>
            <w:shd w:val="clear" w:color="auto" w:fill="auto"/>
            <w:noWrap/>
            <w:vAlign w:val="center"/>
          </w:tcPr>
          <w:p w:rsidR="00AD5BB5" w:rsidRDefault="00AD5BB5">
            <w:pPr>
              <w:kinsoku w:val="0"/>
              <w:overflowPunct w:val="0"/>
              <w:autoSpaceDE w:val="0"/>
              <w:autoSpaceDN w:val="0"/>
              <w:adjustRightInd w:val="0"/>
              <w:snapToGrid w:val="0"/>
              <w:ind w:left="315" w:hangingChars="150" w:hanging="315"/>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278"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8"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417" w:type="dxa"/>
            <w:tcBorders>
              <w:top w:val="nil"/>
              <w:left w:val="nil"/>
              <w:bottom w:val="nil"/>
              <w:right w:val="nil"/>
            </w:tcBorders>
            <w:shd w:val="clear" w:color="auto" w:fill="auto"/>
            <w:noWrap/>
            <w:vAlign w:val="center"/>
          </w:tcPr>
          <w:p w:rsidR="00AD5BB5" w:rsidRDefault="00F87FF6">
            <w:pPr>
              <w:kinsoku w:val="0"/>
              <w:overflowPunct w:val="0"/>
              <w:autoSpaceDE w:val="0"/>
              <w:autoSpaceDN w:val="0"/>
              <w:adjustRightInd w:val="0"/>
              <w:snapToGrid w:val="0"/>
              <w:ind w:left="210" w:hangingChars="100" w:hanging="210"/>
              <w:rPr>
                <w:rFonts w:ascii="Arial" w:eastAsia="黑体" w:hAnsi="Arial" w:cs="Arial"/>
                <w:szCs w:val="21"/>
              </w:rPr>
            </w:pPr>
            <w:r>
              <w:rPr>
                <w:rFonts w:ascii="Arial" w:eastAsia="黑体" w:hAnsi="Arial" w:cs="Arial"/>
                <w:szCs w:val="21"/>
              </w:rPr>
              <w:t>合计</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8"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14,101,755,665.24</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278"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12,796,763,098.16</w:t>
            </w:r>
          </w:p>
        </w:tc>
        <w:tc>
          <w:tcPr>
            <w:tcW w:w="113"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bl>
    <w:p w:rsidR="00AD5BB5" w:rsidRDefault="00AD5BB5">
      <w:pPr>
        <w:overflowPunct w:val="0"/>
        <w:autoSpaceDE w:val="0"/>
        <w:autoSpaceDN w:val="0"/>
        <w:adjustRightInd w:val="0"/>
        <w:snapToGrid w:val="0"/>
        <w:textAlignment w:val="bottom"/>
        <w:rPr>
          <w:rFonts w:ascii="Arial" w:eastAsia="黑体" w:hAnsi="Arial" w:cs="Arial"/>
          <w:bCs/>
          <w:snapToGrid w:val="0"/>
          <w:szCs w:val="21"/>
        </w:rPr>
      </w:pPr>
    </w:p>
    <w:p w:rsidR="00AD5BB5" w:rsidRDefault="00F87FF6">
      <w:pPr>
        <w:pStyle w:val="af5"/>
        <w:overflowPunct w:val="0"/>
        <w:autoSpaceDE w:val="0"/>
        <w:autoSpaceDN w:val="0"/>
        <w:adjustRightInd w:val="0"/>
        <w:snapToGrid w:val="0"/>
        <w:spacing w:before="0" w:after="0"/>
        <w:ind w:left="686" w:hanging="686"/>
        <w:jc w:val="both"/>
        <w:textAlignment w:val="bottom"/>
        <w:outlineLvl w:val="2"/>
        <w:rPr>
          <w:rFonts w:ascii="Arial" w:eastAsia="黑体" w:hAnsi="Arial" w:cs="Arial" w:hint="default"/>
          <w:bCs w:val="0"/>
          <w:snapToGrid w:val="0"/>
          <w:color w:val="auto"/>
          <w:sz w:val="21"/>
          <w:szCs w:val="21"/>
        </w:rPr>
      </w:pPr>
      <w:bookmarkStart w:id="608" w:name="afsaddin_WithXu_811df13d8d544b0890e45d8e"/>
      <w:bookmarkStart w:id="609" w:name="afsaddin_Section_5e7d297a624b4e309fc0470"/>
      <w:bookmarkEnd w:id="608"/>
      <w:r>
        <w:rPr>
          <w:rFonts w:ascii="Arial" w:eastAsia="黑体" w:hAnsi="Arial" w:cs="Arial" w:hint="default"/>
          <w:bCs w:val="0"/>
          <w:snapToGrid w:val="0"/>
          <w:color w:val="auto"/>
          <w:sz w:val="21"/>
          <w:szCs w:val="21"/>
        </w:rPr>
        <w:t>6.</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利息净收入</w:t>
      </w:r>
    </w:p>
    <w:bookmarkEnd w:id="609"/>
    <w:p w:rsidR="00AD5BB5" w:rsidRDefault="00AD5BB5">
      <w:pPr>
        <w:overflowPunct w:val="0"/>
        <w:autoSpaceDE w:val="0"/>
        <w:autoSpaceDN w:val="0"/>
        <w:rPr>
          <w:rFonts w:ascii="Arial" w:eastAsia="黑体" w:hAnsi="Arial" w:cs="Arial"/>
          <w:bCs/>
          <w:snapToGrid w:val="0"/>
          <w:szCs w:val="21"/>
        </w:rPr>
      </w:pPr>
    </w:p>
    <w:tbl>
      <w:tblPr>
        <w:tblW w:w="0" w:type="auto"/>
        <w:tblLayout w:type="fixed"/>
        <w:tblCellMar>
          <w:left w:w="0" w:type="dxa"/>
          <w:right w:w="0" w:type="dxa"/>
        </w:tblCellMar>
        <w:tblLook w:val="04A0" w:firstRow="1" w:lastRow="0" w:firstColumn="1" w:lastColumn="0" w:noHBand="0" w:noVBand="1"/>
        <w:tblCaption w:val="bc8ad2d9-e528-4c07-8842-8089e4fc5a6b"/>
        <w:tblDescription w:val="{&quot;UUID&quot;:&quot;afsaddin_tabledata_2_56437_bc8ad2d9-e528-4c07-8842-8089e4fc5a6b&quot;,&quot;TitleRowCount&quot;:2,&quot;SplitedTable&quot;:false,&quot;FirstTableId&quot;:&quot;bc8ad2d9-e528-4c07-8842-8089e4fc5a6b&quot;}"/>
      </w:tblPr>
      <w:tblGrid>
        <w:gridCol w:w="3417"/>
        <w:gridCol w:w="113"/>
        <w:gridCol w:w="2278"/>
        <w:gridCol w:w="113"/>
        <w:gridCol w:w="113"/>
        <w:gridCol w:w="2278"/>
        <w:gridCol w:w="113"/>
      </w:tblGrid>
      <w:tr w:rsidR="00AD5BB5">
        <w:tc>
          <w:tcPr>
            <w:tcW w:w="3417"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DOCPROPERTY </w:instrText>
            </w:r>
            <w:r>
              <w:rPr>
                <w:rFonts w:ascii="Arial" w:eastAsia="黑体" w:hAnsi="Arial" w:cs="Arial"/>
                <w:szCs w:val="21"/>
              </w:rPr>
              <w:instrText>当期会计期间</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fldChar w:fldCharType="end"/>
            </w:r>
            <w:r>
              <w:rPr>
                <w:rFonts w:ascii="Arial" w:eastAsia="黑体" w:hAnsi="Arial" w:cs="Arial"/>
                <w:szCs w:val="21"/>
              </w:rPr>
              <w:t>年</w:t>
            </w:r>
            <w:r>
              <w:rPr>
                <w:rFonts w:ascii="Arial" w:eastAsia="黑体" w:hAnsi="Arial" w:cs="Arial"/>
                <w:szCs w:val="21"/>
              </w:rPr>
              <w:t>1-6</w:t>
            </w:r>
            <w:r>
              <w:rPr>
                <w:rFonts w:ascii="Arial" w:eastAsia="黑体" w:hAnsi="Arial" w:cs="Arial"/>
                <w:szCs w:val="21"/>
              </w:rPr>
              <w:t>月</w:t>
            </w:r>
          </w:p>
        </w:tc>
        <w:tc>
          <w:tcPr>
            <w:tcW w:w="113"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DOCPROPERTY </w:instrText>
            </w:r>
            <w:r>
              <w:rPr>
                <w:rFonts w:ascii="Arial" w:eastAsia="黑体" w:hAnsi="Arial" w:cs="Arial"/>
                <w:szCs w:val="21"/>
              </w:rPr>
              <w:instrText>对比会计期间</w:instrText>
            </w:r>
            <w:r>
              <w:rPr>
                <w:rFonts w:ascii="Arial" w:eastAsia="黑体" w:hAnsi="Arial" w:cs="Arial"/>
                <w:szCs w:val="21"/>
              </w:rPr>
              <w:fldChar w:fldCharType="separate"/>
            </w:r>
            <w:r>
              <w:rPr>
                <w:rFonts w:ascii="Arial" w:eastAsia="黑体" w:hAnsi="Arial" w:cs="Arial"/>
                <w:szCs w:val="21"/>
              </w:rPr>
              <w:t>2022</w:t>
            </w:r>
            <w:r>
              <w:rPr>
                <w:rFonts w:ascii="Arial" w:eastAsia="黑体" w:hAnsi="Arial" w:cs="Arial"/>
                <w:szCs w:val="21"/>
              </w:rPr>
              <w:fldChar w:fldCharType="end"/>
            </w:r>
            <w:r>
              <w:rPr>
                <w:rFonts w:ascii="Arial" w:eastAsia="黑体" w:hAnsi="Arial" w:cs="Arial"/>
                <w:szCs w:val="21"/>
              </w:rPr>
              <w:t>年</w:t>
            </w:r>
            <w:r>
              <w:rPr>
                <w:rFonts w:ascii="Arial" w:eastAsia="黑体" w:hAnsi="Arial" w:cs="Arial"/>
                <w:szCs w:val="21"/>
              </w:rPr>
              <w:t>1-6</w:t>
            </w:r>
            <w:r>
              <w:rPr>
                <w:rFonts w:ascii="Arial" w:eastAsia="黑体" w:hAnsi="Arial" w:cs="Arial"/>
                <w:szCs w:val="21"/>
              </w:rPr>
              <w:t>月</w:t>
            </w:r>
          </w:p>
        </w:tc>
        <w:tc>
          <w:tcPr>
            <w:tcW w:w="113"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利息收入</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F87FF6">
            <w:pPr>
              <w:autoSpaceDE w:val="0"/>
              <w:autoSpaceDN w:val="0"/>
              <w:ind w:leftChars="100" w:left="420" w:hangingChars="100" w:hanging="210"/>
              <w:rPr>
                <w:rFonts w:ascii="Arial" w:eastAsia="黑体" w:hAnsi="Arial" w:cs="Arial"/>
                <w:szCs w:val="21"/>
              </w:rPr>
            </w:pPr>
            <w:r>
              <w:rPr>
                <w:rFonts w:ascii="Arial" w:eastAsia="黑体" w:hAnsi="Arial" w:cs="Arial"/>
                <w:szCs w:val="21"/>
              </w:rPr>
              <w:t>存放中央银行款项</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112,431,343.16</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113,690,695.27</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F87FF6">
            <w:pPr>
              <w:autoSpaceDE w:val="0"/>
              <w:autoSpaceDN w:val="0"/>
              <w:ind w:leftChars="100" w:left="420" w:hangingChars="100" w:hanging="210"/>
              <w:rPr>
                <w:rFonts w:ascii="Arial" w:eastAsia="黑体" w:hAnsi="Arial" w:cs="Arial"/>
                <w:szCs w:val="21"/>
              </w:rPr>
            </w:pPr>
            <w:r>
              <w:rPr>
                <w:rFonts w:ascii="Arial" w:eastAsia="黑体" w:hAnsi="Arial" w:cs="Arial"/>
                <w:szCs w:val="21"/>
              </w:rPr>
              <w:t>存放同业及其他金融机构款项</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88,312,437.32</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235,162,956.32</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F87FF6">
            <w:pPr>
              <w:autoSpaceDE w:val="0"/>
              <w:autoSpaceDN w:val="0"/>
              <w:ind w:leftChars="100" w:left="420" w:hangingChars="100" w:hanging="210"/>
              <w:rPr>
                <w:rFonts w:ascii="Arial" w:eastAsia="黑体" w:hAnsi="Arial" w:cs="Arial"/>
                <w:szCs w:val="21"/>
              </w:rPr>
            </w:pPr>
            <w:r>
              <w:rPr>
                <w:rFonts w:ascii="Arial" w:eastAsia="黑体" w:hAnsi="Arial" w:cs="Arial"/>
                <w:szCs w:val="21"/>
              </w:rPr>
              <w:t>拆出资金</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299,686,658.32</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198,976,058.25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F87FF6">
            <w:pPr>
              <w:autoSpaceDE w:val="0"/>
              <w:autoSpaceDN w:val="0"/>
              <w:ind w:leftChars="100" w:left="420" w:hangingChars="100" w:hanging="210"/>
              <w:rPr>
                <w:rFonts w:ascii="Arial" w:eastAsia="黑体" w:hAnsi="Arial" w:cs="Arial"/>
                <w:szCs w:val="21"/>
              </w:rPr>
            </w:pPr>
            <w:r>
              <w:rPr>
                <w:rFonts w:ascii="Arial" w:eastAsia="黑体" w:hAnsi="Arial" w:cs="Arial"/>
                <w:szCs w:val="21"/>
              </w:rPr>
              <w:t>买入返售金融资产</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12,139,631.81</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15,430,118.47</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F87FF6">
            <w:pPr>
              <w:autoSpaceDE w:val="0"/>
              <w:autoSpaceDN w:val="0"/>
              <w:ind w:leftChars="100" w:left="420" w:hangingChars="100" w:hanging="210"/>
              <w:rPr>
                <w:rFonts w:ascii="Arial" w:eastAsia="黑体" w:hAnsi="Arial" w:cs="Arial"/>
                <w:szCs w:val="21"/>
              </w:rPr>
            </w:pPr>
            <w:r>
              <w:rPr>
                <w:rFonts w:ascii="Arial" w:eastAsia="黑体" w:hAnsi="Arial" w:cs="Arial"/>
                <w:szCs w:val="21"/>
              </w:rPr>
              <w:t>发放贷款及垫款</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F87FF6">
            <w:pPr>
              <w:autoSpaceDE w:val="0"/>
              <w:autoSpaceDN w:val="0"/>
              <w:ind w:leftChars="100" w:left="420" w:hangingChars="100" w:hanging="210"/>
              <w:rPr>
                <w:rFonts w:ascii="Arial" w:eastAsia="黑体" w:hAnsi="Arial" w:cs="Arial"/>
                <w:szCs w:val="21"/>
              </w:rPr>
            </w:pPr>
            <w:r>
              <w:rPr>
                <w:rFonts w:ascii="Arial" w:eastAsia="黑体" w:hAnsi="Arial" w:cs="Arial"/>
                <w:szCs w:val="21"/>
              </w:rPr>
              <w:t>—</w:t>
            </w:r>
            <w:r>
              <w:rPr>
                <w:rFonts w:ascii="Arial" w:eastAsia="黑体" w:hAnsi="Arial" w:cs="Arial"/>
                <w:szCs w:val="21"/>
              </w:rPr>
              <w:t>贷款</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3,719,807,696.46</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3,691,300,165.85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F87FF6">
            <w:pPr>
              <w:autoSpaceDE w:val="0"/>
              <w:autoSpaceDN w:val="0"/>
              <w:ind w:leftChars="100" w:left="420" w:hangingChars="100" w:hanging="210"/>
              <w:rPr>
                <w:rFonts w:ascii="Arial" w:eastAsia="黑体" w:hAnsi="Arial" w:cs="Arial"/>
                <w:szCs w:val="21"/>
              </w:rPr>
            </w:pPr>
            <w:r>
              <w:rPr>
                <w:rFonts w:ascii="Arial" w:eastAsia="黑体" w:hAnsi="Arial" w:cs="Arial"/>
                <w:szCs w:val="21"/>
              </w:rPr>
              <w:t>—</w:t>
            </w:r>
            <w:r>
              <w:rPr>
                <w:rFonts w:ascii="Arial" w:eastAsia="黑体" w:hAnsi="Arial" w:cs="Arial"/>
                <w:szCs w:val="21"/>
              </w:rPr>
              <w:t>贴现</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167,214,839.96</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204,880,298.89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F87FF6">
            <w:pPr>
              <w:autoSpaceDE w:val="0"/>
              <w:autoSpaceDN w:val="0"/>
              <w:ind w:leftChars="100" w:left="420" w:hangingChars="100" w:hanging="210"/>
              <w:rPr>
                <w:rFonts w:ascii="Arial" w:eastAsia="黑体" w:hAnsi="Arial" w:cs="Arial"/>
                <w:szCs w:val="21"/>
              </w:rPr>
            </w:pPr>
            <w:r>
              <w:rPr>
                <w:rFonts w:ascii="Arial" w:eastAsia="黑体" w:hAnsi="Arial" w:cs="Arial"/>
                <w:szCs w:val="21"/>
              </w:rPr>
              <w:t>债券及其他投资</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1,350,376,447.97</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1,244,519,874.44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小计</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5,749,969,055.00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5,703,960,167.49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F87FF6">
            <w:pPr>
              <w:autoSpaceDE w:val="0"/>
              <w:autoSpaceDN w:val="0"/>
              <w:ind w:left="840" w:hangingChars="400" w:hanging="840"/>
              <w:rPr>
                <w:rFonts w:ascii="Arial" w:eastAsia="黑体" w:hAnsi="Arial" w:cs="Arial"/>
                <w:szCs w:val="21"/>
              </w:rPr>
            </w:pPr>
            <w:r>
              <w:rPr>
                <w:rFonts w:ascii="Arial" w:eastAsia="黑体" w:hAnsi="Arial" w:cs="Arial"/>
                <w:szCs w:val="21"/>
              </w:rPr>
              <w:t>其中：已减值金融资产利息收入</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13,914,103.10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16,826,004.69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利息支出</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F87FF6">
            <w:pPr>
              <w:autoSpaceDE w:val="0"/>
              <w:autoSpaceDN w:val="0"/>
              <w:ind w:leftChars="100" w:left="420" w:hangingChars="100" w:hanging="210"/>
              <w:rPr>
                <w:rFonts w:ascii="Arial" w:eastAsia="黑体" w:hAnsi="Arial" w:cs="Arial"/>
                <w:szCs w:val="21"/>
              </w:rPr>
            </w:pPr>
            <w:r>
              <w:rPr>
                <w:rFonts w:ascii="Arial" w:eastAsia="黑体" w:hAnsi="Arial" w:cs="Arial"/>
                <w:szCs w:val="21"/>
              </w:rPr>
              <w:t>向中央银行借款</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84,718,610.05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92,525,458.33</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F87FF6">
            <w:pPr>
              <w:autoSpaceDE w:val="0"/>
              <w:autoSpaceDN w:val="0"/>
              <w:ind w:leftChars="100" w:left="420" w:hangingChars="100" w:hanging="210"/>
              <w:rPr>
                <w:rFonts w:ascii="Arial" w:eastAsia="黑体" w:hAnsi="Arial" w:cs="Arial"/>
                <w:szCs w:val="21"/>
              </w:rPr>
            </w:pPr>
            <w:r>
              <w:rPr>
                <w:rFonts w:ascii="Arial" w:eastAsia="黑体" w:hAnsi="Arial" w:cs="Arial"/>
                <w:szCs w:val="21"/>
              </w:rPr>
              <w:t>同业及其他金融机构存放款项</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201,835,509.65</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68,264,048.01</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F87FF6">
            <w:pPr>
              <w:autoSpaceDE w:val="0"/>
              <w:autoSpaceDN w:val="0"/>
              <w:ind w:leftChars="100" w:left="420" w:hangingChars="100" w:hanging="210"/>
              <w:rPr>
                <w:rFonts w:ascii="Arial" w:eastAsia="黑体" w:hAnsi="Arial" w:cs="Arial"/>
                <w:szCs w:val="21"/>
              </w:rPr>
            </w:pPr>
            <w:r>
              <w:rPr>
                <w:rFonts w:ascii="Arial" w:eastAsia="黑体" w:hAnsi="Arial" w:cs="Arial"/>
                <w:szCs w:val="21"/>
              </w:rPr>
              <w:t>拆入资金</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254,906,002.50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168,822,127.98</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F87FF6">
            <w:pPr>
              <w:autoSpaceDE w:val="0"/>
              <w:autoSpaceDN w:val="0"/>
              <w:ind w:leftChars="100" w:left="420" w:hangingChars="100" w:hanging="210"/>
              <w:rPr>
                <w:rFonts w:ascii="Arial" w:eastAsia="黑体" w:hAnsi="Arial" w:cs="Arial"/>
                <w:szCs w:val="21"/>
              </w:rPr>
            </w:pPr>
            <w:r>
              <w:rPr>
                <w:rFonts w:ascii="Arial" w:eastAsia="黑体" w:hAnsi="Arial" w:cs="Arial"/>
                <w:szCs w:val="21"/>
              </w:rPr>
              <w:t>卖出回购金融资产款</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135,942,725.57</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160,431,413.73</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F87FF6">
            <w:pPr>
              <w:autoSpaceDE w:val="0"/>
              <w:autoSpaceDN w:val="0"/>
              <w:ind w:leftChars="100" w:left="420" w:hangingChars="100" w:hanging="210"/>
              <w:rPr>
                <w:rFonts w:ascii="Arial" w:eastAsia="黑体" w:hAnsi="Arial" w:cs="Arial"/>
                <w:szCs w:val="21"/>
              </w:rPr>
            </w:pPr>
            <w:r>
              <w:rPr>
                <w:rFonts w:ascii="Arial" w:eastAsia="黑体" w:hAnsi="Arial" w:cs="Arial"/>
                <w:szCs w:val="21"/>
              </w:rPr>
              <w:t>吸收存款</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2,217,410,695.23</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2,261,005,443.81</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F87FF6">
            <w:pPr>
              <w:autoSpaceDE w:val="0"/>
              <w:autoSpaceDN w:val="0"/>
              <w:ind w:leftChars="100" w:left="420" w:hangingChars="100" w:hanging="210"/>
              <w:rPr>
                <w:rFonts w:ascii="Arial" w:eastAsia="黑体" w:hAnsi="Arial" w:cs="Arial"/>
                <w:szCs w:val="21"/>
              </w:rPr>
            </w:pPr>
            <w:r>
              <w:rPr>
                <w:rFonts w:ascii="Arial" w:eastAsia="黑体" w:hAnsi="Arial" w:cs="Arial"/>
                <w:szCs w:val="21"/>
              </w:rPr>
              <w:t>应付债券</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925,509,914.60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910,471,224.94</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AD5BB5">
            <w:pPr>
              <w:autoSpaceDE w:val="0"/>
              <w:autoSpaceDN w:val="0"/>
              <w:ind w:leftChars="100" w:left="525" w:hangingChars="150" w:hanging="315"/>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小计</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3,820,323,457.60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3,661,519,716.80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AD5BB5">
            <w:pPr>
              <w:autoSpaceDE w:val="0"/>
              <w:autoSpaceDN w:val="0"/>
              <w:ind w:left="315" w:hangingChars="150" w:hanging="315"/>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利息净收入</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1,929,645,597.40</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2,042,440,450.69</w:t>
            </w:r>
          </w:p>
        </w:tc>
        <w:tc>
          <w:tcPr>
            <w:tcW w:w="113"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bl>
    <w:p w:rsidR="00AD5BB5" w:rsidRDefault="00F87FF6">
      <w:pPr>
        <w:rPr>
          <w:rFonts w:ascii="Arial" w:eastAsia="黑体" w:hAnsi="Arial" w:cs="Arial"/>
          <w:b/>
          <w:bCs/>
          <w:snapToGrid w:val="0"/>
          <w:szCs w:val="21"/>
        </w:rPr>
      </w:pPr>
      <w:r>
        <w:rPr>
          <w:rFonts w:ascii="Arial" w:eastAsia="黑体" w:hAnsi="Arial" w:cs="Arial"/>
          <w:b/>
          <w:bCs/>
          <w:snapToGrid w:val="0"/>
          <w:szCs w:val="21"/>
        </w:rPr>
        <w:br w:type="page"/>
      </w:r>
    </w:p>
    <w:p w:rsidR="00AD5BB5" w:rsidRDefault="00AD5BB5">
      <w:pPr>
        <w:overflowPunct w:val="0"/>
        <w:autoSpaceDE w:val="0"/>
        <w:autoSpaceDN w:val="0"/>
        <w:rPr>
          <w:rFonts w:ascii="Arial" w:eastAsia="黑体" w:hAnsi="Arial" w:cs="Arial"/>
          <w:b/>
          <w:bCs/>
          <w:snapToGrid w:val="0"/>
          <w:szCs w:val="21"/>
        </w:rPr>
      </w:pPr>
    </w:p>
    <w:p w:rsidR="00AD5BB5" w:rsidRDefault="00AD5BB5">
      <w:pPr>
        <w:overflowPunct w:val="0"/>
        <w:autoSpaceDE w:val="0"/>
        <w:autoSpaceDN w:val="0"/>
        <w:rPr>
          <w:rFonts w:ascii="Arial" w:eastAsia="黑体" w:hAnsi="Arial" w:cs="Arial"/>
          <w:b/>
          <w:bCs/>
          <w:snapToGrid w:val="0"/>
          <w:szCs w:val="21"/>
        </w:rPr>
      </w:pPr>
    </w:p>
    <w:p w:rsidR="00AD5BB5" w:rsidRDefault="00F87FF6">
      <w:pPr>
        <w:tabs>
          <w:tab w:val="left" w:pos="709"/>
        </w:tabs>
        <w:overflowPunct w:val="0"/>
        <w:autoSpaceDE w:val="0"/>
        <w:autoSpaceDN w:val="0"/>
        <w:ind w:left="709" w:hanging="709"/>
        <w:rPr>
          <w:rFonts w:ascii="Arial" w:eastAsia="黑体" w:hAnsi="Arial" w:cs="Arial"/>
          <w:b/>
          <w:bCs/>
          <w:snapToGrid w:val="0"/>
          <w:szCs w:val="21"/>
        </w:rPr>
      </w:pPr>
      <w:bookmarkStart w:id="610" w:name="afsaddin_WithXu_f6214f874bd34d01a4c76faa"/>
      <w:r>
        <w:rPr>
          <w:rFonts w:ascii="Arial" w:eastAsia="黑体" w:hAnsi="Arial" w:cs="Arial"/>
          <w:b/>
          <w:bCs/>
          <w:snapToGrid w:val="0"/>
          <w:szCs w:val="21"/>
        </w:rPr>
        <w:t>十四、公司财务报表主要项目注释（续）</w:t>
      </w:r>
      <w:bookmarkEnd w:id="610"/>
    </w:p>
    <w:p w:rsidR="00AD5BB5" w:rsidRDefault="00AD5BB5">
      <w:pPr>
        <w:tabs>
          <w:tab w:val="left" w:pos="709"/>
        </w:tabs>
        <w:overflowPunct w:val="0"/>
        <w:autoSpaceDE w:val="0"/>
        <w:autoSpaceDN w:val="0"/>
        <w:rPr>
          <w:rFonts w:ascii="Arial" w:eastAsia="黑体" w:hAnsi="Arial" w:cs="Arial"/>
          <w:b/>
          <w:bCs/>
          <w:snapToGrid w:val="0"/>
          <w:szCs w:val="21"/>
        </w:rPr>
      </w:pPr>
    </w:p>
    <w:p w:rsidR="00AD5BB5" w:rsidRDefault="00F87FF6">
      <w:pPr>
        <w:pStyle w:val="af5"/>
        <w:overflowPunct w:val="0"/>
        <w:autoSpaceDE w:val="0"/>
        <w:autoSpaceDN w:val="0"/>
        <w:adjustRightInd w:val="0"/>
        <w:snapToGrid w:val="0"/>
        <w:spacing w:before="0" w:after="0"/>
        <w:ind w:left="686" w:hanging="686"/>
        <w:jc w:val="both"/>
        <w:textAlignment w:val="bottom"/>
        <w:outlineLvl w:val="2"/>
        <w:rPr>
          <w:rFonts w:ascii="Arial" w:eastAsia="黑体" w:hAnsi="Arial" w:cs="Arial" w:hint="default"/>
          <w:bCs w:val="0"/>
          <w:snapToGrid w:val="0"/>
          <w:color w:val="auto"/>
          <w:sz w:val="21"/>
          <w:szCs w:val="21"/>
        </w:rPr>
      </w:pPr>
      <w:bookmarkStart w:id="611" w:name="afsaddin_WithXu_5c6c6ec5dc1b44aa9c6b3993"/>
      <w:bookmarkStart w:id="612" w:name="afsaddin_Section_bb0ed3655cf64569b75cb2f"/>
      <w:bookmarkEnd w:id="611"/>
      <w:r>
        <w:rPr>
          <w:rFonts w:ascii="Arial" w:eastAsia="黑体" w:hAnsi="Arial" w:cs="Arial" w:hint="default"/>
          <w:bCs w:val="0"/>
          <w:snapToGrid w:val="0"/>
          <w:color w:val="auto"/>
          <w:sz w:val="21"/>
          <w:szCs w:val="21"/>
        </w:rPr>
        <w:t>7.</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手续费及佣金净收入</w:t>
      </w:r>
    </w:p>
    <w:bookmarkEnd w:id="612"/>
    <w:p w:rsidR="00AD5BB5" w:rsidRDefault="00AD5BB5">
      <w:pPr>
        <w:overflowPunct w:val="0"/>
        <w:autoSpaceDE w:val="0"/>
        <w:autoSpaceDN w:val="0"/>
        <w:adjustRightInd w:val="0"/>
        <w:snapToGrid w:val="0"/>
        <w:textAlignment w:val="bottom"/>
        <w:rPr>
          <w:rFonts w:ascii="Arial" w:eastAsia="黑体" w:hAnsi="Arial" w:cs="Arial"/>
          <w:snapToGrid w:val="0"/>
          <w:color w:val="000000"/>
          <w:sz w:val="18"/>
          <w:szCs w:val="18"/>
        </w:rPr>
      </w:pPr>
    </w:p>
    <w:tbl>
      <w:tblPr>
        <w:tblW w:w="0" w:type="auto"/>
        <w:tblLayout w:type="fixed"/>
        <w:tblCellMar>
          <w:left w:w="0" w:type="dxa"/>
          <w:right w:w="0" w:type="dxa"/>
        </w:tblCellMar>
        <w:tblLook w:val="04A0" w:firstRow="1" w:lastRow="0" w:firstColumn="1" w:lastColumn="0" w:noHBand="0" w:noVBand="1"/>
        <w:tblCaption w:val="fc3d2e21-37ee-4a1a-9b6a-7512d75f0708"/>
        <w:tblDescription w:val="{&quot;UUID&quot;:&quot;afsaddin_tabledata_2_56437_fc3d2e21-37ee-4a1a-9b6a-7512d75f0708&quot;,&quot;TitleRowCount&quot;:1,&quot;SplitedTable&quot;:false,&quot;FirstTableId&quot;:&quot;fc3d2e21-37ee-4a1a-9b6a-7512d75f0708&quot;}"/>
      </w:tblPr>
      <w:tblGrid>
        <w:gridCol w:w="3417"/>
        <w:gridCol w:w="113"/>
        <w:gridCol w:w="2278"/>
        <w:gridCol w:w="113"/>
        <w:gridCol w:w="113"/>
        <w:gridCol w:w="2278"/>
        <w:gridCol w:w="113"/>
      </w:tblGrid>
      <w:tr w:rsidR="00AD5BB5">
        <w:tc>
          <w:tcPr>
            <w:tcW w:w="3417" w:type="dxa"/>
            <w:tcBorders>
              <w:top w:val="nil"/>
              <w:left w:val="nil"/>
              <w:bottom w:val="nil"/>
              <w:right w:val="nil"/>
            </w:tcBorders>
            <w:shd w:val="clear" w:color="auto" w:fill="auto"/>
            <w:vAlign w:val="bottom"/>
          </w:tcPr>
          <w:p w:rsidR="00AD5BB5" w:rsidRDefault="00AD5BB5">
            <w:pPr>
              <w:autoSpaceDE w:val="0"/>
              <w:autoSpaceDN w:val="0"/>
              <w:ind w:left="315" w:hangingChars="150" w:hanging="315"/>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DOCPROPERTY </w:instrText>
            </w:r>
            <w:r>
              <w:rPr>
                <w:rFonts w:ascii="Arial" w:eastAsia="黑体" w:hAnsi="Arial" w:cs="Arial"/>
                <w:szCs w:val="21"/>
              </w:rPr>
              <w:instrText>当期会计期间</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fldChar w:fldCharType="end"/>
            </w:r>
            <w:r>
              <w:rPr>
                <w:rFonts w:ascii="Arial" w:eastAsia="黑体" w:hAnsi="Arial" w:cs="Arial"/>
                <w:szCs w:val="21"/>
              </w:rPr>
              <w:t>年</w:t>
            </w:r>
            <w:r>
              <w:rPr>
                <w:rFonts w:ascii="Arial" w:eastAsia="黑体" w:hAnsi="Arial" w:cs="Arial"/>
                <w:szCs w:val="21"/>
              </w:rPr>
              <w:t>1-6</w:t>
            </w:r>
            <w:r>
              <w:rPr>
                <w:rFonts w:ascii="Arial" w:eastAsia="黑体" w:hAnsi="Arial" w:cs="Arial"/>
                <w:szCs w:val="21"/>
              </w:rPr>
              <w:t>月</w:t>
            </w:r>
          </w:p>
        </w:tc>
        <w:tc>
          <w:tcPr>
            <w:tcW w:w="113"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Cs w:val="21"/>
              </w:rPr>
            </w:pPr>
          </w:p>
        </w:tc>
        <w:tc>
          <w:tcPr>
            <w:tcW w:w="2278"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DOCPROPERTY </w:instrText>
            </w:r>
            <w:r>
              <w:rPr>
                <w:rFonts w:ascii="Arial" w:eastAsia="黑体" w:hAnsi="Arial" w:cs="Arial"/>
                <w:szCs w:val="21"/>
              </w:rPr>
              <w:instrText>对比会计期间</w:instrText>
            </w:r>
            <w:r>
              <w:rPr>
                <w:rFonts w:ascii="Arial" w:eastAsia="黑体" w:hAnsi="Arial" w:cs="Arial"/>
                <w:szCs w:val="21"/>
              </w:rPr>
              <w:fldChar w:fldCharType="separate"/>
            </w:r>
            <w:r>
              <w:rPr>
                <w:rFonts w:ascii="Arial" w:eastAsia="黑体" w:hAnsi="Arial" w:cs="Arial"/>
                <w:szCs w:val="21"/>
              </w:rPr>
              <w:t>2022</w:t>
            </w:r>
            <w:r>
              <w:rPr>
                <w:rFonts w:ascii="Arial" w:eastAsia="黑体" w:hAnsi="Arial" w:cs="Arial"/>
                <w:szCs w:val="21"/>
              </w:rPr>
              <w:fldChar w:fldCharType="end"/>
            </w:r>
            <w:r>
              <w:rPr>
                <w:rFonts w:ascii="Arial" w:eastAsia="黑体" w:hAnsi="Arial" w:cs="Arial"/>
                <w:szCs w:val="21"/>
              </w:rPr>
              <w:t>年</w:t>
            </w:r>
            <w:r>
              <w:rPr>
                <w:rFonts w:ascii="Arial" w:eastAsia="黑体" w:hAnsi="Arial" w:cs="Arial"/>
                <w:szCs w:val="21"/>
              </w:rPr>
              <w:t>1-6</w:t>
            </w:r>
            <w:r>
              <w:rPr>
                <w:rFonts w:ascii="Arial" w:eastAsia="黑体" w:hAnsi="Arial" w:cs="Arial"/>
                <w:szCs w:val="21"/>
              </w:rPr>
              <w:t>月</w:t>
            </w:r>
          </w:p>
        </w:tc>
        <w:tc>
          <w:tcPr>
            <w:tcW w:w="113"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Cs w:val="21"/>
              </w:rPr>
            </w:pPr>
          </w:p>
        </w:tc>
      </w:tr>
      <w:tr w:rsidR="00AD5BB5">
        <w:tc>
          <w:tcPr>
            <w:tcW w:w="3417" w:type="dxa"/>
            <w:tcBorders>
              <w:top w:val="nil"/>
              <w:left w:val="nil"/>
              <w:bottom w:val="nil"/>
              <w:right w:val="nil"/>
            </w:tcBorders>
            <w:shd w:val="clear" w:color="auto" w:fill="auto"/>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手续费及佣金收入</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shd w:val="clear" w:color="auto" w:fill="auto"/>
            <w:vAlign w:val="bottom"/>
          </w:tcPr>
          <w:p w:rsidR="00AD5BB5" w:rsidRDefault="00F87FF6">
            <w:pPr>
              <w:autoSpaceDE w:val="0"/>
              <w:autoSpaceDN w:val="0"/>
              <w:ind w:leftChars="95" w:left="409" w:hangingChars="100" w:hanging="210"/>
              <w:rPr>
                <w:rFonts w:ascii="Arial" w:eastAsia="黑体" w:hAnsi="Arial" w:cs="Arial"/>
                <w:szCs w:val="21"/>
              </w:rPr>
            </w:pPr>
            <w:r>
              <w:rPr>
                <w:rFonts w:ascii="Arial" w:eastAsia="黑体" w:hAnsi="Arial" w:cs="Arial"/>
                <w:szCs w:val="21"/>
              </w:rPr>
              <w:t>代理业务</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165,966,179.44</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100,136,128.91</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shd w:val="clear" w:color="auto" w:fill="auto"/>
            <w:vAlign w:val="bottom"/>
          </w:tcPr>
          <w:p w:rsidR="00AD5BB5" w:rsidRDefault="00F87FF6">
            <w:pPr>
              <w:autoSpaceDE w:val="0"/>
              <w:autoSpaceDN w:val="0"/>
              <w:ind w:leftChars="95" w:left="409" w:hangingChars="100" w:hanging="210"/>
              <w:rPr>
                <w:rFonts w:ascii="Arial" w:eastAsia="黑体" w:hAnsi="Arial" w:cs="Arial"/>
                <w:szCs w:val="21"/>
              </w:rPr>
            </w:pPr>
            <w:r>
              <w:rPr>
                <w:rFonts w:ascii="Arial" w:eastAsia="黑体" w:hAnsi="Arial" w:cs="Arial"/>
                <w:szCs w:val="21"/>
              </w:rPr>
              <w:t>债券承分销手续费</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64,373,919.67</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61,328,739.35</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shd w:val="clear" w:color="auto" w:fill="auto"/>
            <w:vAlign w:val="bottom"/>
          </w:tcPr>
          <w:p w:rsidR="00AD5BB5" w:rsidRDefault="00F87FF6">
            <w:pPr>
              <w:autoSpaceDE w:val="0"/>
              <w:autoSpaceDN w:val="0"/>
              <w:ind w:leftChars="95" w:left="409" w:hangingChars="100" w:hanging="210"/>
              <w:rPr>
                <w:rFonts w:ascii="Arial" w:eastAsia="黑体" w:hAnsi="Arial" w:cs="Arial"/>
                <w:szCs w:val="21"/>
              </w:rPr>
            </w:pPr>
            <w:r>
              <w:rPr>
                <w:rFonts w:ascii="Arial" w:eastAsia="黑体" w:hAnsi="Arial" w:cs="Arial"/>
                <w:szCs w:val="21"/>
              </w:rPr>
              <w:t>担保及承诺业务</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42,501,918.35</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43,504,641.54</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shd w:val="clear" w:color="auto" w:fill="auto"/>
            <w:vAlign w:val="bottom"/>
          </w:tcPr>
          <w:p w:rsidR="00AD5BB5" w:rsidRDefault="00F87FF6">
            <w:pPr>
              <w:autoSpaceDE w:val="0"/>
              <w:autoSpaceDN w:val="0"/>
              <w:ind w:leftChars="95" w:left="409" w:hangingChars="100" w:hanging="210"/>
              <w:rPr>
                <w:rFonts w:ascii="Arial" w:eastAsia="黑体" w:hAnsi="Arial" w:cs="Arial"/>
                <w:szCs w:val="21"/>
              </w:rPr>
            </w:pPr>
            <w:r>
              <w:rPr>
                <w:rFonts w:ascii="Arial" w:eastAsia="黑体" w:hAnsi="Arial" w:cs="Arial"/>
                <w:szCs w:val="21"/>
              </w:rPr>
              <w:t>理财业务</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19,573,388.09</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65,962,020.35</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shd w:val="clear" w:color="auto" w:fill="auto"/>
            <w:vAlign w:val="bottom"/>
          </w:tcPr>
          <w:p w:rsidR="00AD5BB5" w:rsidRDefault="00F87FF6">
            <w:pPr>
              <w:autoSpaceDE w:val="0"/>
              <w:autoSpaceDN w:val="0"/>
              <w:ind w:leftChars="95" w:left="409" w:hangingChars="100" w:hanging="210"/>
              <w:rPr>
                <w:rFonts w:ascii="Arial" w:eastAsia="黑体" w:hAnsi="Arial" w:cs="Arial"/>
                <w:szCs w:val="21"/>
              </w:rPr>
            </w:pPr>
            <w:r>
              <w:rPr>
                <w:rFonts w:ascii="Arial" w:eastAsia="黑体" w:hAnsi="Arial" w:cs="Arial"/>
                <w:szCs w:val="21"/>
              </w:rPr>
              <w:t>银行卡业务</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17,828,665.80</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26,753,293.02</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shd w:val="clear" w:color="auto" w:fill="auto"/>
            <w:vAlign w:val="bottom"/>
          </w:tcPr>
          <w:p w:rsidR="00AD5BB5" w:rsidRDefault="00F87FF6">
            <w:pPr>
              <w:autoSpaceDE w:val="0"/>
              <w:autoSpaceDN w:val="0"/>
              <w:ind w:leftChars="95" w:left="409" w:hangingChars="100" w:hanging="210"/>
              <w:rPr>
                <w:rFonts w:ascii="Arial" w:eastAsia="黑体" w:hAnsi="Arial" w:cs="Arial"/>
                <w:szCs w:val="21"/>
              </w:rPr>
            </w:pPr>
            <w:r>
              <w:rPr>
                <w:rFonts w:ascii="Arial" w:eastAsia="黑体" w:hAnsi="Arial" w:cs="Arial"/>
                <w:szCs w:val="21"/>
              </w:rPr>
              <w:t>支付结算业务</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7,377,627.64</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5,259,808.35</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shd w:val="clear" w:color="auto" w:fill="auto"/>
            <w:vAlign w:val="bottom"/>
          </w:tcPr>
          <w:p w:rsidR="00AD5BB5" w:rsidRDefault="00F87FF6">
            <w:pPr>
              <w:autoSpaceDE w:val="0"/>
              <w:autoSpaceDN w:val="0"/>
              <w:ind w:leftChars="95" w:left="409" w:hangingChars="100" w:hanging="210"/>
              <w:rPr>
                <w:rFonts w:ascii="Arial" w:eastAsia="黑体" w:hAnsi="Arial" w:cs="Arial"/>
                <w:szCs w:val="21"/>
              </w:rPr>
            </w:pPr>
            <w:r>
              <w:rPr>
                <w:rFonts w:ascii="Arial" w:eastAsia="黑体" w:hAnsi="Arial" w:cs="Arial"/>
                <w:szCs w:val="21"/>
              </w:rPr>
              <w:t>委托业务</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877,236.73</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3,774,731.60</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shd w:val="clear" w:color="auto" w:fill="auto"/>
            <w:vAlign w:val="bottom"/>
          </w:tcPr>
          <w:p w:rsidR="00AD5BB5" w:rsidRDefault="00F87FF6">
            <w:pPr>
              <w:autoSpaceDE w:val="0"/>
              <w:autoSpaceDN w:val="0"/>
              <w:ind w:leftChars="95" w:left="409" w:hangingChars="100" w:hanging="210"/>
              <w:rPr>
                <w:rFonts w:ascii="Arial" w:eastAsia="黑体" w:hAnsi="Arial" w:cs="Arial"/>
                <w:szCs w:val="21"/>
              </w:rPr>
            </w:pPr>
            <w:r>
              <w:rPr>
                <w:rFonts w:ascii="Arial" w:eastAsia="黑体" w:hAnsi="Arial" w:cs="Arial"/>
                <w:szCs w:val="21"/>
              </w:rPr>
              <w:t>其他</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16,527,234.47</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21,675,936.42</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shd w:val="clear" w:color="auto" w:fill="auto"/>
            <w:vAlign w:val="bottom"/>
          </w:tcPr>
          <w:p w:rsidR="00AD5BB5" w:rsidRDefault="00AD5BB5">
            <w:pPr>
              <w:autoSpaceDE w:val="0"/>
              <w:autoSpaceDN w:val="0"/>
              <w:ind w:left="315" w:hangingChars="150" w:hanging="315"/>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shd w:val="clear" w:color="auto" w:fill="auto"/>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小计</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335,026,170.19</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328,395,299.54</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shd w:val="clear" w:color="auto" w:fill="auto"/>
            <w:vAlign w:val="bottom"/>
          </w:tcPr>
          <w:p w:rsidR="00AD5BB5" w:rsidRDefault="00AD5BB5">
            <w:pPr>
              <w:autoSpaceDE w:val="0"/>
              <w:autoSpaceDN w:val="0"/>
              <w:ind w:left="315" w:hangingChars="150" w:hanging="315"/>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shd w:val="clear" w:color="auto" w:fill="auto"/>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手续费及佣金支出</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shd w:val="clear" w:color="auto" w:fill="auto"/>
            <w:vAlign w:val="bottom"/>
          </w:tcPr>
          <w:p w:rsidR="00AD5BB5" w:rsidRDefault="00F87FF6">
            <w:pPr>
              <w:autoSpaceDE w:val="0"/>
              <w:autoSpaceDN w:val="0"/>
              <w:ind w:leftChars="95" w:left="409" w:hangingChars="100" w:hanging="210"/>
              <w:rPr>
                <w:rFonts w:ascii="Arial" w:eastAsia="黑体" w:hAnsi="Arial" w:cs="Arial"/>
                <w:szCs w:val="21"/>
              </w:rPr>
            </w:pPr>
            <w:r>
              <w:rPr>
                <w:rFonts w:ascii="Arial" w:eastAsia="黑体" w:hAnsi="Arial" w:cs="Arial"/>
                <w:szCs w:val="21"/>
              </w:rPr>
              <w:t>支付结算与代理业务</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117,916,672.86</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61,879,695.49</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shd w:val="clear" w:color="auto" w:fill="auto"/>
            <w:vAlign w:val="bottom"/>
          </w:tcPr>
          <w:p w:rsidR="00AD5BB5" w:rsidRDefault="00F87FF6">
            <w:pPr>
              <w:autoSpaceDE w:val="0"/>
              <w:autoSpaceDN w:val="0"/>
              <w:ind w:leftChars="95" w:left="409" w:hangingChars="100" w:hanging="210"/>
              <w:rPr>
                <w:rFonts w:ascii="Arial" w:eastAsia="黑体" w:hAnsi="Arial" w:cs="Arial"/>
                <w:szCs w:val="21"/>
              </w:rPr>
            </w:pPr>
            <w:r>
              <w:rPr>
                <w:rFonts w:ascii="Arial" w:eastAsia="黑体" w:hAnsi="Arial" w:cs="Arial"/>
                <w:szCs w:val="21"/>
              </w:rPr>
              <w:t>银行卡业务</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5,142,678.09</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nil"/>
              <w:right w:val="nil"/>
            </w:tcBorders>
            <w:shd w:val="clear" w:color="auto" w:fill="auto"/>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4,769,303.49</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shd w:val="clear" w:color="auto" w:fill="auto"/>
            <w:vAlign w:val="bottom"/>
          </w:tcPr>
          <w:p w:rsidR="00AD5BB5" w:rsidRDefault="00F87FF6">
            <w:pPr>
              <w:autoSpaceDE w:val="0"/>
              <w:autoSpaceDN w:val="0"/>
              <w:ind w:leftChars="95" w:left="409" w:hangingChars="100" w:hanging="210"/>
              <w:rPr>
                <w:rFonts w:ascii="Arial" w:eastAsia="黑体" w:hAnsi="Arial" w:cs="Arial"/>
                <w:szCs w:val="21"/>
              </w:rPr>
            </w:pPr>
            <w:r>
              <w:rPr>
                <w:rFonts w:ascii="Arial" w:eastAsia="黑体" w:hAnsi="Arial" w:cs="Arial"/>
                <w:szCs w:val="21"/>
              </w:rPr>
              <w:t>其他</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4,209,732.78</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2,379,375.81</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shd w:val="clear" w:color="auto" w:fill="auto"/>
            <w:vAlign w:val="bottom"/>
          </w:tcPr>
          <w:p w:rsidR="00AD5BB5" w:rsidRDefault="00AD5BB5">
            <w:pPr>
              <w:autoSpaceDE w:val="0"/>
              <w:autoSpaceDN w:val="0"/>
              <w:ind w:leftChars="95" w:left="514" w:hangingChars="150" w:hanging="315"/>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shd w:val="clear" w:color="auto" w:fill="auto"/>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小计</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127,269,083.73</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single" w:sz="4" w:space="0" w:color="auto"/>
              <w:right w:val="nil"/>
            </w:tcBorders>
            <w:shd w:val="clear" w:color="auto" w:fill="auto"/>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69,028,374.79</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shd w:val="clear" w:color="auto" w:fill="auto"/>
            <w:vAlign w:val="bottom"/>
          </w:tcPr>
          <w:p w:rsidR="00AD5BB5" w:rsidRDefault="00AD5BB5">
            <w:pPr>
              <w:autoSpaceDE w:val="0"/>
              <w:autoSpaceDN w:val="0"/>
              <w:ind w:left="315" w:hangingChars="150" w:hanging="315"/>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single" w:sz="4" w:space="0" w:color="auto"/>
              <w:left w:val="nil"/>
              <w:bottom w:val="nil"/>
              <w:right w:val="nil"/>
            </w:tcBorders>
            <w:shd w:val="clear" w:color="auto" w:fill="auto"/>
            <w:vAlign w:val="bottom"/>
          </w:tcPr>
          <w:p w:rsidR="00AD5BB5" w:rsidRDefault="00AD5BB5">
            <w:pPr>
              <w:autoSpaceDE w:val="0"/>
              <w:autoSpaceDN w:val="0"/>
              <w:jc w:val="right"/>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r>
      <w:tr w:rsidR="00AD5BB5">
        <w:tc>
          <w:tcPr>
            <w:tcW w:w="3417" w:type="dxa"/>
            <w:tcBorders>
              <w:top w:val="nil"/>
              <w:left w:val="nil"/>
              <w:bottom w:val="nil"/>
              <w:right w:val="nil"/>
            </w:tcBorders>
            <w:shd w:val="clear" w:color="auto" w:fill="auto"/>
            <w:vAlign w:val="bottom"/>
          </w:tcPr>
          <w:p w:rsidR="00AD5BB5" w:rsidRDefault="00F87FF6">
            <w:pPr>
              <w:autoSpaceDE w:val="0"/>
              <w:autoSpaceDN w:val="0"/>
              <w:ind w:left="210" w:hangingChars="100" w:hanging="210"/>
              <w:rPr>
                <w:rFonts w:ascii="Arial" w:eastAsia="黑体" w:hAnsi="Arial" w:cs="Arial"/>
                <w:szCs w:val="21"/>
              </w:rPr>
            </w:pPr>
            <w:r>
              <w:rPr>
                <w:rFonts w:ascii="Arial" w:eastAsia="黑体" w:hAnsi="Arial" w:cs="Arial"/>
                <w:szCs w:val="21"/>
              </w:rPr>
              <w:t>手续费及佣金净收入</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double" w:sz="4" w:space="0" w:color="auto"/>
              <w:right w:val="nil"/>
            </w:tcBorders>
            <w:shd w:val="clear" w:color="auto" w:fill="auto"/>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207,757,086.46</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c>
          <w:tcPr>
            <w:tcW w:w="2278" w:type="dxa"/>
            <w:tcBorders>
              <w:top w:val="nil"/>
              <w:left w:val="nil"/>
              <w:bottom w:val="double" w:sz="4" w:space="0" w:color="auto"/>
              <w:right w:val="nil"/>
            </w:tcBorders>
            <w:shd w:val="clear" w:color="auto" w:fill="auto"/>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259,366,924.75</w:t>
            </w:r>
          </w:p>
        </w:tc>
        <w:tc>
          <w:tcPr>
            <w:tcW w:w="113" w:type="dxa"/>
            <w:tcBorders>
              <w:top w:val="nil"/>
              <w:left w:val="nil"/>
              <w:bottom w:val="nil"/>
              <w:right w:val="nil"/>
            </w:tcBorders>
            <w:shd w:val="clear" w:color="auto" w:fill="auto"/>
            <w:vAlign w:val="bottom"/>
          </w:tcPr>
          <w:p w:rsidR="00AD5BB5" w:rsidRDefault="00AD5BB5">
            <w:pPr>
              <w:autoSpaceDE w:val="0"/>
              <w:autoSpaceDN w:val="0"/>
              <w:rPr>
                <w:rFonts w:ascii="Arial" w:eastAsia="黑体" w:hAnsi="Arial" w:cs="Arial"/>
                <w:szCs w:val="21"/>
              </w:rPr>
            </w:pPr>
          </w:p>
        </w:tc>
      </w:tr>
    </w:tbl>
    <w:p w:rsidR="00AD5BB5" w:rsidRDefault="00F87FF6">
      <w:pPr>
        <w:rPr>
          <w:rFonts w:ascii="Arial" w:eastAsia="黑体" w:hAnsi="Arial" w:cs="Arial"/>
          <w:bCs/>
          <w:szCs w:val="21"/>
          <w:lang w:val="en-GB"/>
        </w:rPr>
      </w:pPr>
      <w:r>
        <w:rPr>
          <w:rFonts w:ascii="Arial" w:eastAsia="黑体" w:hAnsi="Arial" w:cs="Arial"/>
          <w:bCs/>
          <w:szCs w:val="21"/>
          <w:lang w:val="en-GB"/>
        </w:rPr>
        <w:br w:type="page"/>
      </w:r>
    </w:p>
    <w:p w:rsidR="00AD5BB5" w:rsidRDefault="00AD5BB5">
      <w:pPr>
        <w:overflowPunct w:val="0"/>
        <w:autoSpaceDE w:val="0"/>
        <w:autoSpaceDN w:val="0"/>
        <w:adjustRightInd w:val="0"/>
        <w:snapToGrid w:val="0"/>
        <w:textAlignment w:val="bottom"/>
        <w:rPr>
          <w:rFonts w:ascii="Arial" w:eastAsia="黑体" w:hAnsi="Arial" w:cs="Arial"/>
          <w:bCs/>
          <w:szCs w:val="21"/>
          <w:lang w:val="en-GB"/>
        </w:rPr>
      </w:pPr>
    </w:p>
    <w:p w:rsidR="00AD5BB5" w:rsidRDefault="00AD5BB5">
      <w:pPr>
        <w:overflowPunct w:val="0"/>
        <w:autoSpaceDE w:val="0"/>
        <w:autoSpaceDN w:val="0"/>
        <w:adjustRightInd w:val="0"/>
        <w:snapToGrid w:val="0"/>
        <w:textAlignment w:val="bottom"/>
        <w:rPr>
          <w:rFonts w:ascii="Arial" w:eastAsia="黑体" w:hAnsi="Arial" w:cs="Arial"/>
          <w:bCs/>
          <w:szCs w:val="21"/>
          <w:lang w:val="en-GB"/>
        </w:rPr>
      </w:pPr>
    </w:p>
    <w:p w:rsidR="00AD5BB5" w:rsidRDefault="00F87FF6">
      <w:pPr>
        <w:tabs>
          <w:tab w:val="left" w:pos="709"/>
        </w:tabs>
        <w:overflowPunct w:val="0"/>
        <w:autoSpaceDE w:val="0"/>
        <w:autoSpaceDN w:val="0"/>
        <w:adjustRightInd w:val="0"/>
        <w:snapToGrid w:val="0"/>
        <w:ind w:left="709" w:hanging="709"/>
        <w:textAlignment w:val="bottom"/>
        <w:rPr>
          <w:rFonts w:ascii="Arial" w:eastAsia="黑体" w:hAnsi="Arial" w:cs="Arial"/>
          <w:b/>
          <w:bCs/>
          <w:szCs w:val="21"/>
          <w:lang w:val="en-GB"/>
        </w:rPr>
      </w:pPr>
      <w:bookmarkStart w:id="613" w:name="afsaddin_WithXu_96e496c4905549a7be3961fa"/>
      <w:r>
        <w:rPr>
          <w:rFonts w:ascii="Arial" w:eastAsia="黑体" w:hAnsi="Arial" w:cs="Arial"/>
          <w:b/>
          <w:bCs/>
          <w:szCs w:val="21"/>
          <w:lang w:val="en-GB"/>
        </w:rPr>
        <w:t>十四、公司财务报表主要项目注释（续）</w:t>
      </w:r>
      <w:bookmarkEnd w:id="613"/>
    </w:p>
    <w:p w:rsidR="00AD5BB5" w:rsidRDefault="00AD5BB5">
      <w:pPr>
        <w:tabs>
          <w:tab w:val="left" w:pos="709"/>
        </w:tabs>
        <w:overflowPunct w:val="0"/>
        <w:autoSpaceDE w:val="0"/>
        <w:autoSpaceDN w:val="0"/>
        <w:adjustRightInd w:val="0"/>
        <w:snapToGrid w:val="0"/>
        <w:textAlignment w:val="bottom"/>
        <w:rPr>
          <w:rFonts w:ascii="Arial" w:eastAsia="黑体" w:hAnsi="Arial" w:cs="Arial"/>
          <w:bCs/>
          <w:szCs w:val="21"/>
          <w:lang w:val="en-GB"/>
        </w:rPr>
      </w:pPr>
    </w:p>
    <w:p w:rsidR="00AD5BB5" w:rsidRDefault="00F87FF6">
      <w:pPr>
        <w:pStyle w:val="af5"/>
        <w:overflowPunct w:val="0"/>
        <w:autoSpaceDE w:val="0"/>
        <w:autoSpaceDN w:val="0"/>
        <w:adjustRightInd w:val="0"/>
        <w:snapToGrid w:val="0"/>
        <w:spacing w:before="0" w:after="0"/>
        <w:ind w:left="686" w:hanging="686"/>
        <w:jc w:val="both"/>
        <w:textAlignment w:val="bottom"/>
        <w:outlineLvl w:val="2"/>
        <w:rPr>
          <w:rFonts w:ascii="Arial" w:eastAsia="黑体" w:hAnsi="Arial" w:cs="Arial" w:hint="default"/>
          <w:bCs w:val="0"/>
          <w:snapToGrid w:val="0"/>
          <w:color w:val="auto"/>
          <w:sz w:val="21"/>
          <w:szCs w:val="21"/>
        </w:rPr>
      </w:pPr>
      <w:bookmarkStart w:id="614" w:name="afsaddin_WithXu_a5519cb1b7264ec684bef2c6"/>
      <w:bookmarkStart w:id="615" w:name="afsaddin_Section_83d2f17a900a4dd7ab64b47"/>
      <w:bookmarkEnd w:id="614"/>
      <w:r>
        <w:rPr>
          <w:rFonts w:ascii="Arial" w:eastAsia="黑体" w:hAnsi="Arial" w:cs="Arial" w:hint="default"/>
          <w:bCs w:val="0"/>
          <w:snapToGrid w:val="0"/>
          <w:color w:val="auto"/>
          <w:sz w:val="21"/>
          <w:szCs w:val="21"/>
        </w:rPr>
        <w:t>8.</w:t>
      </w:r>
      <w:r>
        <w:rPr>
          <w:rFonts w:ascii="Arial" w:eastAsia="黑体" w:hAnsi="Arial" w:cs="Arial" w:hint="default"/>
          <w:bCs w:val="0"/>
          <w:snapToGrid w:val="0"/>
          <w:color w:val="auto"/>
          <w:sz w:val="21"/>
          <w:szCs w:val="21"/>
        </w:rPr>
        <w:tab/>
      </w:r>
      <w:r>
        <w:rPr>
          <w:rFonts w:ascii="Arial" w:eastAsia="黑体" w:hAnsi="Arial" w:cs="Arial" w:hint="default"/>
          <w:bCs w:val="0"/>
          <w:snapToGrid w:val="0"/>
          <w:color w:val="auto"/>
          <w:sz w:val="21"/>
          <w:szCs w:val="21"/>
        </w:rPr>
        <w:t>现金流量表补充资料</w:t>
      </w:r>
    </w:p>
    <w:bookmarkEnd w:id="615"/>
    <w:p w:rsidR="00AD5BB5" w:rsidRDefault="00AD5BB5">
      <w:pPr>
        <w:overflowPunct w:val="0"/>
        <w:autoSpaceDE w:val="0"/>
        <w:autoSpaceDN w:val="0"/>
        <w:rPr>
          <w:rFonts w:ascii="Arial" w:eastAsia="黑体" w:hAnsi="Arial" w:cs="Arial"/>
          <w:snapToGrid w:val="0"/>
          <w:szCs w:val="21"/>
        </w:rPr>
      </w:pPr>
    </w:p>
    <w:p w:rsidR="00AD5BB5" w:rsidRDefault="00F87FF6">
      <w:pPr>
        <w:pStyle w:val="Style1"/>
        <w:ind w:hanging="706"/>
        <w:rPr>
          <w:bCs w:val="0"/>
          <w:i w:val="0"/>
          <w:color w:val="auto"/>
          <w:kern w:val="0"/>
          <w:sz w:val="21"/>
          <w:szCs w:val="21"/>
        </w:rPr>
      </w:pPr>
      <w:bookmarkStart w:id="616" w:name="afsaddin_Section_441f6e8c877c4d329a449e0"/>
      <w:r>
        <w:rPr>
          <w:bCs w:val="0"/>
          <w:i w:val="0"/>
          <w:color w:val="auto"/>
          <w:kern w:val="0"/>
          <w:sz w:val="21"/>
          <w:szCs w:val="21"/>
        </w:rPr>
        <w:t>(1)</w:t>
      </w:r>
      <w:r>
        <w:rPr>
          <w:bCs w:val="0"/>
          <w:i w:val="0"/>
          <w:color w:val="auto"/>
          <w:kern w:val="0"/>
          <w:sz w:val="21"/>
          <w:szCs w:val="21"/>
        </w:rPr>
        <w:tab/>
      </w:r>
      <w:r>
        <w:rPr>
          <w:bCs w:val="0"/>
          <w:i w:val="0"/>
          <w:color w:val="auto"/>
          <w:kern w:val="0"/>
          <w:sz w:val="21"/>
          <w:szCs w:val="21"/>
        </w:rPr>
        <w:t>现金流量表补充资料</w:t>
      </w:r>
    </w:p>
    <w:bookmarkEnd w:id="616"/>
    <w:p w:rsidR="00AD5BB5" w:rsidRDefault="00AD5BB5">
      <w:pPr>
        <w:overflowPunct w:val="0"/>
        <w:autoSpaceDE w:val="0"/>
        <w:autoSpaceDN w:val="0"/>
        <w:rPr>
          <w:rFonts w:ascii="Arial" w:eastAsia="黑体" w:hAnsi="Arial" w:cs="Arial"/>
          <w:snapToGrid w:val="0"/>
          <w:sz w:val="18"/>
          <w:szCs w:val="18"/>
        </w:rPr>
      </w:pPr>
    </w:p>
    <w:p w:rsidR="00AD5BB5" w:rsidRDefault="00F87FF6">
      <w:pPr>
        <w:tabs>
          <w:tab w:val="left" w:pos="2520"/>
          <w:tab w:val="decimal" w:pos="5250"/>
          <w:tab w:val="decimal" w:pos="6510"/>
          <w:tab w:val="decimal" w:pos="7035"/>
          <w:tab w:val="decimal" w:pos="8295"/>
        </w:tabs>
        <w:overflowPunct w:val="0"/>
        <w:autoSpaceDE w:val="0"/>
        <w:autoSpaceDN w:val="0"/>
        <w:adjustRightInd w:val="0"/>
        <w:snapToGrid w:val="0"/>
        <w:rPr>
          <w:rFonts w:ascii="Arial" w:eastAsia="黑体" w:hAnsi="Arial" w:cs="Arial"/>
          <w:snapToGrid w:val="0"/>
          <w:szCs w:val="21"/>
        </w:rPr>
      </w:pPr>
      <w:r>
        <w:rPr>
          <w:rFonts w:ascii="Arial" w:eastAsia="黑体" w:hAnsi="Arial" w:cs="Arial"/>
          <w:snapToGrid w:val="0"/>
          <w:szCs w:val="21"/>
        </w:rPr>
        <w:t>将净利润调节为经营活动现金流量：</w:t>
      </w:r>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ee6334b9-bbb8-4db8-9196-8608a2a80941"/>
        <w:tblDescription w:val="{&quot;UUID&quot;:&quot;afsaddin_tabledata_2_56437_ee6334b9-bbb8-4db8-9196-8608a2a80941&quot;,&quot;TitleRowCount&quot;:2,&quot;SplitedTable&quot;:false,&quot;FirstTableId&quot;:&quot;ee6334b9-bbb8-4db8-9196-8608a2a80941&quot;}"/>
      </w:tblPr>
      <w:tblGrid>
        <w:gridCol w:w="3686"/>
        <w:gridCol w:w="111"/>
        <w:gridCol w:w="2180"/>
        <w:gridCol w:w="111"/>
        <w:gridCol w:w="111"/>
        <w:gridCol w:w="2144"/>
        <w:gridCol w:w="111"/>
      </w:tblGrid>
      <w:tr w:rsidR="00AD5BB5">
        <w:tc>
          <w:tcPr>
            <w:tcW w:w="3686"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8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fldChar w:fldCharType="begin"/>
            </w:r>
            <w:r>
              <w:rPr>
                <w:rFonts w:ascii="Arial" w:eastAsia="黑体" w:hAnsi="Arial" w:cs="Arial"/>
                <w:sz w:val="20"/>
              </w:rPr>
              <w:instrText xml:space="preserve">DOCPROPERTY </w:instrText>
            </w:r>
            <w:r>
              <w:rPr>
                <w:rFonts w:ascii="Arial" w:eastAsia="黑体" w:hAnsi="Arial" w:cs="Arial"/>
                <w:sz w:val="20"/>
              </w:rPr>
              <w:instrText>当期会计期间</w:instrText>
            </w:r>
            <w:r>
              <w:rPr>
                <w:rFonts w:ascii="Arial" w:eastAsia="黑体" w:hAnsi="Arial" w:cs="Arial"/>
                <w:sz w:val="20"/>
              </w:rPr>
              <w:fldChar w:fldCharType="separate"/>
            </w:r>
            <w:r>
              <w:rPr>
                <w:rFonts w:ascii="Arial" w:eastAsia="黑体" w:hAnsi="Arial" w:cs="Arial"/>
                <w:sz w:val="20"/>
              </w:rPr>
              <w:t>2023</w:t>
            </w:r>
            <w:r>
              <w:rPr>
                <w:rFonts w:ascii="Arial" w:eastAsia="黑体" w:hAnsi="Arial" w:cs="Arial"/>
                <w:sz w:val="20"/>
              </w:rPr>
              <w:fldChar w:fldCharType="end"/>
            </w:r>
            <w:r>
              <w:rPr>
                <w:rFonts w:ascii="Arial" w:eastAsia="黑体" w:hAnsi="Arial" w:cs="Arial"/>
                <w:sz w:val="20"/>
              </w:rPr>
              <w:t>年</w:t>
            </w:r>
            <w:r>
              <w:rPr>
                <w:rFonts w:ascii="Arial" w:eastAsia="黑体" w:hAnsi="Arial" w:cs="Arial"/>
                <w:sz w:val="20"/>
              </w:rPr>
              <w:t>1-6</w:t>
            </w:r>
            <w:r>
              <w:rPr>
                <w:rFonts w:ascii="Arial" w:eastAsia="黑体" w:hAnsi="Arial" w:cs="Arial"/>
                <w:sz w:val="20"/>
              </w:rPr>
              <w:t>月</w:t>
            </w:r>
          </w:p>
        </w:tc>
        <w:tc>
          <w:tcPr>
            <w:tcW w:w="11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214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fldChar w:fldCharType="begin"/>
            </w:r>
            <w:r>
              <w:rPr>
                <w:rFonts w:ascii="Arial" w:eastAsia="黑体" w:hAnsi="Arial" w:cs="Arial"/>
                <w:sz w:val="20"/>
              </w:rPr>
              <w:instrText xml:space="preserve">DOCPROPERTY </w:instrText>
            </w:r>
            <w:r>
              <w:rPr>
                <w:rFonts w:ascii="Arial" w:eastAsia="黑体" w:hAnsi="Arial" w:cs="Arial"/>
                <w:sz w:val="20"/>
              </w:rPr>
              <w:instrText>对比会计期间</w:instrText>
            </w:r>
            <w:r>
              <w:rPr>
                <w:rFonts w:ascii="Arial" w:eastAsia="黑体" w:hAnsi="Arial" w:cs="Arial"/>
                <w:sz w:val="20"/>
              </w:rPr>
              <w:fldChar w:fldCharType="separate"/>
            </w:r>
            <w:r>
              <w:rPr>
                <w:rFonts w:ascii="Arial" w:eastAsia="黑体" w:hAnsi="Arial" w:cs="Arial"/>
                <w:sz w:val="20"/>
              </w:rPr>
              <w:t>2022</w:t>
            </w:r>
            <w:r>
              <w:rPr>
                <w:rFonts w:ascii="Arial" w:eastAsia="黑体" w:hAnsi="Arial" w:cs="Arial"/>
                <w:sz w:val="20"/>
              </w:rPr>
              <w:fldChar w:fldCharType="end"/>
            </w:r>
            <w:r>
              <w:rPr>
                <w:rFonts w:ascii="Arial" w:eastAsia="黑体" w:hAnsi="Arial" w:cs="Arial"/>
                <w:sz w:val="20"/>
              </w:rPr>
              <w:t>年</w:t>
            </w:r>
            <w:r>
              <w:rPr>
                <w:rFonts w:ascii="Arial" w:eastAsia="黑体" w:hAnsi="Arial" w:cs="Arial"/>
                <w:sz w:val="20"/>
              </w:rPr>
              <w:t>1-6</w:t>
            </w:r>
            <w:r>
              <w:rPr>
                <w:rFonts w:ascii="Arial" w:eastAsia="黑体" w:hAnsi="Arial" w:cs="Arial"/>
                <w:sz w:val="20"/>
              </w:rPr>
              <w:t>月</w:t>
            </w:r>
          </w:p>
        </w:tc>
        <w:tc>
          <w:tcPr>
            <w:tcW w:w="11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r>
      <w:tr w:rsidR="00AD5BB5">
        <w:tc>
          <w:tcPr>
            <w:tcW w:w="3686" w:type="dxa"/>
            <w:tcBorders>
              <w:top w:val="nil"/>
              <w:left w:val="nil"/>
              <w:bottom w:val="nil"/>
              <w:right w:val="nil"/>
            </w:tcBorders>
            <w:vAlign w:val="bottom"/>
          </w:tcPr>
          <w:p w:rsidR="00AD5BB5" w:rsidRDefault="00AD5BB5">
            <w:pPr>
              <w:autoSpaceDE w:val="0"/>
              <w:autoSpaceDN w:val="0"/>
              <w:ind w:left="300" w:hangingChars="150" w:hanging="30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80"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2144"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jc w:val="right"/>
              <w:rPr>
                <w:rFonts w:ascii="Arial" w:eastAsia="黑体" w:hAnsi="Arial" w:cs="Arial"/>
                <w:sz w:val="20"/>
              </w:rPr>
            </w:pPr>
          </w:p>
        </w:tc>
      </w:tr>
      <w:tr w:rsidR="00AD5BB5">
        <w:tc>
          <w:tcPr>
            <w:tcW w:w="3686" w:type="dxa"/>
            <w:tcBorders>
              <w:top w:val="nil"/>
              <w:left w:val="nil"/>
              <w:bottom w:val="nil"/>
              <w:right w:val="nil"/>
            </w:tcBorders>
            <w:vAlign w:val="bottom"/>
          </w:tcPr>
          <w:p w:rsidR="00AD5BB5" w:rsidRDefault="00F87FF6">
            <w:pPr>
              <w:autoSpaceDE w:val="0"/>
              <w:autoSpaceDN w:val="0"/>
              <w:ind w:left="200" w:hangingChars="100" w:hanging="200"/>
              <w:rPr>
                <w:rFonts w:ascii="Arial" w:eastAsia="黑体" w:hAnsi="Arial" w:cs="Arial"/>
                <w:sz w:val="20"/>
              </w:rPr>
            </w:pPr>
            <w:r>
              <w:rPr>
                <w:rFonts w:ascii="Arial" w:eastAsia="黑体" w:hAnsi="Arial" w:cs="Arial"/>
                <w:sz w:val="20"/>
              </w:rPr>
              <w:t>净利润</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8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1,323,173,729.70</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4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1,233,693,852.94</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686" w:type="dxa"/>
            <w:tcBorders>
              <w:top w:val="nil"/>
              <w:left w:val="nil"/>
              <w:bottom w:val="nil"/>
              <w:right w:val="nil"/>
            </w:tcBorders>
            <w:vAlign w:val="bottom"/>
          </w:tcPr>
          <w:p w:rsidR="00AD5BB5" w:rsidRDefault="00F87FF6">
            <w:pPr>
              <w:autoSpaceDE w:val="0"/>
              <w:autoSpaceDN w:val="0"/>
              <w:ind w:left="600" w:hangingChars="300" w:hanging="600"/>
              <w:rPr>
                <w:rFonts w:ascii="Arial" w:eastAsia="黑体" w:hAnsi="Arial" w:cs="Arial"/>
                <w:sz w:val="20"/>
              </w:rPr>
            </w:pPr>
            <w:r>
              <w:rPr>
                <w:rFonts w:ascii="Arial" w:eastAsia="黑体" w:hAnsi="Arial" w:cs="Arial"/>
                <w:sz w:val="20"/>
              </w:rPr>
              <w:t>加：信用减值损失及资产减值损失</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8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126,888,903.48</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4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491,160,323.26</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686" w:type="dxa"/>
            <w:tcBorders>
              <w:top w:val="nil"/>
              <w:left w:val="nil"/>
              <w:bottom w:val="nil"/>
              <w:right w:val="nil"/>
            </w:tcBorders>
            <w:vAlign w:val="bottom"/>
          </w:tcPr>
          <w:p w:rsidR="00AD5BB5" w:rsidRDefault="00F87FF6">
            <w:pPr>
              <w:autoSpaceDE w:val="0"/>
              <w:autoSpaceDN w:val="0"/>
              <w:ind w:leftChars="170" w:left="557" w:hangingChars="100" w:hanging="200"/>
              <w:rPr>
                <w:rFonts w:ascii="Arial" w:eastAsia="黑体" w:hAnsi="Arial" w:cs="Arial"/>
                <w:sz w:val="20"/>
              </w:rPr>
            </w:pPr>
            <w:r>
              <w:rPr>
                <w:rFonts w:ascii="Arial" w:eastAsia="黑体" w:hAnsi="Arial" w:cs="Arial"/>
                <w:sz w:val="20"/>
              </w:rPr>
              <w:t>使用权资产折旧</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8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56,447,746.57</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4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54,739,275.40</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686" w:type="dxa"/>
            <w:tcBorders>
              <w:top w:val="nil"/>
              <w:left w:val="nil"/>
              <w:bottom w:val="nil"/>
              <w:right w:val="nil"/>
            </w:tcBorders>
            <w:vAlign w:val="bottom"/>
          </w:tcPr>
          <w:p w:rsidR="00AD5BB5" w:rsidRDefault="00F87FF6">
            <w:pPr>
              <w:autoSpaceDE w:val="0"/>
              <w:autoSpaceDN w:val="0"/>
              <w:ind w:leftChars="175" w:left="608" w:hangingChars="120" w:hanging="240"/>
              <w:rPr>
                <w:rFonts w:ascii="Arial" w:eastAsia="黑体" w:hAnsi="Arial" w:cs="Arial"/>
                <w:sz w:val="20"/>
              </w:rPr>
            </w:pPr>
            <w:r>
              <w:rPr>
                <w:rFonts w:ascii="Arial" w:eastAsia="黑体" w:hAnsi="Arial" w:cs="Arial"/>
                <w:sz w:val="20"/>
              </w:rPr>
              <w:t>固定资产、投资性房地产折旧摊销及无形资产、长期待摊费用摊销</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8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85,485,892.94</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4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66,899,908.73</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686" w:type="dxa"/>
            <w:tcBorders>
              <w:top w:val="nil"/>
              <w:left w:val="nil"/>
              <w:bottom w:val="nil"/>
              <w:right w:val="nil"/>
            </w:tcBorders>
            <w:vAlign w:val="bottom"/>
          </w:tcPr>
          <w:p w:rsidR="00AD5BB5" w:rsidRDefault="00F87FF6">
            <w:pPr>
              <w:autoSpaceDE w:val="0"/>
              <w:autoSpaceDN w:val="0"/>
              <w:ind w:leftChars="170" w:left="557" w:hangingChars="100" w:hanging="200"/>
              <w:rPr>
                <w:rFonts w:ascii="Arial" w:eastAsia="黑体" w:hAnsi="Arial" w:cs="Arial"/>
                <w:sz w:val="20"/>
              </w:rPr>
            </w:pPr>
            <w:r>
              <w:rPr>
                <w:rFonts w:ascii="Arial" w:eastAsia="黑体" w:hAnsi="Arial" w:cs="Arial"/>
                <w:sz w:val="20"/>
              </w:rPr>
              <w:t>租赁负债的利息支出</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8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4,794,830.30</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4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8,260,532.18</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686" w:type="dxa"/>
            <w:tcBorders>
              <w:top w:val="nil"/>
              <w:left w:val="nil"/>
              <w:bottom w:val="nil"/>
              <w:right w:val="nil"/>
            </w:tcBorders>
            <w:vAlign w:val="bottom"/>
          </w:tcPr>
          <w:p w:rsidR="00AD5BB5" w:rsidRDefault="00F87FF6">
            <w:pPr>
              <w:autoSpaceDE w:val="0"/>
              <w:autoSpaceDN w:val="0"/>
              <w:ind w:leftChars="170" w:left="557" w:hangingChars="100" w:hanging="200"/>
              <w:rPr>
                <w:rFonts w:ascii="Arial" w:eastAsia="黑体" w:hAnsi="Arial" w:cs="Arial"/>
                <w:sz w:val="20"/>
              </w:rPr>
            </w:pPr>
            <w:proofErr w:type="gramStart"/>
            <w:r>
              <w:rPr>
                <w:rFonts w:ascii="Arial" w:eastAsia="黑体" w:hAnsi="Arial" w:cs="Arial"/>
                <w:sz w:val="20"/>
              </w:rPr>
              <w:t>处置非</w:t>
            </w:r>
            <w:proofErr w:type="gramEnd"/>
            <w:r>
              <w:rPr>
                <w:rFonts w:ascii="Arial" w:eastAsia="黑体" w:hAnsi="Arial" w:cs="Arial"/>
                <w:sz w:val="20"/>
              </w:rPr>
              <w:t>流动资产收益</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8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(8,831,209.56</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4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(487,294.10</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r>
      <w:tr w:rsidR="00AD5BB5">
        <w:tc>
          <w:tcPr>
            <w:tcW w:w="3686" w:type="dxa"/>
            <w:tcBorders>
              <w:top w:val="nil"/>
              <w:left w:val="nil"/>
              <w:bottom w:val="nil"/>
              <w:right w:val="nil"/>
            </w:tcBorders>
            <w:vAlign w:val="bottom"/>
          </w:tcPr>
          <w:p w:rsidR="00AD5BB5" w:rsidRDefault="00F87FF6">
            <w:pPr>
              <w:autoSpaceDE w:val="0"/>
              <w:autoSpaceDN w:val="0"/>
              <w:ind w:leftChars="170" w:left="557" w:hangingChars="100" w:hanging="200"/>
              <w:rPr>
                <w:rFonts w:ascii="Arial" w:eastAsia="黑体" w:hAnsi="Arial" w:cs="Arial"/>
                <w:sz w:val="20"/>
              </w:rPr>
            </w:pPr>
            <w:r>
              <w:rPr>
                <w:rFonts w:ascii="Arial" w:eastAsia="黑体" w:hAnsi="Arial" w:cs="Arial"/>
                <w:sz w:val="20"/>
              </w:rPr>
              <w:t>投资利息收入</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8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(1,350,376,447.97</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4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(1,244,519,874.44</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r>
      <w:tr w:rsidR="00AD5BB5">
        <w:tc>
          <w:tcPr>
            <w:tcW w:w="3686" w:type="dxa"/>
            <w:tcBorders>
              <w:top w:val="nil"/>
              <w:left w:val="nil"/>
              <w:bottom w:val="nil"/>
              <w:right w:val="nil"/>
            </w:tcBorders>
            <w:vAlign w:val="bottom"/>
          </w:tcPr>
          <w:p w:rsidR="00AD5BB5" w:rsidRDefault="00F87FF6">
            <w:pPr>
              <w:autoSpaceDE w:val="0"/>
              <w:autoSpaceDN w:val="0"/>
              <w:ind w:leftChars="170" w:left="557" w:hangingChars="100" w:hanging="200"/>
              <w:rPr>
                <w:rFonts w:ascii="Arial" w:eastAsia="黑体" w:hAnsi="Arial" w:cs="Arial"/>
                <w:sz w:val="20"/>
              </w:rPr>
            </w:pPr>
            <w:r>
              <w:rPr>
                <w:rFonts w:ascii="Arial" w:eastAsia="黑体" w:hAnsi="Arial" w:cs="Arial"/>
                <w:sz w:val="20"/>
              </w:rPr>
              <w:t>投资收益</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8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(145,283,127.05</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4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(481,240,309.26</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r>
      <w:tr w:rsidR="00AD5BB5">
        <w:tc>
          <w:tcPr>
            <w:tcW w:w="3686" w:type="dxa"/>
            <w:tcBorders>
              <w:top w:val="nil"/>
              <w:left w:val="nil"/>
              <w:bottom w:val="nil"/>
              <w:right w:val="nil"/>
            </w:tcBorders>
            <w:vAlign w:val="bottom"/>
          </w:tcPr>
          <w:p w:rsidR="00AD5BB5" w:rsidRDefault="00F87FF6">
            <w:pPr>
              <w:autoSpaceDE w:val="0"/>
              <w:autoSpaceDN w:val="0"/>
              <w:ind w:leftChars="170" w:left="557" w:hangingChars="100" w:hanging="200"/>
              <w:rPr>
                <w:rFonts w:ascii="Arial" w:eastAsia="黑体" w:hAnsi="Arial" w:cs="Arial"/>
                <w:sz w:val="20"/>
              </w:rPr>
            </w:pPr>
            <w:r>
              <w:rPr>
                <w:rFonts w:ascii="Arial" w:eastAsia="黑体" w:hAnsi="Arial" w:cs="Arial"/>
                <w:sz w:val="20"/>
              </w:rPr>
              <w:t>未实现的公允价值变动（收益）</w:t>
            </w:r>
            <w:r>
              <w:rPr>
                <w:rFonts w:ascii="Arial" w:eastAsia="黑体" w:hAnsi="Arial" w:cs="Arial"/>
                <w:sz w:val="20"/>
              </w:rPr>
              <w:t>/</w:t>
            </w:r>
            <w:r>
              <w:rPr>
                <w:rFonts w:ascii="Arial" w:eastAsia="黑体" w:hAnsi="Arial" w:cs="Arial"/>
                <w:sz w:val="20"/>
              </w:rPr>
              <w:t>损失</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8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(398,427,275.85</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4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316,412,497.72</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686" w:type="dxa"/>
            <w:tcBorders>
              <w:top w:val="nil"/>
              <w:left w:val="nil"/>
              <w:bottom w:val="nil"/>
              <w:right w:val="nil"/>
            </w:tcBorders>
            <w:vAlign w:val="bottom"/>
          </w:tcPr>
          <w:p w:rsidR="00AD5BB5" w:rsidRDefault="00F87FF6">
            <w:pPr>
              <w:autoSpaceDE w:val="0"/>
              <w:autoSpaceDN w:val="0"/>
              <w:ind w:leftChars="170" w:left="557" w:hangingChars="100" w:hanging="200"/>
              <w:rPr>
                <w:rFonts w:ascii="Arial" w:eastAsia="黑体" w:hAnsi="Arial" w:cs="Arial"/>
                <w:sz w:val="20"/>
              </w:rPr>
            </w:pPr>
            <w:r>
              <w:rPr>
                <w:rFonts w:ascii="Arial" w:eastAsia="黑体" w:hAnsi="Arial" w:cs="Arial"/>
                <w:sz w:val="20"/>
              </w:rPr>
              <w:t>发行债券利息支出</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8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925,509,914.60</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4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910,471,224.94</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686" w:type="dxa"/>
            <w:tcBorders>
              <w:top w:val="nil"/>
              <w:left w:val="nil"/>
              <w:bottom w:val="nil"/>
              <w:right w:val="nil"/>
            </w:tcBorders>
            <w:vAlign w:val="bottom"/>
          </w:tcPr>
          <w:p w:rsidR="00AD5BB5" w:rsidRDefault="00F87FF6">
            <w:pPr>
              <w:autoSpaceDE w:val="0"/>
              <w:autoSpaceDN w:val="0"/>
              <w:ind w:leftChars="170" w:left="557" w:hangingChars="100" w:hanging="200"/>
              <w:rPr>
                <w:rFonts w:ascii="Arial" w:eastAsia="黑体" w:hAnsi="Arial" w:cs="Arial"/>
                <w:sz w:val="20"/>
              </w:rPr>
            </w:pPr>
            <w:r>
              <w:rPr>
                <w:rFonts w:ascii="Arial" w:eastAsia="黑体" w:hAnsi="Arial" w:cs="Arial"/>
                <w:sz w:val="20"/>
              </w:rPr>
              <w:t>递延所得税资产的</w:t>
            </w:r>
            <w:r>
              <w:rPr>
                <w:rFonts w:ascii="Arial" w:eastAsia="黑体" w:hAnsi="Arial" w:cs="Arial"/>
              </w:rPr>
              <w:t>减少</w:t>
            </w:r>
            <w:r>
              <w:rPr>
                <w:rFonts w:ascii="Arial" w:eastAsia="黑体" w:hAnsi="Arial" w:cs="Arial"/>
              </w:rPr>
              <w:t>/(</w:t>
            </w:r>
            <w:r>
              <w:rPr>
                <w:rFonts w:ascii="Arial" w:eastAsia="黑体" w:hAnsi="Arial" w:cs="Arial"/>
              </w:rPr>
              <w:t>增加）</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8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132,366,466.98</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4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(157,331,709.78</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r>
      <w:tr w:rsidR="00AD5BB5">
        <w:tc>
          <w:tcPr>
            <w:tcW w:w="3686" w:type="dxa"/>
            <w:tcBorders>
              <w:top w:val="nil"/>
              <w:left w:val="nil"/>
              <w:bottom w:val="nil"/>
              <w:right w:val="nil"/>
            </w:tcBorders>
            <w:vAlign w:val="bottom"/>
          </w:tcPr>
          <w:p w:rsidR="00AD5BB5" w:rsidRDefault="00F87FF6">
            <w:pPr>
              <w:autoSpaceDE w:val="0"/>
              <w:autoSpaceDN w:val="0"/>
              <w:ind w:leftChars="170" w:left="557" w:hangingChars="100" w:hanging="200"/>
              <w:rPr>
                <w:rFonts w:ascii="Arial" w:eastAsia="黑体" w:hAnsi="Arial" w:cs="Arial"/>
                <w:sz w:val="20"/>
              </w:rPr>
            </w:pPr>
            <w:r>
              <w:rPr>
                <w:rFonts w:ascii="Arial" w:eastAsia="黑体" w:hAnsi="Arial" w:cs="Arial"/>
                <w:sz w:val="20"/>
              </w:rPr>
              <w:t>经营性应收项目的</w:t>
            </w:r>
            <w:r>
              <w:rPr>
                <w:rFonts w:ascii="Arial" w:eastAsia="黑体" w:hAnsi="Arial" w:cs="Arial" w:hint="eastAsia"/>
                <w:sz w:val="20"/>
              </w:rPr>
              <w:t>增加</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80"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(1,143,418,424.08</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44" w:type="dxa"/>
            <w:tcBorders>
              <w:top w:val="nil"/>
              <w:left w:val="nil"/>
              <w:bottom w:val="nil"/>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(5,709,116,401.52</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r>
      <w:tr w:rsidR="00AD5BB5">
        <w:tc>
          <w:tcPr>
            <w:tcW w:w="3686" w:type="dxa"/>
            <w:tcBorders>
              <w:top w:val="nil"/>
              <w:left w:val="nil"/>
              <w:bottom w:val="nil"/>
              <w:right w:val="nil"/>
            </w:tcBorders>
            <w:vAlign w:val="bottom"/>
          </w:tcPr>
          <w:p w:rsidR="00AD5BB5" w:rsidRDefault="00F87FF6">
            <w:pPr>
              <w:autoSpaceDE w:val="0"/>
              <w:autoSpaceDN w:val="0"/>
              <w:ind w:leftChars="170" w:left="557" w:hangingChars="100" w:hanging="200"/>
              <w:rPr>
                <w:rFonts w:ascii="Arial" w:eastAsia="黑体" w:hAnsi="Arial" w:cs="Arial"/>
                <w:sz w:val="20"/>
              </w:rPr>
            </w:pPr>
            <w:r>
              <w:rPr>
                <w:rFonts w:ascii="Arial" w:eastAsia="黑体" w:hAnsi="Arial" w:cs="Arial"/>
                <w:sz w:val="20"/>
              </w:rPr>
              <w:t>经营性应付项目的</w:t>
            </w:r>
            <w:r>
              <w:rPr>
                <w:rFonts w:ascii="Arial" w:eastAsia="黑体" w:hAnsi="Arial" w:cs="Arial" w:hint="eastAsia"/>
              </w:rPr>
              <w:t>（减少</w:t>
            </w:r>
            <w:r>
              <w:rPr>
                <w:rFonts w:ascii="Arial" w:eastAsia="黑体" w:hAnsi="Arial" w:cs="Arial"/>
              </w:rPr>
              <w:t>）</w:t>
            </w:r>
            <w:r>
              <w:rPr>
                <w:rFonts w:ascii="Arial" w:eastAsia="黑体" w:hAnsi="Arial" w:cs="Arial"/>
              </w:rPr>
              <w:t>/</w:t>
            </w:r>
            <w:r>
              <w:rPr>
                <w:rFonts w:ascii="Arial" w:eastAsia="黑体" w:hAnsi="Arial" w:cs="Arial" w:hint="eastAsia"/>
              </w:rPr>
              <w:t>增加</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80"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(27,225,483,312.01</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44"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22,461,961,157.82</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686" w:type="dxa"/>
            <w:tcBorders>
              <w:top w:val="nil"/>
              <w:left w:val="nil"/>
              <w:bottom w:val="nil"/>
              <w:right w:val="nil"/>
            </w:tcBorders>
            <w:vAlign w:val="bottom"/>
          </w:tcPr>
          <w:p w:rsidR="00AD5BB5" w:rsidRDefault="00AD5BB5">
            <w:pPr>
              <w:autoSpaceDE w:val="0"/>
              <w:autoSpaceDN w:val="0"/>
              <w:ind w:leftChars="170" w:left="657" w:hangingChars="150" w:hanging="30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80"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44"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 w:val="20"/>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r w:rsidR="00AD5BB5">
        <w:tc>
          <w:tcPr>
            <w:tcW w:w="3686" w:type="dxa"/>
            <w:tcBorders>
              <w:top w:val="nil"/>
              <w:left w:val="nil"/>
              <w:bottom w:val="nil"/>
              <w:right w:val="nil"/>
            </w:tcBorders>
            <w:vAlign w:val="bottom"/>
          </w:tcPr>
          <w:p w:rsidR="00AD5BB5" w:rsidRDefault="00F87FF6">
            <w:pPr>
              <w:autoSpaceDE w:val="0"/>
              <w:autoSpaceDN w:val="0"/>
              <w:ind w:leftChars="-5" w:left="4" w:hangingChars="7" w:hanging="14"/>
              <w:rPr>
                <w:rFonts w:ascii="Arial" w:eastAsia="黑体" w:hAnsi="Arial" w:cs="Arial"/>
                <w:sz w:val="20"/>
              </w:rPr>
            </w:pPr>
            <w:r>
              <w:rPr>
                <w:rFonts w:ascii="Arial" w:eastAsia="黑体" w:hAnsi="Arial" w:cs="Arial"/>
                <w:sz w:val="20"/>
              </w:rPr>
              <w:t>经营活动（使用）</w:t>
            </w:r>
            <w:r>
              <w:rPr>
                <w:rFonts w:ascii="Arial" w:eastAsia="黑体" w:hAnsi="Arial" w:cs="Arial"/>
                <w:sz w:val="20"/>
              </w:rPr>
              <w:t>/</w:t>
            </w:r>
            <w:r>
              <w:rPr>
                <w:rFonts w:ascii="Arial" w:eastAsia="黑体" w:hAnsi="Arial" w:cs="Arial"/>
                <w:sz w:val="20"/>
              </w:rPr>
              <w:t>产生的现金流量净额</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80"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(27,617,152,311.95</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 w:val="20"/>
              </w:rPr>
            </w:pPr>
            <w:r>
              <w:rPr>
                <w:rFonts w:ascii="Arial" w:eastAsia="黑体" w:hAnsi="Arial" w:cs="Arial"/>
                <w:sz w:val="20"/>
              </w:rPr>
              <w:t>)</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c>
          <w:tcPr>
            <w:tcW w:w="2144"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 w:val="20"/>
              </w:rPr>
            </w:pPr>
            <w:r>
              <w:rPr>
                <w:rFonts w:ascii="Arial" w:eastAsia="黑体" w:hAnsi="Arial" w:cs="Arial"/>
                <w:sz w:val="20"/>
              </w:rPr>
              <w:t>17,950,903,183.89</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 w:val="20"/>
              </w:rPr>
            </w:pPr>
          </w:p>
        </w:tc>
      </w:tr>
    </w:tbl>
    <w:p w:rsidR="00AD5BB5" w:rsidRDefault="00AD5BB5">
      <w:pPr>
        <w:overflowPunct w:val="0"/>
        <w:autoSpaceDE w:val="0"/>
        <w:autoSpaceDN w:val="0"/>
        <w:rPr>
          <w:rFonts w:ascii="Arial" w:eastAsia="黑体" w:hAnsi="Arial" w:cs="Arial"/>
          <w:snapToGrid w:val="0"/>
          <w:szCs w:val="21"/>
        </w:rPr>
      </w:pPr>
    </w:p>
    <w:p w:rsidR="00AD5BB5" w:rsidRDefault="00F87FF6">
      <w:pPr>
        <w:overflowPunct w:val="0"/>
        <w:autoSpaceDE w:val="0"/>
        <w:autoSpaceDN w:val="0"/>
        <w:rPr>
          <w:rFonts w:ascii="Arial" w:eastAsia="黑体" w:hAnsi="Arial" w:cs="Arial"/>
          <w:snapToGrid w:val="0"/>
          <w:szCs w:val="21"/>
        </w:rPr>
      </w:pPr>
      <w:r>
        <w:rPr>
          <w:rFonts w:ascii="Arial" w:eastAsia="黑体" w:hAnsi="Arial" w:cs="Arial"/>
          <w:snapToGrid w:val="0"/>
          <w:szCs w:val="21"/>
        </w:rPr>
        <w:t>现金及现金等价物净变动：</w:t>
      </w:r>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ddcc73ca-f8ee-413e-94d2-fb15ea36640c"/>
        <w:tblDescription w:val="{&quot;UUID&quot;:&quot;afsaddin_tabledata_2_56437_ddcc73ca-f8ee-413e-94d2-fb15ea36640c&quot;,&quot;TitleRowCount&quot;:2,&quot;SplitedTable&quot;:false,&quot;FirstTableId&quot;:&quot;ddcc73ca-f8ee-413e-94d2-fb15ea36640c&quot;}"/>
      </w:tblPr>
      <w:tblGrid>
        <w:gridCol w:w="3500"/>
        <w:gridCol w:w="109"/>
        <w:gridCol w:w="2316"/>
        <w:gridCol w:w="110"/>
        <w:gridCol w:w="110"/>
        <w:gridCol w:w="2171"/>
        <w:gridCol w:w="110"/>
      </w:tblGrid>
      <w:tr w:rsidR="00AD5BB5">
        <w:tc>
          <w:tcPr>
            <w:tcW w:w="3500"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300" w:hangingChars="150" w:hanging="300"/>
              <w:rPr>
                <w:rFonts w:ascii="Arial" w:eastAsia="黑体" w:hAnsi="Arial" w:cs="Arial"/>
                <w:sz w:val="20"/>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20"/>
              </w:rPr>
            </w:pPr>
          </w:p>
        </w:tc>
        <w:tc>
          <w:tcPr>
            <w:tcW w:w="2316" w:type="dxa"/>
            <w:tcBorders>
              <w:top w:val="nil"/>
              <w:left w:val="nil"/>
              <w:bottom w:val="nil"/>
              <w:right w:val="nil"/>
            </w:tcBorders>
            <w:shd w:val="clear" w:color="000000" w:fill="auto"/>
            <w:noWrap/>
            <w:vAlign w:val="bottom"/>
          </w:tcPr>
          <w:p w:rsidR="00AD5BB5" w:rsidRDefault="00F87FF6">
            <w:pPr>
              <w:tabs>
                <w:tab w:val="left" w:pos="1672"/>
              </w:tabs>
              <w:kinsoku w:val="0"/>
              <w:overflowPunct w:val="0"/>
              <w:autoSpaceDE w:val="0"/>
              <w:autoSpaceDN w:val="0"/>
              <w:adjustRightInd w:val="0"/>
              <w:snapToGrid w:val="0"/>
              <w:ind w:rightChars="22" w:right="46"/>
              <w:jc w:val="right"/>
              <w:rPr>
                <w:rFonts w:ascii="Arial" w:eastAsia="黑体" w:hAnsi="Arial" w:cs="Arial"/>
                <w:sz w:val="20"/>
              </w:rPr>
            </w:pPr>
            <w:r>
              <w:rPr>
                <w:rFonts w:ascii="Arial" w:eastAsia="黑体" w:hAnsi="Arial" w:cs="Arial"/>
                <w:sz w:val="20"/>
              </w:rPr>
              <w:fldChar w:fldCharType="begin"/>
            </w:r>
            <w:r>
              <w:rPr>
                <w:rFonts w:ascii="Arial" w:eastAsia="黑体" w:hAnsi="Arial" w:cs="Arial"/>
                <w:sz w:val="20"/>
              </w:rPr>
              <w:instrText xml:space="preserve">DOCPROPERTY </w:instrText>
            </w:r>
            <w:r>
              <w:rPr>
                <w:rFonts w:ascii="Arial" w:eastAsia="黑体" w:hAnsi="Arial" w:cs="Arial"/>
                <w:sz w:val="20"/>
              </w:rPr>
              <w:instrText>当期会计期间</w:instrText>
            </w:r>
            <w:r>
              <w:rPr>
                <w:rFonts w:ascii="Arial" w:eastAsia="黑体" w:hAnsi="Arial" w:cs="Arial"/>
                <w:sz w:val="20"/>
              </w:rPr>
              <w:fldChar w:fldCharType="separate"/>
            </w:r>
            <w:r>
              <w:rPr>
                <w:rFonts w:ascii="Arial" w:eastAsia="黑体" w:hAnsi="Arial" w:cs="Arial"/>
                <w:sz w:val="20"/>
              </w:rPr>
              <w:t>2023</w:t>
            </w:r>
            <w:r>
              <w:rPr>
                <w:rFonts w:ascii="Arial" w:eastAsia="黑体" w:hAnsi="Arial" w:cs="Arial"/>
                <w:sz w:val="20"/>
              </w:rPr>
              <w:fldChar w:fldCharType="end"/>
            </w:r>
            <w:r>
              <w:rPr>
                <w:rFonts w:ascii="Arial" w:eastAsia="黑体" w:hAnsi="Arial" w:cs="Arial"/>
                <w:sz w:val="20"/>
              </w:rPr>
              <w:t>年</w:t>
            </w:r>
            <w:r>
              <w:rPr>
                <w:rFonts w:ascii="Arial" w:eastAsia="黑体" w:hAnsi="Arial" w:cs="Arial"/>
                <w:sz w:val="20"/>
              </w:rPr>
              <w:t>1-6</w:t>
            </w:r>
            <w:r>
              <w:rPr>
                <w:rFonts w:ascii="Arial" w:eastAsia="黑体" w:hAnsi="Arial" w:cs="Arial"/>
                <w:sz w:val="20"/>
              </w:rPr>
              <w:t>月</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20"/>
              </w:rPr>
            </w:pPr>
          </w:p>
        </w:tc>
        <w:tc>
          <w:tcPr>
            <w:tcW w:w="2171" w:type="dxa"/>
            <w:tcBorders>
              <w:top w:val="nil"/>
              <w:left w:val="nil"/>
              <w:bottom w:val="nil"/>
              <w:right w:val="nil"/>
            </w:tcBorders>
            <w:shd w:val="clear" w:color="000000" w:fill="auto"/>
            <w:noWrap/>
            <w:vAlign w:val="bottom"/>
          </w:tcPr>
          <w:p w:rsidR="00AD5BB5" w:rsidRDefault="00F87FF6">
            <w:pPr>
              <w:tabs>
                <w:tab w:val="left" w:pos="1585"/>
              </w:tabs>
              <w:kinsoku w:val="0"/>
              <w:overflowPunct w:val="0"/>
              <w:autoSpaceDE w:val="0"/>
              <w:autoSpaceDN w:val="0"/>
              <w:adjustRightInd w:val="0"/>
              <w:snapToGrid w:val="0"/>
              <w:ind w:rightChars="24" w:right="50"/>
              <w:jc w:val="right"/>
              <w:rPr>
                <w:rFonts w:ascii="Arial" w:eastAsia="黑体" w:hAnsi="Arial" w:cs="Arial"/>
                <w:sz w:val="20"/>
              </w:rPr>
            </w:pPr>
            <w:r>
              <w:rPr>
                <w:rFonts w:ascii="Arial" w:eastAsia="黑体" w:hAnsi="Arial" w:cs="Arial"/>
                <w:sz w:val="20"/>
              </w:rPr>
              <w:fldChar w:fldCharType="begin"/>
            </w:r>
            <w:r>
              <w:rPr>
                <w:rFonts w:ascii="Arial" w:eastAsia="黑体" w:hAnsi="Arial" w:cs="Arial"/>
                <w:sz w:val="20"/>
              </w:rPr>
              <w:instrText xml:space="preserve">DOCPROPERTY </w:instrText>
            </w:r>
            <w:r>
              <w:rPr>
                <w:rFonts w:ascii="Arial" w:eastAsia="黑体" w:hAnsi="Arial" w:cs="Arial"/>
                <w:sz w:val="20"/>
              </w:rPr>
              <w:instrText>对比会计期间</w:instrText>
            </w:r>
            <w:r>
              <w:rPr>
                <w:rFonts w:ascii="Arial" w:eastAsia="黑体" w:hAnsi="Arial" w:cs="Arial"/>
                <w:sz w:val="20"/>
              </w:rPr>
              <w:fldChar w:fldCharType="separate"/>
            </w:r>
            <w:r>
              <w:rPr>
                <w:rFonts w:ascii="Arial" w:eastAsia="黑体" w:hAnsi="Arial" w:cs="Arial"/>
                <w:sz w:val="20"/>
              </w:rPr>
              <w:t>2022</w:t>
            </w:r>
            <w:r>
              <w:rPr>
                <w:rFonts w:ascii="Arial" w:eastAsia="黑体" w:hAnsi="Arial" w:cs="Arial"/>
                <w:sz w:val="20"/>
              </w:rPr>
              <w:fldChar w:fldCharType="end"/>
            </w:r>
            <w:r>
              <w:rPr>
                <w:rFonts w:ascii="Arial" w:eastAsia="黑体" w:hAnsi="Arial" w:cs="Arial"/>
                <w:sz w:val="20"/>
              </w:rPr>
              <w:t>年</w:t>
            </w:r>
            <w:r>
              <w:rPr>
                <w:rFonts w:ascii="Arial" w:eastAsia="黑体" w:hAnsi="Arial" w:cs="Arial"/>
                <w:sz w:val="20"/>
              </w:rPr>
              <w:t>1-6</w:t>
            </w:r>
            <w:r>
              <w:rPr>
                <w:rFonts w:ascii="Arial" w:eastAsia="黑体" w:hAnsi="Arial" w:cs="Arial"/>
                <w:sz w:val="20"/>
              </w:rPr>
              <w:t>月</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 w:val="20"/>
              </w:rPr>
            </w:pPr>
          </w:p>
        </w:tc>
      </w:tr>
      <w:tr w:rsidR="00AD5BB5">
        <w:tc>
          <w:tcPr>
            <w:tcW w:w="3500"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300" w:hangingChars="150" w:hanging="300"/>
              <w:rPr>
                <w:rFonts w:ascii="Arial" w:eastAsia="黑体" w:hAnsi="Arial" w:cs="Arial"/>
                <w:sz w:val="20"/>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6" w:type="dxa"/>
            <w:tcBorders>
              <w:top w:val="nil"/>
              <w:left w:val="nil"/>
              <w:bottom w:val="nil"/>
              <w:right w:val="nil"/>
            </w:tcBorders>
            <w:shd w:val="clear" w:color="000000" w:fill="auto"/>
            <w:noWrap/>
            <w:vAlign w:val="bottom"/>
          </w:tcPr>
          <w:p w:rsidR="00AD5BB5" w:rsidRDefault="00AD5BB5">
            <w:pPr>
              <w:tabs>
                <w:tab w:val="left" w:pos="1681"/>
              </w:tabs>
              <w:kinsoku w:val="0"/>
              <w:overflowPunct w:val="0"/>
              <w:autoSpaceDE w:val="0"/>
              <w:autoSpaceDN w:val="0"/>
              <w:adjustRightInd w:val="0"/>
              <w:snapToGrid w:val="0"/>
              <w:jc w:val="right"/>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2171"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r>
      <w:tr w:rsidR="00AD5BB5">
        <w:tc>
          <w:tcPr>
            <w:tcW w:w="3500"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00" w:hangingChars="100" w:hanging="200"/>
              <w:rPr>
                <w:rFonts w:ascii="Arial" w:eastAsia="黑体" w:hAnsi="Arial" w:cs="Arial"/>
                <w:color w:val="000000"/>
                <w:sz w:val="20"/>
              </w:rPr>
            </w:pPr>
            <w:r>
              <w:rPr>
                <w:rFonts w:ascii="Arial" w:eastAsia="黑体" w:hAnsi="Arial" w:cs="Arial"/>
                <w:color w:val="000000"/>
                <w:sz w:val="20"/>
              </w:rPr>
              <w:t>现金的期末余额</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6"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20"/>
              </w:rPr>
            </w:pPr>
            <w:r>
              <w:rPr>
                <w:rFonts w:ascii="Arial" w:eastAsia="黑体" w:hAnsi="Arial" w:cs="Arial"/>
                <w:color w:val="000000"/>
                <w:sz w:val="20"/>
              </w:rPr>
              <w:t>230,076,577.40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20"/>
              </w:rPr>
            </w:pPr>
          </w:p>
        </w:tc>
        <w:tc>
          <w:tcPr>
            <w:tcW w:w="2171"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20"/>
              </w:rPr>
            </w:pPr>
            <w:r>
              <w:rPr>
                <w:rFonts w:ascii="Arial" w:eastAsia="黑体" w:hAnsi="Arial" w:cs="Arial"/>
                <w:color w:val="000000"/>
                <w:sz w:val="20"/>
              </w:rPr>
              <w:t>226,032,330.12</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r w:rsidR="00AD5BB5">
        <w:tc>
          <w:tcPr>
            <w:tcW w:w="3500"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600" w:hangingChars="300" w:hanging="600"/>
              <w:rPr>
                <w:rFonts w:ascii="Arial" w:eastAsia="黑体" w:hAnsi="Arial" w:cs="Arial"/>
                <w:color w:val="000000"/>
                <w:sz w:val="20"/>
              </w:rPr>
            </w:pPr>
            <w:r>
              <w:rPr>
                <w:rFonts w:ascii="Arial" w:eastAsia="黑体" w:hAnsi="Arial" w:cs="Arial"/>
                <w:sz w:val="20"/>
              </w:rPr>
              <w:t>减：现金的期初余额</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6"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20"/>
              </w:rPr>
            </w:pPr>
            <w:r>
              <w:rPr>
                <w:rFonts w:ascii="Arial" w:eastAsia="黑体" w:hAnsi="Arial" w:cs="Arial"/>
                <w:color w:val="000000"/>
                <w:sz w:val="20"/>
              </w:rPr>
              <w:t>(232,517,983.41</w:t>
            </w:r>
          </w:p>
        </w:tc>
        <w:tc>
          <w:tcPr>
            <w:tcW w:w="110"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 w:val="20"/>
              </w:rPr>
            </w:pPr>
            <w:r>
              <w:rPr>
                <w:rFonts w:ascii="Arial" w:eastAsia="黑体" w:hAnsi="Arial" w:cs="Arial"/>
                <w:color w:val="000000"/>
                <w:sz w:val="20"/>
              </w:rPr>
              <w:t>)</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20"/>
              </w:rPr>
            </w:pPr>
          </w:p>
        </w:tc>
        <w:tc>
          <w:tcPr>
            <w:tcW w:w="2171"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20"/>
              </w:rPr>
            </w:pPr>
            <w:r>
              <w:rPr>
                <w:rFonts w:ascii="Arial" w:eastAsia="黑体" w:hAnsi="Arial" w:cs="Arial"/>
                <w:color w:val="000000"/>
                <w:sz w:val="20"/>
              </w:rPr>
              <w:t>(207,474,504.28</w:t>
            </w:r>
          </w:p>
        </w:tc>
        <w:tc>
          <w:tcPr>
            <w:tcW w:w="110"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 w:val="20"/>
              </w:rPr>
            </w:pPr>
            <w:r>
              <w:rPr>
                <w:rFonts w:ascii="Arial" w:eastAsia="黑体" w:hAnsi="Arial" w:cs="Arial"/>
                <w:color w:val="000000"/>
                <w:sz w:val="20"/>
              </w:rPr>
              <w:t>)</w:t>
            </w:r>
          </w:p>
        </w:tc>
      </w:tr>
      <w:tr w:rsidR="00AD5BB5">
        <w:tc>
          <w:tcPr>
            <w:tcW w:w="3500"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600" w:hangingChars="300" w:hanging="600"/>
              <w:rPr>
                <w:rFonts w:ascii="Arial" w:eastAsia="黑体" w:hAnsi="Arial" w:cs="Arial"/>
                <w:color w:val="000000"/>
                <w:sz w:val="20"/>
              </w:rPr>
            </w:pPr>
            <w:r>
              <w:rPr>
                <w:rFonts w:ascii="Arial" w:eastAsia="黑体" w:hAnsi="Arial" w:cs="Arial"/>
                <w:sz w:val="20"/>
              </w:rPr>
              <w:t>加：现金等价物的期末余额</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6"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20"/>
              </w:rPr>
            </w:pPr>
            <w:r>
              <w:rPr>
                <w:rFonts w:ascii="Arial" w:eastAsia="黑体" w:hAnsi="Arial" w:cs="Arial"/>
                <w:color w:val="000000"/>
                <w:sz w:val="20"/>
              </w:rPr>
              <w:t>8,620,137,479.41</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tabs>
                <w:tab w:val="left" w:pos="1585"/>
              </w:tabs>
              <w:kinsoku w:val="0"/>
              <w:overflowPunct w:val="0"/>
              <w:autoSpaceDE w:val="0"/>
              <w:autoSpaceDN w:val="0"/>
              <w:adjustRightInd w:val="0"/>
              <w:snapToGrid w:val="0"/>
              <w:ind w:rightChars="38" w:right="80"/>
              <w:rPr>
                <w:rFonts w:ascii="Arial" w:eastAsia="黑体" w:hAnsi="Arial" w:cs="Arial"/>
                <w:color w:val="000000"/>
                <w:sz w:val="20"/>
              </w:rPr>
            </w:pPr>
          </w:p>
        </w:tc>
        <w:tc>
          <w:tcPr>
            <w:tcW w:w="2171"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20"/>
              </w:rPr>
            </w:pPr>
            <w:r>
              <w:rPr>
                <w:rFonts w:ascii="Arial" w:eastAsia="黑体" w:hAnsi="Arial" w:cs="Arial"/>
                <w:color w:val="000000"/>
                <w:sz w:val="20"/>
              </w:rPr>
              <w:t>19,060,695,150.20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r w:rsidR="00AD5BB5">
        <w:tc>
          <w:tcPr>
            <w:tcW w:w="3500"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600" w:hangingChars="300" w:hanging="600"/>
              <w:rPr>
                <w:rFonts w:ascii="Arial" w:eastAsia="黑体" w:hAnsi="Arial" w:cs="Arial"/>
                <w:color w:val="000000"/>
                <w:sz w:val="20"/>
              </w:rPr>
            </w:pPr>
            <w:r>
              <w:rPr>
                <w:rFonts w:ascii="Arial" w:eastAsia="黑体" w:hAnsi="Arial" w:cs="Arial"/>
                <w:sz w:val="20"/>
              </w:rPr>
              <w:t>减：现金等价物的期初余额</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6"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20"/>
              </w:rPr>
            </w:pPr>
            <w:r>
              <w:rPr>
                <w:rFonts w:ascii="Arial" w:eastAsia="黑体" w:hAnsi="Arial" w:cs="Arial"/>
                <w:color w:val="000000"/>
                <w:sz w:val="20"/>
              </w:rPr>
              <w:t>(31,615,967,392.90</w:t>
            </w:r>
          </w:p>
        </w:tc>
        <w:tc>
          <w:tcPr>
            <w:tcW w:w="110"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 w:val="20"/>
              </w:rPr>
            </w:pPr>
            <w:r>
              <w:rPr>
                <w:rFonts w:ascii="Arial" w:eastAsia="黑体" w:hAnsi="Arial" w:cs="Arial"/>
                <w:color w:val="000000"/>
                <w:sz w:val="20"/>
              </w:rPr>
              <w:t>)</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20"/>
              </w:rPr>
            </w:pPr>
          </w:p>
        </w:tc>
        <w:tc>
          <w:tcPr>
            <w:tcW w:w="2171"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20"/>
              </w:rPr>
            </w:pPr>
            <w:r>
              <w:rPr>
                <w:rFonts w:ascii="Arial" w:eastAsia="黑体" w:hAnsi="Arial" w:cs="Arial"/>
                <w:color w:val="000000"/>
                <w:sz w:val="20"/>
              </w:rPr>
              <w:t>(14,125,174,265.69</w:t>
            </w:r>
          </w:p>
        </w:tc>
        <w:tc>
          <w:tcPr>
            <w:tcW w:w="110"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 w:val="20"/>
              </w:rPr>
            </w:pPr>
            <w:r>
              <w:rPr>
                <w:rFonts w:ascii="Arial" w:eastAsia="黑体" w:hAnsi="Arial" w:cs="Arial"/>
                <w:color w:val="000000"/>
                <w:sz w:val="20"/>
              </w:rPr>
              <w:t>)</w:t>
            </w:r>
          </w:p>
        </w:tc>
      </w:tr>
      <w:tr w:rsidR="00AD5BB5">
        <w:tc>
          <w:tcPr>
            <w:tcW w:w="350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ind w:left="300" w:hangingChars="150" w:hanging="300"/>
              <w:rPr>
                <w:rFonts w:ascii="Arial" w:eastAsia="黑体" w:hAnsi="Arial" w:cs="Arial"/>
                <w:sz w:val="20"/>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20"/>
              </w:rPr>
            </w:pPr>
          </w:p>
        </w:tc>
        <w:tc>
          <w:tcPr>
            <w:tcW w:w="2316"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20"/>
              </w:rPr>
            </w:pPr>
          </w:p>
        </w:tc>
        <w:tc>
          <w:tcPr>
            <w:tcW w:w="2171" w:type="dxa"/>
            <w:tcBorders>
              <w:top w:val="single" w:sz="4" w:space="0" w:color="auto"/>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20"/>
              </w:rPr>
            </w:pPr>
          </w:p>
        </w:tc>
      </w:tr>
      <w:tr w:rsidR="00AD5BB5">
        <w:tc>
          <w:tcPr>
            <w:tcW w:w="3500"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00" w:hangingChars="100" w:hanging="200"/>
              <w:rPr>
                <w:rFonts w:ascii="Arial" w:eastAsia="黑体" w:hAnsi="Arial" w:cs="Arial"/>
                <w:color w:val="000000"/>
                <w:sz w:val="20"/>
              </w:rPr>
            </w:pPr>
            <w:r>
              <w:rPr>
                <w:rFonts w:ascii="Arial" w:eastAsia="黑体" w:hAnsi="Arial" w:cs="Arial"/>
                <w:color w:val="000000"/>
                <w:sz w:val="20"/>
              </w:rPr>
              <w:t>现金及现金等价物净（减少）</w:t>
            </w:r>
            <w:r>
              <w:rPr>
                <w:rFonts w:ascii="Arial" w:eastAsia="黑体" w:hAnsi="Arial" w:cs="Arial"/>
                <w:color w:val="000000"/>
                <w:sz w:val="20"/>
              </w:rPr>
              <w:t>/</w:t>
            </w:r>
            <w:r>
              <w:rPr>
                <w:rFonts w:ascii="Arial" w:eastAsia="黑体" w:hAnsi="Arial" w:cs="Arial"/>
                <w:color w:val="000000"/>
                <w:sz w:val="20"/>
              </w:rPr>
              <w:t>增加额</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6"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20"/>
              </w:rPr>
            </w:pPr>
            <w:r>
              <w:rPr>
                <w:rFonts w:ascii="Arial" w:eastAsia="黑体" w:hAnsi="Arial" w:cs="Arial"/>
                <w:color w:val="000000"/>
                <w:sz w:val="20"/>
              </w:rPr>
              <w:t>(22,998,271,319.50</w:t>
            </w:r>
          </w:p>
        </w:tc>
        <w:tc>
          <w:tcPr>
            <w:tcW w:w="110" w:type="dxa"/>
            <w:tcBorders>
              <w:top w:val="nil"/>
              <w:left w:val="nil"/>
              <w:bottom w:val="nil"/>
              <w:right w:val="nil"/>
            </w:tcBorders>
            <w:shd w:val="clear" w:color="auto"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 w:val="20"/>
              </w:rPr>
            </w:pPr>
            <w:r>
              <w:rPr>
                <w:rFonts w:ascii="Arial" w:eastAsia="黑体" w:hAnsi="Arial" w:cs="Arial"/>
                <w:color w:val="000000"/>
                <w:sz w:val="20"/>
              </w:rPr>
              <w:t>)</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sz w:val="20"/>
              </w:rPr>
            </w:pPr>
          </w:p>
        </w:tc>
        <w:tc>
          <w:tcPr>
            <w:tcW w:w="2171" w:type="dxa"/>
            <w:tcBorders>
              <w:top w:val="nil"/>
              <w:left w:val="nil"/>
              <w:bottom w:val="doub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 w:val="20"/>
              </w:rPr>
            </w:pPr>
            <w:r>
              <w:rPr>
                <w:rFonts w:ascii="Arial" w:eastAsia="黑体" w:hAnsi="Arial" w:cs="Arial"/>
                <w:color w:val="000000"/>
                <w:sz w:val="20"/>
              </w:rPr>
              <w:t>4,954,078,710.35</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bl>
    <w:p w:rsidR="00AD5BB5" w:rsidRDefault="00F87FF6">
      <w:pPr>
        <w:rPr>
          <w:rFonts w:ascii="Arial" w:eastAsia="黑体" w:hAnsi="Arial" w:cs="Arial"/>
          <w:snapToGrid w:val="0"/>
          <w:szCs w:val="21"/>
        </w:rPr>
      </w:pPr>
      <w:r>
        <w:rPr>
          <w:rFonts w:ascii="Arial" w:eastAsia="黑体" w:hAnsi="Arial" w:cs="Arial"/>
          <w:snapToGrid w:val="0"/>
          <w:szCs w:val="21"/>
        </w:rPr>
        <w:br w:type="page"/>
      </w:r>
    </w:p>
    <w:p w:rsidR="00AD5BB5" w:rsidRDefault="00AD5BB5">
      <w:pPr>
        <w:overflowPunct w:val="0"/>
        <w:autoSpaceDE w:val="0"/>
        <w:autoSpaceDN w:val="0"/>
        <w:rPr>
          <w:rFonts w:ascii="Arial" w:eastAsia="黑体" w:hAnsi="Arial" w:cs="Arial"/>
          <w:snapToGrid w:val="0"/>
          <w:szCs w:val="21"/>
        </w:rPr>
      </w:pPr>
    </w:p>
    <w:p w:rsidR="00AD5BB5" w:rsidRDefault="00AD5BB5">
      <w:pPr>
        <w:overflowPunct w:val="0"/>
        <w:autoSpaceDE w:val="0"/>
        <w:autoSpaceDN w:val="0"/>
        <w:rPr>
          <w:rFonts w:ascii="Arial" w:eastAsia="黑体" w:hAnsi="Arial" w:cs="Arial"/>
          <w:snapToGrid w:val="0"/>
          <w:szCs w:val="21"/>
        </w:rPr>
      </w:pPr>
    </w:p>
    <w:p w:rsidR="00AD5BB5" w:rsidRDefault="00F87FF6">
      <w:pPr>
        <w:tabs>
          <w:tab w:val="left" w:pos="709"/>
        </w:tabs>
        <w:overflowPunct w:val="0"/>
        <w:autoSpaceDE w:val="0"/>
        <w:autoSpaceDN w:val="0"/>
        <w:ind w:left="709" w:hanging="709"/>
        <w:rPr>
          <w:rFonts w:ascii="Arial" w:eastAsia="黑体" w:hAnsi="Arial" w:cs="Arial"/>
          <w:b/>
          <w:snapToGrid w:val="0"/>
          <w:szCs w:val="21"/>
        </w:rPr>
      </w:pPr>
      <w:bookmarkStart w:id="617" w:name="afsaddin_WithXu_57efc968b94f48478617d0f7"/>
      <w:r>
        <w:rPr>
          <w:rFonts w:ascii="Arial" w:eastAsia="黑体" w:hAnsi="Arial" w:cs="Arial"/>
          <w:b/>
          <w:snapToGrid w:val="0"/>
          <w:szCs w:val="21"/>
        </w:rPr>
        <w:t>十四、公司财务报表主要项目注释（续）</w:t>
      </w:r>
      <w:bookmarkEnd w:id="617"/>
    </w:p>
    <w:p w:rsidR="00AD5BB5" w:rsidRDefault="00AD5BB5">
      <w:pPr>
        <w:tabs>
          <w:tab w:val="left" w:pos="709"/>
        </w:tabs>
        <w:overflowPunct w:val="0"/>
        <w:autoSpaceDE w:val="0"/>
        <w:autoSpaceDN w:val="0"/>
        <w:rPr>
          <w:rFonts w:ascii="Arial" w:eastAsia="黑体" w:hAnsi="Arial" w:cs="Arial"/>
          <w:snapToGrid w:val="0"/>
          <w:szCs w:val="21"/>
        </w:rPr>
      </w:pPr>
    </w:p>
    <w:p w:rsidR="00AD5BB5" w:rsidRDefault="00F87FF6">
      <w:pPr>
        <w:overflowPunct w:val="0"/>
        <w:autoSpaceDE w:val="0"/>
        <w:autoSpaceDN w:val="0"/>
        <w:ind w:left="720" w:hanging="720"/>
        <w:rPr>
          <w:rFonts w:ascii="Arial" w:eastAsia="黑体" w:hAnsi="Arial" w:cs="Arial"/>
          <w:b/>
          <w:snapToGrid w:val="0"/>
          <w:szCs w:val="21"/>
        </w:rPr>
      </w:pPr>
      <w:bookmarkStart w:id="618" w:name="afsaddin_WithXu_00deff5ed7244a9b9841c92b"/>
      <w:r>
        <w:rPr>
          <w:rFonts w:ascii="Arial" w:eastAsia="黑体" w:hAnsi="Arial" w:cs="Arial"/>
          <w:b/>
          <w:snapToGrid w:val="0"/>
          <w:szCs w:val="21"/>
        </w:rPr>
        <w:t>8.</w:t>
      </w:r>
      <w:r>
        <w:rPr>
          <w:rFonts w:ascii="Arial" w:eastAsia="黑体" w:hAnsi="Arial" w:cs="Arial"/>
          <w:b/>
          <w:snapToGrid w:val="0"/>
          <w:szCs w:val="21"/>
        </w:rPr>
        <w:tab/>
      </w:r>
      <w:r>
        <w:rPr>
          <w:rFonts w:ascii="Arial" w:eastAsia="黑体" w:hAnsi="Arial" w:cs="Arial"/>
          <w:b/>
          <w:snapToGrid w:val="0"/>
          <w:szCs w:val="21"/>
        </w:rPr>
        <w:t>现金流量表补充资料（续）</w:t>
      </w:r>
      <w:bookmarkEnd w:id="618"/>
    </w:p>
    <w:p w:rsidR="00AD5BB5" w:rsidRDefault="00AD5BB5">
      <w:pPr>
        <w:overflowPunct w:val="0"/>
        <w:autoSpaceDE w:val="0"/>
        <w:autoSpaceDN w:val="0"/>
        <w:rPr>
          <w:rFonts w:ascii="Arial" w:eastAsia="黑体" w:hAnsi="Arial" w:cs="Arial"/>
          <w:snapToGrid w:val="0"/>
          <w:szCs w:val="21"/>
        </w:rPr>
      </w:pPr>
    </w:p>
    <w:p w:rsidR="00AD5BB5" w:rsidRDefault="00F87FF6">
      <w:pPr>
        <w:pStyle w:val="Style1"/>
        <w:rPr>
          <w:bCs w:val="0"/>
          <w:i w:val="0"/>
          <w:color w:val="auto"/>
          <w:kern w:val="0"/>
          <w:sz w:val="21"/>
          <w:szCs w:val="21"/>
        </w:rPr>
      </w:pPr>
      <w:bookmarkStart w:id="619" w:name="afsaddin_WithXu_e0dcedbebbe948ba98576aa5"/>
      <w:bookmarkStart w:id="620" w:name="afsaddin_WithXu_e87c8415f0aa4d2abb2dc92a"/>
      <w:bookmarkStart w:id="621" w:name="afsaddin_Section_8aa3de5d10de472f913dd68"/>
      <w:bookmarkEnd w:id="619"/>
      <w:bookmarkEnd w:id="620"/>
      <w:r>
        <w:rPr>
          <w:bCs w:val="0"/>
          <w:i w:val="0"/>
          <w:color w:val="auto"/>
          <w:kern w:val="0"/>
          <w:sz w:val="21"/>
          <w:szCs w:val="21"/>
        </w:rPr>
        <w:t>(2)</w:t>
      </w:r>
      <w:r>
        <w:rPr>
          <w:bCs w:val="0"/>
          <w:i w:val="0"/>
          <w:color w:val="auto"/>
          <w:kern w:val="0"/>
          <w:sz w:val="21"/>
          <w:szCs w:val="21"/>
        </w:rPr>
        <w:tab/>
      </w:r>
      <w:r>
        <w:rPr>
          <w:bCs w:val="0"/>
          <w:i w:val="0"/>
          <w:color w:val="auto"/>
          <w:kern w:val="0"/>
          <w:sz w:val="21"/>
          <w:szCs w:val="21"/>
        </w:rPr>
        <w:t>现金及现金等价物</w:t>
      </w:r>
      <w:bookmarkEnd w:id="621"/>
    </w:p>
    <w:p w:rsidR="00AD5BB5" w:rsidRDefault="00AD5BB5">
      <w:pPr>
        <w:overflowPunct w:val="0"/>
        <w:autoSpaceDE w:val="0"/>
        <w:autoSpaceDN w:val="0"/>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7f128635-c431-4137-928e-7ba521360063"/>
        <w:tblDescription w:val="{&quot;UUID&quot;:&quot;afsaddin_tabledata_2_56437_7f128635-c431-4137-928e-7ba521360063&quot;,&quot;TitleRowCount&quot;:2,&quot;SplitedTable&quot;:false,&quot;FirstTableId&quot;:&quot;7f128635-c431-4137-928e-7ba521360063&quot;}"/>
      </w:tblPr>
      <w:tblGrid>
        <w:gridCol w:w="3500"/>
        <w:gridCol w:w="109"/>
        <w:gridCol w:w="2316"/>
        <w:gridCol w:w="110"/>
        <w:gridCol w:w="110"/>
        <w:gridCol w:w="2171"/>
        <w:gridCol w:w="110"/>
      </w:tblGrid>
      <w:tr w:rsidR="00AD5BB5">
        <w:tc>
          <w:tcPr>
            <w:tcW w:w="3500"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300" w:hangingChars="150" w:hanging="300"/>
              <w:jc w:val="right"/>
              <w:rPr>
                <w:rFonts w:ascii="Arial" w:eastAsia="黑体" w:hAnsi="Arial" w:cs="Arial"/>
                <w:color w:val="000000"/>
                <w:sz w:val="20"/>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2316" w:type="dxa"/>
            <w:tcBorders>
              <w:top w:val="nil"/>
              <w:left w:val="nil"/>
              <w:bottom w:val="nil"/>
              <w:right w:val="nil"/>
            </w:tcBorders>
            <w:shd w:val="clear" w:color="000000" w:fill="auto"/>
            <w:noWrap/>
            <w:vAlign w:val="bottom"/>
          </w:tcPr>
          <w:p w:rsidR="00AD5BB5" w:rsidRDefault="00F87FF6">
            <w:pPr>
              <w:tabs>
                <w:tab w:val="left" w:pos="1672"/>
              </w:tabs>
              <w:kinsoku w:val="0"/>
              <w:overflowPunct w:val="0"/>
              <w:autoSpaceDE w:val="0"/>
              <w:autoSpaceDN w:val="0"/>
              <w:adjustRightInd w:val="0"/>
              <w:snapToGrid w:val="0"/>
              <w:ind w:rightChars="22" w:right="46"/>
              <w:jc w:val="right"/>
              <w:rPr>
                <w:rFonts w:ascii="Arial" w:eastAsia="黑体" w:hAnsi="Arial" w:cs="Arial"/>
                <w:color w:val="000000"/>
                <w:sz w:val="20"/>
              </w:rPr>
            </w:pPr>
            <w:r>
              <w:rPr>
                <w:rFonts w:ascii="Arial" w:eastAsia="黑体" w:hAnsi="Arial" w:cs="Arial"/>
                <w:color w:val="000000"/>
                <w:sz w:val="20"/>
              </w:rPr>
              <w:fldChar w:fldCharType="begin"/>
            </w:r>
            <w:r>
              <w:rPr>
                <w:rFonts w:ascii="Arial" w:eastAsia="黑体" w:hAnsi="Arial" w:cs="Arial"/>
                <w:color w:val="000000"/>
                <w:sz w:val="20"/>
              </w:rPr>
              <w:instrText xml:space="preserve"> DOCPROPERTY </w:instrText>
            </w:r>
            <w:r>
              <w:rPr>
                <w:rFonts w:ascii="Arial" w:eastAsia="黑体" w:hAnsi="Arial" w:cs="Arial"/>
                <w:color w:val="000000"/>
                <w:sz w:val="20"/>
              </w:rPr>
              <w:instrText>当期资产负债表日</w:instrText>
            </w:r>
            <w:r>
              <w:rPr>
                <w:rFonts w:ascii="Arial" w:eastAsia="黑体" w:hAnsi="Arial" w:cs="Arial"/>
                <w:color w:val="000000"/>
                <w:sz w:val="20"/>
              </w:rPr>
              <w:instrText xml:space="preserve"> </w:instrText>
            </w:r>
            <w:r>
              <w:rPr>
                <w:rFonts w:ascii="Arial" w:eastAsia="黑体" w:hAnsi="Arial" w:cs="Arial"/>
                <w:color w:val="000000"/>
                <w:sz w:val="20"/>
              </w:rPr>
              <w:fldChar w:fldCharType="separate"/>
            </w:r>
            <w:r>
              <w:rPr>
                <w:rFonts w:ascii="Arial" w:eastAsia="黑体" w:hAnsi="Arial" w:cs="Arial"/>
                <w:color w:val="000000"/>
                <w:sz w:val="20"/>
              </w:rPr>
              <w:t>2023</w:t>
            </w:r>
            <w:r>
              <w:rPr>
                <w:rFonts w:ascii="Arial" w:eastAsia="黑体" w:hAnsi="Arial" w:cs="Arial"/>
                <w:color w:val="000000"/>
                <w:sz w:val="20"/>
              </w:rPr>
              <w:t>年</w:t>
            </w:r>
            <w:r>
              <w:rPr>
                <w:rFonts w:ascii="Arial" w:eastAsia="黑体" w:hAnsi="Arial" w:cs="Arial"/>
                <w:color w:val="000000"/>
                <w:sz w:val="20"/>
              </w:rPr>
              <w:t>6</w:t>
            </w:r>
            <w:r>
              <w:rPr>
                <w:rFonts w:ascii="Arial" w:eastAsia="黑体" w:hAnsi="Arial" w:cs="Arial"/>
                <w:color w:val="000000"/>
                <w:sz w:val="20"/>
              </w:rPr>
              <w:t>月</w:t>
            </w:r>
            <w:r>
              <w:rPr>
                <w:rFonts w:ascii="Arial" w:eastAsia="黑体" w:hAnsi="Arial" w:cs="Arial"/>
                <w:color w:val="000000"/>
                <w:sz w:val="20"/>
              </w:rPr>
              <w:t>30</w:t>
            </w:r>
            <w:r>
              <w:rPr>
                <w:rFonts w:ascii="Arial" w:eastAsia="黑体" w:hAnsi="Arial" w:cs="Arial"/>
                <w:color w:val="000000"/>
                <w:sz w:val="20"/>
              </w:rPr>
              <w:t>日</w:t>
            </w:r>
            <w:r>
              <w:rPr>
                <w:rFonts w:ascii="Arial" w:eastAsia="黑体" w:hAnsi="Arial" w:cs="Arial"/>
                <w:color w:val="000000"/>
                <w:sz w:val="20"/>
              </w:rPr>
              <w:fldChar w:fldCharType="end"/>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2171" w:type="dxa"/>
            <w:tcBorders>
              <w:top w:val="nil"/>
              <w:left w:val="nil"/>
              <w:bottom w:val="nil"/>
              <w:right w:val="nil"/>
            </w:tcBorders>
            <w:shd w:val="clear" w:color="auto" w:fill="auto"/>
            <w:vAlign w:val="bottom"/>
          </w:tcPr>
          <w:p w:rsidR="00AD5BB5" w:rsidRDefault="00F87FF6">
            <w:pPr>
              <w:tabs>
                <w:tab w:val="left" w:pos="1585"/>
              </w:tabs>
              <w:kinsoku w:val="0"/>
              <w:overflowPunct w:val="0"/>
              <w:autoSpaceDE w:val="0"/>
              <w:autoSpaceDN w:val="0"/>
              <w:adjustRightInd w:val="0"/>
              <w:snapToGrid w:val="0"/>
              <w:ind w:rightChars="24" w:right="50"/>
              <w:jc w:val="right"/>
              <w:rPr>
                <w:rFonts w:ascii="Arial" w:eastAsia="黑体" w:hAnsi="Arial" w:cs="Arial"/>
                <w:color w:val="000000"/>
                <w:sz w:val="20"/>
              </w:rPr>
            </w:pPr>
            <w:r>
              <w:rPr>
                <w:rFonts w:ascii="Arial" w:eastAsia="黑体" w:hAnsi="Arial" w:cs="Arial"/>
                <w:color w:val="000000"/>
                <w:sz w:val="20"/>
              </w:rPr>
              <w:t>2022</w:t>
            </w:r>
            <w:r>
              <w:rPr>
                <w:rFonts w:ascii="Arial" w:eastAsia="黑体" w:hAnsi="Arial" w:cs="Arial"/>
                <w:color w:val="000000"/>
                <w:sz w:val="20"/>
              </w:rPr>
              <w:t>年</w:t>
            </w:r>
            <w:r>
              <w:rPr>
                <w:rFonts w:ascii="Arial" w:eastAsia="黑体" w:hAnsi="Arial" w:cs="Arial"/>
                <w:color w:val="000000"/>
                <w:sz w:val="20"/>
              </w:rPr>
              <w:t>6</w:t>
            </w:r>
            <w:r>
              <w:rPr>
                <w:rFonts w:ascii="Arial" w:eastAsia="黑体" w:hAnsi="Arial" w:cs="Arial"/>
                <w:color w:val="000000"/>
                <w:sz w:val="20"/>
              </w:rPr>
              <w:t>月</w:t>
            </w:r>
            <w:r>
              <w:rPr>
                <w:rFonts w:ascii="Arial" w:eastAsia="黑体" w:hAnsi="Arial" w:cs="Arial"/>
                <w:color w:val="000000"/>
                <w:sz w:val="20"/>
              </w:rPr>
              <w:t>30</w:t>
            </w:r>
            <w:r>
              <w:rPr>
                <w:rFonts w:ascii="Arial" w:eastAsia="黑体" w:hAnsi="Arial" w:cs="Arial"/>
                <w:color w:val="000000"/>
                <w:sz w:val="20"/>
              </w:rPr>
              <w:t>日</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r>
      <w:tr w:rsidR="00AD5BB5">
        <w:tc>
          <w:tcPr>
            <w:tcW w:w="3500"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300" w:hangingChars="150" w:hanging="300"/>
              <w:jc w:val="right"/>
              <w:rPr>
                <w:rFonts w:ascii="Arial" w:eastAsia="黑体" w:hAnsi="Arial" w:cs="Arial"/>
                <w:color w:val="000000"/>
                <w:sz w:val="20"/>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2316"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c>
          <w:tcPr>
            <w:tcW w:w="2171" w:type="dxa"/>
            <w:tcBorders>
              <w:top w:val="nil"/>
              <w:left w:val="nil"/>
              <w:bottom w:val="nil"/>
              <w:right w:val="nil"/>
            </w:tcBorders>
            <w:shd w:val="clear" w:color="auto" w:fill="auto"/>
            <w:vAlign w:val="bottom"/>
          </w:tcPr>
          <w:p w:rsidR="00AD5BB5" w:rsidRDefault="00AD5BB5">
            <w:pPr>
              <w:tabs>
                <w:tab w:val="left" w:pos="1585"/>
              </w:tabs>
              <w:kinsoku w:val="0"/>
              <w:overflowPunct w:val="0"/>
              <w:autoSpaceDE w:val="0"/>
              <w:autoSpaceDN w:val="0"/>
              <w:adjustRightInd w:val="0"/>
              <w:snapToGrid w:val="0"/>
              <w:ind w:rightChars="24" w:right="50"/>
              <w:jc w:val="right"/>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 w:val="20"/>
              </w:rPr>
            </w:pPr>
          </w:p>
        </w:tc>
      </w:tr>
      <w:tr w:rsidR="00AD5BB5">
        <w:tc>
          <w:tcPr>
            <w:tcW w:w="3500"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00" w:hangingChars="100" w:hanging="200"/>
              <w:rPr>
                <w:rFonts w:ascii="Arial" w:eastAsia="黑体" w:hAnsi="Arial" w:cs="Arial"/>
                <w:color w:val="000000"/>
                <w:sz w:val="20"/>
              </w:rPr>
            </w:pPr>
            <w:r>
              <w:rPr>
                <w:rFonts w:ascii="Arial" w:eastAsia="黑体" w:hAnsi="Arial" w:cs="Arial"/>
                <w:color w:val="000000"/>
                <w:sz w:val="20"/>
              </w:rPr>
              <w:t>现金</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6" w:type="dxa"/>
            <w:tcBorders>
              <w:top w:val="nil"/>
              <w:left w:val="nil"/>
              <w:bottom w:val="nil"/>
              <w:right w:val="nil"/>
            </w:tcBorders>
            <w:shd w:val="clear" w:color="000000" w:fill="auto"/>
            <w:noWrap/>
            <w:vAlign w:val="bottom"/>
          </w:tcPr>
          <w:p w:rsidR="00AD5BB5" w:rsidRDefault="00F87FF6">
            <w:pPr>
              <w:tabs>
                <w:tab w:val="left" w:pos="1672"/>
              </w:tabs>
              <w:kinsoku w:val="0"/>
              <w:overflowPunct w:val="0"/>
              <w:autoSpaceDE w:val="0"/>
              <w:autoSpaceDN w:val="0"/>
              <w:adjustRightInd w:val="0"/>
              <w:snapToGrid w:val="0"/>
              <w:ind w:rightChars="22" w:right="46"/>
              <w:jc w:val="right"/>
              <w:rPr>
                <w:rFonts w:ascii="Arial" w:eastAsia="黑体" w:hAnsi="Arial" w:cs="Arial"/>
                <w:color w:val="000000"/>
                <w:sz w:val="20"/>
              </w:rPr>
            </w:pPr>
            <w:r>
              <w:rPr>
                <w:rFonts w:ascii="Arial" w:eastAsia="黑体" w:hAnsi="Arial" w:cs="Arial"/>
                <w:color w:val="000000"/>
                <w:sz w:val="20"/>
              </w:rPr>
              <w:t>230,076,577.40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171" w:type="dxa"/>
            <w:tcBorders>
              <w:top w:val="nil"/>
              <w:left w:val="nil"/>
              <w:bottom w:val="nil"/>
              <w:right w:val="nil"/>
            </w:tcBorders>
            <w:vAlign w:val="bottom"/>
          </w:tcPr>
          <w:p w:rsidR="00AD5BB5" w:rsidRDefault="00F87FF6">
            <w:pPr>
              <w:tabs>
                <w:tab w:val="left" w:pos="1585"/>
              </w:tabs>
              <w:kinsoku w:val="0"/>
              <w:overflowPunct w:val="0"/>
              <w:autoSpaceDE w:val="0"/>
              <w:autoSpaceDN w:val="0"/>
              <w:adjustRightInd w:val="0"/>
              <w:snapToGrid w:val="0"/>
              <w:ind w:rightChars="24" w:right="50"/>
              <w:jc w:val="right"/>
              <w:rPr>
                <w:rFonts w:ascii="Arial" w:eastAsia="黑体" w:hAnsi="Arial" w:cs="Arial"/>
                <w:color w:val="000000"/>
                <w:sz w:val="20"/>
              </w:rPr>
            </w:pPr>
            <w:r>
              <w:rPr>
                <w:rFonts w:ascii="Arial" w:eastAsia="黑体" w:hAnsi="Arial" w:cs="Arial"/>
                <w:color w:val="000000"/>
                <w:sz w:val="20"/>
              </w:rPr>
              <w:t>226,032,330.12</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r w:rsidR="00AD5BB5">
        <w:tc>
          <w:tcPr>
            <w:tcW w:w="3500"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00" w:hangingChars="100" w:hanging="200"/>
              <w:rPr>
                <w:rFonts w:ascii="Arial" w:eastAsia="黑体" w:hAnsi="Arial" w:cs="Arial"/>
                <w:color w:val="000000"/>
                <w:sz w:val="20"/>
              </w:rPr>
            </w:pPr>
            <w:r>
              <w:rPr>
                <w:rFonts w:ascii="Arial" w:eastAsia="黑体" w:hAnsi="Arial" w:cs="Arial"/>
                <w:color w:val="000000"/>
                <w:sz w:val="20"/>
              </w:rPr>
              <w:t>存放中央银行超额存款准备金</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6" w:type="dxa"/>
            <w:tcBorders>
              <w:top w:val="nil"/>
              <w:left w:val="nil"/>
              <w:bottom w:val="nil"/>
              <w:right w:val="nil"/>
            </w:tcBorders>
            <w:shd w:val="clear" w:color="000000" w:fill="auto"/>
            <w:noWrap/>
            <w:vAlign w:val="bottom"/>
          </w:tcPr>
          <w:p w:rsidR="00AD5BB5" w:rsidRDefault="00F87FF6">
            <w:pPr>
              <w:tabs>
                <w:tab w:val="left" w:pos="1672"/>
              </w:tabs>
              <w:kinsoku w:val="0"/>
              <w:overflowPunct w:val="0"/>
              <w:autoSpaceDE w:val="0"/>
              <w:autoSpaceDN w:val="0"/>
              <w:adjustRightInd w:val="0"/>
              <w:snapToGrid w:val="0"/>
              <w:ind w:rightChars="22" w:right="46"/>
              <w:jc w:val="right"/>
              <w:rPr>
                <w:rFonts w:ascii="Arial" w:eastAsia="黑体" w:hAnsi="Arial" w:cs="Arial"/>
                <w:color w:val="000000"/>
                <w:sz w:val="20"/>
              </w:rPr>
            </w:pPr>
            <w:r>
              <w:rPr>
                <w:rFonts w:ascii="Arial" w:eastAsia="黑体" w:hAnsi="Arial" w:cs="Arial"/>
                <w:color w:val="000000"/>
                <w:sz w:val="20"/>
              </w:rPr>
              <w:t>4,310,521,917.83</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171" w:type="dxa"/>
            <w:tcBorders>
              <w:top w:val="nil"/>
              <w:left w:val="nil"/>
              <w:bottom w:val="nil"/>
              <w:right w:val="nil"/>
            </w:tcBorders>
            <w:vAlign w:val="bottom"/>
          </w:tcPr>
          <w:p w:rsidR="00AD5BB5" w:rsidRDefault="00F87FF6">
            <w:pPr>
              <w:tabs>
                <w:tab w:val="left" w:pos="1585"/>
              </w:tabs>
              <w:kinsoku w:val="0"/>
              <w:overflowPunct w:val="0"/>
              <w:autoSpaceDE w:val="0"/>
              <w:autoSpaceDN w:val="0"/>
              <w:adjustRightInd w:val="0"/>
              <w:snapToGrid w:val="0"/>
              <w:ind w:rightChars="24" w:right="50"/>
              <w:jc w:val="right"/>
              <w:rPr>
                <w:rFonts w:ascii="Arial" w:eastAsia="黑体" w:hAnsi="Arial" w:cs="Arial"/>
                <w:color w:val="000000"/>
                <w:sz w:val="20"/>
              </w:rPr>
            </w:pPr>
            <w:r>
              <w:rPr>
                <w:rFonts w:ascii="Arial" w:eastAsia="黑体" w:hAnsi="Arial" w:cs="Arial"/>
                <w:color w:val="000000"/>
                <w:sz w:val="20"/>
              </w:rPr>
              <w:t>7,503,082,524.03</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r w:rsidR="00AD5BB5">
        <w:tc>
          <w:tcPr>
            <w:tcW w:w="3500"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00" w:hangingChars="100" w:hanging="200"/>
              <w:rPr>
                <w:rFonts w:ascii="Arial" w:eastAsia="黑体" w:hAnsi="Arial" w:cs="Arial"/>
                <w:color w:val="000000"/>
                <w:sz w:val="20"/>
              </w:rPr>
            </w:pPr>
            <w:r>
              <w:rPr>
                <w:rFonts w:ascii="Arial" w:eastAsia="黑体" w:hAnsi="Arial" w:cs="Arial"/>
                <w:color w:val="000000"/>
                <w:sz w:val="20"/>
              </w:rPr>
              <w:t>原到期日不超过三个月的</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6" w:type="dxa"/>
            <w:tcBorders>
              <w:top w:val="nil"/>
              <w:left w:val="nil"/>
              <w:bottom w:val="nil"/>
              <w:right w:val="nil"/>
            </w:tcBorders>
            <w:shd w:val="clear" w:color="000000" w:fill="auto"/>
            <w:noWrap/>
            <w:vAlign w:val="bottom"/>
          </w:tcPr>
          <w:p w:rsidR="00AD5BB5" w:rsidRDefault="00AD5BB5">
            <w:pPr>
              <w:tabs>
                <w:tab w:val="left" w:pos="1672"/>
              </w:tabs>
              <w:kinsoku w:val="0"/>
              <w:overflowPunct w:val="0"/>
              <w:autoSpaceDE w:val="0"/>
              <w:autoSpaceDN w:val="0"/>
              <w:adjustRightInd w:val="0"/>
              <w:snapToGrid w:val="0"/>
              <w:ind w:rightChars="22" w:right="46"/>
              <w:jc w:val="right"/>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171" w:type="dxa"/>
            <w:tcBorders>
              <w:top w:val="nil"/>
              <w:left w:val="nil"/>
              <w:bottom w:val="nil"/>
              <w:right w:val="nil"/>
            </w:tcBorders>
            <w:vAlign w:val="bottom"/>
          </w:tcPr>
          <w:p w:rsidR="00AD5BB5" w:rsidRDefault="00AD5BB5">
            <w:pPr>
              <w:tabs>
                <w:tab w:val="left" w:pos="1585"/>
              </w:tabs>
              <w:kinsoku w:val="0"/>
              <w:overflowPunct w:val="0"/>
              <w:autoSpaceDE w:val="0"/>
              <w:autoSpaceDN w:val="0"/>
              <w:adjustRightInd w:val="0"/>
              <w:snapToGrid w:val="0"/>
              <w:ind w:rightChars="24" w:right="50"/>
              <w:jc w:val="right"/>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r w:rsidR="00AD5BB5">
        <w:tc>
          <w:tcPr>
            <w:tcW w:w="3500"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Chars="89" w:left="387" w:hangingChars="100" w:hanging="200"/>
              <w:rPr>
                <w:rFonts w:ascii="Arial" w:eastAsia="黑体" w:hAnsi="Arial" w:cs="Arial"/>
                <w:color w:val="000000"/>
                <w:sz w:val="20"/>
              </w:rPr>
            </w:pPr>
            <w:r>
              <w:rPr>
                <w:rFonts w:ascii="Arial" w:eastAsia="黑体" w:hAnsi="Arial" w:cs="Arial"/>
                <w:color w:val="000000"/>
                <w:sz w:val="20"/>
              </w:rPr>
              <w:t>—</w:t>
            </w:r>
            <w:r>
              <w:rPr>
                <w:rFonts w:ascii="Arial" w:eastAsia="黑体" w:hAnsi="Arial" w:cs="Arial"/>
                <w:color w:val="000000"/>
                <w:sz w:val="20"/>
              </w:rPr>
              <w:t>存放同业及其他金融机构款项</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6" w:type="dxa"/>
            <w:tcBorders>
              <w:top w:val="nil"/>
              <w:left w:val="nil"/>
              <w:bottom w:val="nil"/>
              <w:right w:val="nil"/>
            </w:tcBorders>
            <w:shd w:val="clear" w:color="000000" w:fill="auto"/>
            <w:noWrap/>
            <w:vAlign w:val="bottom"/>
          </w:tcPr>
          <w:p w:rsidR="00AD5BB5" w:rsidRDefault="00F87FF6">
            <w:pPr>
              <w:tabs>
                <w:tab w:val="left" w:pos="1672"/>
              </w:tabs>
              <w:kinsoku w:val="0"/>
              <w:overflowPunct w:val="0"/>
              <w:autoSpaceDE w:val="0"/>
              <w:autoSpaceDN w:val="0"/>
              <w:adjustRightInd w:val="0"/>
              <w:snapToGrid w:val="0"/>
              <w:ind w:rightChars="22" w:right="46"/>
              <w:jc w:val="right"/>
              <w:rPr>
                <w:rFonts w:ascii="Arial" w:eastAsia="黑体" w:hAnsi="Arial" w:cs="Arial"/>
                <w:color w:val="000000"/>
                <w:sz w:val="20"/>
              </w:rPr>
            </w:pPr>
            <w:r>
              <w:rPr>
                <w:rFonts w:ascii="Arial" w:eastAsia="黑体" w:hAnsi="Arial" w:cs="Arial"/>
                <w:color w:val="000000"/>
                <w:sz w:val="20"/>
              </w:rPr>
              <w:t>2,453,821,561.58</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171" w:type="dxa"/>
            <w:tcBorders>
              <w:top w:val="nil"/>
              <w:left w:val="nil"/>
              <w:bottom w:val="nil"/>
              <w:right w:val="nil"/>
            </w:tcBorders>
            <w:vAlign w:val="bottom"/>
          </w:tcPr>
          <w:p w:rsidR="00AD5BB5" w:rsidRDefault="00F87FF6">
            <w:pPr>
              <w:tabs>
                <w:tab w:val="left" w:pos="1585"/>
              </w:tabs>
              <w:kinsoku w:val="0"/>
              <w:overflowPunct w:val="0"/>
              <w:autoSpaceDE w:val="0"/>
              <w:autoSpaceDN w:val="0"/>
              <w:adjustRightInd w:val="0"/>
              <w:snapToGrid w:val="0"/>
              <w:ind w:rightChars="24" w:right="50"/>
              <w:jc w:val="right"/>
              <w:rPr>
                <w:rFonts w:ascii="Arial" w:eastAsia="黑体" w:hAnsi="Arial" w:cs="Arial"/>
                <w:color w:val="000000"/>
                <w:sz w:val="20"/>
              </w:rPr>
            </w:pPr>
            <w:r>
              <w:rPr>
                <w:rFonts w:ascii="Arial" w:eastAsia="黑体" w:hAnsi="Arial" w:cs="Arial"/>
                <w:color w:val="000000"/>
                <w:sz w:val="20"/>
              </w:rPr>
              <w:t>2,862,258,626.17</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r w:rsidR="00AD5BB5">
        <w:tc>
          <w:tcPr>
            <w:tcW w:w="3500"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Chars="89" w:left="387" w:hangingChars="100" w:hanging="200"/>
              <w:rPr>
                <w:rFonts w:ascii="Arial" w:eastAsia="黑体" w:hAnsi="Arial" w:cs="Arial"/>
                <w:color w:val="000000"/>
                <w:sz w:val="20"/>
              </w:rPr>
            </w:pPr>
            <w:r>
              <w:rPr>
                <w:rFonts w:ascii="Arial" w:eastAsia="黑体" w:hAnsi="Arial" w:cs="Arial"/>
                <w:color w:val="000000"/>
                <w:sz w:val="20"/>
              </w:rPr>
              <w:t>—</w:t>
            </w:r>
            <w:r>
              <w:rPr>
                <w:rFonts w:ascii="Arial" w:eastAsia="黑体" w:hAnsi="Arial" w:cs="Arial"/>
                <w:color w:val="000000"/>
                <w:sz w:val="20"/>
              </w:rPr>
              <w:t>拆出资金</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6" w:type="dxa"/>
            <w:tcBorders>
              <w:top w:val="nil"/>
              <w:left w:val="nil"/>
              <w:bottom w:val="nil"/>
              <w:right w:val="nil"/>
            </w:tcBorders>
            <w:shd w:val="clear" w:color="000000" w:fill="auto"/>
            <w:noWrap/>
            <w:vAlign w:val="bottom"/>
          </w:tcPr>
          <w:p w:rsidR="00AD5BB5" w:rsidRDefault="00F87FF6">
            <w:pPr>
              <w:tabs>
                <w:tab w:val="left" w:pos="1672"/>
              </w:tabs>
              <w:kinsoku w:val="0"/>
              <w:overflowPunct w:val="0"/>
              <w:autoSpaceDE w:val="0"/>
              <w:autoSpaceDN w:val="0"/>
              <w:adjustRightInd w:val="0"/>
              <w:snapToGrid w:val="0"/>
              <w:ind w:rightChars="22" w:right="46"/>
              <w:jc w:val="right"/>
              <w:rPr>
                <w:rFonts w:ascii="Arial" w:eastAsia="黑体" w:hAnsi="Arial" w:cs="Arial"/>
                <w:color w:val="000000"/>
                <w:sz w:val="20"/>
              </w:rPr>
            </w:pPr>
            <w:r>
              <w:rPr>
                <w:rFonts w:ascii="Arial" w:eastAsia="黑体" w:hAnsi="Arial" w:cs="Arial"/>
                <w:color w:val="000000"/>
                <w:sz w:val="20"/>
              </w:rPr>
              <w:t>143,000,000.00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171" w:type="dxa"/>
            <w:tcBorders>
              <w:top w:val="nil"/>
              <w:left w:val="nil"/>
              <w:bottom w:val="nil"/>
              <w:right w:val="nil"/>
            </w:tcBorders>
            <w:vAlign w:val="bottom"/>
          </w:tcPr>
          <w:p w:rsidR="00AD5BB5" w:rsidRDefault="00F87FF6">
            <w:pPr>
              <w:tabs>
                <w:tab w:val="left" w:pos="1585"/>
              </w:tabs>
              <w:kinsoku w:val="0"/>
              <w:overflowPunct w:val="0"/>
              <w:autoSpaceDE w:val="0"/>
              <w:autoSpaceDN w:val="0"/>
              <w:adjustRightInd w:val="0"/>
              <w:snapToGrid w:val="0"/>
              <w:ind w:rightChars="24" w:right="50"/>
              <w:jc w:val="right"/>
              <w:rPr>
                <w:rFonts w:ascii="Arial" w:eastAsia="黑体" w:hAnsi="Arial" w:cs="Arial"/>
                <w:color w:val="000000"/>
                <w:sz w:val="20"/>
              </w:rPr>
            </w:pPr>
            <w:r>
              <w:rPr>
                <w:rFonts w:ascii="Arial" w:eastAsia="黑体" w:hAnsi="Arial" w:cs="Arial"/>
                <w:color w:val="000000"/>
                <w:sz w:val="20"/>
              </w:rPr>
              <w:t>-</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r w:rsidR="00AD5BB5">
        <w:tc>
          <w:tcPr>
            <w:tcW w:w="3500"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Chars="89" w:left="387" w:hangingChars="100" w:hanging="200"/>
              <w:rPr>
                <w:rFonts w:ascii="Arial" w:eastAsia="黑体" w:hAnsi="Arial" w:cs="Arial"/>
                <w:color w:val="000000"/>
                <w:sz w:val="20"/>
              </w:rPr>
            </w:pPr>
            <w:r>
              <w:rPr>
                <w:rFonts w:ascii="Arial" w:eastAsia="黑体" w:hAnsi="Arial" w:cs="Arial"/>
                <w:color w:val="000000"/>
                <w:sz w:val="20"/>
              </w:rPr>
              <w:t>—</w:t>
            </w:r>
            <w:r>
              <w:rPr>
                <w:rFonts w:ascii="Arial" w:eastAsia="黑体" w:hAnsi="Arial" w:cs="Arial"/>
                <w:color w:val="000000"/>
                <w:sz w:val="20"/>
              </w:rPr>
              <w:t>买入返售金融资产</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6" w:type="dxa"/>
            <w:tcBorders>
              <w:top w:val="nil"/>
              <w:left w:val="nil"/>
              <w:bottom w:val="single" w:sz="2" w:space="0" w:color="auto"/>
              <w:right w:val="nil"/>
            </w:tcBorders>
            <w:shd w:val="clear" w:color="000000" w:fill="auto"/>
            <w:noWrap/>
            <w:vAlign w:val="bottom"/>
          </w:tcPr>
          <w:p w:rsidR="00AD5BB5" w:rsidRDefault="00F87FF6">
            <w:pPr>
              <w:tabs>
                <w:tab w:val="left" w:pos="1672"/>
              </w:tabs>
              <w:kinsoku w:val="0"/>
              <w:overflowPunct w:val="0"/>
              <w:autoSpaceDE w:val="0"/>
              <w:autoSpaceDN w:val="0"/>
              <w:adjustRightInd w:val="0"/>
              <w:snapToGrid w:val="0"/>
              <w:ind w:rightChars="22" w:right="46"/>
              <w:jc w:val="right"/>
              <w:rPr>
                <w:rFonts w:ascii="Arial" w:eastAsia="黑体" w:hAnsi="Arial" w:cs="Arial"/>
                <w:color w:val="000000"/>
                <w:sz w:val="20"/>
              </w:rPr>
            </w:pPr>
            <w:r>
              <w:rPr>
                <w:rFonts w:ascii="Arial" w:eastAsia="黑体" w:hAnsi="Arial" w:cs="Arial"/>
                <w:color w:val="000000"/>
                <w:sz w:val="20"/>
              </w:rPr>
              <w:t>1,712,794,000.00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171" w:type="dxa"/>
            <w:tcBorders>
              <w:top w:val="nil"/>
              <w:left w:val="nil"/>
              <w:bottom w:val="single" w:sz="2" w:space="0" w:color="auto"/>
              <w:right w:val="nil"/>
            </w:tcBorders>
            <w:shd w:val="clear" w:color="auto" w:fill="auto"/>
            <w:vAlign w:val="bottom"/>
          </w:tcPr>
          <w:p w:rsidR="00AD5BB5" w:rsidRDefault="00F87FF6">
            <w:pPr>
              <w:tabs>
                <w:tab w:val="left" w:pos="1585"/>
              </w:tabs>
              <w:kinsoku w:val="0"/>
              <w:overflowPunct w:val="0"/>
              <w:autoSpaceDE w:val="0"/>
              <w:autoSpaceDN w:val="0"/>
              <w:adjustRightInd w:val="0"/>
              <w:snapToGrid w:val="0"/>
              <w:ind w:rightChars="24" w:right="50"/>
              <w:jc w:val="right"/>
              <w:rPr>
                <w:rFonts w:ascii="Arial" w:eastAsia="黑体" w:hAnsi="Arial" w:cs="Arial"/>
                <w:color w:val="000000"/>
                <w:sz w:val="20"/>
              </w:rPr>
            </w:pPr>
            <w:r>
              <w:rPr>
                <w:rFonts w:ascii="Arial" w:eastAsia="黑体" w:hAnsi="Arial" w:cs="Arial"/>
                <w:color w:val="000000"/>
                <w:sz w:val="20"/>
              </w:rPr>
              <w:t>8,695,354,000.00</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r w:rsidR="00AD5BB5">
        <w:tc>
          <w:tcPr>
            <w:tcW w:w="3500"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ind w:left="300" w:hangingChars="150" w:hanging="300"/>
              <w:rPr>
                <w:rFonts w:ascii="Arial" w:eastAsia="黑体" w:hAnsi="Arial" w:cs="Arial"/>
                <w:color w:val="000000"/>
                <w:sz w:val="20"/>
              </w:rPr>
            </w:pP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6" w:type="dxa"/>
            <w:tcBorders>
              <w:top w:val="single" w:sz="4" w:space="0" w:color="auto"/>
              <w:left w:val="nil"/>
              <w:bottom w:val="nil"/>
              <w:right w:val="nil"/>
            </w:tcBorders>
            <w:shd w:val="clear" w:color="000000" w:fill="auto"/>
            <w:noWrap/>
            <w:vAlign w:val="bottom"/>
          </w:tcPr>
          <w:p w:rsidR="00AD5BB5" w:rsidRDefault="00AD5BB5">
            <w:pPr>
              <w:tabs>
                <w:tab w:val="left" w:pos="1672"/>
              </w:tabs>
              <w:kinsoku w:val="0"/>
              <w:overflowPunct w:val="0"/>
              <w:autoSpaceDE w:val="0"/>
              <w:autoSpaceDN w:val="0"/>
              <w:adjustRightInd w:val="0"/>
              <w:snapToGrid w:val="0"/>
              <w:ind w:rightChars="22" w:right="46"/>
              <w:jc w:val="right"/>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171" w:type="dxa"/>
            <w:tcBorders>
              <w:top w:val="single" w:sz="4" w:space="0" w:color="auto"/>
              <w:left w:val="nil"/>
              <w:bottom w:val="nil"/>
              <w:right w:val="nil"/>
            </w:tcBorders>
            <w:shd w:val="clear" w:color="auto" w:fill="auto"/>
            <w:vAlign w:val="bottom"/>
          </w:tcPr>
          <w:p w:rsidR="00AD5BB5" w:rsidRDefault="00AD5BB5">
            <w:pPr>
              <w:tabs>
                <w:tab w:val="left" w:pos="1585"/>
              </w:tabs>
              <w:kinsoku w:val="0"/>
              <w:overflowPunct w:val="0"/>
              <w:autoSpaceDE w:val="0"/>
              <w:autoSpaceDN w:val="0"/>
              <w:adjustRightInd w:val="0"/>
              <w:snapToGrid w:val="0"/>
              <w:ind w:rightChars="24" w:right="50"/>
              <w:jc w:val="right"/>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r w:rsidR="00AD5BB5">
        <w:tc>
          <w:tcPr>
            <w:tcW w:w="3500"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00" w:hangingChars="100" w:hanging="200"/>
              <w:rPr>
                <w:rFonts w:ascii="Arial" w:eastAsia="黑体" w:hAnsi="Arial" w:cs="Arial"/>
                <w:color w:val="000000"/>
                <w:sz w:val="20"/>
              </w:rPr>
            </w:pPr>
            <w:r>
              <w:rPr>
                <w:rFonts w:ascii="Arial" w:eastAsia="黑体" w:hAnsi="Arial" w:cs="Arial"/>
                <w:color w:val="000000"/>
                <w:sz w:val="20"/>
              </w:rPr>
              <w:t>现金及现金等价物余额</w:t>
            </w:r>
          </w:p>
        </w:tc>
        <w:tc>
          <w:tcPr>
            <w:tcW w:w="109"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316" w:type="dxa"/>
            <w:tcBorders>
              <w:top w:val="nil"/>
              <w:left w:val="nil"/>
              <w:bottom w:val="double" w:sz="4" w:space="0" w:color="auto"/>
              <w:right w:val="nil"/>
            </w:tcBorders>
            <w:shd w:val="clear" w:color="000000" w:fill="auto"/>
            <w:noWrap/>
            <w:vAlign w:val="bottom"/>
          </w:tcPr>
          <w:p w:rsidR="00AD5BB5" w:rsidRDefault="00F87FF6">
            <w:pPr>
              <w:tabs>
                <w:tab w:val="left" w:pos="1672"/>
              </w:tabs>
              <w:kinsoku w:val="0"/>
              <w:overflowPunct w:val="0"/>
              <w:autoSpaceDE w:val="0"/>
              <w:autoSpaceDN w:val="0"/>
              <w:adjustRightInd w:val="0"/>
              <w:snapToGrid w:val="0"/>
              <w:ind w:rightChars="22" w:right="46"/>
              <w:jc w:val="right"/>
              <w:rPr>
                <w:rFonts w:ascii="Arial" w:eastAsia="黑体" w:hAnsi="Arial" w:cs="Arial"/>
                <w:color w:val="000000"/>
                <w:sz w:val="20"/>
              </w:rPr>
            </w:pPr>
            <w:r>
              <w:rPr>
                <w:rFonts w:ascii="Arial" w:eastAsia="黑体" w:hAnsi="Arial" w:cs="Arial"/>
                <w:color w:val="000000"/>
                <w:sz w:val="20"/>
              </w:rPr>
              <w:t>8,850,214,056.81</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c>
          <w:tcPr>
            <w:tcW w:w="2171" w:type="dxa"/>
            <w:tcBorders>
              <w:top w:val="nil"/>
              <w:left w:val="nil"/>
              <w:bottom w:val="double" w:sz="4" w:space="0" w:color="auto"/>
              <w:right w:val="nil"/>
            </w:tcBorders>
            <w:shd w:val="clear" w:color="auto" w:fill="auto"/>
            <w:vAlign w:val="bottom"/>
          </w:tcPr>
          <w:p w:rsidR="00AD5BB5" w:rsidRDefault="00F87FF6">
            <w:pPr>
              <w:tabs>
                <w:tab w:val="left" w:pos="1585"/>
              </w:tabs>
              <w:kinsoku w:val="0"/>
              <w:overflowPunct w:val="0"/>
              <w:autoSpaceDE w:val="0"/>
              <w:autoSpaceDN w:val="0"/>
              <w:adjustRightInd w:val="0"/>
              <w:snapToGrid w:val="0"/>
              <w:ind w:rightChars="24" w:right="50"/>
              <w:jc w:val="right"/>
              <w:rPr>
                <w:rFonts w:ascii="Arial" w:eastAsia="黑体" w:hAnsi="Arial" w:cs="Arial"/>
                <w:color w:val="000000"/>
                <w:sz w:val="20"/>
              </w:rPr>
            </w:pPr>
            <w:r>
              <w:rPr>
                <w:rFonts w:ascii="Arial" w:eastAsia="黑体" w:hAnsi="Arial" w:cs="Arial"/>
                <w:color w:val="000000"/>
                <w:sz w:val="20"/>
              </w:rPr>
              <w:t>19,286,727,480.32</w:t>
            </w:r>
          </w:p>
        </w:tc>
        <w:tc>
          <w:tcPr>
            <w:tcW w:w="110"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 w:val="20"/>
              </w:rPr>
            </w:pPr>
          </w:p>
        </w:tc>
      </w:tr>
    </w:tbl>
    <w:p w:rsidR="00AD5BB5" w:rsidRDefault="00AD5BB5">
      <w:pPr>
        <w:overflowPunct w:val="0"/>
        <w:autoSpaceDE w:val="0"/>
        <w:autoSpaceDN w:val="0"/>
        <w:rPr>
          <w:rFonts w:ascii="Arial" w:eastAsia="黑体" w:hAnsi="Arial" w:cs="Arial"/>
          <w:bCs/>
          <w:i/>
          <w:snapToGrid w:val="0"/>
          <w:szCs w:val="21"/>
        </w:rPr>
        <w:sectPr w:rsidR="00AD5BB5">
          <w:headerReference w:type="default" r:id="rId88"/>
          <w:pgSz w:w="11907" w:h="16840"/>
          <w:pgMar w:top="1440" w:right="1797" w:bottom="1440" w:left="1797" w:header="720" w:footer="720" w:gutter="0"/>
          <w:cols w:space="720"/>
          <w:docGrid w:linePitch="360"/>
        </w:sectPr>
      </w:pPr>
    </w:p>
    <w:p w:rsidR="00AD5BB5" w:rsidRDefault="00AD5BB5">
      <w:pPr>
        <w:overflowPunct w:val="0"/>
        <w:autoSpaceDE w:val="0"/>
        <w:autoSpaceDN w:val="0"/>
        <w:rPr>
          <w:rFonts w:ascii="Arial" w:hAnsi="Arial" w:cs="Arial"/>
        </w:rPr>
      </w:pPr>
    </w:p>
    <w:p w:rsidR="00AD5BB5" w:rsidRDefault="00F87FF6">
      <w:pPr>
        <w:pStyle w:val="a3"/>
        <w:numPr>
          <w:ilvl w:val="0"/>
          <w:numId w:val="0"/>
        </w:numPr>
        <w:ind w:left="720" w:hanging="720"/>
        <w:rPr>
          <w:sz w:val="21"/>
          <w:szCs w:val="21"/>
        </w:rPr>
      </w:pPr>
      <w:bookmarkStart w:id="622" w:name="afsaddin_Section_38e906d9c6cc4d3bb83fd0c"/>
      <w:r>
        <w:rPr>
          <w:sz w:val="21"/>
          <w:szCs w:val="21"/>
        </w:rPr>
        <w:t>1.</w:t>
      </w:r>
      <w:r>
        <w:rPr>
          <w:sz w:val="21"/>
          <w:szCs w:val="21"/>
        </w:rPr>
        <w:tab/>
      </w:r>
      <w:r>
        <w:rPr>
          <w:sz w:val="21"/>
          <w:szCs w:val="21"/>
        </w:rPr>
        <w:t>非经常性损益明细表</w:t>
      </w:r>
    </w:p>
    <w:bookmarkEnd w:id="622"/>
    <w:p w:rsidR="00AD5BB5" w:rsidRDefault="00AD5BB5">
      <w:pPr>
        <w:overflowPunct w:val="0"/>
        <w:autoSpaceDE w:val="0"/>
        <w:autoSpaceDN w:val="0"/>
        <w:adjustRightInd w:val="0"/>
        <w:snapToGrid w:val="0"/>
        <w:textAlignment w:val="bottom"/>
        <w:rPr>
          <w:rFonts w:ascii="Arial" w:eastAsia="黑体" w:hAnsi="Arial" w:cs="Arial"/>
          <w:bCs/>
          <w:i/>
          <w:snapToGrid w:val="0"/>
          <w:szCs w:val="21"/>
        </w:rPr>
      </w:pPr>
    </w:p>
    <w:tbl>
      <w:tblPr>
        <w:tblW w:w="0" w:type="auto"/>
        <w:tblLayout w:type="fixed"/>
        <w:tblCellMar>
          <w:left w:w="0" w:type="dxa"/>
          <w:right w:w="0" w:type="dxa"/>
        </w:tblCellMar>
        <w:tblLook w:val="04A0" w:firstRow="1" w:lastRow="0" w:firstColumn="1" w:lastColumn="0" w:noHBand="0" w:noVBand="1"/>
        <w:tblCaption w:val="8a4e4db7-4309-40aa-8dad-a98d3386299d"/>
        <w:tblDescription w:val="{&quot;UUID&quot;:&quot;afsaddin_tabledata_2_56437_8a4e4db7-4309-40aa-8dad-a98d3386299d&quot;,&quot;TitleRowCount&quot;:2,&quot;SplitedTable&quot;:false,&quot;FirstTableId&quot;:&quot;8a4e4db7-4309-40aa-8dad-a98d3386299d&quot;}"/>
      </w:tblPr>
      <w:tblGrid>
        <w:gridCol w:w="3917"/>
        <w:gridCol w:w="112"/>
        <w:gridCol w:w="2032"/>
        <w:gridCol w:w="111"/>
        <w:gridCol w:w="111"/>
        <w:gridCol w:w="2032"/>
        <w:gridCol w:w="111"/>
      </w:tblGrid>
      <w:tr w:rsidR="00AD5BB5">
        <w:tc>
          <w:tcPr>
            <w:tcW w:w="391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32"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DOCPROPERTY </w:instrText>
            </w:r>
            <w:r>
              <w:rPr>
                <w:rFonts w:ascii="Arial" w:eastAsia="黑体" w:hAnsi="Arial" w:cs="Arial"/>
                <w:szCs w:val="21"/>
              </w:rPr>
              <w:instrText>当期会计期间</w:instrText>
            </w:r>
            <w:r>
              <w:rPr>
                <w:rFonts w:ascii="Arial" w:eastAsia="黑体" w:hAnsi="Arial" w:cs="Arial"/>
                <w:szCs w:val="21"/>
              </w:rPr>
              <w:fldChar w:fldCharType="separate"/>
            </w:r>
            <w:r>
              <w:rPr>
                <w:rFonts w:ascii="Arial" w:eastAsia="黑体" w:hAnsi="Arial" w:cs="Arial"/>
                <w:szCs w:val="21"/>
              </w:rPr>
              <w:t>2023</w:t>
            </w:r>
            <w:r>
              <w:rPr>
                <w:rFonts w:ascii="Arial" w:eastAsia="黑体" w:hAnsi="Arial" w:cs="Arial"/>
                <w:szCs w:val="21"/>
              </w:rPr>
              <w:fldChar w:fldCharType="end"/>
            </w:r>
            <w:r>
              <w:rPr>
                <w:rFonts w:ascii="Arial" w:eastAsia="黑体" w:hAnsi="Arial" w:cs="Arial"/>
                <w:szCs w:val="21"/>
              </w:rPr>
              <w:t>年</w:t>
            </w:r>
            <w:r>
              <w:rPr>
                <w:rFonts w:ascii="Arial" w:eastAsia="黑体" w:hAnsi="Arial" w:cs="Arial"/>
                <w:szCs w:val="21"/>
              </w:rPr>
              <w:t>1-6</w:t>
            </w:r>
            <w:r>
              <w:rPr>
                <w:rFonts w:ascii="Arial" w:eastAsia="黑体" w:hAnsi="Arial" w:cs="Arial"/>
                <w:szCs w:val="21"/>
              </w:rPr>
              <w:t>月</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32"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fldChar w:fldCharType="begin"/>
            </w:r>
            <w:r>
              <w:rPr>
                <w:rFonts w:ascii="Arial" w:eastAsia="黑体" w:hAnsi="Arial" w:cs="Arial"/>
                <w:szCs w:val="21"/>
              </w:rPr>
              <w:instrText xml:space="preserve">DOCPROPERTY </w:instrText>
            </w:r>
            <w:r>
              <w:rPr>
                <w:rFonts w:ascii="Arial" w:eastAsia="黑体" w:hAnsi="Arial" w:cs="Arial"/>
                <w:szCs w:val="21"/>
              </w:rPr>
              <w:instrText>对比会计期间</w:instrText>
            </w:r>
            <w:r>
              <w:rPr>
                <w:rFonts w:ascii="Arial" w:eastAsia="黑体" w:hAnsi="Arial" w:cs="Arial"/>
                <w:szCs w:val="21"/>
              </w:rPr>
              <w:fldChar w:fldCharType="separate"/>
            </w:r>
            <w:r>
              <w:rPr>
                <w:rFonts w:ascii="Arial" w:eastAsia="黑体" w:hAnsi="Arial" w:cs="Arial"/>
                <w:szCs w:val="21"/>
              </w:rPr>
              <w:t>2022</w:t>
            </w:r>
            <w:r>
              <w:rPr>
                <w:rFonts w:ascii="Arial" w:eastAsia="黑体" w:hAnsi="Arial" w:cs="Arial"/>
                <w:szCs w:val="21"/>
              </w:rPr>
              <w:fldChar w:fldCharType="end"/>
            </w:r>
            <w:r>
              <w:rPr>
                <w:rFonts w:ascii="Arial" w:eastAsia="黑体" w:hAnsi="Arial" w:cs="Arial"/>
                <w:szCs w:val="21"/>
              </w:rPr>
              <w:t>年</w:t>
            </w:r>
            <w:r>
              <w:rPr>
                <w:rFonts w:ascii="Arial" w:eastAsia="黑体" w:hAnsi="Arial" w:cs="Arial"/>
                <w:szCs w:val="21"/>
              </w:rPr>
              <w:t>1-6</w:t>
            </w:r>
            <w:r>
              <w:rPr>
                <w:rFonts w:ascii="Arial" w:eastAsia="黑体" w:hAnsi="Arial" w:cs="Arial"/>
                <w:szCs w:val="21"/>
              </w:rPr>
              <w:t>月</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91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3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3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917"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归属于母公司股东的净利润</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32"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1,428,441,057.75</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32"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1,232,285,900.62</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917"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减：母公司永续债当期宣告利息</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32"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(72,000,000.00</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rPr>
              <w:t>)</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32"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Style w:val="aff"/>
                <w:rFonts w:ascii="Arial" w:eastAsia="华文楷体" w:hAnsi="Arial" w:cs="Arial"/>
              </w:rPr>
              <w:t>(72,000,000.00</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rPr>
              <w:t>)</w:t>
            </w:r>
          </w:p>
        </w:tc>
      </w:tr>
      <w:tr w:rsidR="00AD5BB5">
        <w:tc>
          <w:tcPr>
            <w:tcW w:w="3917"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归属于母公司普通股股东的净利润</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32" w:type="dxa"/>
            <w:tcBorders>
              <w:top w:val="nil"/>
              <w:left w:val="nil"/>
              <w:bottom w:val="nil"/>
              <w:right w:val="nil"/>
            </w:tcBorders>
            <w:vAlign w:val="bottom"/>
          </w:tcPr>
          <w:p w:rsidR="00AD5BB5" w:rsidRDefault="00F87FF6">
            <w:pPr>
              <w:pBdr>
                <w:bottom w:val="single" w:sz="4" w:space="1" w:color="auto"/>
              </w:pBdr>
              <w:autoSpaceDE w:val="0"/>
              <w:autoSpaceDN w:val="0"/>
              <w:jc w:val="right"/>
              <w:rPr>
                <w:rFonts w:ascii="Arial" w:eastAsia="黑体" w:hAnsi="Arial" w:cs="Arial"/>
                <w:szCs w:val="21"/>
              </w:rPr>
            </w:pPr>
            <w:r>
              <w:rPr>
                <w:rFonts w:ascii="Arial" w:eastAsia="黑体" w:hAnsi="Arial" w:cs="Arial"/>
              </w:rPr>
              <w:t>1,356,441,057.75</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32" w:type="dxa"/>
            <w:tcBorders>
              <w:top w:val="nil"/>
              <w:left w:val="nil"/>
              <w:bottom w:val="nil"/>
              <w:right w:val="nil"/>
            </w:tcBorders>
            <w:vAlign w:val="bottom"/>
          </w:tcPr>
          <w:p w:rsidR="00AD5BB5" w:rsidRDefault="00F87FF6">
            <w:pPr>
              <w:pBdr>
                <w:bottom w:val="single" w:sz="4" w:space="1" w:color="auto"/>
              </w:pBdr>
              <w:autoSpaceDE w:val="0"/>
              <w:autoSpaceDN w:val="0"/>
              <w:jc w:val="right"/>
              <w:rPr>
                <w:rFonts w:ascii="Arial" w:eastAsia="黑体" w:hAnsi="Arial" w:cs="Arial"/>
                <w:szCs w:val="21"/>
              </w:rPr>
            </w:pPr>
            <w:r>
              <w:rPr>
                <w:rFonts w:ascii="Arial" w:eastAsia="黑体" w:hAnsi="Arial" w:cs="Arial"/>
                <w:szCs w:val="21"/>
              </w:rPr>
              <w:t>1,160,285,900.62</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91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3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3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917"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加（减）：</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3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3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917"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非经常性损益项目</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3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32"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917"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非流动资产清理损益</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32"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(8,831,209.56</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32"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(487,294.10</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r>
      <w:tr w:rsidR="00AD5BB5">
        <w:tc>
          <w:tcPr>
            <w:tcW w:w="3917"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政府补助收入</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32"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(2,210,264.84</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32"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(3,599,892.29</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r>
      <w:tr w:rsidR="00AD5BB5">
        <w:tc>
          <w:tcPr>
            <w:tcW w:w="3917"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proofErr w:type="gramStart"/>
            <w:r>
              <w:rPr>
                <w:rFonts w:ascii="Arial" w:eastAsia="黑体" w:hAnsi="Arial" w:cs="Arial"/>
                <w:szCs w:val="21"/>
              </w:rPr>
              <w:t>久悬未取款</w:t>
            </w:r>
            <w:proofErr w:type="gramEnd"/>
            <w:r>
              <w:rPr>
                <w:rFonts w:ascii="Arial" w:eastAsia="黑体" w:hAnsi="Arial" w:cs="Arial"/>
                <w:szCs w:val="21"/>
              </w:rPr>
              <w:t>项收入</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32"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(7,536.66</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32"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(49,991.98</w:t>
            </w:r>
          </w:p>
        </w:tc>
        <w:tc>
          <w:tcPr>
            <w:tcW w:w="111"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w:t>
            </w:r>
          </w:p>
        </w:tc>
      </w:tr>
      <w:tr w:rsidR="00AD5BB5">
        <w:tc>
          <w:tcPr>
            <w:tcW w:w="3917"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除上述各项之外的其他营业外</w:t>
            </w:r>
          </w:p>
          <w:p w:rsidR="00AD5BB5" w:rsidRDefault="00F87FF6">
            <w:pPr>
              <w:autoSpaceDE w:val="0"/>
              <w:autoSpaceDN w:val="0"/>
              <w:ind w:leftChars="93" w:left="195"/>
              <w:rPr>
                <w:rFonts w:ascii="Arial" w:eastAsia="黑体" w:hAnsi="Arial" w:cs="Arial"/>
                <w:szCs w:val="21"/>
              </w:rPr>
            </w:pPr>
            <w:r>
              <w:rPr>
                <w:rFonts w:ascii="Arial" w:eastAsia="黑体" w:hAnsi="Arial" w:cs="Arial"/>
                <w:szCs w:val="21"/>
              </w:rPr>
              <w:t>收支净额</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32"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2,014,105.42</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32"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1,836,668.79</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917"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所得税影响数</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32"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2,791,627.22</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32"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954,451.33</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917"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少数股东损益影响数</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3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25,515.61</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32" w:type="dxa"/>
            <w:tcBorders>
              <w:top w:val="nil"/>
              <w:left w:val="nil"/>
              <w:bottom w:val="sing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22,799.07</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91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3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32"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917"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扣除非经常性损益后归属于</w:t>
            </w:r>
          </w:p>
          <w:p w:rsidR="00AD5BB5" w:rsidRDefault="00F87FF6">
            <w:pPr>
              <w:autoSpaceDE w:val="0"/>
              <w:autoSpaceDN w:val="0"/>
              <w:ind w:firstLineChars="106" w:firstLine="223"/>
              <w:rPr>
                <w:rFonts w:ascii="Arial" w:eastAsia="黑体" w:hAnsi="Arial" w:cs="Arial"/>
                <w:szCs w:val="21"/>
              </w:rPr>
            </w:pPr>
            <w:r>
              <w:rPr>
                <w:rFonts w:ascii="Arial" w:eastAsia="黑体" w:hAnsi="Arial" w:cs="Arial"/>
                <w:szCs w:val="21"/>
              </w:rPr>
              <w:t>母公司普通股股东的净利润</w:t>
            </w:r>
          </w:p>
        </w:tc>
        <w:tc>
          <w:tcPr>
            <w:tcW w:w="112"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3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1,350,223,294.94</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032" w:type="dxa"/>
            <w:tcBorders>
              <w:top w:val="nil"/>
              <w:left w:val="nil"/>
              <w:bottom w:val="double" w:sz="4" w:space="0" w:color="auto"/>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1,158,962,641.44</w:t>
            </w:r>
          </w:p>
        </w:tc>
        <w:tc>
          <w:tcPr>
            <w:tcW w:w="111"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bl>
    <w:p w:rsidR="00AD5BB5" w:rsidRDefault="00AD5BB5">
      <w:pPr>
        <w:overflowPunct w:val="0"/>
        <w:autoSpaceDE w:val="0"/>
        <w:autoSpaceDN w:val="0"/>
        <w:adjustRightInd w:val="0"/>
        <w:snapToGrid w:val="0"/>
        <w:textAlignment w:val="bottom"/>
        <w:rPr>
          <w:rFonts w:ascii="Arial" w:eastAsia="黑体" w:hAnsi="Arial" w:cs="Arial"/>
          <w:bCs/>
          <w:i/>
          <w:snapToGrid w:val="0"/>
          <w:szCs w:val="21"/>
        </w:rPr>
      </w:pPr>
    </w:p>
    <w:p w:rsidR="00AD5BB5" w:rsidRDefault="00F87FF6">
      <w:pPr>
        <w:overflowPunct w:val="0"/>
        <w:autoSpaceDE w:val="0"/>
        <w:autoSpaceDN w:val="0"/>
        <w:adjustRightInd w:val="0"/>
        <w:snapToGrid w:val="0"/>
        <w:textAlignment w:val="bottom"/>
        <w:rPr>
          <w:rFonts w:ascii="Arial" w:eastAsia="黑体" w:hAnsi="Arial" w:cs="Arial"/>
          <w:bCs/>
          <w:snapToGrid w:val="0"/>
          <w:szCs w:val="21"/>
        </w:rPr>
      </w:pPr>
      <w:r>
        <w:rPr>
          <w:rFonts w:ascii="Arial" w:eastAsia="黑体" w:hAnsi="Arial" w:cs="Arial"/>
          <w:bCs/>
          <w:snapToGrid w:val="0"/>
          <w:szCs w:val="21"/>
        </w:rPr>
        <w:t>本集团对非经常性损益项目的确认是按照《公开发行证券的公司信息披露解释公告第</w:t>
      </w:r>
      <w:r>
        <w:rPr>
          <w:rFonts w:ascii="Arial" w:eastAsia="黑体" w:hAnsi="Arial" w:cs="Arial"/>
          <w:bCs/>
          <w:snapToGrid w:val="0"/>
          <w:szCs w:val="21"/>
        </w:rPr>
        <w:t>1</w:t>
      </w:r>
      <w:r>
        <w:rPr>
          <w:rFonts w:ascii="Arial" w:eastAsia="黑体" w:hAnsi="Arial" w:cs="Arial"/>
          <w:bCs/>
          <w:snapToGrid w:val="0"/>
          <w:szCs w:val="21"/>
        </w:rPr>
        <w:t>号</w:t>
      </w:r>
      <w:r>
        <w:rPr>
          <w:rFonts w:ascii="Arial" w:eastAsia="黑体" w:hAnsi="Arial" w:cs="Arial"/>
          <w:bCs/>
          <w:snapToGrid w:val="0"/>
          <w:szCs w:val="21"/>
        </w:rPr>
        <w:t>——</w:t>
      </w:r>
      <w:r>
        <w:rPr>
          <w:rFonts w:ascii="Arial" w:eastAsia="黑体" w:hAnsi="Arial" w:cs="Arial"/>
          <w:bCs/>
          <w:snapToGrid w:val="0"/>
          <w:szCs w:val="21"/>
        </w:rPr>
        <w:t>非经常性损益（</w:t>
      </w:r>
      <w:r>
        <w:rPr>
          <w:rFonts w:ascii="Arial" w:eastAsia="黑体" w:hAnsi="Arial" w:cs="Arial"/>
          <w:bCs/>
          <w:snapToGrid w:val="0"/>
          <w:szCs w:val="21"/>
        </w:rPr>
        <w:t>2008</w:t>
      </w:r>
      <w:r>
        <w:rPr>
          <w:rFonts w:ascii="Arial" w:eastAsia="黑体" w:hAnsi="Arial" w:cs="Arial"/>
          <w:bCs/>
          <w:snapToGrid w:val="0"/>
          <w:szCs w:val="21"/>
        </w:rPr>
        <w:t>）》（中国证券监督管理委员会公告（</w:t>
      </w:r>
      <w:r>
        <w:rPr>
          <w:rFonts w:ascii="Arial" w:eastAsia="黑体" w:hAnsi="Arial" w:cs="Arial"/>
          <w:bCs/>
          <w:snapToGrid w:val="0"/>
          <w:szCs w:val="21"/>
        </w:rPr>
        <w:t>2008</w:t>
      </w:r>
      <w:r>
        <w:rPr>
          <w:rFonts w:ascii="Arial" w:eastAsia="黑体" w:hAnsi="Arial" w:cs="Arial"/>
          <w:bCs/>
          <w:snapToGrid w:val="0"/>
          <w:szCs w:val="21"/>
        </w:rPr>
        <w:t>）</w:t>
      </w:r>
      <w:r>
        <w:rPr>
          <w:rFonts w:ascii="Arial" w:eastAsia="黑体" w:hAnsi="Arial" w:cs="Arial"/>
          <w:bCs/>
          <w:snapToGrid w:val="0"/>
          <w:szCs w:val="21"/>
        </w:rPr>
        <w:t>43</w:t>
      </w:r>
      <w:r>
        <w:rPr>
          <w:rFonts w:ascii="Arial" w:eastAsia="黑体" w:hAnsi="Arial" w:cs="Arial"/>
          <w:bCs/>
          <w:snapToGrid w:val="0"/>
          <w:szCs w:val="21"/>
        </w:rPr>
        <w:t>号）的规定执行。</w:t>
      </w:r>
    </w:p>
    <w:p w:rsidR="00AD5BB5" w:rsidRDefault="00AD5BB5">
      <w:pPr>
        <w:overflowPunct w:val="0"/>
        <w:autoSpaceDE w:val="0"/>
        <w:autoSpaceDN w:val="0"/>
        <w:adjustRightInd w:val="0"/>
        <w:snapToGrid w:val="0"/>
        <w:textAlignment w:val="bottom"/>
        <w:rPr>
          <w:rFonts w:ascii="Arial" w:eastAsia="黑体" w:hAnsi="Arial" w:cs="Arial"/>
          <w:bCs/>
          <w:snapToGrid w:val="0"/>
          <w:szCs w:val="21"/>
        </w:rPr>
      </w:pPr>
    </w:p>
    <w:p w:rsidR="00AD5BB5" w:rsidRDefault="00F87FF6">
      <w:pPr>
        <w:overflowPunct w:val="0"/>
        <w:autoSpaceDE w:val="0"/>
        <w:autoSpaceDN w:val="0"/>
        <w:adjustRightInd w:val="0"/>
        <w:snapToGrid w:val="0"/>
        <w:ind w:left="1"/>
        <w:textAlignment w:val="bottom"/>
        <w:rPr>
          <w:rFonts w:ascii="Arial" w:eastAsia="黑体" w:hAnsi="Arial" w:cs="Arial"/>
          <w:bCs/>
          <w:snapToGrid w:val="0"/>
          <w:szCs w:val="21"/>
        </w:rPr>
      </w:pPr>
      <w:r>
        <w:rPr>
          <w:rFonts w:ascii="Arial" w:eastAsia="黑体" w:hAnsi="Arial" w:cs="Arial"/>
          <w:bCs/>
          <w:snapToGrid w:val="0"/>
          <w:szCs w:val="21"/>
        </w:rPr>
        <w:t>持有交易性金融资产</w:t>
      </w:r>
      <w:r>
        <w:rPr>
          <w:rFonts w:ascii="Arial" w:eastAsia="黑体" w:hAnsi="Arial" w:cs="Arial"/>
          <w:bCs/>
          <w:snapToGrid w:val="0"/>
          <w:szCs w:val="21"/>
        </w:rPr>
        <w:t>/</w:t>
      </w:r>
      <w:r>
        <w:rPr>
          <w:rFonts w:ascii="Arial" w:eastAsia="黑体" w:hAnsi="Arial" w:cs="Arial"/>
          <w:bCs/>
          <w:snapToGrid w:val="0"/>
          <w:szCs w:val="21"/>
        </w:rPr>
        <w:t>负债产生的公允价值变动损益，以及处置交易性金融资产</w:t>
      </w:r>
      <w:r>
        <w:rPr>
          <w:rFonts w:ascii="Arial" w:eastAsia="黑体" w:hAnsi="Arial" w:cs="Arial"/>
          <w:bCs/>
          <w:snapToGrid w:val="0"/>
          <w:szCs w:val="21"/>
        </w:rPr>
        <w:t>/</w:t>
      </w:r>
      <w:r>
        <w:rPr>
          <w:rFonts w:ascii="Arial" w:eastAsia="黑体" w:hAnsi="Arial" w:cs="Arial"/>
          <w:bCs/>
          <w:snapToGrid w:val="0"/>
          <w:szCs w:val="21"/>
        </w:rPr>
        <w:t>负债、其他债权投资等取得的投资收益，系本集团的正常经营业务，不作为非经常性损益。</w:t>
      </w:r>
    </w:p>
    <w:p w:rsidR="00AD5BB5" w:rsidRDefault="00AD5BB5">
      <w:pPr>
        <w:overflowPunct w:val="0"/>
        <w:autoSpaceDE w:val="0"/>
        <w:autoSpaceDN w:val="0"/>
        <w:adjustRightInd w:val="0"/>
        <w:snapToGrid w:val="0"/>
        <w:textAlignment w:val="bottom"/>
        <w:rPr>
          <w:rFonts w:ascii="Arial" w:eastAsia="黑体" w:hAnsi="Arial" w:cs="Arial"/>
          <w:bCs/>
          <w:i/>
          <w:snapToGrid w:val="0"/>
          <w:szCs w:val="21"/>
        </w:rPr>
      </w:pPr>
    </w:p>
    <w:p w:rsidR="00AD5BB5" w:rsidRDefault="00AD5BB5">
      <w:pPr>
        <w:overflowPunct w:val="0"/>
        <w:autoSpaceDE w:val="0"/>
        <w:autoSpaceDN w:val="0"/>
        <w:adjustRightInd w:val="0"/>
        <w:snapToGrid w:val="0"/>
        <w:textAlignment w:val="bottom"/>
        <w:rPr>
          <w:rFonts w:ascii="Arial" w:eastAsia="黑体" w:hAnsi="Arial" w:cs="Arial"/>
          <w:bCs/>
          <w:i/>
          <w:snapToGrid w:val="0"/>
          <w:szCs w:val="21"/>
        </w:rPr>
      </w:pPr>
    </w:p>
    <w:p w:rsidR="00AD5BB5" w:rsidRDefault="00AD5BB5">
      <w:pPr>
        <w:overflowPunct w:val="0"/>
        <w:autoSpaceDE w:val="0"/>
        <w:autoSpaceDN w:val="0"/>
        <w:adjustRightInd w:val="0"/>
        <w:snapToGrid w:val="0"/>
        <w:textAlignment w:val="bottom"/>
        <w:rPr>
          <w:rFonts w:ascii="Arial" w:eastAsia="黑体" w:hAnsi="Arial" w:cs="Arial"/>
          <w:bCs/>
          <w:i/>
          <w:snapToGrid w:val="0"/>
          <w:szCs w:val="21"/>
        </w:rPr>
      </w:pPr>
    </w:p>
    <w:p w:rsidR="00AD5BB5" w:rsidRDefault="00F87FF6">
      <w:pPr>
        <w:overflowPunct w:val="0"/>
        <w:autoSpaceDE w:val="0"/>
        <w:autoSpaceDN w:val="0"/>
        <w:rPr>
          <w:rFonts w:ascii="Arial" w:eastAsia="黑体" w:hAnsi="Arial" w:cs="Arial"/>
          <w:bCs/>
          <w:i/>
          <w:snapToGrid w:val="0"/>
          <w:szCs w:val="21"/>
        </w:rPr>
        <w:sectPr w:rsidR="00AD5BB5">
          <w:headerReference w:type="default" r:id="rId89"/>
          <w:footerReference w:type="default" r:id="rId90"/>
          <w:footerReference w:type="first" r:id="rId91"/>
          <w:pgSz w:w="11907" w:h="16840"/>
          <w:pgMar w:top="1440" w:right="1797" w:bottom="1440" w:left="1797" w:header="720" w:footer="720" w:gutter="0"/>
          <w:pgNumType w:start="1"/>
          <w:cols w:space="720"/>
          <w:docGrid w:linePitch="360"/>
        </w:sectPr>
      </w:pPr>
      <w:r>
        <w:rPr>
          <w:rFonts w:ascii="Arial" w:hAnsi="Arial" w:cs="Arial"/>
        </w:rPr>
        <w:br w:type="page"/>
      </w:r>
    </w:p>
    <w:p w:rsidR="00AD5BB5" w:rsidRDefault="00AD5BB5">
      <w:pPr>
        <w:overflowPunct w:val="0"/>
        <w:autoSpaceDE w:val="0"/>
        <w:autoSpaceDN w:val="0"/>
        <w:rPr>
          <w:rFonts w:ascii="Arial" w:eastAsia="黑体" w:hAnsi="Arial" w:cs="Arial"/>
          <w:bCs/>
          <w:i/>
          <w:snapToGrid w:val="0"/>
          <w:szCs w:val="21"/>
        </w:rPr>
      </w:pPr>
    </w:p>
    <w:p w:rsidR="00AD5BB5" w:rsidRDefault="00F87FF6">
      <w:pPr>
        <w:pStyle w:val="a3"/>
        <w:numPr>
          <w:ilvl w:val="0"/>
          <w:numId w:val="0"/>
        </w:numPr>
        <w:ind w:left="720" w:hanging="720"/>
        <w:rPr>
          <w:sz w:val="21"/>
          <w:szCs w:val="21"/>
        </w:rPr>
      </w:pPr>
      <w:bookmarkStart w:id="623" w:name="afsaddin_Section_f9342a0b2c664d2180168f0"/>
      <w:r>
        <w:rPr>
          <w:sz w:val="21"/>
          <w:szCs w:val="21"/>
        </w:rPr>
        <w:t>2.</w:t>
      </w:r>
      <w:r>
        <w:rPr>
          <w:sz w:val="21"/>
          <w:szCs w:val="21"/>
        </w:rPr>
        <w:tab/>
      </w:r>
      <w:r>
        <w:rPr>
          <w:sz w:val="21"/>
          <w:szCs w:val="21"/>
        </w:rPr>
        <w:t>净资产收益率和每股收益</w:t>
      </w:r>
    </w:p>
    <w:bookmarkEnd w:id="623"/>
    <w:p w:rsidR="00AD5BB5" w:rsidRDefault="00AD5BB5">
      <w:pPr>
        <w:overflowPunct w:val="0"/>
        <w:autoSpaceDE w:val="0"/>
        <w:autoSpaceDN w:val="0"/>
        <w:adjustRightInd w:val="0"/>
        <w:snapToGrid w:val="0"/>
        <w:textAlignment w:val="bottom"/>
        <w:rPr>
          <w:rFonts w:ascii="Arial" w:eastAsia="黑体" w:hAnsi="Arial" w:cs="Arial"/>
          <w:snapToGrid w:val="0"/>
          <w:szCs w:val="21"/>
        </w:rPr>
      </w:pPr>
    </w:p>
    <w:p w:rsidR="00AD5BB5" w:rsidRDefault="00F87FF6">
      <w:pPr>
        <w:overflowPunct w:val="0"/>
        <w:autoSpaceDE w:val="0"/>
        <w:autoSpaceDN w:val="0"/>
        <w:adjustRightInd w:val="0"/>
        <w:snapToGrid w:val="0"/>
        <w:textAlignment w:val="bottom"/>
        <w:rPr>
          <w:rFonts w:ascii="Arial" w:eastAsia="黑体" w:hAnsi="Arial" w:cs="Arial"/>
          <w:snapToGrid w:val="0"/>
          <w:szCs w:val="21"/>
        </w:rPr>
      </w:pP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当期会计期间</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2023</w:t>
      </w:r>
      <w:r>
        <w:rPr>
          <w:rFonts w:ascii="Arial" w:eastAsia="黑体" w:hAnsi="Arial" w:cs="Arial"/>
          <w:snapToGrid w:val="0"/>
          <w:szCs w:val="21"/>
        </w:rPr>
        <w:fldChar w:fldCharType="end"/>
      </w:r>
      <w:r>
        <w:rPr>
          <w:rFonts w:ascii="Arial" w:eastAsia="黑体" w:hAnsi="Arial" w:cs="Arial"/>
          <w:snapToGrid w:val="0"/>
          <w:szCs w:val="21"/>
        </w:rPr>
        <w:t>年</w:t>
      </w:r>
      <w:r>
        <w:rPr>
          <w:rFonts w:ascii="Arial" w:eastAsia="黑体" w:hAnsi="Arial" w:cs="Arial"/>
          <w:snapToGrid w:val="0"/>
          <w:szCs w:val="21"/>
        </w:rPr>
        <w:t>1-6</w:t>
      </w:r>
      <w:r>
        <w:rPr>
          <w:rFonts w:ascii="Arial" w:eastAsia="黑体" w:hAnsi="Arial" w:cs="Arial"/>
          <w:snapToGrid w:val="0"/>
          <w:szCs w:val="21"/>
        </w:rPr>
        <w:t>月</w:t>
      </w:r>
    </w:p>
    <w:p w:rsidR="00AD5BB5" w:rsidRDefault="00AD5BB5">
      <w:pPr>
        <w:overflowPunct w:val="0"/>
        <w:autoSpaceDE w:val="0"/>
        <w:autoSpaceDN w:val="0"/>
        <w:adjustRightInd w:val="0"/>
        <w:snapToGrid w:val="0"/>
        <w:textAlignment w:val="bottom"/>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90bb0f88-24a9-4095-81ee-1597784a98c1"/>
        <w:tblDescription w:val="{&quot;UUID&quot;:&quot;afsaddin_tabledata_2_56437_90bb0f88-24a9-4095-81ee-1597784a98c1&quot;,&quot;TitleRowCount&quot;:3,&quot;SplitedTable&quot;:false,&quot;FirstTableId&quot;:&quot;90bb0f88-24a9-4095-81ee-1597784a98c1&quot;}"/>
      </w:tblPr>
      <w:tblGrid>
        <w:gridCol w:w="3696"/>
        <w:gridCol w:w="108"/>
        <w:gridCol w:w="2495"/>
        <w:gridCol w:w="107"/>
        <w:gridCol w:w="107"/>
        <w:gridCol w:w="903"/>
        <w:gridCol w:w="107"/>
        <w:gridCol w:w="107"/>
        <w:gridCol w:w="685"/>
        <w:gridCol w:w="107"/>
      </w:tblGrid>
      <w:tr w:rsidR="00AD5BB5">
        <w:tc>
          <w:tcPr>
            <w:tcW w:w="3696"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495" w:type="dxa"/>
            <w:tcBorders>
              <w:top w:val="nil"/>
              <w:left w:val="nil"/>
              <w:bottom w:val="single" w:sz="4" w:space="0" w:color="auto"/>
              <w:right w:val="nil"/>
            </w:tcBorders>
            <w:vAlign w:val="bottom"/>
          </w:tcPr>
          <w:p w:rsidR="00AD5BB5" w:rsidRDefault="00F87FF6">
            <w:pPr>
              <w:autoSpaceDE w:val="0"/>
              <w:autoSpaceDN w:val="0"/>
              <w:ind w:leftChars="-46" w:left="12" w:hangingChars="52" w:hanging="109"/>
              <w:jc w:val="right"/>
              <w:rPr>
                <w:rFonts w:ascii="Arial" w:eastAsia="黑体" w:hAnsi="Arial" w:cs="Arial"/>
                <w:szCs w:val="21"/>
              </w:rPr>
            </w:pPr>
            <w:r>
              <w:rPr>
                <w:rFonts w:ascii="Arial" w:eastAsia="黑体" w:hAnsi="Arial" w:cs="Arial"/>
                <w:szCs w:val="21"/>
              </w:rPr>
              <w:t>加权平均净资产收益率</w:t>
            </w:r>
            <w:r>
              <w:rPr>
                <w:rFonts w:ascii="Arial" w:eastAsia="黑体" w:hAnsi="Arial" w:cs="Arial"/>
                <w:szCs w:val="21"/>
              </w:rPr>
              <w:t>(%)</w:t>
            </w:r>
          </w:p>
        </w:tc>
        <w:tc>
          <w:tcPr>
            <w:tcW w:w="10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802" w:type="dxa"/>
            <w:gridSpan w:val="4"/>
            <w:tcBorders>
              <w:top w:val="nil"/>
              <w:left w:val="nil"/>
              <w:bottom w:val="single" w:sz="4" w:space="0" w:color="auto"/>
              <w:right w:val="nil"/>
            </w:tcBorders>
            <w:vAlign w:val="bottom"/>
          </w:tcPr>
          <w:p w:rsidR="00AD5BB5" w:rsidRDefault="00F87FF6">
            <w:pPr>
              <w:autoSpaceDE w:val="0"/>
              <w:autoSpaceDN w:val="0"/>
              <w:jc w:val="center"/>
              <w:rPr>
                <w:rFonts w:ascii="Arial" w:eastAsia="黑体" w:hAnsi="Arial" w:cs="Arial"/>
                <w:szCs w:val="21"/>
              </w:rPr>
            </w:pPr>
            <w:r>
              <w:rPr>
                <w:rFonts w:ascii="Arial" w:eastAsia="黑体" w:hAnsi="Arial" w:cs="Arial"/>
                <w:szCs w:val="21"/>
              </w:rPr>
              <w:t xml:space="preserve"> </w:t>
            </w:r>
            <w:r>
              <w:rPr>
                <w:rFonts w:ascii="Arial" w:eastAsia="黑体" w:hAnsi="Arial" w:cs="Arial"/>
                <w:szCs w:val="21"/>
              </w:rPr>
              <w:t>每股收益</w:t>
            </w:r>
          </w:p>
        </w:tc>
        <w:tc>
          <w:tcPr>
            <w:tcW w:w="10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r>
      <w:tr w:rsidR="00AD5BB5">
        <w:tc>
          <w:tcPr>
            <w:tcW w:w="3696"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495"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903"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基本</w:t>
            </w:r>
          </w:p>
        </w:tc>
        <w:tc>
          <w:tcPr>
            <w:tcW w:w="10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7" w:type="dxa"/>
            <w:tcBorders>
              <w:top w:val="single" w:sz="4" w:space="0" w:color="auto"/>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685" w:type="dxa"/>
            <w:tcBorders>
              <w:top w:val="single" w:sz="4" w:space="0" w:color="auto"/>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稀释</w:t>
            </w:r>
            <w:r>
              <w:rPr>
                <w:rFonts w:ascii="Arial" w:eastAsia="黑体" w:hAnsi="Arial" w:cs="Arial"/>
                <w:szCs w:val="21"/>
              </w:rPr>
              <w:t xml:space="preserve"> </w:t>
            </w:r>
          </w:p>
        </w:tc>
        <w:tc>
          <w:tcPr>
            <w:tcW w:w="10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r>
      <w:tr w:rsidR="00AD5BB5">
        <w:tc>
          <w:tcPr>
            <w:tcW w:w="3696"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495"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903"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685"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jc w:val="right"/>
              <w:rPr>
                <w:rFonts w:ascii="Arial" w:eastAsia="黑体" w:hAnsi="Arial" w:cs="Arial"/>
                <w:szCs w:val="21"/>
              </w:rPr>
            </w:pPr>
          </w:p>
        </w:tc>
      </w:tr>
      <w:tr w:rsidR="00AD5BB5">
        <w:tc>
          <w:tcPr>
            <w:tcW w:w="3696" w:type="dxa"/>
            <w:tcBorders>
              <w:top w:val="nil"/>
              <w:left w:val="nil"/>
              <w:bottom w:val="nil"/>
              <w:right w:val="nil"/>
            </w:tcBorders>
            <w:vAlign w:val="bottom"/>
          </w:tcPr>
          <w:p w:rsidR="00AD5BB5" w:rsidRDefault="00F87FF6">
            <w:pPr>
              <w:autoSpaceDE w:val="0"/>
              <w:autoSpaceDN w:val="0"/>
              <w:rPr>
                <w:rFonts w:ascii="Arial" w:eastAsia="黑体" w:hAnsi="Arial" w:cs="Arial"/>
                <w:szCs w:val="21"/>
              </w:rPr>
            </w:pPr>
            <w:r>
              <w:rPr>
                <w:rFonts w:ascii="Arial" w:eastAsia="黑体" w:hAnsi="Arial" w:cs="Arial"/>
                <w:szCs w:val="21"/>
              </w:rPr>
              <w:t>归属于公司普通股股东的净利润</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495"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6.14%</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903"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0.51</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685"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0.51</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r w:rsidR="00AD5BB5">
        <w:tc>
          <w:tcPr>
            <w:tcW w:w="3696" w:type="dxa"/>
            <w:tcBorders>
              <w:top w:val="nil"/>
              <w:left w:val="nil"/>
              <w:bottom w:val="nil"/>
              <w:right w:val="nil"/>
            </w:tcBorders>
            <w:vAlign w:val="bottom"/>
          </w:tcPr>
          <w:p w:rsidR="00AD5BB5" w:rsidRDefault="00F87FF6">
            <w:pPr>
              <w:autoSpaceDE w:val="0"/>
              <w:autoSpaceDN w:val="0"/>
              <w:ind w:leftChars="-6" w:left="252" w:rightChars="142" w:right="298" w:hangingChars="126" w:hanging="265"/>
              <w:rPr>
                <w:rFonts w:ascii="Arial" w:eastAsia="黑体" w:hAnsi="Arial" w:cs="Arial"/>
                <w:szCs w:val="21"/>
              </w:rPr>
            </w:pPr>
            <w:r>
              <w:rPr>
                <w:rFonts w:ascii="Arial" w:eastAsia="黑体" w:hAnsi="Arial" w:cs="Arial"/>
                <w:szCs w:val="21"/>
              </w:rPr>
              <w:t>扣除非经常性损益后归属于公司普通股股东的净利润</w:t>
            </w:r>
          </w:p>
        </w:tc>
        <w:tc>
          <w:tcPr>
            <w:tcW w:w="108"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2495"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rPr>
              <w:t>6.11%</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903"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0.51</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c>
          <w:tcPr>
            <w:tcW w:w="685" w:type="dxa"/>
            <w:tcBorders>
              <w:top w:val="nil"/>
              <w:left w:val="nil"/>
              <w:bottom w:val="nil"/>
              <w:right w:val="nil"/>
            </w:tcBorders>
            <w:vAlign w:val="bottom"/>
          </w:tcPr>
          <w:p w:rsidR="00AD5BB5" w:rsidRDefault="00F87FF6">
            <w:pPr>
              <w:autoSpaceDE w:val="0"/>
              <w:autoSpaceDN w:val="0"/>
              <w:jc w:val="right"/>
              <w:rPr>
                <w:rFonts w:ascii="Arial" w:eastAsia="黑体" w:hAnsi="Arial" w:cs="Arial"/>
                <w:szCs w:val="21"/>
              </w:rPr>
            </w:pPr>
            <w:r>
              <w:rPr>
                <w:rFonts w:ascii="Arial" w:eastAsia="黑体" w:hAnsi="Arial" w:cs="Arial"/>
                <w:szCs w:val="21"/>
              </w:rPr>
              <w:t>0.51</w:t>
            </w:r>
          </w:p>
        </w:tc>
        <w:tc>
          <w:tcPr>
            <w:tcW w:w="107" w:type="dxa"/>
            <w:tcBorders>
              <w:top w:val="nil"/>
              <w:left w:val="nil"/>
              <w:bottom w:val="nil"/>
              <w:right w:val="nil"/>
            </w:tcBorders>
            <w:vAlign w:val="bottom"/>
          </w:tcPr>
          <w:p w:rsidR="00AD5BB5" w:rsidRDefault="00AD5BB5">
            <w:pPr>
              <w:autoSpaceDE w:val="0"/>
              <w:autoSpaceDN w:val="0"/>
              <w:rPr>
                <w:rFonts w:ascii="Arial" w:eastAsia="黑体" w:hAnsi="Arial" w:cs="Arial"/>
                <w:szCs w:val="21"/>
              </w:rPr>
            </w:pPr>
          </w:p>
        </w:tc>
      </w:tr>
    </w:tbl>
    <w:p w:rsidR="00AD5BB5" w:rsidRDefault="00AD5BB5">
      <w:pPr>
        <w:overflowPunct w:val="0"/>
        <w:autoSpaceDE w:val="0"/>
        <w:autoSpaceDN w:val="0"/>
        <w:adjustRightInd w:val="0"/>
        <w:snapToGrid w:val="0"/>
        <w:textAlignment w:val="bottom"/>
        <w:rPr>
          <w:rFonts w:ascii="Arial" w:eastAsia="黑体" w:hAnsi="Arial" w:cs="Arial"/>
          <w:snapToGrid w:val="0"/>
          <w:szCs w:val="21"/>
        </w:rPr>
      </w:pPr>
    </w:p>
    <w:p w:rsidR="00AD5BB5" w:rsidRDefault="00F87FF6">
      <w:pPr>
        <w:overflowPunct w:val="0"/>
        <w:autoSpaceDE w:val="0"/>
        <w:autoSpaceDN w:val="0"/>
        <w:adjustRightInd w:val="0"/>
        <w:snapToGrid w:val="0"/>
        <w:textAlignment w:val="bottom"/>
        <w:rPr>
          <w:rFonts w:ascii="Arial" w:eastAsia="黑体" w:hAnsi="Arial" w:cs="Arial"/>
          <w:snapToGrid w:val="0"/>
          <w:szCs w:val="21"/>
        </w:rPr>
      </w:pPr>
      <w:r>
        <w:rPr>
          <w:rFonts w:ascii="Arial" w:eastAsia="黑体" w:hAnsi="Arial" w:cs="Arial"/>
          <w:snapToGrid w:val="0"/>
          <w:szCs w:val="21"/>
        </w:rPr>
        <w:fldChar w:fldCharType="begin"/>
      </w:r>
      <w:r>
        <w:rPr>
          <w:rFonts w:ascii="Arial" w:eastAsia="黑体" w:hAnsi="Arial" w:cs="Arial"/>
          <w:snapToGrid w:val="0"/>
          <w:szCs w:val="21"/>
        </w:rPr>
        <w:instrText xml:space="preserve"> DOCPROPERTY </w:instrText>
      </w:r>
      <w:r>
        <w:rPr>
          <w:rFonts w:ascii="Arial" w:eastAsia="黑体" w:hAnsi="Arial" w:cs="Arial"/>
          <w:snapToGrid w:val="0"/>
          <w:szCs w:val="21"/>
        </w:rPr>
        <w:instrText>对比会计期间</w:instrText>
      </w:r>
      <w:r>
        <w:rPr>
          <w:rFonts w:ascii="Arial" w:eastAsia="黑体" w:hAnsi="Arial" w:cs="Arial"/>
          <w:snapToGrid w:val="0"/>
          <w:szCs w:val="21"/>
        </w:rPr>
        <w:instrText xml:space="preserve"> </w:instrText>
      </w:r>
      <w:r>
        <w:rPr>
          <w:rFonts w:ascii="Arial" w:eastAsia="黑体" w:hAnsi="Arial" w:cs="Arial"/>
          <w:snapToGrid w:val="0"/>
          <w:szCs w:val="21"/>
        </w:rPr>
        <w:fldChar w:fldCharType="separate"/>
      </w:r>
      <w:r>
        <w:rPr>
          <w:rFonts w:ascii="Arial" w:eastAsia="黑体" w:hAnsi="Arial" w:cs="Arial"/>
          <w:snapToGrid w:val="0"/>
          <w:szCs w:val="21"/>
        </w:rPr>
        <w:t>2022</w:t>
      </w:r>
      <w:r>
        <w:rPr>
          <w:rFonts w:ascii="Arial" w:eastAsia="黑体" w:hAnsi="Arial" w:cs="Arial"/>
          <w:snapToGrid w:val="0"/>
          <w:szCs w:val="21"/>
        </w:rPr>
        <w:fldChar w:fldCharType="end"/>
      </w:r>
      <w:r>
        <w:rPr>
          <w:rFonts w:ascii="Arial" w:eastAsia="黑体" w:hAnsi="Arial" w:cs="Arial"/>
          <w:snapToGrid w:val="0"/>
          <w:szCs w:val="21"/>
        </w:rPr>
        <w:t>年</w:t>
      </w:r>
      <w:r>
        <w:rPr>
          <w:rFonts w:ascii="Arial" w:eastAsia="黑体" w:hAnsi="Arial" w:cs="Arial"/>
          <w:snapToGrid w:val="0"/>
          <w:szCs w:val="21"/>
        </w:rPr>
        <w:t>1-6</w:t>
      </w:r>
      <w:r>
        <w:rPr>
          <w:rFonts w:ascii="Arial" w:eastAsia="黑体" w:hAnsi="Arial" w:cs="Arial"/>
          <w:snapToGrid w:val="0"/>
          <w:szCs w:val="21"/>
        </w:rPr>
        <w:t>月</w:t>
      </w:r>
    </w:p>
    <w:p w:rsidR="00AD5BB5" w:rsidRDefault="00AD5BB5">
      <w:pPr>
        <w:overflowPunct w:val="0"/>
        <w:autoSpaceDE w:val="0"/>
        <w:autoSpaceDN w:val="0"/>
        <w:adjustRightInd w:val="0"/>
        <w:snapToGrid w:val="0"/>
        <w:textAlignment w:val="bottom"/>
        <w:rPr>
          <w:rFonts w:ascii="Arial" w:eastAsia="黑体" w:hAnsi="Arial" w:cs="Arial"/>
          <w:snapToGrid w:val="0"/>
          <w:szCs w:val="21"/>
        </w:rPr>
      </w:pPr>
    </w:p>
    <w:tbl>
      <w:tblPr>
        <w:tblW w:w="0" w:type="auto"/>
        <w:tblLayout w:type="fixed"/>
        <w:tblCellMar>
          <w:left w:w="0" w:type="dxa"/>
          <w:right w:w="0" w:type="dxa"/>
        </w:tblCellMar>
        <w:tblLook w:val="04A0" w:firstRow="1" w:lastRow="0" w:firstColumn="1" w:lastColumn="0" w:noHBand="0" w:noVBand="1"/>
        <w:tblCaption w:val="fcd5275b-c223-4324-8bb3-0ca370d9eb74"/>
        <w:tblDescription w:val="{&quot;UUID&quot;:&quot;afsaddin_tabledata_2_56437_fcd5275b-c223-4324-8bb3-0ca370d9eb74&quot;,&quot;TitleRowCount&quot;:3,&quot;SplitedTable&quot;:false,&quot;FirstTableId&quot;:&quot;fcd5275b-c223-4324-8bb3-0ca370d9eb74&quot;}"/>
      </w:tblPr>
      <w:tblGrid>
        <w:gridCol w:w="3696"/>
        <w:gridCol w:w="108"/>
        <w:gridCol w:w="2495"/>
        <w:gridCol w:w="107"/>
        <w:gridCol w:w="107"/>
        <w:gridCol w:w="903"/>
        <w:gridCol w:w="107"/>
        <w:gridCol w:w="107"/>
        <w:gridCol w:w="685"/>
        <w:gridCol w:w="107"/>
      </w:tblGrid>
      <w:tr w:rsidR="00AD5BB5">
        <w:tc>
          <w:tcPr>
            <w:tcW w:w="3696"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08"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495" w:type="dxa"/>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加权平均净资产收益率</w:t>
            </w:r>
            <w:r>
              <w:rPr>
                <w:rFonts w:ascii="Arial" w:eastAsia="黑体" w:hAnsi="Arial" w:cs="Arial"/>
                <w:color w:val="000000"/>
                <w:szCs w:val="21"/>
              </w:rPr>
              <w:t>(%)</w:t>
            </w:r>
          </w:p>
        </w:tc>
        <w:tc>
          <w:tcPr>
            <w:tcW w:w="107"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07"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802" w:type="dxa"/>
            <w:gridSpan w:val="4"/>
            <w:tcBorders>
              <w:top w:val="nil"/>
              <w:left w:val="nil"/>
              <w:bottom w:val="single" w:sz="4" w:space="0" w:color="auto"/>
              <w:right w:val="nil"/>
            </w:tcBorders>
            <w:shd w:val="clear" w:color="000000" w:fill="auto"/>
            <w:noWrap/>
            <w:vAlign w:val="bottom"/>
          </w:tcPr>
          <w:p w:rsidR="00AD5BB5" w:rsidRDefault="00F87FF6">
            <w:pPr>
              <w:kinsoku w:val="0"/>
              <w:overflowPunct w:val="0"/>
              <w:autoSpaceDE w:val="0"/>
              <w:autoSpaceDN w:val="0"/>
              <w:adjustRightInd w:val="0"/>
              <w:snapToGrid w:val="0"/>
              <w:jc w:val="center"/>
              <w:rPr>
                <w:rFonts w:ascii="Arial" w:eastAsia="黑体" w:hAnsi="Arial" w:cs="Arial"/>
                <w:color w:val="000000"/>
                <w:szCs w:val="21"/>
              </w:rPr>
            </w:pPr>
            <w:r>
              <w:rPr>
                <w:rFonts w:ascii="Arial" w:eastAsia="黑体" w:hAnsi="Arial" w:cs="Arial"/>
                <w:color w:val="000000"/>
                <w:szCs w:val="21"/>
              </w:rPr>
              <w:t xml:space="preserve"> </w:t>
            </w:r>
            <w:r>
              <w:rPr>
                <w:rFonts w:ascii="Arial" w:eastAsia="黑体" w:hAnsi="Arial" w:cs="Arial"/>
                <w:color w:val="000000"/>
                <w:szCs w:val="21"/>
              </w:rPr>
              <w:t>每股收益</w:t>
            </w: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r>
      <w:tr w:rsidR="00AD5BB5">
        <w:tc>
          <w:tcPr>
            <w:tcW w:w="3696"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08"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495" w:type="dxa"/>
            <w:tcBorders>
              <w:top w:val="single" w:sz="4" w:space="0" w:color="auto"/>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07"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07"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903" w:type="dxa"/>
            <w:tcBorders>
              <w:top w:val="single" w:sz="4" w:space="0" w:color="auto"/>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基本</w:t>
            </w:r>
          </w:p>
        </w:tc>
        <w:tc>
          <w:tcPr>
            <w:tcW w:w="107" w:type="dxa"/>
            <w:tcBorders>
              <w:top w:val="single" w:sz="4" w:space="0" w:color="auto"/>
              <w:left w:val="nil"/>
              <w:bottom w:val="nil"/>
              <w:right w:val="nil"/>
            </w:tcBorders>
            <w:shd w:val="clear" w:color="auto" w:fill="auto"/>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107" w:type="dxa"/>
            <w:tcBorders>
              <w:top w:val="single" w:sz="4" w:space="0" w:color="auto"/>
              <w:left w:val="nil"/>
              <w:bottom w:val="nil"/>
              <w:right w:val="nil"/>
            </w:tcBorders>
            <w:shd w:val="clear" w:color="auto" w:fill="auto"/>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c>
          <w:tcPr>
            <w:tcW w:w="685" w:type="dxa"/>
            <w:tcBorders>
              <w:top w:val="single" w:sz="4" w:space="0" w:color="auto"/>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稀释</w:t>
            </w:r>
            <w:r>
              <w:rPr>
                <w:rFonts w:ascii="Arial" w:eastAsia="黑体" w:hAnsi="Arial" w:cs="Arial"/>
                <w:color w:val="000000"/>
                <w:szCs w:val="21"/>
              </w:rPr>
              <w:t xml:space="preserve"> </w:t>
            </w: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color w:val="000000"/>
                <w:szCs w:val="21"/>
              </w:rPr>
            </w:pPr>
          </w:p>
        </w:tc>
      </w:tr>
      <w:tr w:rsidR="00AD5BB5">
        <w:tc>
          <w:tcPr>
            <w:tcW w:w="3696"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08"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szCs w:val="21"/>
              </w:rPr>
            </w:pPr>
          </w:p>
        </w:tc>
        <w:tc>
          <w:tcPr>
            <w:tcW w:w="2495"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07"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07"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903"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07"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07"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685" w:type="dxa"/>
            <w:tcBorders>
              <w:top w:val="nil"/>
              <w:left w:val="nil"/>
              <w:bottom w:val="nil"/>
              <w:right w:val="nil"/>
            </w:tcBorders>
            <w:shd w:val="clear" w:color="000000"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jc w:val="right"/>
              <w:rPr>
                <w:rFonts w:ascii="Arial" w:eastAsia="黑体" w:hAnsi="Arial" w:cs="Arial"/>
                <w:szCs w:val="21"/>
              </w:rPr>
            </w:pPr>
          </w:p>
        </w:tc>
      </w:tr>
      <w:tr w:rsidR="00AD5BB5">
        <w:tc>
          <w:tcPr>
            <w:tcW w:w="3696"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rPr>
                <w:rFonts w:ascii="Arial" w:eastAsia="黑体" w:hAnsi="Arial" w:cs="Arial"/>
                <w:color w:val="000000"/>
                <w:szCs w:val="21"/>
              </w:rPr>
            </w:pPr>
            <w:r>
              <w:rPr>
                <w:rFonts w:ascii="Arial" w:eastAsia="黑体" w:hAnsi="Arial" w:cs="Arial"/>
                <w:color w:val="000000"/>
                <w:szCs w:val="21"/>
              </w:rPr>
              <w:t>归属于公司普通股股东的净利润</w:t>
            </w:r>
          </w:p>
        </w:tc>
        <w:tc>
          <w:tcPr>
            <w:tcW w:w="108"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495"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5.58%</w:t>
            </w:r>
          </w:p>
        </w:tc>
        <w:tc>
          <w:tcPr>
            <w:tcW w:w="107"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07"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903"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0.44</w:t>
            </w:r>
          </w:p>
        </w:tc>
        <w:tc>
          <w:tcPr>
            <w:tcW w:w="107"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07"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685"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0.44</w:t>
            </w: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r w:rsidR="00AD5BB5">
        <w:tc>
          <w:tcPr>
            <w:tcW w:w="3696"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ind w:left="206" w:rightChars="90" w:right="189" w:hangingChars="98" w:hanging="206"/>
              <w:rPr>
                <w:rFonts w:ascii="Arial" w:eastAsia="黑体" w:hAnsi="Arial" w:cs="Arial"/>
                <w:color w:val="000000"/>
                <w:szCs w:val="21"/>
              </w:rPr>
            </w:pPr>
            <w:r>
              <w:rPr>
                <w:rFonts w:ascii="Arial" w:eastAsia="黑体" w:hAnsi="Arial" w:cs="Arial"/>
                <w:color w:val="000000"/>
                <w:szCs w:val="21"/>
              </w:rPr>
              <w:t>扣除非经常性损益后归属于公司普通股股东的净利润</w:t>
            </w:r>
          </w:p>
        </w:tc>
        <w:tc>
          <w:tcPr>
            <w:tcW w:w="108"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2495"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5.57%</w:t>
            </w:r>
          </w:p>
        </w:tc>
        <w:tc>
          <w:tcPr>
            <w:tcW w:w="107"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07"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903" w:type="dxa"/>
            <w:tcBorders>
              <w:top w:val="nil"/>
              <w:left w:val="nil"/>
              <w:bottom w:val="nil"/>
              <w:right w:val="nil"/>
            </w:tcBorders>
            <w:shd w:val="clear" w:color="000000" w:fill="auto"/>
            <w:noWrap/>
            <w:vAlign w:val="bottom"/>
          </w:tcPr>
          <w:p w:rsidR="00AD5BB5" w:rsidRDefault="00F87FF6">
            <w:pPr>
              <w:overflowPunct w:val="0"/>
              <w:autoSpaceDE w:val="0"/>
              <w:autoSpaceDN w:val="0"/>
              <w:jc w:val="right"/>
              <w:rPr>
                <w:rFonts w:ascii="Arial" w:eastAsia="黑体" w:hAnsi="Arial" w:cs="Arial"/>
                <w:color w:val="000000"/>
                <w:szCs w:val="21"/>
              </w:rPr>
            </w:pPr>
            <w:r>
              <w:rPr>
                <w:rFonts w:ascii="Arial" w:eastAsia="黑体" w:hAnsi="Arial" w:cs="Arial"/>
                <w:color w:val="000000"/>
                <w:szCs w:val="21"/>
              </w:rPr>
              <w:t>0.44</w:t>
            </w:r>
          </w:p>
        </w:tc>
        <w:tc>
          <w:tcPr>
            <w:tcW w:w="107"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107" w:type="dxa"/>
            <w:tcBorders>
              <w:top w:val="nil"/>
              <w:left w:val="nil"/>
              <w:bottom w:val="nil"/>
              <w:right w:val="nil"/>
            </w:tcBorders>
            <w:shd w:val="clear" w:color="auto" w:fill="auto"/>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c>
          <w:tcPr>
            <w:tcW w:w="685" w:type="dxa"/>
            <w:tcBorders>
              <w:top w:val="nil"/>
              <w:left w:val="nil"/>
              <w:bottom w:val="nil"/>
              <w:right w:val="nil"/>
            </w:tcBorders>
            <w:shd w:val="clear" w:color="000000" w:fill="auto"/>
            <w:noWrap/>
            <w:vAlign w:val="bottom"/>
          </w:tcPr>
          <w:p w:rsidR="00AD5BB5" w:rsidRDefault="00F87FF6">
            <w:pPr>
              <w:kinsoku w:val="0"/>
              <w:overflowPunct w:val="0"/>
              <w:autoSpaceDE w:val="0"/>
              <w:autoSpaceDN w:val="0"/>
              <w:adjustRightInd w:val="0"/>
              <w:snapToGrid w:val="0"/>
              <w:jc w:val="right"/>
              <w:rPr>
                <w:rFonts w:ascii="Arial" w:eastAsia="黑体" w:hAnsi="Arial" w:cs="Arial"/>
                <w:color w:val="000000"/>
                <w:szCs w:val="21"/>
              </w:rPr>
            </w:pPr>
            <w:r>
              <w:rPr>
                <w:rFonts w:ascii="Arial" w:eastAsia="黑体" w:hAnsi="Arial" w:cs="Arial"/>
                <w:color w:val="000000"/>
                <w:szCs w:val="21"/>
              </w:rPr>
              <w:t>0.44</w:t>
            </w:r>
          </w:p>
        </w:tc>
        <w:tc>
          <w:tcPr>
            <w:tcW w:w="107" w:type="dxa"/>
            <w:tcBorders>
              <w:top w:val="nil"/>
              <w:left w:val="nil"/>
              <w:bottom w:val="nil"/>
              <w:right w:val="nil"/>
            </w:tcBorders>
            <w:shd w:val="clear" w:color="auto" w:fill="auto"/>
            <w:noWrap/>
            <w:vAlign w:val="bottom"/>
          </w:tcPr>
          <w:p w:rsidR="00AD5BB5" w:rsidRDefault="00AD5BB5">
            <w:pPr>
              <w:kinsoku w:val="0"/>
              <w:overflowPunct w:val="0"/>
              <w:autoSpaceDE w:val="0"/>
              <w:autoSpaceDN w:val="0"/>
              <w:adjustRightInd w:val="0"/>
              <w:snapToGrid w:val="0"/>
              <w:rPr>
                <w:rFonts w:ascii="Arial" w:eastAsia="黑体" w:hAnsi="Arial" w:cs="Arial"/>
                <w:color w:val="000000"/>
                <w:szCs w:val="21"/>
              </w:rPr>
            </w:pPr>
          </w:p>
        </w:tc>
      </w:tr>
    </w:tbl>
    <w:p w:rsidR="00AD5BB5" w:rsidRDefault="00AD5BB5">
      <w:pPr>
        <w:overflowPunct w:val="0"/>
        <w:autoSpaceDE w:val="0"/>
        <w:autoSpaceDN w:val="0"/>
        <w:adjustRightInd w:val="0"/>
        <w:snapToGrid w:val="0"/>
        <w:textAlignment w:val="bottom"/>
        <w:rPr>
          <w:rFonts w:ascii="Arial" w:eastAsia="黑体" w:hAnsi="Arial" w:cs="Arial"/>
          <w:bCs/>
          <w:snapToGrid w:val="0"/>
          <w:szCs w:val="21"/>
        </w:rPr>
      </w:pPr>
    </w:p>
    <w:p w:rsidR="00AD5BB5" w:rsidRDefault="00F87FF6">
      <w:pPr>
        <w:overflowPunct w:val="0"/>
        <w:autoSpaceDE w:val="0"/>
        <w:autoSpaceDN w:val="0"/>
        <w:adjustRightInd w:val="0"/>
        <w:snapToGrid w:val="0"/>
        <w:textAlignment w:val="bottom"/>
        <w:rPr>
          <w:rFonts w:ascii="Arial" w:eastAsia="黑体" w:hAnsi="Arial" w:cs="Arial"/>
          <w:snapToGrid w:val="0"/>
          <w:szCs w:val="21"/>
        </w:rPr>
      </w:pPr>
      <w:r>
        <w:rPr>
          <w:rFonts w:ascii="Arial" w:eastAsia="黑体" w:hAnsi="Arial" w:cs="Arial"/>
          <w:snapToGrid w:val="0"/>
          <w:szCs w:val="21"/>
        </w:rPr>
        <w:t>以上净资产收益率和每股收益按中国证监会于</w:t>
      </w:r>
      <w:r>
        <w:rPr>
          <w:rFonts w:ascii="Arial" w:eastAsia="黑体" w:hAnsi="Arial" w:cs="Arial"/>
          <w:snapToGrid w:val="0"/>
          <w:szCs w:val="21"/>
        </w:rPr>
        <w:t>2010</w:t>
      </w:r>
      <w:r>
        <w:rPr>
          <w:rFonts w:ascii="Arial" w:eastAsia="黑体" w:hAnsi="Arial" w:cs="Arial"/>
          <w:snapToGrid w:val="0"/>
          <w:szCs w:val="21"/>
        </w:rPr>
        <w:t>年修订的《公开发行证券公司信息披露编报规则第</w:t>
      </w:r>
      <w:r>
        <w:rPr>
          <w:rFonts w:ascii="Arial" w:eastAsia="黑体" w:hAnsi="Arial" w:cs="Arial"/>
          <w:snapToGrid w:val="0"/>
          <w:szCs w:val="21"/>
        </w:rPr>
        <w:t>9</w:t>
      </w:r>
      <w:r>
        <w:rPr>
          <w:rFonts w:ascii="Arial" w:eastAsia="黑体" w:hAnsi="Arial" w:cs="Arial"/>
          <w:snapToGrid w:val="0"/>
          <w:szCs w:val="21"/>
        </w:rPr>
        <w:t>号》所载之计算公式计算。</w:t>
      </w:r>
    </w:p>
    <w:p w:rsidR="00AD5BB5" w:rsidRDefault="00AD5BB5">
      <w:pPr>
        <w:overflowPunct w:val="0"/>
        <w:autoSpaceDE w:val="0"/>
        <w:autoSpaceDN w:val="0"/>
        <w:adjustRightInd w:val="0"/>
        <w:snapToGrid w:val="0"/>
        <w:textAlignment w:val="bottom"/>
        <w:rPr>
          <w:rFonts w:ascii="Arial" w:eastAsia="黑体" w:hAnsi="Arial" w:cs="Arial"/>
          <w:bCs/>
          <w:i/>
          <w:snapToGrid w:val="0"/>
          <w:szCs w:val="21"/>
        </w:rPr>
      </w:pPr>
    </w:p>
    <w:p w:rsidR="00AD5BB5" w:rsidRDefault="00AD5BB5">
      <w:pPr>
        <w:overflowPunct w:val="0"/>
        <w:autoSpaceDE w:val="0"/>
        <w:autoSpaceDN w:val="0"/>
        <w:adjustRightInd w:val="0"/>
        <w:snapToGrid w:val="0"/>
        <w:textAlignment w:val="bottom"/>
        <w:rPr>
          <w:rFonts w:ascii="Arial" w:eastAsia="黑体" w:hAnsi="Arial" w:cs="Arial"/>
          <w:bCs/>
          <w:i/>
          <w:snapToGrid w:val="0"/>
          <w:szCs w:val="21"/>
        </w:rPr>
      </w:pPr>
    </w:p>
    <w:p w:rsidR="00AD5BB5" w:rsidRDefault="00F87FF6">
      <w:pPr>
        <w:overflowPunct w:val="0"/>
        <w:autoSpaceDE w:val="0"/>
        <w:autoSpaceDN w:val="0"/>
        <w:ind w:leftChars="350" w:left="735"/>
        <w:jc w:val="right"/>
        <w:rPr>
          <w:rFonts w:ascii="Arial" w:eastAsia="黑体" w:hAnsi="Arial" w:cs="Arial"/>
        </w:rPr>
      </w:pPr>
      <w:r>
        <w:rPr>
          <w:rFonts w:ascii="Arial" w:eastAsia="黑体" w:hAnsi="Arial" w:cs="Arial"/>
        </w:rPr>
        <w:fldChar w:fldCharType="begin"/>
      </w:r>
      <w:r>
        <w:rPr>
          <w:rFonts w:ascii="Arial" w:eastAsia="黑体" w:hAnsi="Arial" w:cs="Arial"/>
        </w:rPr>
        <w:instrText xml:space="preserve"> DOCPROPERTY </w:instrText>
      </w:r>
      <w:r>
        <w:rPr>
          <w:rFonts w:ascii="Arial" w:eastAsia="黑体" w:hAnsi="Arial" w:cs="Arial"/>
        </w:rPr>
        <w:instrText>公司名称</w:instrText>
      </w:r>
      <w:r>
        <w:rPr>
          <w:rFonts w:ascii="Arial" w:eastAsia="黑体" w:hAnsi="Arial" w:cs="Arial"/>
        </w:rPr>
        <w:instrText xml:space="preserve"> </w:instrText>
      </w:r>
      <w:r>
        <w:rPr>
          <w:rFonts w:ascii="Arial" w:eastAsia="黑体" w:hAnsi="Arial" w:cs="Arial"/>
        </w:rPr>
        <w:fldChar w:fldCharType="separate"/>
      </w:r>
      <w:r>
        <w:rPr>
          <w:rFonts w:ascii="Arial" w:eastAsia="黑体" w:hAnsi="Arial" w:cs="Arial"/>
        </w:rPr>
        <w:t>厦门银行股份有限公司</w:t>
      </w:r>
      <w:r>
        <w:rPr>
          <w:rFonts w:ascii="Arial" w:eastAsia="黑体" w:hAnsi="Arial" w:cs="Arial"/>
        </w:rPr>
        <w:fldChar w:fldCharType="end"/>
      </w:r>
    </w:p>
    <w:p w:rsidR="00AD5BB5" w:rsidRDefault="00F87FF6">
      <w:pPr>
        <w:overflowPunct w:val="0"/>
        <w:autoSpaceDE w:val="0"/>
        <w:autoSpaceDN w:val="0"/>
        <w:adjustRightInd w:val="0"/>
        <w:snapToGrid w:val="0"/>
        <w:jc w:val="right"/>
        <w:textAlignment w:val="bottom"/>
        <w:rPr>
          <w:rFonts w:asciiTheme="minorEastAsia" w:eastAsiaTheme="minorEastAsia" w:hAnsiTheme="minorEastAsia" w:cs="MS Mincho"/>
          <w:kern w:val="0"/>
          <w:szCs w:val="21"/>
        </w:rPr>
      </w:pPr>
      <w:r>
        <w:rPr>
          <w:rFonts w:ascii="Arial" w:eastAsia="黑体" w:hAnsi="Arial" w:cs="Arial"/>
        </w:rPr>
        <w:fldChar w:fldCharType="begin"/>
      </w:r>
      <w:r>
        <w:rPr>
          <w:rFonts w:ascii="Arial" w:eastAsia="黑体" w:hAnsi="Arial" w:cs="Arial"/>
        </w:rPr>
        <w:instrText xml:space="preserve"> DOCPROPERTY </w:instrText>
      </w:r>
      <w:r>
        <w:rPr>
          <w:rFonts w:ascii="Arial" w:eastAsia="黑体" w:hAnsi="Arial" w:cs="Arial"/>
        </w:rPr>
        <w:instrText>报告日</w:instrText>
      </w:r>
      <w:r>
        <w:rPr>
          <w:rFonts w:ascii="Arial" w:eastAsia="黑体" w:hAnsi="Arial" w:cs="Arial"/>
        </w:rPr>
        <w:instrText xml:space="preserve"> </w:instrText>
      </w:r>
      <w:r>
        <w:rPr>
          <w:rFonts w:ascii="Arial" w:eastAsia="黑体" w:hAnsi="Arial" w:cs="Arial"/>
        </w:rPr>
        <w:fldChar w:fldCharType="separate"/>
      </w:r>
      <w:r>
        <w:rPr>
          <w:rFonts w:ascii="Arial" w:eastAsia="黑体" w:hAnsi="Arial" w:cs="Arial"/>
        </w:rPr>
        <w:t>2023</w:t>
      </w:r>
      <w:r>
        <w:rPr>
          <w:rFonts w:ascii="Arial" w:eastAsia="黑体" w:hAnsi="Arial" w:cs="Arial"/>
        </w:rPr>
        <w:t>年</w:t>
      </w:r>
      <w:r>
        <w:rPr>
          <w:rFonts w:ascii="Arial" w:eastAsia="黑体" w:hAnsi="Arial" w:cs="Arial"/>
        </w:rPr>
        <w:t>8</w:t>
      </w:r>
      <w:r>
        <w:rPr>
          <w:rFonts w:ascii="Arial" w:eastAsia="黑体" w:hAnsi="Arial" w:cs="Arial"/>
        </w:rPr>
        <w:t>月</w:t>
      </w:r>
      <w:r>
        <w:rPr>
          <w:rFonts w:ascii="Arial" w:eastAsia="黑体" w:hAnsi="Arial" w:cs="Arial"/>
        </w:rPr>
        <w:t>28</w:t>
      </w:r>
      <w:r>
        <w:rPr>
          <w:rFonts w:ascii="Arial" w:eastAsia="黑体" w:hAnsi="Arial" w:cs="Arial"/>
        </w:rPr>
        <w:t>日</w:t>
      </w:r>
      <w:r>
        <w:rPr>
          <w:rFonts w:ascii="Arial" w:eastAsia="黑体" w:hAnsi="Arial" w:cs="Arial"/>
        </w:rPr>
        <w:fldChar w:fldCharType="end"/>
      </w:r>
    </w:p>
    <w:sectPr w:rsidR="00AD5BB5">
      <w:headerReference w:type="default" r:id="rId92"/>
      <w:footerReference w:type="default" r:id="rId93"/>
      <w:headerReference w:type="first" r:id="rId94"/>
      <w:pgSz w:w="11907" w:h="16840"/>
      <w:pgMar w:top="1440" w:right="1797" w:bottom="1440" w:left="1797"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A68" w:rsidRDefault="001E7A68">
      <w:r>
        <w:separator/>
      </w:r>
    </w:p>
  </w:endnote>
  <w:endnote w:type="continuationSeparator" w:id="0">
    <w:p w:rsidR="001E7A68" w:rsidRDefault="001E7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0" w:usb1="00000000" w:usb2="0000000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仿宋">
    <w:panose1 w:val="02010609060101010101"/>
    <w:charset w:val="86"/>
    <w:family w:val="modern"/>
    <w:pitch w:val="fixed"/>
    <w:sig w:usb0="800002BF" w:usb1="38CF7CFA" w:usb2="00000016" w:usb3="00000000" w:csb0="00040001" w:csb1="00000000"/>
  </w:font>
  <w:font w:name="CIDFont+F5">
    <w:altName w:val="Yu Gothic"/>
    <w:charset w:val="80"/>
    <w:family w:val="auto"/>
    <w:pitch w:val="default"/>
    <w:sig w:usb0="00000000" w:usb1="0000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446678"/>
      <w:docPartObj>
        <w:docPartGallery w:val="Page Numbers (Bottom of Page)"/>
        <w:docPartUnique/>
      </w:docPartObj>
    </w:sdtPr>
    <w:sdtContent>
      <w:p w:rsidR="00F22BE0" w:rsidRDefault="00F22BE0">
        <w:pPr>
          <w:pStyle w:val="af1"/>
          <w:jc w:val="center"/>
        </w:pPr>
        <w:r>
          <w:fldChar w:fldCharType="begin"/>
        </w:r>
        <w:r>
          <w:instrText>PAGE   \* MERGEFORMAT</w:instrText>
        </w:r>
        <w:r>
          <w:fldChar w:fldCharType="separate"/>
        </w:r>
        <w:r w:rsidR="00BE071E" w:rsidRPr="00BE071E">
          <w:rPr>
            <w:noProof/>
            <w:lang w:val="zh-CN"/>
          </w:rPr>
          <w:t>78</w:t>
        </w:r>
        <w:r>
          <w:fldChar w:fldCharType="end"/>
        </w:r>
      </w:p>
    </w:sdtContent>
  </w:sdt>
  <w:p w:rsidR="00F22BE0" w:rsidRDefault="00F22BE0">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f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f1"/>
      <w:jc w:val="center"/>
      <w:rPr>
        <w:rFonts w:ascii="Arial" w:eastAsia="黑体" w:hAnsi="Arial" w:cs="Arial"/>
        <w:sz w:val="20"/>
      </w:rPr>
    </w:pPr>
    <w:r>
      <w:rPr>
        <w:rFonts w:ascii="Arial" w:eastAsia="黑体" w:hAnsi="Arial" w:cs="Arial"/>
        <w:sz w:val="20"/>
      </w:rPr>
      <w:fldChar w:fldCharType="begin"/>
    </w:r>
    <w:r>
      <w:rPr>
        <w:rFonts w:ascii="Arial" w:eastAsia="黑体" w:hAnsi="Arial" w:cs="Arial"/>
        <w:sz w:val="20"/>
      </w:rPr>
      <w:instrText xml:space="preserve"> PAGE  \* MERGEFORMAT </w:instrText>
    </w:r>
    <w:r>
      <w:rPr>
        <w:rFonts w:ascii="Arial" w:eastAsia="黑体" w:hAnsi="Arial" w:cs="Arial"/>
        <w:sz w:val="20"/>
      </w:rPr>
      <w:fldChar w:fldCharType="separate"/>
    </w:r>
    <w:r w:rsidR="00BE071E">
      <w:rPr>
        <w:rFonts w:ascii="Arial" w:eastAsia="黑体" w:hAnsi="Arial" w:cs="Arial"/>
        <w:noProof/>
        <w:sz w:val="20"/>
      </w:rPr>
      <w:t>12</w:t>
    </w:r>
    <w:r>
      <w:rPr>
        <w:rFonts w:ascii="Arial" w:eastAsia="黑体" w:hAnsi="Arial" w:cs="Arial"/>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f1"/>
      <w:jc w:val="center"/>
      <w:rPr>
        <w:rFonts w:ascii="Arial" w:eastAsia="黑体" w:hAnsi="Arial" w:cs="Arial"/>
        <w:sz w:val="20"/>
      </w:rPr>
    </w:pPr>
    <w:r>
      <w:rPr>
        <w:rFonts w:ascii="Arial" w:eastAsia="黑体" w:hAnsi="Arial" w:cs="Arial"/>
        <w:sz w:val="20"/>
      </w:rPr>
      <w:fldChar w:fldCharType="begin"/>
    </w:r>
    <w:r>
      <w:rPr>
        <w:rFonts w:ascii="Arial" w:eastAsia="黑体" w:hAnsi="Arial" w:cs="Arial"/>
        <w:sz w:val="20"/>
      </w:rPr>
      <w:instrText xml:space="preserve"> PAGE  \* MERGEFORMAT </w:instrText>
    </w:r>
    <w:r>
      <w:rPr>
        <w:rFonts w:ascii="Arial" w:eastAsia="黑体" w:hAnsi="Arial" w:cs="Arial"/>
        <w:sz w:val="20"/>
      </w:rPr>
      <w:fldChar w:fldCharType="separate"/>
    </w:r>
    <w:r w:rsidR="00BE071E">
      <w:rPr>
        <w:rFonts w:ascii="Arial" w:eastAsia="黑体" w:hAnsi="Arial" w:cs="Arial"/>
        <w:noProof/>
        <w:sz w:val="20"/>
      </w:rPr>
      <w:t>13</w:t>
    </w:r>
    <w:r>
      <w:rPr>
        <w:rFonts w:ascii="Arial" w:eastAsia="黑体" w:hAnsi="Arial" w:cs="Arial"/>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f1"/>
      <w:jc w:val="center"/>
      <w:rPr>
        <w:rFonts w:ascii="Arial" w:eastAsia="黑体" w:hAnsi="Arial" w:cs="Arial"/>
        <w:sz w:val="20"/>
      </w:rPr>
    </w:pPr>
    <w:r>
      <w:rPr>
        <w:rFonts w:ascii="Arial" w:eastAsia="黑体" w:hAnsi="Arial" w:cs="Arial"/>
        <w:sz w:val="20"/>
      </w:rPr>
      <w:fldChar w:fldCharType="begin"/>
    </w:r>
    <w:r>
      <w:rPr>
        <w:rFonts w:ascii="Arial" w:eastAsia="黑体" w:hAnsi="Arial" w:cs="Arial"/>
        <w:sz w:val="20"/>
      </w:rPr>
      <w:instrText xml:space="preserve"> PAGE  \* MERGEFORMAT </w:instrText>
    </w:r>
    <w:r>
      <w:rPr>
        <w:rFonts w:ascii="Arial" w:eastAsia="黑体" w:hAnsi="Arial" w:cs="Arial"/>
        <w:sz w:val="20"/>
      </w:rPr>
      <w:fldChar w:fldCharType="separate"/>
    </w:r>
    <w:r w:rsidR="00BE071E">
      <w:rPr>
        <w:rFonts w:ascii="Arial" w:eastAsia="黑体" w:hAnsi="Arial" w:cs="Arial"/>
        <w:noProof/>
        <w:sz w:val="20"/>
      </w:rPr>
      <w:t>113</w:t>
    </w:r>
    <w:r>
      <w:rPr>
        <w:rFonts w:ascii="Arial" w:eastAsia="黑体" w:hAnsi="Arial" w:cs="Arial"/>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f1"/>
      <w:rPr>
        <w:rFonts w:eastAsia="黑体"/>
      </w:rPr>
    </w:pPr>
  </w:p>
  <w:p w:rsidR="00F22BE0" w:rsidRDefault="00F22BE0">
    <w:pPr>
      <w:pStyle w:val="af1"/>
      <w:jc w:val="center"/>
      <w:rPr>
        <w:rFonts w:ascii="黑体" w:eastAsia="黑体" w:hAnsi="黑体"/>
        <w:sz w:val="20"/>
      </w:rPr>
    </w:pPr>
    <w:r>
      <w:rPr>
        <w:rFonts w:ascii="黑体" w:eastAsia="黑体" w:hAnsi="黑体"/>
        <w:sz w:val="20"/>
      </w:rPr>
      <w:fldChar w:fldCharType="begin"/>
    </w:r>
    <w:r>
      <w:rPr>
        <w:rFonts w:ascii="黑体" w:eastAsia="黑体" w:hAnsi="黑体"/>
        <w:sz w:val="20"/>
      </w:rPr>
      <w:instrText xml:space="preserve"> PAGE  \* MERGEFORMAT </w:instrText>
    </w:r>
    <w:r>
      <w:rPr>
        <w:rFonts w:ascii="黑体" w:eastAsia="黑体" w:hAnsi="黑体"/>
        <w:sz w:val="20"/>
      </w:rPr>
      <w:fldChar w:fldCharType="separate"/>
    </w:r>
    <w:r w:rsidR="00BE071E">
      <w:rPr>
        <w:rFonts w:ascii="黑体" w:eastAsia="黑体" w:hAnsi="黑体"/>
        <w:noProof/>
        <w:sz w:val="20"/>
      </w:rPr>
      <w:t>1</w:t>
    </w:r>
    <w:r>
      <w:rPr>
        <w:rFonts w:ascii="黑体" w:eastAsia="黑体" w:hAnsi="黑体"/>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f1"/>
      <w:jc w:val="center"/>
      <w:rPr>
        <w:rFonts w:ascii="黑体" w:eastAsia="黑体" w:hAnsi="黑体"/>
        <w:sz w:val="20"/>
      </w:rPr>
    </w:pPr>
    <w:r>
      <w:rPr>
        <w:rFonts w:ascii="黑体" w:eastAsia="黑体" w:hAnsi="黑体"/>
        <w:sz w:val="20"/>
      </w:rPr>
      <w:fldChar w:fldCharType="begin"/>
    </w:r>
    <w:r>
      <w:rPr>
        <w:rFonts w:ascii="黑体" w:eastAsia="黑体" w:hAnsi="黑体"/>
        <w:sz w:val="20"/>
      </w:rPr>
      <w:instrText xml:space="preserve"> PAGE  \* MERGEFORMAT </w:instrText>
    </w:r>
    <w:r>
      <w:rPr>
        <w:rFonts w:ascii="黑体" w:eastAsia="黑体" w:hAnsi="黑体"/>
        <w:sz w:val="20"/>
      </w:rPr>
      <w:fldChar w:fldCharType="separate"/>
    </w:r>
    <w:r>
      <w:rPr>
        <w:rFonts w:ascii="黑体" w:eastAsia="黑体" w:hAnsi="黑体"/>
        <w:sz w:val="20"/>
      </w:rPr>
      <w:t>2</w:t>
    </w:r>
    <w:r>
      <w:rPr>
        <w:rFonts w:ascii="黑体" w:eastAsia="黑体" w:hAnsi="黑体"/>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029475"/>
    </w:sdtPr>
    <w:sdtContent>
      <w:p w:rsidR="00F22BE0" w:rsidRDefault="00F22BE0">
        <w:pPr>
          <w:pStyle w:val="af1"/>
          <w:jc w:val="center"/>
        </w:pPr>
        <w:r>
          <w:fldChar w:fldCharType="begin"/>
        </w:r>
        <w:r>
          <w:instrText>PAGE   \* MERGEFORMAT</w:instrText>
        </w:r>
        <w:r>
          <w:fldChar w:fldCharType="separate"/>
        </w:r>
        <w:r w:rsidR="00BE071E" w:rsidRPr="00BE071E">
          <w:rPr>
            <w:noProof/>
            <w:lang w:val="zh-CN"/>
          </w:rPr>
          <w:t>1</w:t>
        </w:r>
        <w:r>
          <w:fldChar w:fldCharType="end"/>
        </w:r>
      </w:p>
    </w:sdtContent>
  </w:sdt>
  <w:p w:rsidR="00F22BE0" w:rsidRDefault="00F22BE0">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A68" w:rsidRDefault="001E7A68">
      <w:r>
        <w:separator/>
      </w:r>
    </w:p>
  </w:footnote>
  <w:footnote w:type="continuationSeparator" w:id="0">
    <w:p w:rsidR="001E7A68" w:rsidRDefault="001E7A68">
      <w:r>
        <w:continuationSeparator/>
      </w:r>
    </w:p>
  </w:footnote>
  <w:footnote w:id="1">
    <w:p w:rsidR="00F22BE0" w:rsidRDefault="00F22BE0">
      <w:pPr>
        <w:pStyle w:val="af3"/>
        <w:rPr>
          <w:szCs w:val="18"/>
        </w:rPr>
      </w:pPr>
      <w:r>
        <w:rPr>
          <w:rStyle w:val="aff0"/>
          <w:szCs w:val="18"/>
        </w:rPr>
        <w:footnoteRef/>
      </w:r>
      <w:r>
        <w:rPr>
          <w:szCs w:val="18"/>
        </w:rPr>
        <w:t xml:space="preserve"> </w:t>
      </w:r>
      <w:r>
        <w:rPr>
          <w:rFonts w:hint="eastAsia"/>
          <w:szCs w:val="18"/>
        </w:rPr>
        <w:t>由于富邦金融控股股份有限公司关联方的预计额度间不可共用，故单独列示。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f2"/>
    </w:pPr>
    <w:r>
      <w:t>厦门银行股份有限公司</w:t>
    </w:r>
    <w:r>
      <w:rPr>
        <w:rFonts w:hint="eastAsia"/>
      </w:rPr>
      <w:t>2</w:t>
    </w:r>
    <w:r>
      <w:t>023</w:t>
    </w:r>
    <w:r>
      <w:t>年半年度报告</w:t>
    </w:r>
  </w:p>
  <w:p w:rsidR="00F22BE0" w:rsidRDefault="00F22BE0">
    <w:pPr>
      <w:pStyle w:val="26"/>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19"/>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tabs>
        <w:tab w:val="right" w:pos="12616"/>
      </w:tabs>
      <w:overflowPunct w:val="0"/>
      <w:autoSpaceDE w:val="0"/>
      <w:autoSpaceDN w:val="0"/>
      <w:jc w:val="center"/>
      <w:rPr>
        <w:rFonts w:ascii="Arial" w:eastAsia="黑体" w:hAnsi="Arial" w:cs="Arial"/>
        <w:b/>
        <w:szCs w:val="21"/>
      </w:rPr>
    </w:pPr>
  </w:p>
  <w:p w:rsidR="00F22BE0" w:rsidRDefault="00F22BE0">
    <w:pPr>
      <w:tabs>
        <w:tab w:val="right" w:pos="12616"/>
      </w:tabs>
      <w:overflowPunct w:val="0"/>
      <w:autoSpaceDE w:val="0"/>
      <w:autoSpaceDN w:val="0"/>
      <w:jc w:val="center"/>
      <w:rPr>
        <w:rFonts w:ascii="Arial" w:eastAsia="黑体" w:hAnsi="Arial" w:cs="Arial"/>
        <w:b/>
        <w:szCs w:val="21"/>
      </w:rPr>
    </w:pPr>
  </w:p>
  <w:p w:rsidR="00F22BE0" w:rsidRDefault="00F22BE0">
    <w:pPr>
      <w:tabs>
        <w:tab w:val="right" w:pos="12616"/>
      </w:tabs>
      <w:overflowPunct w:val="0"/>
      <w:autoSpaceDE w:val="0"/>
      <w:autoSpaceDN w:val="0"/>
      <w:rPr>
        <w:rFonts w:ascii="黑体" w:eastAsia="黑体" w:hAnsi="黑体" w:cs="Arial"/>
        <w:b/>
        <w:szCs w:val="21"/>
      </w:rPr>
    </w:pPr>
    <w:r>
      <w:rPr>
        <w:rFonts w:ascii="黑体" w:eastAsia="黑体" w:hAnsi="黑体" w:cs="Arial"/>
        <w:b/>
        <w:szCs w:val="21"/>
      </w:rPr>
      <w:fldChar w:fldCharType="begin"/>
    </w:r>
    <w:r>
      <w:rPr>
        <w:rFonts w:ascii="黑体" w:eastAsia="黑体" w:hAnsi="黑体" w:cs="Arial"/>
        <w:b/>
        <w:szCs w:val="21"/>
      </w:rPr>
      <w:instrText xml:space="preserve"> DOCPROPERTY 公司名称 </w:instrText>
    </w:r>
    <w:r>
      <w:rPr>
        <w:rFonts w:ascii="黑体" w:eastAsia="黑体" w:hAnsi="黑体" w:cs="Arial"/>
        <w:b/>
        <w:szCs w:val="21"/>
      </w:rPr>
      <w:fldChar w:fldCharType="separate"/>
    </w:r>
    <w:r>
      <w:rPr>
        <w:rFonts w:ascii="黑体" w:eastAsia="黑体" w:hAnsi="黑体" w:cs="Arial"/>
        <w:b/>
        <w:szCs w:val="21"/>
      </w:rPr>
      <w:t>厦门银行股份有限公司</w:t>
    </w:r>
    <w:r>
      <w:rPr>
        <w:rFonts w:ascii="黑体" w:eastAsia="黑体" w:hAnsi="黑体" w:cs="Arial"/>
        <w:b/>
        <w:szCs w:val="21"/>
      </w:rPr>
      <w:fldChar w:fldCharType="end"/>
    </w:r>
  </w:p>
  <w:p w:rsidR="00F22BE0" w:rsidRDefault="00F22BE0">
    <w:pPr>
      <w:tabs>
        <w:tab w:val="right" w:pos="12616"/>
      </w:tabs>
      <w:overflowPunct w:val="0"/>
      <w:autoSpaceDE w:val="0"/>
      <w:autoSpaceDN w:val="0"/>
      <w:rPr>
        <w:rFonts w:ascii="黑体" w:eastAsia="黑体" w:hAnsi="黑体" w:cs="Arial"/>
        <w:b/>
        <w:szCs w:val="21"/>
      </w:rPr>
    </w:pPr>
    <w:r>
      <w:rPr>
        <w:rFonts w:ascii="黑体" w:eastAsia="黑体" w:hAnsi="黑体" w:cs="Arial" w:hint="eastAsia"/>
        <w:b/>
        <w:szCs w:val="21"/>
      </w:rPr>
      <w:t>合并股东权益变动表</w:t>
    </w:r>
  </w:p>
  <w:p w:rsidR="00F22BE0" w:rsidRDefault="00F22BE0">
    <w:pPr>
      <w:tabs>
        <w:tab w:val="right" w:pos="13242"/>
      </w:tabs>
      <w:overflowPunct w:val="0"/>
      <w:autoSpaceDE w:val="0"/>
      <w:autoSpaceDN w:val="0"/>
      <w:rPr>
        <w:rFonts w:ascii="Arial" w:eastAsia="黑体" w:hAnsi="Arial" w:cs="Arial"/>
        <w:b/>
        <w:szCs w:val="21"/>
        <w:u w:val="single"/>
      </w:rPr>
    </w:pPr>
    <w:r>
      <w:rPr>
        <w:rFonts w:ascii="Arial" w:eastAsia="黑体" w:hAnsi="Arial" w:cs="Arial"/>
        <w:b/>
        <w:szCs w:val="21"/>
        <w:u w:val="single"/>
      </w:rPr>
      <w:t>截至</w:t>
    </w:r>
    <w:r>
      <w:rPr>
        <w:rFonts w:ascii="Arial" w:eastAsia="黑体" w:hAnsi="Arial" w:cs="Arial"/>
        <w:b/>
        <w:szCs w:val="21"/>
        <w:u w:val="single"/>
      </w:rPr>
      <w:t>2023</w:t>
    </w:r>
    <w:r>
      <w:rPr>
        <w:rFonts w:ascii="Arial" w:eastAsia="黑体" w:hAnsi="Arial" w:cs="Arial"/>
        <w:b/>
        <w:szCs w:val="21"/>
        <w:u w:val="single"/>
      </w:rPr>
      <w:t>年</w:t>
    </w:r>
    <w:r>
      <w:rPr>
        <w:rFonts w:ascii="Arial" w:eastAsia="黑体" w:hAnsi="Arial" w:cs="Arial"/>
        <w:b/>
        <w:szCs w:val="21"/>
        <w:u w:val="single"/>
      </w:rPr>
      <w:t>6</w:t>
    </w:r>
    <w:r>
      <w:rPr>
        <w:rFonts w:ascii="Arial" w:eastAsia="黑体" w:hAnsi="Arial" w:cs="Arial"/>
        <w:b/>
        <w:szCs w:val="21"/>
        <w:u w:val="single"/>
      </w:rPr>
      <w:t>月</w:t>
    </w:r>
    <w:r>
      <w:rPr>
        <w:rFonts w:ascii="Arial" w:eastAsia="黑体" w:hAnsi="Arial" w:cs="Arial"/>
        <w:b/>
        <w:szCs w:val="21"/>
        <w:u w:val="single"/>
      </w:rPr>
      <w:t>30</w:t>
    </w:r>
    <w:r>
      <w:rPr>
        <w:rFonts w:ascii="Arial" w:eastAsia="黑体" w:hAnsi="Arial" w:cs="Arial"/>
        <w:b/>
        <w:szCs w:val="21"/>
        <w:u w:val="single"/>
      </w:rPr>
      <w:t>日</w:t>
    </w:r>
    <w:proofErr w:type="gramStart"/>
    <w:r>
      <w:rPr>
        <w:rFonts w:ascii="Arial" w:eastAsia="黑体" w:hAnsi="Arial" w:cs="Arial"/>
        <w:b/>
        <w:szCs w:val="21"/>
        <w:u w:val="single"/>
      </w:rPr>
      <w:t>止</w:t>
    </w:r>
    <w:proofErr w:type="gramEnd"/>
    <w:r>
      <w:rPr>
        <w:rFonts w:ascii="Arial" w:eastAsia="黑体" w:hAnsi="Arial" w:cs="Arial"/>
        <w:b/>
        <w:szCs w:val="21"/>
        <w:u w:val="single"/>
      </w:rPr>
      <w:t>6</w:t>
    </w:r>
    <w:r>
      <w:rPr>
        <w:rFonts w:ascii="Arial" w:eastAsia="黑体" w:hAnsi="Arial" w:cs="Arial"/>
        <w:b/>
        <w:szCs w:val="21"/>
        <w:u w:val="single"/>
      </w:rPr>
      <w:t>个月</w:t>
    </w:r>
    <w:proofErr w:type="gramStart"/>
    <w:r>
      <w:rPr>
        <w:rFonts w:ascii="Arial" w:eastAsia="黑体" w:hAnsi="Arial" w:cs="Arial"/>
        <w:b/>
        <w:szCs w:val="21"/>
        <w:u w:val="single"/>
      </w:rPr>
      <w:t>期间</w:t>
    </w:r>
    <w:r>
      <w:rPr>
        <w:rFonts w:ascii="Arial" w:eastAsia="黑体" w:hAnsi="Arial" w:cs="Arial"/>
        <w:b/>
        <w:szCs w:val="21"/>
        <w:u w:val="single"/>
      </w:rPr>
      <w:tab/>
    </w:r>
    <w:proofErr w:type="gramEnd"/>
    <w:r>
      <w:rPr>
        <w:rFonts w:ascii="Arial" w:eastAsia="黑体" w:hAnsi="Arial" w:cs="Arial"/>
        <w:b/>
        <w:szCs w:val="21"/>
        <w:u w:val="single"/>
      </w:rPr>
      <w:t>人民币元</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19"/>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tabs>
        <w:tab w:val="right" w:pos="12616"/>
      </w:tabs>
      <w:overflowPunct w:val="0"/>
      <w:autoSpaceDE w:val="0"/>
      <w:autoSpaceDN w:val="0"/>
      <w:jc w:val="center"/>
      <w:rPr>
        <w:rFonts w:ascii="Arial" w:eastAsia="黑体" w:hAnsi="Arial" w:cs="Arial"/>
        <w:b/>
        <w:szCs w:val="21"/>
      </w:rPr>
    </w:pPr>
  </w:p>
  <w:p w:rsidR="00F22BE0" w:rsidRDefault="00F22BE0">
    <w:pPr>
      <w:tabs>
        <w:tab w:val="right" w:pos="12616"/>
      </w:tabs>
      <w:overflowPunct w:val="0"/>
      <w:autoSpaceDE w:val="0"/>
      <w:autoSpaceDN w:val="0"/>
      <w:jc w:val="center"/>
      <w:rPr>
        <w:rFonts w:ascii="Arial" w:eastAsia="黑体" w:hAnsi="Arial" w:cs="Arial"/>
        <w:b/>
        <w:szCs w:val="21"/>
      </w:rPr>
    </w:pPr>
  </w:p>
  <w:p w:rsidR="00F22BE0" w:rsidRDefault="00F22BE0">
    <w:pPr>
      <w:tabs>
        <w:tab w:val="right" w:pos="12616"/>
      </w:tabs>
      <w:overflowPunct w:val="0"/>
      <w:autoSpaceDE w:val="0"/>
      <w:autoSpaceDN w:val="0"/>
      <w:rPr>
        <w:rFonts w:ascii="黑体" w:eastAsia="黑体" w:hAnsi="黑体" w:cs="Arial"/>
        <w:b/>
        <w:szCs w:val="21"/>
      </w:rPr>
    </w:pPr>
    <w:r>
      <w:rPr>
        <w:rFonts w:ascii="黑体" w:eastAsia="黑体" w:hAnsi="黑体" w:cs="Arial"/>
        <w:b/>
        <w:szCs w:val="21"/>
      </w:rPr>
      <w:fldChar w:fldCharType="begin"/>
    </w:r>
    <w:r>
      <w:rPr>
        <w:rFonts w:ascii="黑体" w:eastAsia="黑体" w:hAnsi="黑体" w:cs="Arial"/>
        <w:b/>
        <w:szCs w:val="21"/>
      </w:rPr>
      <w:instrText xml:space="preserve"> DOCPROPERTY 公司名称 </w:instrText>
    </w:r>
    <w:r>
      <w:rPr>
        <w:rFonts w:ascii="黑体" w:eastAsia="黑体" w:hAnsi="黑体" w:cs="Arial"/>
        <w:b/>
        <w:szCs w:val="21"/>
      </w:rPr>
      <w:fldChar w:fldCharType="separate"/>
    </w:r>
    <w:r>
      <w:rPr>
        <w:rFonts w:ascii="黑体" w:eastAsia="黑体" w:hAnsi="黑体" w:cs="Arial"/>
        <w:b/>
        <w:szCs w:val="21"/>
      </w:rPr>
      <w:t>厦门银行股份有限公司</w:t>
    </w:r>
    <w:r>
      <w:rPr>
        <w:rFonts w:ascii="黑体" w:eastAsia="黑体" w:hAnsi="黑体" w:cs="Arial"/>
        <w:b/>
        <w:szCs w:val="21"/>
      </w:rPr>
      <w:fldChar w:fldCharType="end"/>
    </w:r>
  </w:p>
  <w:p w:rsidR="00F22BE0" w:rsidRDefault="00F22BE0">
    <w:pPr>
      <w:tabs>
        <w:tab w:val="right" w:pos="12616"/>
      </w:tabs>
      <w:overflowPunct w:val="0"/>
      <w:autoSpaceDE w:val="0"/>
      <w:autoSpaceDN w:val="0"/>
      <w:rPr>
        <w:rFonts w:ascii="黑体" w:eastAsia="黑体" w:hAnsi="黑体" w:cs="Arial"/>
        <w:b/>
        <w:szCs w:val="21"/>
      </w:rPr>
    </w:pPr>
    <w:r>
      <w:rPr>
        <w:rFonts w:ascii="黑体" w:eastAsia="黑体" w:hAnsi="黑体" w:cs="Arial" w:hint="eastAsia"/>
        <w:b/>
        <w:szCs w:val="21"/>
      </w:rPr>
      <w:t>合并股东权益变动表（续）</w:t>
    </w:r>
  </w:p>
  <w:p w:rsidR="00F22BE0" w:rsidRDefault="00F22BE0">
    <w:pPr>
      <w:tabs>
        <w:tab w:val="right" w:pos="13242"/>
      </w:tabs>
      <w:overflowPunct w:val="0"/>
      <w:autoSpaceDE w:val="0"/>
      <w:autoSpaceDN w:val="0"/>
      <w:rPr>
        <w:rFonts w:ascii="Arial" w:eastAsia="黑体" w:hAnsi="Arial" w:cs="Arial"/>
        <w:b/>
        <w:szCs w:val="21"/>
        <w:u w:val="single"/>
      </w:rPr>
    </w:pPr>
    <w:r>
      <w:rPr>
        <w:rFonts w:ascii="Arial" w:eastAsia="黑体" w:hAnsi="Arial" w:cs="Arial"/>
        <w:b/>
        <w:szCs w:val="21"/>
        <w:u w:val="single"/>
      </w:rPr>
      <w:t>截至</w:t>
    </w:r>
    <w:r>
      <w:rPr>
        <w:rFonts w:ascii="Arial" w:eastAsia="黑体" w:hAnsi="Arial" w:cs="Arial"/>
        <w:b/>
        <w:szCs w:val="21"/>
        <w:u w:val="single"/>
      </w:rPr>
      <w:t>2023</w:t>
    </w:r>
    <w:r>
      <w:rPr>
        <w:rFonts w:ascii="Arial" w:eastAsia="黑体" w:hAnsi="Arial" w:cs="Arial"/>
        <w:b/>
        <w:szCs w:val="21"/>
        <w:u w:val="single"/>
      </w:rPr>
      <w:t>年</w:t>
    </w:r>
    <w:r>
      <w:rPr>
        <w:rFonts w:ascii="Arial" w:eastAsia="黑体" w:hAnsi="Arial" w:cs="Arial"/>
        <w:b/>
        <w:szCs w:val="21"/>
        <w:u w:val="single"/>
      </w:rPr>
      <w:t>6</w:t>
    </w:r>
    <w:r>
      <w:rPr>
        <w:rFonts w:ascii="Arial" w:eastAsia="黑体" w:hAnsi="Arial" w:cs="Arial"/>
        <w:b/>
        <w:szCs w:val="21"/>
        <w:u w:val="single"/>
      </w:rPr>
      <w:t>月</w:t>
    </w:r>
    <w:r>
      <w:rPr>
        <w:rFonts w:ascii="Arial" w:eastAsia="黑体" w:hAnsi="Arial" w:cs="Arial"/>
        <w:b/>
        <w:szCs w:val="21"/>
        <w:u w:val="single"/>
      </w:rPr>
      <w:t>30</w:t>
    </w:r>
    <w:r>
      <w:rPr>
        <w:rFonts w:ascii="Arial" w:eastAsia="黑体" w:hAnsi="Arial" w:cs="Arial"/>
        <w:b/>
        <w:szCs w:val="21"/>
        <w:u w:val="single"/>
      </w:rPr>
      <w:t>日</w:t>
    </w:r>
    <w:proofErr w:type="gramStart"/>
    <w:r>
      <w:rPr>
        <w:rFonts w:ascii="Arial" w:eastAsia="黑体" w:hAnsi="Arial" w:cs="Arial"/>
        <w:b/>
        <w:szCs w:val="21"/>
        <w:u w:val="single"/>
      </w:rPr>
      <w:t>止</w:t>
    </w:r>
    <w:proofErr w:type="gramEnd"/>
    <w:r>
      <w:rPr>
        <w:rFonts w:ascii="Arial" w:eastAsia="黑体" w:hAnsi="Arial" w:cs="Arial"/>
        <w:b/>
        <w:szCs w:val="21"/>
        <w:u w:val="single"/>
      </w:rPr>
      <w:t>6</w:t>
    </w:r>
    <w:r>
      <w:rPr>
        <w:rFonts w:ascii="Arial" w:eastAsia="黑体" w:hAnsi="Arial" w:cs="Arial"/>
        <w:b/>
        <w:szCs w:val="21"/>
        <w:u w:val="single"/>
      </w:rPr>
      <w:t>个月</w:t>
    </w:r>
    <w:proofErr w:type="gramStart"/>
    <w:r>
      <w:rPr>
        <w:rFonts w:ascii="Arial" w:eastAsia="黑体" w:hAnsi="Arial" w:cs="Arial"/>
        <w:b/>
        <w:szCs w:val="21"/>
        <w:u w:val="single"/>
      </w:rPr>
      <w:t>期间</w:t>
    </w:r>
    <w:r>
      <w:rPr>
        <w:rFonts w:ascii="Arial" w:eastAsia="黑体" w:hAnsi="Arial" w:cs="Arial"/>
        <w:b/>
        <w:szCs w:val="21"/>
        <w:u w:val="single"/>
      </w:rPr>
      <w:tab/>
    </w:r>
    <w:proofErr w:type="gramEnd"/>
    <w:r>
      <w:rPr>
        <w:rFonts w:ascii="Arial" w:eastAsia="黑体" w:hAnsi="Arial" w:cs="Arial"/>
        <w:b/>
        <w:szCs w:val="21"/>
        <w:u w:val="single"/>
      </w:rPr>
      <w:t>人民币元</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1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overflowPunct w:val="0"/>
      <w:autoSpaceDE w:val="0"/>
      <w:autoSpaceDN w:val="0"/>
      <w:adjustRightInd w:val="0"/>
      <w:jc w:val="center"/>
      <w:outlineLvl w:val="0"/>
      <w:rPr>
        <w:rFonts w:ascii="Arial" w:eastAsia="黑体" w:hAnsi="Arial" w:cs="Arial"/>
        <w:b/>
        <w:szCs w:val="21"/>
      </w:rPr>
    </w:pPr>
  </w:p>
  <w:p w:rsidR="00F22BE0" w:rsidRDefault="00F22BE0">
    <w:pPr>
      <w:overflowPunct w:val="0"/>
      <w:autoSpaceDE w:val="0"/>
      <w:autoSpaceDN w:val="0"/>
      <w:adjustRightInd w:val="0"/>
      <w:jc w:val="center"/>
      <w:outlineLvl w:val="0"/>
      <w:rPr>
        <w:rFonts w:ascii="Arial" w:eastAsia="黑体" w:hAnsi="Arial" w:cs="Arial"/>
        <w:b/>
        <w:szCs w:val="21"/>
      </w:rPr>
    </w:pPr>
  </w:p>
  <w:p w:rsidR="00F22BE0" w:rsidRDefault="00F22BE0">
    <w:pPr>
      <w:overflowPunct w:val="0"/>
      <w:autoSpaceDE w:val="0"/>
      <w:autoSpaceDN w:val="0"/>
      <w:adjustRightInd w:val="0"/>
      <w:outlineLvl w:val="0"/>
      <w:rPr>
        <w:rFonts w:ascii="黑体" w:eastAsia="黑体" w:hAnsi="黑体" w:cs="Arial"/>
        <w:b/>
        <w:szCs w:val="21"/>
      </w:rPr>
    </w:pPr>
    <w:r>
      <w:rPr>
        <w:rFonts w:ascii="黑体" w:eastAsia="黑体" w:hAnsi="黑体" w:cs="Arial"/>
        <w:b/>
        <w:szCs w:val="21"/>
      </w:rPr>
      <w:fldChar w:fldCharType="begin"/>
    </w:r>
    <w:r>
      <w:rPr>
        <w:rFonts w:ascii="黑体" w:eastAsia="黑体" w:hAnsi="黑体" w:cs="Arial"/>
        <w:b/>
        <w:szCs w:val="21"/>
      </w:rPr>
      <w:instrText xml:space="preserve"> DOCPROPERTY 公司名称 </w:instrText>
    </w:r>
    <w:r>
      <w:rPr>
        <w:rFonts w:ascii="黑体" w:eastAsia="黑体" w:hAnsi="黑体" w:cs="Arial"/>
        <w:b/>
        <w:szCs w:val="21"/>
      </w:rPr>
      <w:fldChar w:fldCharType="separate"/>
    </w:r>
    <w:r>
      <w:rPr>
        <w:rFonts w:ascii="黑体" w:eastAsia="黑体" w:hAnsi="黑体" w:cs="Arial"/>
        <w:b/>
        <w:szCs w:val="21"/>
      </w:rPr>
      <w:t>厦门银行股份有限公司</w:t>
    </w:r>
    <w:r>
      <w:rPr>
        <w:rFonts w:ascii="黑体" w:eastAsia="黑体" w:hAnsi="黑体" w:cs="Arial"/>
        <w:b/>
        <w:szCs w:val="21"/>
      </w:rPr>
      <w:fldChar w:fldCharType="end"/>
    </w:r>
  </w:p>
  <w:p w:rsidR="00F22BE0" w:rsidRDefault="00F22BE0">
    <w:pPr>
      <w:overflowPunct w:val="0"/>
      <w:autoSpaceDE w:val="0"/>
      <w:autoSpaceDN w:val="0"/>
      <w:adjustRightInd w:val="0"/>
      <w:outlineLvl w:val="0"/>
      <w:rPr>
        <w:rFonts w:ascii="黑体" w:eastAsia="黑体" w:hAnsi="黑体" w:cs="Arial"/>
        <w:b/>
        <w:szCs w:val="21"/>
      </w:rPr>
    </w:pPr>
    <w:r>
      <w:rPr>
        <w:rFonts w:ascii="黑体" w:eastAsia="黑体" w:hAnsi="黑体" w:cs="Arial" w:hint="eastAsia"/>
        <w:b/>
        <w:szCs w:val="21"/>
      </w:rPr>
      <w:t>合并现金流量表</w:t>
    </w:r>
    <w:r>
      <w:rPr>
        <w:rFonts w:ascii="Arial" w:eastAsia="黑体" w:hAnsi="Arial" w:cs="Arial" w:hint="eastAsia"/>
        <w:b/>
        <w:szCs w:val="21"/>
      </w:rPr>
      <w:t>（续）</w:t>
    </w:r>
  </w:p>
  <w:p w:rsidR="00F22BE0" w:rsidRDefault="00F22BE0">
    <w:pPr>
      <w:tabs>
        <w:tab w:val="right" w:pos="8313"/>
      </w:tabs>
      <w:overflowPunct w:val="0"/>
      <w:autoSpaceDE w:val="0"/>
      <w:autoSpaceDN w:val="0"/>
      <w:adjustRightInd w:val="0"/>
      <w:rPr>
        <w:rFonts w:ascii="Arial" w:eastAsia="黑体" w:hAnsi="Arial" w:cs="Arial"/>
        <w:b/>
        <w:szCs w:val="21"/>
        <w:u w:val="single"/>
      </w:rPr>
    </w:pPr>
    <w:r>
      <w:rPr>
        <w:rFonts w:ascii="Arial" w:eastAsia="黑体" w:hAnsi="Arial" w:cs="Arial"/>
        <w:b/>
        <w:szCs w:val="21"/>
        <w:u w:val="single"/>
      </w:rPr>
      <w:t>截至</w:t>
    </w:r>
    <w:r>
      <w:rPr>
        <w:rFonts w:ascii="Arial" w:eastAsia="黑体" w:hAnsi="Arial" w:cs="Arial"/>
        <w:b/>
        <w:szCs w:val="21"/>
        <w:u w:val="single"/>
      </w:rPr>
      <w:t>2023</w:t>
    </w:r>
    <w:r>
      <w:rPr>
        <w:rFonts w:ascii="Arial" w:eastAsia="黑体" w:hAnsi="Arial" w:cs="Arial"/>
        <w:b/>
        <w:szCs w:val="21"/>
        <w:u w:val="single"/>
      </w:rPr>
      <w:t>年</w:t>
    </w:r>
    <w:r>
      <w:rPr>
        <w:rFonts w:ascii="Arial" w:eastAsia="黑体" w:hAnsi="Arial" w:cs="Arial"/>
        <w:b/>
        <w:szCs w:val="21"/>
        <w:u w:val="single"/>
      </w:rPr>
      <w:t>6</w:t>
    </w:r>
    <w:r>
      <w:rPr>
        <w:rFonts w:ascii="Arial" w:eastAsia="黑体" w:hAnsi="Arial" w:cs="Arial"/>
        <w:b/>
        <w:szCs w:val="21"/>
        <w:u w:val="single"/>
      </w:rPr>
      <w:t>月</w:t>
    </w:r>
    <w:r>
      <w:rPr>
        <w:rFonts w:ascii="Arial" w:eastAsia="黑体" w:hAnsi="Arial" w:cs="Arial"/>
        <w:b/>
        <w:szCs w:val="21"/>
        <w:u w:val="single"/>
      </w:rPr>
      <w:t>30</w:t>
    </w:r>
    <w:r>
      <w:rPr>
        <w:rFonts w:ascii="Arial" w:eastAsia="黑体" w:hAnsi="Arial" w:cs="Arial"/>
        <w:b/>
        <w:szCs w:val="21"/>
        <w:u w:val="single"/>
      </w:rPr>
      <w:t>日</w:t>
    </w:r>
    <w:proofErr w:type="gramStart"/>
    <w:r>
      <w:rPr>
        <w:rFonts w:ascii="Arial" w:eastAsia="黑体" w:hAnsi="Arial" w:cs="Arial"/>
        <w:b/>
        <w:szCs w:val="21"/>
        <w:u w:val="single"/>
      </w:rPr>
      <w:t>止</w:t>
    </w:r>
    <w:proofErr w:type="gramEnd"/>
    <w:r>
      <w:rPr>
        <w:rFonts w:ascii="Arial" w:eastAsia="黑体" w:hAnsi="Arial" w:cs="Arial"/>
        <w:b/>
        <w:szCs w:val="21"/>
        <w:u w:val="single"/>
      </w:rPr>
      <w:t>6</w:t>
    </w:r>
    <w:r>
      <w:rPr>
        <w:rFonts w:ascii="Arial" w:eastAsia="黑体" w:hAnsi="Arial" w:cs="Arial"/>
        <w:b/>
        <w:szCs w:val="21"/>
        <w:u w:val="single"/>
      </w:rPr>
      <w:t>个月</w:t>
    </w:r>
    <w:proofErr w:type="gramStart"/>
    <w:r>
      <w:rPr>
        <w:rFonts w:ascii="Arial" w:eastAsia="黑体" w:hAnsi="Arial" w:cs="Arial"/>
        <w:b/>
        <w:szCs w:val="21"/>
        <w:u w:val="single"/>
      </w:rPr>
      <w:t>期间</w:t>
    </w:r>
    <w:r>
      <w:rPr>
        <w:rFonts w:ascii="Arial" w:eastAsia="黑体" w:hAnsi="Arial" w:cs="Arial"/>
        <w:b/>
        <w:szCs w:val="21"/>
        <w:u w:val="single"/>
      </w:rPr>
      <w:tab/>
    </w:r>
    <w:proofErr w:type="gramEnd"/>
    <w:r>
      <w:rPr>
        <w:rFonts w:ascii="Arial" w:eastAsia="黑体" w:hAnsi="Arial" w:cs="Arial"/>
        <w:b/>
        <w:szCs w:val="21"/>
        <w:u w:val="single"/>
      </w:rPr>
      <w:t>人民币元</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19"/>
    </w:pPr>
  </w:p>
  <w:p w:rsidR="00F22BE0" w:rsidRDefault="00F22BE0">
    <w:pPr>
      <w:pStyle w:val="19"/>
    </w:pPr>
  </w:p>
  <w:p w:rsidR="00F22BE0" w:rsidRDefault="00F22BE0">
    <w:pPr>
      <w:overflowPunct w:val="0"/>
      <w:autoSpaceDE w:val="0"/>
      <w:autoSpaceDN w:val="0"/>
      <w:adjustRightInd w:val="0"/>
      <w:outlineLvl w:val="0"/>
      <w:rPr>
        <w:rFonts w:ascii="黑体" w:eastAsia="黑体" w:hAnsi="黑体" w:cs="Arial"/>
        <w:b/>
        <w:szCs w:val="21"/>
      </w:rPr>
    </w:pPr>
    <w:r>
      <w:rPr>
        <w:rFonts w:ascii="黑体" w:eastAsia="黑体" w:hAnsi="黑体" w:cs="Arial"/>
        <w:b/>
        <w:szCs w:val="21"/>
      </w:rPr>
      <w:fldChar w:fldCharType="begin"/>
    </w:r>
    <w:r>
      <w:rPr>
        <w:rFonts w:ascii="黑体" w:eastAsia="黑体" w:hAnsi="黑体" w:cs="Arial"/>
        <w:b/>
        <w:szCs w:val="21"/>
      </w:rPr>
      <w:instrText xml:space="preserve"> DOCPROPERTY 公司名称 </w:instrText>
    </w:r>
    <w:r>
      <w:rPr>
        <w:rFonts w:ascii="黑体" w:eastAsia="黑体" w:hAnsi="黑体" w:cs="Arial"/>
        <w:b/>
        <w:szCs w:val="21"/>
      </w:rPr>
      <w:fldChar w:fldCharType="separate"/>
    </w:r>
    <w:r>
      <w:rPr>
        <w:rFonts w:ascii="黑体" w:eastAsia="黑体" w:hAnsi="黑体" w:cs="Arial"/>
        <w:b/>
        <w:szCs w:val="21"/>
      </w:rPr>
      <w:t>厦门银行股份有限公司</w:t>
    </w:r>
    <w:r>
      <w:rPr>
        <w:rFonts w:ascii="黑体" w:eastAsia="黑体" w:hAnsi="黑体" w:cs="Arial"/>
        <w:b/>
        <w:szCs w:val="21"/>
      </w:rPr>
      <w:fldChar w:fldCharType="end"/>
    </w:r>
  </w:p>
  <w:p w:rsidR="00F22BE0" w:rsidRDefault="00F22BE0">
    <w:pPr>
      <w:overflowPunct w:val="0"/>
      <w:autoSpaceDE w:val="0"/>
      <w:autoSpaceDN w:val="0"/>
      <w:adjustRightInd w:val="0"/>
      <w:outlineLvl w:val="0"/>
      <w:rPr>
        <w:rFonts w:ascii="黑体" w:eastAsia="黑体" w:hAnsi="黑体" w:cs="Arial"/>
        <w:b/>
        <w:szCs w:val="21"/>
      </w:rPr>
    </w:pPr>
    <w:r>
      <w:rPr>
        <w:rFonts w:ascii="黑体" w:eastAsia="黑体" w:hAnsi="黑体" w:cs="Arial" w:hint="eastAsia"/>
        <w:b/>
        <w:szCs w:val="21"/>
      </w:rPr>
      <w:t>合并现金流量表</w:t>
    </w:r>
  </w:p>
  <w:p w:rsidR="00F22BE0" w:rsidRDefault="00F22BE0">
    <w:pPr>
      <w:tabs>
        <w:tab w:val="right" w:pos="8313"/>
      </w:tabs>
      <w:overflowPunct w:val="0"/>
      <w:autoSpaceDE w:val="0"/>
      <w:autoSpaceDN w:val="0"/>
      <w:adjustRightInd w:val="0"/>
      <w:rPr>
        <w:rFonts w:ascii="Arial" w:eastAsia="黑体" w:hAnsi="Arial" w:cs="Arial"/>
        <w:b/>
        <w:szCs w:val="21"/>
        <w:u w:val="single"/>
      </w:rPr>
    </w:pPr>
    <w:r>
      <w:rPr>
        <w:rFonts w:ascii="Arial" w:eastAsia="黑体" w:hAnsi="Arial" w:cs="Arial"/>
        <w:b/>
        <w:szCs w:val="21"/>
        <w:u w:val="single"/>
      </w:rPr>
      <w:t>截至</w:t>
    </w:r>
    <w:r>
      <w:rPr>
        <w:rFonts w:ascii="Arial" w:eastAsia="黑体" w:hAnsi="Arial" w:cs="Arial"/>
        <w:b/>
        <w:szCs w:val="21"/>
        <w:u w:val="single"/>
      </w:rPr>
      <w:t>2023</w:t>
    </w:r>
    <w:r>
      <w:rPr>
        <w:rFonts w:ascii="Arial" w:eastAsia="黑体" w:hAnsi="Arial" w:cs="Arial"/>
        <w:b/>
        <w:szCs w:val="21"/>
        <w:u w:val="single"/>
      </w:rPr>
      <w:t>年</w:t>
    </w:r>
    <w:r>
      <w:rPr>
        <w:rFonts w:ascii="Arial" w:eastAsia="黑体" w:hAnsi="Arial" w:cs="Arial"/>
        <w:b/>
        <w:szCs w:val="21"/>
        <w:u w:val="single"/>
      </w:rPr>
      <w:t>6</w:t>
    </w:r>
    <w:r>
      <w:rPr>
        <w:rFonts w:ascii="Arial" w:eastAsia="黑体" w:hAnsi="Arial" w:cs="Arial"/>
        <w:b/>
        <w:szCs w:val="21"/>
        <w:u w:val="single"/>
      </w:rPr>
      <w:t>月</w:t>
    </w:r>
    <w:r>
      <w:rPr>
        <w:rFonts w:ascii="Arial" w:eastAsia="黑体" w:hAnsi="Arial" w:cs="Arial"/>
        <w:b/>
        <w:szCs w:val="21"/>
        <w:u w:val="single"/>
      </w:rPr>
      <w:t>30</w:t>
    </w:r>
    <w:r>
      <w:rPr>
        <w:rFonts w:ascii="Arial" w:eastAsia="黑体" w:hAnsi="Arial" w:cs="Arial"/>
        <w:b/>
        <w:szCs w:val="21"/>
        <w:u w:val="single"/>
      </w:rPr>
      <w:t>日</w:t>
    </w:r>
    <w:proofErr w:type="gramStart"/>
    <w:r>
      <w:rPr>
        <w:rFonts w:ascii="Arial" w:eastAsia="黑体" w:hAnsi="Arial" w:cs="Arial"/>
        <w:b/>
        <w:szCs w:val="21"/>
        <w:u w:val="single"/>
      </w:rPr>
      <w:t>止</w:t>
    </w:r>
    <w:proofErr w:type="gramEnd"/>
    <w:r>
      <w:rPr>
        <w:rFonts w:ascii="Arial" w:eastAsia="黑体" w:hAnsi="Arial" w:cs="Arial"/>
        <w:b/>
        <w:szCs w:val="21"/>
        <w:u w:val="single"/>
      </w:rPr>
      <w:t>6</w:t>
    </w:r>
    <w:r>
      <w:rPr>
        <w:rFonts w:ascii="Arial" w:eastAsia="黑体" w:hAnsi="Arial" w:cs="Arial"/>
        <w:b/>
        <w:szCs w:val="21"/>
        <w:u w:val="single"/>
      </w:rPr>
      <w:t>个月</w:t>
    </w:r>
    <w:proofErr w:type="gramStart"/>
    <w:r>
      <w:rPr>
        <w:rFonts w:ascii="Arial" w:eastAsia="黑体" w:hAnsi="Arial" w:cs="Arial"/>
        <w:b/>
        <w:szCs w:val="21"/>
        <w:u w:val="single"/>
      </w:rPr>
      <w:t>期间</w:t>
    </w:r>
    <w:r>
      <w:rPr>
        <w:rFonts w:ascii="Arial" w:eastAsia="黑体" w:hAnsi="Arial" w:cs="Arial"/>
        <w:b/>
        <w:szCs w:val="21"/>
        <w:u w:val="single"/>
      </w:rPr>
      <w:tab/>
    </w:r>
    <w:proofErr w:type="gramEnd"/>
    <w:r>
      <w:rPr>
        <w:rFonts w:ascii="Arial" w:eastAsia="黑体" w:hAnsi="Arial" w:cs="Arial"/>
        <w:b/>
        <w:szCs w:val="21"/>
        <w:u w:val="single"/>
      </w:rPr>
      <w:t>人民币元</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1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overflowPunct w:val="0"/>
      <w:autoSpaceDE w:val="0"/>
      <w:autoSpaceDN w:val="0"/>
      <w:adjustRightInd w:val="0"/>
      <w:jc w:val="center"/>
      <w:outlineLvl w:val="0"/>
      <w:rPr>
        <w:rFonts w:ascii="Arial" w:eastAsia="黑体" w:hAnsi="Arial" w:cs="Arial"/>
        <w:b/>
        <w:szCs w:val="21"/>
      </w:rPr>
    </w:pPr>
  </w:p>
  <w:p w:rsidR="00F22BE0" w:rsidRDefault="00F22BE0">
    <w:pPr>
      <w:overflowPunct w:val="0"/>
      <w:autoSpaceDE w:val="0"/>
      <w:autoSpaceDN w:val="0"/>
      <w:adjustRightInd w:val="0"/>
      <w:jc w:val="center"/>
      <w:outlineLvl w:val="0"/>
      <w:rPr>
        <w:rFonts w:ascii="Arial" w:eastAsia="黑体" w:hAnsi="Arial" w:cs="Arial"/>
        <w:b/>
        <w:szCs w:val="21"/>
      </w:rPr>
    </w:pPr>
  </w:p>
  <w:p w:rsidR="00F22BE0" w:rsidRDefault="00F22BE0">
    <w:pPr>
      <w:overflowPunct w:val="0"/>
      <w:autoSpaceDE w:val="0"/>
      <w:autoSpaceDN w:val="0"/>
      <w:adjustRightInd w:val="0"/>
      <w:outlineLvl w:val="0"/>
      <w:rPr>
        <w:rFonts w:ascii="Arial" w:eastAsia="黑体" w:hAnsi="Arial" w:cs="Arial"/>
        <w:b/>
        <w:szCs w:val="21"/>
      </w:rPr>
    </w:pPr>
    <w:r>
      <w:rPr>
        <w:rFonts w:ascii="Arial" w:eastAsia="黑体" w:hAnsi="Arial" w:cs="Arial"/>
        <w:b/>
        <w:szCs w:val="21"/>
      </w:rPr>
      <w:fldChar w:fldCharType="begin"/>
    </w:r>
    <w:r>
      <w:rPr>
        <w:rFonts w:ascii="Arial" w:eastAsia="黑体" w:hAnsi="Arial" w:cs="Arial"/>
        <w:b/>
        <w:szCs w:val="21"/>
      </w:rPr>
      <w:instrText xml:space="preserve"> DOCPROPERTY </w:instrText>
    </w:r>
    <w:r>
      <w:rPr>
        <w:rFonts w:ascii="Arial" w:eastAsia="黑体" w:hAnsi="Arial" w:cs="Arial" w:hint="eastAsia"/>
        <w:b/>
        <w:szCs w:val="21"/>
      </w:rPr>
      <w:instrText>公司名称</w:instrText>
    </w:r>
    <w:r>
      <w:rPr>
        <w:rFonts w:ascii="Arial" w:eastAsia="黑体" w:hAnsi="Arial" w:cs="Arial"/>
        <w:b/>
        <w:szCs w:val="21"/>
      </w:rPr>
      <w:instrText xml:space="preserve"> </w:instrText>
    </w:r>
    <w:r>
      <w:rPr>
        <w:rFonts w:ascii="Arial" w:eastAsia="黑体" w:hAnsi="Arial" w:cs="Arial"/>
        <w:b/>
        <w:szCs w:val="21"/>
      </w:rPr>
      <w:fldChar w:fldCharType="separate"/>
    </w:r>
    <w:r>
      <w:rPr>
        <w:rFonts w:ascii="Arial" w:eastAsia="黑体" w:hAnsi="Arial" w:cs="Arial" w:hint="eastAsia"/>
        <w:b/>
        <w:szCs w:val="21"/>
      </w:rPr>
      <w:t>厦门银行股份有限公司</w:t>
    </w:r>
    <w:r>
      <w:rPr>
        <w:rFonts w:ascii="Arial" w:eastAsia="黑体" w:hAnsi="Arial" w:cs="Arial"/>
        <w:b/>
        <w:szCs w:val="21"/>
      </w:rPr>
      <w:fldChar w:fldCharType="end"/>
    </w:r>
  </w:p>
  <w:p w:rsidR="00F22BE0" w:rsidRDefault="00F22BE0">
    <w:pPr>
      <w:overflowPunct w:val="0"/>
      <w:autoSpaceDE w:val="0"/>
      <w:autoSpaceDN w:val="0"/>
      <w:adjustRightInd w:val="0"/>
      <w:outlineLvl w:val="0"/>
      <w:rPr>
        <w:rFonts w:ascii="Arial" w:eastAsia="黑体" w:hAnsi="Arial" w:cs="Arial"/>
        <w:b/>
        <w:szCs w:val="21"/>
      </w:rPr>
    </w:pPr>
    <w:r>
      <w:rPr>
        <w:rFonts w:ascii="Arial" w:eastAsia="黑体" w:hAnsi="Arial" w:cs="Arial" w:hint="eastAsia"/>
        <w:b/>
        <w:szCs w:val="21"/>
      </w:rPr>
      <w:t>资产负债表（续）</w:t>
    </w:r>
  </w:p>
  <w:p w:rsidR="00F22BE0" w:rsidRDefault="00F22BE0">
    <w:pPr>
      <w:tabs>
        <w:tab w:val="right" w:pos="8301"/>
      </w:tabs>
      <w:overflowPunct w:val="0"/>
      <w:autoSpaceDE w:val="0"/>
      <w:autoSpaceDN w:val="0"/>
      <w:adjustRightInd w:val="0"/>
      <w:rPr>
        <w:rFonts w:ascii="Arial" w:eastAsia="黑体" w:hAnsi="Arial" w:cs="Arial"/>
        <w:b/>
        <w:szCs w:val="21"/>
        <w:u w:val="single"/>
      </w:rPr>
    </w:pPr>
    <w:r>
      <w:rPr>
        <w:rFonts w:ascii="Arial" w:eastAsia="黑体" w:hAnsi="Arial" w:cs="Arial"/>
        <w:b/>
        <w:szCs w:val="21"/>
        <w:u w:val="single"/>
      </w:rPr>
      <w:fldChar w:fldCharType="begin"/>
    </w:r>
    <w:r>
      <w:rPr>
        <w:rFonts w:ascii="Arial" w:eastAsia="黑体" w:hAnsi="Arial" w:cs="Arial"/>
        <w:b/>
        <w:szCs w:val="21"/>
        <w:u w:val="single"/>
      </w:rPr>
      <w:instrText xml:space="preserve"> DOCPROPERTY </w:instrText>
    </w:r>
    <w:r>
      <w:rPr>
        <w:rFonts w:ascii="Arial" w:eastAsia="黑体" w:hAnsi="Arial" w:cs="Arial" w:hint="eastAsia"/>
        <w:b/>
        <w:szCs w:val="21"/>
        <w:u w:val="single"/>
      </w:rPr>
      <w:instrText>当期资产负债表日</w:instrText>
    </w:r>
    <w:r>
      <w:rPr>
        <w:rFonts w:ascii="Arial" w:eastAsia="黑体" w:hAnsi="Arial" w:cs="Arial"/>
        <w:b/>
        <w:szCs w:val="21"/>
        <w:u w:val="single"/>
      </w:rPr>
      <w:instrText xml:space="preserve"> </w:instrText>
    </w:r>
    <w:r>
      <w:rPr>
        <w:rFonts w:ascii="Arial" w:eastAsia="黑体" w:hAnsi="Arial" w:cs="Arial"/>
        <w:b/>
        <w:szCs w:val="21"/>
        <w:u w:val="single"/>
      </w:rPr>
      <w:fldChar w:fldCharType="separate"/>
    </w:r>
    <w:r>
      <w:rPr>
        <w:rFonts w:ascii="Arial" w:eastAsia="黑体" w:hAnsi="Arial" w:cs="Arial" w:hint="eastAsia"/>
        <w:b/>
        <w:szCs w:val="21"/>
        <w:u w:val="single"/>
      </w:rPr>
      <w:t>2023</w:t>
    </w:r>
    <w:r>
      <w:rPr>
        <w:rFonts w:ascii="Arial" w:eastAsia="黑体" w:hAnsi="Arial" w:cs="Arial" w:hint="eastAsia"/>
        <w:b/>
        <w:szCs w:val="21"/>
        <w:u w:val="single"/>
      </w:rPr>
      <w:t>年</w:t>
    </w:r>
    <w:r>
      <w:rPr>
        <w:rFonts w:ascii="Arial" w:eastAsia="黑体" w:hAnsi="Arial" w:cs="Arial" w:hint="eastAsia"/>
        <w:b/>
        <w:szCs w:val="21"/>
        <w:u w:val="single"/>
      </w:rPr>
      <w:t>6</w:t>
    </w:r>
    <w:r>
      <w:rPr>
        <w:rFonts w:ascii="Arial" w:eastAsia="黑体" w:hAnsi="Arial" w:cs="Arial" w:hint="eastAsia"/>
        <w:b/>
        <w:szCs w:val="21"/>
        <w:u w:val="single"/>
      </w:rPr>
      <w:t>月</w:t>
    </w:r>
    <w:r>
      <w:rPr>
        <w:rFonts w:ascii="Arial" w:eastAsia="黑体" w:hAnsi="Arial" w:cs="Arial" w:hint="eastAsia"/>
        <w:b/>
        <w:szCs w:val="21"/>
        <w:u w:val="single"/>
      </w:rPr>
      <w:t>30</w:t>
    </w:r>
    <w:r>
      <w:rPr>
        <w:rFonts w:ascii="Arial" w:eastAsia="黑体" w:hAnsi="Arial" w:cs="Arial" w:hint="eastAsia"/>
        <w:b/>
        <w:szCs w:val="21"/>
        <w:u w:val="single"/>
      </w:rPr>
      <w:t>日</w:t>
    </w:r>
    <w:r>
      <w:rPr>
        <w:rFonts w:ascii="Arial" w:eastAsia="黑体" w:hAnsi="Arial" w:cs="Arial"/>
        <w:b/>
        <w:szCs w:val="21"/>
        <w:u w:val="single"/>
      </w:rPr>
      <w:fldChar w:fldCharType="end"/>
    </w:r>
    <w:r>
      <w:rPr>
        <w:rFonts w:ascii="Arial" w:eastAsia="黑体" w:hAnsi="Arial" w:cs="Arial"/>
        <w:b/>
        <w:szCs w:val="21"/>
        <w:u w:val="single"/>
      </w:rPr>
      <w:tab/>
    </w:r>
    <w:r>
      <w:rPr>
        <w:rFonts w:ascii="Arial" w:eastAsia="黑体" w:hAnsi="Arial" w:cs="Arial"/>
        <w:b/>
        <w:szCs w:val="21"/>
        <w:u w:val="single"/>
      </w:rPr>
      <w:fldChar w:fldCharType="begin"/>
    </w:r>
    <w:r>
      <w:rPr>
        <w:rFonts w:ascii="Arial" w:eastAsia="黑体" w:hAnsi="Arial" w:cs="Arial"/>
        <w:b/>
        <w:szCs w:val="21"/>
        <w:u w:val="single"/>
      </w:rPr>
      <w:instrText xml:space="preserve"> DOCPROPERTY </w:instrText>
    </w:r>
    <w:r>
      <w:rPr>
        <w:rFonts w:ascii="Arial" w:eastAsia="黑体" w:hAnsi="Arial" w:cs="Arial" w:hint="eastAsia"/>
        <w:b/>
        <w:szCs w:val="21"/>
        <w:u w:val="single"/>
      </w:rPr>
      <w:instrText>币种</w:instrText>
    </w:r>
    <w:r>
      <w:rPr>
        <w:rFonts w:ascii="Arial" w:eastAsia="黑体" w:hAnsi="Arial" w:cs="Arial"/>
        <w:b/>
        <w:szCs w:val="21"/>
        <w:u w:val="single"/>
      </w:rPr>
      <w:instrText xml:space="preserve"> </w:instrText>
    </w:r>
    <w:r>
      <w:rPr>
        <w:rFonts w:ascii="Arial" w:eastAsia="黑体" w:hAnsi="Arial" w:cs="Arial"/>
        <w:b/>
        <w:szCs w:val="21"/>
        <w:u w:val="single"/>
      </w:rPr>
      <w:fldChar w:fldCharType="separate"/>
    </w:r>
    <w:r>
      <w:rPr>
        <w:rFonts w:ascii="Arial" w:eastAsia="黑体" w:hAnsi="Arial" w:cs="Arial" w:hint="eastAsia"/>
        <w:b/>
        <w:szCs w:val="21"/>
        <w:u w:val="single"/>
      </w:rPr>
      <w:t>人民币</w:t>
    </w:r>
    <w:r>
      <w:rPr>
        <w:rFonts w:ascii="Arial" w:eastAsia="黑体" w:hAnsi="Arial" w:cs="Arial"/>
        <w:b/>
        <w:szCs w:val="21"/>
        <w:u w:val="single"/>
      </w:rPr>
      <w:fldChar w:fldCharType="end"/>
    </w:r>
    <w:r>
      <w:rPr>
        <w:rFonts w:ascii="Arial" w:eastAsia="黑体" w:hAnsi="Arial" w:cs="Arial"/>
        <w:b/>
        <w:szCs w:val="21"/>
        <w:u w:val="single"/>
      </w:rPr>
      <w:fldChar w:fldCharType="begin"/>
    </w:r>
    <w:r>
      <w:rPr>
        <w:rFonts w:ascii="Arial" w:eastAsia="黑体" w:hAnsi="Arial" w:cs="Arial"/>
        <w:b/>
        <w:szCs w:val="21"/>
        <w:u w:val="single"/>
      </w:rPr>
      <w:instrText xml:space="preserve"> DOCPROPERTY </w:instrText>
    </w:r>
    <w:r>
      <w:rPr>
        <w:rFonts w:ascii="Arial" w:eastAsia="黑体" w:hAnsi="Arial" w:cs="Arial" w:hint="eastAsia"/>
        <w:b/>
        <w:szCs w:val="21"/>
        <w:u w:val="single"/>
      </w:rPr>
      <w:instrText>单位</w:instrText>
    </w:r>
    <w:r>
      <w:rPr>
        <w:rFonts w:ascii="Arial" w:eastAsia="黑体" w:hAnsi="Arial" w:cs="Arial"/>
        <w:b/>
        <w:szCs w:val="21"/>
        <w:u w:val="single"/>
      </w:rPr>
      <w:instrText xml:space="preserve"> </w:instrText>
    </w:r>
    <w:r>
      <w:rPr>
        <w:rFonts w:ascii="Arial" w:eastAsia="黑体" w:hAnsi="Arial" w:cs="Arial"/>
        <w:b/>
        <w:szCs w:val="21"/>
        <w:u w:val="single"/>
      </w:rPr>
      <w:fldChar w:fldCharType="separate"/>
    </w:r>
    <w:r>
      <w:rPr>
        <w:rFonts w:ascii="Arial" w:eastAsia="黑体" w:hAnsi="Arial" w:cs="Arial" w:hint="eastAsia"/>
        <w:b/>
        <w:szCs w:val="21"/>
        <w:u w:val="single"/>
      </w:rPr>
      <w:t>元</w:t>
    </w:r>
    <w:r>
      <w:rPr>
        <w:rFonts w:ascii="Arial" w:eastAsia="黑体" w:hAnsi="Arial" w:cs="Arial"/>
        <w:b/>
        <w:szCs w:val="21"/>
        <w:u w:val="single"/>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19"/>
    </w:pPr>
  </w:p>
  <w:p w:rsidR="00F22BE0" w:rsidRDefault="00F22BE0">
    <w:pPr>
      <w:pStyle w:val="19"/>
    </w:pPr>
  </w:p>
  <w:p w:rsidR="00F22BE0" w:rsidRDefault="00F22BE0">
    <w:pPr>
      <w:overflowPunct w:val="0"/>
      <w:autoSpaceDE w:val="0"/>
      <w:autoSpaceDN w:val="0"/>
      <w:adjustRightInd w:val="0"/>
      <w:outlineLvl w:val="0"/>
      <w:rPr>
        <w:rFonts w:ascii="Arial" w:eastAsia="黑体" w:hAnsi="Arial" w:cs="Arial"/>
        <w:b/>
        <w:szCs w:val="21"/>
      </w:rPr>
    </w:pPr>
    <w:r>
      <w:rPr>
        <w:rFonts w:ascii="Arial" w:eastAsia="黑体" w:hAnsi="Arial" w:cs="Arial"/>
        <w:b/>
        <w:szCs w:val="21"/>
      </w:rPr>
      <w:fldChar w:fldCharType="begin"/>
    </w:r>
    <w:r>
      <w:rPr>
        <w:rFonts w:ascii="Arial" w:eastAsia="黑体" w:hAnsi="Arial" w:cs="Arial"/>
        <w:b/>
        <w:szCs w:val="21"/>
      </w:rPr>
      <w:instrText xml:space="preserve"> DOCPROPERTY </w:instrText>
    </w:r>
    <w:r>
      <w:rPr>
        <w:rFonts w:ascii="Arial" w:eastAsia="黑体" w:hAnsi="Arial" w:cs="Arial" w:hint="eastAsia"/>
        <w:b/>
        <w:szCs w:val="21"/>
      </w:rPr>
      <w:instrText>公司名称</w:instrText>
    </w:r>
    <w:r>
      <w:rPr>
        <w:rFonts w:ascii="Arial" w:eastAsia="黑体" w:hAnsi="Arial" w:cs="Arial"/>
        <w:b/>
        <w:szCs w:val="21"/>
      </w:rPr>
      <w:instrText xml:space="preserve"> </w:instrText>
    </w:r>
    <w:r>
      <w:rPr>
        <w:rFonts w:ascii="Arial" w:eastAsia="黑体" w:hAnsi="Arial" w:cs="Arial"/>
        <w:b/>
        <w:szCs w:val="21"/>
      </w:rPr>
      <w:fldChar w:fldCharType="separate"/>
    </w:r>
    <w:r>
      <w:rPr>
        <w:rFonts w:ascii="Arial" w:eastAsia="黑体" w:hAnsi="Arial" w:cs="Arial" w:hint="eastAsia"/>
        <w:b/>
        <w:szCs w:val="21"/>
      </w:rPr>
      <w:t>厦门银行股份有限公司</w:t>
    </w:r>
    <w:r>
      <w:rPr>
        <w:rFonts w:ascii="Arial" w:eastAsia="黑体" w:hAnsi="Arial" w:cs="Arial"/>
        <w:b/>
        <w:szCs w:val="21"/>
      </w:rPr>
      <w:fldChar w:fldCharType="end"/>
    </w:r>
  </w:p>
  <w:p w:rsidR="00F22BE0" w:rsidRDefault="00F22BE0">
    <w:pPr>
      <w:overflowPunct w:val="0"/>
      <w:autoSpaceDE w:val="0"/>
      <w:autoSpaceDN w:val="0"/>
      <w:adjustRightInd w:val="0"/>
      <w:outlineLvl w:val="0"/>
      <w:rPr>
        <w:rFonts w:ascii="Arial" w:eastAsia="黑体" w:hAnsi="Arial" w:cs="Arial"/>
        <w:b/>
        <w:szCs w:val="21"/>
      </w:rPr>
    </w:pPr>
    <w:r>
      <w:rPr>
        <w:rFonts w:ascii="Arial" w:eastAsia="黑体" w:hAnsi="Arial" w:cs="Arial" w:hint="eastAsia"/>
        <w:b/>
        <w:szCs w:val="21"/>
      </w:rPr>
      <w:t>资产负债表</w:t>
    </w:r>
  </w:p>
  <w:p w:rsidR="00F22BE0" w:rsidRDefault="00F22BE0">
    <w:pPr>
      <w:tabs>
        <w:tab w:val="right" w:pos="8301"/>
      </w:tabs>
      <w:overflowPunct w:val="0"/>
      <w:autoSpaceDE w:val="0"/>
      <w:autoSpaceDN w:val="0"/>
      <w:adjustRightInd w:val="0"/>
      <w:rPr>
        <w:rFonts w:ascii="Arial" w:eastAsia="黑体" w:hAnsi="Arial" w:cs="Arial"/>
        <w:b/>
        <w:szCs w:val="21"/>
        <w:u w:val="single"/>
      </w:rPr>
    </w:pPr>
    <w:r>
      <w:rPr>
        <w:rFonts w:ascii="Arial" w:eastAsia="黑体" w:hAnsi="Arial" w:cs="Arial"/>
        <w:b/>
        <w:szCs w:val="21"/>
        <w:u w:val="single"/>
      </w:rPr>
      <w:fldChar w:fldCharType="begin"/>
    </w:r>
    <w:r>
      <w:rPr>
        <w:rFonts w:ascii="Arial" w:eastAsia="黑体" w:hAnsi="Arial" w:cs="Arial"/>
        <w:b/>
        <w:szCs w:val="21"/>
        <w:u w:val="single"/>
      </w:rPr>
      <w:instrText xml:space="preserve"> DOCPROPERTY </w:instrText>
    </w:r>
    <w:r>
      <w:rPr>
        <w:rFonts w:ascii="Arial" w:eastAsia="黑体" w:hAnsi="Arial" w:cs="Arial" w:hint="eastAsia"/>
        <w:b/>
        <w:szCs w:val="21"/>
        <w:u w:val="single"/>
      </w:rPr>
      <w:instrText>当期资产负债表日</w:instrText>
    </w:r>
    <w:r>
      <w:rPr>
        <w:rFonts w:ascii="Arial" w:eastAsia="黑体" w:hAnsi="Arial" w:cs="Arial"/>
        <w:b/>
        <w:szCs w:val="21"/>
        <w:u w:val="single"/>
      </w:rPr>
      <w:instrText xml:space="preserve"> </w:instrText>
    </w:r>
    <w:r>
      <w:rPr>
        <w:rFonts w:ascii="Arial" w:eastAsia="黑体" w:hAnsi="Arial" w:cs="Arial"/>
        <w:b/>
        <w:szCs w:val="21"/>
        <w:u w:val="single"/>
      </w:rPr>
      <w:fldChar w:fldCharType="separate"/>
    </w:r>
    <w:r>
      <w:rPr>
        <w:rFonts w:ascii="Arial" w:eastAsia="黑体" w:hAnsi="Arial" w:cs="Arial" w:hint="eastAsia"/>
        <w:b/>
        <w:szCs w:val="21"/>
        <w:u w:val="single"/>
      </w:rPr>
      <w:t>2023</w:t>
    </w:r>
    <w:r>
      <w:rPr>
        <w:rFonts w:ascii="Arial" w:eastAsia="黑体" w:hAnsi="Arial" w:cs="Arial" w:hint="eastAsia"/>
        <w:b/>
        <w:szCs w:val="21"/>
        <w:u w:val="single"/>
      </w:rPr>
      <w:t>年</w:t>
    </w:r>
    <w:r>
      <w:rPr>
        <w:rFonts w:ascii="Arial" w:eastAsia="黑体" w:hAnsi="Arial" w:cs="Arial" w:hint="eastAsia"/>
        <w:b/>
        <w:szCs w:val="21"/>
        <w:u w:val="single"/>
      </w:rPr>
      <w:t>6</w:t>
    </w:r>
    <w:r>
      <w:rPr>
        <w:rFonts w:ascii="Arial" w:eastAsia="黑体" w:hAnsi="Arial" w:cs="Arial" w:hint="eastAsia"/>
        <w:b/>
        <w:szCs w:val="21"/>
        <w:u w:val="single"/>
      </w:rPr>
      <w:t>月</w:t>
    </w:r>
    <w:r>
      <w:rPr>
        <w:rFonts w:ascii="Arial" w:eastAsia="黑体" w:hAnsi="Arial" w:cs="Arial" w:hint="eastAsia"/>
        <w:b/>
        <w:szCs w:val="21"/>
        <w:u w:val="single"/>
      </w:rPr>
      <w:t>30</w:t>
    </w:r>
    <w:r>
      <w:rPr>
        <w:rFonts w:ascii="Arial" w:eastAsia="黑体" w:hAnsi="Arial" w:cs="Arial" w:hint="eastAsia"/>
        <w:b/>
        <w:szCs w:val="21"/>
        <w:u w:val="single"/>
      </w:rPr>
      <w:t>日</w:t>
    </w:r>
    <w:r>
      <w:rPr>
        <w:rFonts w:ascii="Arial" w:eastAsia="黑体" w:hAnsi="Arial" w:cs="Arial"/>
        <w:b/>
        <w:szCs w:val="21"/>
        <w:u w:val="single"/>
      </w:rPr>
      <w:fldChar w:fldCharType="end"/>
    </w:r>
    <w:r>
      <w:rPr>
        <w:rFonts w:ascii="Arial" w:eastAsia="黑体" w:hAnsi="Arial" w:cs="Arial"/>
        <w:b/>
        <w:szCs w:val="21"/>
        <w:u w:val="single"/>
      </w:rPr>
      <w:tab/>
    </w:r>
    <w:r>
      <w:rPr>
        <w:rFonts w:ascii="Arial" w:eastAsia="黑体" w:hAnsi="Arial" w:cs="Arial"/>
        <w:b/>
        <w:szCs w:val="21"/>
        <w:u w:val="single"/>
      </w:rPr>
      <w:fldChar w:fldCharType="begin"/>
    </w:r>
    <w:r>
      <w:rPr>
        <w:rFonts w:ascii="Arial" w:eastAsia="黑体" w:hAnsi="Arial" w:cs="Arial"/>
        <w:b/>
        <w:szCs w:val="21"/>
        <w:u w:val="single"/>
      </w:rPr>
      <w:instrText xml:space="preserve"> DOCPROPERTY </w:instrText>
    </w:r>
    <w:r>
      <w:rPr>
        <w:rFonts w:ascii="Arial" w:eastAsia="黑体" w:hAnsi="Arial" w:cs="Arial" w:hint="eastAsia"/>
        <w:b/>
        <w:szCs w:val="21"/>
        <w:u w:val="single"/>
      </w:rPr>
      <w:instrText>币种</w:instrText>
    </w:r>
    <w:r>
      <w:rPr>
        <w:rFonts w:ascii="Arial" w:eastAsia="黑体" w:hAnsi="Arial" w:cs="Arial"/>
        <w:b/>
        <w:szCs w:val="21"/>
        <w:u w:val="single"/>
      </w:rPr>
      <w:instrText xml:space="preserve"> </w:instrText>
    </w:r>
    <w:r>
      <w:rPr>
        <w:rFonts w:ascii="Arial" w:eastAsia="黑体" w:hAnsi="Arial" w:cs="Arial"/>
        <w:b/>
        <w:szCs w:val="21"/>
        <w:u w:val="single"/>
      </w:rPr>
      <w:fldChar w:fldCharType="separate"/>
    </w:r>
    <w:r>
      <w:rPr>
        <w:rFonts w:ascii="Arial" w:eastAsia="黑体" w:hAnsi="Arial" w:cs="Arial" w:hint="eastAsia"/>
        <w:b/>
        <w:szCs w:val="21"/>
        <w:u w:val="single"/>
      </w:rPr>
      <w:t>人民币</w:t>
    </w:r>
    <w:r>
      <w:rPr>
        <w:rFonts w:ascii="Arial" w:eastAsia="黑体" w:hAnsi="Arial" w:cs="Arial"/>
        <w:b/>
        <w:szCs w:val="21"/>
        <w:u w:val="single"/>
      </w:rPr>
      <w:fldChar w:fldCharType="end"/>
    </w:r>
    <w:r>
      <w:rPr>
        <w:rFonts w:ascii="Arial" w:eastAsia="黑体" w:hAnsi="Arial" w:cs="Arial"/>
        <w:b/>
        <w:szCs w:val="21"/>
        <w:u w:val="single"/>
      </w:rPr>
      <w:fldChar w:fldCharType="begin"/>
    </w:r>
    <w:r>
      <w:rPr>
        <w:rFonts w:ascii="Arial" w:eastAsia="黑体" w:hAnsi="Arial" w:cs="Arial"/>
        <w:b/>
        <w:szCs w:val="21"/>
        <w:u w:val="single"/>
      </w:rPr>
      <w:instrText xml:space="preserve"> DOCPROPERTY </w:instrText>
    </w:r>
    <w:r>
      <w:rPr>
        <w:rFonts w:ascii="Arial" w:eastAsia="黑体" w:hAnsi="Arial" w:cs="Arial" w:hint="eastAsia"/>
        <w:b/>
        <w:szCs w:val="21"/>
        <w:u w:val="single"/>
      </w:rPr>
      <w:instrText>单位</w:instrText>
    </w:r>
    <w:r>
      <w:rPr>
        <w:rFonts w:ascii="Arial" w:eastAsia="黑体" w:hAnsi="Arial" w:cs="Arial"/>
        <w:b/>
        <w:szCs w:val="21"/>
        <w:u w:val="single"/>
      </w:rPr>
      <w:instrText xml:space="preserve"> </w:instrText>
    </w:r>
    <w:r>
      <w:rPr>
        <w:rFonts w:ascii="Arial" w:eastAsia="黑体" w:hAnsi="Arial" w:cs="Arial"/>
        <w:b/>
        <w:szCs w:val="21"/>
        <w:u w:val="single"/>
      </w:rPr>
      <w:fldChar w:fldCharType="separate"/>
    </w:r>
    <w:r>
      <w:rPr>
        <w:rFonts w:ascii="Arial" w:eastAsia="黑体" w:hAnsi="Arial" w:cs="Arial" w:hint="eastAsia"/>
        <w:b/>
        <w:szCs w:val="21"/>
        <w:u w:val="single"/>
      </w:rPr>
      <w:t>元</w:t>
    </w:r>
    <w:r>
      <w:rPr>
        <w:rFonts w:ascii="Arial" w:eastAsia="黑体" w:hAnsi="Arial" w:cs="Arial"/>
        <w:b/>
        <w:szCs w:val="21"/>
        <w:u w:val="singl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1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1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overflowPunct w:val="0"/>
      <w:autoSpaceDE w:val="0"/>
      <w:autoSpaceDN w:val="0"/>
      <w:adjustRightInd w:val="0"/>
      <w:jc w:val="center"/>
      <w:outlineLvl w:val="0"/>
      <w:rPr>
        <w:rFonts w:ascii="Arial" w:eastAsia="黑体" w:hAnsi="Arial" w:cs="Arial"/>
        <w:b/>
        <w:szCs w:val="21"/>
      </w:rPr>
    </w:pPr>
  </w:p>
  <w:p w:rsidR="00F22BE0" w:rsidRDefault="00F22BE0">
    <w:pPr>
      <w:overflowPunct w:val="0"/>
      <w:autoSpaceDE w:val="0"/>
      <w:autoSpaceDN w:val="0"/>
      <w:adjustRightInd w:val="0"/>
      <w:jc w:val="center"/>
      <w:outlineLvl w:val="0"/>
      <w:rPr>
        <w:rFonts w:ascii="Arial" w:eastAsia="黑体" w:hAnsi="Arial" w:cs="Arial"/>
        <w:b/>
        <w:szCs w:val="21"/>
      </w:rPr>
    </w:pPr>
  </w:p>
  <w:p w:rsidR="00F22BE0" w:rsidRDefault="00F22BE0">
    <w:pPr>
      <w:overflowPunct w:val="0"/>
      <w:autoSpaceDE w:val="0"/>
      <w:autoSpaceDN w:val="0"/>
      <w:adjustRightInd w:val="0"/>
      <w:outlineLvl w:val="0"/>
      <w:rPr>
        <w:rFonts w:ascii="Arial" w:eastAsia="黑体" w:hAnsi="Arial" w:cs="Arial"/>
        <w:b/>
        <w:szCs w:val="21"/>
      </w:rPr>
    </w:pPr>
    <w:r>
      <w:rPr>
        <w:rFonts w:ascii="Arial" w:eastAsia="黑体" w:hAnsi="Arial" w:cs="Arial"/>
        <w:b/>
        <w:szCs w:val="21"/>
      </w:rPr>
      <w:fldChar w:fldCharType="begin"/>
    </w:r>
    <w:r>
      <w:rPr>
        <w:rFonts w:ascii="Arial" w:eastAsia="黑体" w:hAnsi="Arial" w:cs="Arial"/>
        <w:b/>
        <w:szCs w:val="21"/>
      </w:rPr>
      <w:instrText xml:space="preserve"> DOCPROPERTY </w:instrText>
    </w:r>
    <w:r>
      <w:rPr>
        <w:rFonts w:ascii="Arial" w:eastAsia="黑体" w:hAnsi="Arial" w:cs="Arial" w:hint="eastAsia"/>
        <w:b/>
        <w:szCs w:val="21"/>
      </w:rPr>
      <w:instrText>公司名称</w:instrText>
    </w:r>
    <w:r>
      <w:rPr>
        <w:rFonts w:ascii="Arial" w:eastAsia="黑体" w:hAnsi="Arial" w:cs="Arial"/>
        <w:b/>
        <w:szCs w:val="21"/>
      </w:rPr>
      <w:instrText xml:space="preserve"> </w:instrText>
    </w:r>
    <w:r>
      <w:rPr>
        <w:rFonts w:ascii="Arial" w:eastAsia="黑体" w:hAnsi="Arial" w:cs="Arial"/>
        <w:b/>
        <w:szCs w:val="21"/>
      </w:rPr>
      <w:fldChar w:fldCharType="separate"/>
    </w:r>
    <w:r>
      <w:rPr>
        <w:rFonts w:ascii="Arial" w:eastAsia="黑体" w:hAnsi="Arial" w:cs="Arial" w:hint="eastAsia"/>
        <w:b/>
        <w:szCs w:val="21"/>
      </w:rPr>
      <w:t>厦门银行股份有限公司</w:t>
    </w:r>
    <w:r>
      <w:rPr>
        <w:rFonts w:ascii="Arial" w:eastAsia="黑体" w:hAnsi="Arial" w:cs="Arial"/>
        <w:b/>
        <w:szCs w:val="21"/>
      </w:rPr>
      <w:fldChar w:fldCharType="end"/>
    </w:r>
  </w:p>
  <w:p w:rsidR="00F22BE0" w:rsidRDefault="00F22BE0">
    <w:pPr>
      <w:overflowPunct w:val="0"/>
      <w:autoSpaceDE w:val="0"/>
      <w:autoSpaceDN w:val="0"/>
      <w:adjustRightInd w:val="0"/>
      <w:outlineLvl w:val="0"/>
      <w:rPr>
        <w:rFonts w:ascii="Arial" w:eastAsia="黑体" w:hAnsi="Arial" w:cs="Arial"/>
        <w:b/>
        <w:szCs w:val="21"/>
      </w:rPr>
    </w:pPr>
    <w:r>
      <w:rPr>
        <w:rFonts w:ascii="Arial" w:eastAsia="黑体" w:hAnsi="Arial" w:cs="Arial" w:hint="eastAsia"/>
        <w:b/>
        <w:szCs w:val="21"/>
      </w:rPr>
      <w:t>利润表（续）</w:t>
    </w:r>
  </w:p>
  <w:p w:rsidR="00F22BE0" w:rsidRDefault="00F22BE0">
    <w:pPr>
      <w:tabs>
        <w:tab w:val="right" w:pos="8313"/>
      </w:tabs>
      <w:overflowPunct w:val="0"/>
      <w:autoSpaceDE w:val="0"/>
      <w:autoSpaceDN w:val="0"/>
      <w:adjustRightInd w:val="0"/>
      <w:rPr>
        <w:rFonts w:ascii="Arial" w:eastAsia="黑体" w:hAnsi="Arial" w:cs="Arial"/>
        <w:b/>
        <w:szCs w:val="21"/>
        <w:u w:val="single"/>
      </w:rPr>
    </w:pPr>
    <w:r>
      <w:rPr>
        <w:rFonts w:ascii="Arial" w:eastAsia="黑体" w:hAnsi="Arial" w:cs="Arial"/>
        <w:b/>
        <w:szCs w:val="21"/>
        <w:u w:val="single"/>
      </w:rPr>
      <w:t>截至</w:t>
    </w:r>
    <w:r>
      <w:rPr>
        <w:rFonts w:ascii="Arial" w:eastAsia="黑体" w:hAnsi="Arial" w:cs="Arial"/>
        <w:b/>
        <w:szCs w:val="21"/>
        <w:u w:val="single"/>
      </w:rPr>
      <w:t>2023</w:t>
    </w:r>
    <w:r>
      <w:rPr>
        <w:rFonts w:ascii="Arial" w:eastAsia="黑体" w:hAnsi="Arial" w:cs="Arial"/>
        <w:b/>
        <w:szCs w:val="21"/>
        <w:u w:val="single"/>
      </w:rPr>
      <w:t>年</w:t>
    </w:r>
    <w:r>
      <w:rPr>
        <w:rFonts w:ascii="Arial" w:eastAsia="黑体" w:hAnsi="Arial" w:cs="Arial"/>
        <w:b/>
        <w:szCs w:val="21"/>
        <w:u w:val="single"/>
      </w:rPr>
      <w:t>6</w:t>
    </w:r>
    <w:r>
      <w:rPr>
        <w:rFonts w:ascii="Arial" w:eastAsia="黑体" w:hAnsi="Arial" w:cs="Arial"/>
        <w:b/>
        <w:szCs w:val="21"/>
        <w:u w:val="single"/>
      </w:rPr>
      <w:t>月</w:t>
    </w:r>
    <w:r>
      <w:rPr>
        <w:rFonts w:ascii="Arial" w:eastAsia="黑体" w:hAnsi="Arial" w:cs="Arial"/>
        <w:b/>
        <w:szCs w:val="21"/>
        <w:u w:val="single"/>
      </w:rPr>
      <w:t>30</w:t>
    </w:r>
    <w:r>
      <w:rPr>
        <w:rFonts w:ascii="Arial" w:eastAsia="黑体" w:hAnsi="Arial" w:cs="Arial"/>
        <w:b/>
        <w:szCs w:val="21"/>
        <w:u w:val="single"/>
      </w:rPr>
      <w:t>日</w:t>
    </w:r>
    <w:proofErr w:type="gramStart"/>
    <w:r>
      <w:rPr>
        <w:rFonts w:ascii="Arial" w:eastAsia="黑体" w:hAnsi="Arial" w:cs="Arial"/>
        <w:b/>
        <w:szCs w:val="21"/>
        <w:u w:val="single"/>
      </w:rPr>
      <w:t>止</w:t>
    </w:r>
    <w:proofErr w:type="gramEnd"/>
    <w:r>
      <w:rPr>
        <w:rFonts w:ascii="Arial" w:eastAsia="黑体" w:hAnsi="Arial" w:cs="Arial"/>
        <w:b/>
        <w:szCs w:val="21"/>
        <w:u w:val="single"/>
      </w:rPr>
      <w:t>6</w:t>
    </w:r>
    <w:r>
      <w:rPr>
        <w:rFonts w:ascii="Arial" w:eastAsia="黑体" w:hAnsi="Arial" w:cs="Arial"/>
        <w:b/>
        <w:szCs w:val="21"/>
        <w:u w:val="single"/>
      </w:rPr>
      <w:t>个月</w:t>
    </w:r>
    <w:proofErr w:type="gramStart"/>
    <w:r>
      <w:rPr>
        <w:rFonts w:ascii="Arial" w:eastAsia="黑体" w:hAnsi="Arial" w:cs="Arial"/>
        <w:b/>
        <w:szCs w:val="21"/>
        <w:u w:val="single"/>
      </w:rPr>
      <w:t>期间</w:t>
    </w:r>
    <w:r>
      <w:rPr>
        <w:rFonts w:ascii="Arial" w:eastAsia="黑体" w:hAnsi="Arial" w:cs="Arial"/>
        <w:b/>
        <w:szCs w:val="21"/>
        <w:u w:val="single"/>
      </w:rPr>
      <w:tab/>
    </w:r>
    <w:proofErr w:type="gramEnd"/>
    <w:r>
      <w:rPr>
        <w:rFonts w:ascii="Arial" w:eastAsia="黑体" w:hAnsi="Arial" w:cs="Arial"/>
        <w:b/>
        <w:szCs w:val="21"/>
        <w:u w:val="single"/>
      </w:rPr>
      <w:t>人民币元</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overflowPunct w:val="0"/>
      <w:autoSpaceDE w:val="0"/>
      <w:autoSpaceDN w:val="0"/>
      <w:adjustRightInd w:val="0"/>
      <w:outlineLvl w:val="0"/>
      <w:rPr>
        <w:rFonts w:ascii="Arial" w:eastAsia="黑体" w:hAnsi="Arial" w:cs="Arial"/>
        <w:b/>
        <w:szCs w:val="21"/>
      </w:rPr>
    </w:pPr>
  </w:p>
  <w:p w:rsidR="00F22BE0" w:rsidRDefault="00F22BE0">
    <w:pPr>
      <w:overflowPunct w:val="0"/>
      <w:autoSpaceDE w:val="0"/>
      <w:autoSpaceDN w:val="0"/>
      <w:adjustRightInd w:val="0"/>
      <w:outlineLvl w:val="0"/>
      <w:rPr>
        <w:rFonts w:ascii="Arial" w:eastAsia="黑体" w:hAnsi="Arial" w:cs="Arial"/>
        <w:b/>
        <w:szCs w:val="21"/>
      </w:rPr>
    </w:pPr>
  </w:p>
  <w:p w:rsidR="00F22BE0" w:rsidRDefault="00F22BE0">
    <w:pPr>
      <w:overflowPunct w:val="0"/>
      <w:autoSpaceDE w:val="0"/>
      <w:autoSpaceDN w:val="0"/>
      <w:adjustRightInd w:val="0"/>
      <w:outlineLvl w:val="0"/>
      <w:rPr>
        <w:rFonts w:ascii="Arial" w:eastAsia="黑体" w:hAnsi="Arial" w:cs="Arial"/>
        <w:b/>
        <w:szCs w:val="21"/>
      </w:rPr>
    </w:pPr>
    <w:r>
      <w:rPr>
        <w:rFonts w:ascii="Arial" w:eastAsia="黑体" w:hAnsi="Arial" w:cs="Arial"/>
        <w:b/>
        <w:szCs w:val="21"/>
      </w:rPr>
      <w:fldChar w:fldCharType="begin"/>
    </w:r>
    <w:r>
      <w:rPr>
        <w:rFonts w:ascii="Arial" w:eastAsia="黑体" w:hAnsi="Arial" w:cs="Arial"/>
        <w:b/>
        <w:szCs w:val="21"/>
      </w:rPr>
      <w:instrText xml:space="preserve"> DOCPROPERTY </w:instrText>
    </w:r>
    <w:r>
      <w:rPr>
        <w:rFonts w:ascii="Arial" w:eastAsia="黑体" w:hAnsi="Arial" w:cs="Arial" w:hint="eastAsia"/>
        <w:b/>
        <w:szCs w:val="21"/>
      </w:rPr>
      <w:instrText>公司名称</w:instrText>
    </w:r>
    <w:r>
      <w:rPr>
        <w:rFonts w:ascii="Arial" w:eastAsia="黑体" w:hAnsi="Arial" w:cs="Arial"/>
        <w:b/>
        <w:szCs w:val="21"/>
      </w:rPr>
      <w:instrText xml:space="preserve"> </w:instrText>
    </w:r>
    <w:r>
      <w:rPr>
        <w:rFonts w:ascii="Arial" w:eastAsia="黑体" w:hAnsi="Arial" w:cs="Arial"/>
        <w:b/>
        <w:szCs w:val="21"/>
      </w:rPr>
      <w:fldChar w:fldCharType="separate"/>
    </w:r>
    <w:r>
      <w:rPr>
        <w:rFonts w:ascii="Arial" w:eastAsia="黑体" w:hAnsi="Arial" w:cs="Arial" w:hint="eastAsia"/>
        <w:b/>
        <w:szCs w:val="21"/>
      </w:rPr>
      <w:t>厦门银行股份有限公司</w:t>
    </w:r>
    <w:r>
      <w:rPr>
        <w:rFonts w:ascii="Arial" w:eastAsia="黑体" w:hAnsi="Arial" w:cs="Arial"/>
        <w:b/>
        <w:szCs w:val="21"/>
      </w:rPr>
      <w:fldChar w:fldCharType="end"/>
    </w:r>
  </w:p>
  <w:p w:rsidR="00F22BE0" w:rsidRDefault="00F22BE0">
    <w:pPr>
      <w:overflowPunct w:val="0"/>
      <w:autoSpaceDE w:val="0"/>
      <w:autoSpaceDN w:val="0"/>
      <w:adjustRightInd w:val="0"/>
      <w:outlineLvl w:val="0"/>
      <w:rPr>
        <w:rFonts w:ascii="Arial" w:eastAsia="黑体" w:hAnsi="Arial" w:cs="Arial"/>
        <w:b/>
        <w:szCs w:val="21"/>
      </w:rPr>
    </w:pPr>
    <w:r>
      <w:rPr>
        <w:rFonts w:ascii="Arial" w:eastAsia="黑体" w:hAnsi="Arial" w:cs="Arial" w:hint="eastAsia"/>
        <w:b/>
        <w:szCs w:val="21"/>
      </w:rPr>
      <w:t>利润表</w:t>
    </w:r>
  </w:p>
  <w:p w:rsidR="00F22BE0" w:rsidRDefault="00F22BE0">
    <w:pPr>
      <w:tabs>
        <w:tab w:val="right" w:pos="8313"/>
      </w:tabs>
      <w:overflowPunct w:val="0"/>
      <w:autoSpaceDE w:val="0"/>
      <w:autoSpaceDN w:val="0"/>
      <w:adjustRightInd w:val="0"/>
      <w:rPr>
        <w:rFonts w:ascii="Arial" w:eastAsia="黑体" w:hAnsi="Arial" w:cs="Arial"/>
        <w:b/>
        <w:szCs w:val="21"/>
        <w:u w:val="single"/>
      </w:rPr>
    </w:pPr>
    <w:r>
      <w:rPr>
        <w:rFonts w:ascii="Arial" w:eastAsia="黑体" w:hAnsi="Arial" w:cs="Arial"/>
        <w:b/>
        <w:szCs w:val="21"/>
        <w:u w:val="single"/>
      </w:rPr>
      <w:t>截至</w:t>
    </w:r>
    <w:r>
      <w:rPr>
        <w:rFonts w:ascii="Arial" w:eastAsia="黑体" w:hAnsi="Arial" w:cs="Arial"/>
        <w:b/>
        <w:szCs w:val="21"/>
        <w:u w:val="single"/>
      </w:rPr>
      <w:t>2023</w:t>
    </w:r>
    <w:r>
      <w:rPr>
        <w:rFonts w:ascii="Arial" w:eastAsia="黑体" w:hAnsi="Arial" w:cs="Arial"/>
        <w:b/>
        <w:szCs w:val="21"/>
        <w:u w:val="single"/>
      </w:rPr>
      <w:t>年</w:t>
    </w:r>
    <w:r>
      <w:rPr>
        <w:rFonts w:ascii="Arial" w:eastAsia="黑体" w:hAnsi="Arial" w:cs="Arial"/>
        <w:b/>
        <w:szCs w:val="21"/>
        <w:u w:val="single"/>
      </w:rPr>
      <w:t>6</w:t>
    </w:r>
    <w:r>
      <w:rPr>
        <w:rFonts w:ascii="Arial" w:eastAsia="黑体" w:hAnsi="Arial" w:cs="Arial"/>
        <w:b/>
        <w:szCs w:val="21"/>
        <w:u w:val="single"/>
      </w:rPr>
      <w:t>月</w:t>
    </w:r>
    <w:r>
      <w:rPr>
        <w:rFonts w:ascii="Arial" w:eastAsia="黑体" w:hAnsi="Arial" w:cs="Arial"/>
        <w:b/>
        <w:szCs w:val="21"/>
        <w:u w:val="single"/>
      </w:rPr>
      <w:t>30</w:t>
    </w:r>
    <w:r>
      <w:rPr>
        <w:rFonts w:ascii="Arial" w:eastAsia="黑体" w:hAnsi="Arial" w:cs="Arial"/>
        <w:b/>
        <w:szCs w:val="21"/>
        <w:u w:val="single"/>
      </w:rPr>
      <w:t>日</w:t>
    </w:r>
    <w:proofErr w:type="gramStart"/>
    <w:r>
      <w:rPr>
        <w:rFonts w:ascii="Arial" w:eastAsia="黑体" w:hAnsi="Arial" w:cs="Arial"/>
        <w:b/>
        <w:szCs w:val="21"/>
        <w:u w:val="single"/>
      </w:rPr>
      <w:t>止</w:t>
    </w:r>
    <w:proofErr w:type="gramEnd"/>
    <w:r>
      <w:rPr>
        <w:rFonts w:ascii="Arial" w:eastAsia="黑体" w:hAnsi="Arial" w:cs="Arial"/>
        <w:b/>
        <w:szCs w:val="21"/>
        <w:u w:val="single"/>
      </w:rPr>
      <w:t>6</w:t>
    </w:r>
    <w:r>
      <w:rPr>
        <w:rFonts w:ascii="Arial" w:eastAsia="黑体" w:hAnsi="Arial" w:cs="Arial"/>
        <w:b/>
        <w:szCs w:val="21"/>
        <w:u w:val="single"/>
      </w:rPr>
      <w:t>个月</w:t>
    </w:r>
    <w:proofErr w:type="gramStart"/>
    <w:r>
      <w:rPr>
        <w:rFonts w:ascii="Arial" w:eastAsia="黑体" w:hAnsi="Arial" w:cs="Arial"/>
        <w:b/>
        <w:szCs w:val="21"/>
        <w:u w:val="single"/>
      </w:rPr>
      <w:t>期间</w:t>
    </w:r>
    <w:r>
      <w:rPr>
        <w:rFonts w:ascii="Arial" w:eastAsia="黑体" w:hAnsi="Arial" w:cs="Arial"/>
        <w:b/>
        <w:szCs w:val="21"/>
        <w:u w:val="single"/>
      </w:rPr>
      <w:tab/>
    </w:r>
    <w:proofErr w:type="gramEnd"/>
    <w:r>
      <w:rPr>
        <w:rFonts w:ascii="Arial" w:eastAsia="黑体" w:hAnsi="Arial" w:cs="Arial"/>
        <w:b/>
        <w:szCs w:val="21"/>
        <w:u w:val="single"/>
      </w:rPr>
      <w:t>人民币元</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1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overflowPunct w:val="0"/>
      <w:autoSpaceDE w:val="0"/>
      <w:autoSpaceDN w:val="0"/>
      <w:jc w:val="center"/>
      <w:rPr>
        <w:rFonts w:ascii="Arial" w:eastAsia="黑体" w:hAnsi="Arial" w:cs="Arial"/>
        <w:b/>
        <w:szCs w:val="21"/>
      </w:rPr>
    </w:pPr>
  </w:p>
  <w:p w:rsidR="00F22BE0" w:rsidRDefault="00F22BE0">
    <w:pPr>
      <w:overflowPunct w:val="0"/>
      <w:autoSpaceDE w:val="0"/>
      <w:autoSpaceDN w:val="0"/>
      <w:jc w:val="center"/>
      <w:rPr>
        <w:rFonts w:ascii="Arial" w:eastAsia="黑体" w:hAnsi="Arial" w:cs="Arial"/>
        <w:b/>
        <w:szCs w:val="21"/>
      </w:rPr>
    </w:pPr>
  </w:p>
  <w:bookmarkStart w:id="64" w:name="_Hlk77948070"/>
  <w:bookmarkStart w:id="65" w:name="_Hlk77948068"/>
  <w:bookmarkStart w:id="66" w:name="_Hlk77948067"/>
  <w:bookmarkStart w:id="67" w:name="_Hlk77948069"/>
  <w:p w:rsidR="00F22BE0" w:rsidRDefault="00F22BE0">
    <w:pPr>
      <w:overflowPunct w:val="0"/>
      <w:autoSpaceDE w:val="0"/>
      <w:autoSpaceDN w:val="0"/>
      <w:rPr>
        <w:rFonts w:ascii="黑体" w:eastAsia="黑体" w:hAnsi="黑体" w:cs="Arial"/>
        <w:b/>
        <w:szCs w:val="21"/>
      </w:rPr>
    </w:pPr>
    <w:r>
      <w:rPr>
        <w:rFonts w:ascii="黑体" w:eastAsia="黑体" w:hAnsi="黑体" w:cs="Arial"/>
        <w:b/>
        <w:szCs w:val="21"/>
      </w:rPr>
      <w:fldChar w:fldCharType="begin"/>
    </w:r>
    <w:r>
      <w:rPr>
        <w:rFonts w:ascii="黑体" w:eastAsia="黑体" w:hAnsi="黑体" w:cs="Arial"/>
        <w:b/>
        <w:szCs w:val="21"/>
      </w:rPr>
      <w:instrText xml:space="preserve"> DOCPROPERTY 公司名称 </w:instrText>
    </w:r>
    <w:r>
      <w:rPr>
        <w:rFonts w:ascii="黑体" w:eastAsia="黑体" w:hAnsi="黑体" w:cs="Arial"/>
        <w:b/>
        <w:szCs w:val="21"/>
      </w:rPr>
      <w:fldChar w:fldCharType="separate"/>
    </w:r>
    <w:r>
      <w:rPr>
        <w:rFonts w:ascii="黑体" w:eastAsia="黑体" w:hAnsi="黑体" w:cs="Arial"/>
        <w:b/>
        <w:szCs w:val="21"/>
      </w:rPr>
      <w:t>厦门银行股份有限公司</w:t>
    </w:r>
    <w:r>
      <w:rPr>
        <w:rFonts w:ascii="黑体" w:eastAsia="黑体" w:hAnsi="黑体" w:cs="Arial"/>
        <w:b/>
        <w:szCs w:val="21"/>
      </w:rPr>
      <w:fldChar w:fldCharType="end"/>
    </w:r>
  </w:p>
  <w:p w:rsidR="00F22BE0" w:rsidRDefault="00F22BE0">
    <w:pPr>
      <w:overflowPunct w:val="0"/>
      <w:autoSpaceDE w:val="0"/>
      <w:autoSpaceDN w:val="0"/>
      <w:rPr>
        <w:rFonts w:ascii="黑体" w:eastAsia="黑体" w:hAnsi="黑体" w:cs="Arial"/>
        <w:b/>
        <w:szCs w:val="21"/>
      </w:rPr>
    </w:pPr>
    <w:r>
      <w:rPr>
        <w:rFonts w:ascii="黑体" w:eastAsia="黑体" w:hAnsi="黑体" w:cs="Arial" w:hint="eastAsia"/>
        <w:b/>
        <w:szCs w:val="21"/>
      </w:rPr>
      <w:t>股东权益变动表</w:t>
    </w:r>
    <w:bookmarkEnd w:id="64"/>
    <w:bookmarkEnd w:id="65"/>
    <w:bookmarkEnd w:id="66"/>
    <w:bookmarkEnd w:id="67"/>
  </w:p>
  <w:p w:rsidR="00F22BE0" w:rsidRDefault="00F22BE0">
    <w:pPr>
      <w:tabs>
        <w:tab w:val="right" w:pos="13242"/>
      </w:tabs>
      <w:overflowPunct w:val="0"/>
      <w:autoSpaceDE w:val="0"/>
      <w:autoSpaceDN w:val="0"/>
      <w:rPr>
        <w:rFonts w:ascii="Arial" w:eastAsia="黑体" w:hAnsi="Arial" w:cs="Arial"/>
        <w:b/>
        <w:szCs w:val="21"/>
        <w:u w:val="single"/>
      </w:rPr>
    </w:pPr>
    <w:r>
      <w:rPr>
        <w:rFonts w:ascii="Arial" w:eastAsia="黑体" w:hAnsi="Arial" w:cs="Arial"/>
        <w:b/>
        <w:szCs w:val="21"/>
        <w:u w:val="single"/>
      </w:rPr>
      <w:t>截至</w:t>
    </w:r>
    <w:r>
      <w:rPr>
        <w:rFonts w:ascii="Arial" w:eastAsia="黑体" w:hAnsi="Arial" w:cs="Arial"/>
        <w:b/>
        <w:szCs w:val="21"/>
        <w:u w:val="single"/>
      </w:rPr>
      <w:t>2023</w:t>
    </w:r>
    <w:r>
      <w:rPr>
        <w:rFonts w:ascii="Arial" w:eastAsia="黑体" w:hAnsi="Arial" w:cs="Arial"/>
        <w:b/>
        <w:szCs w:val="21"/>
        <w:u w:val="single"/>
      </w:rPr>
      <w:t>年</w:t>
    </w:r>
    <w:r>
      <w:rPr>
        <w:rFonts w:ascii="Arial" w:eastAsia="黑体" w:hAnsi="Arial" w:cs="Arial"/>
        <w:b/>
        <w:szCs w:val="21"/>
        <w:u w:val="single"/>
      </w:rPr>
      <w:t>6</w:t>
    </w:r>
    <w:r>
      <w:rPr>
        <w:rFonts w:ascii="Arial" w:eastAsia="黑体" w:hAnsi="Arial" w:cs="Arial"/>
        <w:b/>
        <w:szCs w:val="21"/>
        <w:u w:val="single"/>
      </w:rPr>
      <w:t>月</w:t>
    </w:r>
    <w:r>
      <w:rPr>
        <w:rFonts w:ascii="Arial" w:eastAsia="黑体" w:hAnsi="Arial" w:cs="Arial"/>
        <w:b/>
        <w:szCs w:val="21"/>
        <w:u w:val="single"/>
      </w:rPr>
      <w:t>30</w:t>
    </w:r>
    <w:r>
      <w:rPr>
        <w:rFonts w:ascii="Arial" w:eastAsia="黑体" w:hAnsi="Arial" w:cs="Arial"/>
        <w:b/>
        <w:szCs w:val="21"/>
        <w:u w:val="single"/>
      </w:rPr>
      <w:t>日</w:t>
    </w:r>
    <w:proofErr w:type="gramStart"/>
    <w:r>
      <w:rPr>
        <w:rFonts w:ascii="Arial" w:eastAsia="黑体" w:hAnsi="Arial" w:cs="Arial"/>
        <w:b/>
        <w:szCs w:val="21"/>
        <w:u w:val="single"/>
      </w:rPr>
      <w:t>止</w:t>
    </w:r>
    <w:proofErr w:type="gramEnd"/>
    <w:r>
      <w:rPr>
        <w:rFonts w:ascii="Arial" w:eastAsia="黑体" w:hAnsi="Arial" w:cs="Arial"/>
        <w:b/>
        <w:szCs w:val="21"/>
        <w:u w:val="single"/>
      </w:rPr>
      <w:t>6</w:t>
    </w:r>
    <w:r>
      <w:rPr>
        <w:rFonts w:ascii="Arial" w:eastAsia="黑体" w:hAnsi="Arial" w:cs="Arial"/>
        <w:b/>
        <w:szCs w:val="21"/>
        <w:u w:val="single"/>
      </w:rPr>
      <w:t>个月</w:t>
    </w:r>
    <w:proofErr w:type="gramStart"/>
    <w:r>
      <w:rPr>
        <w:rFonts w:ascii="Arial" w:eastAsia="黑体" w:hAnsi="Arial" w:cs="Arial"/>
        <w:b/>
        <w:szCs w:val="21"/>
        <w:u w:val="single"/>
      </w:rPr>
      <w:t>期间</w:t>
    </w:r>
    <w:r>
      <w:rPr>
        <w:rFonts w:ascii="Arial" w:eastAsia="黑体" w:hAnsi="Arial" w:cs="Arial"/>
        <w:b/>
        <w:szCs w:val="21"/>
        <w:u w:val="single"/>
      </w:rPr>
      <w:tab/>
    </w:r>
    <w:proofErr w:type="gramEnd"/>
    <w:r>
      <w:rPr>
        <w:rFonts w:ascii="Arial" w:eastAsia="黑体" w:hAnsi="Arial" w:cs="Arial"/>
        <w:b/>
        <w:szCs w:val="21"/>
        <w:u w:val="single"/>
      </w:rPr>
      <w:t>人民币元</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1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overflowPunct w:val="0"/>
      <w:autoSpaceDE w:val="0"/>
      <w:autoSpaceDN w:val="0"/>
      <w:jc w:val="center"/>
      <w:rPr>
        <w:rFonts w:ascii="Arial" w:eastAsia="黑体" w:hAnsi="Arial" w:cs="Arial"/>
        <w:b/>
        <w:szCs w:val="21"/>
      </w:rPr>
    </w:pPr>
  </w:p>
  <w:p w:rsidR="00F22BE0" w:rsidRDefault="00F22BE0">
    <w:pPr>
      <w:overflowPunct w:val="0"/>
      <w:autoSpaceDE w:val="0"/>
      <w:autoSpaceDN w:val="0"/>
      <w:jc w:val="center"/>
      <w:rPr>
        <w:rFonts w:ascii="Arial" w:eastAsia="黑体" w:hAnsi="Arial" w:cs="Arial"/>
        <w:b/>
        <w:szCs w:val="21"/>
      </w:rPr>
    </w:pPr>
  </w:p>
  <w:p w:rsidR="00F22BE0" w:rsidRDefault="00F22BE0">
    <w:pPr>
      <w:overflowPunct w:val="0"/>
      <w:autoSpaceDE w:val="0"/>
      <w:autoSpaceDN w:val="0"/>
      <w:rPr>
        <w:rFonts w:ascii="黑体" w:eastAsia="黑体" w:hAnsi="黑体" w:cs="Arial"/>
        <w:b/>
        <w:szCs w:val="21"/>
      </w:rPr>
    </w:pPr>
    <w:r>
      <w:rPr>
        <w:rFonts w:ascii="黑体" w:eastAsia="黑体" w:hAnsi="黑体" w:cs="Arial"/>
        <w:b/>
        <w:szCs w:val="21"/>
      </w:rPr>
      <w:fldChar w:fldCharType="begin"/>
    </w:r>
    <w:r>
      <w:rPr>
        <w:rFonts w:ascii="黑体" w:eastAsia="黑体" w:hAnsi="黑体" w:cs="Arial"/>
        <w:b/>
        <w:szCs w:val="21"/>
      </w:rPr>
      <w:instrText xml:space="preserve"> DOCPROPERTY 公司名称 </w:instrText>
    </w:r>
    <w:r>
      <w:rPr>
        <w:rFonts w:ascii="黑体" w:eastAsia="黑体" w:hAnsi="黑体" w:cs="Arial"/>
        <w:b/>
        <w:szCs w:val="21"/>
      </w:rPr>
      <w:fldChar w:fldCharType="separate"/>
    </w:r>
    <w:r>
      <w:rPr>
        <w:rFonts w:ascii="黑体" w:eastAsia="黑体" w:hAnsi="黑体" w:cs="Arial"/>
        <w:b/>
        <w:szCs w:val="21"/>
      </w:rPr>
      <w:t>厦门银行股份有限公司</w:t>
    </w:r>
    <w:r>
      <w:rPr>
        <w:rFonts w:ascii="黑体" w:eastAsia="黑体" w:hAnsi="黑体" w:cs="Arial"/>
        <w:b/>
        <w:szCs w:val="21"/>
      </w:rPr>
      <w:fldChar w:fldCharType="end"/>
    </w:r>
  </w:p>
  <w:p w:rsidR="00F22BE0" w:rsidRDefault="00F22BE0">
    <w:pPr>
      <w:overflowPunct w:val="0"/>
      <w:autoSpaceDE w:val="0"/>
      <w:autoSpaceDN w:val="0"/>
      <w:rPr>
        <w:rFonts w:ascii="黑体" w:eastAsia="黑体" w:hAnsi="黑体" w:cs="Arial"/>
        <w:b/>
        <w:szCs w:val="21"/>
      </w:rPr>
    </w:pPr>
    <w:r>
      <w:rPr>
        <w:rFonts w:ascii="黑体" w:eastAsia="黑体" w:hAnsi="黑体" w:cs="Arial" w:hint="eastAsia"/>
        <w:b/>
        <w:szCs w:val="21"/>
      </w:rPr>
      <w:t>股东权益变动表（续）</w:t>
    </w:r>
  </w:p>
  <w:p w:rsidR="00F22BE0" w:rsidRDefault="00F22BE0">
    <w:pPr>
      <w:tabs>
        <w:tab w:val="right" w:pos="13242"/>
      </w:tabs>
      <w:overflowPunct w:val="0"/>
      <w:autoSpaceDE w:val="0"/>
      <w:autoSpaceDN w:val="0"/>
      <w:rPr>
        <w:rFonts w:ascii="Arial" w:eastAsia="黑体" w:hAnsi="Arial" w:cs="Arial"/>
        <w:b/>
        <w:szCs w:val="21"/>
        <w:u w:val="single"/>
      </w:rPr>
    </w:pPr>
    <w:r>
      <w:rPr>
        <w:rFonts w:ascii="Arial" w:eastAsia="黑体" w:hAnsi="Arial" w:cs="Arial"/>
        <w:b/>
        <w:szCs w:val="21"/>
        <w:u w:val="single"/>
      </w:rPr>
      <w:t>截至</w:t>
    </w:r>
    <w:r>
      <w:rPr>
        <w:rFonts w:ascii="Arial" w:eastAsia="黑体" w:hAnsi="Arial" w:cs="Arial"/>
        <w:b/>
        <w:szCs w:val="21"/>
        <w:u w:val="single"/>
      </w:rPr>
      <w:t>2023</w:t>
    </w:r>
    <w:r>
      <w:rPr>
        <w:rFonts w:ascii="Arial" w:eastAsia="黑体" w:hAnsi="Arial" w:cs="Arial"/>
        <w:b/>
        <w:szCs w:val="21"/>
        <w:u w:val="single"/>
      </w:rPr>
      <w:t>年</w:t>
    </w:r>
    <w:r>
      <w:rPr>
        <w:rFonts w:ascii="Arial" w:eastAsia="黑体" w:hAnsi="Arial" w:cs="Arial"/>
        <w:b/>
        <w:szCs w:val="21"/>
        <w:u w:val="single"/>
      </w:rPr>
      <w:t>6</w:t>
    </w:r>
    <w:r>
      <w:rPr>
        <w:rFonts w:ascii="Arial" w:eastAsia="黑体" w:hAnsi="Arial" w:cs="Arial"/>
        <w:b/>
        <w:szCs w:val="21"/>
        <w:u w:val="single"/>
      </w:rPr>
      <w:t>月</w:t>
    </w:r>
    <w:r>
      <w:rPr>
        <w:rFonts w:ascii="Arial" w:eastAsia="黑体" w:hAnsi="Arial" w:cs="Arial"/>
        <w:b/>
        <w:szCs w:val="21"/>
        <w:u w:val="single"/>
      </w:rPr>
      <w:t>30</w:t>
    </w:r>
    <w:r>
      <w:rPr>
        <w:rFonts w:ascii="Arial" w:eastAsia="黑体" w:hAnsi="Arial" w:cs="Arial"/>
        <w:b/>
        <w:szCs w:val="21"/>
        <w:u w:val="single"/>
      </w:rPr>
      <w:t>日</w:t>
    </w:r>
    <w:proofErr w:type="gramStart"/>
    <w:r>
      <w:rPr>
        <w:rFonts w:ascii="Arial" w:eastAsia="黑体" w:hAnsi="Arial" w:cs="Arial"/>
        <w:b/>
        <w:szCs w:val="21"/>
        <w:u w:val="single"/>
      </w:rPr>
      <w:t>止</w:t>
    </w:r>
    <w:proofErr w:type="gramEnd"/>
    <w:r>
      <w:rPr>
        <w:rFonts w:ascii="Arial" w:eastAsia="黑体" w:hAnsi="Arial" w:cs="Arial"/>
        <w:b/>
        <w:szCs w:val="21"/>
        <w:u w:val="single"/>
      </w:rPr>
      <w:t>6</w:t>
    </w:r>
    <w:r>
      <w:rPr>
        <w:rFonts w:ascii="Arial" w:eastAsia="黑体" w:hAnsi="Arial" w:cs="Arial"/>
        <w:b/>
        <w:szCs w:val="21"/>
        <w:u w:val="single"/>
      </w:rPr>
      <w:t>个月</w:t>
    </w:r>
    <w:proofErr w:type="gramStart"/>
    <w:r>
      <w:rPr>
        <w:rFonts w:ascii="Arial" w:eastAsia="黑体" w:hAnsi="Arial" w:cs="Arial"/>
        <w:b/>
        <w:szCs w:val="21"/>
        <w:u w:val="single"/>
      </w:rPr>
      <w:t>期间</w:t>
    </w:r>
    <w:r>
      <w:rPr>
        <w:rFonts w:ascii="Arial" w:eastAsia="黑体" w:hAnsi="Arial" w:cs="Arial"/>
        <w:b/>
        <w:szCs w:val="21"/>
        <w:u w:val="single"/>
      </w:rPr>
      <w:tab/>
    </w:r>
    <w:proofErr w:type="gramEnd"/>
    <w:r>
      <w:rPr>
        <w:rFonts w:ascii="Arial" w:eastAsia="黑体" w:hAnsi="Arial" w:cs="Arial"/>
        <w:b/>
        <w:szCs w:val="21"/>
        <w:u w:val="single"/>
      </w:rPr>
      <w:t>人民币元</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19"/>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overflowPunct w:val="0"/>
      <w:autoSpaceDE w:val="0"/>
      <w:autoSpaceDN w:val="0"/>
      <w:jc w:val="center"/>
      <w:rPr>
        <w:rFonts w:ascii="Arial" w:eastAsia="黑体" w:hAnsi="Arial" w:cs="Arial"/>
        <w:b/>
        <w:szCs w:val="21"/>
      </w:rPr>
    </w:pPr>
  </w:p>
  <w:p w:rsidR="00F22BE0" w:rsidRDefault="00F22BE0">
    <w:pPr>
      <w:overflowPunct w:val="0"/>
      <w:autoSpaceDE w:val="0"/>
      <w:autoSpaceDN w:val="0"/>
      <w:jc w:val="center"/>
      <w:rPr>
        <w:rFonts w:ascii="Arial" w:eastAsia="黑体" w:hAnsi="Arial" w:cs="Arial"/>
        <w:b/>
        <w:szCs w:val="21"/>
      </w:rPr>
    </w:pPr>
  </w:p>
  <w:p w:rsidR="00F22BE0" w:rsidRDefault="00F22BE0">
    <w:pPr>
      <w:overflowPunct w:val="0"/>
      <w:autoSpaceDE w:val="0"/>
      <w:autoSpaceDN w:val="0"/>
      <w:rPr>
        <w:rFonts w:ascii="Arial" w:eastAsia="黑体" w:hAnsi="Arial" w:cs="Arial"/>
        <w:b/>
        <w:szCs w:val="21"/>
      </w:rPr>
    </w:pPr>
    <w:r>
      <w:rPr>
        <w:rFonts w:ascii="Arial" w:eastAsia="黑体" w:hAnsi="Arial" w:cs="Arial"/>
        <w:b/>
        <w:szCs w:val="21"/>
      </w:rPr>
      <w:fldChar w:fldCharType="begin"/>
    </w:r>
    <w:r>
      <w:rPr>
        <w:rFonts w:ascii="Arial" w:eastAsia="黑体" w:hAnsi="Arial" w:cs="Arial"/>
        <w:b/>
        <w:szCs w:val="21"/>
      </w:rPr>
      <w:instrText xml:space="preserve"> DOCPROPERTY </w:instrText>
    </w:r>
    <w:r>
      <w:rPr>
        <w:rFonts w:ascii="Arial" w:eastAsia="黑体" w:hAnsi="Arial" w:cs="Arial" w:hint="eastAsia"/>
        <w:b/>
        <w:szCs w:val="21"/>
      </w:rPr>
      <w:instrText>公司名称</w:instrText>
    </w:r>
    <w:r>
      <w:rPr>
        <w:rFonts w:ascii="Arial" w:eastAsia="黑体" w:hAnsi="Arial" w:cs="Arial"/>
        <w:b/>
        <w:szCs w:val="21"/>
      </w:rPr>
      <w:instrText xml:space="preserve"> </w:instrText>
    </w:r>
    <w:r>
      <w:rPr>
        <w:rFonts w:ascii="Arial" w:eastAsia="黑体" w:hAnsi="Arial" w:cs="Arial"/>
        <w:b/>
        <w:szCs w:val="21"/>
      </w:rPr>
      <w:fldChar w:fldCharType="separate"/>
    </w:r>
    <w:r>
      <w:rPr>
        <w:rFonts w:ascii="Arial" w:eastAsia="黑体" w:hAnsi="Arial" w:cs="Arial" w:hint="eastAsia"/>
        <w:b/>
        <w:szCs w:val="21"/>
      </w:rPr>
      <w:t>厦门银行股份有限公司</w:t>
    </w:r>
    <w:r>
      <w:rPr>
        <w:rFonts w:ascii="Arial" w:eastAsia="黑体" w:hAnsi="Arial" w:cs="Arial"/>
        <w:b/>
        <w:szCs w:val="21"/>
      </w:rPr>
      <w:fldChar w:fldCharType="end"/>
    </w:r>
  </w:p>
  <w:p w:rsidR="00F22BE0" w:rsidRDefault="00F22BE0">
    <w:pPr>
      <w:overflowPunct w:val="0"/>
      <w:autoSpaceDE w:val="0"/>
      <w:autoSpaceDN w:val="0"/>
      <w:adjustRightInd w:val="0"/>
      <w:outlineLvl w:val="0"/>
      <w:rPr>
        <w:rFonts w:ascii="Arial" w:eastAsia="黑体" w:hAnsi="Arial" w:cs="Arial"/>
        <w:b/>
        <w:szCs w:val="21"/>
      </w:rPr>
    </w:pPr>
    <w:r>
      <w:rPr>
        <w:rFonts w:ascii="Arial" w:eastAsia="黑体" w:hAnsi="Arial" w:cs="Arial" w:hint="eastAsia"/>
        <w:b/>
        <w:szCs w:val="21"/>
      </w:rPr>
      <w:t>现金流量表（续）</w:t>
    </w:r>
  </w:p>
  <w:p w:rsidR="00F22BE0" w:rsidRDefault="00F22BE0">
    <w:pPr>
      <w:tabs>
        <w:tab w:val="right" w:pos="8313"/>
      </w:tabs>
      <w:overflowPunct w:val="0"/>
      <w:autoSpaceDE w:val="0"/>
      <w:autoSpaceDN w:val="0"/>
      <w:adjustRightInd w:val="0"/>
      <w:rPr>
        <w:rFonts w:ascii="Arial" w:eastAsia="黑体" w:hAnsi="Arial" w:cs="Arial"/>
        <w:b/>
        <w:szCs w:val="21"/>
        <w:u w:val="single"/>
      </w:rPr>
    </w:pPr>
    <w:r>
      <w:rPr>
        <w:rFonts w:ascii="Arial" w:eastAsia="黑体" w:hAnsi="Arial" w:cs="Arial"/>
        <w:b/>
        <w:szCs w:val="21"/>
        <w:u w:val="single"/>
      </w:rPr>
      <w:t>截至</w:t>
    </w:r>
    <w:r>
      <w:rPr>
        <w:rFonts w:ascii="Arial" w:eastAsia="黑体" w:hAnsi="Arial" w:cs="Arial"/>
        <w:b/>
        <w:szCs w:val="21"/>
        <w:u w:val="single"/>
      </w:rPr>
      <w:t>2023</w:t>
    </w:r>
    <w:r>
      <w:rPr>
        <w:rFonts w:ascii="Arial" w:eastAsia="黑体" w:hAnsi="Arial" w:cs="Arial"/>
        <w:b/>
        <w:szCs w:val="21"/>
        <w:u w:val="single"/>
      </w:rPr>
      <w:t>年</w:t>
    </w:r>
    <w:r>
      <w:rPr>
        <w:rFonts w:ascii="Arial" w:eastAsia="黑体" w:hAnsi="Arial" w:cs="Arial"/>
        <w:b/>
        <w:szCs w:val="21"/>
        <w:u w:val="single"/>
      </w:rPr>
      <w:t>6</w:t>
    </w:r>
    <w:r>
      <w:rPr>
        <w:rFonts w:ascii="Arial" w:eastAsia="黑体" w:hAnsi="Arial" w:cs="Arial"/>
        <w:b/>
        <w:szCs w:val="21"/>
        <w:u w:val="single"/>
      </w:rPr>
      <w:t>月</w:t>
    </w:r>
    <w:r>
      <w:rPr>
        <w:rFonts w:ascii="Arial" w:eastAsia="黑体" w:hAnsi="Arial" w:cs="Arial"/>
        <w:b/>
        <w:szCs w:val="21"/>
        <w:u w:val="single"/>
      </w:rPr>
      <w:t>30</w:t>
    </w:r>
    <w:r>
      <w:rPr>
        <w:rFonts w:ascii="Arial" w:eastAsia="黑体" w:hAnsi="Arial" w:cs="Arial"/>
        <w:b/>
        <w:szCs w:val="21"/>
        <w:u w:val="single"/>
      </w:rPr>
      <w:t>日</w:t>
    </w:r>
    <w:proofErr w:type="gramStart"/>
    <w:r>
      <w:rPr>
        <w:rFonts w:ascii="Arial" w:eastAsia="黑体" w:hAnsi="Arial" w:cs="Arial"/>
        <w:b/>
        <w:szCs w:val="21"/>
        <w:u w:val="single"/>
      </w:rPr>
      <w:t>止</w:t>
    </w:r>
    <w:proofErr w:type="gramEnd"/>
    <w:r>
      <w:rPr>
        <w:rFonts w:ascii="Arial" w:eastAsia="黑体" w:hAnsi="Arial" w:cs="Arial"/>
        <w:b/>
        <w:szCs w:val="21"/>
        <w:u w:val="single"/>
      </w:rPr>
      <w:t>6</w:t>
    </w:r>
    <w:r>
      <w:rPr>
        <w:rFonts w:ascii="Arial" w:eastAsia="黑体" w:hAnsi="Arial" w:cs="Arial"/>
        <w:b/>
        <w:szCs w:val="21"/>
        <w:u w:val="single"/>
      </w:rPr>
      <w:t>个月</w:t>
    </w:r>
    <w:proofErr w:type="gramStart"/>
    <w:r>
      <w:rPr>
        <w:rFonts w:ascii="Arial" w:eastAsia="黑体" w:hAnsi="Arial" w:cs="Arial"/>
        <w:b/>
        <w:szCs w:val="21"/>
        <w:u w:val="single"/>
      </w:rPr>
      <w:t>期间</w:t>
    </w:r>
    <w:r>
      <w:rPr>
        <w:rFonts w:ascii="Arial" w:eastAsia="黑体" w:hAnsi="Arial" w:cs="Arial"/>
        <w:b/>
        <w:szCs w:val="21"/>
        <w:u w:val="single"/>
      </w:rPr>
      <w:tab/>
    </w:r>
    <w:proofErr w:type="gramEnd"/>
    <w:r>
      <w:rPr>
        <w:rFonts w:ascii="Arial" w:eastAsia="黑体" w:hAnsi="Arial" w:cs="Arial"/>
        <w:b/>
        <w:szCs w:val="21"/>
        <w:u w:val="single"/>
      </w:rPr>
      <w:t>人民币元</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overflowPunct w:val="0"/>
      <w:autoSpaceDE w:val="0"/>
      <w:autoSpaceDN w:val="0"/>
      <w:jc w:val="center"/>
      <w:rPr>
        <w:rFonts w:ascii="Arial" w:eastAsia="黑体" w:hAnsi="Arial" w:cs="Arial"/>
        <w:b/>
        <w:szCs w:val="21"/>
      </w:rPr>
    </w:pPr>
  </w:p>
  <w:p w:rsidR="00F22BE0" w:rsidRDefault="00F22BE0">
    <w:pPr>
      <w:overflowPunct w:val="0"/>
      <w:autoSpaceDE w:val="0"/>
      <w:autoSpaceDN w:val="0"/>
      <w:jc w:val="center"/>
      <w:rPr>
        <w:rFonts w:ascii="Arial" w:eastAsia="黑体" w:hAnsi="Arial" w:cs="Arial"/>
        <w:b/>
        <w:szCs w:val="21"/>
      </w:rPr>
    </w:pPr>
  </w:p>
  <w:p w:rsidR="00F22BE0" w:rsidRDefault="00F22BE0">
    <w:pPr>
      <w:overflowPunct w:val="0"/>
      <w:autoSpaceDE w:val="0"/>
      <w:autoSpaceDN w:val="0"/>
      <w:rPr>
        <w:rFonts w:ascii="黑体" w:eastAsia="黑体" w:hAnsi="黑体" w:cs="Arial"/>
        <w:b/>
        <w:szCs w:val="21"/>
      </w:rPr>
    </w:pPr>
    <w:r>
      <w:rPr>
        <w:rFonts w:ascii="黑体" w:eastAsia="黑体" w:hAnsi="黑体" w:cs="Arial"/>
        <w:b/>
        <w:szCs w:val="21"/>
      </w:rPr>
      <w:fldChar w:fldCharType="begin"/>
    </w:r>
    <w:r>
      <w:rPr>
        <w:rFonts w:ascii="黑体" w:eastAsia="黑体" w:hAnsi="黑体" w:cs="Arial"/>
        <w:b/>
        <w:szCs w:val="21"/>
      </w:rPr>
      <w:instrText xml:space="preserve"> DOCPROPERTY 公司名称 </w:instrText>
    </w:r>
    <w:r>
      <w:rPr>
        <w:rFonts w:ascii="黑体" w:eastAsia="黑体" w:hAnsi="黑体" w:cs="Arial"/>
        <w:b/>
        <w:szCs w:val="21"/>
      </w:rPr>
      <w:fldChar w:fldCharType="separate"/>
    </w:r>
    <w:r>
      <w:rPr>
        <w:rFonts w:ascii="黑体" w:eastAsia="黑体" w:hAnsi="黑体" w:cs="Arial"/>
        <w:b/>
        <w:szCs w:val="21"/>
      </w:rPr>
      <w:t>厦门银行股份有限公司</w:t>
    </w:r>
    <w:r>
      <w:rPr>
        <w:rFonts w:ascii="黑体" w:eastAsia="黑体" w:hAnsi="黑体" w:cs="Arial"/>
        <w:b/>
        <w:szCs w:val="21"/>
      </w:rPr>
      <w:fldChar w:fldCharType="end"/>
    </w:r>
  </w:p>
  <w:p w:rsidR="00F22BE0" w:rsidRDefault="00F22BE0">
    <w:pPr>
      <w:overflowPunct w:val="0"/>
      <w:autoSpaceDE w:val="0"/>
      <w:autoSpaceDN w:val="0"/>
      <w:adjustRightInd w:val="0"/>
      <w:outlineLvl w:val="0"/>
      <w:rPr>
        <w:rFonts w:ascii="黑体" w:eastAsia="黑体" w:hAnsi="黑体" w:cs="Arial"/>
        <w:b/>
        <w:szCs w:val="21"/>
      </w:rPr>
    </w:pPr>
    <w:r>
      <w:rPr>
        <w:rFonts w:ascii="黑体" w:eastAsia="黑体" w:hAnsi="黑体" w:cs="Arial" w:hint="eastAsia"/>
        <w:b/>
        <w:szCs w:val="21"/>
      </w:rPr>
      <w:t>现金流量表</w:t>
    </w:r>
  </w:p>
  <w:p w:rsidR="00F22BE0" w:rsidRDefault="00F22BE0">
    <w:pPr>
      <w:tabs>
        <w:tab w:val="right" w:pos="8313"/>
      </w:tabs>
      <w:overflowPunct w:val="0"/>
      <w:autoSpaceDE w:val="0"/>
      <w:autoSpaceDN w:val="0"/>
      <w:adjustRightInd w:val="0"/>
      <w:rPr>
        <w:rFonts w:ascii="Arial" w:eastAsia="黑体" w:hAnsi="Arial" w:cs="Arial"/>
        <w:b/>
        <w:szCs w:val="21"/>
        <w:u w:val="single"/>
      </w:rPr>
    </w:pPr>
    <w:r>
      <w:rPr>
        <w:rFonts w:ascii="Arial" w:eastAsia="黑体" w:hAnsi="Arial" w:cs="Arial"/>
        <w:b/>
        <w:szCs w:val="21"/>
        <w:u w:val="single"/>
      </w:rPr>
      <w:t>截至</w:t>
    </w:r>
    <w:r>
      <w:rPr>
        <w:rFonts w:ascii="Arial" w:eastAsia="黑体" w:hAnsi="Arial" w:cs="Arial"/>
        <w:b/>
        <w:szCs w:val="21"/>
        <w:u w:val="single"/>
      </w:rPr>
      <w:t>2023</w:t>
    </w:r>
    <w:r>
      <w:rPr>
        <w:rFonts w:ascii="Arial" w:eastAsia="黑体" w:hAnsi="Arial" w:cs="Arial"/>
        <w:b/>
        <w:szCs w:val="21"/>
        <w:u w:val="single"/>
      </w:rPr>
      <w:t>年</w:t>
    </w:r>
    <w:r>
      <w:rPr>
        <w:rFonts w:ascii="Arial" w:eastAsia="黑体" w:hAnsi="Arial" w:cs="Arial"/>
        <w:b/>
        <w:szCs w:val="21"/>
        <w:u w:val="single"/>
      </w:rPr>
      <w:t>6</w:t>
    </w:r>
    <w:r>
      <w:rPr>
        <w:rFonts w:ascii="Arial" w:eastAsia="黑体" w:hAnsi="Arial" w:cs="Arial"/>
        <w:b/>
        <w:szCs w:val="21"/>
        <w:u w:val="single"/>
      </w:rPr>
      <w:t>月</w:t>
    </w:r>
    <w:r>
      <w:rPr>
        <w:rFonts w:ascii="Arial" w:eastAsia="黑体" w:hAnsi="Arial" w:cs="Arial"/>
        <w:b/>
        <w:szCs w:val="21"/>
        <w:u w:val="single"/>
      </w:rPr>
      <w:t>30</w:t>
    </w:r>
    <w:r>
      <w:rPr>
        <w:rFonts w:ascii="Arial" w:eastAsia="黑体" w:hAnsi="Arial" w:cs="Arial"/>
        <w:b/>
        <w:szCs w:val="21"/>
        <w:u w:val="single"/>
      </w:rPr>
      <w:t>日</w:t>
    </w:r>
    <w:proofErr w:type="gramStart"/>
    <w:r>
      <w:rPr>
        <w:rFonts w:ascii="Arial" w:eastAsia="黑体" w:hAnsi="Arial" w:cs="Arial"/>
        <w:b/>
        <w:szCs w:val="21"/>
        <w:u w:val="single"/>
      </w:rPr>
      <w:t>止</w:t>
    </w:r>
    <w:proofErr w:type="gramEnd"/>
    <w:r>
      <w:rPr>
        <w:rFonts w:ascii="Arial" w:eastAsia="黑体" w:hAnsi="Arial" w:cs="Arial"/>
        <w:b/>
        <w:szCs w:val="21"/>
        <w:u w:val="single"/>
      </w:rPr>
      <w:t>6</w:t>
    </w:r>
    <w:r>
      <w:rPr>
        <w:rFonts w:ascii="Arial" w:eastAsia="黑体" w:hAnsi="Arial" w:cs="Arial"/>
        <w:b/>
        <w:szCs w:val="21"/>
        <w:u w:val="single"/>
      </w:rPr>
      <w:t>个月</w:t>
    </w:r>
    <w:proofErr w:type="gramStart"/>
    <w:r>
      <w:rPr>
        <w:rFonts w:ascii="Arial" w:eastAsia="黑体" w:hAnsi="Arial" w:cs="Arial"/>
        <w:b/>
        <w:szCs w:val="21"/>
        <w:u w:val="single"/>
      </w:rPr>
      <w:t>期间</w:t>
    </w:r>
    <w:r>
      <w:rPr>
        <w:rFonts w:ascii="Arial" w:eastAsia="黑体" w:hAnsi="Arial" w:cs="Arial"/>
        <w:b/>
        <w:szCs w:val="21"/>
        <w:u w:val="single"/>
      </w:rPr>
      <w:tab/>
    </w:r>
    <w:proofErr w:type="gramEnd"/>
    <w:r>
      <w:rPr>
        <w:rFonts w:ascii="Arial" w:eastAsia="黑体" w:hAnsi="Arial" w:cs="Arial"/>
        <w:b/>
        <w:szCs w:val="21"/>
        <w:u w:val="single"/>
      </w:rPr>
      <w:t>人民币元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1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1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e"/>
      <w:tabs>
        <w:tab w:val="right" w:pos="8313"/>
      </w:tabs>
      <w:overflowPunct w:val="0"/>
      <w:autoSpaceDE w:val="0"/>
      <w:autoSpaceDN w:val="0"/>
      <w:adjustRightInd w:val="0"/>
      <w:jc w:val="center"/>
      <w:rPr>
        <w:rFonts w:ascii="Arial" w:eastAsia="黑体" w:hAnsi="Arial" w:cs="Arial"/>
        <w:b/>
        <w:sz w:val="21"/>
        <w:szCs w:val="21"/>
      </w:rPr>
    </w:pPr>
    <w:r>
      <w:rPr>
        <w:rFonts w:ascii="Arial" w:eastAsia="黑体" w:hAnsi="Arial" w:cs="Arial"/>
        <w:b/>
        <w:sz w:val="21"/>
        <w:szCs w:val="21"/>
      </w:rPr>
      <w:t xml:space="preserve"> </w:t>
    </w:r>
  </w:p>
  <w:p w:rsidR="00F22BE0" w:rsidRDefault="00F22BE0">
    <w:pPr>
      <w:pStyle w:val="ae"/>
      <w:overflowPunct w:val="0"/>
      <w:autoSpaceDE w:val="0"/>
      <w:autoSpaceDN w:val="0"/>
      <w:adjustRightInd w:val="0"/>
      <w:jc w:val="center"/>
      <w:rPr>
        <w:rFonts w:ascii="Arial" w:eastAsia="黑体" w:hAnsi="Arial" w:cs="Arial"/>
        <w:b/>
        <w:sz w:val="21"/>
        <w:szCs w:val="21"/>
      </w:rPr>
    </w:pPr>
  </w:p>
  <w:bookmarkStart w:id="126" w:name="_Hlk77948847"/>
  <w:bookmarkStart w:id="127" w:name="_Hlk77948848"/>
  <w:p w:rsidR="00F22BE0" w:rsidRDefault="00F22BE0">
    <w:pPr>
      <w:pStyle w:val="ae"/>
      <w:tabs>
        <w:tab w:val="left" w:pos="4379"/>
      </w:tabs>
      <w:overflowPunct w:val="0"/>
      <w:autoSpaceDE w:val="0"/>
      <w:autoSpaceDN w:val="0"/>
      <w:adjustRightInd w:val="0"/>
      <w:jc w:val="left"/>
      <w:rPr>
        <w:rFonts w:ascii="黑体" w:eastAsia="黑体" w:hAnsi="黑体" w:cs="Arial"/>
        <w:b/>
        <w:sz w:val="21"/>
        <w:szCs w:val="21"/>
      </w:rPr>
    </w:pPr>
    <w:r>
      <w:rPr>
        <w:rFonts w:ascii="黑体" w:eastAsia="黑体" w:hAnsi="黑体" w:cs="Arial"/>
        <w:b/>
        <w:sz w:val="21"/>
        <w:szCs w:val="21"/>
      </w:rPr>
      <w:fldChar w:fldCharType="begin"/>
    </w:r>
    <w:r>
      <w:rPr>
        <w:rFonts w:ascii="黑体" w:eastAsia="黑体" w:hAnsi="黑体" w:cs="Arial"/>
        <w:b/>
        <w:sz w:val="21"/>
        <w:szCs w:val="21"/>
      </w:rPr>
      <w:instrText xml:space="preserve"> DOCPROPERTY 公司名称 </w:instrText>
    </w:r>
    <w:r>
      <w:rPr>
        <w:rFonts w:ascii="黑体" w:eastAsia="黑体" w:hAnsi="黑体" w:cs="Arial"/>
        <w:b/>
        <w:sz w:val="21"/>
        <w:szCs w:val="21"/>
      </w:rPr>
      <w:fldChar w:fldCharType="separate"/>
    </w:r>
    <w:r>
      <w:rPr>
        <w:rFonts w:ascii="黑体" w:eastAsia="黑体" w:hAnsi="黑体" w:cs="Arial"/>
        <w:b/>
        <w:sz w:val="21"/>
        <w:szCs w:val="21"/>
      </w:rPr>
      <w:t>厦门银行股份有限公司</w:t>
    </w:r>
    <w:r>
      <w:rPr>
        <w:rFonts w:ascii="黑体" w:eastAsia="黑体" w:hAnsi="黑体" w:cs="Arial"/>
        <w:b/>
        <w:sz w:val="21"/>
        <w:szCs w:val="21"/>
      </w:rPr>
      <w:fldChar w:fldCharType="end"/>
    </w:r>
  </w:p>
  <w:p w:rsidR="00F22BE0" w:rsidRDefault="00F22BE0">
    <w:pPr>
      <w:overflowPunct w:val="0"/>
      <w:autoSpaceDE w:val="0"/>
      <w:autoSpaceDN w:val="0"/>
      <w:adjustRightInd w:val="0"/>
      <w:outlineLvl w:val="0"/>
      <w:rPr>
        <w:rFonts w:ascii="黑体" w:eastAsia="黑体" w:hAnsi="黑体" w:cs="Arial"/>
        <w:b/>
        <w:szCs w:val="21"/>
      </w:rPr>
    </w:pPr>
    <w:r>
      <w:rPr>
        <w:rFonts w:ascii="黑体" w:eastAsia="黑体" w:hAnsi="黑体" w:hint="eastAsia"/>
        <w:b/>
        <w:bCs/>
        <w:snapToGrid w:val="0"/>
        <w:szCs w:val="21"/>
      </w:rPr>
      <w:t>财务报表附注</w:t>
    </w:r>
    <w:r>
      <w:rPr>
        <w:rFonts w:ascii="Arial" w:eastAsia="黑体" w:hAnsi="Arial" w:cs="Arial" w:hint="eastAsia"/>
        <w:b/>
        <w:szCs w:val="21"/>
      </w:rPr>
      <w:t>（续）</w:t>
    </w:r>
  </w:p>
  <w:p w:rsidR="00F22BE0" w:rsidRDefault="00F22BE0">
    <w:pPr>
      <w:tabs>
        <w:tab w:val="right" w:pos="8313"/>
      </w:tabs>
      <w:overflowPunct w:val="0"/>
      <w:autoSpaceDE w:val="0"/>
      <w:autoSpaceDN w:val="0"/>
      <w:adjustRightInd w:val="0"/>
      <w:rPr>
        <w:rFonts w:ascii="Arial" w:eastAsia="黑体" w:hAnsi="Arial" w:cs="Arial"/>
        <w:b/>
        <w:szCs w:val="21"/>
        <w:u w:val="single"/>
      </w:rPr>
    </w:pPr>
    <w:bookmarkStart w:id="128" w:name="_Hlk135304270"/>
    <w:bookmarkStart w:id="129" w:name="_Hlk135304269"/>
    <w:bookmarkEnd w:id="126"/>
    <w:bookmarkEnd w:id="127"/>
    <w:r>
      <w:rPr>
        <w:rFonts w:ascii="Arial" w:eastAsia="黑体" w:hAnsi="Arial" w:cs="Arial"/>
        <w:b/>
        <w:szCs w:val="21"/>
        <w:u w:val="single"/>
      </w:rPr>
      <w:t>截至</w:t>
    </w:r>
    <w:r>
      <w:rPr>
        <w:rFonts w:ascii="Arial" w:eastAsia="黑体" w:hAnsi="Arial" w:cs="Arial"/>
        <w:b/>
        <w:szCs w:val="21"/>
        <w:u w:val="single"/>
      </w:rPr>
      <w:t>2023</w:t>
    </w:r>
    <w:r>
      <w:rPr>
        <w:rFonts w:ascii="Arial" w:eastAsia="黑体" w:hAnsi="Arial" w:cs="Arial"/>
        <w:b/>
        <w:szCs w:val="21"/>
        <w:u w:val="single"/>
      </w:rPr>
      <w:t>年</w:t>
    </w:r>
    <w:r>
      <w:rPr>
        <w:rFonts w:ascii="Arial" w:eastAsia="黑体" w:hAnsi="Arial" w:cs="Arial"/>
        <w:b/>
        <w:szCs w:val="21"/>
        <w:u w:val="single"/>
      </w:rPr>
      <w:t>6</w:t>
    </w:r>
    <w:r>
      <w:rPr>
        <w:rFonts w:ascii="Arial" w:eastAsia="黑体" w:hAnsi="Arial" w:cs="Arial"/>
        <w:b/>
        <w:szCs w:val="21"/>
        <w:u w:val="single"/>
      </w:rPr>
      <w:t>月</w:t>
    </w:r>
    <w:r>
      <w:rPr>
        <w:rFonts w:ascii="Arial" w:eastAsia="黑体" w:hAnsi="Arial" w:cs="Arial"/>
        <w:b/>
        <w:szCs w:val="21"/>
        <w:u w:val="single"/>
      </w:rPr>
      <w:t>30</w:t>
    </w:r>
    <w:r>
      <w:rPr>
        <w:rFonts w:ascii="Arial" w:eastAsia="黑体" w:hAnsi="Arial" w:cs="Arial"/>
        <w:b/>
        <w:szCs w:val="21"/>
        <w:u w:val="single"/>
      </w:rPr>
      <w:t>日</w:t>
    </w:r>
    <w:proofErr w:type="gramStart"/>
    <w:r>
      <w:rPr>
        <w:rFonts w:ascii="Arial" w:eastAsia="黑体" w:hAnsi="Arial" w:cs="Arial"/>
        <w:b/>
        <w:szCs w:val="21"/>
        <w:u w:val="single"/>
      </w:rPr>
      <w:t>止</w:t>
    </w:r>
    <w:proofErr w:type="gramEnd"/>
    <w:r>
      <w:rPr>
        <w:rFonts w:ascii="Arial" w:eastAsia="黑体" w:hAnsi="Arial" w:cs="Arial"/>
        <w:b/>
        <w:szCs w:val="21"/>
        <w:u w:val="single"/>
      </w:rPr>
      <w:t>6</w:t>
    </w:r>
    <w:r>
      <w:rPr>
        <w:rFonts w:ascii="Arial" w:eastAsia="黑体" w:hAnsi="Arial" w:cs="Arial"/>
        <w:b/>
        <w:szCs w:val="21"/>
        <w:u w:val="single"/>
      </w:rPr>
      <w:t>个月</w:t>
    </w:r>
    <w:proofErr w:type="gramStart"/>
    <w:r>
      <w:rPr>
        <w:rFonts w:ascii="Arial" w:eastAsia="黑体" w:hAnsi="Arial" w:cs="Arial"/>
        <w:b/>
        <w:szCs w:val="21"/>
        <w:u w:val="single"/>
      </w:rPr>
      <w:t>期间</w:t>
    </w:r>
    <w:r>
      <w:rPr>
        <w:rFonts w:ascii="Arial" w:eastAsia="黑体" w:hAnsi="Arial" w:cs="Arial"/>
        <w:b/>
        <w:szCs w:val="21"/>
        <w:u w:val="single"/>
      </w:rPr>
      <w:tab/>
    </w:r>
    <w:proofErr w:type="gramEnd"/>
    <w:r>
      <w:rPr>
        <w:rFonts w:ascii="Arial" w:eastAsia="黑体" w:hAnsi="Arial" w:cs="Arial"/>
        <w:b/>
        <w:szCs w:val="21"/>
        <w:u w:val="single"/>
      </w:rPr>
      <w:t>人民币元</w:t>
    </w:r>
    <w:bookmarkEnd w:id="128"/>
    <w:bookmarkEnd w:id="129"/>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rPr>
        <w:szCs w:val="21"/>
      </w:rPr>
    </w:pPr>
  </w:p>
  <w:p w:rsidR="00F22BE0" w:rsidRDefault="00F22BE0">
    <w:pPr>
      <w:pStyle w:val="ae"/>
      <w:overflowPunct w:val="0"/>
      <w:autoSpaceDE w:val="0"/>
      <w:autoSpaceDN w:val="0"/>
      <w:adjustRightInd w:val="0"/>
      <w:jc w:val="left"/>
      <w:rPr>
        <w:rFonts w:ascii="黑体" w:eastAsia="黑体" w:hAnsi="黑体" w:cs="Arial"/>
        <w:b/>
        <w:sz w:val="21"/>
        <w:szCs w:val="21"/>
      </w:rPr>
    </w:pPr>
    <w:r>
      <w:rPr>
        <w:rFonts w:ascii="黑体" w:eastAsia="黑体" w:hAnsi="黑体" w:cs="Arial"/>
        <w:b/>
        <w:sz w:val="21"/>
        <w:szCs w:val="21"/>
      </w:rPr>
      <w:fldChar w:fldCharType="begin"/>
    </w:r>
    <w:r>
      <w:rPr>
        <w:rFonts w:ascii="黑体" w:eastAsia="黑体" w:hAnsi="黑体" w:cs="Arial"/>
        <w:b/>
        <w:sz w:val="21"/>
        <w:szCs w:val="21"/>
      </w:rPr>
      <w:instrText xml:space="preserve"> DOCPROPERTY 公司名称 </w:instrText>
    </w:r>
    <w:r>
      <w:rPr>
        <w:rFonts w:ascii="黑体" w:eastAsia="黑体" w:hAnsi="黑体" w:cs="Arial"/>
        <w:b/>
        <w:sz w:val="21"/>
        <w:szCs w:val="21"/>
      </w:rPr>
      <w:fldChar w:fldCharType="separate"/>
    </w:r>
    <w:r>
      <w:rPr>
        <w:rFonts w:ascii="黑体" w:eastAsia="黑体" w:hAnsi="黑体" w:cs="Arial"/>
        <w:b/>
        <w:sz w:val="21"/>
        <w:szCs w:val="21"/>
      </w:rPr>
      <w:t>厦门银行股份有限公司</w:t>
    </w:r>
    <w:r>
      <w:rPr>
        <w:rFonts w:ascii="黑体" w:eastAsia="黑体" w:hAnsi="黑体" w:cs="Arial"/>
        <w:b/>
        <w:sz w:val="21"/>
        <w:szCs w:val="21"/>
      </w:rPr>
      <w:fldChar w:fldCharType="end"/>
    </w:r>
  </w:p>
  <w:p w:rsidR="00F22BE0" w:rsidRDefault="00F22BE0">
    <w:pPr>
      <w:overflowPunct w:val="0"/>
      <w:autoSpaceDE w:val="0"/>
      <w:autoSpaceDN w:val="0"/>
      <w:adjustRightInd w:val="0"/>
      <w:outlineLvl w:val="0"/>
      <w:rPr>
        <w:rFonts w:ascii="黑体" w:eastAsia="黑体" w:hAnsi="黑体" w:cs="Arial"/>
        <w:b/>
        <w:szCs w:val="21"/>
      </w:rPr>
    </w:pPr>
    <w:r>
      <w:rPr>
        <w:rFonts w:ascii="黑体" w:eastAsia="黑体" w:hAnsi="黑体" w:hint="eastAsia"/>
        <w:b/>
        <w:bCs/>
        <w:snapToGrid w:val="0"/>
        <w:szCs w:val="21"/>
      </w:rPr>
      <w:t>财务报表附注</w:t>
    </w:r>
  </w:p>
  <w:p w:rsidR="00F22BE0" w:rsidRDefault="00F22BE0">
    <w:pPr>
      <w:tabs>
        <w:tab w:val="right" w:pos="8313"/>
      </w:tabs>
      <w:overflowPunct w:val="0"/>
      <w:autoSpaceDE w:val="0"/>
      <w:autoSpaceDN w:val="0"/>
      <w:adjustRightInd w:val="0"/>
      <w:rPr>
        <w:rFonts w:ascii="Arial" w:eastAsia="黑体" w:hAnsi="Arial" w:cs="Arial"/>
        <w:b/>
        <w:szCs w:val="21"/>
        <w:u w:val="single"/>
      </w:rPr>
    </w:pPr>
    <w:r>
      <w:rPr>
        <w:rFonts w:ascii="Arial" w:eastAsia="黑体" w:hAnsi="Arial" w:cs="Arial"/>
        <w:b/>
        <w:szCs w:val="21"/>
        <w:u w:val="single"/>
      </w:rPr>
      <w:t>截至</w:t>
    </w:r>
    <w:r>
      <w:rPr>
        <w:rFonts w:ascii="Arial" w:eastAsia="黑体" w:hAnsi="Arial" w:cs="Arial"/>
        <w:b/>
        <w:szCs w:val="21"/>
        <w:u w:val="single"/>
      </w:rPr>
      <w:t>2023</w:t>
    </w:r>
    <w:r>
      <w:rPr>
        <w:rFonts w:ascii="Arial" w:eastAsia="黑体" w:hAnsi="Arial" w:cs="Arial"/>
        <w:b/>
        <w:szCs w:val="21"/>
        <w:u w:val="single"/>
      </w:rPr>
      <w:t>年</w:t>
    </w:r>
    <w:r>
      <w:rPr>
        <w:rFonts w:ascii="Arial" w:eastAsia="黑体" w:hAnsi="Arial" w:cs="Arial"/>
        <w:b/>
        <w:szCs w:val="21"/>
        <w:u w:val="single"/>
      </w:rPr>
      <w:t>6</w:t>
    </w:r>
    <w:r>
      <w:rPr>
        <w:rFonts w:ascii="Arial" w:eastAsia="黑体" w:hAnsi="Arial" w:cs="Arial"/>
        <w:b/>
        <w:szCs w:val="21"/>
        <w:u w:val="single"/>
      </w:rPr>
      <w:t>月</w:t>
    </w:r>
    <w:r>
      <w:rPr>
        <w:rFonts w:ascii="Arial" w:eastAsia="黑体" w:hAnsi="Arial" w:cs="Arial"/>
        <w:b/>
        <w:szCs w:val="21"/>
        <w:u w:val="single"/>
      </w:rPr>
      <w:t>30</w:t>
    </w:r>
    <w:r>
      <w:rPr>
        <w:rFonts w:ascii="Arial" w:eastAsia="黑体" w:hAnsi="Arial" w:cs="Arial"/>
        <w:b/>
        <w:szCs w:val="21"/>
        <w:u w:val="single"/>
      </w:rPr>
      <w:t>日</w:t>
    </w:r>
    <w:proofErr w:type="gramStart"/>
    <w:r>
      <w:rPr>
        <w:rFonts w:ascii="Arial" w:eastAsia="黑体" w:hAnsi="Arial" w:cs="Arial"/>
        <w:b/>
        <w:szCs w:val="21"/>
        <w:u w:val="single"/>
      </w:rPr>
      <w:t>止</w:t>
    </w:r>
    <w:proofErr w:type="gramEnd"/>
    <w:r>
      <w:rPr>
        <w:rFonts w:ascii="Arial" w:eastAsia="黑体" w:hAnsi="Arial" w:cs="Arial"/>
        <w:b/>
        <w:szCs w:val="21"/>
        <w:u w:val="single"/>
      </w:rPr>
      <w:t>6</w:t>
    </w:r>
    <w:r>
      <w:rPr>
        <w:rFonts w:ascii="Arial" w:eastAsia="黑体" w:hAnsi="Arial" w:cs="Arial"/>
        <w:b/>
        <w:szCs w:val="21"/>
        <w:u w:val="single"/>
      </w:rPr>
      <w:t>个月</w:t>
    </w:r>
    <w:proofErr w:type="gramStart"/>
    <w:r>
      <w:rPr>
        <w:rFonts w:ascii="Arial" w:eastAsia="黑体" w:hAnsi="Arial" w:cs="Arial"/>
        <w:b/>
        <w:szCs w:val="21"/>
        <w:u w:val="single"/>
      </w:rPr>
      <w:t>期间</w:t>
    </w:r>
    <w:r>
      <w:rPr>
        <w:rFonts w:ascii="Arial" w:eastAsia="黑体" w:hAnsi="Arial" w:cs="Arial"/>
        <w:b/>
        <w:szCs w:val="21"/>
        <w:u w:val="single"/>
      </w:rPr>
      <w:tab/>
    </w:r>
    <w:proofErr w:type="gramEnd"/>
    <w:r>
      <w:rPr>
        <w:rFonts w:ascii="Arial" w:eastAsia="黑体" w:hAnsi="Arial" w:cs="Arial"/>
        <w:b/>
        <w:szCs w:val="21"/>
        <w:u w:val="single"/>
      </w:rPr>
      <w:t>人民币元</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1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e"/>
      <w:overflowPunct w:val="0"/>
      <w:autoSpaceDE w:val="0"/>
      <w:autoSpaceDN w:val="0"/>
      <w:adjustRightInd w:val="0"/>
      <w:jc w:val="left"/>
      <w:rPr>
        <w:rFonts w:ascii="黑体" w:eastAsia="黑体" w:hAnsi="黑体" w:cs="Arial"/>
        <w:b/>
        <w:sz w:val="21"/>
        <w:szCs w:val="21"/>
      </w:rPr>
    </w:pPr>
    <w:r>
      <w:rPr>
        <w:rFonts w:ascii="黑体" w:eastAsia="黑体" w:hAnsi="黑体" w:cs="Arial"/>
        <w:b/>
        <w:sz w:val="21"/>
        <w:szCs w:val="21"/>
      </w:rPr>
      <w:fldChar w:fldCharType="begin"/>
    </w:r>
    <w:r>
      <w:rPr>
        <w:rFonts w:ascii="黑体" w:eastAsia="黑体" w:hAnsi="黑体" w:cs="Arial"/>
        <w:b/>
        <w:sz w:val="21"/>
        <w:szCs w:val="21"/>
      </w:rPr>
      <w:instrText xml:space="preserve"> DOCPROPERTY 公司名称 </w:instrText>
    </w:r>
    <w:r>
      <w:rPr>
        <w:rFonts w:ascii="黑体" w:eastAsia="黑体" w:hAnsi="黑体" w:cs="Arial"/>
        <w:b/>
        <w:sz w:val="21"/>
        <w:szCs w:val="21"/>
      </w:rPr>
      <w:fldChar w:fldCharType="separate"/>
    </w:r>
    <w:r>
      <w:rPr>
        <w:rFonts w:ascii="黑体" w:eastAsia="黑体" w:hAnsi="黑体" w:cs="Arial"/>
        <w:b/>
        <w:sz w:val="21"/>
        <w:szCs w:val="21"/>
      </w:rPr>
      <w:t>厦门银行股份有限公司</w:t>
    </w:r>
    <w:r>
      <w:rPr>
        <w:rFonts w:ascii="黑体" w:eastAsia="黑体" w:hAnsi="黑体" w:cs="Arial"/>
        <w:b/>
        <w:sz w:val="21"/>
        <w:szCs w:val="21"/>
      </w:rPr>
      <w:fldChar w:fldCharType="end"/>
    </w:r>
  </w:p>
  <w:p w:rsidR="00F22BE0" w:rsidRDefault="00F22BE0">
    <w:pPr>
      <w:overflowPunct w:val="0"/>
      <w:autoSpaceDE w:val="0"/>
      <w:autoSpaceDN w:val="0"/>
      <w:adjustRightInd w:val="0"/>
      <w:outlineLvl w:val="0"/>
      <w:rPr>
        <w:rFonts w:ascii="黑体" w:eastAsia="黑体" w:hAnsi="黑体" w:cs="Arial"/>
        <w:b/>
        <w:szCs w:val="21"/>
      </w:rPr>
    </w:pPr>
    <w:r>
      <w:rPr>
        <w:rFonts w:ascii="黑体" w:eastAsia="黑体" w:hAnsi="黑体" w:hint="eastAsia"/>
        <w:b/>
        <w:bCs/>
        <w:snapToGrid w:val="0"/>
        <w:szCs w:val="21"/>
      </w:rPr>
      <w:t>财务报表附注</w:t>
    </w:r>
    <w:r>
      <w:rPr>
        <w:rFonts w:ascii="Arial" w:eastAsia="黑体" w:hAnsi="Arial" w:cs="Arial" w:hint="eastAsia"/>
        <w:b/>
        <w:szCs w:val="21"/>
      </w:rPr>
      <w:t>（续）</w:t>
    </w:r>
  </w:p>
  <w:p w:rsidR="00F22BE0" w:rsidRDefault="00F22BE0">
    <w:pPr>
      <w:tabs>
        <w:tab w:val="right" w:pos="8313"/>
      </w:tabs>
      <w:overflowPunct w:val="0"/>
      <w:autoSpaceDE w:val="0"/>
      <w:autoSpaceDN w:val="0"/>
      <w:adjustRightInd w:val="0"/>
      <w:rPr>
        <w:rFonts w:ascii="Arial" w:eastAsia="黑体" w:hAnsi="Arial" w:cs="Arial"/>
        <w:b/>
        <w:szCs w:val="21"/>
        <w:u w:val="single"/>
      </w:rPr>
    </w:pPr>
    <w:r>
      <w:rPr>
        <w:rFonts w:ascii="Arial" w:eastAsia="黑体" w:hAnsi="Arial" w:cs="Arial"/>
        <w:b/>
        <w:szCs w:val="21"/>
        <w:u w:val="single"/>
      </w:rPr>
      <w:t>截至</w:t>
    </w:r>
    <w:r>
      <w:rPr>
        <w:rFonts w:ascii="Arial" w:eastAsia="黑体" w:hAnsi="Arial" w:cs="Arial"/>
        <w:b/>
        <w:szCs w:val="21"/>
        <w:u w:val="single"/>
      </w:rPr>
      <w:t>2023</w:t>
    </w:r>
    <w:r>
      <w:rPr>
        <w:rFonts w:ascii="Arial" w:eastAsia="黑体" w:hAnsi="Arial" w:cs="Arial"/>
        <w:b/>
        <w:szCs w:val="21"/>
        <w:u w:val="single"/>
      </w:rPr>
      <w:t>年</w:t>
    </w:r>
    <w:r>
      <w:rPr>
        <w:rFonts w:ascii="Arial" w:eastAsia="黑体" w:hAnsi="Arial" w:cs="Arial"/>
        <w:b/>
        <w:szCs w:val="21"/>
        <w:u w:val="single"/>
      </w:rPr>
      <w:t>6</w:t>
    </w:r>
    <w:r>
      <w:rPr>
        <w:rFonts w:ascii="Arial" w:eastAsia="黑体" w:hAnsi="Arial" w:cs="Arial"/>
        <w:b/>
        <w:szCs w:val="21"/>
        <w:u w:val="single"/>
      </w:rPr>
      <w:t>月</w:t>
    </w:r>
    <w:r>
      <w:rPr>
        <w:rFonts w:ascii="Arial" w:eastAsia="黑体" w:hAnsi="Arial" w:cs="Arial"/>
        <w:b/>
        <w:szCs w:val="21"/>
        <w:u w:val="single"/>
      </w:rPr>
      <w:t>30</w:t>
    </w:r>
    <w:r>
      <w:rPr>
        <w:rFonts w:ascii="Arial" w:eastAsia="黑体" w:hAnsi="Arial" w:cs="Arial"/>
        <w:b/>
        <w:szCs w:val="21"/>
        <w:u w:val="single"/>
      </w:rPr>
      <w:t>日</w:t>
    </w:r>
    <w:proofErr w:type="gramStart"/>
    <w:r>
      <w:rPr>
        <w:rFonts w:ascii="Arial" w:eastAsia="黑体" w:hAnsi="Arial" w:cs="Arial"/>
        <w:b/>
        <w:szCs w:val="21"/>
        <w:u w:val="single"/>
      </w:rPr>
      <w:t>止</w:t>
    </w:r>
    <w:proofErr w:type="gramEnd"/>
    <w:r>
      <w:rPr>
        <w:rFonts w:ascii="Arial" w:eastAsia="黑体" w:hAnsi="Arial" w:cs="Arial"/>
        <w:b/>
        <w:szCs w:val="21"/>
        <w:u w:val="single"/>
      </w:rPr>
      <w:t>6</w:t>
    </w:r>
    <w:r>
      <w:rPr>
        <w:rFonts w:ascii="Arial" w:eastAsia="黑体" w:hAnsi="Arial" w:cs="Arial"/>
        <w:b/>
        <w:szCs w:val="21"/>
        <w:u w:val="single"/>
      </w:rPr>
      <w:t>个月</w:t>
    </w:r>
    <w:proofErr w:type="gramStart"/>
    <w:r>
      <w:rPr>
        <w:rFonts w:ascii="Arial" w:eastAsia="黑体" w:hAnsi="Arial" w:cs="Arial"/>
        <w:b/>
        <w:szCs w:val="21"/>
        <w:u w:val="single"/>
      </w:rPr>
      <w:t>期间</w:t>
    </w:r>
    <w:r>
      <w:rPr>
        <w:rFonts w:ascii="Arial" w:eastAsia="黑体" w:hAnsi="Arial" w:cs="Arial"/>
        <w:b/>
        <w:szCs w:val="21"/>
        <w:u w:val="single"/>
      </w:rPr>
      <w:tab/>
    </w:r>
    <w:proofErr w:type="gramEnd"/>
    <w:r>
      <w:rPr>
        <w:rFonts w:ascii="Arial" w:eastAsia="黑体" w:hAnsi="Arial" w:cs="Arial"/>
        <w:b/>
        <w:szCs w:val="21"/>
        <w:u w:val="single"/>
      </w:rPr>
      <w:t>人民币元</w:t>
    </w:r>
  </w:p>
  <w:p w:rsidR="00F22BE0" w:rsidRDefault="00F22BE0">
    <w:pPr>
      <w:pStyle w:val="19"/>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e"/>
      <w:overflowPunct w:val="0"/>
      <w:autoSpaceDE w:val="0"/>
      <w:autoSpaceDN w:val="0"/>
      <w:adjustRightInd w:val="0"/>
      <w:jc w:val="center"/>
      <w:rPr>
        <w:rFonts w:ascii="Arial" w:eastAsia="黑体" w:hAnsi="Arial" w:cs="Arial"/>
        <w:b/>
        <w:sz w:val="24"/>
        <w:szCs w:val="24"/>
      </w:rPr>
    </w:pPr>
  </w:p>
  <w:p w:rsidR="00F22BE0" w:rsidRDefault="00F22BE0">
    <w:pPr>
      <w:pStyle w:val="ae"/>
      <w:overflowPunct w:val="0"/>
      <w:autoSpaceDE w:val="0"/>
      <w:autoSpaceDN w:val="0"/>
      <w:adjustRightInd w:val="0"/>
      <w:jc w:val="left"/>
      <w:rPr>
        <w:rFonts w:ascii="黑体" w:eastAsia="黑体" w:hAnsi="黑体" w:cs="Arial"/>
        <w:b/>
        <w:sz w:val="21"/>
        <w:szCs w:val="21"/>
      </w:rPr>
    </w:pPr>
    <w:r>
      <w:rPr>
        <w:rFonts w:ascii="黑体" w:eastAsia="黑体" w:hAnsi="黑体" w:cs="Arial"/>
        <w:b/>
        <w:sz w:val="21"/>
        <w:szCs w:val="21"/>
      </w:rPr>
      <w:fldChar w:fldCharType="begin"/>
    </w:r>
    <w:r>
      <w:rPr>
        <w:rFonts w:ascii="黑体" w:eastAsia="黑体" w:hAnsi="黑体" w:cs="Arial"/>
        <w:b/>
        <w:sz w:val="21"/>
        <w:szCs w:val="21"/>
      </w:rPr>
      <w:instrText xml:space="preserve"> DOCPROPERTY 公司名称 </w:instrText>
    </w:r>
    <w:r>
      <w:rPr>
        <w:rFonts w:ascii="黑体" w:eastAsia="黑体" w:hAnsi="黑体" w:cs="Arial"/>
        <w:b/>
        <w:sz w:val="21"/>
        <w:szCs w:val="21"/>
      </w:rPr>
      <w:fldChar w:fldCharType="separate"/>
    </w:r>
    <w:r>
      <w:rPr>
        <w:rFonts w:ascii="黑体" w:eastAsia="黑体" w:hAnsi="黑体" w:cs="Arial"/>
        <w:b/>
        <w:sz w:val="21"/>
        <w:szCs w:val="21"/>
      </w:rPr>
      <w:t>厦门银行股份有限公司</w:t>
    </w:r>
    <w:r>
      <w:rPr>
        <w:rFonts w:ascii="黑体" w:eastAsia="黑体" w:hAnsi="黑体" w:cs="Arial"/>
        <w:b/>
        <w:sz w:val="21"/>
        <w:szCs w:val="21"/>
      </w:rPr>
      <w:fldChar w:fldCharType="end"/>
    </w:r>
  </w:p>
  <w:p w:rsidR="00F22BE0" w:rsidRDefault="00F22BE0">
    <w:pPr>
      <w:overflowPunct w:val="0"/>
      <w:autoSpaceDE w:val="0"/>
      <w:autoSpaceDN w:val="0"/>
      <w:adjustRightInd w:val="0"/>
      <w:outlineLvl w:val="0"/>
      <w:rPr>
        <w:rFonts w:ascii="黑体" w:eastAsia="黑体" w:hAnsi="黑体" w:cs="Arial"/>
        <w:b/>
        <w:szCs w:val="21"/>
      </w:rPr>
    </w:pPr>
    <w:r>
      <w:rPr>
        <w:rFonts w:ascii="黑体" w:eastAsia="黑体" w:hAnsi="黑体" w:hint="eastAsia"/>
        <w:b/>
        <w:bCs/>
        <w:snapToGrid w:val="0"/>
        <w:szCs w:val="21"/>
      </w:rPr>
      <w:t>财务报表附注</w:t>
    </w:r>
    <w:r>
      <w:rPr>
        <w:rFonts w:ascii="Arial" w:eastAsia="黑体" w:hAnsi="Arial" w:cs="Arial" w:hint="eastAsia"/>
        <w:b/>
        <w:szCs w:val="21"/>
      </w:rPr>
      <w:t>（续）</w:t>
    </w:r>
  </w:p>
  <w:p w:rsidR="00F22BE0" w:rsidRDefault="00F22BE0">
    <w:pPr>
      <w:tabs>
        <w:tab w:val="right" w:pos="8301"/>
      </w:tabs>
      <w:overflowPunct w:val="0"/>
      <w:autoSpaceDE w:val="0"/>
      <w:autoSpaceDN w:val="0"/>
      <w:adjustRightInd w:val="0"/>
      <w:rPr>
        <w:rFonts w:ascii="Arial" w:eastAsia="黑体" w:hAnsi="Arial" w:cs="Arial"/>
        <w:b/>
        <w:szCs w:val="21"/>
        <w:u w:val="single"/>
      </w:rPr>
    </w:pPr>
    <w:r>
      <w:rPr>
        <w:rFonts w:ascii="Arial" w:eastAsia="黑体" w:hAnsi="Arial" w:cs="Arial"/>
        <w:b/>
        <w:szCs w:val="21"/>
        <w:u w:val="single"/>
      </w:rPr>
      <w:t>截至</w:t>
    </w:r>
    <w:r>
      <w:rPr>
        <w:rFonts w:ascii="Arial" w:eastAsia="黑体" w:hAnsi="Arial" w:cs="Arial"/>
        <w:b/>
        <w:szCs w:val="21"/>
        <w:u w:val="single"/>
      </w:rPr>
      <w:t>2023</w:t>
    </w:r>
    <w:r>
      <w:rPr>
        <w:rFonts w:ascii="Arial" w:eastAsia="黑体" w:hAnsi="Arial" w:cs="Arial"/>
        <w:b/>
        <w:szCs w:val="21"/>
        <w:u w:val="single"/>
      </w:rPr>
      <w:t>年</w:t>
    </w:r>
    <w:r>
      <w:rPr>
        <w:rFonts w:ascii="Arial" w:eastAsia="黑体" w:hAnsi="Arial" w:cs="Arial"/>
        <w:b/>
        <w:szCs w:val="21"/>
        <w:u w:val="single"/>
      </w:rPr>
      <w:t>6</w:t>
    </w:r>
    <w:r>
      <w:rPr>
        <w:rFonts w:ascii="Arial" w:eastAsia="黑体" w:hAnsi="Arial" w:cs="Arial"/>
        <w:b/>
        <w:szCs w:val="21"/>
        <w:u w:val="single"/>
      </w:rPr>
      <w:t>月</w:t>
    </w:r>
    <w:r>
      <w:rPr>
        <w:rFonts w:ascii="Arial" w:eastAsia="黑体" w:hAnsi="Arial" w:cs="Arial"/>
        <w:b/>
        <w:szCs w:val="21"/>
        <w:u w:val="single"/>
      </w:rPr>
      <w:t>30</w:t>
    </w:r>
    <w:r>
      <w:rPr>
        <w:rFonts w:ascii="Arial" w:eastAsia="黑体" w:hAnsi="Arial" w:cs="Arial"/>
        <w:b/>
        <w:szCs w:val="21"/>
        <w:u w:val="single"/>
      </w:rPr>
      <w:t>日</w:t>
    </w:r>
    <w:proofErr w:type="gramStart"/>
    <w:r>
      <w:rPr>
        <w:rFonts w:ascii="Arial" w:eastAsia="黑体" w:hAnsi="Arial" w:cs="Arial"/>
        <w:b/>
        <w:szCs w:val="21"/>
        <w:u w:val="single"/>
      </w:rPr>
      <w:t>止</w:t>
    </w:r>
    <w:proofErr w:type="gramEnd"/>
    <w:r>
      <w:rPr>
        <w:rFonts w:ascii="Arial" w:eastAsia="黑体" w:hAnsi="Arial" w:cs="Arial"/>
        <w:b/>
        <w:szCs w:val="21"/>
        <w:u w:val="single"/>
      </w:rPr>
      <w:t>6</w:t>
    </w:r>
    <w:r>
      <w:rPr>
        <w:rFonts w:ascii="Arial" w:eastAsia="黑体" w:hAnsi="Arial" w:cs="Arial"/>
        <w:b/>
        <w:szCs w:val="21"/>
        <w:u w:val="single"/>
      </w:rPr>
      <w:t>个月</w:t>
    </w:r>
    <w:proofErr w:type="gramStart"/>
    <w:r>
      <w:rPr>
        <w:rFonts w:ascii="Arial" w:eastAsia="黑体" w:hAnsi="Arial" w:cs="Arial"/>
        <w:b/>
        <w:szCs w:val="21"/>
        <w:u w:val="single"/>
      </w:rPr>
      <w:t>期间</w:t>
    </w:r>
    <w:r>
      <w:rPr>
        <w:rFonts w:ascii="Arial" w:eastAsia="黑体" w:hAnsi="Arial" w:cs="Arial"/>
        <w:b/>
        <w:szCs w:val="21"/>
        <w:u w:val="single"/>
      </w:rPr>
      <w:tab/>
    </w:r>
    <w:proofErr w:type="gramEnd"/>
    <w:r>
      <w:rPr>
        <w:rFonts w:ascii="Arial" w:eastAsia="黑体" w:hAnsi="Arial" w:cs="Arial"/>
        <w:b/>
        <w:szCs w:val="21"/>
        <w:u w:val="single"/>
      </w:rPr>
      <w:t>人民币元</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19"/>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1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overflowPunct w:val="0"/>
      <w:autoSpaceDE w:val="0"/>
      <w:autoSpaceDN w:val="0"/>
      <w:adjustRightInd w:val="0"/>
      <w:jc w:val="left"/>
      <w:rPr>
        <w:rFonts w:ascii="黑体" w:eastAsia="黑体" w:hAnsi="黑体" w:cs="Arial"/>
        <w:b/>
        <w:sz w:val="21"/>
        <w:szCs w:val="21"/>
      </w:rPr>
    </w:pPr>
    <w:r>
      <w:rPr>
        <w:rFonts w:ascii="黑体" w:eastAsia="黑体" w:hAnsi="黑体" w:cs="Arial" w:hint="eastAsia"/>
        <w:b/>
        <w:sz w:val="21"/>
        <w:szCs w:val="21"/>
      </w:rPr>
      <w:t>厦门股份有限公司</w:t>
    </w:r>
  </w:p>
  <w:p w:rsidR="00F22BE0" w:rsidRDefault="00F22BE0">
    <w:pPr>
      <w:overflowPunct w:val="0"/>
      <w:autoSpaceDE w:val="0"/>
      <w:autoSpaceDN w:val="0"/>
      <w:adjustRightInd w:val="0"/>
      <w:outlineLvl w:val="0"/>
      <w:rPr>
        <w:rFonts w:ascii="黑体" w:eastAsia="黑体" w:hAnsi="黑体" w:cs="Arial"/>
        <w:b/>
        <w:szCs w:val="21"/>
      </w:rPr>
    </w:pPr>
    <w:r>
      <w:rPr>
        <w:rFonts w:ascii="黑体" w:eastAsia="黑体" w:hAnsi="黑体" w:hint="eastAsia"/>
        <w:b/>
        <w:bCs/>
        <w:snapToGrid w:val="0"/>
        <w:szCs w:val="21"/>
      </w:rPr>
      <w:t>财务报表附注</w:t>
    </w:r>
    <w:r>
      <w:rPr>
        <w:rFonts w:ascii="Arial" w:eastAsia="黑体" w:hAnsi="Arial" w:cs="Arial" w:hint="eastAsia"/>
        <w:b/>
        <w:szCs w:val="21"/>
      </w:rPr>
      <w:t>（续）</w:t>
    </w:r>
  </w:p>
  <w:p w:rsidR="00F22BE0" w:rsidRDefault="00F22BE0">
    <w:pPr>
      <w:tabs>
        <w:tab w:val="right" w:pos="13956"/>
      </w:tabs>
      <w:overflowPunct w:val="0"/>
      <w:autoSpaceDE w:val="0"/>
      <w:autoSpaceDN w:val="0"/>
      <w:adjustRightInd w:val="0"/>
      <w:rPr>
        <w:rFonts w:ascii="Arial" w:eastAsia="黑体" w:hAnsi="Arial" w:cs="Arial"/>
        <w:b/>
        <w:szCs w:val="21"/>
        <w:u w:val="single"/>
      </w:rPr>
    </w:pPr>
    <w:r>
      <w:rPr>
        <w:rFonts w:ascii="Arial" w:eastAsia="黑体" w:hAnsi="Arial" w:cs="Arial"/>
        <w:b/>
        <w:szCs w:val="21"/>
        <w:u w:val="single"/>
      </w:rPr>
      <w:t>截至</w:t>
    </w:r>
    <w:r>
      <w:rPr>
        <w:rFonts w:ascii="Arial" w:eastAsia="黑体" w:hAnsi="Arial" w:cs="Arial"/>
        <w:b/>
        <w:szCs w:val="21"/>
        <w:u w:val="single"/>
      </w:rPr>
      <w:t>2023</w:t>
    </w:r>
    <w:r>
      <w:rPr>
        <w:rFonts w:ascii="Arial" w:eastAsia="黑体" w:hAnsi="Arial" w:cs="Arial"/>
        <w:b/>
        <w:szCs w:val="21"/>
        <w:u w:val="single"/>
      </w:rPr>
      <w:t>年</w:t>
    </w:r>
    <w:r>
      <w:rPr>
        <w:rFonts w:ascii="Arial" w:eastAsia="黑体" w:hAnsi="Arial" w:cs="Arial"/>
        <w:b/>
        <w:szCs w:val="21"/>
        <w:u w:val="single"/>
      </w:rPr>
      <w:t>6</w:t>
    </w:r>
    <w:r>
      <w:rPr>
        <w:rFonts w:ascii="Arial" w:eastAsia="黑体" w:hAnsi="Arial" w:cs="Arial"/>
        <w:b/>
        <w:szCs w:val="21"/>
        <w:u w:val="single"/>
      </w:rPr>
      <w:t>月</w:t>
    </w:r>
    <w:r>
      <w:rPr>
        <w:rFonts w:ascii="Arial" w:eastAsia="黑体" w:hAnsi="Arial" w:cs="Arial"/>
        <w:b/>
        <w:szCs w:val="21"/>
        <w:u w:val="single"/>
      </w:rPr>
      <w:t>30</w:t>
    </w:r>
    <w:r>
      <w:rPr>
        <w:rFonts w:ascii="Arial" w:eastAsia="黑体" w:hAnsi="Arial" w:cs="Arial"/>
        <w:b/>
        <w:szCs w:val="21"/>
        <w:u w:val="single"/>
      </w:rPr>
      <w:t>日</w:t>
    </w:r>
    <w:proofErr w:type="gramStart"/>
    <w:r>
      <w:rPr>
        <w:rFonts w:ascii="Arial" w:eastAsia="黑体" w:hAnsi="Arial" w:cs="Arial"/>
        <w:b/>
        <w:szCs w:val="21"/>
        <w:u w:val="single"/>
      </w:rPr>
      <w:t>止</w:t>
    </w:r>
    <w:proofErr w:type="gramEnd"/>
    <w:r>
      <w:rPr>
        <w:rFonts w:ascii="Arial" w:eastAsia="黑体" w:hAnsi="Arial" w:cs="Arial"/>
        <w:b/>
        <w:szCs w:val="21"/>
        <w:u w:val="single"/>
      </w:rPr>
      <w:t>6</w:t>
    </w:r>
    <w:r>
      <w:rPr>
        <w:rFonts w:ascii="Arial" w:eastAsia="黑体" w:hAnsi="Arial" w:cs="Arial"/>
        <w:b/>
        <w:szCs w:val="21"/>
        <w:u w:val="single"/>
      </w:rPr>
      <w:t>个月</w:t>
    </w:r>
    <w:proofErr w:type="gramStart"/>
    <w:r>
      <w:rPr>
        <w:rFonts w:ascii="Arial" w:eastAsia="黑体" w:hAnsi="Arial" w:cs="Arial"/>
        <w:b/>
        <w:szCs w:val="21"/>
        <w:u w:val="single"/>
      </w:rPr>
      <w:t>期间</w:t>
    </w:r>
    <w:r>
      <w:rPr>
        <w:rFonts w:ascii="Arial" w:eastAsia="黑体" w:hAnsi="Arial" w:cs="Arial"/>
        <w:b/>
        <w:szCs w:val="21"/>
        <w:u w:val="single"/>
      </w:rPr>
      <w:tab/>
    </w:r>
    <w:proofErr w:type="gramEnd"/>
    <w:r>
      <w:rPr>
        <w:rFonts w:ascii="Arial" w:eastAsia="黑体" w:hAnsi="Arial" w:cs="Arial"/>
        <w:b/>
        <w:szCs w:val="21"/>
        <w:u w:val="single"/>
      </w:rPr>
      <w:t>人民币元</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1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19"/>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e"/>
      <w:overflowPunct w:val="0"/>
      <w:autoSpaceDE w:val="0"/>
      <w:autoSpaceDN w:val="0"/>
      <w:adjustRightInd w:val="0"/>
      <w:jc w:val="left"/>
      <w:rPr>
        <w:rFonts w:ascii="黑体" w:eastAsia="黑体" w:hAnsi="黑体" w:cs="Arial"/>
        <w:b/>
        <w:sz w:val="21"/>
        <w:szCs w:val="21"/>
      </w:rPr>
    </w:pPr>
    <w:r>
      <w:rPr>
        <w:rFonts w:ascii="黑体" w:eastAsia="黑体" w:hAnsi="黑体" w:cs="Arial"/>
        <w:b/>
        <w:sz w:val="21"/>
        <w:szCs w:val="21"/>
      </w:rPr>
      <w:fldChar w:fldCharType="begin"/>
    </w:r>
    <w:r>
      <w:rPr>
        <w:rFonts w:ascii="黑体" w:eastAsia="黑体" w:hAnsi="黑体" w:cs="Arial"/>
        <w:b/>
        <w:sz w:val="21"/>
        <w:szCs w:val="21"/>
      </w:rPr>
      <w:instrText xml:space="preserve"> DOCPROPERTY 公司名称 </w:instrText>
    </w:r>
    <w:r>
      <w:rPr>
        <w:rFonts w:ascii="黑体" w:eastAsia="黑体" w:hAnsi="黑体" w:cs="Arial"/>
        <w:b/>
        <w:sz w:val="21"/>
        <w:szCs w:val="21"/>
      </w:rPr>
      <w:fldChar w:fldCharType="separate"/>
    </w:r>
    <w:r>
      <w:rPr>
        <w:rFonts w:ascii="黑体" w:eastAsia="黑体" w:hAnsi="黑体" w:cs="Arial"/>
        <w:b/>
        <w:sz w:val="21"/>
        <w:szCs w:val="21"/>
      </w:rPr>
      <w:t>厦门银行股份有限公司</w:t>
    </w:r>
    <w:r>
      <w:rPr>
        <w:rFonts w:ascii="黑体" w:eastAsia="黑体" w:hAnsi="黑体" w:cs="Arial"/>
        <w:b/>
        <w:sz w:val="21"/>
        <w:szCs w:val="21"/>
      </w:rPr>
      <w:fldChar w:fldCharType="end"/>
    </w:r>
  </w:p>
  <w:p w:rsidR="00F22BE0" w:rsidRDefault="00F22BE0">
    <w:pPr>
      <w:overflowPunct w:val="0"/>
      <w:autoSpaceDE w:val="0"/>
      <w:autoSpaceDN w:val="0"/>
      <w:adjustRightInd w:val="0"/>
      <w:outlineLvl w:val="0"/>
      <w:rPr>
        <w:rFonts w:ascii="黑体" w:eastAsia="黑体" w:hAnsi="黑体" w:cs="Arial"/>
        <w:b/>
        <w:szCs w:val="21"/>
      </w:rPr>
    </w:pPr>
    <w:r>
      <w:rPr>
        <w:rFonts w:ascii="黑体" w:eastAsia="黑体" w:hAnsi="黑体" w:hint="eastAsia"/>
        <w:b/>
        <w:bCs/>
        <w:snapToGrid w:val="0"/>
        <w:szCs w:val="21"/>
      </w:rPr>
      <w:t>财务报表附注</w:t>
    </w:r>
    <w:r>
      <w:rPr>
        <w:rFonts w:ascii="Arial" w:eastAsia="黑体" w:hAnsi="Arial" w:cs="Arial" w:hint="eastAsia"/>
        <w:b/>
        <w:szCs w:val="21"/>
      </w:rPr>
      <w:t>（续）</w:t>
    </w:r>
  </w:p>
  <w:p w:rsidR="00F22BE0" w:rsidRDefault="00F22BE0">
    <w:pPr>
      <w:tabs>
        <w:tab w:val="right" w:pos="8313"/>
      </w:tabs>
      <w:overflowPunct w:val="0"/>
      <w:autoSpaceDE w:val="0"/>
      <w:autoSpaceDN w:val="0"/>
      <w:adjustRightInd w:val="0"/>
      <w:rPr>
        <w:rFonts w:ascii="Arial" w:eastAsia="黑体" w:hAnsi="Arial" w:cs="Arial"/>
        <w:b/>
        <w:szCs w:val="21"/>
        <w:u w:val="single"/>
      </w:rPr>
    </w:pPr>
    <w:r>
      <w:rPr>
        <w:rFonts w:ascii="Arial" w:eastAsia="黑体" w:hAnsi="Arial" w:cs="Arial"/>
        <w:b/>
        <w:szCs w:val="21"/>
        <w:u w:val="single"/>
      </w:rPr>
      <w:t>截至</w:t>
    </w:r>
    <w:r>
      <w:rPr>
        <w:rFonts w:ascii="Arial" w:eastAsia="黑体" w:hAnsi="Arial" w:cs="Arial"/>
        <w:b/>
        <w:szCs w:val="21"/>
        <w:u w:val="single"/>
      </w:rPr>
      <w:t>2023</w:t>
    </w:r>
    <w:r>
      <w:rPr>
        <w:rFonts w:ascii="Arial" w:eastAsia="黑体" w:hAnsi="Arial" w:cs="Arial"/>
        <w:b/>
        <w:szCs w:val="21"/>
        <w:u w:val="single"/>
      </w:rPr>
      <w:t>年</w:t>
    </w:r>
    <w:r>
      <w:rPr>
        <w:rFonts w:ascii="Arial" w:eastAsia="黑体" w:hAnsi="Arial" w:cs="Arial"/>
        <w:b/>
        <w:szCs w:val="21"/>
        <w:u w:val="single"/>
      </w:rPr>
      <w:t>6</w:t>
    </w:r>
    <w:r>
      <w:rPr>
        <w:rFonts w:ascii="Arial" w:eastAsia="黑体" w:hAnsi="Arial" w:cs="Arial"/>
        <w:b/>
        <w:szCs w:val="21"/>
        <w:u w:val="single"/>
      </w:rPr>
      <w:t>月</w:t>
    </w:r>
    <w:r>
      <w:rPr>
        <w:rFonts w:ascii="Arial" w:eastAsia="黑体" w:hAnsi="Arial" w:cs="Arial"/>
        <w:b/>
        <w:szCs w:val="21"/>
        <w:u w:val="single"/>
      </w:rPr>
      <w:t>30</w:t>
    </w:r>
    <w:r>
      <w:rPr>
        <w:rFonts w:ascii="Arial" w:eastAsia="黑体" w:hAnsi="Arial" w:cs="Arial"/>
        <w:b/>
        <w:szCs w:val="21"/>
        <w:u w:val="single"/>
      </w:rPr>
      <w:t>日</w:t>
    </w:r>
    <w:proofErr w:type="gramStart"/>
    <w:r>
      <w:rPr>
        <w:rFonts w:ascii="Arial" w:eastAsia="黑体" w:hAnsi="Arial" w:cs="Arial"/>
        <w:b/>
        <w:szCs w:val="21"/>
        <w:u w:val="single"/>
      </w:rPr>
      <w:t>止</w:t>
    </w:r>
    <w:proofErr w:type="gramEnd"/>
    <w:r>
      <w:rPr>
        <w:rFonts w:ascii="Arial" w:eastAsia="黑体" w:hAnsi="Arial" w:cs="Arial"/>
        <w:b/>
        <w:szCs w:val="21"/>
        <w:u w:val="single"/>
      </w:rPr>
      <w:t>6</w:t>
    </w:r>
    <w:r>
      <w:rPr>
        <w:rFonts w:ascii="Arial" w:eastAsia="黑体" w:hAnsi="Arial" w:cs="Arial"/>
        <w:b/>
        <w:szCs w:val="21"/>
        <w:u w:val="single"/>
      </w:rPr>
      <w:t>个月</w:t>
    </w:r>
    <w:proofErr w:type="gramStart"/>
    <w:r>
      <w:rPr>
        <w:rFonts w:ascii="Arial" w:eastAsia="黑体" w:hAnsi="Arial" w:cs="Arial"/>
        <w:b/>
        <w:szCs w:val="21"/>
        <w:u w:val="single"/>
      </w:rPr>
      <w:t>期间</w:t>
    </w:r>
    <w:r>
      <w:rPr>
        <w:rFonts w:ascii="Arial" w:eastAsia="黑体" w:hAnsi="Arial" w:cs="Arial"/>
        <w:b/>
        <w:szCs w:val="21"/>
        <w:u w:val="single"/>
      </w:rPr>
      <w:tab/>
    </w:r>
    <w:proofErr w:type="gramEnd"/>
    <w:r>
      <w:rPr>
        <w:rFonts w:ascii="Arial" w:eastAsia="黑体" w:hAnsi="Arial" w:cs="Arial"/>
        <w:b/>
        <w:szCs w:val="21"/>
        <w:u w:val="single"/>
      </w:rPr>
      <w:t>人民币元</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overflowPunct w:val="0"/>
      <w:autoSpaceDE w:val="0"/>
      <w:autoSpaceDN w:val="0"/>
      <w:adjustRightInd w:val="0"/>
      <w:jc w:val="left"/>
      <w:rPr>
        <w:rFonts w:ascii="黑体" w:eastAsia="黑体" w:hAnsi="黑体" w:cs="Arial"/>
        <w:b/>
        <w:sz w:val="21"/>
        <w:szCs w:val="21"/>
      </w:rPr>
    </w:pPr>
    <w:r>
      <w:rPr>
        <w:rFonts w:ascii="黑体" w:eastAsia="黑体" w:hAnsi="黑体" w:cs="Arial"/>
        <w:b/>
        <w:sz w:val="21"/>
        <w:szCs w:val="21"/>
      </w:rPr>
      <w:fldChar w:fldCharType="begin"/>
    </w:r>
    <w:r>
      <w:rPr>
        <w:rFonts w:ascii="黑体" w:eastAsia="黑体" w:hAnsi="黑体" w:cs="Arial"/>
        <w:b/>
        <w:sz w:val="21"/>
        <w:szCs w:val="21"/>
      </w:rPr>
      <w:instrText xml:space="preserve"> DOCPROPERTY 公司名称 </w:instrText>
    </w:r>
    <w:r>
      <w:rPr>
        <w:rFonts w:ascii="黑体" w:eastAsia="黑体" w:hAnsi="黑体" w:cs="Arial"/>
        <w:b/>
        <w:sz w:val="21"/>
        <w:szCs w:val="21"/>
      </w:rPr>
      <w:fldChar w:fldCharType="separate"/>
    </w:r>
    <w:r>
      <w:rPr>
        <w:rFonts w:ascii="黑体" w:eastAsia="黑体" w:hAnsi="黑体" w:cs="Arial"/>
        <w:b/>
        <w:sz w:val="21"/>
        <w:szCs w:val="21"/>
      </w:rPr>
      <w:t>厦门银行股份有限公司</w:t>
    </w:r>
    <w:r>
      <w:rPr>
        <w:rFonts w:ascii="黑体" w:eastAsia="黑体" w:hAnsi="黑体" w:cs="Arial"/>
        <w:b/>
        <w:sz w:val="21"/>
        <w:szCs w:val="21"/>
      </w:rPr>
      <w:fldChar w:fldCharType="end"/>
    </w:r>
  </w:p>
  <w:p w:rsidR="00F22BE0" w:rsidRDefault="00F22BE0">
    <w:pPr>
      <w:overflowPunct w:val="0"/>
      <w:autoSpaceDE w:val="0"/>
      <w:autoSpaceDN w:val="0"/>
      <w:adjustRightInd w:val="0"/>
      <w:outlineLvl w:val="0"/>
      <w:rPr>
        <w:rFonts w:ascii="黑体" w:eastAsia="黑体" w:hAnsi="黑体" w:cs="Arial"/>
        <w:b/>
        <w:szCs w:val="21"/>
      </w:rPr>
    </w:pPr>
    <w:r>
      <w:rPr>
        <w:rFonts w:ascii="黑体" w:eastAsia="黑体" w:hAnsi="黑体" w:hint="eastAsia"/>
        <w:b/>
        <w:bCs/>
        <w:snapToGrid w:val="0"/>
        <w:szCs w:val="21"/>
      </w:rPr>
      <w:t>财务报表附注</w:t>
    </w:r>
    <w:r>
      <w:rPr>
        <w:rFonts w:ascii="Arial" w:eastAsia="黑体" w:hAnsi="Arial" w:cs="Arial" w:hint="eastAsia"/>
        <w:b/>
        <w:szCs w:val="21"/>
      </w:rPr>
      <w:t>（续）</w:t>
    </w:r>
  </w:p>
  <w:p w:rsidR="00F22BE0" w:rsidRDefault="00F22BE0">
    <w:pPr>
      <w:tabs>
        <w:tab w:val="right" w:pos="8313"/>
      </w:tabs>
      <w:overflowPunct w:val="0"/>
      <w:autoSpaceDE w:val="0"/>
      <w:autoSpaceDN w:val="0"/>
      <w:adjustRightInd w:val="0"/>
      <w:rPr>
        <w:rFonts w:ascii="Arial" w:eastAsia="黑体" w:hAnsi="Arial" w:cs="Arial"/>
        <w:b/>
        <w:szCs w:val="21"/>
        <w:u w:val="single"/>
      </w:rPr>
    </w:pPr>
    <w:r>
      <w:rPr>
        <w:rFonts w:ascii="Arial" w:eastAsia="黑体" w:hAnsi="Arial" w:cs="Arial"/>
        <w:b/>
        <w:szCs w:val="21"/>
        <w:u w:val="single"/>
      </w:rPr>
      <w:t>截至</w:t>
    </w:r>
    <w:r>
      <w:rPr>
        <w:rFonts w:ascii="Arial" w:eastAsia="黑体" w:hAnsi="Arial" w:cs="Arial"/>
        <w:b/>
        <w:szCs w:val="21"/>
        <w:u w:val="single"/>
      </w:rPr>
      <w:t>2023</w:t>
    </w:r>
    <w:r>
      <w:rPr>
        <w:rFonts w:ascii="Arial" w:eastAsia="黑体" w:hAnsi="Arial" w:cs="Arial"/>
        <w:b/>
        <w:szCs w:val="21"/>
        <w:u w:val="single"/>
      </w:rPr>
      <w:t>年</w:t>
    </w:r>
    <w:r>
      <w:rPr>
        <w:rFonts w:ascii="Arial" w:eastAsia="黑体" w:hAnsi="Arial" w:cs="Arial"/>
        <w:b/>
        <w:szCs w:val="21"/>
        <w:u w:val="single"/>
      </w:rPr>
      <w:t>6</w:t>
    </w:r>
    <w:r>
      <w:rPr>
        <w:rFonts w:ascii="Arial" w:eastAsia="黑体" w:hAnsi="Arial" w:cs="Arial"/>
        <w:b/>
        <w:szCs w:val="21"/>
        <w:u w:val="single"/>
      </w:rPr>
      <w:t>月</w:t>
    </w:r>
    <w:r>
      <w:rPr>
        <w:rFonts w:ascii="Arial" w:eastAsia="黑体" w:hAnsi="Arial" w:cs="Arial"/>
        <w:b/>
        <w:szCs w:val="21"/>
        <w:u w:val="single"/>
      </w:rPr>
      <w:t>30</w:t>
    </w:r>
    <w:r>
      <w:rPr>
        <w:rFonts w:ascii="Arial" w:eastAsia="黑体" w:hAnsi="Arial" w:cs="Arial"/>
        <w:b/>
        <w:szCs w:val="21"/>
        <w:u w:val="single"/>
      </w:rPr>
      <w:t>日</w:t>
    </w:r>
    <w:proofErr w:type="gramStart"/>
    <w:r>
      <w:rPr>
        <w:rFonts w:ascii="Arial" w:eastAsia="黑体" w:hAnsi="Arial" w:cs="Arial"/>
        <w:b/>
        <w:szCs w:val="21"/>
        <w:u w:val="single"/>
      </w:rPr>
      <w:t>止</w:t>
    </w:r>
    <w:proofErr w:type="gramEnd"/>
    <w:r>
      <w:rPr>
        <w:rFonts w:ascii="Arial" w:eastAsia="黑体" w:hAnsi="Arial" w:cs="Arial"/>
        <w:b/>
        <w:szCs w:val="21"/>
        <w:u w:val="single"/>
      </w:rPr>
      <w:t>6</w:t>
    </w:r>
    <w:r>
      <w:rPr>
        <w:rFonts w:ascii="Arial" w:eastAsia="黑体" w:hAnsi="Arial" w:cs="Arial"/>
        <w:b/>
        <w:szCs w:val="21"/>
        <w:u w:val="single"/>
      </w:rPr>
      <w:t>个月</w:t>
    </w:r>
    <w:proofErr w:type="gramStart"/>
    <w:r>
      <w:rPr>
        <w:rFonts w:ascii="Arial" w:eastAsia="黑体" w:hAnsi="Arial" w:cs="Arial"/>
        <w:b/>
        <w:szCs w:val="21"/>
        <w:u w:val="single"/>
      </w:rPr>
      <w:t>期间</w:t>
    </w:r>
    <w:r>
      <w:rPr>
        <w:rFonts w:ascii="Arial" w:eastAsia="黑体" w:hAnsi="Arial" w:cs="Arial"/>
        <w:b/>
        <w:szCs w:val="21"/>
        <w:u w:val="single"/>
      </w:rPr>
      <w:tab/>
    </w:r>
    <w:proofErr w:type="gramEnd"/>
    <w:r>
      <w:rPr>
        <w:rFonts w:ascii="Arial" w:eastAsia="黑体" w:hAnsi="Arial" w:cs="Arial"/>
        <w:b/>
        <w:szCs w:val="21"/>
        <w:u w:val="single"/>
      </w:rPr>
      <w:t>人民币元</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19"/>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tabs>
        <w:tab w:val="left" w:pos="4379"/>
      </w:tabs>
      <w:overflowPunct w:val="0"/>
      <w:autoSpaceDE w:val="0"/>
      <w:autoSpaceDN w:val="0"/>
      <w:adjustRightInd w:val="0"/>
      <w:jc w:val="left"/>
      <w:rPr>
        <w:rFonts w:ascii="黑体" w:eastAsia="黑体" w:hAnsi="黑体" w:cs="Arial"/>
        <w:b/>
        <w:sz w:val="21"/>
        <w:szCs w:val="21"/>
      </w:rPr>
    </w:pPr>
    <w:r>
      <w:rPr>
        <w:rFonts w:ascii="黑体" w:eastAsia="黑体" w:hAnsi="黑体" w:cs="Arial"/>
        <w:b/>
        <w:sz w:val="21"/>
        <w:szCs w:val="21"/>
      </w:rPr>
      <w:fldChar w:fldCharType="begin"/>
    </w:r>
    <w:r>
      <w:rPr>
        <w:rFonts w:ascii="黑体" w:eastAsia="黑体" w:hAnsi="黑体" w:cs="Arial"/>
        <w:b/>
        <w:sz w:val="21"/>
        <w:szCs w:val="21"/>
      </w:rPr>
      <w:instrText xml:space="preserve"> DOCPROPERTY 公司名称 </w:instrText>
    </w:r>
    <w:r>
      <w:rPr>
        <w:rFonts w:ascii="黑体" w:eastAsia="黑体" w:hAnsi="黑体" w:cs="Arial"/>
        <w:b/>
        <w:sz w:val="21"/>
        <w:szCs w:val="21"/>
      </w:rPr>
      <w:fldChar w:fldCharType="separate"/>
    </w:r>
    <w:r>
      <w:rPr>
        <w:rFonts w:ascii="黑体" w:eastAsia="黑体" w:hAnsi="黑体" w:cs="Arial"/>
        <w:b/>
        <w:sz w:val="21"/>
        <w:szCs w:val="21"/>
      </w:rPr>
      <w:t>厦门银行股份有限公司</w:t>
    </w:r>
    <w:r>
      <w:rPr>
        <w:rFonts w:ascii="黑体" w:eastAsia="黑体" w:hAnsi="黑体" w:cs="Arial"/>
        <w:b/>
        <w:sz w:val="21"/>
        <w:szCs w:val="21"/>
      </w:rPr>
      <w:fldChar w:fldCharType="end"/>
    </w:r>
  </w:p>
  <w:p w:rsidR="00F22BE0" w:rsidRDefault="00F22BE0">
    <w:pPr>
      <w:overflowPunct w:val="0"/>
      <w:autoSpaceDE w:val="0"/>
      <w:autoSpaceDN w:val="0"/>
      <w:adjustRightInd w:val="0"/>
      <w:outlineLvl w:val="0"/>
      <w:rPr>
        <w:rFonts w:ascii="黑体" w:eastAsia="黑体" w:hAnsi="黑体" w:cs="Arial"/>
        <w:b/>
        <w:szCs w:val="21"/>
      </w:rPr>
    </w:pPr>
    <w:r>
      <w:rPr>
        <w:rFonts w:ascii="黑体" w:eastAsia="黑体" w:hAnsi="黑体" w:hint="eastAsia"/>
        <w:b/>
        <w:bCs/>
        <w:snapToGrid w:val="0"/>
        <w:szCs w:val="21"/>
      </w:rPr>
      <w:t>财务报表附注</w:t>
    </w:r>
    <w:r>
      <w:rPr>
        <w:rFonts w:ascii="Arial" w:eastAsia="黑体" w:hAnsi="Arial" w:cs="Arial" w:hint="eastAsia"/>
        <w:b/>
        <w:szCs w:val="21"/>
      </w:rPr>
      <w:t>（续）</w:t>
    </w:r>
  </w:p>
  <w:p w:rsidR="00F22BE0" w:rsidRDefault="00F22BE0">
    <w:pPr>
      <w:tabs>
        <w:tab w:val="right" w:pos="13956"/>
      </w:tabs>
      <w:overflowPunct w:val="0"/>
      <w:autoSpaceDE w:val="0"/>
      <w:autoSpaceDN w:val="0"/>
      <w:adjustRightInd w:val="0"/>
      <w:rPr>
        <w:rFonts w:ascii="黑体" w:eastAsia="黑体" w:hAnsi="黑体" w:cs="Arial"/>
        <w:b/>
        <w:szCs w:val="21"/>
        <w:u w:val="single"/>
      </w:rPr>
    </w:pPr>
    <w:r>
      <w:rPr>
        <w:rFonts w:ascii="黑体" w:eastAsia="黑体" w:hAnsi="黑体"/>
        <w:b/>
        <w:szCs w:val="21"/>
        <w:u w:val="single"/>
      </w:rPr>
      <w:fldChar w:fldCharType="begin"/>
    </w:r>
    <w:r>
      <w:rPr>
        <w:rFonts w:ascii="黑体" w:eastAsia="黑体" w:hAnsi="黑体"/>
        <w:b/>
        <w:szCs w:val="21"/>
        <w:u w:val="single"/>
      </w:rPr>
      <w:instrText xml:space="preserve"> DOCPROPERTY 当期会计期间 </w:instrText>
    </w:r>
    <w:r>
      <w:rPr>
        <w:rFonts w:ascii="黑体" w:eastAsia="黑体" w:hAnsi="黑体"/>
        <w:b/>
        <w:szCs w:val="21"/>
        <w:u w:val="single"/>
      </w:rPr>
      <w:fldChar w:fldCharType="separate"/>
    </w:r>
    <w:r>
      <w:rPr>
        <w:rFonts w:ascii="黑体" w:eastAsia="黑体" w:hAnsi="黑体"/>
        <w:b/>
        <w:szCs w:val="21"/>
        <w:u w:val="single"/>
      </w:rPr>
      <w:t>2023</w:t>
    </w:r>
    <w:r>
      <w:rPr>
        <w:rFonts w:ascii="黑体" w:eastAsia="黑体" w:hAnsi="黑体"/>
        <w:b/>
        <w:szCs w:val="21"/>
        <w:u w:val="single"/>
      </w:rPr>
      <w:fldChar w:fldCharType="end"/>
    </w:r>
    <w:r>
      <w:rPr>
        <w:rFonts w:ascii="黑体" w:eastAsia="黑体" w:hAnsi="黑体" w:hint="eastAsia"/>
        <w:b/>
        <w:szCs w:val="21"/>
        <w:u w:val="single"/>
      </w:rPr>
      <w:t>年度</w:t>
    </w:r>
    <w:r>
      <w:rPr>
        <w:rFonts w:ascii="Arial" w:eastAsia="黑体" w:hAnsi="Arial" w:cs="Arial"/>
        <w:b/>
        <w:szCs w:val="21"/>
        <w:u w:val="single"/>
      </w:rPr>
      <w:tab/>
    </w:r>
    <w:r>
      <w:rPr>
        <w:rFonts w:ascii="黑体" w:eastAsia="黑体" w:hAnsi="黑体" w:cs="Arial"/>
        <w:b/>
        <w:szCs w:val="21"/>
        <w:u w:val="single"/>
      </w:rPr>
      <w:fldChar w:fldCharType="begin"/>
    </w:r>
    <w:r>
      <w:rPr>
        <w:rFonts w:ascii="黑体" w:eastAsia="黑体" w:hAnsi="黑体" w:cs="Arial"/>
        <w:b/>
        <w:szCs w:val="21"/>
        <w:u w:val="single"/>
      </w:rPr>
      <w:instrText xml:space="preserve"> DOCPROPERTY 币种 </w:instrText>
    </w:r>
    <w:r>
      <w:rPr>
        <w:rFonts w:ascii="黑体" w:eastAsia="黑体" w:hAnsi="黑体" w:cs="Arial"/>
        <w:b/>
        <w:szCs w:val="21"/>
        <w:u w:val="single"/>
      </w:rPr>
      <w:fldChar w:fldCharType="separate"/>
    </w:r>
    <w:r>
      <w:rPr>
        <w:rFonts w:ascii="黑体" w:eastAsia="黑体" w:hAnsi="黑体" w:cs="Arial"/>
        <w:b/>
        <w:szCs w:val="21"/>
        <w:u w:val="single"/>
      </w:rPr>
      <w:t>人民币</w:t>
    </w:r>
    <w:r>
      <w:rPr>
        <w:rFonts w:ascii="黑体" w:eastAsia="黑体" w:hAnsi="黑体" w:cs="Arial"/>
        <w:b/>
        <w:szCs w:val="21"/>
        <w:u w:val="single"/>
      </w:rPr>
      <w:fldChar w:fldCharType="end"/>
    </w:r>
    <w:r>
      <w:rPr>
        <w:rFonts w:ascii="黑体" w:eastAsia="黑体" w:hAnsi="黑体" w:cs="Arial"/>
        <w:b/>
        <w:szCs w:val="21"/>
        <w:u w:val="single"/>
      </w:rPr>
      <w:fldChar w:fldCharType="begin"/>
    </w:r>
    <w:r>
      <w:rPr>
        <w:rFonts w:ascii="黑体" w:eastAsia="黑体" w:hAnsi="黑体" w:cs="Arial"/>
        <w:b/>
        <w:szCs w:val="21"/>
        <w:u w:val="single"/>
      </w:rPr>
      <w:instrText xml:space="preserve"> DOCPROPERTY 单位 </w:instrText>
    </w:r>
    <w:r>
      <w:rPr>
        <w:rFonts w:ascii="黑体" w:eastAsia="黑体" w:hAnsi="黑体" w:cs="Arial"/>
        <w:b/>
        <w:szCs w:val="21"/>
        <w:u w:val="single"/>
      </w:rPr>
      <w:fldChar w:fldCharType="separate"/>
    </w:r>
    <w:r>
      <w:rPr>
        <w:rFonts w:ascii="黑体" w:eastAsia="黑体" w:hAnsi="黑体" w:cs="Arial"/>
        <w:b/>
        <w:szCs w:val="21"/>
        <w:u w:val="single"/>
      </w:rPr>
      <w:t>元</w:t>
    </w:r>
    <w:r>
      <w:rPr>
        <w:rFonts w:ascii="黑体" w:eastAsia="黑体" w:hAnsi="黑体" w:cs="Arial"/>
        <w:b/>
        <w:szCs w:val="21"/>
        <w:u w:val="single"/>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overflowPunct w:val="0"/>
      <w:autoSpaceDE w:val="0"/>
      <w:autoSpaceDN w:val="0"/>
      <w:adjustRightInd w:val="0"/>
      <w:jc w:val="left"/>
      <w:rPr>
        <w:rFonts w:ascii="黑体" w:eastAsia="黑体" w:hAnsi="黑体" w:cs="Arial"/>
        <w:b/>
        <w:sz w:val="21"/>
        <w:szCs w:val="21"/>
      </w:rPr>
    </w:pPr>
    <w:r>
      <w:rPr>
        <w:rFonts w:ascii="黑体" w:eastAsia="黑体" w:hAnsi="黑体" w:cs="Arial"/>
        <w:b/>
        <w:sz w:val="21"/>
        <w:szCs w:val="21"/>
      </w:rPr>
      <w:fldChar w:fldCharType="begin"/>
    </w:r>
    <w:r>
      <w:rPr>
        <w:rFonts w:ascii="黑体" w:eastAsia="黑体" w:hAnsi="黑体" w:cs="Arial"/>
        <w:b/>
        <w:sz w:val="21"/>
        <w:szCs w:val="21"/>
      </w:rPr>
      <w:instrText xml:space="preserve"> DOCPROPERTY 公司名称 </w:instrText>
    </w:r>
    <w:r>
      <w:rPr>
        <w:rFonts w:ascii="黑体" w:eastAsia="黑体" w:hAnsi="黑体" w:cs="Arial"/>
        <w:b/>
        <w:sz w:val="21"/>
        <w:szCs w:val="21"/>
      </w:rPr>
      <w:fldChar w:fldCharType="separate"/>
    </w:r>
    <w:r>
      <w:rPr>
        <w:rFonts w:ascii="黑体" w:eastAsia="黑体" w:hAnsi="黑体" w:cs="Arial"/>
        <w:b/>
        <w:sz w:val="21"/>
        <w:szCs w:val="21"/>
      </w:rPr>
      <w:t>厦门银行股份有限公司</w:t>
    </w:r>
    <w:r>
      <w:rPr>
        <w:rFonts w:ascii="黑体" w:eastAsia="黑体" w:hAnsi="黑体" w:cs="Arial"/>
        <w:b/>
        <w:sz w:val="21"/>
        <w:szCs w:val="21"/>
      </w:rPr>
      <w:fldChar w:fldCharType="end"/>
    </w:r>
  </w:p>
  <w:p w:rsidR="00F22BE0" w:rsidRDefault="00F22BE0">
    <w:pPr>
      <w:overflowPunct w:val="0"/>
      <w:autoSpaceDE w:val="0"/>
      <w:autoSpaceDN w:val="0"/>
      <w:adjustRightInd w:val="0"/>
      <w:outlineLvl w:val="0"/>
      <w:rPr>
        <w:rFonts w:ascii="黑体" w:eastAsia="黑体" w:hAnsi="黑体" w:cs="Arial"/>
        <w:b/>
        <w:szCs w:val="21"/>
      </w:rPr>
    </w:pPr>
    <w:r>
      <w:rPr>
        <w:rFonts w:ascii="黑体" w:eastAsia="黑体" w:hAnsi="黑体" w:hint="eastAsia"/>
        <w:b/>
        <w:bCs/>
        <w:snapToGrid w:val="0"/>
        <w:szCs w:val="21"/>
      </w:rPr>
      <w:t>财务报表附注</w:t>
    </w:r>
    <w:r>
      <w:rPr>
        <w:rFonts w:ascii="Arial" w:eastAsia="黑体" w:hAnsi="Arial" w:cs="Arial" w:hint="eastAsia"/>
        <w:b/>
        <w:szCs w:val="21"/>
      </w:rPr>
      <w:t>（续）</w:t>
    </w:r>
  </w:p>
  <w:p w:rsidR="00F22BE0" w:rsidRDefault="00F22BE0">
    <w:pPr>
      <w:tabs>
        <w:tab w:val="right" w:pos="13956"/>
      </w:tabs>
      <w:overflowPunct w:val="0"/>
      <w:autoSpaceDE w:val="0"/>
      <w:autoSpaceDN w:val="0"/>
      <w:adjustRightInd w:val="0"/>
      <w:rPr>
        <w:rFonts w:ascii="Arial" w:eastAsia="黑体" w:hAnsi="Arial" w:cs="Arial"/>
        <w:b/>
        <w:szCs w:val="21"/>
        <w:u w:val="single"/>
      </w:rPr>
    </w:pPr>
    <w:r>
      <w:rPr>
        <w:rFonts w:ascii="Arial" w:eastAsia="黑体" w:hAnsi="Arial" w:cs="Arial"/>
        <w:b/>
        <w:szCs w:val="21"/>
        <w:u w:val="single"/>
      </w:rPr>
      <w:t>截至</w:t>
    </w:r>
    <w:r>
      <w:rPr>
        <w:rFonts w:ascii="Arial" w:eastAsia="黑体" w:hAnsi="Arial" w:cs="Arial"/>
        <w:b/>
        <w:szCs w:val="21"/>
        <w:u w:val="single"/>
      </w:rPr>
      <w:t>2023</w:t>
    </w:r>
    <w:r>
      <w:rPr>
        <w:rFonts w:ascii="Arial" w:eastAsia="黑体" w:hAnsi="Arial" w:cs="Arial"/>
        <w:b/>
        <w:szCs w:val="21"/>
        <w:u w:val="single"/>
      </w:rPr>
      <w:t>年</w:t>
    </w:r>
    <w:r>
      <w:rPr>
        <w:rFonts w:ascii="Arial" w:eastAsia="黑体" w:hAnsi="Arial" w:cs="Arial"/>
        <w:b/>
        <w:szCs w:val="21"/>
        <w:u w:val="single"/>
      </w:rPr>
      <w:t>6</w:t>
    </w:r>
    <w:r>
      <w:rPr>
        <w:rFonts w:ascii="Arial" w:eastAsia="黑体" w:hAnsi="Arial" w:cs="Arial"/>
        <w:b/>
        <w:szCs w:val="21"/>
        <w:u w:val="single"/>
      </w:rPr>
      <w:t>月</w:t>
    </w:r>
    <w:r>
      <w:rPr>
        <w:rFonts w:ascii="Arial" w:eastAsia="黑体" w:hAnsi="Arial" w:cs="Arial"/>
        <w:b/>
        <w:szCs w:val="21"/>
        <w:u w:val="single"/>
      </w:rPr>
      <w:t>30</w:t>
    </w:r>
    <w:r>
      <w:rPr>
        <w:rFonts w:ascii="Arial" w:eastAsia="黑体" w:hAnsi="Arial" w:cs="Arial"/>
        <w:b/>
        <w:szCs w:val="21"/>
        <w:u w:val="single"/>
      </w:rPr>
      <w:t>日</w:t>
    </w:r>
    <w:proofErr w:type="gramStart"/>
    <w:r>
      <w:rPr>
        <w:rFonts w:ascii="Arial" w:eastAsia="黑体" w:hAnsi="Arial" w:cs="Arial"/>
        <w:b/>
        <w:szCs w:val="21"/>
        <w:u w:val="single"/>
      </w:rPr>
      <w:t>止</w:t>
    </w:r>
    <w:proofErr w:type="gramEnd"/>
    <w:r>
      <w:rPr>
        <w:rFonts w:ascii="Arial" w:eastAsia="黑体" w:hAnsi="Arial" w:cs="Arial"/>
        <w:b/>
        <w:szCs w:val="21"/>
        <w:u w:val="single"/>
      </w:rPr>
      <w:t>6</w:t>
    </w:r>
    <w:r>
      <w:rPr>
        <w:rFonts w:ascii="Arial" w:eastAsia="黑体" w:hAnsi="Arial" w:cs="Arial"/>
        <w:b/>
        <w:szCs w:val="21"/>
        <w:u w:val="single"/>
      </w:rPr>
      <w:t>个月</w:t>
    </w:r>
    <w:proofErr w:type="gramStart"/>
    <w:r>
      <w:rPr>
        <w:rFonts w:ascii="Arial" w:eastAsia="黑体" w:hAnsi="Arial" w:cs="Arial"/>
        <w:b/>
        <w:szCs w:val="21"/>
        <w:u w:val="single"/>
      </w:rPr>
      <w:t>期间</w:t>
    </w:r>
    <w:r>
      <w:rPr>
        <w:rFonts w:ascii="Arial" w:eastAsia="黑体" w:hAnsi="Arial" w:cs="Arial"/>
        <w:b/>
        <w:szCs w:val="21"/>
        <w:u w:val="single"/>
      </w:rPr>
      <w:tab/>
    </w:r>
    <w:proofErr w:type="gramEnd"/>
    <w:r>
      <w:rPr>
        <w:rFonts w:ascii="Arial" w:eastAsia="黑体" w:hAnsi="Arial" w:cs="Arial"/>
        <w:b/>
        <w:szCs w:val="21"/>
        <w:u w:val="single"/>
      </w:rPr>
      <w:t>人民币元</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1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tabs>
        <w:tab w:val="left" w:pos="4379"/>
      </w:tabs>
      <w:overflowPunct w:val="0"/>
      <w:autoSpaceDE w:val="0"/>
      <w:autoSpaceDN w:val="0"/>
      <w:adjustRightInd w:val="0"/>
      <w:jc w:val="left"/>
      <w:rPr>
        <w:rFonts w:ascii="黑体" w:eastAsia="黑体" w:hAnsi="黑体" w:cs="Arial"/>
        <w:b/>
        <w:sz w:val="21"/>
        <w:szCs w:val="21"/>
      </w:rPr>
    </w:pPr>
    <w:r>
      <w:rPr>
        <w:rFonts w:ascii="黑体" w:eastAsia="黑体" w:hAnsi="黑体" w:cs="Arial"/>
        <w:b/>
        <w:sz w:val="21"/>
        <w:szCs w:val="21"/>
      </w:rPr>
      <w:fldChar w:fldCharType="begin"/>
    </w:r>
    <w:r>
      <w:rPr>
        <w:rFonts w:ascii="黑体" w:eastAsia="黑体" w:hAnsi="黑体" w:cs="Arial"/>
        <w:b/>
        <w:sz w:val="21"/>
        <w:szCs w:val="21"/>
      </w:rPr>
      <w:instrText xml:space="preserve"> DOCPROPERTY 公司名称 </w:instrText>
    </w:r>
    <w:r>
      <w:rPr>
        <w:rFonts w:ascii="黑体" w:eastAsia="黑体" w:hAnsi="黑体" w:cs="Arial"/>
        <w:b/>
        <w:sz w:val="21"/>
        <w:szCs w:val="21"/>
      </w:rPr>
      <w:fldChar w:fldCharType="separate"/>
    </w:r>
    <w:r>
      <w:rPr>
        <w:rFonts w:ascii="黑体" w:eastAsia="黑体" w:hAnsi="黑体" w:cs="Arial"/>
        <w:b/>
        <w:sz w:val="21"/>
        <w:szCs w:val="21"/>
      </w:rPr>
      <w:t>厦门银行股份有限公司</w:t>
    </w:r>
    <w:r>
      <w:rPr>
        <w:rFonts w:ascii="黑体" w:eastAsia="黑体" w:hAnsi="黑体" w:cs="Arial"/>
        <w:b/>
        <w:sz w:val="21"/>
        <w:szCs w:val="21"/>
      </w:rPr>
      <w:fldChar w:fldCharType="end"/>
    </w:r>
  </w:p>
  <w:p w:rsidR="00F22BE0" w:rsidRDefault="00F22BE0">
    <w:pPr>
      <w:overflowPunct w:val="0"/>
      <w:autoSpaceDE w:val="0"/>
      <w:autoSpaceDN w:val="0"/>
      <w:adjustRightInd w:val="0"/>
      <w:outlineLvl w:val="0"/>
      <w:rPr>
        <w:rFonts w:ascii="黑体" w:eastAsia="黑体" w:hAnsi="黑体" w:cs="Arial"/>
        <w:b/>
        <w:szCs w:val="21"/>
      </w:rPr>
    </w:pPr>
    <w:r>
      <w:rPr>
        <w:rFonts w:ascii="黑体" w:eastAsia="黑体" w:hAnsi="黑体" w:hint="eastAsia"/>
        <w:b/>
        <w:bCs/>
        <w:snapToGrid w:val="0"/>
        <w:szCs w:val="21"/>
      </w:rPr>
      <w:t>财务报表附注</w:t>
    </w:r>
    <w:r>
      <w:rPr>
        <w:rFonts w:ascii="Arial" w:eastAsia="黑体" w:hAnsi="Arial" w:cs="Arial" w:hint="eastAsia"/>
        <w:b/>
        <w:szCs w:val="21"/>
      </w:rPr>
      <w:t>（续）</w:t>
    </w:r>
  </w:p>
  <w:p w:rsidR="00F22BE0" w:rsidRDefault="00F22BE0">
    <w:pPr>
      <w:tabs>
        <w:tab w:val="right" w:pos="8313"/>
        <w:tab w:val="left" w:pos="12887"/>
      </w:tabs>
      <w:overflowPunct w:val="0"/>
      <w:autoSpaceDE w:val="0"/>
      <w:autoSpaceDN w:val="0"/>
      <w:adjustRightInd w:val="0"/>
      <w:rPr>
        <w:rFonts w:ascii="Arial" w:eastAsia="黑体" w:hAnsi="Arial" w:cs="Arial"/>
        <w:b/>
        <w:szCs w:val="21"/>
        <w:u w:val="single"/>
      </w:rPr>
    </w:pPr>
    <w:r>
      <w:rPr>
        <w:rFonts w:ascii="Arial" w:eastAsia="黑体" w:hAnsi="Arial" w:cs="Arial"/>
        <w:b/>
        <w:szCs w:val="21"/>
        <w:u w:val="single"/>
      </w:rPr>
      <w:t>截至</w:t>
    </w:r>
    <w:r>
      <w:rPr>
        <w:rFonts w:ascii="Arial" w:eastAsia="黑体" w:hAnsi="Arial" w:cs="Arial"/>
        <w:b/>
        <w:szCs w:val="21"/>
        <w:u w:val="single"/>
      </w:rPr>
      <w:t>2023</w:t>
    </w:r>
    <w:r>
      <w:rPr>
        <w:rFonts w:ascii="Arial" w:eastAsia="黑体" w:hAnsi="Arial" w:cs="Arial"/>
        <w:b/>
        <w:szCs w:val="21"/>
        <w:u w:val="single"/>
      </w:rPr>
      <w:t>年</w:t>
    </w:r>
    <w:r>
      <w:rPr>
        <w:rFonts w:ascii="Arial" w:eastAsia="黑体" w:hAnsi="Arial" w:cs="Arial"/>
        <w:b/>
        <w:szCs w:val="21"/>
        <w:u w:val="single"/>
      </w:rPr>
      <w:t>6</w:t>
    </w:r>
    <w:r>
      <w:rPr>
        <w:rFonts w:ascii="Arial" w:eastAsia="黑体" w:hAnsi="Arial" w:cs="Arial"/>
        <w:b/>
        <w:szCs w:val="21"/>
        <w:u w:val="single"/>
      </w:rPr>
      <w:t>月</w:t>
    </w:r>
    <w:r>
      <w:rPr>
        <w:rFonts w:ascii="Arial" w:eastAsia="黑体" w:hAnsi="Arial" w:cs="Arial"/>
        <w:b/>
        <w:szCs w:val="21"/>
        <w:u w:val="single"/>
      </w:rPr>
      <w:t>30</w:t>
    </w:r>
    <w:r>
      <w:rPr>
        <w:rFonts w:ascii="Arial" w:eastAsia="黑体" w:hAnsi="Arial" w:cs="Arial"/>
        <w:b/>
        <w:szCs w:val="21"/>
        <w:u w:val="single"/>
      </w:rPr>
      <w:t>日</w:t>
    </w:r>
    <w:proofErr w:type="gramStart"/>
    <w:r>
      <w:rPr>
        <w:rFonts w:ascii="Arial" w:eastAsia="黑体" w:hAnsi="Arial" w:cs="Arial"/>
        <w:b/>
        <w:szCs w:val="21"/>
        <w:u w:val="single"/>
      </w:rPr>
      <w:t>止</w:t>
    </w:r>
    <w:proofErr w:type="gramEnd"/>
    <w:r>
      <w:rPr>
        <w:rFonts w:ascii="Arial" w:eastAsia="黑体" w:hAnsi="Arial" w:cs="Arial"/>
        <w:b/>
        <w:szCs w:val="21"/>
        <w:u w:val="single"/>
      </w:rPr>
      <w:t>6</w:t>
    </w:r>
    <w:r>
      <w:rPr>
        <w:rFonts w:ascii="Arial" w:eastAsia="黑体" w:hAnsi="Arial" w:cs="Arial"/>
        <w:b/>
        <w:szCs w:val="21"/>
        <w:u w:val="single"/>
      </w:rPr>
      <w:t>个月</w:t>
    </w:r>
    <w:proofErr w:type="gramStart"/>
    <w:r>
      <w:rPr>
        <w:rFonts w:ascii="Arial" w:eastAsia="黑体" w:hAnsi="Arial" w:cs="Arial"/>
        <w:b/>
        <w:szCs w:val="21"/>
        <w:u w:val="single"/>
      </w:rPr>
      <w:t>期间</w:t>
    </w:r>
    <w:r>
      <w:rPr>
        <w:rFonts w:ascii="Arial" w:eastAsia="黑体" w:hAnsi="Arial" w:cs="Arial"/>
        <w:b/>
        <w:szCs w:val="21"/>
        <w:u w:val="single"/>
      </w:rPr>
      <w:tab/>
    </w:r>
    <w:proofErr w:type="gramEnd"/>
    <w:r>
      <w:rPr>
        <w:rFonts w:ascii="Arial" w:eastAsia="黑体" w:hAnsi="Arial" w:cs="Arial"/>
        <w:b/>
        <w:szCs w:val="21"/>
        <w:u w:val="single"/>
      </w:rPr>
      <w:t>人民币元</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overflowPunct w:val="0"/>
      <w:autoSpaceDE w:val="0"/>
      <w:autoSpaceDN w:val="0"/>
      <w:adjustRightInd w:val="0"/>
      <w:jc w:val="left"/>
      <w:rPr>
        <w:rFonts w:ascii="黑体" w:eastAsia="黑体" w:hAnsi="黑体" w:cs="Arial"/>
        <w:b/>
        <w:sz w:val="21"/>
        <w:szCs w:val="21"/>
      </w:rPr>
    </w:pPr>
    <w:r>
      <w:rPr>
        <w:rFonts w:ascii="黑体" w:eastAsia="黑体" w:hAnsi="黑体" w:cs="Arial"/>
        <w:b/>
        <w:sz w:val="21"/>
        <w:szCs w:val="21"/>
      </w:rPr>
      <w:fldChar w:fldCharType="begin"/>
    </w:r>
    <w:r>
      <w:rPr>
        <w:rFonts w:ascii="黑体" w:eastAsia="黑体" w:hAnsi="黑体" w:cs="Arial"/>
        <w:b/>
        <w:sz w:val="21"/>
        <w:szCs w:val="21"/>
      </w:rPr>
      <w:instrText xml:space="preserve"> DOCPROPERTY 公司名称 </w:instrText>
    </w:r>
    <w:r>
      <w:rPr>
        <w:rFonts w:ascii="黑体" w:eastAsia="黑体" w:hAnsi="黑体" w:cs="Arial"/>
        <w:b/>
        <w:sz w:val="21"/>
        <w:szCs w:val="21"/>
      </w:rPr>
      <w:fldChar w:fldCharType="separate"/>
    </w:r>
    <w:r>
      <w:rPr>
        <w:rFonts w:ascii="黑体" w:eastAsia="黑体" w:hAnsi="黑体" w:cs="Arial"/>
        <w:b/>
        <w:sz w:val="21"/>
        <w:szCs w:val="21"/>
      </w:rPr>
      <w:t>厦门银行股份有限公司</w:t>
    </w:r>
    <w:r>
      <w:rPr>
        <w:rFonts w:ascii="黑体" w:eastAsia="黑体" w:hAnsi="黑体" w:cs="Arial"/>
        <w:b/>
        <w:sz w:val="21"/>
        <w:szCs w:val="21"/>
      </w:rPr>
      <w:fldChar w:fldCharType="end"/>
    </w:r>
  </w:p>
  <w:p w:rsidR="00F22BE0" w:rsidRDefault="00F22BE0">
    <w:pPr>
      <w:overflowPunct w:val="0"/>
      <w:autoSpaceDE w:val="0"/>
      <w:autoSpaceDN w:val="0"/>
      <w:adjustRightInd w:val="0"/>
      <w:outlineLvl w:val="0"/>
      <w:rPr>
        <w:rFonts w:ascii="黑体" w:eastAsia="黑体" w:hAnsi="黑体" w:cs="Arial"/>
        <w:b/>
        <w:szCs w:val="21"/>
      </w:rPr>
    </w:pPr>
    <w:r>
      <w:rPr>
        <w:rFonts w:ascii="黑体" w:eastAsia="黑体" w:hAnsi="黑体" w:hint="eastAsia"/>
        <w:b/>
        <w:bCs/>
        <w:snapToGrid w:val="0"/>
        <w:szCs w:val="21"/>
      </w:rPr>
      <w:t>财务报表附注</w:t>
    </w:r>
    <w:r>
      <w:rPr>
        <w:rFonts w:ascii="Arial" w:eastAsia="黑体" w:hAnsi="Arial" w:cs="Arial" w:hint="eastAsia"/>
        <w:b/>
        <w:szCs w:val="21"/>
      </w:rPr>
      <w:t>（续）</w:t>
    </w:r>
  </w:p>
  <w:p w:rsidR="00F22BE0" w:rsidRDefault="00F22BE0">
    <w:pPr>
      <w:tabs>
        <w:tab w:val="right" w:pos="8313"/>
      </w:tabs>
      <w:overflowPunct w:val="0"/>
      <w:autoSpaceDE w:val="0"/>
      <w:autoSpaceDN w:val="0"/>
      <w:adjustRightInd w:val="0"/>
      <w:outlineLvl w:val="0"/>
      <w:rPr>
        <w:rFonts w:ascii="Arial" w:eastAsia="黑体" w:hAnsi="Arial" w:cs="Arial"/>
        <w:b/>
        <w:szCs w:val="21"/>
        <w:u w:val="single"/>
      </w:rPr>
    </w:pPr>
    <w:r>
      <w:rPr>
        <w:rFonts w:ascii="Arial" w:eastAsia="黑体" w:hAnsi="Arial" w:cs="Arial"/>
        <w:b/>
        <w:szCs w:val="21"/>
        <w:u w:val="single"/>
      </w:rPr>
      <w:t>截至</w:t>
    </w:r>
    <w:r>
      <w:rPr>
        <w:rFonts w:ascii="Arial" w:eastAsia="黑体" w:hAnsi="Arial" w:cs="Arial"/>
        <w:b/>
        <w:szCs w:val="21"/>
        <w:u w:val="single"/>
      </w:rPr>
      <w:t>2023</w:t>
    </w:r>
    <w:r>
      <w:rPr>
        <w:rFonts w:ascii="Arial" w:eastAsia="黑体" w:hAnsi="Arial" w:cs="Arial"/>
        <w:b/>
        <w:szCs w:val="21"/>
        <w:u w:val="single"/>
      </w:rPr>
      <w:t>年</w:t>
    </w:r>
    <w:r>
      <w:rPr>
        <w:rFonts w:ascii="Arial" w:eastAsia="黑体" w:hAnsi="Arial" w:cs="Arial"/>
        <w:b/>
        <w:szCs w:val="21"/>
        <w:u w:val="single"/>
      </w:rPr>
      <w:t>6</w:t>
    </w:r>
    <w:r>
      <w:rPr>
        <w:rFonts w:ascii="Arial" w:eastAsia="黑体" w:hAnsi="Arial" w:cs="Arial"/>
        <w:b/>
        <w:szCs w:val="21"/>
        <w:u w:val="single"/>
      </w:rPr>
      <w:t>月</w:t>
    </w:r>
    <w:r>
      <w:rPr>
        <w:rFonts w:ascii="Arial" w:eastAsia="黑体" w:hAnsi="Arial" w:cs="Arial"/>
        <w:b/>
        <w:szCs w:val="21"/>
        <w:u w:val="single"/>
      </w:rPr>
      <w:t>30</w:t>
    </w:r>
    <w:r>
      <w:rPr>
        <w:rFonts w:ascii="Arial" w:eastAsia="黑体" w:hAnsi="Arial" w:cs="Arial"/>
        <w:b/>
        <w:szCs w:val="21"/>
        <w:u w:val="single"/>
      </w:rPr>
      <w:t>日</w:t>
    </w:r>
    <w:proofErr w:type="gramStart"/>
    <w:r>
      <w:rPr>
        <w:rFonts w:ascii="Arial" w:eastAsia="黑体" w:hAnsi="Arial" w:cs="Arial"/>
        <w:b/>
        <w:szCs w:val="21"/>
        <w:u w:val="single"/>
      </w:rPr>
      <w:t>止</w:t>
    </w:r>
    <w:proofErr w:type="gramEnd"/>
    <w:r>
      <w:rPr>
        <w:rFonts w:ascii="Arial" w:eastAsia="黑体" w:hAnsi="Arial" w:cs="Arial"/>
        <w:b/>
        <w:szCs w:val="21"/>
        <w:u w:val="single"/>
      </w:rPr>
      <w:t>6</w:t>
    </w:r>
    <w:r>
      <w:rPr>
        <w:rFonts w:ascii="Arial" w:eastAsia="黑体" w:hAnsi="Arial" w:cs="Arial"/>
        <w:b/>
        <w:szCs w:val="21"/>
        <w:u w:val="single"/>
      </w:rPr>
      <w:t>个月</w:t>
    </w:r>
    <w:proofErr w:type="gramStart"/>
    <w:r>
      <w:rPr>
        <w:rFonts w:ascii="Arial" w:eastAsia="黑体" w:hAnsi="Arial" w:cs="Arial"/>
        <w:b/>
        <w:szCs w:val="21"/>
        <w:u w:val="single"/>
      </w:rPr>
      <w:t>期间</w:t>
    </w:r>
    <w:r>
      <w:rPr>
        <w:rFonts w:ascii="Arial" w:eastAsia="黑体" w:hAnsi="Arial" w:cs="Arial"/>
        <w:b/>
        <w:szCs w:val="21"/>
        <w:u w:val="single"/>
      </w:rPr>
      <w:tab/>
    </w:r>
    <w:proofErr w:type="gramEnd"/>
    <w:r>
      <w:rPr>
        <w:rFonts w:ascii="Arial" w:eastAsia="黑体" w:hAnsi="Arial" w:cs="Arial"/>
        <w:b/>
        <w:szCs w:val="21"/>
        <w:u w:val="single"/>
      </w:rPr>
      <w:t>人民币元</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19"/>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tabs>
        <w:tab w:val="left" w:pos="4379"/>
      </w:tabs>
      <w:overflowPunct w:val="0"/>
      <w:autoSpaceDE w:val="0"/>
      <w:autoSpaceDN w:val="0"/>
      <w:adjustRightInd w:val="0"/>
      <w:jc w:val="left"/>
      <w:rPr>
        <w:rFonts w:ascii="黑体" w:eastAsia="黑体" w:hAnsi="黑体" w:cs="Arial"/>
        <w:b/>
        <w:sz w:val="21"/>
        <w:szCs w:val="21"/>
      </w:rPr>
    </w:pPr>
    <w:r>
      <w:rPr>
        <w:rFonts w:ascii="黑体" w:eastAsia="黑体" w:hAnsi="黑体" w:cs="Arial"/>
        <w:b/>
        <w:sz w:val="21"/>
        <w:szCs w:val="21"/>
      </w:rPr>
      <w:fldChar w:fldCharType="begin"/>
    </w:r>
    <w:r>
      <w:rPr>
        <w:rFonts w:ascii="黑体" w:eastAsia="黑体" w:hAnsi="黑体" w:cs="Arial"/>
        <w:b/>
        <w:sz w:val="21"/>
        <w:szCs w:val="21"/>
      </w:rPr>
      <w:instrText xml:space="preserve"> DOCPROPERTY 公司名称 </w:instrText>
    </w:r>
    <w:r>
      <w:rPr>
        <w:rFonts w:ascii="黑体" w:eastAsia="黑体" w:hAnsi="黑体" w:cs="Arial"/>
        <w:b/>
        <w:sz w:val="21"/>
        <w:szCs w:val="21"/>
      </w:rPr>
      <w:fldChar w:fldCharType="separate"/>
    </w:r>
    <w:r>
      <w:rPr>
        <w:rFonts w:ascii="黑体" w:eastAsia="黑体" w:hAnsi="黑体" w:cs="Arial"/>
        <w:b/>
        <w:sz w:val="21"/>
        <w:szCs w:val="21"/>
      </w:rPr>
      <w:t>厦门银行股份有限公司</w:t>
    </w:r>
    <w:r>
      <w:rPr>
        <w:rFonts w:ascii="黑体" w:eastAsia="黑体" w:hAnsi="黑体" w:cs="Arial"/>
        <w:b/>
        <w:sz w:val="21"/>
        <w:szCs w:val="21"/>
      </w:rPr>
      <w:fldChar w:fldCharType="end"/>
    </w:r>
  </w:p>
  <w:p w:rsidR="00F22BE0" w:rsidRDefault="00F22BE0">
    <w:pPr>
      <w:overflowPunct w:val="0"/>
      <w:autoSpaceDE w:val="0"/>
      <w:autoSpaceDN w:val="0"/>
      <w:adjustRightInd w:val="0"/>
      <w:outlineLvl w:val="0"/>
      <w:rPr>
        <w:rFonts w:ascii="黑体" w:eastAsia="黑体" w:hAnsi="黑体" w:cs="Arial"/>
        <w:b/>
        <w:szCs w:val="21"/>
      </w:rPr>
    </w:pPr>
    <w:r>
      <w:rPr>
        <w:rFonts w:ascii="黑体" w:eastAsia="黑体" w:hAnsi="黑体" w:hint="eastAsia"/>
        <w:b/>
        <w:bCs/>
        <w:snapToGrid w:val="0"/>
        <w:szCs w:val="21"/>
      </w:rPr>
      <w:t>财务报表附注</w:t>
    </w:r>
    <w:r>
      <w:rPr>
        <w:rFonts w:ascii="Arial" w:eastAsia="黑体" w:hAnsi="Arial" w:cs="Arial" w:hint="eastAsia"/>
        <w:b/>
        <w:szCs w:val="21"/>
      </w:rPr>
      <w:t>（续）</w:t>
    </w:r>
  </w:p>
  <w:p w:rsidR="00F22BE0" w:rsidRDefault="00F22BE0">
    <w:pPr>
      <w:tabs>
        <w:tab w:val="right" w:pos="13956"/>
      </w:tabs>
      <w:overflowPunct w:val="0"/>
      <w:autoSpaceDE w:val="0"/>
      <w:autoSpaceDN w:val="0"/>
      <w:adjustRightInd w:val="0"/>
      <w:rPr>
        <w:rFonts w:ascii="黑体" w:eastAsia="黑体" w:hAnsi="黑体" w:cs="Arial"/>
        <w:b/>
        <w:szCs w:val="21"/>
        <w:u w:val="single"/>
      </w:rPr>
    </w:pPr>
    <w:r>
      <w:rPr>
        <w:rFonts w:ascii="黑体" w:eastAsia="黑体" w:hAnsi="黑体"/>
        <w:b/>
        <w:szCs w:val="21"/>
        <w:u w:val="single"/>
      </w:rPr>
      <w:fldChar w:fldCharType="begin"/>
    </w:r>
    <w:r>
      <w:rPr>
        <w:rFonts w:ascii="黑体" w:eastAsia="黑体" w:hAnsi="黑体"/>
        <w:b/>
        <w:szCs w:val="21"/>
        <w:u w:val="single"/>
      </w:rPr>
      <w:instrText xml:space="preserve"> DOCPROPERTY 当期会计期间 </w:instrText>
    </w:r>
    <w:r>
      <w:rPr>
        <w:rFonts w:ascii="黑体" w:eastAsia="黑体" w:hAnsi="黑体"/>
        <w:b/>
        <w:szCs w:val="21"/>
        <w:u w:val="single"/>
      </w:rPr>
      <w:fldChar w:fldCharType="separate"/>
    </w:r>
    <w:r>
      <w:rPr>
        <w:rFonts w:ascii="黑体" w:eastAsia="黑体" w:hAnsi="黑体"/>
        <w:b/>
        <w:szCs w:val="21"/>
        <w:u w:val="single"/>
      </w:rPr>
      <w:t>2023</w:t>
    </w:r>
    <w:r>
      <w:rPr>
        <w:rFonts w:ascii="黑体" w:eastAsia="黑体" w:hAnsi="黑体"/>
        <w:b/>
        <w:szCs w:val="21"/>
        <w:u w:val="single"/>
      </w:rPr>
      <w:fldChar w:fldCharType="end"/>
    </w:r>
    <w:r>
      <w:rPr>
        <w:rFonts w:ascii="黑体" w:eastAsia="黑体" w:hAnsi="黑体" w:hint="eastAsia"/>
        <w:b/>
        <w:szCs w:val="21"/>
        <w:u w:val="single"/>
      </w:rPr>
      <w:t>年度</w:t>
    </w:r>
    <w:r>
      <w:rPr>
        <w:rFonts w:ascii="Arial" w:eastAsia="黑体" w:hAnsi="Arial" w:cs="Arial"/>
        <w:b/>
        <w:szCs w:val="21"/>
        <w:u w:val="single"/>
      </w:rPr>
      <w:tab/>
    </w:r>
    <w:r>
      <w:rPr>
        <w:rFonts w:ascii="黑体" w:eastAsia="黑体" w:hAnsi="黑体" w:cs="Arial"/>
        <w:b/>
        <w:szCs w:val="21"/>
        <w:u w:val="single"/>
      </w:rPr>
      <w:fldChar w:fldCharType="begin"/>
    </w:r>
    <w:r>
      <w:rPr>
        <w:rFonts w:ascii="黑体" w:eastAsia="黑体" w:hAnsi="黑体" w:cs="Arial"/>
        <w:b/>
        <w:szCs w:val="21"/>
        <w:u w:val="single"/>
      </w:rPr>
      <w:instrText xml:space="preserve"> DOCPROPERTY 币种 </w:instrText>
    </w:r>
    <w:r>
      <w:rPr>
        <w:rFonts w:ascii="黑体" w:eastAsia="黑体" w:hAnsi="黑体" w:cs="Arial"/>
        <w:b/>
        <w:szCs w:val="21"/>
        <w:u w:val="single"/>
      </w:rPr>
      <w:fldChar w:fldCharType="separate"/>
    </w:r>
    <w:r>
      <w:rPr>
        <w:rFonts w:ascii="黑体" w:eastAsia="黑体" w:hAnsi="黑体" w:cs="Arial"/>
        <w:b/>
        <w:szCs w:val="21"/>
        <w:u w:val="single"/>
      </w:rPr>
      <w:t>人民币</w:t>
    </w:r>
    <w:r>
      <w:rPr>
        <w:rFonts w:ascii="黑体" w:eastAsia="黑体" w:hAnsi="黑体" w:cs="Arial"/>
        <w:b/>
        <w:szCs w:val="21"/>
        <w:u w:val="single"/>
      </w:rPr>
      <w:fldChar w:fldCharType="end"/>
    </w:r>
    <w:r>
      <w:rPr>
        <w:rFonts w:ascii="黑体" w:eastAsia="黑体" w:hAnsi="黑体" w:cs="Arial"/>
        <w:b/>
        <w:szCs w:val="21"/>
        <w:u w:val="single"/>
      </w:rPr>
      <w:fldChar w:fldCharType="begin"/>
    </w:r>
    <w:r>
      <w:rPr>
        <w:rFonts w:ascii="黑体" w:eastAsia="黑体" w:hAnsi="黑体" w:cs="Arial"/>
        <w:b/>
        <w:szCs w:val="21"/>
        <w:u w:val="single"/>
      </w:rPr>
      <w:instrText xml:space="preserve"> DOCPROPERTY 单位 </w:instrText>
    </w:r>
    <w:r>
      <w:rPr>
        <w:rFonts w:ascii="黑体" w:eastAsia="黑体" w:hAnsi="黑体" w:cs="Arial"/>
        <w:b/>
        <w:szCs w:val="21"/>
        <w:u w:val="single"/>
      </w:rPr>
      <w:fldChar w:fldCharType="separate"/>
    </w:r>
    <w:r>
      <w:rPr>
        <w:rFonts w:ascii="黑体" w:eastAsia="黑体" w:hAnsi="黑体" w:cs="Arial"/>
        <w:b/>
        <w:szCs w:val="21"/>
        <w:u w:val="single"/>
      </w:rPr>
      <w:t>元</w:t>
    </w:r>
    <w:r>
      <w:rPr>
        <w:rFonts w:ascii="黑体" w:eastAsia="黑体" w:hAnsi="黑体" w:cs="Arial"/>
        <w:b/>
        <w:szCs w:val="21"/>
        <w:u w:val="single"/>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overflowPunct w:val="0"/>
      <w:autoSpaceDE w:val="0"/>
      <w:autoSpaceDN w:val="0"/>
      <w:adjustRightInd w:val="0"/>
      <w:jc w:val="center"/>
      <w:outlineLvl w:val="0"/>
      <w:rPr>
        <w:rFonts w:ascii="Arial" w:eastAsia="黑体" w:hAnsi="Arial"/>
        <w:b/>
        <w:szCs w:val="21"/>
      </w:rPr>
    </w:pPr>
  </w:p>
  <w:p w:rsidR="00F22BE0" w:rsidRDefault="00F22BE0">
    <w:pPr>
      <w:overflowPunct w:val="0"/>
      <w:autoSpaceDE w:val="0"/>
      <w:autoSpaceDN w:val="0"/>
      <w:adjustRightInd w:val="0"/>
      <w:jc w:val="center"/>
      <w:outlineLvl w:val="0"/>
      <w:rPr>
        <w:rFonts w:ascii="Arial" w:eastAsia="黑体" w:hAnsi="Arial" w:cs="Arial"/>
        <w:b/>
        <w:szCs w:val="21"/>
      </w:rPr>
    </w:pPr>
  </w:p>
  <w:p w:rsidR="00F22BE0" w:rsidRDefault="00F22BE0">
    <w:pPr>
      <w:overflowPunct w:val="0"/>
      <w:autoSpaceDE w:val="0"/>
      <w:autoSpaceDN w:val="0"/>
      <w:adjustRightInd w:val="0"/>
      <w:outlineLvl w:val="0"/>
      <w:rPr>
        <w:rFonts w:ascii="Arial" w:eastAsia="黑体" w:hAnsi="Arial" w:cs="Arial"/>
        <w:b/>
        <w:szCs w:val="21"/>
      </w:rPr>
    </w:pPr>
    <w:r>
      <w:rPr>
        <w:rFonts w:ascii="Arial" w:eastAsia="黑体" w:hAnsi="Arial" w:cs="Arial"/>
        <w:b/>
        <w:szCs w:val="21"/>
      </w:rPr>
      <w:fldChar w:fldCharType="begin"/>
    </w:r>
    <w:r>
      <w:rPr>
        <w:rFonts w:ascii="Arial" w:eastAsia="黑体" w:hAnsi="Arial" w:cs="Arial"/>
        <w:b/>
        <w:szCs w:val="21"/>
      </w:rPr>
      <w:instrText xml:space="preserve"> DOCPROPERTY </w:instrText>
    </w:r>
    <w:r>
      <w:rPr>
        <w:rFonts w:ascii="Arial" w:eastAsia="黑体" w:hAnsi="Arial" w:cs="Arial" w:hint="eastAsia"/>
        <w:b/>
        <w:szCs w:val="21"/>
      </w:rPr>
      <w:instrText>公司名称</w:instrText>
    </w:r>
    <w:r>
      <w:rPr>
        <w:rFonts w:ascii="Arial" w:eastAsia="黑体" w:hAnsi="Arial" w:cs="Arial"/>
        <w:b/>
        <w:szCs w:val="21"/>
      </w:rPr>
      <w:instrText xml:space="preserve"> </w:instrText>
    </w:r>
    <w:r>
      <w:rPr>
        <w:rFonts w:ascii="Arial" w:eastAsia="黑体" w:hAnsi="Arial" w:cs="Arial"/>
        <w:b/>
        <w:szCs w:val="21"/>
      </w:rPr>
      <w:fldChar w:fldCharType="separate"/>
    </w:r>
    <w:r>
      <w:rPr>
        <w:rFonts w:ascii="Arial" w:eastAsia="黑体" w:hAnsi="Arial" w:cs="Arial" w:hint="eastAsia"/>
        <w:b/>
        <w:szCs w:val="21"/>
      </w:rPr>
      <w:t>厦门银行股份有限公司</w:t>
    </w:r>
    <w:r>
      <w:rPr>
        <w:rFonts w:ascii="Arial" w:eastAsia="黑体" w:hAnsi="Arial" w:cs="Arial"/>
        <w:b/>
        <w:szCs w:val="21"/>
      </w:rPr>
      <w:fldChar w:fldCharType="end"/>
    </w:r>
  </w:p>
  <w:p w:rsidR="00F22BE0" w:rsidRDefault="00F22BE0">
    <w:pPr>
      <w:overflowPunct w:val="0"/>
      <w:autoSpaceDE w:val="0"/>
      <w:autoSpaceDN w:val="0"/>
      <w:adjustRightInd w:val="0"/>
      <w:outlineLvl w:val="0"/>
      <w:rPr>
        <w:rFonts w:ascii="Arial" w:eastAsia="黑体" w:hAnsi="Arial" w:cs="Arial"/>
        <w:b/>
        <w:szCs w:val="21"/>
      </w:rPr>
    </w:pPr>
    <w:r>
      <w:rPr>
        <w:rFonts w:ascii="Arial" w:eastAsia="黑体" w:hAnsi="Arial" w:cs="Arial" w:hint="eastAsia"/>
        <w:b/>
        <w:szCs w:val="21"/>
      </w:rPr>
      <w:t>合并资产负债表（续）</w:t>
    </w:r>
  </w:p>
  <w:p w:rsidR="00F22BE0" w:rsidRDefault="00F22BE0">
    <w:pPr>
      <w:tabs>
        <w:tab w:val="right" w:pos="8313"/>
      </w:tabs>
      <w:overflowPunct w:val="0"/>
      <w:autoSpaceDE w:val="0"/>
      <w:autoSpaceDN w:val="0"/>
      <w:adjustRightInd w:val="0"/>
      <w:rPr>
        <w:rFonts w:ascii="Arial" w:eastAsia="黑体" w:hAnsi="Arial" w:cs="Arial"/>
        <w:b/>
        <w:szCs w:val="21"/>
        <w:u w:val="single"/>
      </w:rPr>
    </w:pPr>
    <w:r>
      <w:rPr>
        <w:rFonts w:ascii="Arial" w:eastAsia="黑体" w:hAnsi="Arial" w:cs="Arial"/>
        <w:b/>
        <w:szCs w:val="21"/>
        <w:u w:val="single"/>
      </w:rPr>
      <w:fldChar w:fldCharType="begin"/>
    </w:r>
    <w:r>
      <w:rPr>
        <w:rFonts w:ascii="Arial" w:eastAsia="黑体" w:hAnsi="Arial" w:cs="Arial"/>
        <w:b/>
        <w:szCs w:val="21"/>
        <w:u w:val="single"/>
      </w:rPr>
      <w:instrText xml:space="preserve"> DOCPROPERTY </w:instrText>
    </w:r>
    <w:r>
      <w:rPr>
        <w:rFonts w:ascii="Arial" w:eastAsia="黑体" w:hAnsi="Arial" w:cs="Arial" w:hint="eastAsia"/>
        <w:b/>
        <w:szCs w:val="21"/>
        <w:u w:val="single"/>
      </w:rPr>
      <w:instrText>当期资产负债表日</w:instrText>
    </w:r>
    <w:r>
      <w:rPr>
        <w:rFonts w:ascii="Arial" w:eastAsia="黑体" w:hAnsi="Arial" w:cs="Arial"/>
        <w:b/>
        <w:szCs w:val="21"/>
        <w:u w:val="single"/>
      </w:rPr>
      <w:instrText xml:space="preserve"> </w:instrText>
    </w:r>
    <w:r>
      <w:rPr>
        <w:rFonts w:ascii="Arial" w:eastAsia="黑体" w:hAnsi="Arial" w:cs="Arial"/>
        <w:b/>
        <w:szCs w:val="21"/>
        <w:u w:val="single"/>
      </w:rPr>
      <w:fldChar w:fldCharType="separate"/>
    </w:r>
    <w:r>
      <w:rPr>
        <w:rFonts w:ascii="Arial" w:eastAsia="黑体" w:hAnsi="Arial" w:cs="Arial" w:hint="eastAsia"/>
        <w:b/>
        <w:szCs w:val="21"/>
        <w:u w:val="single"/>
      </w:rPr>
      <w:t>2023</w:t>
    </w:r>
    <w:r>
      <w:rPr>
        <w:rFonts w:ascii="Arial" w:eastAsia="黑体" w:hAnsi="Arial" w:cs="Arial" w:hint="eastAsia"/>
        <w:b/>
        <w:szCs w:val="21"/>
        <w:u w:val="single"/>
      </w:rPr>
      <w:t>年</w:t>
    </w:r>
    <w:r>
      <w:rPr>
        <w:rFonts w:ascii="Arial" w:eastAsia="黑体" w:hAnsi="Arial" w:cs="Arial" w:hint="eastAsia"/>
        <w:b/>
        <w:szCs w:val="21"/>
        <w:u w:val="single"/>
      </w:rPr>
      <w:t>6</w:t>
    </w:r>
    <w:r>
      <w:rPr>
        <w:rFonts w:ascii="Arial" w:eastAsia="黑体" w:hAnsi="Arial" w:cs="Arial" w:hint="eastAsia"/>
        <w:b/>
        <w:szCs w:val="21"/>
        <w:u w:val="single"/>
      </w:rPr>
      <w:t>月</w:t>
    </w:r>
    <w:r>
      <w:rPr>
        <w:rFonts w:ascii="Arial" w:eastAsia="黑体" w:hAnsi="Arial" w:cs="Arial" w:hint="eastAsia"/>
        <w:b/>
        <w:szCs w:val="21"/>
        <w:u w:val="single"/>
      </w:rPr>
      <w:t>30</w:t>
    </w:r>
    <w:r>
      <w:rPr>
        <w:rFonts w:ascii="Arial" w:eastAsia="黑体" w:hAnsi="Arial" w:cs="Arial" w:hint="eastAsia"/>
        <w:b/>
        <w:szCs w:val="21"/>
        <w:u w:val="single"/>
      </w:rPr>
      <w:t>日</w:t>
    </w:r>
    <w:r>
      <w:rPr>
        <w:rFonts w:ascii="Arial" w:eastAsia="黑体" w:hAnsi="Arial" w:cs="Arial"/>
        <w:b/>
        <w:szCs w:val="21"/>
        <w:u w:val="single"/>
      </w:rPr>
      <w:fldChar w:fldCharType="end"/>
    </w:r>
    <w:r>
      <w:rPr>
        <w:rFonts w:ascii="Arial" w:eastAsia="黑体" w:hAnsi="Arial" w:cs="Arial"/>
        <w:b/>
        <w:szCs w:val="21"/>
        <w:u w:val="single"/>
      </w:rPr>
      <w:tab/>
    </w:r>
    <w:r>
      <w:rPr>
        <w:rFonts w:ascii="Arial" w:eastAsia="黑体" w:hAnsi="Arial" w:cs="Arial"/>
        <w:b/>
        <w:szCs w:val="21"/>
        <w:u w:val="single"/>
      </w:rPr>
      <w:fldChar w:fldCharType="begin"/>
    </w:r>
    <w:r>
      <w:rPr>
        <w:rFonts w:ascii="Arial" w:eastAsia="黑体" w:hAnsi="Arial" w:cs="Arial"/>
        <w:b/>
        <w:szCs w:val="21"/>
        <w:u w:val="single"/>
      </w:rPr>
      <w:instrText xml:space="preserve"> DOCPROPERTY </w:instrText>
    </w:r>
    <w:r>
      <w:rPr>
        <w:rFonts w:ascii="Arial" w:eastAsia="黑体" w:hAnsi="Arial" w:cs="Arial" w:hint="eastAsia"/>
        <w:b/>
        <w:szCs w:val="21"/>
        <w:u w:val="single"/>
      </w:rPr>
      <w:instrText>币种</w:instrText>
    </w:r>
    <w:r>
      <w:rPr>
        <w:rFonts w:ascii="Arial" w:eastAsia="黑体" w:hAnsi="Arial" w:cs="Arial"/>
        <w:b/>
        <w:szCs w:val="21"/>
        <w:u w:val="single"/>
      </w:rPr>
      <w:instrText xml:space="preserve"> </w:instrText>
    </w:r>
    <w:r>
      <w:rPr>
        <w:rFonts w:ascii="Arial" w:eastAsia="黑体" w:hAnsi="Arial" w:cs="Arial"/>
        <w:b/>
        <w:szCs w:val="21"/>
        <w:u w:val="single"/>
      </w:rPr>
      <w:fldChar w:fldCharType="separate"/>
    </w:r>
    <w:r>
      <w:rPr>
        <w:rFonts w:ascii="Arial" w:eastAsia="黑体" w:hAnsi="Arial" w:cs="Arial" w:hint="eastAsia"/>
        <w:b/>
        <w:szCs w:val="21"/>
        <w:u w:val="single"/>
      </w:rPr>
      <w:t>人民币</w:t>
    </w:r>
    <w:r>
      <w:rPr>
        <w:rFonts w:ascii="Arial" w:eastAsia="黑体" w:hAnsi="Arial" w:cs="Arial"/>
        <w:b/>
        <w:szCs w:val="21"/>
        <w:u w:val="single"/>
      </w:rPr>
      <w:fldChar w:fldCharType="end"/>
    </w:r>
    <w:r>
      <w:rPr>
        <w:rFonts w:ascii="Arial" w:eastAsia="黑体" w:hAnsi="Arial" w:cs="Arial"/>
        <w:b/>
        <w:szCs w:val="21"/>
        <w:u w:val="single"/>
      </w:rPr>
      <w:fldChar w:fldCharType="begin"/>
    </w:r>
    <w:r>
      <w:rPr>
        <w:rFonts w:ascii="Arial" w:eastAsia="黑体" w:hAnsi="Arial" w:cs="Arial"/>
        <w:b/>
        <w:szCs w:val="21"/>
        <w:u w:val="single"/>
      </w:rPr>
      <w:instrText xml:space="preserve"> DOCPROPERTY </w:instrText>
    </w:r>
    <w:r>
      <w:rPr>
        <w:rFonts w:ascii="Arial" w:eastAsia="黑体" w:hAnsi="Arial" w:cs="Arial" w:hint="eastAsia"/>
        <w:b/>
        <w:szCs w:val="21"/>
        <w:u w:val="single"/>
      </w:rPr>
      <w:instrText>单位</w:instrText>
    </w:r>
    <w:r>
      <w:rPr>
        <w:rFonts w:ascii="Arial" w:eastAsia="黑体" w:hAnsi="Arial" w:cs="Arial"/>
        <w:b/>
        <w:szCs w:val="21"/>
        <w:u w:val="single"/>
      </w:rPr>
      <w:instrText xml:space="preserve"> </w:instrText>
    </w:r>
    <w:r>
      <w:rPr>
        <w:rFonts w:ascii="Arial" w:eastAsia="黑体" w:hAnsi="Arial" w:cs="Arial"/>
        <w:b/>
        <w:szCs w:val="21"/>
        <w:u w:val="single"/>
      </w:rPr>
      <w:fldChar w:fldCharType="separate"/>
    </w:r>
    <w:r>
      <w:rPr>
        <w:rFonts w:ascii="Arial" w:eastAsia="黑体" w:hAnsi="Arial" w:cs="Arial" w:hint="eastAsia"/>
        <w:b/>
        <w:szCs w:val="21"/>
        <w:u w:val="single"/>
      </w:rPr>
      <w:t>元</w:t>
    </w:r>
    <w:r>
      <w:rPr>
        <w:rFonts w:ascii="Arial" w:eastAsia="黑体" w:hAnsi="Arial" w:cs="Arial"/>
        <w:b/>
        <w:szCs w:val="21"/>
        <w:u w:val="single"/>
      </w:rPr>
      <w:fldChar w:fldCharType="end"/>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overflowPunct w:val="0"/>
      <w:autoSpaceDE w:val="0"/>
      <w:autoSpaceDN w:val="0"/>
      <w:adjustRightInd w:val="0"/>
      <w:jc w:val="left"/>
      <w:rPr>
        <w:rFonts w:ascii="黑体" w:eastAsia="黑体" w:hAnsi="黑体" w:cs="Arial"/>
        <w:b/>
        <w:sz w:val="21"/>
        <w:szCs w:val="21"/>
      </w:rPr>
    </w:pPr>
    <w:r>
      <w:rPr>
        <w:rFonts w:ascii="黑体" w:eastAsia="黑体" w:hAnsi="黑体" w:cs="Arial"/>
        <w:b/>
        <w:sz w:val="21"/>
        <w:szCs w:val="21"/>
      </w:rPr>
      <w:fldChar w:fldCharType="begin"/>
    </w:r>
    <w:r>
      <w:rPr>
        <w:rFonts w:ascii="黑体" w:eastAsia="黑体" w:hAnsi="黑体" w:cs="Arial"/>
        <w:b/>
        <w:sz w:val="21"/>
        <w:szCs w:val="21"/>
      </w:rPr>
      <w:instrText xml:space="preserve"> DOCPROPERTY 公司名称 </w:instrText>
    </w:r>
    <w:r>
      <w:rPr>
        <w:rFonts w:ascii="黑体" w:eastAsia="黑体" w:hAnsi="黑体" w:cs="Arial"/>
        <w:b/>
        <w:sz w:val="21"/>
        <w:szCs w:val="21"/>
      </w:rPr>
      <w:fldChar w:fldCharType="separate"/>
    </w:r>
    <w:r>
      <w:rPr>
        <w:rFonts w:ascii="黑体" w:eastAsia="黑体" w:hAnsi="黑体" w:cs="Arial"/>
        <w:b/>
        <w:sz w:val="21"/>
        <w:szCs w:val="21"/>
      </w:rPr>
      <w:t>厦门银行股份有限公司</w:t>
    </w:r>
    <w:r>
      <w:rPr>
        <w:rFonts w:ascii="黑体" w:eastAsia="黑体" w:hAnsi="黑体" w:cs="Arial"/>
        <w:b/>
        <w:sz w:val="21"/>
        <w:szCs w:val="21"/>
      </w:rPr>
      <w:fldChar w:fldCharType="end"/>
    </w:r>
  </w:p>
  <w:p w:rsidR="00F22BE0" w:rsidRDefault="00F22BE0">
    <w:pPr>
      <w:overflowPunct w:val="0"/>
      <w:autoSpaceDE w:val="0"/>
      <w:autoSpaceDN w:val="0"/>
      <w:adjustRightInd w:val="0"/>
      <w:outlineLvl w:val="0"/>
      <w:rPr>
        <w:rFonts w:ascii="黑体" w:eastAsia="黑体" w:hAnsi="黑体" w:cs="Arial"/>
        <w:b/>
        <w:szCs w:val="21"/>
      </w:rPr>
    </w:pPr>
    <w:r>
      <w:rPr>
        <w:rFonts w:ascii="黑体" w:eastAsia="黑体" w:hAnsi="黑体" w:hint="eastAsia"/>
        <w:b/>
        <w:bCs/>
        <w:snapToGrid w:val="0"/>
        <w:szCs w:val="21"/>
      </w:rPr>
      <w:t>财务报表附注</w:t>
    </w:r>
    <w:r>
      <w:rPr>
        <w:rFonts w:ascii="Arial" w:eastAsia="黑体" w:hAnsi="Arial" w:cs="Arial" w:hint="eastAsia"/>
        <w:b/>
        <w:szCs w:val="21"/>
      </w:rPr>
      <w:t>（续）</w:t>
    </w:r>
  </w:p>
  <w:p w:rsidR="00F22BE0" w:rsidRDefault="00F22BE0">
    <w:pPr>
      <w:tabs>
        <w:tab w:val="right" w:pos="13956"/>
      </w:tabs>
      <w:overflowPunct w:val="0"/>
      <w:autoSpaceDE w:val="0"/>
      <w:autoSpaceDN w:val="0"/>
      <w:adjustRightInd w:val="0"/>
      <w:outlineLvl w:val="0"/>
      <w:rPr>
        <w:rFonts w:ascii="Arial" w:eastAsia="黑体" w:hAnsi="Arial" w:cs="Arial"/>
        <w:b/>
        <w:szCs w:val="21"/>
        <w:u w:val="single"/>
      </w:rPr>
    </w:pPr>
    <w:r>
      <w:rPr>
        <w:rFonts w:ascii="Arial" w:eastAsia="黑体" w:hAnsi="Arial" w:cs="Arial"/>
        <w:b/>
        <w:szCs w:val="21"/>
        <w:u w:val="single"/>
      </w:rPr>
      <w:t>截至</w:t>
    </w:r>
    <w:r>
      <w:rPr>
        <w:rFonts w:ascii="Arial" w:eastAsia="黑体" w:hAnsi="Arial" w:cs="Arial"/>
        <w:b/>
        <w:szCs w:val="21"/>
        <w:u w:val="single"/>
      </w:rPr>
      <w:t>2023</w:t>
    </w:r>
    <w:r>
      <w:rPr>
        <w:rFonts w:ascii="Arial" w:eastAsia="黑体" w:hAnsi="Arial" w:cs="Arial"/>
        <w:b/>
        <w:szCs w:val="21"/>
        <w:u w:val="single"/>
      </w:rPr>
      <w:t>年</w:t>
    </w:r>
    <w:r>
      <w:rPr>
        <w:rFonts w:ascii="Arial" w:eastAsia="黑体" w:hAnsi="Arial" w:cs="Arial"/>
        <w:b/>
        <w:szCs w:val="21"/>
        <w:u w:val="single"/>
      </w:rPr>
      <w:t>6</w:t>
    </w:r>
    <w:r>
      <w:rPr>
        <w:rFonts w:ascii="Arial" w:eastAsia="黑体" w:hAnsi="Arial" w:cs="Arial"/>
        <w:b/>
        <w:szCs w:val="21"/>
        <w:u w:val="single"/>
      </w:rPr>
      <w:t>月</w:t>
    </w:r>
    <w:r>
      <w:rPr>
        <w:rFonts w:ascii="Arial" w:eastAsia="黑体" w:hAnsi="Arial" w:cs="Arial"/>
        <w:b/>
        <w:szCs w:val="21"/>
        <w:u w:val="single"/>
      </w:rPr>
      <w:t>30</w:t>
    </w:r>
    <w:r>
      <w:rPr>
        <w:rFonts w:ascii="Arial" w:eastAsia="黑体" w:hAnsi="Arial" w:cs="Arial"/>
        <w:b/>
        <w:szCs w:val="21"/>
        <w:u w:val="single"/>
      </w:rPr>
      <w:t>日</w:t>
    </w:r>
    <w:proofErr w:type="gramStart"/>
    <w:r>
      <w:rPr>
        <w:rFonts w:ascii="Arial" w:eastAsia="黑体" w:hAnsi="Arial" w:cs="Arial"/>
        <w:b/>
        <w:szCs w:val="21"/>
        <w:u w:val="single"/>
      </w:rPr>
      <w:t>止</w:t>
    </w:r>
    <w:proofErr w:type="gramEnd"/>
    <w:r>
      <w:rPr>
        <w:rFonts w:ascii="Arial" w:eastAsia="黑体" w:hAnsi="Arial" w:cs="Arial"/>
        <w:b/>
        <w:szCs w:val="21"/>
        <w:u w:val="single"/>
      </w:rPr>
      <w:t>6</w:t>
    </w:r>
    <w:r>
      <w:rPr>
        <w:rFonts w:ascii="Arial" w:eastAsia="黑体" w:hAnsi="Arial" w:cs="Arial"/>
        <w:b/>
        <w:szCs w:val="21"/>
        <w:u w:val="single"/>
      </w:rPr>
      <w:t>个月</w:t>
    </w:r>
    <w:proofErr w:type="gramStart"/>
    <w:r>
      <w:rPr>
        <w:rFonts w:ascii="Arial" w:eastAsia="黑体" w:hAnsi="Arial" w:cs="Arial"/>
        <w:b/>
        <w:szCs w:val="21"/>
        <w:u w:val="single"/>
      </w:rPr>
      <w:t>期间</w:t>
    </w:r>
    <w:r>
      <w:rPr>
        <w:rFonts w:ascii="Arial" w:eastAsia="黑体" w:hAnsi="Arial" w:cs="Arial"/>
        <w:b/>
        <w:szCs w:val="21"/>
        <w:u w:val="single"/>
      </w:rPr>
      <w:tab/>
    </w:r>
    <w:proofErr w:type="gramEnd"/>
    <w:r>
      <w:rPr>
        <w:rFonts w:ascii="Arial" w:eastAsia="黑体" w:hAnsi="Arial" w:cs="Arial"/>
        <w:b/>
        <w:szCs w:val="21"/>
        <w:u w:val="single"/>
      </w:rPr>
      <w:t>人民币元</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19"/>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tabs>
        <w:tab w:val="left" w:pos="4379"/>
      </w:tabs>
      <w:overflowPunct w:val="0"/>
      <w:autoSpaceDE w:val="0"/>
      <w:autoSpaceDN w:val="0"/>
      <w:adjustRightInd w:val="0"/>
      <w:jc w:val="left"/>
      <w:rPr>
        <w:rFonts w:ascii="黑体" w:eastAsia="黑体" w:hAnsi="黑体" w:cs="Arial"/>
        <w:b/>
        <w:sz w:val="21"/>
        <w:szCs w:val="21"/>
      </w:rPr>
    </w:pPr>
    <w:r>
      <w:rPr>
        <w:rFonts w:ascii="黑体" w:eastAsia="黑体" w:hAnsi="黑体" w:cs="Arial"/>
        <w:b/>
        <w:sz w:val="21"/>
        <w:szCs w:val="21"/>
      </w:rPr>
      <w:fldChar w:fldCharType="begin"/>
    </w:r>
    <w:r>
      <w:rPr>
        <w:rFonts w:ascii="黑体" w:eastAsia="黑体" w:hAnsi="黑体" w:cs="Arial"/>
        <w:b/>
        <w:sz w:val="21"/>
        <w:szCs w:val="21"/>
      </w:rPr>
      <w:instrText xml:space="preserve"> DOCPROPERTY 公司名称 </w:instrText>
    </w:r>
    <w:r>
      <w:rPr>
        <w:rFonts w:ascii="黑体" w:eastAsia="黑体" w:hAnsi="黑体" w:cs="Arial"/>
        <w:b/>
        <w:sz w:val="21"/>
        <w:szCs w:val="21"/>
      </w:rPr>
      <w:fldChar w:fldCharType="separate"/>
    </w:r>
    <w:r>
      <w:rPr>
        <w:rFonts w:ascii="黑体" w:eastAsia="黑体" w:hAnsi="黑体" w:cs="Arial"/>
        <w:b/>
        <w:sz w:val="21"/>
        <w:szCs w:val="21"/>
      </w:rPr>
      <w:t>厦门银行股份有限公司</w:t>
    </w:r>
    <w:r>
      <w:rPr>
        <w:rFonts w:ascii="黑体" w:eastAsia="黑体" w:hAnsi="黑体" w:cs="Arial"/>
        <w:b/>
        <w:sz w:val="21"/>
        <w:szCs w:val="21"/>
      </w:rPr>
      <w:fldChar w:fldCharType="end"/>
    </w:r>
  </w:p>
  <w:p w:rsidR="00F22BE0" w:rsidRDefault="00F22BE0">
    <w:pPr>
      <w:overflowPunct w:val="0"/>
      <w:autoSpaceDE w:val="0"/>
      <w:autoSpaceDN w:val="0"/>
      <w:adjustRightInd w:val="0"/>
      <w:outlineLvl w:val="0"/>
      <w:rPr>
        <w:rFonts w:ascii="黑体" w:eastAsia="黑体" w:hAnsi="黑体" w:cs="Arial"/>
        <w:b/>
        <w:szCs w:val="21"/>
      </w:rPr>
    </w:pPr>
    <w:r>
      <w:rPr>
        <w:rFonts w:ascii="黑体" w:eastAsia="黑体" w:hAnsi="黑体" w:hint="eastAsia"/>
        <w:b/>
        <w:bCs/>
        <w:snapToGrid w:val="0"/>
        <w:szCs w:val="21"/>
      </w:rPr>
      <w:t>财务报表附注</w:t>
    </w:r>
    <w:r>
      <w:rPr>
        <w:rFonts w:ascii="Arial" w:eastAsia="黑体" w:hAnsi="Arial" w:cs="Arial" w:hint="eastAsia"/>
        <w:b/>
        <w:szCs w:val="21"/>
      </w:rPr>
      <w:t>（续）</w:t>
    </w:r>
  </w:p>
  <w:p w:rsidR="00F22BE0" w:rsidRDefault="00F22BE0">
    <w:pPr>
      <w:tabs>
        <w:tab w:val="right" w:pos="13956"/>
      </w:tabs>
      <w:overflowPunct w:val="0"/>
      <w:autoSpaceDE w:val="0"/>
      <w:autoSpaceDN w:val="0"/>
      <w:adjustRightInd w:val="0"/>
      <w:rPr>
        <w:rFonts w:ascii="黑体" w:eastAsia="黑体" w:hAnsi="黑体" w:cs="Arial"/>
        <w:b/>
        <w:u w:val="single"/>
      </w:rPr>
    </w:pPr>
    <w:r>
      <w:rPr>
        <w:rFonts w:ascii="黑体" w:eastAsia="黑体" w:hAnsi="黑体"/>
        <w:b/>
        <w:szCs w:val="21"/>
        <w:u w:val="single"/>
      </w:rPr>
      <w:fldChar w:fldCharType="begin"/>
    </w:r>
    <w:r>
      <w:rPr>
        <w:rFonts w:ascii="黑体" w:eastAsia="黑体" w:hAnsi="黑体"/>
        <w:b/>
        <w:szCs w:val="21"/>
        <w:u w:val="single"/>
      </w:rPr>
      <w:instrText xml:space="preserve"> DOCPROPERTY 当期会计期间 </w:instrText>
    </w:r>
    <w:r>
      <w:rPr>
        <w:rFonts w:ascii="黑体" w:eastAsia="黑体" w:hAnsi="黑体"/>
        <w:b/>
        <w:szCs w:val="21"/>
        <w:u w:val="single"/>
      </w:rPr>
      <w:fldChar w:fldCharType="separate"/>
    </w:r>
    <w:r>
      <w:rPr>
        <w:rFonts w:ascii="黑体" w:eastAsia="黑体" w:hAnsi="黑体"/>
        <w:b/>
        <w:szCs w:val="21"/>
        <w:u w:val="single"/>
      </w:rPr>
      <w:t>2023</w:t>
    </w:r>
    <w:r>
      <w:rPr>
        <w:rFonts w:ascii="黑体" w:eastAsia="黑体" w:hAnsi="黑体"/>
        <w:b/>
        <w:szCs w:val="21"/>
        <w:u w:val="single"/>
      </w:rPr>
      <w:fldChar w:fldCharType="end"/>
    </w:r>
    <w:r>
      <w:rPr>
        <w:rFonts w:ascii="黑体" w:eastAsia="黑体" w:hAnsi="黑体" w:hint="eastAsia"/>
        <w:b/>
        <w:szCs w:val="21"/>
        <w:u w:val="single"/>
      </w:rPr>
      <w:t>年度</w:t>
    </w:r>
    <w:r>
      <w:rPr>
        <w:rFonts w:ascii="Arial" w:eastAsia="黑体" w:hAnsi="Arial" w:cs="Arial"/>
        <w:b/>
        <w:szCs w:val="21"/>
        <w:u w:val="single"/>
      </w:rPr>
      <w:tab/>
    </w:r>
    <w:r>
      <w:rPr>
        <w:rFonts w:ascii="黑体" w:eastAsia="黑体" w:hAnsi="黑体" w:cs="Arial"/>
        <w:b/>
        <w:szCs w:val="21"/>
        <w:u w:val="single"/>
      </w:rPr>
      <w:fldChar w:fldCharType="begin"/>
    </w:r>
    <w:r>
      <w:rPr>
        <w:rFonts w:ascii="黑体" w:eastAsia="黑体" w:hAnsi="黑体" w:cs="Arial"/>
        <w:b/>
        <w:szCs w:val="21"/>
        <w:u w:val="single"/>
      </w:rPr>
      <w:instrText xml:space="preserve"> DOCPROPERTY 币种 </w:instrText>
    </w:r>
    <w:r>
      <w:rPr>
        <w:rFonts w:ascii="黑体" w:eastAsia="黑体" w:hAnsi="黑体" w:cs="Arial"/>
        <w:b/>
        <w:szCs w:val="21"/>
        <w:u w:val="single"/>
      </w:rPr>
      <w:fldChar w:fldCharType="separate"/>
    </w:r>
    <w:r>
      <w:rPr>
        <w:rFonts w:ascii="黑体" w:eastAsia="黑体" w:hAnsi="黑体" w:cs="Arial"/>
        <w:b/>
        <w:szCs w:val="21"/>
        <w:u w:val="single"/>
      </w:rPr>
      <w:t>人民币</w:t>
    </w:r>
    <w:r>
      <w:rPr>
        <w:rFonts w:ascii="黑体" w:eastAsia="黑体" w:hAnsi="黑体" w:cs="Arial"/>
        <w:b/>
        <w:szCs w:val="21"/>
        <w:u w:val="single"/>
      </w:rPr>
      <w:fldChar w:fldCharType="end"/>
    </w:r>
    <w:r>
      <w:rPr>
        <w:rFonts w:ascii="黑体" w:eastAsia="黑体" w:hAnsi="黑体" w:cs="Arial"/>
        <w:b/>
        <w:szCs w:val="21"/>
        <w:u w:val="single"/>
      </w:rPr>
      <w:fldChar w:fldCharType="begin"/>
    </w:r>
    <w:r>
      <w:rPr>
        <w:rFonts w:ascii="黑体" w:eastAsia="黑体" w:hAnsi="黑体" w:cs="Arial"/>
        <w:b/>
        <w:szCs w:val="21"/>
        <w:u w:val="single"/>
      </w:rPr>
      <w:instrText xml:space="preserve"> DOCPROPERTY 单位 </w:instrText>
    </w:r>
    <w:r>
      <w:rPr>
        <w:rFonts w:ascii="黑体" w:eastAsia="黑体" w:hAnsi="黑体" w:cs="Arial"/>
        <w:b/>
        <w:szCs w:val="21"/>
        <w:u w:val="single"/>
      </w:rPr>
      <w:fldChar w:fldCharType="separate"/>
    </w:r>
    <w:r>
      <w:rPr>
        <w:rFonts w:ascii="黑体" w:eastAsia="黑体" w:hAnsi="黑体" w:cs="Arial"/>
        <w:b/>
        <w:szCs w:val="21"/>
        <w:u w:val="single"/>
      </w:rPr>
      <w:t>元</w:t>
    </w:r>
    <w:r>
      <w:rPr>
        <w:rFonts w:ascii="黑体" w:eastAsia="黑体" w:hAnsi="黑体" w:cs="Arial"/>
        <w:b/>
        <w:szCs w:val="21"/>
        <w:u w:val="single"/>
      </w:rPr>
      <w:fldChar w:fldCharType="end"/>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overflowPunct w:val="0"/>
      <w:autoSpaceDE w:val="0"/>
      <w:autoSpaceDN w:val="0"/>
      <w:adjustRightInd w:val="0"/>
      <w:jc w:val="left"/>
      <w:rPr>
        <w:rFonts w:ascii="黑体" w:eastAsia="黑体" w:hAnsi="黑体" w:cs="Arial"/>
        <w:b/>
        <w:sz w:val="21"/>
        <w:szCs w:val="21"/>
      </w:rPr>
    </w:pPr>
    <w:r>
      <w:rPr>
        <w:rFonts w:ascii="黑体" w:eastAsia="黑体" w:hAnsi="黑体" w:cs="Arial"/>
        <w:b/>
        <w:sz w:val="21"/>
        <w:szCs w:val="21"/>
      </w:rPr>
      <w:fldChar w:fldCharType="begin"/>
    </w:r>
    <w:r>
      <w:rPr>
        <w:rFonts w:ascii="黑体" w:eastAsia="黑体" w:hAnsi="黑体" w:cs="Arial"/>
        <w:b/>
        <w:sz w:val="21"/>
        <w:szCs w:val="21"/>
      </w:rPr>
      <w:instrText xml:space="preserve"> DOCPROPERTY 公司名称 </w:instrText>
    </w:r>
    <w:r>
      <w:rPr>
        <w:rFonts w:ascii="黑体" w:eastAsia="黑体" w:hAnsi="黑体" w:cs="Arial"/>
        <w:b/>
        <w:sz w:val="21"/>
        <w:szCs w:val="21"/>
      </w:rPr>
      <w:fldChar w:fldCharType="separate"/>
    </w:r>
    <w:r>
      <w:rPr>
        <w:rFonts w:ascii="黑体" w:eastAsia="黑体" w:hAnsi="黑体" w:cs="Arial"/>
        <w:b/>
        <w:sz w:val="21"/>
        <w:szCs w:val="21"/>
      </w:rPr>
      <w:t>厦门银行股份有限公司</w:t>
    </w:r>
    <w:r>
      <w:rPr>
        <w:rFonts w:ascii="黑体" w:eastAsia="黑体" w:hAnsi="黑体" w:cs="Arial"/>
        <w:b/>
        <w:sz w:val="21"/>
        <w:szCs w:val="21"/>
      </w:rPr>
      <w:fldChar w:fldCharType="end"/>
    </w:r>
  </w:p>
  <w:p w:rsidR="00F22BE0" w:rsidRDefault="00F22BE0">
    <w:pPr>
      <w:overflowPunct w:val="0"/>
      <w:autoSpaceDE w:val="0"/>
      <w:autoSpaceDN w:val="0"/>
      <w:adjustRightInd w:val="0"/>
      <w:outlineLvl w:val="0"/>
      <w:rPr>
        <w:rFonts w:ascii="黑体" w:eastAsia="黑体" w:hAnsi="黑体" w:cs="Arial"/>
        <w:b/>
        <w:szCs w:val="21"/>
      </w:rPr>
    </w:pPr>
    <w:r>
      <w:rPr>
        <w:rFonts w:ascii="黑体" w:eastAsia="黑体" w:hAnsi="黑体" w:hint="eastAsia"/>
        <w:b/>
        <w:bCs/>
        <w:snapToGrid w:val="0"/>
        <w:szCs w:val="21"/>
      </w:rPr>
      <w:t>财务报表附注</w:t>
    </w:r>
    <w:r>
      <w:rPr>
        <w:rFonts w:ascii="Arial" w:eastAsia="黑体" w:hAnsi="Arial" w:cs="Arial" w:hint="eastAsia"/>
        <w:b/>
        <w:szCs w:val="21"/>
      </w:rPr>
      <w:t>（续）</w:t>
    </w:r>
  </w:p>
  <w:p w:rsidR="00F22BE0" w:rsidRDefault="00F22BE0">
    <w:pPr>
      <w:tabs>
        <w:tab w:val="right" w:pos="8313"/>
        <w:tab w:val="left" w:pos="12887"/>
      </w:tabs>
      <w:overflowPunct w:val="0"/>
      <w:autoSpaceDE w:val="0"/>
      <w:autoSpaceDN w:val="0"/>
      <w:adjustRightInd w:val="0"/>
      <w:rPr>
        <w:rFonts w:ascii="Arial" w:eastAsia="黑体" w:hAnsi="Arial" w:cs="Arial"/>
        <w:b/>
        <w:szCs w:val="21"/>
        <w:u w:val="single"/>
      </w:rPr>
    </w:pPr>
    <w:r>
      <w:rPr>
        <w:rFonts w:ascii="Arial" w:eastAsia="黑体" w:hAnsi="Arial" w:cs="Arial"/>
        <w:b/>
        <w:szCs w:val="21"/>
        <w:u w:val="single"/>
      </w:rPr>
      <w:t>截至</w:t>
    </w:r>
    <w:r>
      <w:rPr>
        <w:rFonts w:ascii="Arial" w:eastAsia="黑体" w:hAnsi="Arial" w:cs="Arial"/>
        <w:b/>
        <w:szCs w:val="21"/>
        <w:u w:val="single"/>
      </w:rPr>
      <w:t>2023</w:t>
    </w:r>
    <w:r>
      <w:rPr>
        <w:rFonts w:ascii="Arial" w:eastAsia="黑体" w:hAnsi="Arial" w:cs="Arial"/>
        <w:b/>
        <w:szCs w:val="21"/>
        <w:u w:val="single"/>
      </w:rPr>
      <w:t>年</w:t>
    </w:r>
    <w:r>
      <w:rPr>
        <w:rFonts w:ascii="Arial" w:eastAsia="黑体" w:hAnsi="Arial" w:cs="Arial"/>
        <w:b/>
        <w:szCs w:val="21"/>
        <w:u w:val="single"/>
      </w:rPr>
      <w:t>6</w:t>
    </w:r>
    <w:r>
      <w:rPr>
        <w:rFonts w:ascii="Arial" w:eastAsia="黑体" w:hAnsi="Arial" w:cs="Arial"/>
        <w:b/>
        <w:szCs w:val="21"/>
        <w:u w:val="single"/>
      </w:rPr>
      <w:t>月</w:t>
    </w:r>
    <w:r>
      <w:rPr>
        <w:rFonts w:ascii="Arial" w:eastAsia="黑体" w:hAnsi="Arial" w:cs="Arial"/>
        <w:b/>
        <w:szCs w:val="21"/>
        <w:u w:val="single"/>
      </w:rPr>
      <w:t>30</w:t>
    </w:r>
    <w:r>
      <w:rPr>
        <w:rFonts w:ascii="Arial" w:eastAsia="黑体" w:hAnsi="Arial" w:cs="Arial"/>
        <w:b/>
        <w:szCs w:val="21"/>
        <w:u w:val="single"/>
      </w:rPr>
      <w:t>日</w:t>
    </w:r>
    <w:proofErr w:type="gramStart"/>
    <w:r>
      <w:rPr>
        <w:rFonts w:ascii="Arial" w:eastAsia="黑体" w:hAnsi="Arial" w:cs="Arial"/>
        <w:b/>
        <w:szCs w:val="21"/>
        <w:u w:val="single"/>
      </w:rPr>
      <w:t>止</w:t>
    </w:r>
    <w:proofErr w:type="gramEnd"/>
    <w:r>
      <w:rPr>
        <w:rFonts w:ascii="Arial" w:eastAsia="黑体" w:hAnsi="Arial" w:cs="Arial"/>
        <w:b/>
        <w:szCs w:val="21"/>
        <w:u w:val="single"/>
      </w:rPr>
      <w:t>6</w:t>
    </w:r>
    <w:r>
      <w:rPr>
        <w:rFonts w:ascii="Arial" w:eastAsia="黑体" w:hAnsi="Arial" w:cs="Arial"/>
        <w:b/>
        <w:szCs w:val="21"/>
        <w:u w:val="single"/>
      </w:rPr>
      <w:t>个月</w:t>
    </w:r>
    <w:proofErr w:type="gramStart"/>
    <w:r>
      <w:rPr>
        <w:rFonts w:ascii="Arial" w:eastAsia="黑体" w:hAnsi="Arial" w:cs="Arial"/>
        <w:b/>
        <w:szCs w:val="21"/>
        <w:u w:val="single"/>
      </w:rPr>
      <w:t>期间</w:t>
    </w:r>
    <w:r>
      <w:rPr>
        <w:rFonts w:ascii="Arial" w:eastAsia="黑体" w:hAnsi="Arial" w:cs="Arial"/>
        <w:b/>
        <w:szCs w:val="21"/>
        <w:u w:val="single"/>
      </w:rPr>
      <w:tab/>
    </w:r>
    <w:proofErr w:type="gramEnd"/>
    <w:r>
      <w:rPr>
        <w:rFonts w:ascii="Arial" w:eastAsia="黑体" w:hAnsi="Arial" w:cs="Arial"/>
        <w:b/>
        <w:szCs w:val="21"/>
        <w:u w:val="single"/>
      </w:rPr>
      <w:t>人民币元</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1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overflowPunct w:val="0"/>
      <w:autoSpaceDE w:val="0"/>
      <w:autoSpaceDN w:val="0"/>
      <w:adjustRightInd w:val="0"/>
      <w:jc w:val="left"/>
      <w:rPr>
        <w:rFonts w:ascii="黑体" w:eastAsia="黑体" w:hAnsi="黑体" w:cs="Arial"/>
        <w:b/>
        <w:sz w:val="21"/>
        <w:szCs w:val="21"/>
      </w:rPr>
    </w:pPr>
    <w:r>
      <w:rPr>
        <w:rFonts w:ascii="黑体" w:eastAsia="黑体" w:hAnsi="黑体" w:cs="Arial"/>
        <w:b/>
        <w:sz w:val="21"/>
        <w:szCs w:val="21"/>
      </w:rPr>
      <w:fldChar w:fldCharType="begin"/>
    </w:r>
    <w:r>
      <w:rPr>
        <w:rFonts w:ascii="黑体" w:eastAsia="黑体" w:hAnsi="黑体" w:cs="Arial"/>
        <w:b/>
        <w:sz w:val="21"/>
        <w:szCs w:val="21"/>
      </w:rPr>
      <w:instrText xml:space="preserve"> DOCPROPERTY 公司名称 </w:instrText>
    </w:r>
    <w:r>
      <w:rPr>
        <w:rFonts w:ascii="黑体" w:eastAsia="黑体" w:hAnsi="黑体" w:cs="Arial"/>
        <w:b/>
        <w:sz w:val="21"/>
        <w:szCs w:val="21"/>
      </w:rPr>
      <w:fldChar w:fldCharType="separate"/>
    </w:r>
    <w:r>
      <w:rPr>
        <w:rFonts w:ascii="黑体" w:eastAsia="黑体" w:hAnsi="黑体" w:cs="Arial"/>
        <w:b/>
        <w:sz w:val="21"/>
        <w:szCs w:val="21"/>
      </w:rPr>
      <w:t>厦门银行股份有限公司</w:t>
    </w:r>
    <w:r>
      <w:rPr>
        <w:rFonts w:ascii="黑体" w:eastAsia="黑体" w:hAnsi="黑体" w:cs="Arial"/>
        <w:b/>
        <w:sz w:val="21"/>
        <w:szCs w:val="21"/>
      </w:rPr>
      <w:fldChar w:fldCharType="end"/>
    </w:r>
  </w:p>
  <w:p w:rsidR="00F22BE0" w:rsidRDefault="00F22BE0">
    <w:pPr>
      <w:overflowPunct w:val="0"/>
      <w:autoSpaceDE w:val="0"/>
      <w:autoSpaceDN w:val="0"/>
      <w:adjustRightInd w:val="0"/>
      <w:outlineLvl w:val="0"/>
      <w:rPr>
        <w:rFonts w:ascii="Arial" w:eastAsia="黑体" w:hAnsi="Arial" w:cs="Arial"/>
        <w:b/>
        <w:szCs w:val="21"/>
      </w:rPr>
    </w:pPr>
    <w:r>
      <w:rPr>
        <w:rFonts w:ascii="Arial" w:eastAsia="黑体" w:hAnsi="Arial" w:cs="Arial" w:hint="eastAsia"/>
        <w:b/>
        <w:bCs/>
        <w:snapToGrid w:val="0"/>
        <w:szCs w:val="21"/>
      </w:rPr>
      <w:t>财务报表附注</w:t>
    </w:r>
    <w:r>
      <w:rPr>
        <w:rFonts w:ascii="Arial" w:eastAsia="黑体" w:hAnsi="Arial" w:cs="Arial" w:hint="eastAsia"/>
        <w:b/>
        <w:szCs w:val="21"/>
      </w:rPr>
      <w:t>（续）</w:t>
    </w:r>
  </w:p>
  <w:p w:rsidR="00F22BE0" w:rsidRDefault="00F22BE0">
    <w:pPr>
      <w:tabs>
        <w:tab w:val="right" w:pos="13956"/>
      </w:tabs>
      <w:overflowPunct w:val="0"/>
      <w:autoSpaceDE w:val="0"/>
      <w:autoSpaceDN w:val="0"/>
      <w:adjustRightInd w:val="0"/>
      <w:rPr>
        <w:rFonts w:ascii="Arial" w:eastAsia="黑体" w:hAnsi="Arial" w:cs="Arial"/>
        <w:b/>
        <w:szCs w:val="21"/>
        <w:u w:val="single"/>
      </w:rPr>
    </w:pPr>
    <w:r>
      <w:rPr>
        <w:rFonts w:ascii="Arial" w:eastAsia="黑体" w:hAnsi="Arial" w:cs="Arial"/>
        <w:b/>
        <w:szCs w:val="21"/>
        <w:u w:val="single"/>
      </w:rPr>
      <w:t>截至</w:t>
    </w:r>
    <w:r>
      <w:rPr>
        <w:rFonts w:ascii="Arial" w:eastAsia="黑体" w:hAnsi="Arial" w:cs="Arial"/>
        <w:b/>
        <w:szCs w:val="21"/>
        <w:u w:val="single"/>
      </w:rPr>
      <w:t>2023</w:t>
    </w:r>
    <w:r>
      <w:rPr>
        <w:rFonts w:ascii="Arial" w:eastAsia="黑体" w:hAnsi="Arial" w:cs="Arial"/>
        <w:b/>
        <w:szCs w:val="21"/>
        <w:u w:val="single"/>
      </w:rPr>
      <w:t>年</w:t>
    </w:r>
    <w:r>
      <w:rPr>
        <w:rFonts w:ascii="Arial" w:eastAsia="黑体" w:hAnsi="Arial" w:cs="Arial"/>
        <w:b/>
        <w:szCs w:val="21"/>
        <w:u w:val="single"/>
      </w:rPr>
      <w:t>6</w:t>
    </w:r>
    <w:r>
      <w:rPr>
        <w:rFonts w:ascii="Arial" w:eastAsia="黑体" w:hAnsi="Arial" w:cs="Arial"/>
        <w:b/>
        <w:szCs w:val="21"/>
        <w:u w:val="single"/>
      </w:rPr>
      <w:t>月</w:t>
    </w:r>
    <w:r>
      <w:rPr>
        <w:rFonts w:ascii="Arial" w:eastAsia="黑体" w:hAnsi="Arial" w:cs="Arial"/>
        <w:b/>
        <w:szCs w:val="21"/>
        <w:u w:val="single"/>
      </w:rPr>
      <w:t>30</w:t>
    </w:r>
    <w:r>
      <w:rPr>
        <w:rFonts w:ascii="Arial" w:eastAsia="黑体" w:hAnsi="Arial" w:cs="Arial"/>
        <w:b/>
        <w:szCs w:val="21"/>
        <w:u w:val="single"/>
      </w:rPr>
      <w:t>日</w:t>
    </w:r>
    <w:proofErr w:type="gramStart"/>
    <w:r>
      <w:rPr>
        <w:rFonts w:ascii="Arial" w:eastAsia="黑体" w:hAnsi="Arial" w:cs="Arial"/>
        <w:b/>
        <w:szCs w:val="21"/>
        <w:u w:val="single"/>
      </w:rPr>
      <w:t>止</w:t>
    </w:r>
    <w:proofErr w:type="gramEnd"/>
    <w:r>
      <w:rPr>
        <w:rFonts w:ascii="Arial" w:eastAsia="黑体" w:hAnsi="Arial" w:cs="Arial"/>
        <w:b/>
        <w:szCs w:val="21"/>
        <w:u w:val="single"/>
      </w:rPr>
      <w:t>6</w:t>
    </w:r>
    <w:r>
      <w:rPr>
        <w:rFonts w:ascii="Arial" w:eastAsia="黑体" w:hAnsi="Arial" w:cs="Arial"/>
        <w:b/>
        <w:szCs w:val="21"/>
        <w:u w:val="single"/>
      </w:rPr>
      <w:t>个月</w:t>
    </w:r>
    <w:proofErr w:type="gramStart"/>
    <w:r>
      <w:rPr>
        <w:rFonts w:ascii="Arial" w:eastAsia="黑体" w:hAnsi="Arial" w:cs="Arial"/>
        <w:b/>
        <w:szCs w:val="21"/>
        <w:u w:val="single"/>
      </w:rPr>
      <w:t>期间</w:t>
    </w:r>
    <w:r>
      <w:rPr>
        <w:rFonts w:ascii="Arial" w:eastAsia="黑体" w:hAnsi="Arial" w:cs="Arial"/>
        <w:b/>
        <w:szCs w:val="21"/>
        <w:u w:val="single"/>
      </w:rPr>
      <w:tab/>
    </w:r>
    <w:proofErr w:type="gramEnd"/>
    <w:r>
      <w:rPr>
        <w:rFonts w:ascii="Arial" w:eastAsia="黑体" w:hAnsi="Arial" w:cs="Arial"/>
        <w:b/>
        <w:szCs w:val="21"/>
        <w:u w:val="single"/>
      </w:rPr>
      <w:t>人民币元</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19"/>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tabs>
        <w:tab w:val="left" w:pos="4379"/>
      </w:tabs>
      <w:overflowPunct w:val="0"/>
      <w:autoSpaceDE w:val="0"/>
      <w:autoSpaceDN w:val="0"/>
      <w:adjustRightInd w:val="0"/>
      <w:jc w:val="left"/>
      <w:rPr>
        <w:rFonts w:ascii="黑体" w:eastAsia="黑体" w:hAnsi="黑体" w:cs="Arial"/>
        <w:b/>
        <w:sz w:val="21"/>
        <w:szCs w:val="21"/>
      </w:rPr>
    </w:pPr>
    <w:r>
      <w:rPr>
        <w:rFonts w:ascii="黑体" w:eastAsia="黑体" w:hAnsi="黑体" w:cs="Arial"/>
        <w:b/>
        <w:sz w:val="21"/>
        <w:szCs w:val="21"/>
      </w:rPr>
      <w:fldChar w:fldCharType="begin"/>
    </w:r>
    <w:r>
      <w:rPr>
        <w:rFonts w:ascii="黑体" w:eastAsia="黑体" w:hAnsi="黑体" w:cs="Arial"/>
        <w:b/>
        <w:sz w:val="21"/>
        <w:szCs w:val="21"/>
      </w:rPr>
      <w:instrText xml:space="preserve"> DOCPROPERTY 公司名称 </w:instrText>
    </w:r>
    <w:r>
      <w:rPr>
        <w:rFonts w:ascii="黑体" w:eastAsia="黑体" w:hAnsi="黑体" w:cs="Arial"/>
        <w:b/>
        <w:sz w:val="21"/>
        <w:szCs w:val="21"/>
      </w:rPr>
      <w:fldChar w:fldCharType="separate"/>
    </w:r>
    <w:r>
      <w:rPr>
        <w:rFonts w:ascii="黑体" w:eastAsia="黑体" w:hAnsi="黑体" w:cs="Arial"/>
        <w:b/>
        <w:sz w:val="21"/>
        <w:szCs w:val="21"/>
      </w:rPr>
      <w:t>厦门银行股份有限公司</w:t>
    </w:r>
    <w:r>
      <w:rPr>
        <w:rFonts w:ascii="黑体" w:eastAsia="黑体" w:hAnsi="黑体" w:cs="Arial"/>
        <w:b/>
        <w:sz w:val="21"/>
        <w:szCs w:val="21"/>
      </w:rPr>
      <w:fldChar w:fldCharType="end"/>
    </w:r>
  </w:p>
  <w:p w:rsidR="00F22BE0" w:rsidRDefault="00F22BE0">
    <w:pPr>
      <w:overflowPunct w:val="0"/>
      <w:autoSpaceDE w:val="0"/>
      <w:autoSpaceDN w:val="0"/>
      <w:adjustRightInd w:val="0"/>
      <w:outlineLvl w:val="0"/>
      <w:rPr>
        <w:rFonts w:ascii="黑体" w:eastAsia="黑体" w:hAnsi="黑体" w:cs="Arial"/>
        <w:b/>
        <w:szCs w:val="21"/>
      </w:rPr>
    </w:pPr>
    <w:r>
      <w:rPr>
        <w:rFonts w:ascii="黑体" w:eastAsia="黑体" w:hAnsi="黑体" w:hint="eastAsia"/>
        <w:b/>
        <w:bCs/>
        <w:snapToGrid w:val="0"/>
        <w:szCs w:val="21"/>
      </w:rPr>
      <w:t>财务报表附注</w:t>
    </w:r>
    <w:r>
      <w:rPr>
        <w:rFonts w:ascii="Arial" w:eastAsia="黑体" w:hAnsi="Arial" w:cs="Arial" w:hint="eastAsia"/>
        <w:b/>
        <w:szCs w:val="21"/>
      </w:rPr>
      <w:t>（续）</w:t>
    </w:r>
  </w:p>
  <w:p w:rsidR="00F22BE0" w:rsidRDefault="00F22BE0">
    <w:pPr>
      <w:tabs>
        <w:tab w:val="right" w:pos="8313"/>
        <w:tab w:val="left" w:pos="12827"/>
      </w:tabs>
      <w:overflowPunct w:val="0"/>
      <w:autoSpaceDE w:val="0"/>
      <w:autoSpaceDN w:val="0"/>
      <w:adjustRightInd w:val="0"/>
      <w:rPr>
        <w:rFonts w:ascii="Arial" w:eastAsia="黑体" w:hAnsi="Arial" w:cs="Arial"/>
        <w:b/>
        <w:u w:val="single"/>
      </w:rPr>
    </w:pPr>
    <w:r>
      <w:rPr>
        <w:rFonts w:ascii="Arial" w:eastAsia="黑体" w:hAnsi="Arial" w:cs="Arial"/>
        <w:b/>
        <w:szCs w:val="21"/>
        <w:u w:val="single"/>
      </w:rPr>
      <w:t>截至</w:t>
    </w:r>
    <w:r>
      <w:rPr>
        <w:rFonts w:ascii="Arial" w:eastAsia="黑体" w:hAnsi="Arial" w:cs="Arial"/>
        <w:b/>
        <w:szCs w:val="21"/>
        <w:u w:val="single"/>
      </w:rPr>
      <w:t>2023</w:t>
    </w:r>
    <w:r>
      <w:rPr>
        <w:rFonts w:ascii="Arial" w:eastAsia="黑体" w:hAnsi="Arial" w:cs="Arial"/>
        <w:b/>
        <w:szCs w:val="21"/>
        <w:u w:val="single"/>
      </w:rPr>
      <w:t>年</w:t>
    </w:r>
    <w:r>
      <w:rPr>
        <w:rFonts w:ascii="Arial" w:eastAsia="黑体" w:hAnsi="Arial" w:cs="Arial"/>
        <w:b/>
        <w:szCs w:val="21"/>
        <w:u w:val="single"/>
      </w:rPr>
      <w:t>6</w:t>
    </w:r>
    <w:r>
      <w:rPr>
        <w:rFonts w:ascii="Arial" w:eastAsia="黑体" w:hAnsi="Arial" w:cs="Arial"/>
        <w:b/>
        <w:szCs w:val="21"/>
        <w:u w:val="single"/>
      </w:rPr>
      <w:t>月</w:t>
    </w:r>
    <w:r>
      <w:rPr>
        <w:rFonts w:ascii="Arial" w:eastAsia="黑体" w:hAnsi="Arial" w:cs="Arial"/>
        <w:b/>
        <w:szCs w:val="21"/>
        <w:u w:val="single"/>
      </w:rPr>
      <w:t>30</w:t>
    </w:r>
    <w:r>
      <w:rPr>
        <w:rFonts w:ascii="Arial" w:eastAsia="黑体" w:hAnsi="Arial" w:cs="Arial"/>
        <w:b/>
        <w:szCs w:val="21"/>
        <w:u w:val="single"/>
      </w:rPr>
      <w:t>日</w:t>
    </w:r>
    <w:proofErr w:type="gramStart"/>
    <w:r>
      <w:rPr>
        <w:rFonts w:ascii="Arial" w:eastAsia="黑体" w:hAnsi="Arial" w:cs="Arial"/>
        <w:b/>
        <w:szCs w:val="21"/>
        <w:u w:val="single"/>
      </w:rPr>
      <w:t>止</w:t>
    </w:r>
    <w:proofErr w:type="gramEnd"/>
    <w:r>
      <w:rPr>
        <w:rFonts w:ascii="Arial" w:eastAsia="黑体" w:hAnsi="Arial" w:cs="Arial"/>
        <w:b/>
        <w:szCs w:val="21"/>
        <w:u w:val="single"/>
      </w:rPr>
      <w:t>6</w:t>
    </w:r>
    <w:r>
      <w:rPr>
        <w:rFonts w:ascii="Arial" w:eastAsia="黑体" w:hAnsi="Arial" w:cs="Arial"/>
        <w:b/>
        <w:szCs w:val="21"/>
        <w:u w:val="single"/>
      </w:rPr>
      <w:t>个月</w:t>
    </w:r>
    <w:proofErr w:type="gramStart"/>
    <w:r>
      <w:rPr>
        <w:rFonts w:ascii="Arial" w:eastAsia="黑体" w:hAnsi="Arial" w:cs="Arial"/>
        <w:b/>
        <w:szCs w:val="21"/>
        <w:u w:val="single"/>
      </w:rPr>
      <w:t>期间</w:t>
    </w:r>
    <w:r>
      <w:rPr>
        <w:rFonts w:ascii="Arial" w:eastAsia="黑体" w:hAnsi="Arial" w:cs="Arial"/>
        <w:b/>
        <w:szCs w:val="21"/>
        <w:u w:val="single"/>
      </w:rPr>
      <w:tab/>
    </w:r>
    <w:proofErr w:type="gramEnd"/>
    <w:r>
      <w:rPr>
        <w:rFonts w:ascii="Arial" w:eastAsia="黑体" w:hAnsi="Arial" w:cs="Arial"/>
        <w:b/>
        <w:szCs w:val="21"/>
        <w:u w:val="single"/>
      </w:rPr>
      <w:t>人民币元</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overflowPunct w:val="0"/>
      <w:autoSpaceDE w:val="0"/>
      <w:autoSpaceDN w:val="0"/>
      <w:adjustRightInd w:val="0"/>
      <w:jc w:val="left"/>
      <w:rPr>
        <w:rFonts w:ascii="黑体" w:eastAsia="黑体" w:hAnsi="黑体" w:cs="Arial"/>
        <w:b/>
        <w:sz w:val="21"/>
        <w:szCs w:val="21"/>
      </w:rPr>
    </w:pPr>
    <w:r>
      <w:rPr>
        <w:rFonts w:ascii="黑体" w:eastAsia="黑体" w:hAnsi="黑体" w:cs="Arial"/>
        <w:b/>
        <w:sz w:val="21"/>
        <w:szCs w:val="21"/>
      </w:rPr>
      <w:fldChar w:fldCharType="begin"/>
    </w:r>
    <w:r>
      <w:rPr>
        <w:rFonts w:ascii="黑体" w:eastAsia="黑体" w:hAnsi="黑体" w:cs="Arial"/>
        <w:b/>
        <w:sz w:val="21"/>
        <w:szCs w:val="21"/>
      </w:rPr>
      <w:instrText xml:space="preserve"> DOCPROPERTY 公司名称 </w:instrText>
    </w:r>
    <w:r>
      <w:rPr>
        <w:rFonts w:ascii="黑体" w:eastAsia="黑体" w:hAnsi="黑体" w:cs="Arial"/>
        <w:b/>
        <w:sz w:val="21"/>
        <w:szCs w:val="21"/>
      </w:rPr>
      <w:fldChar w:fldCharType="separate"/>
    </w:r>
    <w:r>
      <w:rPr>
        <w:rFonts w:ascii="黑体" w:eastAsia="黑体" w:hAnsi="黑体" w:cs="Arial"/>
        <w:b/>
        <w:sz w:val="21"/>
        <w:szCs w:val="21"/>
      </w:rPr>
      <w:t>厦门银行股份有限公司</w:t>
    </w:r>
    <w:r>
      <w:rPr>
        <w:rFonts w:ascii="黑体" w:eastAsia="黑体" w:hAnsi="黑体" w:cs="Arial"/>
        <w:b/>
        <w:sz w:val="21"/>
        <w:szCs w:val="21"/>
      </w:rPr>
      <w:fldChar w:fldCharType="end"/>
    </w:r>
  </w:p>
  <w:p w:rsidR="00F22BE0" w:rsidRDefault="00F22BE0">
    <w:pPr>
      <w:overflowPunct w:val="0"/>
      <w:autoSpaceDE w:val="0"/>
      <w:autoSpaceDN w:val="0"/>
      <w:adjustRightInd w:val="0"/>
      <w:outlineLvl w:val="0"/>
      <w:rPr>
        <w:rFonts w:ascii="黑体" w:eastAsia="黑体" w:hAnsi="黑体" w:cs="Arial"/>
        <w:b/>
        <w:szCs w:val="21"/>
      </w:rPr>
    </w:pPr>
    <w:r>
      <w:rPr>
        <w:rFonts w:ascii="黑体" w:eastAsia="黑体" w:hAnsi="黑体" w:hint="eastAsia"/>
        <w:b/>
        <w:bCs/>
        <w:snapToGrid w:val="0"/>
        <w:szCs w:val="21"/>
      </w:rPr>
      <w:t>财务报表附注</w:t>
    </w:r>
    <w:r>
      <w:rPr>
        <w:rFonts w:ascii="Arial" w:eastAsia="黑体" w:hAnsi="Arial" w:cs="Arial" w:hint="eastAsia"/>
        <w:b/>
        <w:szCs w:val="21"/>
      </w:rPr>
      <w:t>（续）</w:t>
    </w:r>
  </w:p>
  <w:p w:rsidR="00F22BE0" w:rsidRDefault="00F22BE0">
    <w:pPr>
      <w:tabs>
        <w:tab w:val="right" w:pos="8313"/>
        <w:tab w:val="left" w:pos="12887"/>
      </w:tabs>
      <w:overflowPunct w:val="0"/>
      <w:autoSpaceDE w:val="0"/>
      <w:autoSpaceDN w:val="0"/>
      <w:adjustRightInd w:val="0"/>
      <w:rPr>
        <w:rFonts w:ascii="Arial" w:eastAsia="黑体" w:hAnsi="Arial" w:cs="Arial"/>
        <w:b/>
        <w:szCs w:val="21"/>
        <w:u w:val="single"/>
      </w:rPr>
    </w:pPr>
    <w:r>
      <w:rPr>
        <w:rFonts w:ascii="Arial" w:eastAsia="黑体" w:hAnsi="Arial" w:cs="Arial"/>
        <w:b/>
        <w:szCs w:val="21"/>
        <w:u w:val="single"/>
      </w:rPr>
      <w:t>截至</w:t>
    </w:r>
    <w:r>
      <w:rPr>
        <w:rFonts w:ascii="Arial" w:eastAsia="黑体" w:hAnsi="Arial" w:cs="Arial"/>
        <w:b/>
        <w:szCs w:val="21"/>
        <w:u w:val="single"/>
      </w:rPr>
      <w:t>2023</w:t>
    </w:r>
    <w:r>
      <w:rPr>
        <w:rFonts w:ascii="Arial" w:eastAsia="黑体" w:hAnsi="Arial" w:cs="Arial"/>
        <w:b/>
        <w:szCs w:val="21"/>
        <w:u w:val="single"/>
      </w:rPr>
      <w:t>年</w:t>
    </w:r>
    <w:r>
      <w:rPr>
        <w:rFonts w:ascii="Arial" w:eastAsia="黑体" w:hAnsi="Arial" w:cs="Arial"/>
        <w:b/>
        <w:szCs w:val="21"/>
        <w:u w:val="single"/>
      </w:rPr>
      <w:t>6</w:t>
    </w:r>
    <w:r>
      <w:rPr>
        <w:rFonts w:ascii="Arial" w:eastAsia="黑体" w:hAnsi="Arial" w:cs="Arial"/>
        <w:b/>
        <w:szCs w:val="21"/>
        <w:u w:val="single"/>
      </w:rPr>
      <w:t>月</w:t>
    </w:r>
    <w:r>
      <w:rPr>
        <w:rFonts w:ascii="Arial" w:eastAsia="黑体" w:hAnsi="Arial" w:cs="Arial"/>
        <w:b/>
        <w:szCs w:val="21"/>
        <w:u w:val="single"/>
      </w:rPr>
      <w:t>30</w:t>
    </w:r>
    <w:r>
      <w:rPr>
        <w:rFonts w:ascii="Arial" w:eastAsia="黑体" w:hAnsi="Arial" w:cs="Arial"/>
        <w:b/>
        <w:szCs w:val="21"/>
        <w:u w:val="single"/>
      </w:rPr>
      <w:t>日</w:t>
    </w:r>
    <w:proofErr w:type="gramStart"/>
    <w:r>
      <w:rPr>
        <w:rFonts w:ascii="Arial" w:eastAsia="黑体" w:hAnsi="Arial" w:cs="Arial"/>
        <w:b/>
        <w:szCs w:val="21"/>
        <w:u w:val="single"/>
      </w:rPr>
      <w:t>止</w:t>
    </w:r>
    <w:proofErr w:type="gramEnd"/>
    <w:r>
      <w:rPr>
        <w:rFonts w:ascii="Arial" w:eastAsia="黑体" w:hAnsi="Arial" w:cs="Arial"/>
        <w:b/>
        <w:szCs w:val="21"/>
        <w:u w:val="single"/>
      </w:rPr>
      <w:t>6</w:t>
    </w:r>
    <w:r>
      <w:rPr>
        <w:rFonts w:ascii="Arial" w:eastAsia="黑体" w:hAnsi="Arial" w:cs="Arial"/>
        <w:b/>
        <w:szCs w:val="21"/>
        <w:u w:val="single"/>
      </w:rPr>
      <w:t>个月</w:t>
    </w:r>
    <w:proofErr w:type="gramStart"/>
    <w:r>
      <w:rPr>
        <w:rFonts w:ascii="Arial" w:eastAsia="黑体" w:hAnsi="Arial" w:cs="Arial"/>
        <w:b/>
        <w:szCs w:val="21"/>
        <w:u w:val="single"/>
      </w:rPr>
      <w:t>期间</w:t>
    </w:r>
    <w:r>
      <w:rPr>
        <w:rFonts w:ascii="Arial" w:eastAsia="黑体" w:hAnsi="Arial" w:cs="Arial"/>
        <w:b/>
        <w:szCs w:val="21"/>
        <w:u w:val="single"/>
      </w:rPr>
      <w:tab/>
    </w:r>
    <w:proofErr w:type="gramEnd"/>
    <w:r>
      <w:rPr>
        <w:rFonts w:ascii="Arial" w:eastAsia="黑体" w:hAnsi="Arial" w:cs="Arial"/>
        <w:b/>
        <w:szCs w:val="21"/>
        <w:u w:val="single"/>
      </w:rPr>
      <w:t>人民币元</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1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overflowPunct w:val="0"/>
      <w:autoSpaceDE w:val="0"/>
      <w:autoSpaceDN w:val="0"/>
      <w:adjustRightInd w:val="0"/>
      <w:outlineLvl w:val="0"/>
      <w:rPr>
        <w:rFonts w:ascii="Arial" w:eastAsia="黑体" w:hAnsi="Arial" w:cs="Arial"/>
        <w:b/>
        <w:szCs w:val="21"/>
      </w:rPr>
    </w:pPr>
  </w:p>
  <w:p w:rsidR="00F22BE0" w:rsidRDefault="00F22BE0">
    <w:pPr>
      <w:overflowPunct w:val="0"/>
      <w:autoSpaceDE w:val="0"/>
      <w:autoSpaceDN w:val="0"/>
      <w:adjustRightInd w:val="0"/>
      <w:outlineLvl w:val="0"/>
      <w:rPr>
        <w:rFonts w:ascii="Arial" w:eastAsia="黑体" w:hAnsi="Arial" w:cs="Arial"/>
        <w:b/>
        <w:szCs w:val="21"/>
      </w:rPr>
    </w:pPr>
  </w:p>
  <w:p w:rsidR="00F22BE0" w:rsidRDefault="00F22BE0">
    <w:pPr>
      <w:overflowPunct w:val="0"/>
      <w:autoSpaceDE w:val="0"/>
      <w:autoSpaceDN w:val="0"/>
      <w:adjustRightInd w:val="0"/>
      <w:outlineLvl w:val="0"/>
      <w:rPr>
        <w:rFonts w:ascii="Arial" w:eastAsia="黑体" w:hAnsi="Arial" w:cs="Arial"/>
        <w:b/>
        <w:szCs w:val="21"/>
      </w:rPr>
    </w:pPr>
    <w:r>
      <w:rPr>
        <w:rFonts w:ascii="Arial" w:eastAsia="黑体" w:hAnsi="Arial" w:cs="Arial"/>
        <w:b/>
        <w:szCs w:val="21"/>
      </w:rPr>
      <w:fldChar w:fldCharType="begin"/>
    </w:r>
    <w:r>
      <w:rPr>
        <w:rFonts w:ascii="Arial" w:eastAsia="黑体" w:hAnsi="Arial" w:cs="Arial"/>
        <w:b/>
        <w:szCs w:val="21"/>
      </w:rPr>
      <w:instrText xml:space="preserve"> DOCPROPERTY </w:instrText>
    </w:r>
    <w:r>
      <w:rPr>
        <w:rFonts w:ascii="Arial" w:eastAsia="黑体" w:hAnsi="Arial" w:cs="Arial" w:hint="eastAsia"/>
        <w:b/>
        <w:szCs w:val="21"/>
      </w:rPr>
      <w:instrText>公司名称</w:instrText>
    </w:r>
    <w:r>
      <w:rPr>
        <w:rFonts w:ascii="Arial" w:eastAsia="黑体" w:hAnsi="Arial" w:cs="Arial"/>
        <w:b/>
        <w:szCs w:val="21"/>
      </w:rPr>
      <w:instrText xml:space="preserve"> </w:instrText>
    </w:r>
    <w:r>
      <w:rPr>
        <w:rFonts w:ascii="Arial" w:eastAsia="黑体" w:hAnsi="Arial" w:cs="Arial"/>
        <w:b/>
        <w:szCs w:val="21"/>
      </w:rPr>
      <w:fldChar w:fldCharType="separate"/>
    </w:r>
    <w:r>
      <w:rPr>
        <w:rFonts w:ascii="Arial" w:eastAsia="黑体" w:hAnsi="Arial" w:cs="Arial" w:hint="eastAsia"/>
        <w:b/>
        <w:szCs w:val="21"/>
      </w:rPr>
      <w:t>厦门银行股份有限公司</w:t>
    </w:r>
    <w:r>
      <w:rPr>
        <w:rFonts w:ascii="Arial" w:eastAsia="黑体" w:hAnsi="Arial" w:cs="Arial"/>
        <w:b/>
        <w:szCs w:val="21"/>
      </w:rPr>
      <w:fldChar w:fldCharType="end"/>
    </w:r>
  </w:p>
  <w:p w:rsidR="00F22BE0" w:rsidRDefault="00F22BE0">
    <w:pPr>
      <w:overflowPunct w:val="0"/>
      <w:autoSpaceDE w:val="0"/>
      <w:autoSpaceDN w:val="0"/>
      <w:adjustRightInd w:val="0"/>
      <w:outlineLvl w:val="0"/>
      <w:rPr>
        <w:rFonts w:ascii="Arial" w:eastAsia="黑体" w:hAnsi="Arial" w:cs="Arial"/>
        <w:b/>
        <w:szCs w:val="21"/>
      </w:rPr>
    </w:pPr>
    <w:r>
      <w:rPr>
        <w:rFonts w:ascii="Arial" w:eastAsia="黑体" w:hAnsi="Arial" w:cs="Arial" w:hint="eastAsia"/>
        <w:b/>
        <w:szCs w:val="21"/>
      </w:rPr>
      <w:t>合并资产负债表</w:t>
    </w:r>
  </w:p>
  <w:p w:rsidR="00F22BE0" w:rsidRDefault="00F22BE0">
    <w:pPr>
      <w:tabs>
        <w:tab w:val="right" w:pos="8313"/>
      </w:tabs>
      <w:overflowPunct w:val="0"/>
      <w:autoSpaceDE w:val="0"/>
      <w:autoSpaceDN w:val="0"/>
      <w:adjustRightInd w:val="0"/>
      <w:rPr>
        <w:rFonts w:ascii="Arial" w:eastAsia="黑体" w:hAnsi="Arial" w:cs="Arial"/>
        <w:b/>
        <w:szCs w:val="21"/>
        <w:u w:val="single"/>
      </w:rPr>
    </w:pPr>
    <w:r>
      <w:rPr>
        <w:rFonts w:ascii="Arial" w:eastAsia="黑体" w:hAnsi="Arial" w:cs="Arial"/>
        <w:b/>
        <w:szCs w:val="21"/>
        <w:u w:val="single"/>
      </w:rPr>
      <w:fldChar w:fldCharType="begin"/>
    </w:r>
    <w:r>
      <w:rPr>
        <w:rFonts w:ascii="Arial" w:eastAsia="黑体" w:hAnsi="Arial" w:cs="Arial"/>
        <w:b/>
        <w:szCs w:val="21"/>
        <w:u w:val="single"/>
      </w:rPr>
      <w:instrText xml:space="preserve"> DOCPROPERTY </w:instrText>
    </w:r>
    <w:r>
      <w:rPr>
        <w:rFonts w:ascii="Arial" w:eastAsia="黑体" w:hAnsi="Arial" w:cs="Arial" w:hint="eastAsia"/>
        <w:b/>
        <w:szCs w:val="21"/>
        <w:u w:val="single"/>
      </w:rPr>
      <w:instrText>当期资产负债表日</w:instrText>
    </w:r>
    <w:r>
      <w:rPr>
        <w:rFonts w:ascii="Arial" w:eastAsia="黑体" w:hAnsi="Arial" w:cs="Arial"/>
        <w:b/>
        <w:szCs w:val="21"/>
        <w:u w:val="single"/>
      </w:rPr>
      <w:instrText xml:space="preserve"> </w:instrText>
    </w:r>
    <w:r>
      <w:rPr>
        <w:rFonts w:ascii="Arial" w:eastAsia="黑体" w:hAnsi="Arial" w:cs="Arial"/>
        <w:b/>
        <w:szCs w:val="21"/>
        <w:u w:val="single"/>
      </w:rPr>
      <w:fldChar w:fldCharType="separate"/>
    </w:r>
    <w:r>
      <w:rPr>
        <w:rFonts w:ascii="Arial" w:eastAsia="黑体" w:hAnsi="Arial" w:cs="Arial" w:hint="eastAsia"/>
        <w:b/>
        <w:szCs w:val="21"/>
        <w:u w:val="single"/>
      </w:rPr>
      <w:t>2023</w:t>
    </w:r>
    <w:r>
      <w:rPr>
        <w:rFonts w:ascii="Arial" w:eastAsia="黑体" w:hAnsi="Arial" w:cs="Arial" w:hint="eastAsia"/>
        <w:b/>
        <w:szCs w:val="21"/>
        <w:u w:val="single"/>
      </w:rPr>
      <w:t>年</w:t>
    </w:r>
    <w:r>
      <w:rPr>
        <w:rFonts w:ascii="Arial" w:eastAsia="黑体" w:hAnsi="Arial" w:cs="Arial" w:hint="eastAsia"/>
        <w:b/>
        <w:szCs w:val="21"/>
        <w:u w:val="single"/>
      </w:rPr>
      <w:t>6</w:t>
    </w:r>
    <w:r>
      <w:rPr>
        <w:rFonts w:ascii="Arial" w:eastAsia="黑体" w:hAnsi="Arial" w:cs="Arial" w:hint="eastAsia"/>
        <w:b/>
        <w:szCs w:val="21"/>
        <w:u w:val="single"/>
      </w:rPr>
      <w:t>月</w:t>
    </w:r>
    <w:r>
      <w:rPr>
        <w:rFonts w:ascii="Arial" w:eastAsia="黑体" w:hAnsi="Arial" w:cs="Arial" w:hint="eastAsia"/>
        <w:b/>
        <w:szCs w:val="21"/>
        <w:u w:val="single"/>
      </w:rPr>
      <w:t>30</w:t>
    </w:r>
    <w:r>
      <w:rPr>
        <w:rFonts w:ascii="Arial" w:eastAsia="黑体" w:hAnsi="Arial" w:cs="Arial" w:hint="eastAsia"/>
        <w:b/>
        <w:szCs w:val="21"/>
        <w:u w:val="single"/>
      </w:rPr>
      <w:t>日</w:t>
    </w:r>
    <w:r>
      <w:rPr>
        <w:rFonts w:ascii="Arial" w:eastAsia="黑体" w:hAnsi="Arial" w:cs="Arial"/>
        <w:b/>
        <w:szCs w:val="21"/>
        <w:u w:val="single"/>
      </w:rPr>
      <w:fldChar w:fldCharType="end"/>
    </w:r>
    <w:r>
      <w:rPr>
        <w:rFonts w:ascii="Arial" w:eastAsia="黑体" w:hAnsi="Arial" w:cs="Arial"/>
        <w:b/>
        <w:szCs w:val="21"/>
        <w:u w:val="single"/>
      </w:rPr>
      <w:tab/>
    </w:r>
    <w:r>
      <w:rPr>
        <w:rFonts w:ascii="Arial" w:eastAsia="黑体" w:hAnsi="Arial" w:cs="Arial"/>
        <w:b/>
        <w:szCs w:val="21"/>
        <w:u w:val="single"/>
      </w:rPr>
      <w:fldChar w:fldCharType="begin"/>
    </w:r>
    <w:r>
      <w:rPr>
        <w:rFonts w:ascii="Arial" w:eastAsia="黑体" w:hAnsi="Arial" w:cs="Arial"/>
        <w:b/>
        <w:szCs w:val="21"/>
        <w:u w:val="single"/>
      </w:rPr>
      <w:instrText xml:space="preserve"> DOCPROPERTY </w:instrText>
    </w:r>
    <w:r>
      <w:rPr>
        <w:rFonts w:ascii="Arial" w:eastAsia="黑体" w:hAnsi="Arial" w:cs="Arial" w:hint="eastAsia"/>
        <w:b/>
        <w:szCs w:val="21"/>
        <w:u w:val="single"/>
      </w:rPr>
      <w:instrText>币种</w:instrText>
    </w:r>
    <w:r>
      <w:rPr>
        <w:rFonts w:ascii="Arial" w:eastAsia="黑体" w:hAnsi="Arial" w:cs="Arial"/>
        <w:b/>
        <w:szCs w:val="21"/>
        <w:u w:val="single"/>
      </w:rPr>
      <w:instrText xml:space="preserve"> </w:instrText>
    </w:r>
    <w:r>
      <w:rPr>
        <w:rFonts w:ascii="Arial" w:eastAsia="黑体" w:hAnsi="Arial" w:cs="Arial"/>
        <w:b/>
        <w:szCs w:val="21"/>
        <w:u w:val="single"/>
      </w:rPr>
      <w:fldChar w:fldCharType="separate"/>
    </w:r>
    <w:r>
      <w:rPr>
        <w:rFonts w:ascii="Arial" w:eastAsia="黑体" w:hAnsi="Arial" w:cs="Arial" w:hint="eastAsia"/>
        <w:b/>
        <w:szCs w:val="21"/>
        <w:u w:val="single"/>
      </w:rPr>
      <w:t>人民币</w:t>
    </w:r>
    <w:r>
      <w:rPr>
        <w:rFonts w:ascii="Arial" w:eastAsia="黑体" w:hAnsi="Arial" w:cs="Arial"/>
        <w:b/>
        <w:szCs w:val="21"/>
        <w:u w:val="single"/>
      </w:rPr>
      <w:fldChar w:fldCharType="end"/>
    </w:r>
    <w:r>
      <w:rPr>
        <w:rFonts w:ascii="Arial" w:eastAsia="黑体" w:hAnsi="Arial" w:cs="Arial"/>
        <w:b/>
        <w:szCs w:val="21"/>
        <w:u w:val="single"/>
      </w:rPr>
      <w:fldChar w:fldCharType="begin"/>
    </w:r>
    <w:r>
      <w:rPr>
        <w:rFonts w:ascii="Arial" w:eastAsia="黑体" w:hAnsi="Arial" w:cs="Arial"/>
        <w:b/>
        <w:szCs w:val="21"/>
        <w:u w:val="single"/>
      </w:rPr>
      <w:instrText xml:space="preserve"> DOCPROPERTY </w:instrText>
    </w:r>
    <w:r>
      <w:rPr>
        <w:rFonts w:ascii="Arial" w:eastAsia="黑体" w:hAnsi="Arial" w:cs="Arial" w:hint="eastAsia"/>
        <w:b/>
        <w:szCs w:val="21"/>
        <w:u w:val="single"/>
      </w:rPr>
      <w:instrText>单位</w:instrText>
    </w:r>
    <w:r>
      <w:rPr>
        <w:rFonts w:ascii="Arial" w:eastAsia="黑体" w:hAnsi="Arial" w:cs="Arial"/>
        <w:b/>
        <w:szCs w:val="21"/>
        <w:u w:val="single"/>
      </w:rPr>
      <w:instrText xml:space="preserve"> </w:instrText>
    </w:r>
    <w:r>
      <w:rPr>
        <w:rFonts w:ascii="Arial" w:eastAsia="黑体" w:hAnsi="Arial" w:cs="Arial"/>
        <w:b/>
        <w:szCs w:val="21"/>
        <w:u w:val="single"/>
      </w:rPr>
      <w:fldChar w:fldCharType="separate"/>
    </w:r>
    <w:r>
      <w:rPr>
        <w:rFonts w:ascii="Arial" w:eastAsia="黑体" w:hAnsi="Arial" w:cs="Arial" w:hint="eastAsia"/>
        <w:b/>
        <w:szCs w:val="21"/>
        <w:u w:val="single"/>
      </w:rPr>
      <w:t>元</w:t>
    </w:r>
    <w:r>
      <w:rPr>
        <w:rFonts w:ascii="Arial" w:eastAsia="黑体" w:hAnsi="Arial" w:cs="Arial"/>
        <w:b/>
        <w:szCs w:val="21"/>
        <w:u w:val="single"/>
      </w:rPr>
      <w:fldChar w:fldCharType="end"/>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e"/>
      <w:overflowPunct w:val="0"/>
      <w:autoSpaceDE w:val="0"/>
      <w:autoSpaceDN w:val="0"/>
      <w:adjustRightInd w:val="0"/>
      <w:jc w:val="center"/>
      <w:rPr>
        <w:rFonts w:ascii="Arial" w:eastAsia="黑体" w:hAnsi="Arial" w:cs="Arial"/>
        <w:b/>
        <w:sz w:val="21"/>
        <w:szCs w:val="21"/>
      </w:rPr>
    </w:pPr>
    <w:r>
      <w:rPr>
        <w:rFonts w:ascii="Arial" w:eastAsia="黑体" w:hAnsi="Arial" w:cs="Arial"/>
        <w:b/>
        <w:sz w:val="21"/>
        <w:szCs w:val="21"/>
      </w:rPr>
      <w:t xml:space="preserve"> </w:t>
    </w:r>
  </w:p>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tabs>
        <w:tab w:val="left" w:pos="4379"/>
      </w:tabs>
      <w:overflowPunct w:val="0"/>
      <w:autoSpaceDE w:val="0"/>
      <w:autoSpaceDN w:val="0"/>
      <w:adjustRightInd w:val="0"/>
      <w:jc w:val="left"/>
      <w:rPr>
        <w:rFonts w:ascii="Arial" w:eastAsia="黑体" w:hAnsi="Arial" w:cs="Arial"/>
        <w:b/>
        <w:sz w:val="21"/>
        <w:szCs w:val="21"/>
      </w:rPr>
    </w:pPr>
    <w:r>
      <w:rPr>
        <w:rFonts w:ascii="Arial" w:eastAsia="黑体" w:hAnsi="Arial" w:cs="Arial"/>
        <w:b/>
        <w:sz w:val="21"/>
        <w:szCs w:val="21"/>
      </w:rPr>
      <w:fldChar w:fldCharType="begin"/>
    </w:r>
    <w:r>
      <w:rPr>
        <w:rFonts w:ascii="Arial" w:eastAsia="黑体" w:hAnsi="Arial" w:cs="Arial"/>
        <w:b/>
        <w:sz w:val="21"/>
        <w:szCs w:val="21"/>
      </w:rPr>
      <w:instrText xml:space="preserve"> DOCPROPERTY </w:instrText>
    </w:r>
    <w:r>
      <w:rPr>
        <w:rFonts w:ascii="Arial" w:eastAsia="黑体" w:hAnsi="Arial" w:cs="Arial" w:hint="eastAsia"/>
        <w:b/>
        <w:sz w:val="21"/>
        <w:szCs w:val="21"/>
      </w:rPr>
      <w:instrText>公司名称</w:instrText>
    </w:r>
    <w:r>
      <w:rPr>
        <w:rFonts w:ascii="Arial" w:eastAsia="黑体" w:hAnsi="Arial" w:cs="Arial"/>
        <w:b/>
        <w:sz w:val="21"/>
        <w:szCs w:val="21"/>
      </w:rPr>
      <w:instrText xml:space="preserve"> </w:instrText>
    </w:r>
    <w:r>
      <w:rPr>
        <w:rFonts w:ascii="Arial" w:eastAsia="黑体" w:hAnsi="Arial" w:cs="Arial"/>
        <w:b/>
        <w:sz w:val="21"/>
        <w:szCs w:val="21"/>
      </w:rPr>
      <w:fldChar w:fldCharType="separate"/>
    </w:r>
    <w:r>
      <w:rPr>
        <w:rFonts w:ascii="Arial" w:eastAsia="黑体" w:hAnsi="Arial" w:cs="Arial" w:hint="eastAsia"/>
        <w:b/>
        <w:sz w:val="21"/>
        <w:szCs w:val="21"/>
      </w:rPr>
      <w:t>厦门银行股份有限公司</w:t>
    </w:r>
    <w:r>
      <w:rPr>
        <w:rFonts w:ascii="Arial" w:eastAsia="黑体" w:hAnsi="Arial" w:cs="Arial"/>
        <w:b/>
        <w:sz w:val="21"/>
        <w:szCs w:val="21"/>
      </w:rPr>
      <w:fldChar w:fldCharType="end"/>
    </w:r>
  </w:p>
  <w:p w:rsidR="00F22BE0" w:rsidRDefault="00F22BE0">
    <w:pPr>
      <w:overflowPunct w:val="0"/>
      <w:autoSpaceDE w:val="0"/>
      <w:autoSpaceDN w:val="0"/>
      <w:adjustRightInd w:val="0"/>
      <w:outlineLvl w:val="0"/>
      <w:rPr>
        <w:rFonts w:ascii="Arial" w:eastAsia="黑体" w:hAnsi="Arial" w:cs="Arial"/>
        <w:b/>
        <w:szCs w:val="21"/>
      </w:rPr>
    </w:pPr>
    <w:r>
      <w:rPr>
        <w:rFonts w:ascii="Arial" w:eastAsia="黑体" w:hAnsi="Arial" w:cs="Arial" w:hint="eastAsia"/>
        <w:b/>
        <w:bCs/>
        <w:snapToGrid w:val="0"/>
        <w:szCs w:val="21"/>
      </w:rPr>
      <w:t>财务报表附注</w:t>
    </w:r>
    <w:r>
      <w:rPr>
        <w:rFonts w:ascii="Arial" w:eastAsia="黑体" w:hAnsi="Arial" w:cs="Arial" w:hint="eastAsia"/>
        <w:b/>
        <w:szCs w:val="21"/>
      </w:rPr>
      <w:t>（续）</w:t>
    </w:r>
  </w:p>
  <w:p w:rsidR="00F22BE0" w:rsidRDefault="00F22BE0">
    <w:pPr>
      <w:tabs>
        <w:tab w:val="right" w:pos="13956"/>
      </w:tabs>
      <w:overflowPunct w:val="0"/>
      <w:autoSpaceDE w:val="0"/>
      <w:autoSpaceDN w:val="0"/>
      <w:adjustRightInd w:val="0"/>
      <w:rPr>
        <w:rFonts w:ascii="Arial" w:eastAsia="黑体" w:hAnsi="Arial" w:cs="Arial"/>
        <w:b/>
        <w:u w:val="single"/>
      </w:rPr>
    </w:pPr>
    <w:r>
      <w:rPr>
        <w:rFonts w:ascii="黑体" w:eastAsia="黑体" w:hAnsi="黑体"/>
        <w:b/>
        <w:szCs w:val="21"/>
        <w:u w:val="single"/>
      </w:rPr>
      <w:fldChar w:fldCharType="begin"/>
    </w:r>
    <w:r>
      <w:rPr>
        <w:rFonts w:ascii="黑体" w:eastAsia="黑体" w:hAnsi="黑体"/>
        <w:b/>
        <w:szCs w:val="21"/>
        <w:u w:val="single"/>
      </w:rPr>
      <w:instrText xml:space="preserve"> DOCPROPERTY 当期会计期间 </w:instrText>
    </w:r>
    <w:r>
      <w:rPr>
        <w:rFonts w:ascii="黑体" w:eastAsia="黑体" w:hAnsi="黑体"/>
        <w:b/>
        <w:szCs w:val="21"/>
        <w:u w:val="single"/>
      </w:rPr>
      <w:fldChar w:fldCharType="separate"/>
    </w:r>
    <w:r>
      <w:rPr>
        <w:rFonts w:ascii="黑体" w:eastAsia="黑体" w:hAnsi="黑体"/>
        <w:b/>
        <w:szCs w:val="21"/>
        <w:u w:val="single"/>
      </w:rPr>
      <w:t>2023</w:t>
    </w:r>
    <w:r>
      <w:rPr>
        <w:rFonts w:ascii="黑体" w:eastAsia="黑体" w:hAnsi="黑体"/>
        <w:b/>
        <w:szCs w:val="21"/>
        <w:u w:val="single"/>
      </w:rPr>
      <w:fldChar w:fldCharType="end"/>
    </w:r>
    <w:r>
      <w:rPr>
        <w:rFonts w:ascii="黑体" w:eastAsia="黑体" w:hAnsi="黑体" w:hint="eastAsia"/>
        <w:b/>
        <w:szCs w:val="21"/>
        <w:u w:val="single"/>
      </w:rPr>
      <w:t>年度</w:t>
    </w:r>
    <w:r>
      <w:rPr>
        <w:rFonts w:ascii="Arial" w:eastAsia="黑体" w:hAnsi="Arial" w:cs="Arial"/>
        <w:b/>
        <w:szCs w:val="21"/>
        <w:u w:val="single"/>
      </w:rPr>
      <w:tab/>
    </w:r>
    <w:r>
      <w:rPr>
        <w:rFonts w:ascii="Arial" w:eastAsia="黑体" w:hAnsi="Arial" w:cs="Arial"/>
        <w:b/>
        <w:szCs w:val="21"/>
        <w:u w:val="single"/>
      </w:rPr>
      <w:fldChar w:fldCharType="begin"/>
    </w:r>
    <w:r>
      <w:rPr>
        <w:rFonts w:ascii="Arial" w:eastAsia="黑体" w:hAnsi="Arial" w:cs="Arial"/>
        <w:b/>
        <w:szCs w:val="21"/>
        <w:u w:val="single"/>
      </w:rPr>
      <w:instrText xml:space="preserve"> DOCPROPERTY </w:instrText>
    </w:r>
    <w:r>
      <w:rPr>
        <w:rFonts w:ascii="Arial" w:eastAsia="黑体" w:hAnsi="Arial" w:cs="Arial" w:hint="eastAsia"/>
        <w:b/>
        <w:szCs w:val="21"/>
        <w:u w:val="single"/>
      </w:rPr>
      <w:instrText>币种</w:instrText>
    </w:r>
    <w:r>
      <w:rPr>
        <w:rFonts w:ascii="Arial" w:eastAsia="黑体" w:hAnsi="Arial" w:cs="Arial"/>
        <w:b/>
        <w:szCs w:val="21"/>
        <w:u w:val="single"/>
      </w:rPr>
      <w:instrText xml:space="preserve"> </w:instrText>
    </w:r>
    <w:r>
      <w:rPr>
        <w:rFonts w:ascii="Arial" w:eastAsia="黑体" w:hAnsi="Arial" w:cs="Arial"/>
        <w:b/>
        <w:szCs w:val="21"/>
        <w:u w:val="single"/>
      </w:rPr>
      <w:fldChar w:fldCharType="separate"/>
    </w:r>
    <w:r>
      <w:rPr>
        <w:rFonts w:ascii="Arial" w:eastAsia="黑体" w:hAnsi="Arial" w:cs="Arial" w:hint="eastAsia"/>
        <w:b/>
        <w:szCs w:val="21"/>
        <w:u w:val="single"/>
      </w:rPr>
      <w:t>人民币</w:t>
    </w:r>
    <w:r>
      <w:rPr>
        <w:rFonts w:ascii="Arial" w:eastAsia="黑体" w:hAnsi="Arial" w:cs="Arial"/>
        <w:b/>
        <w:szCs w:val="21"/>
        <w:u w:val="single"/>
      </w:rPr>
      <w:fldChar w:fldCharType="end"/>
    </w:r>
    <w:r>
      <w:rPr>
        <w:rFonts w:ascii="Arial" w:eastAsia="黑体" w:hAnsi="Arial" w:cs="Arial"/>
        <w:b/>
        <w:szCs w:val="21"/>
        <w:u w:val="single"/>
      </w:rPr>
      <w:fldChar w:fldCharType="begin"/>
    </w:r>
    <w:r>
      <w:rPr>
        <w:rFonts w:ascii="Arial" w:eastAsia="黑体" w:hAnsi="Arial" w:cs="Arial"/>
        <w:b/>
        <w:szCs w:val="21"/>
        <w:u w:val="single"/>
      </w:rPr>
      <w:instrText xml:space="preserve"> DOCPROPERTY </w:instrText>
    </w:r>
    <w:r>
      <w:rPr>
        <w:rFonts w:ascii="Arial" w:eastAsia="黑体" w:hAnsi="Arial" w:cs="Arial" w:hint="eastAsia"/>
        <w:b/>
        <w:szCs w:val="21"/>
        <w:u w:val="single"/>
      </w:rPr>
      <w:instrText>单位</w:instrText>
    </w:r>
    <w:r>
      <w:rPr>
        <w:rFonts w:ascii="Arial" w:eastAsia="黑体" w:hAnsi="Arial" w:cs="Arial"/>
        <w:b/>
        <w:szCs w:val="21"/>
        <w:u w:val="single"/>
      </w:rPr>
      <w:instrText xml:space="preserve"> </w:instrText>
    </w:r>
    <w:r>
      <w:rPr>
        <w:rFonts w:ascii="Arial" w:eastAsia="黑体" w:hAnsi="Arial" w:cs="Arial"/>
        <w:b/>
        <w:szCs w:val="21"/>
        <w:u w:val="single"/>
      </w:rPr>
      <w:fldChar w:fldCharType="separate"/>
    </w:r>
    <w:r>
      <w:rPr>
        <w:rFonts w:ascii="Arial" w:eastAsia="黑体" w:hAnsi="Arial" w:cs="Arial" w:hint="eastAsia"/>
        <w:b/>
        <w:szCs w:val="21"/>
        <w:u w:val="single"/>
      </w:rPr>
      <w:t>元</w:t>
    </w:r>
    <w:r>
      <w:rPr>
        <w:rFonts w:ascii="Arial" w:eastAsia="黑体" w:hAnsi="Arial" w:cs="Arial"/>
        <w:b/>
        <w:szCs w:val="21"/>
        <w:u w:val="single"/>
      </w:rPr>
      <w:fldChar w:fldCharType="end"/>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overflowPunct w:val="0"/>
      <w:autoSpaceDE w:val="0"/>
      <w:autoSpaceDN w:val="0"/>
      <w:adjustRightInd w:val="0"/>
      <w:jc w:val="left"/>
      <w:rPr>
        <w:rFonts w:ascii="Arial" w:eastAsia="黑体" w:hAnsi="Arial" w:cs="Arial"/>
        <w:b/>
        <w:sz w:val="21"/>
        <w:szCs w:val="21"/>
      </w:rPr>
    </w:pPr>
    <w:r>
      <w:rPr>
        <w:rFonts w:ascii="Arial" w:eastAsia="黑体" w:hAnsi="Arial" w:cs="Arial"/>
        <w:b/>
        <w:sz w:val="21"/>
        <w:szCs w:val="21"/>
      </w:rPr>
      <w:fldChar w:fldCharType="begin"/>
    </w:r>
    <w:r>
      <w:rPr>
        <w:rFonts w:ascii="Arial" w:eastAsia="黑体" w:hAnsi="Arial" w:cs="Arial"/>
        <w:b/>
        <w:sz w:val="21"/>
        <w:szCs w:val="21"/>
      </w:rPr>
      <w:instrText xml:space="preserve"> DOCPROPERTY </w:instrText>
    </w:r>
    <w:r>
      <w:rPr>
        <w:rFonts w:ascii="Arial" w:eastAsia="黑体" w:hAnsi="Arial" w:cs="Arial" w:hint="eastAsia"/>
        <w:b/>
        <w:sz w:val="21"/>
        <w:szCs w:val="21"/>
      </w:rPr>
      <w:instrText>公司名称</w:instrText>
    </w:r>
    <w:r>
      <w:rPr>
        <w:rFonts w:ascii="Arial" w:eastAsia="黑体" w:hAnsi="Arial" w:cs="Arial"/>
        <w:b/>
        <w:sz w:val="21"/>
        <w:szCs w:val="21"/>
      </w:rPr>
      <w:instrText xml:space="preserve"> </w:instrText>
    </w:r>
    <w:r>
      <w:rPr>
        <w:rFonts w:ascii="Arial" w:eastAsia="黑体" w:hAnsi="Arial" w:cs="Arial"/>
        <w:b/>
        <w:sz w:val="21"/>
        <w:szCs w:val="21"/>
      </w:rPr>
      <w:fldChar w:fldCharType="separate"/>
    </w:r>
    <w:r>
      <w:rPr>
        <w:rFonts w:ascii="Arial" w:eastAsia="黑体" w:hAnsi="Arial" w:cs="Arial" w:hint="eastAsia"/>
        <w:b/>
        <w:sz w:val="21"/>
        <w:szCs w:val="21"/>
      </w:rPr>
      <w:t>厦门银行股份有限公司</w:t>
    </w:r>
    <w:r>
      <w:rPr>
        <w:rFonts w:ascii="Arial" w:eastAsia="黑体" w:hAnsi="Arial" w:cs="Arial"/>
        <w:b/>
        <w:sz w:val="21"/>
        <w:szCs w:val="21"/>
      </w:rPr>
      <w:fldChar w:fldCharType="end"/>
    </w:r>
  </w:p>
  <w:p w:rsidR="00F22BE0" w:rsidRDefault="00F22BE0">
    <w:pPr>
      <w:overflowPunct w:val="0"/>
      <w:autoSpaceDE w:val="0"/>
      <w:autoSpaceDN w:val="0"/>
      <w:adjustRightInd w:val="0"/>
      <w:outlineLvl w:val="0"/>
      <w:rPr>
        <w:rFonts w:ascii="Arial" w:eastAsia="黑体" w:hAnsi="Arial" w:cs="Arial"/>
        <w:b/>
        <w:szCs w:val="21"/>
      </w:rPr>
    </w:pPr>
    <w:r>
      <w:rPr>
        <w:rFonts w:ascii="Arial" w:eastAsia="黑体" w:hAnsi="Arial" w:cs="Arial" w:hint="eastAsia"/>
        <w:b/>
        <w:bCs/>
        <w:snapToGrid w:val="0"/>
        <w:szCs w:val="21"/>
      </w:rPr>
      <w:t>财务报表附注</w:t>
    </w:r>
    <w:r>
      <w:rPr>
        <w:rFonts w:ascii="Arial" w:eastAsia="黑体" w:hAnsi="Arial" w:cs="Arial" w:hint="eastAsia"/>
        <w:b/>
        <w:szCs w:val="21"/>
      </w:rPr>
      <w:t>（续）</w:t>
    </w:r>
  </w:p>
  <w:p w:rsidR="00F22BE0" w:rsidRDefault="00F22BE0">
    <w:pPr>
      <w:tabs>
        <w:tab w:val="right" w:pos="13956"/>
      </w:tabs>
      <w:overflowPunct w:val="0"/>
      <w:autoSpaceDE w:val="0"/>
      <w:autoSpaceDN w:val="0"/>
      <w:adjustRightInd w:val="0"/>
      <w:rPr>
        <w:rFonts w:ascii="Arial" w:eastAsia="黑体" w:hAnsi="Arial" w:cs="Arial"/>
        <w:b/>
        <w:szCs w:val="21"/>
        <w:u w:val="single"/>
      </w:rPr>
    </w:pPr>
    <w:r>
      <w:rPr>
        <w:rFonts w:ascii="Arial" w:eastAsia="黑体" w:hAnsi="Arial" w:cs="Arial"/>
        <w:b/>
        <w:szCs w:val="21"/>
        <w:u w:val="single"/>
      </w:rPr>
      <w:t>截至</w:t>
    </w:r>
    <w:r>
      <w:rPr>
        <w:rFonts w:ascii="Arial" w:eastAsia="黑体" w:hAnsi="Arial" w:cs="Arial"/>
        <w:b/>
        <w:szCs w:val="21"/>
        <w:u w:val="single"/>
      </w:rPr>
      <w:t>2023</w:t>
    </w:r>
    <w:r>
      <w:rPr>
        <w:rFonts w:ascii="Arial" w:eastAsia="黑体" w:hAnsi="Arial" w:cs="Arial"/>
        <w:b/>
        <w:szCs w:val="21"/>
        <w:u w:val="single"/>
      </w:rPr>
      <w:t>年</w:t>
    </w:r>
    <w:r>
      <w:rPr>
        <w:rFonts w:ascii="Arial" w:eastAsia="黑体" w:hAnsi="Arial" w:cs="Arial"/>
        <w:b/>
        <w:szCs w:val="21"/>
        <w:u w:val="single"/>
      </w:rPr>
      <w:t>6</w:t>
    </w:r>
    <w:r>
      <w:rPr>
        <w:rFonts w:ascii="Arial" w:eastAsia="黑体" w:hAnsi="Arial" w:cs="Arial"/>
        <w:b/>
        <w:szCs w:val="21"/>
        <w:u w:val="single"/>
      </w:rPr>
      <w:t>月</w:t>
    </w:r>
    <w:r>
      <w:rPr>
        <w:rFonts w:ascii="Arial" w:eastAsia="黑体" w:hAnsi="Arial" w:cs="Arial"/>
        <w:b/>
        <w:szCs w:val="21"/>
        <w:u w:val="single"/>
      </w:rPr>
      <w:t>30</w:t>
    </w:r>
    <w:r>
      <w:rPr>
        <w:rFonts w:ascii="Arial" w:eastAsia="黑体" w:hAnsi="Arial" w:cs="Arial"/>
        <w:b/>
        <w:szCs w:val="21"/>
        <w:u w:val="single"/>
      </w:rPr>
      <w:t>日</w:t>
    </w:r>
    <w:proofErr w:type="gramStart"/>
    <w:r>
      <w:rPr>
        <w:rFonts w:ascii="Arial" w:eastAsia="黑体" w:hAnsi="Arial" w:cs="Arial"/>
        <w:b/>
        <w:szCs w:val="21"/>
        <w:u w:val="single"/>
      </w:rPr>
      <w:t>止</w:t>
    </w:r>
    <w:proofErr w:type="gramEnd"/>
    <w:r>
      <w:rPr>
        <w:rFonts w:ascii="Arial" w:eastAsia="黑体" w:hAnsi="Arial" w:cs="Arial"/>
        <w:b/>
        <w:szCs w:val="21"/>
        <w:u w:val="single"/>
      </w:rPr>
      <w:t>6</w:t>
    </w:r>
    <w:r>
      <w:rPr>
        <w:rFonts w:ascii="Arial" w:eastAsia="黑体" w:hAnsi="Arial" w:cs="Arial"/>
        <w:b/>
        <w:szCs w:val="21"/>
        <w:u w:val="single"/>
      </w:rPr>
      <w:t>个月</w:t>
    </w:r>
    <w:proofErr w:type="gramStart"/>
    <w:r>
      <w:rPr>
        <w:rFonts w:ascii="Arial" w:eastAsia="黑体" w:hAnsi="Arial" w:cs="Arial"/>
        <w:b/>
        <w:szCs w:val="21"/>
        <w:u w:val="single"/>
      </w:rPr>
      <w:t>期间</w:t>
    </w:r>
    <w:r>
      <w:rPr>
        <w:rFonts w:ascii="Arial" w:eastAsia="黑体" w:hAnsi="Arial" w:cs="Arial"/>
        <w:b/>
        <w:szCs w:val="21"/>
        <w:u w:val="single"/>
      </w:rPr>
      <w:tab/>
    </w:r>
    <w:proofErr w:type="gramEnd"/>
    <w:r>
      <w:rPr>
        <w:rFonts w:ascii="Arial" w:eastAsia="黑体" w:hAnsi="Arial" w:cs="Arial"/>
        <w:b/>
        <w:szCs w:val="21"/>
        <w:u w:val="single"/>
      </w:rPr>
      <w:t>人民币元</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1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tabs>
        <w:tab w:val="left" w:pos="4379"/>
      </w:tabs>
      <w:overflowPunct w:val="0"/>
      <w:autoSpaceDE w:val="0"/>
      <w:autoSpaceDN w:val="0"/>
      <w:adjustRightInd w:val="0"/>
      <w:jc w:val="left"/>
      <w:rPr>
        <w:rFonts w:ascii="Arial" w:eastAsia="黑体" w:hAnsi="Arial" w:cs="Arial"/>
        <w:b/>
        <w:sz w:val="21"/>
        <w:szCs w:val="21"/>
      </w:rPr>
    </w:pPr>
    <w:r>
      <w:rPr>
        <w:rFonts w:ascii="Arial" w:eastAsia="黑体" w:hAnsi="Arial" w:cs="Arial"/>
        <w:b/>
        <w:sz w:val="21"/>
        <w:szCs w:val="21"/>
      </w:rPr>
      <w:fldChar w:fldCharType="begin"/>
    </w:r>
    <w:r>
      <w:rPr>
        <w:rFonts w:ascii="Arial" w:eastAsia="黑体" w:hAnsi="Arial" w:cs="Arial"/>
        <w:b/>
        <w:sz w:val="21"/>
        <w:szCs w:val="21"/>
      </w:rPr>
      <w:instrText xml:space="preserve"> DOCPROPERTY </w:instrText>
    </w:r>
    <w:r>
      <w:rPr>
        <w:rFonts w:ascii="Arial" w:eastAsia="黑体" w:hAnsi="Arial" w:cs="Arial" w:hint="eastAsia"/>
        <w:b/>
        <w:sz w:val="21"/>
        <w:szCs w:val="21"/>
      </w:rPr>
      <w:instrText>公司名称</w:instrText>
    </w:r>
    <w:r>
      <w:rPr>
        <w:rFonts w:ascii="Arial" w:eastAsia="黑体" w:hAnsi="Arial" w:cs="Arial"/>
        <w:b/>
        <w:sz w:val="21"/>
        <w:szCs w:val="21"/>
      </w:rPr>
      <w:instrText xml:space="preserve"> </w:instrText>
    </w:r>
    <w:r>
      <w:rPr>
        <w:rFonts w:ascii="Arial" w:eastAsia="黑体" w:hAnsi="Arial" w:cs="Arial"/>
        <w:b/>
        <w:sz w:val="21"/>
        <w:szCs w:val="21"/>
      </w:rPr>
      <w:fldChar w:fldCharType="separate"/>
    </w:r>
    <w:r>
      <w:rPr>
        <w:rFonts w:ascii="Arial" w:eastAsia="黑体" w:hAnsi="Arial" w:cs="Arial" w:hint="eastAsia"/>
        <w:b/>
        <w:sz w:val="21"/>
        <w:szCs w:val="21"/>
      </w:rPr>
      <w:t>厦门银行股份有限公司</w:t>
    </w:r>
    <w:r>
      <w:rPr>
        <w:rFonts w:ascii="Arial" w:eastAsia="黑体" w:hAnsi="Arial" w:cs="Arial"/>
        <w:b/>
        <w:sz w:val="21"/>
        <w:szCs w:val="21"/>
      </w:rPr>
      <w:fldChar w:fldCharType="end"/>
    </w:r>
  </w:p>
  <w:p w:rsidR="00F22BE0" w:rsidRDefault="00F22BE0">
    <w:pPr>
      <w:overflowPunct w:val="0"/>
      <w:autoSpaceDE w:val="0"/>
      <w:autoSpaceDN w:val="0"/>
      <w:adjustRightInd w:val="0"/>
      <w:outlineLvl w:val="0"/>
      <w:rPr>
        <w:rFonts w:ascii="Arial" w:eastAsia="黑体" w:hAnsi="Arial" w:cs="Arial"/>
        <w:b/>
        <w:szCs w:val="21"/>
      </w:rPr>
    </w:pPr>
    <w:r>
      <w:rPr>
        <w:rFonts w:ascii="Arial" w:eastAsia="黑体" w:hAnsi="Arial" w:cs="Arial" w:hint="eastAsia"/>
        <w:b/>
        <w:bCs/>
        <w:snapToGrid w:val="0"/>
        <w:szCs w:val="21"/>
      </w:rPr>
      <w:t>财务报表附注</w:t>
    </w:r>
    <w:r>
      <w:rPr>
        <w:rFonts w:ascii="Arial" w:eastAsia="黑体" w:hAnsi="Arial" w:cs="Arial" w:hint="eastAsia"/>
        <w:b/>
        <w:szCs w:val="21"/>
      </w:rPr>
      <w:t>（续）</w:t>
    </w:r>
  </w:p>
  <w:p w:rsidR="00F22BE0" w:rsidRDefault="00F22BE0">
    <w:pPr>
      <w:tabs>
        <w:tab w:val="right" w:pos="8313"/>
        <w:tab w:val="left" w:pos="12827"/>
      </w:tabs>
      <w:overflowPunct w:val="0"/>
      <w:autoSpaceDE w:val="0"/>
      <w:autoSpaceDN w:val="0"/>
      <w:adjustRightInd w:val="0"/>
      <w:rPr>
        <w:rFonts w:ascii="Arial" w:eastAsia="黑体" w:hAnsi="Arial" w:cs="Arial"/>
        <w:b/>
        <w:u w:val="single"/>
      </w:rPr>
    </w:pPr>
    <w:r>
      <w:rPr>
        <w:rFonts w:ascii="Arial" w:eastAsia="黑体" w:hAnsi="Arial" w:cs="Arial"/>
        <w:b/>
        <w:szCs w:val="21"/>
        <w:u w:val="single"/>
      </w:rPr>
      <w:t>截至</w:t>
    </w:r>
    <w:r>
      <w:rPr>
        <w:rFonts w:ascii="Arial" w:eastAsia="黑体" w:hAnsi="Arial" w:cs="Arial"/>
        <w:b/>
        <w:szCs w:val="21"/>
        <w:u w:val="single"/>
      </w:rPr>
      <w:t>2023</w:t>
    </w:r>
    <w:r>
      <w:rPr>
        <w:rFonts w:ascii="Arial" w:eastAsia="黑体" w:hAnsi="Arial" w:cs="Arial"/>
        <w:b/>
        <w:szCs w:val="21"/>
        <w:u w:val="single"/>
      </w:rPr>
      <w:t>年</w:t>
    </w:r>
    <w:r>
      <w:rPr>
        <w:rFonts w:ascii="Arial" w:eastAsia="黑体" w:hAnsi="Arial" w:cs="Arial"/>
        <w:b/>
        <w:szCs w:val="21"/>
        <w:u w:val="single"/>
      </w:rPr>
      <w:t>6</w:t>
    </w:r>
    <w:r>
      <w:rPr>
        <w:rFonts w:ascii="Arial" w:eastAsia="黑体" w:hAnsi="Arial" w:cs="Arial"/>
        <w:b/>
        <w:szCs w:val="21"/>
        <w:u w:val="single"/>
      </w:rPr>
      <w:t>月</w:t>
    </w:r>
    <w:r>
      <w:rPr>
        <w:rFonts w:ascii="Arial" w:eastAsia="黑体" w:hAnsi="Arial" w:cs="Arial"/>
        <w:b/>
        <w:szCs w:val="21"/>
        <w:u w:val="single"/>
      </w:rPr>
      <w:t>30</w:t>
    </w:r>
    <w:r>
      <w:rPr>
        <w:rFonts w:ascii="Arial" w:eastAsia="黑体" w:hAnsi="Arial" w:cs="Arial"/>
        <w:b/>
        <w:szCs w:val="21"/>
        <w:u w:val="single"/>
      </w:rPr>
      <w:t>日</w:t>
    </w:r>
    <w:proofErr w:type="gramStart"/>
    <w:r>
      <w:rPr>
        <w:rFonts w:ascii="Arial" w:eastAsia="黑体" w:hAnsi="Arial" w:cs="Arial"/>
        <w:b/>
        <w:szCs w:val="21"/>
        <w:u w:val="single"/>
      </w:rPr>
      <w:t>止</w:t>
    </w:r>
    <w:proofErr w:type="gramEnd"/>
    <w:r>
      <w:rPr>
        <w:rFonts w:ascii="Arial" w:eastAsia="黑体" w:hAnsi="Arial" w:cs="Arial"/>
        <w:b/>
        <w:szCs w:val="21"/>
        <w:u w:val="single"/>
      </w:rPr>
      <w:t>6</w:t>
    </w:r>
    <w:r>
      <w:rPr>
        <w:rFonts w:ascii="Arial" w:eastAsia="黑体" w:hAnsi="Arial" w:cs="Arial"/>
        <w:b/>
        <w:szCs w:val="21"/>
        <w:u w:val="single"/>
      </w:rPr>
      <w:t>个月</w:t>
    </w:r>
    <w:proofErr w:type="gramStart"/>
    <w:r>
      <w:rPr>
        <w:rFonts w:ascii="Arial" w:eastAsia="黑体" w:hAnsi="Arial" w:cs="Arial"/>
        <w:b/>
        <w:szCs w:val="21"/>
        <w:u w:val="single"/>
      </w:rPr>
      <w:t>期间</w:t>
    </w:r>
    <w:r>
      <w:rPr>
        <w:rFonts w:ascii="Arial" w:eastAsia="黑体" w:hAnsi="Arial" w:cs="Arial"/>
        <w:b/>
        <w:szCs w:val="21"/>
        <w:u w:val="single"/>
      </w:rPr>
      <w:tab/>
    </w:r>
    <w:proofErr w:type="gramEnd"/>
    <w:r>
      <w:rPr>
        <w:rFonts w:ascii="Arial" w:eastAsia="黑体" w:hAnsi="Arial" w:cs="Arial"/>
        <w:b/>
        <w:szCs w:val="21"/>
        <w:u w:val="single"/>
      </w:rPr>
      <w:t>人民币元</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overflowPunct w:val="0"/>
      <w:autoSpaceDE w:val="0"/>
      <w:autoSpaceDN w:val="0"/>
      <w:adjustRightInd w:val="0"/>
      <w:jc w:val="left"/>
      <w:rPr>
        <w:rFonts w:ascii="Arial" w:eastAsia="黑体" w:hAnsi="Arial" w:cs="Arial"/>
        <w:b/>
        <w:sz w:val="21"/>
        <w:szCs w:val="21"/>
      </w:rPr>
    </w:pPr>
    <w:r>
      <w:rPr>
        <w:rFonts w:ascii="Arial" w:eastAsia="黑体" w:hAnsi="Arial" w:cs="Arial"/>
        <w:b/>
        <w:sz w:val="21"/>
        <w:szCs w:val="21"/>
      </w:rPr>
      <w:fldChar w:fldCharType="begin"/>
    </w:r>
    <w:r>
      <w:rPr>
        <w:rFonts w:ascii="Arial" w:eastAsia="黑体" w:hAnsi="Arial" w:cs="Arial"/>
        <w:b/>
        <w:sz w:val="21"/>
        <w:szCs w:val="21"/>
      </w:rPr>
      <w:instrText xml:space="preserve"> DOCPROPERTY </w:instrText>
    </w:r>
    <w:r>
      <w:rPr>
        <w:rFonts w:ascii="Arial" w:eastAsia="黑体" w:hAnsi="Arial" w:cs="Arial" w:hint="eastAsia"/>
        <w:b/>
        <w:sz w:val="21"/>
        <w:szCs w:val="21"/>
      </w:rPr>
      <w:instrText>公司名称</w:instrText>
    </w:r>
    <w:r>
      <w:rPr>
        <w:rFonts w:ascii="Arial" w:eastAsia="黑体" w:hAnsi="Arial" w:cs="Arial"/>
        <w:b/>
        <w:sz w:val="21"/>
        <w:szCs w:val="21"/>
      </w:rPr>
      <w:instrText xml:space="preserve"> </w:instrText>
    </w:r>
    <w:r>
      <w:rPr>
        <w:rFonts w:ascii="Arial" w:eastAsia="黑体" w:hAnsi="Arial" w:cs="Arial"/>
        <w:b/>
        <w:sz w:val="21"/>
        <w:szCs w:val="21"/>
      </w:rPr>
      <w:fldChar w:fldCharType="separate"/>
    </w:r>
    <w:r>
      <w:rPr>
        <w:rFonts w:ascii="Arial" w:eastAsia="黑体" w:hAnsi="Arial" w:cs="Arial" w:hint="eastAsia"/>
        <w:b/>
        <w:sz w:val="21"/>
        <w:szCs w:val="21"/>
      </w:rPr>
      <w:t>厦门银行股份有限公司</w:t>
    </w:r>
    <w:r>
      <w:rPr>
        <w:rFonts w:ascii="Arial" w:eastAsia="黑体" w:hAnsi="Arial" w:cs="Arial"/>
        <w:b/>
        <w:sz w:val="21"/>
        <w:szCs w:val="21"/>
      </w:rPr>
      <w:fldChar w:fldCharType="end"/>
    </w:r>
  </w:p>
  <w:p w:rsidR="00F22BE0" w:rsidRDefault="00F22BE0">
    <w:pPr>
      <w:overflowPunct w:val="0"/>
      <w:autoSpaceDE w:val="0"/>
      <w:autoSpaceDN w:val="0"/>
      <w:adjustRightInd w:val="0"/>
      <w:outlineLvl w:val="0"/>
      <w:rPr>
        <w:rFonts w:ascii="Arial" w:eastAsia="黑体" w:hAnsi="Arial" w:cs="Arial"/>
        <w:b/>
        <w:szCs w:val="21"/>
      </w:rPr>
    </w:pPr>
    <w:r>
      <w:rPr>
        <w:rFonts w:ascii="Arial" w:eastAsia="黑体" w:hAnsi="Arial" w:cs="Arial" w:hint="eastAsia"/>
        <w:b/>
        <w:bCs/>
        <w:snapToGrid w:val="0"/>
        <w:szCs w:val="21"/>
      </w:rPr>
      <w:t>财务报表附注</w:t>
    </w:r>
    <w:r>
      <w:rPr>
        <w:rFonts w:ascii="Arial" w:eastAsia="黑体" w:hAnsi="Arial" w:cs="Arial" w:hint="eastAsia"/>
        <w:b/>
        <w:szCs w:val="21"/>
      </w:rPr>
      <w:t>（续）</w:t>
    </w:r>
  </w:p>
  <w:p w:rsidR="00F22BE0" w:rsidRDefault="00F22BE0">
    <w:pPr>
      <w:tabs>
        <w:tab w:val="right" w:pos="8313"/>
        <w:tab w:val="left" w:pos="12887"/>
      </w:tabs>
      <w:overflowPunct w:val="0"/>
      <w:autoSpaceDE w:val="0"/>
      <w:autoSpaceDN w:val="0"/>
      <w:adjustRightInd w:val="0"/>
      <w:rPr>
        <w:rFonts w:ascii="Arial" w:eastAsia="黑体" w:hAnsi="Arial" w:cs="Arial"/>
        <w:b/>
        <w:u w:val="single"/>
      </w:rPr>
    </w:pPr>
    <w:r>
      <w:rPr>
        <w:rFonts w:ascii="Arial" w:eastAsia="黑体" w:hAnsi="Arial" w:cs="Arial"/>
        <w:b/>
        <w:szCs w:val="21"/>
        <w:u w:val="single"/>
      </w:rPr>
      <w:t>截至</w:t>
    </w:r>
    <w:r>
      <w:rPr>
        <w:rFonts w:ascii="Arial" w:eastAsia="黑体" w:hAnsi="Arial" w:cs="Arial"/>
        <w:b/>
        <w:szCs w:val="21"/>
        <w:u w:val="single"/>
      </w:rPr>
      <w:t>2023</w:t>
    </w:r>
    <w:r>
      <w:rPr>
        <w:rFonts w:ascii="Arial" w:eastAsia="黑体" w:hAnsi="Arial" w:cs="Arial"/>
        <w:b/>
        <w:szCs w:val="21"/>
        <w:u w:val="single"/>
      </w:rPr>
      <w:t>年</w:t>
    </w:r>
    <w:r>
      <w:rPr>
        <w:rFonts w:ascii="Arial" w:eastAsia="黑体" w:hAnsi="Arial" w:cs="Arial"/>
        <w:b/>
        <w:szCs w:val="21"/>
        <w:u w:val="single"/>
      </w:rPr>
      <w:t>6</w:t>
    </w:r>
    <w:r>
      <w:rPr>
        <w:rFonts w:ascii="Arial" w:eastAsia="黑体" w:hAnsi="Arial" w:cs="Arial"/>
        <w:b/>
        <w:szCs w:val="21"/>
        <w:u w:val="single"/>
      </w:rPr>
      <w:t>月</w:t>
    </w:r>
    <w:r>
      <w:rPr>
        <w:rFonts w:ascii="Arial" w:eastAsia="黑体" w:hAnsi="Arial" w:cs="Arial"/>
        <w:b/>
        <w:szCs w:val="21"/>
        <w:u w:val="single"/>
      </w:rPr>
      <w:t>30</w:t>
    </w:r>
    <w:r>
      <w:rPr>
        <w:rFonts w:ascii="Arial" w:eastAsia="黑体" w:hAnsi="Arial" w:cs="Arial"/>
        <w:b/>
        <w:szCs w:val="21"/>
        <w:u w:val="single"/>
      </w:rPr>
      <w:t>日</w:t>
    </w:r>
    <w:proofErr w:type="gramStart"/>
    <w:r>
      <w:rPr>
        <w:rFonts w:ascii="Arial" w:eastAsia="黑体" w:hAnsi="Arial" w:cs="Arial"/>
        <w:b/>
        <w:szCs w:val="21"/>
        <w:u w:val="single"/>
      </w:rPr>
      <w:t>止</w:t>
    </w:r>
    <w:proofErr w:type="gramEnd"/>
    <w:r>
      <w:rPr>
        <w:rFonts w:ascii="Arial" w:eastAsia="黑体" w:hAnsi="Arial" w:cs="Arial"/>
        <w:b/>
        <w:szCs w:val="21"/>
        <w:u w:val="single"/>
      </w:rPr>
      <w:t>6</w:t>
    </w:r>
    <w:r>
      <w:rPr>
        <w:rFonts w:ascii="Arial" w:eastAsia="黑体" w:hAnsi="Arial" w:cs="Arial"/>
        <w:b/>
        <w:szCs w:val="21"/>
        <w:u w:val="single"/>
      </w:rPr>
      <w:t>个月</w:t>
    </w:r>
    <w:proofErr w:type="gramStart"/>
    <w:r>
      <w:rPr>
        <w:rFonts w:ascii="Arial" w:eastAsia="黑体" w:hAnsi="Arial" w:cs="Arial"/>
        <w:b/>
        <w:szCs w:val="21"/>
        <w:u w:val="single"/>
      </w:rPr>
      <w:t>期间</w:t>
    </w:r>
    <w:r>
      <w:rPr>
        <w:rFonts w:ascii="Arial" w:eastAsia="黑体" w:hAnsi="Arial" w:cs="Arial"/>
        <w:b/>
        <w:szCs w:val="21"/>
        <w:u w:val="single"/>
      </w:rPr>
      <w:tab/>
    </w:r>
    <w:proofErr w:type="gramEnd"/>
    <w:r>
      <w:rPr>
        <w:rFonts w:ascii="Arial" w:eastAsia="黑体" w:hAnsi="Arial" w:cs="Arial"/>
        <w:b/>
        <w:szCs w:val="21"/>
        <w:u w:val="single"/>
      </w:rPr>
      <w:t>人民币元</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19"/>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tabs>
        <w:tab w:val="left" w:pos="4379"/>
      </w:tabs>
      <w:overflowPunct w:val="0"/>
      <w:autoSpaceDE w:val="0"/>
      <w:autoSpaceDN w:val="0"/>
      <w:adjustRightInd w:val="0"/>
      <w:jc w:val="left"/>
      <w:rPr>
        <w:rFonts w:ascii="黑体" w:eastAsia="黑体" w:hAnsi="黑体" w:cs="Arial"/>
        <w:b/>
        <w:sz w:val="21"/>
        <w:szCs w:val="21"/>
      </w:rPr>
    </w:pPr>
    <w:r>
      <w:rPr>
        <w:rFonts w:ascii="黑体" w:eastAsia="黑体" w:hAnsi="黑体" w:cs="Arial"/>
        <w:b/>
        <w:sz w:val="21"/>
        <w:szCs w:val="21"/>
      </w:rPr>
      <w:fldChar w:fldCharType="begin"/>
    </w:r>
    <w:r>
      <w:rPr>
        <w:rFonts w:ascii="黑体" w:eastAsia="黑体" w:hAnsi="黑体" w:cs="Arial"/>
        <w:b/>
        <w:sz w:val="21"/>
        <w:szCs w:val="21"/>
      </w:rPr>
      <w:instrText xml:space="preserve"> DOCPROPERTY 公司名称 </w:instrText>
    </w:r>
    <w:r>
      <w:rPr>
        <w:rFonts w:ascii="黑体" w:eastAsia="黑体" w:hAnsi="黑体" w:cs="Arial"/>
        <w:b/>
        <w:sz w:val="21"/>
        <w:szCs w:val="21"/>
      </w:rPr>
      <w:fldChar w:fldCharType="separate"/>
    </w:r>
    <w:r>
      <w:rPr>
        <w:rFonts w:ascii="黑体" w:eastAsia="黑体" w:hAnsi="黑体" w:cs="Arial"/>
        <w:b/>
        <w:sz w:val="21"/>
        <w:szCs w:val="21"/>
      </w:rPr>
      <w:t>厦门银行股份有限公司</w:t>
    </w:r>
    <w:r>
      <w:rPr>
        <w:rFonts w:ascii="黑体" w:eastAsia="黑体" w:hAnsi="黑体" w:cs="Arial"/>
        <w:b/>
        <w:sz w:val="21"/>
        <w:szCs w:val="21"/>
      </w:rPr>
      <w:fldChar w:fldCharType="end"/>
    </w:r>
  </w:p>
  <w:p w:rsidR="00F22BE0" w:rsidRDefault="00F22BE0">
    <w:pPr>
      <w:overflowPunct w:val="0"/>
      <w:autoSpaceDE w:val="0"/>
      <w:autoSpaceDN w:val="0"/>
      <w:adjustRightInd w:val="0"/>
      <w:outlineLvl w:val="0"/>
      <w:rPr>
        <w:rFonts w:ascii="黑体" w:eastAsia="黑体" w:hAnsi="黑体" w:cs="Arial"/>
        <w:b/>
        <w:szCs w:val="21"/>
      </w:rPr>
    </w:pPr>
    <w:r>
      <w:rPr>
        <w:rFonts w:ascii="黑体" w:eastAsia="黑体" w:hAnsi="黑体" w:hint="eastAsia"/>
        <w:b/>
        <w:bCs/>
        <w:snapToGrid w:val="0"/>
        <w:szCs w:val="21"/>
      </w:rPr>
      <w:t>财务报表附注(续）</w:t>
    </w:r>
  </w:p>
  <w:p w:rsidR="00F22BE0" w:rsidRDefault="00F22BE0">
    <w:pPr>
      <w:tabs>
        <w:tab w:val="right" w:pos="13956"/>
      </w:tabs>
      <w:overflowPunct w:val="0"/>
      <w:autoSpaceDE w:val="0"/>
      <w:autoSpaceDN w:val="0"/>
      <w:adjustRightInd w:val="0"/>
      <w:rPr>
        <w:rFonts w:ascii="黑体" w:eastAsia="黑体" w:hAnsi="黑体" w:cs="Arial"/>
        <w:b/>
        <w:u w:val="single"/>
      </w:rPr>
    </w:pPr>
    <w:r>
      <w:rPr>
        <w:rFonts w:ascii="黑体" w:eastAsia="黑体" w:hAnsi="黑体" w:hint="eastAsia"/>
        <w:b/>
        <w:szCs w:val="21"/>
        <w:u w:val="single"/>
      </w:rPr>
      <w:t>截至</w:t>
    </w:r>
    <w:r>
      <w:rPr>
        <w:rFonts w:ascii="Arial" w:eastAsia="黑体" w:hAnsi="Arial" w:cs="Arial"/>
        <w:b/>
        <w:szCs w:val="21"/>
        <w:u w:val="single"/>
      </w:rPr>
      <w:t>2022</w:t>
    </w:r>
    <w:r>
      <w:rPr>
        <w:rFonts w:ascii="黑体" w:eastAsia="黑体" w:hAnsi="黑体" w:hint="eastAsia"/>
        <w:b/>
        <w:szCs w:val="21"/>
        <w:u w:val="single"/>
      </w:rPr>
      <w:t>年</w:t>
    </w:r>
    <w:r>
      <w:rPr>
        <w:rFonts w:ascii="Arial" w:eastAsia="黑体" w:hAnsi="Arial" w:cs="Arial"/>
        <w:b/>
        <w:szCs w:val="21"/>
        <w:u w:val="single"/>
      </w:rPr>
      <w:t>6</w:t>
    </w:r>
    <w:r>
      <w:rPr>
        <w:rFonts w:ascii="黑体" w:eastAsia="黑体" w:hAnsi="黑体" w:hint="eastAsia"/>
        <w:b/>
        <w:szCs w:val="21"/>
        <w:u w:val="single"/>
      </w:rPr>
      <w:t>月</w:t>
    </w:r>
    <w:r>
      <w:rPr>
        <w:rFonts w:ascii="Arial" w:eastAsia="黑体" w:hAnsi="Arial" w:cs="Arial"/>
        <w:b/>
        <w:szCs w:val="21"/>
        <w:u w:val="single"/>
      </w:rPr>
      <w:t>30</w:t>
    </w:r>
    <w:r>
      <w:rPr>
        <w:rFonts w:ascii="黑体" w:eastAsia="黑体" w:hAnsi="黑体" w:hint="eastAsia"/>
        <w:b/>
        <w:szCs w:val="21"/>
        <w:u w:val="single"/>
      </w:rPr>
      <w:t>日</w:t>
    </w:r>
    <w:proofErr w:type="gramStart"/>
    <w:r>
      <w:rPr>
        <w:rFonts w:ascii="黑体" w:eastAsia="黑体" w:hAnsi="黑体" w:hint="eastAsia"/>
        <w:b/>
        <w:szCs w:val="21"/>
        <w:u w:val="single"/>
      </w:rPr>
      <w:t>止</w:t>
    </w:r>
    <w:proofErr w:type="gramEnd"/>
    <w:r>
      <w:rPr>
        <w:rFonts w:ascii="Arial" w:eastAsia="黑体" w:hAnsi="Arial" w:cs="Arial"/>
        <w:b/>
        <w:szCs w:val="21"/>
        <w:u w:val="single"/>
      </w:rPr>
      <w:t>6</w:t>
    </w:r>
    <w:r>
      <w:rPr>
        <w:rFonts w:ascii="黑体" w:eastAsia="黑体" w:hAnsi="黑体" w:hint="eastAsia"/>
        <w:b/>
        <w:szCs w:val="21"/>
        <w:u w:val="single"/>
      </w:rPr>
      <w:t>个月期间</w:t>
    </w:r>
    <w:r>
      <w:rPr>
        <w:rFonts w:ascii="黑体" w:eastAsia="黑体" w:hAnsi="黑体" w:cs="Arial"/>
        <w:b/>
        <w:szCs w:val="21"/>
        <w:u w:val="single"/>
      </w:rPr>
      <w:tab/>
    </w:r>
    <w:r>
      <w:rPr>
        <w:rFonts w:ascii="黑体" w:eastAsia="黑体" w:hAnsi="黑体" w:cs="Arial"/>
        <w:b/>
        <w:szCs w:val="21"/>
        <w:u w:val="single"/>
      </w:rPr>
      <w:fldChar w:fldCharType="begin"/>
    </w:r>
    <w:r>
      <w:rPr>
        <w:rFonts w:ascii="黑体" w:eastAsia="黑体" w:hAnsi="黑体" w:cs="Arial"/>
        <w:b/>
        <w:szCs w:val="21"/>
        <w:u w:val="single"/>
      </w:rPr>
      <w:instrText xml:space="preserve"> DOCPROPERTY 币种 </w:instrText>
    </w:r>
    <w:r>
      <w:rPr>
        <w:rFonts w:ascii="黑体" w:eastAsia="黑体" w:hAnsi="黑体" w:cs="Arial"/>
        <w:b/>
        <w:szCs w:val="21"/>
        <w:u w:val="single"/>
      </w:rPr>
      <w:fldChar w:fldCharType="separate"/>
    </w:r>
    <w:r>
      <w:rPr>
        <w:rFonts w:ascii="黑体" w:eastAsia="黑体" w:hAnsi="黑体" w:cs="Arial"/>
        <w:b/>
        <w:szCs w:val="21"/>
        <w:u w:val="single"/>
      </w:rPr>
      <w:t>人民币</w:t>
    </w:r>
    <w:r>
      <w:rPr>
        <w:rFonts w:ascii="黑体" w:eastAsia="黑体" w:hAnsi="黑体" w:cs="Arial"/>
        <w:b/>
        <w:szCs w:val="21"/>
        <w:u w:val="single"/>
      </w:rPr>
      <w:fldChar w:fldCharType="end"/>
    </w:r>
    <w:r>
      <w:rPr>
        <w:rFonts w:ascii="黑体" w:eastAsia="黑体" w:hAnsi="黑体" w:cs="Arial"/>
        <w:b/>
        <w:szCs w:val="21"/>
        <w:u w:val="single"/>
      </w:rPr>
      <w:fldChar w:fldCharType="begin"/>
    </w:r>
    <w:r>
      <w:rPr>
        <w:rFonts w:ascii="黑体" w:eastAsia="黑体" w:hAnsi="黑体" w:cs="Arial"/>
        <w:b/>
        <w:szCs w:val="21"/>
        <w:u w:val="single"/>
      </w:rPr>
      <w:instrText xml:space="preserve"> DOCPROPERTY 单位 </w:instrText>
    </w:r>
    <w:r>
      <w:rPr>
        <w:rFonts w:ascii="黑体" w:eastAsia="黑体" w:hAnsi="黑体" w:cs="Arial"/>
        <w:b/>
        <w:szCs w:val="21"/>
        <w:u w:val="single"/>
      </w:rPr>
      <w:fldChar w:fldCharType="separate"/>
    </w:r>
    <w:r>
      <w:rPr>
        <w:rFonts w:ascii="黑体" w:eastAsia="黑体" w:hAnsi="黑体" w:cs="Arial"/>
        <w:b/>
        <w:szCs w:val="21"/>
        <w:u w:val="single"/>
      </w:rPr>
      <w:t>元</w:t>
    </w:r>
    <w:r>
      <w:rPr>
        <w:rFonts w:ascii="黑体" w:eastAsia="黑体" w:hAnsi="黑体" w:cs="Arial"/>
        <w:b/>
        <w:szCs w:val="21"/>
        <w:u w:val="single"/>
      </w:rPr>
      <w:fldChar w:fldCharType="end"/>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overflowPunct w:val="0"/>
      <w:autoSpaceDE w:val="0"/>
      <w:autoSpaceDN w:val="0"/>
      <w:adjustRightInd w:val="0"/>
      <w:jc w:val="left"/>
      <w:rPr>
        <w:rFonts w:ascii="黑体" w:eastAsia="黑体" w:hAnsi="黑体" w:cs="Arial"/>
        <w:b/>
        <w:sz w:val="21"/>
        <w:szCs w:val="21"/>
      </w:rPr>
    </w:pPr>
    <w:r>
      <w:rPr>
        <w:rFonts w:ascii="黑体" w:eastAsia="黑体" w:hAnsi="黑体" w:cs="Arial"/>
        <w:b/>
        <w:sz w:val="21"/>
        <w:szCs w:val="21"/>
      </w:rPr>
      <w:fldChar w:fldCharType="begin"/>
    </w:r>
    <w:r>
      <w:rPr>
        <w:rFonts w:ascii="黑体" w:eastAsia="黑体" w:hAnsi="黑体" w:cs="Arial"/>
        <w:b/>
        <w:sz w:val="21"/>
        <w:szCs w:val="21"/>
      </w:rPr>
      <w:instrText xml:space="preserve"> DOCPROPERTY 公司名称 </w:instrText>
    </w:r>
    <w:r>
      <w:rPr>
        <w:rFonts w:ascii="黑体" w:eastAsia="黑体" w:hAnsi="黑体" w:cs="Arial"/>
        <w:b/>
        <w:sz w:val="21"/>
        <w:szCs w:val="21"/>
      </w:rPr>
      <w:fldChar w:fldCharType="separate"/>
    </w:r>
    <w:r>
      <w:rPr>
        <w:rFonts w:ascii="黑体" w:eastAsia="黑体" w:hAnsi="黑体" w:cs="Arial"/>
        <w:b/>
        <w:sz w:val="21"/>
        <w:szCs w:val="21"/>
      </w:rPr>
      <w:t>厦门银行股份有限公司</w:t>
    </w:r>
    <w:r>
      <w:rPr>
        <w:rFonts w:ascii="黑体" w:eastAsia="黑体" w:hAnsi="黑体" w:cs="Arial"/>
        <w:b/>
        <w:sz w:val="21"/>
        <w:szCs w:val="21"/>
      </w:rPr>
      <w:fldChar w:fldCharType="end"/>
    </w:r>
  </w:p>
  <w:p w:rsidR="00F22BE0" w:rsidRDefault="00F22BE0">
    <w:pPr>
      <w:overflowPunct w:val="0"/>
      <w:autoSpaceDE w:val="0"/>
      <w:autoSpaceDN w:val="0"/>
      <w:adjustRightInd w:val="0"/>
      <w:outlineLvl w:val="0"/>
      <w:rPr>
        <w:rFonts w:ascii="黑体" w:eastAsia="黑体" w:hAnsi="黑体" w:cs="Arial"/>
        <w:b/>
        <w:szCs w:val="21"/>
      </w:rPr>
    </w:pPr>
    <w:r>
      <w:rPr>
        <w:rFonts w:ascii="黑体" w:eastAsia="黑体" w:hAnsi="黑体" w:hint="eastAsia"/>
        <w:b/>
        <w:bCs/>
        <w:snapToGrid w:val="0"/>
        <w:szCs w:val="21"/>
      </w:rPr>
      <w:t>财务报表附注</w:t>
    </w:r>
    <w:r>
      <w:rPr>
        <w:rFonts w:ascii="Arial" w:eastAsia="黑体" w:hAnsi="Arial" w:cs="Arial" w:hint="eastAsia"/>
        <w:b/>
        <w:szCs w:val="21"/>
      </w:rPr>
      <w:t>（续）</w:t>
    </w:r>
  </w:p>
  <w:p w:rsidR="00F22BE0" w:rsidRDefault="00F22BE0">
    <w:pPr>
      <w:tabs>
        <w:tab w:val="right" w:pos="13956"/>
      </w:tabs>
      <w:overflowPunct w:val="0"/>
      <w:autoSpaceDE w:val="0"/>
      <w:autoSpaceDN w:val="0"/>
      <w:adjustRightInd w:val="0"/>
      <w:rPr>
        <w:rFonts w:ascii="Arial" w:eastAsia="黑体" w:hAnsi="Arial" w:cs="Arial"/>
        <w:b/>
        <w:u w:val="single"/>
      </w:rPr>
    </w:pPr>
    <w:r>
      <w:rPr>
        <w:rFonts w:ascii="Arial" w:eastAsia="黑体" w:hAnsi="Arial" w:cs="Arial"/>
        <w:b/>
        <w:szCs w:val="21"/>
        <w:u w:val="single"/>
      </w:rPr>
      <w:t>截至</w:t>
    </w:r>
    <w:r>
      <w:rPr>
        <w:rFonts w:ascii="Arial" w:eastAsia="黑体" w:hAnsi="Arial" w:cs="Arial"/>
        <w:b/>
        <w:szCs w:val="21"/>
        <w:u w:val="single"/>
      </w:rPr>
      <w:t>2023</w:t>
    </w:r>
    <w:r>
      <w:rPr>
        <w:rFonts w:ascii="Arial" w:eastAsia="黑体" w:hAnsi="Arial" w:cs="Arial"/>
        <w:b/>
        <w:szCs w:val="21"/>
        <w:u w:val="single"/>
      </w:rPr>
      <w:t>年</w:t>
    </w:r>
    <w:r>
      <w:rPr>
        <w:rFonts w:ascii="Arial" w:eastAsia="黑体" w:hAnsi="Arial" w:cs="Arial"/>
        <w:b/>
        <w:szCs w:val="21"/>
        <w:u w:val="single"/>
      </w:rPr>
      <w:t>6</w:t>
    </w:r>
    <w:r>
      <w:rPr>
        <w:rFonts w:ascii="Arial" w:eastAsia="黑体" w:hAnsi="Arial" w:cs="Arial"/>
        <w:b/>
        <w:szCs w:val="21"/>
        <w:u w:val="single"/>
      </w:rPr>
      <w:t>月</w:t>
    </w:r>
    <w:r>
      <w:rPr>
        <w:rFonts w:ascii="Arial" w:eastAsia="黑体" w:hAnsi="Arial" w:cs="Arial"/>
        <w:b/>
        <w:szCs w:val="21"/>
        <w:u w:val="single"/>
      </w:rPr>
      <w:t>30</w:t>
    </w:r>
    <w:r>
      <w:rPr>
        <w:rFonts w:ascii="Arial" w:eastAsia="黑体" w:hAnsi="Arial" w:cs="Arial"/>
        <w:b/>
        <w:szCs w:val="21"/>
        <w:u w:val="single"/>
      </w:rPr>
      <w:t>日</w:t>
    </w:r>
    <w:proofErr w:type="gramStart"/>
    <w:r>
      <w:rPr>
        <w:rFonts w:ascii="Arial" w:eastAsia="黑体" w:hAnsi="Arial" w:cs="Arial"/>
        <w:b/>
        <w:szCs w:val="21"/>
        <w:u w:val="single"/>
      </w:rPr>
      <w:t>止</w:t>
    </w:r>
    <w:proofErr w:type="gramEnd"/>
    <w:r>
      <w:rPr>
        <w:rFonts w:ascii="Arial" w:eastAsia="黑体" w:hAnsi="Arial" w:cs="Arial"/>
        <w:b/>
        <w:szCs w:val="21"/>
        <w:u w:val="single"/>
      </w:rPr>
      <w:t>6</w:t>
    </w:r>
    <w:r>
      <w:rPr>
        <w:rFonts w:ascii="Arial" w:eastAsia="黑体" w:hAnsi="Arial" w:cs="Arial"/>
        <w:b/>
        <w:szCs w:val="21"/>
        <w:u w:val="single"/>
      </w:rPr>
      <w:t>个月</w:t>
    </w:r>
    <w:proofErr w:type="gramStart"/>
    <w:r>
      <w:rPr>
        <w:rFonts w:ascii="Arial" w:eastAsia="黑体" w:hAnsi="Arial" w:cs="Arial"/>
        <w:b/>
        <w:szCs w:val="21"/>
        <w:u w:val="single"/>
      </w:rPr>
      <w:t>期间</w:t>
    </w:r>
    <w:r>
      <w:rPr>
        <w:rFonts w:ascii="Arial" w:eastAsia="黑体" w:hAnsi="Arial" w:cs="Arial"/>
        <w:b/>
        <w:szCs w:val="21"/>
        <w:u w:val="single"/>
      </w:rPr>
      <w:tab/>
    </w:r>
    <w:proofErr w:type="gramEnd"/>
    <w:r>
      <w:rPr>
        <w:rFonts w:ascii="Arial" w:eastAsia="黑体" w:hAnsi="Arial" w:cs="Arial"/>
        <w:b/>
        <w:szCs w:val="21"/>
        <w:u w:val="single"/>
      </w:rPr>
      <w:t>人民币元</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1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tabs>
        <w:tab w:val="left" w:pos="4379"/>
      </w:tabs>
      <w:overflowPunct w:val="0"/>
      <w:autoSpaceDE w:val="0"/>
      <w:autoSpaceDN w:val="0"/>
      <w:adjustRightInd w:val="0"/>
      <w:jc w:val="left"/>
      <w:rPr>
        <w:rFonts w:ascii="Arial" w:eastAsia="黑体" w:hAnsi="Arial" w:cs="Arial"/>
        <w:b/>
        <w:sz w:val="21"/>
        <w:szCs w:val="21"/>
      </w:rPr>
    </w:pPr>
    <w:r>
      <w:rPr>
        <w:rFonts w:ascii="Arial" w:eastAsia="黑体" w:hAnsi="Arial" w:cs="Arial"/>
        <w:b/>
        <w:sz w:val="21"/>
        <w:szCs w:val="21"/>
      </w:rPr>
      <w:fldChar w:fldCharType="begin"/>
    </w:r>
    <w:r>
      <w:rPr>
        <w:rFonts w:ascii="Arial" w:eastAsia="黑体" w:hAnsi="Arial" w:cs="Arial"/>
        <w:b/>
        <w:sz w:val="21"/>
        <w:szCs w:val="21"/>
      </w:rPr>
      <w:instrText xml:space="preserve"> DOCPROPERTY </w:instrText>
    </w:r>
    <w:r>
      <w:rPr>
        <w:rFonts w:ascii="Arial" w:eastAsia="黑体" w:hAnsi="Arial" w:cs="Arial" w:hint="eastAsia"/>
        <w:b/>
        <w:sz w:val="21"/>
        <w:szCs w:val="21"/>
      </w:rPr>
      <w:instrText>公司名称</w:instrText>
    </w:r>
    <w:r>
      <w:rPr>
        <w:rFonts w:ascii="Arial" w:eastAsia="黑体" w:hAnsi="Arial" w:cs="Arial"/>
        <w:b/>
        <w:sz w:val="21"/>
        <w:szCs w:val="21"/>
      </w:rPr>
      <w:instrText xml:space="preserve"> </w:instrText>
    </w:r>
    <w:r>
      <w:rPr>
        <w:rFonts w:ascii="Arial" w:eastAsia="黑体" w:hAnsi="Arial" w:cs="Arial"/>
        <w:b/>
        <w:sz w:val="21"/>
        <w:szCs w:val="21"/>
      </w:rPr>
      <w:fldChar w:fldCharType="separate"/>
    </w:r>
    <w:r>
      <w:rPr>
        <w:rFonts w:ascii="Arial" w:eastAsia="黑体" w:hAnsi="Arial" w:cs="Arial" w:hint="eastAsia"/>
        <w:b/>
        <w:sz w:val="21"/>
        <w:szCs w:val="21"/>
      </w:rPr>
      <w:t>厦门银行股份有限公司</w:t>
    </w:r>
    <w:r>
      <w:rPr>
        <w:rFonts w:ascii="Arial" w:eastAsia="黑体" w:hAnsi="Arial" w:cs="Arial"/>
        <w:b/>
        <w:sz w:val="21"/>
        <w:szCs w:val="21"/>
      </w:rPr>
      <w:fldChar w:fldCharType="end"/>
    </w:r>
  </w:p>
  <w:p w:rsidR="00F22BE0" w:rsidRDefault="00F22BE0">
    <w:pPr>
      <w:overflowPunct w:val="0"/>
      <w:autoSpaceDE w:val="0"/>
      <w:autoSpaceDN w:val="0"/>
      <w:adjustRightInd w:val="0"/>
      <w:outlineLvl w:val="0"/>
      <w:rPr>
        <w:rFonts w:ascii="Arial" w:eastAsia="黑体" w:hAnsi="Arial" w:cs="Arial"/>
        <w:b/>
        <w:szCs w:val="21"/>
      </w:rPr>
    </w:pPr>
    <w:r>
      <w:rPr>
        <w:rFonts w:ascii="Arial" w:eastAsia="黑体" w:hAnsi="Arial" w:cs="Arial" w:hint="eastAsia"/>
        <w:b/>
        <w:bCs/>
        <w:snapToGrid w:val="0"/>
        <w:szCs w:val="21"/>
      </w:rPr>
      <w:t>财务报表附注</w:t>
    </w:r>
    <w:r>
      <w:rPr>
        <w:rFonts w:ascii="Arial" w:eastAsia="黑体" w:hAnsi="Arial" w:cs="Arial" w:hint="eastAsia"/>
        <w:b/>
        <w:szCs w:val="21"/>
      </w:rPr>
      <w:t>（续）</w:t>
    </w:r>
  </w:p>
  <w:p w:rsidR="00F22BE0" w:rsidRDefault="00F22BE0">
    <w:pPr>
      <w:tabs>
        <w:tab w:val="right" w:pos="8313"/>
        <w:tab w:val="left" w:pos="12827"/>
      </w:tabs>
      <w:overflowPunct w:val="0"/>
      <w:autoSpaceDE w:val="0"/>
      <w:autoSpaceDN w:val="0"/>
      <w:adjustRightInd w:val="0"/>
      <w:rPr>
        <w:rFonts w:ascii="Arial" w:eastAsia="黑体" w:hAnsi="Arial" w:cs="Arial"/>
        <w:b/>
        <w:szCs w:val="21"/>
        <w:u w:val="single"/>
      </w:rPr>
    </w:pPr>
    <w:r>
      <w:rPr>
        <w:rFonts w:ascii="Arial" w:eastAsia="黑体" w:hAnsi="Arial" w:cs="Arial"/>
        <w:b/>
        <w:szCs w:val="21"/>
        <w:u w:val="single"/>
      </w:rPr>
      <w:t>截至</w:t>
    </w:r>
    <w:r>
      <w:rPr>
        <w:rFonts w:ascii="Arial" w:eastAsia="黑体" w:hAnsi="Arial" w:cs="Arial"/>
        <w:b/>
        <w:szCs w:val="21"/>
        <w:u w:val="single"/>
      </w:rPr>
      <w:t>2023</w:t>
    </w:r>
    <w:r>
      <w:rPr>
        <w:rFonts w:ascii="Arial" w:eastAsia="黑体" w:hAnsi="Arial" w:cs="Arial"/>
        <w:b/>
        <w:szCs w:val="21"/>
        <w:u w:val="single"/>
      </w:rPr>
      <w:t>年</w:t>
    </w:r>
    <w:r>
      <w:rPr>
        <w:rFonts w:ascii="Arial" w:eastAsia="黑体" w:hAnsi="Arial" w:cs="Arial"/>
        <w:b/>
        <w:szCs w:val="21"/>
        <w:u w:val="single"/>
      </w:rPr>
      <w:t>6</w:t>
    </w:r>
    <w:r>
      <w:rPr>
        <w:rFonts w:ascii="Arial" w:eastAsia="黑体" w:hAnsi="Arial" w:cs="Arial"/>
        <w:b/>
        <w:szCs w:val="21"/>
        <w:u w:val="single"/>
      </w:rPr>
      <w:t>月</w:t>
    </w:r>
    <w:r>
      <w:rPr>
        <w:rFonts w:ascii="Arial" w:eastAsia="黑体" w:hAnsi="Arial" w:cs="Arial"/>
        <w:b/>
        <w:szCs w:val="21"/>
        <w:u w:val="single"/>
      </w:rPr>
      <w:t>30</w:t>
    </w:r>
    <w:r>
      <w:rPr>
        <w:rFonts w:ascii="Arial" w:eastAsia="黑体" w:hAnsi="Arial" w:cs="Arial"/>
        <w:b/>
        <w:szCs w:val="21"/>
        <w:u w:val="single"/>
      </w:rPr>
      <w:t>日</w:t>
    </w:r>
    <w:proofErr w:type="gramStart"/>
    <w:r>
      <w:rPr>
        <w:rFonts w:ascii="Arial" w:eastAsia="黑体" w:hAnsi="Arial" w:cs="Arial"/>
        <w:b/>
        <w:szCs w:val="21"/>
        <w:u w:val="single"/>
      </w:rPr>
      <w:t>止</w:t>
    </w:r>
    <w:proofErr w:type="gramEnd"/>
    <w:r>
      <w:rPr>
        <w:rFonts w:ascii="Arial" w:eastAsia="黑体" w:hAnsi="Arial" w:cs="Arial"/>
        <w:b/>
        <w:szCs w:val="21"/>
        <w:u w:val="single"/>
      </w:rPr>
      <w:t>6</w:t>
    </w:r>
    <w:r>
      <w:rPr>
        <w:rFonts w:ascii="Arial" w:eastAsia="黑体" w:hAnsi="Arial" w:cs="Arial"/>
        <w:b/>
        <w:szCs w:val="21"/>
        <w:u w:val="single"/>
      </w:rPr>
      <w:t>个月</w:t>
    </w:r>
    <w:proofErr w:type="gramStart"/>
    <w:r>
      <w:rPr>
        <w:rFonts w:ascii="Arial" w:eastAsia="黑体" w:hAnsi="Arial" w:cs="Arial"/>
        <w:b/>
        <w:szCs w:val="21"/>
        <w:u w:val="single"/>
      </w:rPr>
      <w:t>期间</w:t>
    </w:r>
    <w:r>
      <w:rPr>
        <w:rFonts w:ascii="Arial" w:eastAsia="黑体" w:hAnsi="Arial" w:cs="Arial"/>
        <w:b/>
        <w:szCs w:val="21"/>
        <w:u w:val="single"/>
      </w:rPr>
      <w:tab/>
    </w:r>
    <w:proofErr w:type="gramEnd"/>
    <w:r>
      <w:rPr>
        <w:rFonts w:ascii="Arial" w:eastAsia="黑体" w:hAnsi="Arial" w:cs="Arial"/>
        <w:b/>
        <w:szCs w:val="21"/>
        <w:u w:val="single"/>
      </w:rPr>
      <w:t>人民币元</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1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overflowPunct w:val="0"/>
      <w:autoSpaceDE w:val="0"/>
      <w:autoSpaceDN w:val="0"/>
      <w:adjustRightInd w:val="0"/>
      <w:jc w:val="center"/>
      <w:rPr>
        <w:rFonts w:ascii="Arial" w:eastAsia="黑体" w:hAnsi="Arial" w:cs="Arial"/>
        <w:b/>
        <w:sz w:val="21"/>
        <w:szCs w:val="21"/>
      </w:rPr>
    </w:pPr>
  </w:p>
  <w:p w:rsidR="00F22BE0" w:rsidRDefault="00F22BE0">
    <w:pPr>
      <w:pStyle w:val="ae"/>
      <w:overflowPunct w:val="0"/>
      <w:autoSpaceDE w:val="0"/>
      <w:autoSpaceDN w:val="0"/>
      <w:adjustRightInd w:val="0"/>
      <w:jc w:val="left"/>
      <w:rPr>
        <w:rFonts w:ascii="黑体" w:eastAsia="黑体" w:hAnsi="黑体" w:cs="Arial"/>
        <w:b/>
        <w:sz w:val="21"/>
        <w:szCs w:val="21"/>
      </w:rPr>
    </w:pPr>
    <w:r>
      <w:rPr>
        <w:rFonts w:ascii="黑体" w:eastAsia="黑体" w:hAnsi="黑体" w:cs="Arial"/>
        <w:b/>
        <w:sz w:val="21"/>
        <w:szCs w:val="21"/>
      </w:rPr>
      <w:fldChar w:fldCharType="begin"/>
    </w:r>
    <w:r>
      <w:rPr>
        <w:rFonts w:ascii="黑体" w:eastAsia="黑体" w:hAnsi="黑体" w:cs="Arial"/>
        <w:b/>
        <w:sz w:val="21"/>
        <w:szCs w:val="21"/>
      </w:rPr>
      <w:instrText xml:space="preserve"> DOCPROPERTY 公司名称 </w:instrText>
    </w:r>
    <w:r>
      <w:rPr>
        <w:rFonts w:ascii="黑体" w:eastAsia="黑体" w:hAnsi="黑体" w:cs="Arial"/>
        <w:b/>
        <w:sz w:val="21"/>
        <w:szCs w:val="21"/>
      </w:rPr>
      <w:fldChar w:fldCharType="separate"/>
    </w:r>
    <w:r>
      <w:rPr>
        <w:rFonts w:ascii="黑体" w:eastAsia="黑体" w:hAnsi="黑体" w:cs="Arial"/>
        <w:b/>
        <w:sz w:val="21"/>
        <w:szCs w:val="21"/>
      </w:rPr>
      <w:t>厦门银行股份有限公司</w:t>
    </w:r>
    <w:r>
      <w:rPr>
        <w:rFonts w:ascii="黑体" w:eastAsia="黑体" w:hAnsi="黑体" w:cs="Arial"/>
        <w:b/>
        <w:sz w:val="21"/>
        <w:szCs w:val="21"/>
      </w:rPr>
      <w:fldChar w:fldCharType="end"/>
    </w:r>
  </w:p>
  <w:p w:rsidR="00F22BE0" w:rsidRDefault="00F22BE0">
    <w:pPr>
      <w:overflowPunct w:val="0"/>
      <w:autoSpaceDE w:val="0"/>
      <w:autoSpaceDN w:val="0"/>
      <w:adjustRightInd w:val="0"/>
      <w:outlineLvl w:val="0"/>
      <w:rPr>
        <w:rFonts w:ascii="黑体" w:eastAsia="黑体" w:hAnsi="黑体" w:cs="Arial"/>
        <w:b/>
        <w:szCs w:val="21"/>
      </w:rPr>
    </w:pPr>
    <w:r>
      <w:rPr>
        <w:rFonts w:ascii="黑体" w:eastAsia="黑体" w:hAnsi="黑体" w:hint="eastAsia"/>
        <w:b/>
        <w:bCs/>
        <w:snapToGrid w:val="0"/>
        <w:szCs w:val="21"/>
      </w:rPr>
      <w:t>财务报表附注</w:t>
    </w:r>
    <w:r>
      <w:rPr>
        <w:rFonts w:ascii="Arial" w:eastAsia="黑体" w:hAnsi="Arial" w:cs="Arial" w:hint="eastAsia"/>
        <w:b/>
        <w:szCs w:val="21"/>
      </w:rPr>
      <w:t>（续）</w:t>
    </w:r>
  </w:p>
  <w:p w:rsidR="00F22BE0" w:rsidRDefault="00F22BE0">
    <w:pPr>
      <w:tabs>
        <w:tab w:val="right" w:pos="8313"/>
        <w:tab w:val="left" w:pos="12887"/>
      </w:tabs>
      <w:overflowPunct w:val="0"/>
      <w:autoSpaceDE w:val="0"/>
      <w:autoSpaceDN w:val="0"/>
      <w:adjustRightInd w:val="0"/>
      <w:rPr>
        <w:rFonts w:ascii="Arial" w:eastAsia="黑体" w:hAnsi="Arial" w:cs="Arial"/>
        <w:b/>
        <w:u w:val="single"/>
      </w:rPr>
    </w:pPr>
    <w:r>
      <w:rPr>
        <w:rFonts w:ascii="Arial" w:eastAsia="黑体" w:hAnsi="Arial" w:cs="Arial"/>
        <w:b/>
        <w:szCs w:val="21"/>
        <w:u w:val="single"/>
      </w:rPr>
      <w:t>截至</w:t>
    </w:r>
    <w:r>
      <w:rPr>
        <w:rFonts w:ascii="Arial" w:eastAsia="黑体" w:hAnsi="Arial" w:cs="Arial"/>
        <w:b/>
        <w:szCs w:val="21"/>
        <w:u w:val="single"/>
      </w:rPr>
      <w:t>2023</w:t>
    </w:r>
    <w:r>
      <w:rPr>
        <w:rFonts w:ascii="Arial" w:eastAsia="黑体" w:hAnsi="Arial" w:cs="Arial"/>
        <w:b/>
        <w:szCs w:val="21"/>
        <w:u w:val="single"/>
      </w:rPr>
      <w:t>年</w:t>
    </w:r>
    <w:r>
      <w:rPr>
        <w:rFonts w:ascii="Arial" w:eastAsia="黑体" w:hAnsi="Arial" w:cs="Arial"/>
        <w:b/>
        <w:szCs w:val="21"/>
        <w:u w:val="single"/>
      </w:rPr>
      <w:t>6</w:t>
    </w:r>
    <w:r>
      <w:rPr>
        <w:rFonts w:ascii="Arial" w:eastAsia="黑体" w:hAnsi="Arial" w:cs="Arial"/>
        <w:b/>
        <w:szCs w:val="21"/>
        <w:u w:val="single"/>
      </w:rPr>
      <w:t>月</w:t>
    </w:r>
    <w:r>
      <w:rPr>
        <w:rFonts w:ascii="Arial" w:eastAsia="黑体" w:hAnsi="Arial" w:cs="Arial"/>
        <w:b/>
        <w:szCs w:val="21"/>
        <w:u w:val="single"/>
      </w:rPr>
      <w:t>30</w:t>
    </w:r>
    <w:r>
      <w:rPr>
        <w:rFonts w:ascii="Arial" w:eastAsia="黑体" w:hAnsi="Arial" w:cs="Arial"/>
        <w:b/>
        <w:szCs w:val="21"/>
        <w:u w:val="single"/>
      </w:rPr>
      <w:t>日</w:t>
    </w:r>
    <w:proofErr w:type="gramStart"/>
    <w:r>
      <w:rPr>
        <w:rFonts w:ascii="Arial" w:eastAsia="黑体" w:hAnsi="Arial" w:cs="Arial"/>
        <w:b/>
        <w:szCs w:val="21"/>
        <w:u w:val="single"/>
      </w:rPr>
      <w:t>止</w:t>
    </w:r>
    <w:proofErr w:type="gramEnd"/>
    <w:r>
      <w:rPr>
        <w:rFonts w:ascii="Arial" w:eastAsia="黑体" w:hAnsi="Arial" w:cs="Arial"/>
        <w:b/>
        <w:szCs w:val="21"/>
        <w:u w:val="single"/>
      </w:rPr>
      <w:t>6</w:t>
    </w:r>
    <w:r>
      <w:rPr>
        <w:rFonts w:ascii="Arial" w:eastAsia="黑体" w:hAnsi="Arial" w:cs="Arial"/>
        <w:b/>
        <w:szCs w:val="21"/>
        <w:u w:val="single"/>
      </w:rPr>
      <w:t>个月</w:t>
    </w:r>
    <w:proofErr w:type="gramStart"/>
    <w:r>
      <w:rPr>
        <w:rFonts w:ascii="Arial" w:eastAsia="黑体" w:hAnsi="Arial" w:cs="Arial"/>
        <w:b/>
        <w:szCs w:val="21"/>
        <w:u w:val="single"/>
      </w:rPr>
      <w:t>期间</w:t>
    </w:r>
    <w:r>
      <w:rPr>
        <w:rFonts w:ascii="Arial" w:eastAsia="黑体" w:hAnsi="Arial" w:cs="Arial"/>
        <w:b/>
        <w:szCs w:val="21"/>
        <w:u w:val="single"/>
      </w:rPr>
      <w:tab/>
    </w:r>
    <w:proofErr w:type="gramEnd"/>
    <w:r>
      <w:rPr>
        <w:rFonts w:ascii="Arial" w:eastAsia="黑体" w:hAnsi="Arial" w:cs="Arial"/>
        <w:b/>
        <w:szCs w:val="21"/>
        <w:u w:val="single"/>
      </w:rPr>
      <w:t>人民币元</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1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e"/>
      <w:overflowPunct w:val="0"/>
      <w:autoSpaceDE w:val="0"/>
      <w:autoSpaceDN w:val="0"/>
      <w:adjustRightInd w:val="0"/>
      <w:jc w:val="left"/>
      <w:rPr>
        <w:rFonts w:ascii="Arial" w:eastAsia="黑体" w:hAnsi="Arial" w:cs="Arial"/>
        <w:b/>
        <w:sz w:val="21"/>
        <w:szCs w:val="21"/>
      </w:rPr>
    </w:pPr>
  </w:p>
  <w:p w:rsidR="00F22BE0" w:rsidRDefault="00F22BE0">
    <w:pPr>
      <w:pStyle w:val="ae"/>
      <w:overflowPunct w:val="0"/>
      <w:autoSpaceDE w:val="0"/>
      <w:autoSpaceDN w:val="0"/>
      <w:adjustRightInd w:val="0"/>
      <w:jc w:val="left"/>
      <w:rPr>
        <w:rFonts w:ascii="Arial" w:eastAsia="黑体" w:hAnsi="Arial" w:cs="Arial"/>
        <w:b/>
        <w:sz w:val="21"/>
        <w:szCs w:val="21"/>
      </w:rPr>
    </w:pPr>
  </w:p>
  <w:p w:rsidR="00F22BE0" w:rsidRDefault="00F22BE0">
    <w:pPr>
      <w:pStyle w:val="ae"/>
      <w:tabs>
        <w:tab w:val="left" w:pos="4379"/>
      </w:tabs>
      <w:overflowPunct w:val="0"/>
      <w:autoSpaceDE w:val="0"/>
      <w:autoSpaceDN w:val="0"/>
      <w:adjustRightInd w:val="0"/>
      <w:jc w:val="left"/>
      <w:rPr>
        <w:rFonts w:ascii="Arial" w:eastAsia="黑体" w:hAnsi="Arial" w:cs="Arial"/>
        <w:b/>
        <w:sz w:val="21"/>
        <w:szCs w:val="21"/>
      </w:rPr>
    </w:pPr>
    <w:r>
      <w:rPr>
        <w:rFonts w:ascii="Arial" w:eastAsia="黑体" w:hAnsi="Arial" w:cs="Arial"/>
        <w:b/>
        <w:sz w:val="21"/>
        <w:szCs w:val="21"/>
      </w:rPr>
      <w:fldChar w:fldCharType="begin"/>
    </w:r>
    <w:r>
      <w:rPr>
        <w:rFonts w:ascii="Arial" w:eastAsia="黑体" w:hAnsi="Arial" w:cs="Arial"/>
        <w:b/>
        <w:sz w:val="21"/>
        <w:szCs w:val="21"/>
      </w:rPr>
      <w:instrText xml:space="preserve"> DOCPROPERTY </w:instrText>
    </w:r>
    <w:r>
      <w:rPr>
        <w:rFonts w:ascii="Arial" w:eastAsia="黑体" w:hAnsi="Arial" w:cs="Arial" w:hint="eastAsia"/>
        <w:b/>
        <w:sz w:val="21"/>
        <w:szCs w:val="21"/>
      </w:rPr>
      <w:instrText>公司名称</w:instrText>
    </w:r>
    <w:r>
      <w:rPr>
        <w:rFonts w:ascii="Arial" w:eastAsia="黑体" w:hAnsi="Arial" w:cs="Arial"/>
        <w:b/>
        <w:sz w:val="21"/>
        <w:szCs w:val="21"/>
      </w:rPr>
      <w:instrText xml:space="preserve"> </w:instrText>
    </w:r>
    <w:r>
      <w:rPr>
        <w:rFonts w:ascii="Arial" w:eastAsia="黑体" w:hAnsi="Arial" w:cs="Arial"/>
        <w:b/>
        <w:sz w:val="21"/>
        <w:szCs w:val="21"/>
      </w:rPr>
      <w:fldChar w:fldCharType="separate"/>
    </w:r>
    <w:r>
      <w:rPr>
        <w:rFonts w:ascii="Arial" w:eastAsia="黑体" w:hAnsi="Arial" w:cs="Arial" w:hint="eastAsia"/>
        <w:b/>
        <w:sz w:val="21"/>
        <w:szCs w:val="21"/>
      </w:rPr>
      <w:t>厦门银行股份有限公司</w:t>
    </w:r>
    <w:r>
      <w:rPr>
        <w:rFonts w:ascii="Arial" w:eastAsia="黑体" w:hAnsi="Arial" w:cs="Arial"/>
        <w:b/>
        <w:sz w:val="21"/>
        <w:szCs w:val="21"/>
      </w:rPr>
      <w:fldChar w:fldCharType="end"/>
    </w:r>
  </w:p>
  <w:p w:rsidR="00F22BE0" w:rsidRDefault="00F22BE0">
    <w:pPr>
      <w:overflowPunct w:val="0"/>
      <w:autoSpaceDE w:val="0"/>
      <w:autoSpaceDN w:val="0"/>
      <w:adjustRightInd w:val="0"/>
      <w:outlineLvl w:val="0"/>
      <w:rPr>
        <w:rFonts w:ascii="Arial" w:eastAsia="黑体" w:hAnsi="Arial" w:cs="Arial"/>
        <w:b/>
        <w:szCs w:val="21"/>
      </w:rPr>
    </w:pPr>
    <w:r>
      <w:rPr>
        <w:rFonts w:ascii="Arial" w:eastAsia="黑体" w:hAnsi="Arial" w:cs="Arial" w:hint="eastAsia"/>
        <w:b/>
        <w:bCs/>
        <w:snapToGrid w:val="0"/>
        <w:szCs w:val="21"/>
      </w:rPr>
      <w:t>财务报表附注</w:t>
    </w:r>
    <w:r>
      <w:rPr>
        <w:rFonts w:ascii="Arial" w:eastAsia="黑体" w:hAnsi="Arial" w:cs="Arial" w:hint="eastAsia"/>
        <w:b/>
        <w:szCs w:val="21"/>
      </w:rPr>
      <w:t>（续）</w:t>
    </w:r>
  </w:p>
  <w:p w:rsidR="00F22BE0" w:rsidRDefault="00F22BE0">
    <w:pPr>
      <w:tabs>
        <w:tab w:val="right" w:pos="8313"/>
      </w:tabs>
      <w:rPr>
        <w:rFonts w:ascii="Arial" w:hAnsi="Arial" w:cs="Arial"/>
        <w:szCs w:val="21"/>
      </w:rPr>
    </w:pPr>
    <w:r>
      <w:rPr>
        <w:rFonts w:ascii="Arial" w:eastAsia="黑体" w:hAnsi="Arial" w:cs="Arial"/>
        <w:b/>
        <w:szCs w:val="21"/>
        <w:u w:val="single"/>
      </w:rPr>
      <w:t>截至</w:t>
    </w:r>
    <w:r>
      <w:rPr>
        <w:rFonts w:ascii="Arial" w:eastAsia="黑体" w:hAnsi="Arial" w:cs="Arial"/>
        <w:b/>
        <w:szCs w:val="21"/>
        <w:u w:val="single"/>
      </w:rPr>
      <w:t>2023</w:t>
    </w:r>
    <w:r>
      <w:rPr>
        <w:rFonts w:ascii="Arial" w:eastAsia="黑体" w:hAnsi="Arial" w:cs="Arial"/>
        <w:b/>
        <w:szCs w:val="21"/>
        <w:u w:val="single"/>
      </w:rPr>
      <w:t>年</w:t>
    </w:r>
    <w:r>
      <w:rPr>
        <w:rFonts w:ascii="Arial" w:eastAsia="黑体" w:hAnsi="Arial" w:cs="Arial"/>
        <w:b/>
        <w:szCs w:val="21"/>
        <w:u w:val="single"/>
      </w:rPr>
      <w:t>6</w:t>
    </w:r>
    <w:r>
      <w:rPr>
        <w:rFonts w:ascii="Arial" w:eastAsia="黑体" w:hAnsi="Arial" w:cs="Arial"/>
        <w:b/>
        <w:szCs w:val="21"/>
        <w:u w:val="single"/>
      </w:rPr>
      <w:t>月</w:t>
    </w:r>
    <w:r>
      <w:rPr>
        <w:rFonts w:ascii="Arial" w:eastAsia="黑体" w:hAnsi="Arial" w:cs="Arial"/>
        <w:b/>
        <w:szCs w:val="21"/>
        <w:u w:val="single"/>
      </w:rPr>
      <w:t>30</w:t>
    </w:r>
    <w:r>
      <w:rPr>
        <w:rFonts w:ascii="Arial" w:eastAsia="黑体" w:hAnsi="Arial" w:cs="Arial"/>
        <w:b/>
        <w:szCs w:val="21"/>
        <w:u w:val="single"/>
      </w:rPr>
      <w:t>日</w:t>
    </w:r>
    <w:proofErr w:type="gramStart"/>
    <w:r>
      <w:rPr>
        <w:rFonts w:ascii="Arial" w:eastAsia="黑体" w:hAnsi="Arial" w:cs="Arial"/>
        <w:b/>
        <w:szCs w:val="21"/>
        <w:u w:val="single"/>
      </w:rPr>
      <w:t>止</w:t>
    </w:r>
    <w:proofErr w:type="gramEnd"/>
    <w:r>
      <w:rPr>
        <w:rFonts w:ascii="Arial" w:eastAsia="黑体" w:hAnsi="Arial" w:cs="Arial"/>
        <w:b/>
        <w:szCs w:val="21"/>
        <w:u w:val="single"/>
      </w:rPr>
      <w:t>6</w:t>
    </w:r>
    <w:r>
      <w:rPr>
        <w:rFonts w:ascii="Arial" w:eastAsia="黑体" w:hAnsi="Arial" w:cs="Arial"/>
        <w:b/>
        <w:szCs w:val="21"/>
        <w:u w:val="single"/>
      </w:rPr>
      <w:t>个月</w:t>
    </w:r>
    <w:proofErr w:type="gramStart"/>
    <w:r>
      <w:rPr>
        <w:rFonts w:ascii="Arial" w:eastAsia="黑体" w:hAnsi="Arial" w:cs="Arial"/>
        <w:b/>
        <w:szCs w:val="21"/>
        <w:u w:val="single"/>
      </w:rPr>
      <w:t>期间</w:t>
    </w:r>
    <w:r>
      <w:rPr>
        <w:rFonts w:ascii="Arial" w:eastAsia="黑体" w:hAnsi="Arial" w:cs="Arial"/>
        <w:b/>
        <w:szCs w:val="21"/>
        <w:u w:val="single"/>
      </w:rPr>
      <w:tab/>
    </w:r>
    <w:proofErr w:type="gramEnd"/>
    <w:r>
      <w:rPr>
        <w:rFonts w:ascii="Arial" w:eastAsia="黑体" w:hAnsi="Arial" w:cs="Arial"/>
        <w:b/>
        <w:szCs w:val="21"/>
        <w:u w:val="single"/>
      </w:rPr>
      <w:t>人民币元</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e"/>
      <w:overflowPunct w:val="0"/>
      <w:autoSpaceDE w:val="0"/>
      <w:autoSpaceDN w:val="0"/>
      <w:adjustRightInd w:val="0"/>
      <w:jc w:val="left"/>
      <w:rPr>
        <w:rFonts w:ascii="Arial" w:eastAsia="黑体" w:hAnsi="Arial" w:cs="Arial"/>
        <w:b/>
        <w:sz w:val="21"/>
        <w:szCs w:val="21"/>
      </w:rPr>
    </w:pPr>
  </w:p>
  <w:p w:rsidR="00F22BE0" w:rsidRDefault="00F22BE0">
    <w:pPr>
      <w:pStyle w:val="ae"/>
      <w:overflowPunct w:val="0"/>
      <w:autoSpaceDE w:val="0"/>
      <w:autoSpaceDN w:val="0"/>
      <w:adjustRightInd w:val="0"/>
      <w:jc w:val="left"/>
      <w:rPr>
        <w:rFonts w:ascii="Arial" w:eastAsia="黑体" w:hAnsi="Arial" w:cs="Arial"/>
        <w:b/>
        <w:sz w:val="21"/>
        <w:szCs w:val="21"/>
      </w:rPr>
    </w:pPr>
  </w:p>
  <w:p w:rsidR="00F22BE0" w:rsidRDefault="00F22BE0">
    <w:pPr>
      <w:pStyle w:val="ae"/>
      <w:tabs>
        <w:tab w:val="left" w:pos="4379"/>
      </w:tabs>
      <w:overflowPunct w:val="0"/>
      <w:autoSpaceDE w:val="0"/>
      <w:autoSpaceDN w:val="0"/>
      <w:adjustRightInd w:val="0"/>
      <w:jc w:val="left"/>
      <w:rPr>
        <w:rFonts w:ascii="Arial" w:eastAsia="黑体" w:hAnsi="Arial" w:cs="Arial"/>
        <w:b/>
        <w:sz w:val="21"/>
        <w:szCs w:val="21"/>
      </w:rPr>
    </w:pPr>
    <w:r>
      <w:rPr>
        <w:rFonts w:ascii="Arial" w:eastAsia="黑体" w:hAnsi="Arial" w:cs="Arial"/>
        <w:b/>
        <w:sz w:val="21"/>
        <w:szCs w:val="21"/>
      </w:rPr>
      <w:fldChar w:fldCharType="begin"/>
    </w:r>
    <w:r>
      <w:rPr>
        <w:rFonts w:ascii="Arial" w:eastAsia="黑体" w:hAnsi="Arial" w:cs="Arial"/>
        <w:b/>
        <w:sz w:val="21"/>
        <w:szCs w:val="21"/>
      </w:rPr>
      <w:instrText xml:space="preserve"> DOCPROPERTY </w:instrText>
    </w:r>
    <w:r>
      <w:rPr>
        <w:rFonts w:ascii="Arial" w:eastAsia="黑体" w:hAnsi="Arial" w:cs="Arial" w:hint="eastAsia"/>
        <w:b/>
        <w:sz w:val="21"/>
        <w:szCs w:val="21"/>
      </w:rPr>
      <w:instrText>公司名称</w:instrText>
    </w:r>
    <w:r>
      <w:rPr>
        <w:rFonts w:ascii="Arial" w:eastAsia="黑体" w:hAnsi="Arial" w:cs="Arial"/>
        <w:b/>
        <w:sz w:val="21"/>
        <w:szCs w:val="21"/>
      </w:rPr>
      <w:instrText xml:space="preserve"> </w:instrText>
    </w:r>
    <w:r>
      <w:rPr>
        <w:rFonts w:ascii="Arial" w:eastAsia="黑体" w:hAnsi="Arial" w:cs="Arial"/>
        <w:b/>
        <w:sz w:val="21"/>
        <w:szCs w:val="21"/>
      </w:rPr>
      <w:fldChar w:fldCharType="separate"/>
    </w:r>
    <w:r>
      <w:rPr>
        <w:rFonts w:ascii="Arial" w:eastAsia="黑体" w:hAnsi="Arial" w:cs="Arial" w:hint="eastAsia"/>
        <w:b/>
        <w:sz w:val="21"/>
        <w:szCs w:val="21"/>
      </w:rPr>
      <w:t>厦门银行股份有限公司</w:t>
    </w:r>
    <w:r>
      <w:rPr>
        <w:rFonts w:ascii="Arial" w:eastAsia="黑体" w:hAnsi="Arial" w:cs="Arial"/>
        <w:b/>
        <w:sz w:val="21"/>
        <w:szCs w:val="21"/>
      </w:rPr>
      <w:fldChar w:fldCharType="end"/>
    </w:r>
  </w:p>
  <w:p w:rsidR="00F22BE0" w:rsidRDefault="00F22BE0">
    <w:pPr>
      <w:overflowPunct w:val="0"/>
      <w:autoSpaceDE w:val="0"/>
      <w:autoSpaceDN w:val="0"/>
      <w:adjustRightInd w:val="0"/>
      <w:outlineLvl w:val="0"/>
      <w:rPr>
        <w:rFonts w:ascii="Arial" w:eastAsia="黑体" w:hAnsi="Arial" w:cs="Arial"/>
        <w:b/>
        <w:szCs w:val="21"/>
      </w:rPr>
    </w:pPr>
    <w:r>
      <w:rPr>
        <w:rFonts w:ascii="Arial" w:eastAsia="黑体" w:hAnsi="Arial" w:cs="Arial" w:hint="eastAsia"/>
        <w:b/>
        <w:bCs/>
        <w:snapToGrid w:val="0"/>
        <w:szCs w:val="21"/>
      </w:rPr>
      <w:t>财务报表附注</w:t>
    </w:r>
    <w:r>
      <w:rPr>
        <w:rFonts w:ascii="Arial" w:eastAsia="黑体" w:hAnsi="Arial" w:cs="Arial" w:hint="eastAsia"/>
        <w:b/>
        <w:bCs/>
        <w:snapToGrid w:val="0"/>
        <w:szCs w:val="21"/>
      </w:rPr>
      <w:t>(</w:t>
    </w:r>
    <w:r>
      <w:rPr>
        <w:rFonts w:ascii="Arial" w:eastAsia="黑体" w:hAnsi="Arial" w:cs="Arial" w:hint="eastAsia"/>
        <w:b/>
        <w:bCs/>
        <w:snapToGrid w:val="0"/>
        <w:szCs w:val="21"/>
      </w:rPr>
      <w:t>续）</w:t>
    </w:r>
  </w:p>
  <w:p w:rsidR="00F22BE0" w:rsidRDefault="00F22BE0">
    <w:pPr>
      <w:tabs>
        <w:tab w:val="right" w:pos="8313"/>
      </w:tabs>
      <w:rPr>
        <w:rFonts w:ascii="Arial" w:hAnsi="Arial" w:cs="Arial"/>
        <w:szCs w:val="21"/>
      </w:rPr>
    </w:pPr>
    <w:r>
      <w:rPr>
        <w:rFonts w:ascii="Arial" w:eastAsia="黑体" w:hAnsi="Arial" w:cs="Arial" w:hint="eastAsia"/>
        <w:b/>
        <w:szCs w:val="21"/>
        <w:u w:val="single"/>
      </w:rPr>
      <w:t>2021</w:t>
    </w:r>
    <w:r>
      <w:rPr>
        <w:rFonts w:ascii="Arial" w:eastAsia="黑体" w:hAnsi="Arial" w:cs="Arial" w:hint="eastAsia"/>
        <w:b/>
        <w:szCs w:val="21"/>
        <w:u w:val="single"/>
      </w:rPr>
      <w:t>年度</w:t>
    </w:r>
    <w:r>
      <w:rPr>
        <w:rFonts w:ascii="Arial" w:eastAsia="黑体" w:hAnsi="Arial" w:cs="Arial"/>
        <w:b/>
        <w:szCs w:val="21"/>
        <w:u w:val="single"/>
      </w:rPr>
      <w:tab/>
    </w:r>
    <w:r>
      <w:rPr>
        <w:rFonts w:ascii="Arial" w:eastAsia="黑体" w:hAnsi="Arial" w:cs="Arial"/>
        <w:b/>
        <w:szCs w:val="21"/>
        <w:u w:val="single"/>
      </w:rPr>
      <w:fldChar w:fldCharType="begin"/>
    </w:r>
    <w:r>
      <w:rPr>
        <w:rFonts w:ascii="Arial" w:eastAsia="黑体" w:hAnsi="Arial" w:cs="Arial"/>
        <w:b/>
        <w:szCs w:val="21"/>
        <w:u w:val="single"/>
      </w:rPr>
      <w:instrText xml:space="preserve"> DOCPROPERTY </w:instrText>
    </w:r>
    <w:r>
      <w:rPr>
        <w:rFonts w:ascii="Arial" w:eastAsia="黑体" w:hAnsi="Arial" w:cs="Arial" w:hint="eastAsia"/>
        <w:b/>
        <w:szCs w:val="21"/>
        <w:u w:val="single"/>
      </w:rPr>
      <w:instrText>币种</w:instrText>
    </w:r>
    <w:r>
      <w:rPr>
        <w:rFonts w:ascii="Arial" w:eastAsia="黑体" w:hAnsi="Arial" w:cs="Arial"/>
        <w:b/>
        <w:szCs w:val="21"/>
        <w:u w:val="single"/>
      </w:rPr>
      <w:instrText xml:space="preserve"> </w:instrText>
    </w:r>
    <w:r>
      <w:rPr>
        <w:rFonts w:ascii="Arial" w:eastAsia="黑体" w:hAnsi="Arial" w:cs="Arial"/>
        <w:b/>
        <w:szCs w:val="21"/>
        <w:u w:val="single"/>
      </w:rPr>
      <w:fldChar w:fldCharType="separate"/>
    </w:r>
    <w:r>
      <w:rPr>
        <w:rFonts w:ascii="Arial" w:eastAsia="黑体" w:hAnsi="Arial" w:cs="Arial" w:hint="eastAsia"/>
        <w:b/>
        <w:szCs w:val="21"/>
        <w:u w:val="single"/>
      </w:rPr>
      <w:t>人民币</w:t>
    </w:r>
    <w:r>
      <w:rPr>
        <w:rFonts w:ascii="Arial" w:eastAsia="黑体" w:hAnsi="Arial" w:cs="Arial"/>
        <w:b/>
        <w:szCs w:val="21"/>
        <w:u w:val="single"/>
      </w:rPr>
      <w:fldChar w:fldCharType="end"/>
    </w:r>
    <w:r>
      <w:rPr>
        <w:rFonts w:ascii="Arial" w:eastAsia="黑体" w:hAnsi="Arial" w:cs="Arial"/>
        <w:b/>
        <w:szCs w:val="21"/>
        <w:u w:val="single"/>
      </w:rPr>
      <w:fldChar w:fldCharType="begin"/>
    </w:r>
    <w:r>
      <w:rPr>
        <w:rFonts w:ascii="Arial" w:eastAsia="黑体" w:hAnsi="Arial" w:cs="Arial"/>
        <w:b/>
        <w:szCs w:val="21"/>
        <w:u w:val="single"/>
      </w:rPr>
      <w:instrText xml:space="preserve"> DOCPROPERTY </w:instrText>
    </w:r>
    <w:r>
      <w:rPr>
        <w:rFonts w:ascii="Arial" w:eastAsia="黑体" w:hAnsi="Arial" w:cs="Arial" w:hint="eastAsia"/>
        <w:b/>
        <w:szCs w:val="21"/>
        <w:u w:val="single"/>
      </w:rPr>
      <w:instrText>单位</w:instrText>
    </w:r>
    <w:r>
      <w:rPr>
        <w:rFonts w:ascii="Arial" w:eastAsia="黑体" w:hAnsi="Arial" w:cs="Arial"/>
        <w:b/>
        <w:szCs w:val="21"/>
        <w:u w:val="single"/>
      </w:rPr>
      <w:instrText xml:space="preserve"> </w:instrText>
    </w:r>
    <w:r>
      <w:rPr>
        <w:rFonts w:ascii="Arial" w:eastAsia="黑体" w:hAnsi="Arial" w:cs="Arial"/>
        <w:b/>
        <w:szCs w:val="21"/>
        <w:u w:val="single"/>
      </w:rPr>
      <w:fldChar w:fldCharType="separate"/>
    </w:r>
    <w:r>
      <w:rPr>
        <w:rFonts w:ascii="Arial" w:eastAsia="黑体" w:hAnsi="Arial" w:cs="Arial" w:hint="eastAsia"/>
        <w:b/>
        <w:szCs w:val="21"/>
        <w:u w:val="single"/>
      </w:rPr>
      <w:t>元</w:t>
    </w:r>
    <w:r>
      <w:rPr>
        <w:rFonts w:ascii="Arial" w:eastAsia="黑体" w:hAnsi="Arial" w:cs="Arial"/>
        <w:b/>
        <w:szCs w:val="21"/>
        <w:u w:val="single"/>
      </w:rPr>
      <w:fldChar w:fldCharType="end"/>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e"/>
      <w:overflowPunct w:val="0"/>
      <w:autoSpaceDE w:val="0"/>
      <w:autoSpaceDN w:val="0"/>
      <w:adjustRightInd w:val="0"/>
      <w:jc w:val="left"/>
      <w:rPr>
        <w:rFonts w:ascii="Arial" w:eastAsia="黑体" w:hAnsi="Arial" w:cs="Arial"/>
        <w:b/>
        <w:sz w:val="21"/>
        <w:szCs w:val="21"/>
      </w:rPr>
    </w:pPr>
  </w:p>
  <w:p w:rsidR="00F22BE0" w:rsidRDefault="00F22BE0">
    <w:pPr>
      <w:pStyle w:val="ae"/>
      <w:overflowPunct w:val="0"/>
      <w:autoSpaceDE w:val="0"/>
      <w:autoSpaceDN w:val="0"/>
      <w:adjustRightInd w:val="0"/>
      <w:jc w:val="left"/>
      <w:rPr>
        <w:rFonts w:ascii="Arial" w:eastAsia="黑体" w:hAnsi="Arial" w:cs="Arial"/>
        <w:b/>
        <w:sz w:val="21"/>
        <w:szCs w:val="21"/>
      </w:rPr>
    </w:pPr>
  </w:p>
  <w:p w:rsidR="00F22BE0" w:rsidRDefault="00F22BE0">
    <w:pPr>
      <w:pStyle w:val="ae"/>
      <w:tabs>
        <w:tab w:val="left" w:pos="4379"/>
      </w:tabs>
      <w:overflowPunct w:val="0"/>
      <w:autoSpaceDE w:val="0"/>
      <w:autoSpaceDN w:val="0"/>
      <w:adjustRightInd w:val="0"/>
      <w:jc w:val="left"/>
      <w:rPr>
        <w:rFonts w:ascii="Arial" w:eastAsia="黑体" w:hAnsi="Arial" w:cs="Arial"/>
        <w:b/>
        <w:sz w:val="21"/>
        <w:szCs w:val="21"/>
      </w:rPr>
    </w:pPr>
    <w:r>
      <w:rPr>
        <w:rFonts w:ascii="Arial" w:eastAsia="黑体" w:hAnsi="Arial" w:cs="Arial"/>
        <w:b/>
        <w:sz w:val="21"/>
        <w:szCs w:val="21"/>
      </w:rPr>
      <w:fldChar w:fldCharType="begin"/>
    </w:r>
    <w:r>
      <w:rPr>
        <w:rFonts w:ascii="Arial" w:eastAsia="黑体" w:hAnsi="Arial" w:cs="Arial"/>
        <w:b/>
        <w:sz w:val="21"/>
        <w:szCs w:val="21"/>
      </w:rPr>
      <w:instrText xml:space="preserve"> DOCPROPERTY </w:instrText>
    </w:r>
    <w:r>
      <w:rPr>
        <w:rFonts w:ascii="Arial" w:eastAsia="黑体" w:hAnsi="Arial" w:cs="Arial" w:hint="eastAsia"/>
        <w:b/>
        <w:sz w:val="21"/>
        <w:szCs w:val="21"/>
      </w:rPr>
      <w:instrText>公司名称</w:instrText>
    </w:r>
    <w:r>
      <w:rPr>
        <w:rFonts w:ascii="Arial" w:eastAsia="黑体" w:hAnsi="Arial" w:cs="Arial"/>
        <w:b/>
        <w:sz w:val="21"/>
        <w:szCs w:val="21"/>
      </w:rPr>
      <w:instrText xml:space="preserve"> </w:instrText>
    </w:r>
    <w:r>
      <w:rPr>
        <w:rFonts w:ascii="Arial" w:eastAsia="黑体" w:hAnsi="Arial" w:cs="Arial"/>
        <w:b/>
        <w:sz w:val="21"/>
        <w:szCs w:val="21"/>
      </w:rPr>
      <w:fldChar w:fldCharType="separate"/>
    </w:r>
    <w:r>
      <w:rPr>
        <w:rFonts w:ascii="Arial" w:eastAsia="黑体" w:hAnsi="Arial" w:cs="Arial" w:hint="eastAsia"/>
        <w:b/>
        <w:sz w:val="21"/>
        <w:szCs w:val="21"/>
      </w:rPr>
      <w:t>厦门银行股份有限公司</w:t>
    </w:r>
    <w:r>
      <w:rPr>
        <w:rFonts w:ascii="Arial" w:eastAsia="黑体" w:hAnsi="Arial" w:cs="Arial"/>
        <w:b/>
        <w:sz w:val="21"/>
        <w:szCs w:val="21"/>
      </w:rPr>
      <w:fldChar w:fldCharType="end"/>
    </w:r>
  </w:p>
  <w:p w:rsidR="00F22BE0" w:rsidRDefault="00F22BE0">
    <w:pPr>
      <w:overflowPunct w:val="0"/>
      <w:autoSpaceDE w:val="0"/>
      <w:autoSpaceDN w:val="0"/>
      <w:adjustRightInd w:val="0"/>
      <w:outlineLvl w:val="0"/>
      <w:rPr>
        <w:rFonts w:ascii="Arial" w:eastAsia="黑体" w:hAnsi="Arial" w:cs="Arial"/>
        <w:b/>
        <w:szCs w:val="21"/>
      </w:rPr>
    </w:pPr>
    <w:r>
      <w:rPr>
        <w:rFonts w:ascii="Arial" w:eastAsia="黑体" w:hAnsi="Arial" w:cs="Arial" w:hint="eastAsia"/>
        <w:b/>
        <w:bCs/>
        <w:snapToGrid w:val="0"/>
        <w:szCs w:val="21"/>
      </w:rPr>
      <w:t>财务报表附注</w:t>
    </w:r>
    <w:r>
      <w:rPr>
        <w:rFonts w:ascii="Arial" w:eastAsia="黑体" w:hAnsi="Arial" w:cs="Arial" w:hint="eastAsia"/>
        <w:b/>
        <w:szCs w:val="21"/>
      </w:rPr>
      <w:t>（续）</w:t>
    </w:r>
  </w:p>
  <w:p w:rsidR="00F22BE0" w:rsidRDefault="00F22BE0">
    <w:pPr>
      <w:tabs>
        <w:tab w:val="right" w:pos="8313"/>
      </w:tabs>
      <w:rPr>
        <w:rFonts w:ascii="Arial" w:hAnsi="Arial" w:cs="Arial"/>
        <w:szCs w:val="21"/>
      </w:rPr>
    </w:pPr>
    <w:r>
      <w:rPr>
        <w:rFonts w:ascii="Arial" w:eastAsia="黑体" w:hAnsi="Arial" w:cs="Arial"/>
        <w:b/>
        <w:szCs w:val="21"/>
        <w:u w:val="single"/>
      </w:rPr>
      <w:t>截至</w:t>
    </w:r>
    <w:r>
      <w:rPr>
        <w:rFonts w:ascii="Arial" w:eastAsia="黑体" w:hAnsi="Arial" w:cs="Arial"/>
        <w:b/>
        <w:szCs w:val="21"/>
        <w:u w:val="single"/>
      </w:rPr>
      <w:t>2023</w:t>
    </w:r>
    <w:r>
      <w:rPr>
        <w:rFonts w:ascii="Arial" w:eastAsia="黑体" w:hAnsi="Arial" w:cs="Arial"/>
        <w:b/>
        <w:szCs w:val="21"/>
        <w:u w:val="single"/>
      </w:rPr>
      <w:t>年</w:t>
    </w:r>
    <w:r>
      <w:rPr>
        <w:rFonts w:ascii="Arial" w:eastAsia="黑体" w:hAnsi="Arial" w:cs="Arial"/>
        <w:b/>
        <w:szCs w:val="21"/>
        <w:u w:val="single"/>
      </w:rPr>
      <w:t>6</w:t>
    </w:r>
    <w:r>
      <w:rPr>
        <w:rFonts w:ascii="Arial" w:eastAsia="黑体" w:hAnsi="Arial" w:cs="Arial"/>
        <w:b/>
        <w:szCs w:val="21"/>
        <w:u w:val="single"/>
      </w:rPr>
      <w:t>月</w:t>
    </w:r>
    <w:r>
      <w:rPr>
        <w:rFonts w:ascii="Arial" w:eastAsia="黑体" w:hAnsi="Arial" w:cs="Arial"/>
        <w:b/>
        <w:szCs w:val="21"/>
        <w:u w:val="single"/>
      </w:rPr>
      <w:t>30</w:t>
    </w:r>
    <w:r>
      <w:rPr>
        <w:rFonts w:ascii="Arial" w:eastAsia="黑体" w:hAnsi="Arial" w:cs="Arial"/>
        <w:b/>
        <w:szCs w:val="21"/>
        <w:u w:val="single"/>
      </w:rPr>
      <w:t>日</w:t>
    </w:r>
    <w:proofErr w:type="gramStart"/>
    <w:r>
      <w:rPr>
        <w:rFonts w:ascii="Arial" w:eastAsia="黑体" w:hAnsi="Arial" w:cs="Arial"/>
        <w:b/>
        <w:szCs w:val="21"/>
        <w:u w:val="single"/>
      </w:rPr>
      <w:t>止</w:t>
    </w:r>
    <w:proofErr w:type="gramEnd"/>
    <w:r>
      <w:rPr>
        <w:rFonts w:ascii="Arial" w:eastAsia="黑体" w:hAnsi="Arial" w:cs="Arial"/>
        <w:b/>
        <w:szCs w:val="21"/>
        <w:u w:val="single"/>
      </w:rPr>
      <w:t>6</w:t>
    </w:r>
    <w:r>
      <w:rPr>
        <w:rFonts w:ascii="Arial" w:eastAsia="黑体" w:hAnsi="Arial" w:cs="Arial"/>
        <w:b/>
        <w:szCs w:val="21"/>
        <w:u w:val="single"/>
      </w:rPr>
      <w:t>个月</w:t>
    </w:r>
    <w:proofErr w:type="gramStart"/>
    <w:r>
      <w:rPr>
        <w:rFonts w:ascii="Arial" w:eastAsia="黑体" w:hAnsi="Arial" w:cs="Arial"/>
        <w:b/>
        <w:szCs w:val="21"/>
        <w:u w:val="single"/>
      </w:rPr>
      <w:t>期间</w:t>
    </w:r>
    <w:r>
      <w:rPr>
        <w:rFonts w:ascii="Arial" w:eastAsia="黑体" w:hAnsi="Arial" w:cs="Arial"/>
        <w:b/>
        <w:szCs w:val="21"/>
        <w:u w:val="single"/>
      </w:rPr>
      <w:tab/>
    </w:r>
    <w:proofErr w:type="gramEnd"/>
    <w:r>
      <w:rPr>
        <w:rFonts w:ascii="Arial" w:eastAsia="黑体" w:hAnsi="Arial" w:cs="Arial"/>
        <w:b/>
        <w:szCs w:val="21"/>
        <w:u w:val="single"/>
      </w:rPr>
      <w:t>人民币元</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e"/>
      <w:overflowPunct w:val="0"/>
      <w:autoSpaceDE w:val="0"/>
      <w:autoSpaceDN w:val="0"/>
      <w:adjustRightInd w:val="0"/>
      <w:jc w:val="left"/>
      <w:rPr>
        <w:rFonts w:ascii="Arial" w:eastAsia="黑体" w:hAnsi="Arial" w:cs="Arial"/>
        <w:b/>
        <w:sz w:val="21"/>
        <w:szCs w:val="21"/>
      </w:rPr>
    </w:pPr>
  </w:p>
  <w:p w:rsidR="00F22BE0" w:rsidRDefault="00F22BE0">
    <w:pPr>
      <w:pStyle w:val="ae"/>
      <w:overflowPunct w:val="0"/>
      <w:autoSpaceDE w:val="0"/>
      <w:autoSpaceDN w:val="0"/>
      <w:adjustRightInd w:val="0"/>
      <w:jc w:val="left"/>
      <w:rPr>
        <w:rFonts w:ascii="Arial" w:eastAsia="黑体" w:hAnsi="Arial" w:cs="Arial"/>
        <w:b/>
        <w:sz w:val="21"/>
        <w:szCs w:val="21"/>
      </w:rPr>
    </w:pPr>
  </w:p>
  <w:p w:rsidR="00F22BE0" w:rsidRDefault="00F22BE0">
    <w:pPr>
      <w:pStyle w:val="ae"/>
      <w:tabs>
        <w:tab w:val="left" w:pos="4379"/>
      </w:tabs>
      <w:overflowPunct w:val="0"/>
      <w:autoSpaceDE w:val="0"/>
      <w:autoSpaceDN w:val="0"/>
      <w:adjustRightInd w:val="0"/>
      <w:jc w:val="left"/>
      <w:rPr>
        <w:rFonts w:ascii="Arial" w:eastAsia="黑体" w:hAnsi="Arial" w:cs="Arial"/>
        <w:b/>
        <w:sz w:val="21"/>
        <w:szCs w:val="21"/>
      </w:rPr>
    </w:pPr>
    <w:r>
      <w:rPr>
        <w:rFonts w:ascii="Arial" w:eastAsia="黑体" w:hAnsi="Arial" w:cs="Arial"/>
        <w:b/>
        <w:sz w:val="21"/>
        <w:szCs w:val="21"/>
      </w:rPr>
      <w:fldChar w:fldCharType="begin"/>
    </w:r>
    <w:r>
      <w:rPr>
        <w:rFonts w:ascii="Arial" w:eastAsia="黑体" w:hAnsi="Arial" w:cs="Arial"/>
        <w:b/>
        <w:sz w:val="21"/>
        <w:szCs w:val="21"/>
      </w:rPr>
      <w:instrText xml:space="preserve"> DOCPROPERTY </w:instrText>
    </w:r>
    <w:r>
      <w:rPr>
        <w:rFonts w:ascii="Arial" w:eastAsia="黑体" w:hAnsi="Arial" w:cs="Arial" w:hint="eastAsia"/>
        <w:b/>
        <w:sz w:val="21"/>
        <w:szCs w:val="21"/>
      </w:rPr>
      <w:instrText>公司名称</w:instrText>
    </w:r>
    <w:r>
      <w:rPr>
        <w:rFonts w:ascii="Arial" w:eastAsia="黑体" w:hAnsi="Arial" w:cs="Arial"/>
        <w:b/>
        <w:sz w:val="21"/>
        <w:szCs w:val="21"/>
      </w:rPr>
      <w:instrText xml:space="preserve"> </w:instrText>
    </w:r>
    <w:r>
      <w:rPr>
        <w:rFonts w:ascii="Arial" w:eastAsia="黑体" w:hAnsi="Arial" w:cs="Arial"/>
        <w:b/>
        <w:sz w:val="21"/>
        <w:szCs w:val="21"/>
      </w:rPr>
      <w:fldChar w:fldCharType="separate"/>
    </w:r>
    <w:r>
      <w:rPr>
        <w:rFonts w:ascii="Arial" w:eastAsia="黑体" w:hAnsi="Arial" w:cs="Arial" w:hint="eastAsia"/>
        <w:b/>
        <w:sz w:val="21"/>
        <w:szCs w:val="21"/>
      </w:rPr>
      <w:t>厦门银行股份有限公司</w:t>
    </w:r>
    <w:r>
      <w:rPr>
        <w:rFonts w:ascii="Arial" w:eastAsia="黑体" w:hAnsi="Arial" w:cs="Arial"/>
        <w:b/>
        <w:sz w:val="21"/>
        <w:szCs w:val="21"/>
      </w:rPr>
      <w:fldChar w:fldCharType="end"/>
    </w:r>
  </w:p>
  <w:p w:rsidR="00F22BE0" w:rsidRDefault="00F22BE0">
    <w:pPr>
      <w:overflowPunct w:val="0"/>
      <w:autoSpaceDE w:val="0"/>
      <w:autoSpaceDN w:val="0"/>
      <w:adjustRightInd w:val="0"/>
      <w:outlineLvl w:val="0"/>
      <w:rPr>
        <w:rFonts w:ascii="Arial" w:eastAsia="黑体" w:hAnsi="Arial" w:cs="Arial"/>
        <w:b/>
        <w:szCs w:val="21"/>
      </w:rPr>
    </w:pPr>
    <w:r>
      <w:rPr>
        <w:rFonts w:ascii="Arial" w:eastAsia="黑体" w:hAnsi="Arial" w:cs="Arial" w:hint="eastAsia"/>
        <w:b/>
        <w:bCs/>
        <w:snapToGrid w:val="0"/>
        <w:szCs w:val="21"/>
      </w:rPr>
      <w:t>补充资料</w:t>
    </w:r>
  </w:p>
  <w:p w:rsidR="00F22BE0" w:rsidRDefault="00F22BE0">
    <w:pPr>
      <w:tabs>
        <w:tab w:val="right" w:pos="8313"/>
      </w:tabs>
      <w:rPr>
        <w:rFonts w:ascii="Arial" w:hAnsi="Arial" w:cs="Arial"/>
        <w:szCs w:val="21"/>
      </w:rPr>
    </w:pPr>
    <w:r>
      <w:rPr>
        <w:rFonts w:ascii="Arial" w:eastAsia="黑体" w:hAnsi="Arial" w:cs="Arial"/>
        <w:b/>
        <w:szCs w:val="21"/>
        <w:u w:val="single"/>
      </w:rPr>
      <w:t>截至</w:t>
    </w:r>
    <w:r>
      <w:rPr>
        <w:rFonts w:ascii="Arial" w:eastAsia="黑体" w:hAnsi="Arial" w:cs="Arial"/>
        <w:b/>
        <w:szCs w:val="21"/>
        <w:u w:val="single"/>
      </w:rPr>
      <w:t>2023</w:t>
    </w:r>
    <w:r>
      <w:rPr>
        <w:rFonts w:ascii="Arial" w:eastAsia="黑体" w:hAnsi="Arial" w:cs="Arial"/>
        <w:b/>
        <w:szCs w:val="21"/>
        <w:u w:val="single"/>
      </w:rPr>
      <w:t>年</w:t>
    </w:r>
    <w:r>
      <w:rPr>
        <w:rFonts w:ascii="Arial" w:eastAsia="黑体" w:hAnsi="Arial" w:cs="Arial"/>
        <w:b/>
        <w:szCs w:val="21"/>
        <w:u w:val="single"/>
      </w:rPr>
      <w:t>6</w:t>
    </w:r>
    <w:r>
      <w:rPr>
        <w:rFonts w:ascii="Arial" w:eastAsia="黑体" w:hAnsi="Arial" w:cs="Arial"/>
        <w:b/>
        <w:szCs w:val="21"/>
        <w:u w:val="single"/>
      </w:rPr>
      <w:t>月</w:t>
    </w:r>
    <w:r>
      <w:rPr>
        <w:rFonts w:ascii="Arial" w:eastAsia="黑体" w:hAnsi="Arial" w:cs="Arial"/>
        <w:b/>
        <w:szCs w:val="21"/>
        <w:u w:val="single"/>
      </w:rPr>
      <w:t>30</w:t>
    </w:r>
    <w:r>
      <w:rPr>
        <w:rFonts w:ascii="Arial" w:eastAsia="黑体" w:hAnsi="Arial" w:cs="Arial"/>
        <w:b/>
        <w:szCs w:val="21"/>
        <w:u w:val="single"/>
      </w:rPr>
      <w:t>日</w:t>
    </w:r>
    <w:proofErr w:type="gramStart"/>
    <w:r>
      <w:rPr>
        <w:rFonts w:ascii="Arial" w:eastAsia="黑体" w:hAnsi="Arial" w:cs="Arial"/>
        <w:b/>
        <w:szCs w:val="21"/>
        <w:u w:val="single"/>
      </w:rPr>
      <w:t>止</w:t>
    </w:r>
    <w:proofErr w:type="gramEnd"/>
    <w:r>
      <w:rPr>
        <w:rFonts w:ascii="Arial" w:eastAsia="黑体" w:hAnsi="Arial" w:cs="Arial"/>
        <w:b/>
        <w:szCs w:val="21"/>
        <w:u w:val="single"/>
      </w:rPr>
      <w:t>6</w:t>
    </w:r>
    <w:r>
      <w:rPr>
        <w:rFonts w:ascii="Arial" w:eastAsia="黑体" w:hAnsi="Arial" w:cs="Arial"/>
        <w:b/>
        <w:szCs w:val="21"/>
        <w:u w:val="single"/>
      </w:rPr>
      <w:t>个月</w:t>
    </w:r>
    <w:proofErr w:type="gramStart"/>
    <w:r>
      <w:rPr>
        <w:rFonts w:ascii="Arial" w:eastAsia="黑体" w:hAnsi="Arial" w:cs="Arial"/>
        <w:b/>
        <w:szCs w:val="21"/>
        <w:u w:val="single"/>
      </w:rPr>
      <w:t>期间</w:t>
    </w:r>
    <w:r>
      <w:rPr>
        <w:rFonts w:ascii="Arial" w:eastAsia="黑体" w:hAnsi="Arial" w:cs="Arial"/>
        <w:b/>
        <w:szCs w:val="21"/>
        <w:u w:val="single"/>
      </w:rPr>
      <w:tab/>
    </w:r>
    <w:proofErr w:type="gramEnd"/>
    <w:r>
      <w:rPr>
        <w:rFonts w:ascii="Arial" w:eastAsia="黑体" w:hAnsi="Arial" w:cs="Arial"/>
        <w:b/>
        <w:szCs w:val="21"/>
        <w:u w:val="single"/>
      </w:rPr>
      <w:t>人民币元</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f2"/>
    </w:pPr>
    <w:r>
      <w:rPr>
        <w:rFonts w:hint="eastAsia"/>
      </w:rPr>
      <w:t>厦门银行股份有限公司</w:t>
    </w:r>
    <w:r>
      <w:rPr>
        <w:rFonts w:hint="eastAsia"/>
      </w:rPr>
      <w:t>202</w:t>
    </w:r>
    <w:r>
      <w:t>3</w:t>
    </w:r>
    <w:r>
      <w:rPr>
        <w:rFonts w:hint="eastAsia"/>
      </w:rPr>
      <w:t>年半年度报告</w:t>
    </w:r>
  </w:p>
  <w:p w:rsidR="00F22BE0" w:rsidRDefault="00F22BE0">
    <w:pPr>
      <w:pStyle w:val="af2"/>
      <w:jc w:val="both"/>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pStyle w:val="ae"/>
      <w:overflowPunct w:val="0"/>
      <w:autoSpaceDE w:val="0"/>
      <w:autoSpaceDN w:val="0"/>
      <w:adjustRightInd w:val="0"/>
      <w:jc w:val="left"/>
      <w:rPr>
        <w:rFonts w:ascii="Arial" w:eastAsia="黑体" w:hAnsi="Arial" w:cs="Arial"/>
        <w:b/>
        <w:sz w:val="24"/>
        <w:szCs w:val="24"/>
      </w:rPr>
    </w:pPr>
  </w:p>
  <w:p w:rsidR="00F22BE0" w:rsidRDefault="00F22BE0">
    <w:pPr>
      <w:pStyle w:val="ae"/>
      <w:overflowPunct w:val="0"/>
      <w:autoSpaceDE w:val="0"/>
      <w:autoSpaceDN w:val="0"/>
      <w:adjustRightInd w:val="0"/>
      <w:jc w:val="left"/>
      <w:rPr>
        <w:rFonts w:ascii="Arial" w:eastAsia="黑体" w:hAnsi="Arial" w:cs="Arial"/>
        <w:b/>
        <w:sz w:val="24"/>
        <w:szCs w:val="24"/>
      </w:rPr>
    </w:pPr>
  </w:p>
  <w:p w:rsidR="00F22BE0" w:rsidRDefault="00F22BE0">
    <w:pPr>
      <w:pStyle w:val="ae"/>
      <w:overflowPunct w:val="0"/>
      <w:autoSpaceDE w:val="0"/>
      <w:autoSpaceDN w:val="0"/>
      <w:adjustRightInd w:val="0"/>
      <w:jc w:val="left"/>
      <w:rPr>
        <w:rFonts w:ascii="Arial" w:eastAsia="黑体" w:hAnsi="Arial" w:cs="Arial"/>
        <w:b/>
        <w:sz w:val="24"/>
        <w:szCs w:val="24"/>
      </w:rPr>
    </w:pPr>
    <w:r>
      <w:rPr>
        <w:rFonts w:ascii="黑体" w:eastAsia="黑体" w:hAnsi="黑体" w:cs="Arial" w:hint="eastAsia"/>
        <w:b/>
        <w:sz w:val="24"/>
        <w:szCs w:val="24"/>
      </w:rPr>
      <w:t>厦门银行</w:t>
    </w:r>
    <w:r>
      <w:rPr>
        <w:rFonts w:ascii="Arial" w:eastAsia="黑体" w:hAnsi="Arial" w:cs="Arial" w:hint="eastAsia"/>
        <w:b/>
        <w:sz w:val="24"/>
        <w:szCs w:val="24"/>
      </w:rPr>
      <w:t>股份有限公司</w:t>
    </w:r>
  </w:p>
  <w:p w:rsidR="00F22BE0" w:rsidRDefault="00F22BE0">
    <w:pPr>
      <w:overflowPunct w:val="0"/>
      <w:autoSpaceDE w:val="0"/>
      <w:autoSpaceDN w:val="0"/>
      <w:adjustRightInd w:val="0"/>
      <w:outlineLvl w:val="0"/>
      <w:rPr>
        <w:rFonts w:ascii="Arial" w:eastAsia="黑体" w:hAnsi="Arial" w:cs="Arial"/>
        <w:b/>
      </w:rPr>
    </w:pPr>
    <w:r>
      <w:rPr>
        <w:rFonts w:ascii="Arial" w:eastAsia="黑体" w:hAnsi="Arial" w:hint="eastAsia"/>
        <w:b/>
        <w:bCs/>
        <w:snapToGrid w:val="0"/>
      </w:rPr>
      <w:t>财务报表附注（续）</w:t>
    </w:r>
  </w:p>
  <w:p w:rsidR="00F22BE0" w:rsidRDefault="00F22BE0">
    <w:pPr>
      <w:pStyle w:val="af2"/>
      <w:tabs>
        <w:tab w:val="clear" w:pos="8306"/>
        <w:tab w:val="right" w:pos="8313"/>
        <w:tab w:val="right" w:pos="13183"/>
      </w:tabs>
      <w:rPr>
        <w:rFonts w:ascii="黑体" w:eastAsia="黑体" w:hAnsi="黑体"/>
      </w:rPr>
    </w:pPr>
    <w:r>
      <w:rPr>
        <w:rFonts w:ascii="黑体" w:eastAsia="黑体" w:hAnsi="黑体" w:cs="Arial" w:hint="eastAsia"/>
        <w:b/>
        <w:u w:val="single"/>
      </w:rPr>
      <w:t>2020年度</w:t>
    </w:r>
    <w:r>
      <w:rPr>
        <w:rFonts w:ascii="黑体" w:eastAsia="黑体" w:hAnsi="黑体" w:cs="Arial"/>
        <w:b/>
        <w:u w:val="single"/>
      </w:rPr>
      <w:tab/>
    </w:r>
    <w:r>
      <w:rPr>
        <w:rFonts w:ascii="黑体" w:eastAsia="黑体" w:hAnsi="黑体" w:cs="Arial"/>
        <w:b/>
        <w:u w:val="single"/>
      </w:rPr>
      <w:tab/>
    </w:r>
    <w:r>
      <w:rPr>
        <w:rFonts w:ascii="黑体" w:eastAsia="黑体" w:hAnsi="黑体" w:cs="Arial" w:hint="eastAsia"/>
        <w:b/>
        <w:u w:val="single"/>
      </w:rPr>
      <w:t>人民币元</w:t>
    </w:r>
    <w:r>
      <w:rPr>
        <w:rFonts w:ascii="黑体" w:eastAsia="黑体" w:hAnsi="黑体" w:cs="Arial"/>
        <w:b/>
        <w:u w:val="single"/>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overflowPunct w:val="0"/>
      <w:autoSpaceDE w:val="0"/>
      <w:autoSpaceDN w:val="0"/>
      <w:adjustRightInd w:val="0"/>
      <w:jc w:val="center"/>
      <w:outlineLvl w:val="0"/>
      <w:rPr>
        <w:rFonts w:ascii="Arial" w:eastAsia="黑体" w:hAnsi="Arial"/>
        <w:b/>
        <w:szCs w:val="21"/>
      </w:rPr>
    </w:pPr>
  </w:p>
  <w:p w:rsidR="00F22BE0" w:rsidRDefault="00F22BE0">
    <w:pPr>
      <w:overflowPunct w:val="0"/>
      <w:autoSpaceDE w:val="0"/>
      <w:autoSpaceDN w:val="0"/>
      <w:adjustRightInd w:val="0"/>
      <w:jc w:val="center"/>
      <w:outlineLvl w:val="0"/>
      <w:rPr>
        <w:rFonts w:ascii="Arial" w:eastAsia="黑体" w:hAnsi="Arial"/>
        <w:b/>
        <w:szCs w:val="21"/>
      </w:rPr>
    </w:pPr>
  </w:p>
  <w:p w:rsidR="00F22BE0" w:rsidRDefault="00F22BE0">
    <w:pPr>
      <w:overflowPunct w:val="0"/>
      <w:autoSpaceDE w:val="0"/>
      <w:autoSpaceDN w:val="0"/>
      <w:adjustRightInd w:val="0"/>
      <w:outlineLvl w:val="0"/>
      <w:rPr>
        <w:rFonts w:ascii="黑体" w:eastAsia="黑体" w:hAnsi="黑体"/>
        <w:b/>
        <w:szCs w:val="21"/>
      </w:rPr>
    </w:pPr>
    <w:r>
      <w:rPr>
        <w:rFonts w:ascii="黑体" w:eastAsia="黑体" w:hAnsi="黑体"/>
        <w:b/>
        <w:szCs w:val="21"/>
      </w:rPr>
      <w:fldChar w:fldCharType="begin"/>
    </w:r>
    <w:r>
      <w:rPr>
        <w:rFonts w:ascii="黑体" w:eastAsia="黑体" w:hAnsi="黑体"/>
        <w:b/>
        <w:szCs w:val="21"/>
      </w:rPr>
      <w:instrText xml:space="preserve"> DOCPROPERTY 公司名称 </w:instrText>
    </w:r>
    <w:r>
      <w:rPr>
        <w:rFonts w:ascii="黑体" w:eastAsia="黑体" w:hAnsi="黑体"/>
        <w:b/>
        <w:szCs w:val="21"/>
      </w:rPr>
      <w:fldChar w:fldCharType="separate"/>
    </w:r>
    <w:r>
      <w:rPr>
        <w:rFonts w:ascii="黑体" w:eastAsia="黑体" w:hAnsi="黑体"/>
        <w:b/>
        <w:szCs w:val="21"/>
      </w:rPr>
      <w:t>厦门银行股份有限公司</w:t>
    </w:r>
    <w:r>
      <w:rPr>
        <w:rFonts w:ascii="黑体" w:eastAsia="黑体" w:hAnsi="黑体"/>
        <w:b/>
        <w:szCs w:val="21"/>
      </w:rPr>
      <w:fldChar w:fldCharType="end"/>
    </w:r>
  </w:p>
  <w:p w:rsidR="00F22BE0" w:rsidRDefault="00F22BE0">
    <w:pPr>
      <w:overflowPunct w:val="0"/>
      <w:autoSpaceDE w:val="0"/>
      <w:autoSpaceDN w:val="0"/>
      <w:adjustRightInd w:val="0"/>
      <w:outlineLvl w:val="0"/>
      <w:rPr>
        <w:rFonts w:ascii="黑体" w:eastAsia="黑体" w:hAnsi="黑体" w:cs="Arial"/>
        <w:b/>
        <w:szCs w:val="21"/>
      </w:rPr>
    </w:pPr>
    <w:r>
      <w:rPr>
        <w:rFonts w:ascii="黑体" w:eastAsia="黑体" w:hAnsi="黑体" w:cs="Arial" w:hint="eastAsia"/>
        <w:b/>
        <w:szCs w:val="21"/>
      </w:rPr>
      <w:t>合并利润表</w:t>
    </w:r>
    <w:r>
      <w:rPr>
        <w:rFonts w:ascii="Arial" w:eastAsia="黑体" w:hAnsi="Arial" w:cs="Arial" w:hint="eastAsia"/>
        <w:b/>
        <w:szCs w:val="21"/>
      </w:rPr>
      <w:t>（续）</w:t>
    </w:r>
  </w:p>
  <w:p w:rsidR="00F22BE0" w:rsidRDefault="00F22BE0">
    <w:pPr>
      <w:tabs>
        <w:tab w:val="right" w:pos="8313"/>
      </w:tabs>
      <w:overflowPunct w:val="0"/>
      <w:autoSpaceDE w:val="0"/>
      <w:autoSpaceDN w:val="0"/>
      <w:adjustRightInd w:val="0"/>
      <w:rPr>
        <w:rFonts w:ascii="Arial" w:eastAsia="黑体" w:hAnsi="Arial" w:cs="Arial"/>
        <w:b/>
        <w:szCs w:val="21"/>
        <w:u w:val="single"/>
      </w:rPr>
    </w:pPr>
    <w:r>
      <w:rPr>
        <w:rFonts w:ascii="Arial" w:eastAsia="黑体" w:hAnsi="Arial" w:cs="Arial"/>
        <w:b/>
        <w:szCs w:val="21"/>
        <w:u w:val="single"/>
      </w:rPr>
      <w:t>截至</w:t>
    </w:r>
    <w:r>
      <w:rPr>
        <w:rFonts w:ascii="Arial" w:eastAsia="黑体" w:hAnsi="Arial" w:cs="Arial"/>
        <w:b/>
        <w:szCs w:val="21"/>
        <w:u w:val="single"/>
      </w:rPr>
      <w:t>2023</w:t>
    </w:r>
    <w:r>
      <w:rPr>
        <w:rFonts w:ascii="Arial" w:eastAsia="黑体" w:hAnsi="Arial" w:cs="Arial"/>
        <w:b/>
        <w:szCs w:val="21"/>
        <w:u w:val="single"/>
      </w:rPr>
      <w:t>年</w:t>
    </w:r>
    <w:r>
      <w:rPr>
        <w:rFonts w:ascii="Arial" w:eastAsia="黑体" w:hAnsi="Arial" w:cs="Arial"/>
        <w:b/>
        <w:szCs w:val="21"/>
        <w:u w:val="single"/>
      </w:rPr>
      <w:t>6</w:t>
    </w:r>
    <w:r>
      <w:rPr>
        <w:rFonts w:ascii="Arial" w:eastAsia="黑体" w:hAnsi="Arial" w:cs="Arial"/>
        <w:b/>
        <w:szCs w:val="21"/>
        <w:u w:val="single"/>
      </w:rPr>
      <w:t>月</w:t>
    </w:r>
    <w:r>
      <w:rPr>
        <w:rFonts w:ascii="Arial" w:eastAsia="黑体" w:hAnsi="Arial" w:cs="Arial"/>
        <w:b/>
        <w:szCs w:val="21"/>
        <w:u w:val="single"/>
      </w:rPr>
      <w:t>30</w:t>
    </w:r>
    <w:r>
      <w:rPr>
        <w:rFonts w:ascii="Arial" w:eastAsia="黑体" w:hAnsi="Arial" w:cs="Arial"/>
        <w:b/>
        <w:szCs w:val="21"/>
        <w:u w:val="single"/>
      </w:rPr>
      <w:t>日</w:t>
    </w:r>
    <w:proofErr w:type="gramStart"/>
    <w:r>
      <w:rPr>
        <w:rFonts w:ascii="Arial" w:eastAsia="黑体" w:hAnsi="Arial" w:cs="Arial"/>
        <w:b/>
        <w:szCs w:val="21"/>
        <w:u w:val="single"/>
      </w:rPr>
      <w:t>止</w:t>
    </w:r>
    <w:proofErr w:type="gramEnd"/>
    <w:r>
      <w:rPr>
        <w:rFonts w:ascii="Arial" w:eastAsia="黑体" w:hAnsi="Arial" w:cs="Arial"/>
        <w:b/>
        <w:szCs w:val="21"/>
        <w:u w:val="single"/>
      </w:rPr>
      <w:t>6</w:t>
    </w:r>
    <w:r>
      <w:rPr>
        <w:rFonts w:ascii="Arial" w:eastAsia="黑体" w:hAnsi="Arial" w:cs="Arial"/>
        <w:b/>
        <w:szCs w:val="21"/>
        <w:u w:val="single"/>
      </w:rPr>
      <w:t>个月</w:t>
    </w:r>
    <w:proofErr w:type="gramStart"/>
    <w:r>
      <w:rPr>
        <w:rFonts w:ascii="Arial" w:eastAsia="黑体" w:hAnsi="Arial" w:cs="Arial"/>
        <w:b/>
        <w:szCs w:val="21"/>
        <w:u w:val="single"/>
      </w:rPr>
      <w:t>期间</w:t>
    </w:r>
    <w:r>
      <w:rPr>
        <w:rFonts w:ascii="Arial" w:eastAsia="黑体" w:hAnsi="Arial" w:cs="Arial"/>
        <w:b/>
        <w:szCs w:val="21"/>
        <w:u w:val="single"/>
      </w:rPr>
      <w:tab/>
    </w:r>
    <w:proofErr w:type="gramEnd"/>
    <w:r>
      <w:rPr>
        <w:rFonts w:ascii="Arial" w:eastAsia="黑体" w:hAnsi="Arial" w:cs="Arial"/>
        <w:b/>
        <w:szCs w:val="21"/>
        <w:u w:val="single"/>
      </w:rPr>
      <w:t>人民币元</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BE0" w:rsidRDefault="00F22BE0">
    <w:pPr>
      <w:overflowPunct w:val="0"/>
      <w:autoSpaceDE w:val="0"/>
      <w:autoSpaceDN w:val="0"/>
      <w:adjustRightInd w:val="0"/>
      <w:outlineLvl w:val="0"/>
      <w:rPr>
        <w:rFonts w:ascii="黑体" w:eastAsia="黑体" w:hAnsi="黑体"/>
        <w:b/>
        <w:szCs w:val="21"/>
      </w:rPr>
    </w:pPr>
  </w:p>
  <w:p w:rsidR="00F22BE0" w:rsidRDefault="00F22BE0">
    <w:pPr>
      <w:overflowPunct w:val="0"/>
      <w:autoSpaceDE w:val="0"/>
      <w:autoSpaceDN w:val="0"/>
      <w:adjustRightInd w:val="0"/>
      <w:outlineLvl w:val="0"/>
      <w:rPr>
        <w:rFonts w:ascii="黑体" w:eastAsia="黑体" w:hAnsi="黑体"/>
        <w:b/>
        <w:szCs w:val="21"/>
      </w:rPr>
    </w:pPr>
  </w:p>
  <w:p w:rsidR="00F22BE0" w:rsidRDefault="00F22BE0">
    <w:pPr>
      <w:overflowPunct w:val="0"/>
      <w:autoSpaceDE w:val="0"/>
      <w:autoSpaceDN w:val="0"/>
      <w:adjustRightInd w:val="0"/>
      <w:outlineLvl w:val="0"/>
      <w:rPr>
        <w:rFonts w:ascii="黑体" w:eastAsia="黑体" w:hAnsi="黑体"/>
        <w:b/>
        <w:szCs w:val="21"/>
      </w:rPr>
    </w:pPr>
    <w:r>
      <w:rPr>
        <w:rFonts w:ascii="黑体" w:eastAsia="黑体" w:hAnsi="黑体"/>
        <w:b/>
        <w:szCs w:val="21"/>
      </w:rPr>
      <w:fldChar w:fldCharType="begin"/>
    </w:r>
    <w:r>
      <w:rPr>
        <w:rFonts w:ascii="黑体" w:eastAsia="黑体" w:hAnsi="黑体"/>
        <w:b/>
        <w:szCs w:val="21"/>
      </w:rPr>
      <w:instrText xml:space="preserve"> DOCPROPERTY 公司名称 </w:instrText>
    </w:r>
    <w:r>
      <w:rPr>
        <w:rFonts w:ascii="黑体" w:eastAsia="黑体" w:hAnsi="黑体"/>
        <w:b/>
        <w:szCs w:val="21"/>
      </w:rPr>
      <w:fldChar w:fldCharType="separate"/>
    </w:r>
    <w:r>
      <w:rPr>
        <w:rFonts w:ascii="黑体" w:eastAsia="黑体" w:hAnsi="黑体"/>
        <w:b/>
        <w:szCs w:val="21"/>
      </w:rPr>
      <w:t>厦门银行股份有限公司</w:t>
    </w:r>
    <w:r>
      <w:rPr>
        <w:rFonts w:ascii="黑体" w:eastAsia="黑体" w:hAnsi="黑体"/>
        <w:b/>
        <w:szCs w:val="21"/>
      </w:rPr>
      <w:fldChar w:fldCharType="end"/>
    </w:r>
  </w:p>
  <w:p w:rsidR="00F22BE0" w:rsidRDefault="00F22BE0">
    <w:pPr>
      <w:overflowPunct w:val="0"/>
      <w:autoSpaceDE w:val="0"/>
      <w:autoSpaceDN w:val="0"/>
      <w:adjustRightInd w:val="0"/>
      <w:outlineLvl w:val="0"/>
      <w:rPr>
        <w:rFonts w:ascii="黑体" w:eastAsia="黑体" w:hAnsi="黑体" w:cs="Arial"/>
        <w:b/>
        <w:szCs w:val="21"/>
      </w:rPr>
    </w:pPr>
    <w:r>
      <w:rPr>
        <w:rFonts w:ascii="黑体" w:eastAsia="黑体" w:hAnsi="黑体" w:cs="Arial" w:hint="eastAsia"/>
        <w:b/>
        <w:szCs w:val="21"/>
      </w:rPr>
      <w:t>合并利润表</w:t>
    </w:r>
  </w:p>
  <w:p w:rsidR="00F22BE0" w:rsidRDefault="00F22BE0">
    <w:pPr>
      <w:pStyle w:val="19"/>
      <w:tabs>
        <w:tab w:val="clear" w:pos="4320"/>
      </w:tabs>
      <w:rPr>
        <w:rFonts w:ascii="Arial" w:hAnsi="Arial" w:cs="Arial"/>
      </w:rPr>
    </w:pPr>
    <w:r>
      <w:rPr>
        <w:rFonts w:ascii="Arial" w:eastAsia="黑体" w:hAnsi="Arial" w:cs="Arial"/>
        <w:b/>
        <w:szCs w:val="21"/>
        <w:u w:val="single"/>
      </w:rPr>
      <w:t>截至</w:t>
    </w:r>
    <w:r>
      <w:rPr>
        <w:rFonts w:ascii="Arial" w:eastAsia="黑体" w:hAnsi="Arial" w:cs="Arial"/>
        <w:b/>
        <w:szCs w:val="21"/>
        <w:u w:val="single"/>
      </w:rPr>
      <w:t>2023</w:t>
    </w:r>
    <w:r>
      <w:rPr>
        <w:rFonts w:ascii="Arial" w:eastAsia="黑体" w:hAnsi="Arial" w:cs="Arial"/>
        <w:b/>
        <w:szCs w:val="21"/>
        <w:u w:val="single"/>
      </w:rPr>
      <w:t>年</w:t>
    </w:r>
    <w:r>
      <w:rPr>
        <w:rFonts w:ascii="Arial" w:eastAsia="黑体" w:hAnsi="Arial" w:cs="Arial"/>
        <w:b/>
        <w:szCs w:val="21"/>
        <w:u w:val="single"/>
      </w:rPr>
      <w:t>6</w:t>
    </w:r>
    <w:r>
      <w:rPr>
        <w:rFonts w:ascii="Arial" w:eastAsia="黑体" w:hAnsi="Arial" w:cs="Arial"/>
        <w:b/>
        <w:szCs w:val="21"/>
        <w:u w:val="single"/>
      </w:rPr>
      <w:t>月</w:t>
    </w:r>
    <w:r>
      <w:rPr>
        <w:rFonts w:ascii="Arial" w:eastAsia="黑体" w:hAnsi="Arial" w:cs="Arial"/>
        <w:b/>
        <w:szCs w:val="21"/>
        <w:u w:val="single"/>
      </w:rPr>
      <w:t>30</w:t>
    </w:r>
    <w:r>
      <w:rPr>
        <w:rFonts w:ascii="Arial" w:eastAsia="黑体" w:hAnsi="Arial" w:cs="Arial"/>
        <w:b/>
        <w:szCs w:val="21"/>
        <w:u w:val="single"/>
      </w:rPr>
      <w:t>日</w:t>
    </w:r>
    <w:proofErr w:type="gramStart"/>
    <w:r>
      <w:rPr>
        <w:rFonts w:ascii="Arial" w:eastAsia="黑体" w:hAnsi="Arial" w:cs="Arial"/>
        <w:b/>
        <w:szCs w:val="21"/>
        <w:u w:val="single"/>
      </w:rPr>
      <w:t>止</w:t>
    </w:r>
    <w:proofErr w:type="gramEnd"/>
    <w:r>
      <w:rPr>
        <w:rFonts w:ascii="Arial" w:eastAsia="黑体" w:hAnsi="Arial" w:cs="Arial"/>
        <w:b/>
        <w:szCs w:val="21"/>
        <w:u w:val="single"/>
      </w:rPr>
      <w:t>6</w:t>
    </w:r>
    <w:r>
      <w:rPr>
        <w:rFonts w:ascii="Arial" w:eastAsia="黑体" w:hAnsi="Arial" w:cs="Arial"/>
        <w:b/>
        <w:szCs w:val="21"/>
        <w:u w:val="single"/>
      </w:rPr>
      <w:t>个月</w:t>
    </w:r>
    <w:proofErr w:type="gramStart"/>
    <w:r>
      <w:rPr>
        <w:rFonts w:ascii="Arial" w:eastAsia="黑体" w:hAnsi="Arial" w:cs="Arial"/>
        <w:b/>
        <w:szCs w:val="21"/>
        <w:u w:val="single"/>
      </w:rPr>
      <w:t>期间</w:t>
    </w:r>
    <w:r>
      <w:rPr>
        <w:rFonts w:ascii="Arial" w:eastAsia="黑体" w:hAnsi="Arial" w:cs="Arial"/>
        <w:b/>
        <w:szCs w:val="21"/>
        <w:u w:val="single"/>
      </w:rPr>
      <w:tab/>
    </w:r>
    <w:proofErr w:type="gramEnd"/>
    <w:r>
      <w:rPr>
        <w:rFonts w:ascii="Arial" w:eastAsia="黑体" w:hAnsi="Arial" w:cs="Arial"/>
        <w:b/>
        <w:szCs w:val="21"/>
        <w:u w:val="single"/>
      </w:rPr>
      <w:t>人民币元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3F4AC2E"/>
    <w:multiLevelType w:val="singleLevel"/>
    <w:tmpl w:val="93F4AC2E"/>
    <w:lvl w:ilvl="0">
      <w:start w:val="4"/>
      <w:numFmt w:val="chineseCounting"/>
      <w:suff w:val="nothing"/>
      <w:lvlText w:val="（%1）"/>
      <w:lvlJc w:val="left"/>
      <w:rPr>
        <w:rFonts w:hint="eastAsia"/>
      </w:rPr>
    </w:lvl>
  </w:abstractNum>
  <w:abstractNum w:abstractNumId="1">
    <w:nsid w:val="D38A5D24"/>
    <w:multiLevelType w:val="multilevel"/>
    <w:tmpl w:val="D38A5D24"/>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nsid w:val="E0C9CC20"/>
    <w:multiLevelType w:val="singleLevel"/>
    <w:tmpl w:val="E0C9CC20"/>
    <w:lvl w:ilvl="0">
      <w:start w:val="1"/>
      <w:numFmt w:val="decimal"/>
      <w:pStyle w:val="a"/>
      <w:suff w:val="nothing"/>
      <w:lvlText w:val="（%1）"/>
      <w:lvlJc w:val="left"/>
      <w:pPr>
        <w:ind w:left="0" w:firstLine="0"/>
      </w:pPr>
      <w:rPr>
        <w:rFonts w:cs="Times New Roman" w:hint="eastAsia"/>
        <w:b/>
        <w:bCs w:val="0"/>
        <w:i w:val="0"/>
        <w:iCs w:val="0"/>
        <w:caps w:val="0"/>
        <w:smallCaps w:val="0"/>
        <w:strike w:val="0"/>
        <w:dstrike w:val="0"/>
        <w:vanish w:val="0"/>
        <w:color w:val="auto"/>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abstractNum>
  <w:abstractNum w:abstractNumId="3">
    <w:nsid w:val="08DD2D98"/>
    <w:multiLevelType w:val="multilevel"/>
    <w:tmpl w:val="08DD2D98"/>
    <w:lvl w:ilvl="0">
      <w:start w:val="1"/>
      <w:numFmt w:val="japaneseCounting"/>
      <w:lvlText w:val="（%1）"/>
      <w:lvlJc w:val="left"/>
      <w:pPr>
        <w:ind w:left="720" w:hanging="72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F555C42"/>
    <w:multiLevelType w:val="multilevel"/>
    <w:tmpl w:val="0F555C4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04977C1"/>
    <w:multiLevelType w:val="multilevel"/>
    <w:tmpl w:val="104977C1"/>
    <w:lvl w:ilvl="0">
      <w:start w:val="1"/>
      <w:numFmt w:val="chineseCountingThousand"/>
      <w:lvlText w:val="%1、"/>
      <w:lvlJc w:val="left"/>
      <w:pPr>
        <w:ind w:left="420" w:hanging="420"/>
      </w:pPr>
      <w:rPr>
        <w:rFonts w:hint="default"/>
        <w:b/>
        <w:color w:val="auto"/>
        <w:u w:val="none"/>
        <w:lang w:val="en-US"/>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6">
    <w:nsid w:val="10FCD101"/>
    <w:multiLevelType w:val="singleLevel"/>
    <w:tmpl w:val="10FCD101"/>
    <w:lvl w:ilvl="0">
      <w:start w:val="1"/>
      <w:numFmt w:val="decimal"/>
      <w:suff w:val="nothing"/>
      <w:lvlText w:val="%1、"/>
      <w:lvlJc w:val="left"/>
      <w:pPr>
        <w:ind w:left="0"/>
      </w:pPr>
    </w:lvl>
  </w:abstractNum>
  <w:abstractNum w:abstractNumId="7">
    <w:nsid w:val="141F27B0"/>
    <w:multiLevelType w:val="multilevel"/>
    <w:tmpl w:val="141F27B0"/>
    <w:lvl w:ilvl="0">
      <w:start w:val="2"/>
      <w:numFmt w:val="japaneseCounting"/>
      <w:lvlText w:val="%1、"/>
      <w:lvlJc w:val="left"/>
      <w:pPr>
        <w:ind w:left="450" w:hanging="450"/>
      </w:pPr>
      <w:rPr>
        <w:rFonts w:ascii="宋体" w:eastAsia="宋体" w:hAnsi="宋体" w:hint="default"/>
        <w:color w:val="000000" w:themeColor="text1"/>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44607F6"/>
    <w:multiLevelType w:val="multilevel"/>
    <w:tmpl w:val="144607F6"/>
    <w:lvl w:ilvl="0">
      <w:start w:val="1"/>
      <w:numFmt w:val="decimal"/>
      <w:lvlText w:val="%1."/>
      <w:lvlJc w:val="left"/>
      <w:pPr>
        <w:ind w:left="425" w:hanging="425"/>
      </w:pPr>
      <w:rPr>
        <w:rFonts w:ascii="宋体" w:eastAsia="宋体" w:hAnsi="宋体" w:hint="eastAsia"/>
        <w:color w:val="auto"/>
        <w:u w:val="none"/>
      </w:rPr>
    </w:lvl>
    <w:lvl w:ilvl="1">
      <w:start w:val="1"/>
      <w:numFmt w:val="decimal"/>
      <w:lvlText w:val="%1.%2"/>
      <w:lvlJc w:val="left"/>
      <w:pPr>
        <w:ind w:left="992" w:hanging="567"/>
      </w:pPr>
      <w:rPr>
        <w:rFonts w:hint="default"/>
        <w:u w:val="none"/>
      </w:rPr>
    </w:lvl>
    <w:lvl w:ilvl="2">
      <w:start w:val="1"/>
      <w:numFmt w:val="decimal"/>
      <w:lvlText w:val="%1.%2.%3"/>
      <w:lvlJc w:val="left"/>
      <w:pPr>
        <w:ind w:left="1418" w:hanging="567"/>
      </w:pPr>
      <w:rPr>
        <w:rFonts w:hint="default"/>
        <w:u w:val="none"/>
      </w:rPr>
    </w:lvl>
    <w:lvl w:ilvl="3">
      <w:start w:val="1"/>
      <w:numFmt w:val="decimal"/>
      <w:lvlText w:val="%1.%2.%3.%4"/>
      <w:lvlJc w:val="left"/>
      <w:pPr>
        <w:ind w:left="1984" w:hanging="708"/>
      </w:pPr>
      <w:rPr>
        <w:rFonts w:hint="default"/>
        <w:u w:val="none"/>
      </w:rPr>
    </w:lvl>
    <w:lvl w:ilvl="4">
      <w:start w:val="1"/>
      <w:numFmt w:val="decimal"/>
      <w:lvlText w:val="%1.%2.%3.%4.%5"/>
      <w:lvlJc w:val="left"/>
      <w:pPr>
        <w:ind w:left="2551" w:hanging="850"/>
      </w:pPr>
      <w:rPr>
        <w:rFonts w:hint="default"/>
        <w:u w:val="none"/>
      </w:rPr>
    </w:lvl>
    <w:lvl w:ilvl="5">
      <w:start w:val="1"/>
      <w:numFmt w:val="decimal"/>
      <w:lvlText w:val="%1.%2.%3.%4.%5.%6"/>
      <w:lvlJc w:val="left"/>
      <w:pPr>
        <w:ind w:left="3260" w:hanging="1134"/>
      </w:pPr>
      <w:rPr>
        <w:rFonts w:hint="default"/>
        <w:u w:val="none"/>
      </w:rPr>
    </w:lvl>
    <w:lvl w:ilvl="6">
      <w:start w:val="1"/>
      <w:numFmt w:val="decimal"/>
      <w:lvlText w:val="%1.%2.%3.%4.%5.%6.%7"/>
      <w:lvlJc w:val="left"/>
      <w:pPr>
        <w:ind w:left="3827" w:hanging="1276"/>
      </w:pPr>
      <w:rPr>
        <w:rFonts w:hint="default"/>
        <w:u w:val="none"/>
      </w:rPr>
    </w:lvl>
    <w:lvl w:ilvl="7">
      <w:start w:val="1"/>
      <w:numFmt w:val="decimal"/>
      <w:lvlText w:val="%1.%2.%3.%4.%5.%6.%7.%8"/>
      <w:lvlJc w:val="left"/>
      <w:pPr>
        <w:ind w:left="4394" w:hanging="1418"/>
      </w:pPr>
      <w:rPr>
        <w:rFonts w:hint="default"/>
        <w:u w:val="none"/>
      </w:rPr>
    </w:lvl>
    <w:lvl w:ilvl="8">
      <w:start w:val="1"/>
      <w:numFmt w:val="decimal"/>
      <w:lvlText w:val="%1.%2.%3.%4.%5.%6.%7.%8.%9"/>
      <w:lvlJc w:val="left"/>
      <w:pPr>
        <w:ind w:left="5102" w:hanging="1700"/>
      </w:pPr>
      <w:rPr>
        <w:rFonts w:hint="default"/>
        <w:u w:val="none"/>
      </w:rPr>
    </w:lvl>
  </w:abstractNum>
  <w:abstractNum w:abstractNumId="9">
    <w:nsid w:val="18BA47FB"/>
    <w:multiLevelType w:val="multilevel"/>
    <w:tmpl w:val="18BA47FB"/>
    <w:lvl w:ilvl="0">
      <w:start w:val="6"/>
      <w:numFmt w:val="japaneseCounting"/>
      <w:lvlText w:val="（%1）"/>
      <w:lvlJc w:val="left"/>
      <w:pPr>
        <w:ind w:left="984" w:hanging="720"/>
      </w:pPr>
      <w:rPr>
        <w:rFonts w:hint="default"/>
        <w:color w:val="auto"/>
      </w:rPr>
    </w:lvl>
    <w:lvl w:ilvl="1">
      <w:start w:val="1"/>
      <w:numFmt w:val="lowerLetter"/>
      <w:lvlText w:val="%2)"/>
      <w:lvlJc w:val="left"/>
      <w:pPr>
        <w:ind w:left="1104" w:hanging="420"/>
      </w:pPr>
    </w:lvl>
    <w:lvl w:ilvl="2">
      <w:start w:val="1"/>
      <w:numFmt w:val="lowerRoman"/>
      <w:lvlText w:val="%3."/>
      <w:lvlJc w:val="right"/>
      <w:pPr>
        <w:ind w:left="1524" w:hanging="420"/>
      </w:pPr>
    </w:lvl>
    <w:lvl w:ilvl="3">
      <w:start w:val="1"/>
      <w:numFmt w:val="decimal"/>
      <w:lvlText w:val="%4."/>
      <w:lvlJc w:val="left"/>
      <w:pPr>
        <w:ind w:left="1944" w:hanging="420"/>
      </w:pPr>
    </w:lvl>
    <w:lvl w:ilvl="4">
      <w:start w:val="1"/>
      <w:numFmt w:val="lowerLetter"/>
      <w:lvlText w:val="%5)"/>
      <w:lvlJc w:val="left"/>
      <w:pPr>
        <w:ind w:left="2364" w:hanging="420"/>
      </w:pPr>
    </w:lvl>
    <w:lvl w:ilvl="5">
      <w:start w:val="1"/>
      <w:numFmt w:val="lowerRoman"/>
      <w:lvlText w:val="%6."/>
      <w:lvlJc w:val="right"/>
      <w:pPr>
        <w:ind w:left="2784" w:hanging="420"/>
      </w:pPr>
    </w:lvl>
    <w:lvl w:ilvl="6">
      <w:start w:val="1"/>
      <w:numFmt w:val="decimal"/>
      <w:lvlText w:val="%7."/>
      <w:lvlJc w:val="left"/>
      <w:pPr>
        <w:ind w:left="3204" w:hanging="420"/>
      </w:pPr>
    </w:lvl>
    <w:lvl w:ilvl="7">
      <w:start w:val="1"/>
      <w:numFmt w:val="lowerLetter"/>
      <w:lvlText w:val="%8)"/>
      <w:lvlJc w:val="left"/>
      <w:pPr>
        <w:ind w:left="3624" w:hanging="420"/>
      </w:pPr>
    </w:lvl>
    <w:lvl w:ilvl="8">
      <w:start w:val="1"/>
      <w:numFmt w:val="lowerRoman"/>
      <w:lvlText w:val="%9."/>
      <w:lvlJc w:val="right"/>
      <w:pPr>
        <w:ind w:left="4044" w:hanging="420"/>
      </w:pPr>
    </w:lvl>
  </w:abstractNum>
  <w:abstractNum w:abstractNumId="10">
    <w:nsid w:val="196C7BB1"/>
    <w:multiLevelType w:val="multilevel"/>
    <w:tmpl w:val="196C7BB1"/>
    <w:lvl w:ilvl="0">
      <w:start w:val="1"/>
      <w:numFmt w:val="decimal"/>
      <w:lvlText w:val="%1."/>
      <w:lvlJc w:val="left"/>
      <w:pPr>
        <w:ind w:left="425" w:hanging="425"/>
      </w:pPr>
      <w:rPr>
        <w:rFonts w:ascii="宋体" w:eastAsia="宋体" w:hAnsi="宋体" w:hint="eastAsia"/>
        <w:color w:val="auto"/>
        <w:u w:val="none"/>
      </w:rPr>
    </w:lvl>
    <w:lvl w:ilvl="1">
      <w:start w:val="1"/>
      <w:numFmt w:val="decimal"/>
      <w:lvlText w:val="%1.%2"/>
      <w:lvlJc w:val="left"/>
      <w:pPr>
        <w:ind w:left="992" w:hanging="567"/>
      </w:pPr>
      <w:rPr>
        <w:rFonts w:hint="default"/>
        <w:u w:val="none"/>
      </w:rPr>
    </w:lvl>
    <w:lvl w:ilvl="2">
      <w:start w:val="1"/>
      <w:numFmt w:val="decimal"/>
      <w:lvlText w:val="%1.%2.%3"/>
      <w:lvlJc w:val="left"/>
      <w:pPr>
        <w:ind w:left="1418" w:hanging="567"/>
      </w:pPr>
      <w:rPr>
        <w:rFonts w:hint="default"/>
        <w:u w:val="none"/>
      </w:rPr>
    </w:lvl>
    <w:lvl w:ilvl="3">
      <w:start w:val="1"/>
      <w:numFmt w:val="decimal"/>
      <w:lvlText w:val="%1.%2.%3.%4"/>
      <w:lvlJc w:val="left"/>
      <w:pPr>
        <w:ind w:left="1984" w:hanging="708"/>
      </w:pPr>
      <w:rPr>
        <w:rFonts w:hint="default"/>
        <w:u w:val="none"/>
      </w:rPr>
    </w:lvl>
    <w:lvl w:ilvl="4">
      <w:start w:val="1"/>
      <w:numFmt w:val="decimal"/>
      <w:lvlText w:val="%1.%2.%3.%4.%5"/>
      <w:lvlJc w:val="left"/>
      <w:pPr>
        <w:ind w:left="2551" w:hanging="850"/>
      </w:pPr>
      <w:rPr>
        <w:rFonts w:hint="default"/>
        <w:u w:val="none"/>
      </w:rPr>
    </w:lvl>
    <w:lvl w:ilvl="5">
      <w:start w:val="1"/>
      <w:numFmt w:val="decimal"/>
      <w:lvlText w:val="%1.%2.%3.%4.%5.%6"/>
      <w:lvlJc w:val="left"/>
      <w:pPr>
        <w:ind w:left="3260" w:hanging="1134"/>
      </w:pPr>
      <w:rPr>
        <w:rFonts w:hint="default"/>
        <w:u w:val="none"/>
      </w:rPr>
    </w:lvl>
    <w:lvl w:ilvl="6">
      <w:start w:val="1"/>
      <w:numFmt w:val="decimal"/>
      <w:lvlText w:val="%1.%2.%3.%4.%5.%6.%7"/>
      <w:lvlJc w:val="left"/>
      <w:pPr>
        <w:ind w:left="3827" w:hanging="1276"/>
      </w:pPr>
      <w:rPr>
        <w:rFonts w:hint="default"/>
        <w:u w:val="none"/>
      </w:rPr>
    </w:lvl>
    <w:lvl w:ilvl="7">
      <w:start w:val="1"/>
      <w:numFmt w:val="decimal"/>
      <w:lvlText w:val="%1.%2.%3.%4.%5.%6.%7.%8"/>
      <w:lvlJc w:val="left"/>
      <w:pPr>
        <w:ind w:left="4394" w:hanging="1418"/>
      </w:pPr>
      <w:rPr>
        <w:rFonts w:hint="default"/>
        <w:u w:val="none"/>
      </w:rPr>
    </w:lvl>
    <w:lvl w:ilvl="8">
      <w:start w:val="1"/>
      <w:numFmt w:val="decimal"/>
      <w:lvlText w:val="%1.%2.%3.%4.%5.%6.%7.%8.%9"/>
      <w:lvlJc w:val="left"/>
      <w:pPr>
        <w:ind w:left="5102" w:hanging="1700"/>
      </w:pPr>
      <w:rPr>
        <w:rFonts w:hint="default"/>
        <w:u w:val="none"/>
      </w:rPr>
    </w:lvl>
  </w:abstractNum>
  <w:abstractNum w:abstractNumId="11">
    <w:nsid w:val="1C4A740D"/>
    <w:multiLevelType w:val="multilevel"/>
    <w:tmpl w:val="1C4A740D"/>
    <w:lvl w:ilvl="0">
      <w:start w:val="1"/>
      <w:numFmt w:val="chineseCountingThousand"/>
      <w:lvlText w:val="%1、"/>
      <w:lvlJc w:val="left"/>
      <w:pPr>
        <w:ind w:left="425" w:hanging="425"/>
      </w:pPr>
      <w:rPr>
        <w:rFonts w:hint="default"/>
        <w:color w:val="000000" w:themeColor="text1"/>
        <w:u w:val="none"/>
      </w:rPr>
    </w:lvl>
    <w:lvl w:ilvl="1">
      <w:start w:val="1"/>
      <w:numFmt w:val="decimal"/>
      <w:lvlText w:val="%1.%2"/>
      <w:lvlJc w:val="left"/>
      <w:pPr>
        <w:ind w:left="992" w:hanging="567"/>
      </w:pPr>
      <w:rPr>
        <w:rFonts w:hint="default"/>
        <w:u w:val="none"/>
      </w:rPr>
    </w:lvl>
    <w:lvl w:ilvl="2">
      <w:start w:val="1"/>
      <w:numFmt w:val="decimal"/>
      <w:lvlText w:val="%1.%2.%3"/>
      <w:lvlJc w:val="left"/>
      <w:pPr>
        <w:ind w:left="1418" w:hanging="567"/>
      </w:pPr>
      <w:rPr>
        <w:rFonts w:hint="default"/>
        <w:u w:val="none"/>
      </w:rPr>
    </w:lvl>
    <w:lvl w:ilvl="3">
      <w:start w:val="1"/>
      <w:numFmt w:val="decimal"/>
      <w:lvlText w:val="%1.%2.%3.%4"/>
      <w:lvlJc w:val="left"/>
      <w:pPr>
        <w:ind w:left="1984" w:hanging="708"/>
      </w:pPr>
      <w:rPr>
        <w:rFonts w:hint="default"/>
        <w:u w:val="none"/>
      </w:rPr>
    </w:lvl>
    <w:lvl w:ilvl="4">
      <w:start w:val="1"/>
      <w:numFmt w:val="decimal"/>
      <w:lvlText w:val="%1.%2.%3.%4.%5"/>
      <w:lvlJc w:val="left"/>
      <w:pPr>
        <w:ind w:left="2551" w:hanging="850"/>
      </w:pPr>
      <w:rPr>
        <w:rFonts w:hint="default"/>
        <w:u w:val="none"/>
      </w:rPr>
    </w:lvl>
    <w:lvl w:ilvl="5">
      <w:start w:val="1"/>
      <w:numFmt w:val="decimal"/>
      <w:lvlText w:val="%1.%2.%3.%4.%5.%6"/>
      <w:lvlJc w:val="left"/>
      <w:pPr>
        <w:ind w:left="3260" w:hanging="1134"/>
      </w:pPr>
      <w:rPr>
        <w:rFonts w:hint="default"/>
        <w:u w:val="none"/>
      </w:rPr>
    </w:lvl>
    <w:lvl w:ilvl="6">
      <w:start w:val="1"/>
      <w:numFmt w:val="decimal"/>
      <w:lvlText w:val="%1.%2.%3.%4.%5.%6.%7"/>
      <w:lvlJc w:val="left"/>
      <w:pPr>
        <w:ind w:left="3827" w:hanging="1276"/>
      </w:pPr>
      <w:rPr>
        <w:rFonts w:hint="default"/>
        <w:u w:val="none"/>
      </w:rPr>
    </w:lvl>
    <w:lvl w:ilvl="7">
      <w:start w:val="1"/>
      <w:numFmt w:val="decimal"/>
      <w:lvlText w:val="%1.%2.%3.%4.%5.%6.%7.%8"/>
      <w:lvlJc w:val="left"/>
      <w:pPr>
        <w:ind w:left="4394" w:hanging="1418"/>
      </w:pPr>
      <w:rPr>
        <w:rFonts w:hint="default"/>
        <w:u w:val="none"/>
      </w:rPr>
    </w:lvl>
    <w:lvl w:ilvl="8">
      <w:start w:val="1"/>
      <w:numFmt w:val="decimal"/>
      <w:lvlText w:val="%1.%2.%3.%4.%5.%6.%7.%8.%9"/>
      <w:lvlJc w:val="left"/>
      <w:pPr>
        <w:ind w:left="5102" w:hanging="1700"/>
      </w:pPr>
      <w:rPr>
        <w:rFonts w:hint="default"/>
        <w:u w:val="none"/>
      </w:rPr>
    </w:lvl>
  </w:abstractNum>
  <w:abstractNum w:abstractNumId="12">
    <w:nsid w:val="204F3B0A"/>
    <w:multiLevelType w:val="multilevel"/>
    <w:tmpl w:val="204F3B0A"/>
    <w:lvl w:ilvl="0">
      <w:start w:val="1"/>
      <w:numFmt w:val="chineseCountingThousand"/>
      <w:lvlText w:val="(%1)"/>
      <w:lvlJc w:val="left"/>
      <w:pPr>
        <w:ind w:left="0" w:firstLine="0"/>
      </w:pPr>
      <w:rPr>
        <w:rFonts w:hint="default"/>
        <w:u w:val="none"/>
      </w:rPr>
    </w:lvl>
    <w:lvl w:ilvl="1">
      <w:start w:val="1"/>
      <w:numFmt w:val="chineseCountingThousand"/>
      <w:lvlText w:val="(%2)"/>
      <w:lvlJc w:val="left"/>
      <w:pPr>
        <w:ind w:left="0" w:firstLine="0"/>
      </w:pPr>
      <w:rPr>
        <w:rFonts w:hint="default"/>
        <w:u w:val="none"/>
      </w:rPr>
    </w:lvl>
    <w:lvl w:ilvl="2">
      <w:start w:val="1"/>
      <w:numFmt w:val="chineseCountingThousand"/>
      <w:lvlText w:val="(%3)"/>
      <w:lvlJc w:val="left"/>
      <w:pPr>
        <w:ind w:left="0" w:firstLine="0"/>
      </w:pPr>
      <w:rPr>
        <w:rFonts w:ascii="宋体" w:eastAsia="宋体" w:hAnsi="宋体" w:hint="eastAsia"/>
        <w:u w:val="none"/>
      </w:rPr>
    </w:lvl>
    <w:lvl w:ilvl="3">
      <w:start w:val="1"/>
      <w:numFmt w:val="decimal"/>
      <w:lvlText w:val="%1.%2.%3.%4."/>
      <w:lvlJc w:val="left"/>
      <w:pPr>
        <w:ind w:left="0" w:firstLine="0"/>
      </w:pPr>
      <w:rPr>
        <w:rFonts w:hint="default"/>
        <w:u w:val="none"/>
      </w:rPr>
    </w:lvl>
    <w:lvl w:ilvl="4">
      <w:start w:val="1"/>
      <w:numFmt w:val="decimal"/>
      <w:lvlText w:val="%1.%2.%3.%4.%5."/>
      <w:lvlJc w:val="left"/>
      <w:pPr>
        <w:ind w:left="0" w:firstLine="0"/>
      </w:pPr>
      <w:rPr>
        <w:rFonts w:hint="default"/>
        <w:u w:val="none"/>
      </w:rPr>
    </w:lvl>
    <w:lvl w:ilvl="5">
      <w:start w:val="1"/>
      <w:numFmt w:val="decimal"/>
      <w:lvlText w:val="%1.%2.%3.%4.%5.%6."/>
      <w:lvlJc w:val="left"/>
      <w:pPr>
        <w:ind w:left="0" w:firstLine="0"/>
      </w:pPr>
      <w:rPr>
        <w:rFonts w:hint="default"/>
        <w:u w:val="none"/>
      </w:rPr>
    </w:lvl>
    <w:lvl w:ilvl="6">
      <w:start w:val="1"/>
      <w:numFmt w:val="decimal"/>
      <w:lvlText w:val="%1.%2.%3.%4.%5.%6.%7."/>
      <w:lvlJc w:val="left"/>
      <w:pPr>
        <w:ind w:left="0" w:firstLine="0"/>
      </w:pPr>
      <w:rPr>
        <w:rFonts w:hint="default"/>
        <w:u w:val="none"/>
      </w:rPr>
    </w:lvl>
    <w:lvl w:ilvl="7">
      <w:start w:val="1"/>
      <w:numFmt w:val="decimal"/>
      <w:lvlText w:val="%1.%2.%3.%4.%5.%6.%7.%8."/>
      <w:lvlJc w:val="left"/>
      <w:pPr>
        <w:ind w:left="0" w:firstLine="0"/>
      </w:pPr>
      <w:rPr>
        <w:rFonts w:hint="default"/>
        <w:u w:val="none"/>
      </w:rPr>
    </w:lvl>
    <w:lvl w:ilvl="8">
      <w:start w:val="1"/>
      <w:numFmt w:val="decimal"/>
      <w:lvlText w:val="%1.%2.%3.%4.%5.%6.%7.%8.%9."/>
      <w:lvlJc w:val="left"/>
      <w:pPr>
        <w:ind w:left="0" w:firstLine="0"/>
      </w:pPr>
      <w:rPr>
        <w:rFonts w:hint="default"/>
        <w:u w:val="none"/>
      </w:rPr>
    </w:lvl>
  </w:abstractNum>
  <w:abstractNum w:abstractNumId="13">
    <w:nsid w:val="2422CFE3"/>
    <w:multiLevelType w:val="multilevel"/>
    <w:tmpl w:val="2422CFE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756EE17"/>
    <w:multiLevelType w:val="multilevel"/>
    <w:tmpl w:val="2756EE17"/>
    <w:lvl w:ilvl="0">
      <w:start w:val="1"/>
      <w:numFmt w:val="bullet"/>
      <w:lvlText w:val=""/>
      <w:lvlJc w:val="left"/>
      <w:pPr>
        <w:ind w:left="1129" w:hanging="420"/>
      </w:pPr>
      <w:rPr>
        <w:rFonts w:ascii="Symbol" w:hAnsi="Symbol" w:hint="default"/>
        <w:sz w:val="18"/>
      </w:rPr>
    </w:lvl>
    <w:lvl w:ilvl="1">
      <w:start w:val="1"/>
      <w:numFmt w:val="bullet"/>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15">
    <w:nsid w:val="27C55F17"/>
    <w:multiLevelType w:val="multilevel"/>
    <w:tmpl w:val="27C55F17"/>
    <w:lvl w:ilvl="0">
      <w:start w:val="1"/>
      <w:numFmt w:val="decimal"/>
      <w:lvlText w:val="%1."/>
      <w:lvlJc w:val="left"/>
      <w:pPr>
        <w:ind w:left="425" w:hanging="425"/>
      </w:pPr>
      <w:rPr>
        <w:rFonts w:ascii="宋体" w:eastAsia="宋体" w:hAnsi="宋体" w:hint="eastAsia"/>
        <w:color w:val="auto"/>
        <w:u w:val="none"/>
      </w:rPr>
    </w:lvl>
    <w:lvl w:ilvl="1">
      <w:start w:val="1"/>
      <w:numFmt w:val="decimal"/>
      <w:lvlText w:val="%1.%2"/>
      <w:lvlJc w:val="left"/>
      <w:pPr>
        <w:ind w:left="992" w:hanging="567"/>
      </w:pPr>
      <w:rPr>
        <w:rFonts w:hint="default"/>
        <w:u w:val="none"/>
      </w:rPr>
    </w:lvl>
    <w:lvl w:ilvl="2">
      <w:start w:val="1"/>
      <w:numFmt w:val="decimal"/>
      <w:lvlText w:val="%1.%2.%3"/>
      <w:lvlJc w:val="left"/>
      <w:pPr>
        <w:ind w:left="1418" w:hanging="567"/>
      </w:pPr>
      <w:rPr>
        <w:rFonts w:hint="default"/>
        <w:u w:val="none"/>
      </w:rPr>
    </w:lvl>
    <w:lvl w:ilvl="3">
      <w:start w:val="1"/>
      <w:numFmt w:val="decimal"/>
      <w:lvlText w:val="%1.%2.%3.%4"/>
      <w:lvlJc w:val="left"/>
      <w:pPr>
        <w:ind w:left="1984" w:hanging="708"/>
      </w:pPr>
      <w:rPr>
        <w:rFonts w:hint="default"/>
        <w:u w:val="none"/>
      </w:rPr>
    </w:lvl>
    <w:lvl w:ilvl="4">
      <w:start w:val="1"/>
      <w:numFmt w:val="decimal"/>
      <w:lvlText w:val="%1.%2.%3.%4.%5"/>
      <w:lvlJc w:val="left"/>
      <w:pPr>
        <w:ind w:left="2551" w:hanging="850"/>
      </w:pPr>
      <w:rPr>
        <w:rFonts w:hint="default"/>
        <w:u w:val="none"/>
      </w:rPr>
    </w:lvl>
    <w:lvl w:ilvl="5">
      <w:start w:val="1"/>
      <w:numFmt w:val="decimal"/>
      <w:lvlText w:val="%1.%2.%3.%4.%5.%6"/>
      <w:lvlJc w:val="left"/>
      <w:pPr>
        <w:ind w:left="3260" w:hanging="1134"/>
      </w:pPr>
      <w:rPr>
        <w:rFonts w:hint="default"/>
        <w:u w:val="none"/>
      </w:rPr>
    </w:lvl>
    <w:lvl w:ilvl="6">
      <w:start w:val="1"/>
      <w:numFmt w:val="decimal"/>
      <w:lvlText w:val="%1.%2.%3.%4.%5.%6.%7"/>
      <w:lvlJc w:val="left"/>
      <w:pPr>
        <w:ind w:left="3827" w:hanging="1276"/>
      </w:pPr>
      <w:rPr>
        <w:rFonts w:hint="default"/>
        <w:u w:val="none"/>
      </w:rPr>
    </w:lvl>
    <w:lvl w:ilvl="7">
      <w:start w:val="1"/>
      <w:numFmt w:val="decimal"/>
      <w:lvlText w:val="%1.%2.%3.%4.%5.%6.%7.%8"/>
      <w:lvlJc w:val="left"/>
      <w:pPr>
        <w:ind w:left="4394" w:hanging="1418"/>
      </w:pPr>
      <w:rPr>
        <w:rFonts w:hint="default"/>
        <w:u w:val="none"/>
      </w:rPr>
    </w:lvl>
    <w:lvl w:ilvl="8">
      <w:start w:val="1"/>
      <w:numFmt w:val="decimal"/>
      <w:lvlText w:val="%1.%2.%3.%4.%5.%6.%7.%8.%9"/>
      <w:lvlJc w:val="left"/>
      <w:pPr>
        <w:ind w:left="5102" w:hanging="1700"/>
      </w:pPr>
      <w:rPr>
        <w:rFonts w:hint="default"/>
        <w:u w:val="none"/>
      </w:rPr>
    </w:lvl>
  </w:abstractNum>
  <w:abstractNum w:abstractNumId="16">
    <w:nsid w:val="2ABA5091"/>
    <w:multiLevelType w:val="multilevel"/>
    <w:tmpl w:val="2ABA5091"/>
    <w:lvl w:ilvl="0">
      <w:start w:val="1"/>
      <w:numFmt w:val="japaneseCounting"/>
      <w:lvlText w:val="%1、"/>
      <w:lvlJc w:val="left"/>
      <w:pPr>
        <w:ind w:left="450" w:hanging="450"/>
      </w:pPr>
      <w:rPr>
        <w:rFonts w:hint="default"/>
        <w:color w:val="auto"/>
        <w:u w:val="none"/>
        <w:lang w:val="en-US"/>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17">
    <w:nsid w:val="2DDFE768"/>
    <w:multiLevelType w:val="multilevel"/>
    <w:tmpl w:val="2DDFE76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DE55932"/>
    <w:multiLevelType w:val="multilevel"/>
    <w:tmpl w:val="2DE55932"/>
    <w:lvl w:ilvl="0">
      <w:start w:val="8"/>
      <w:numFmt w:val="chineseCountingThousand"/>
      <w:pStyle w:val="a0"/>
      <w:suff w:val="nothing"/>
      <w:lvlText w:val="%1、"/>
      <w:lvlJc w:val="left"/>
      <w:pPr>
        <w:ind w:left="420" w:hanging="420"/>
      </w:pPr>
      <w:rPr>
        <w:rFonts w:hint="default"/>
        <w:b/>
        <w:color w:val="auto"/>
        <w:u w:val="none"/>
        <w:lang w:val="en-US"/>
      </w:rPr>
    </w:lvl>
    <w:lvl w:ilvl="1">
      <w:start w:val="1"/>
      <w:numFmt w:val="lowerLetter"/>
      <w:lvlText w:val="%2)"/>
      <w:lvlJc w:val="left"/>
      <w:pPr>
        <w:ind w:left="840" w:hanging="420"/>
      </w:pPr>
      <w:rPr>
        <w:rFonts w:hint="default"/>
        <w:u w:val="none"/>
      </w:rPr>
    </w:lvl>
    <w:lvl w:ilvl="2">
      <w:start w:val="1"/>
      <w:numFmt w:val="lowerRoman"/>
      <w:lvlText w:val="%3."/>
      <w:lvlJc w:val="right"/>
      <w:pPr>
        <w:ind w:left="1260" w:hanging="420"/>
      </w:pPr>
      <w:rPr>
        <w:rFonts w:hint="default"/>
        <w:u w:val="none"/>
      </w:rPr>
    </w:lvl>
    <w:lvl w:ilvl="3">
      <w:start w:val="1"/>
      <w:numFmt w:val="decimal"/>
      <w:lvlText w:val="%4."/>
      <w:lvlJc w:val="left"/>
      <w:pPr>
        <w:ind w:left="1680" w:hanging="420"/>
      </w:pPr>
      <w:rPr>
        <w:rFonts w:hint="default"/>
        <w:u w:val="none"/>
      </w:rPr>
    </w:lvl>
    <w:lvl w:ilvl="4">
      <w:start w:val="1"/>
      <w:numFmt w:val="lowerLetter"/>
      <w:lvlText w:val="%5)"/>
      <w:lvlJc w:val="left"/>
      <w:pPr>
        <w:ind w:left="2100" w:hanging="420"/>
      </w:pPr>
      <w:rPr>
        <w:rFonts w:hint="default"/>
        <w:u w:val="none"/>
      </w:rPr>
    </w:lvl>
    <w:lvl w:ilvl="5">
      <w:start w:val="1"/>
      <w:numFmt w:val="lowerRoman"/>
      <w:lvlText w:val="%6."/>
      <w:lvlJc w:val="right"/>
      <w:pPr>
        <w:ind w:left="2520" w:hanging="420"/>
      </w:pPr>
      <w:rPr>
        <w:rFonts w:hint="default"/>
        <w:u w:val="none"/>
      </w:rPr>
    </w:lvl>
    <w:lvl w:ilvl="6">
      <w:start w:val="1"/>
      <w:numFmt w:val="decimal"/>
      <w:lvlText w:val="%7."/>
      <w:lvlJc w:val="left"/>
      <w:pPr>
        <w:ind w:left="2940" w:hanging="420"/>
      </w:pPr>
      <w:rPr>
        <w:rFonts w:hint="default"/>
        <w:u w:val="none"/>
      </w:rPr>
    </w:lvl>
    <w:lvl w:ilvl="7">
      <w:start w:val="1"/>
      <w:numFmt w:val="lowerLetter"/>
      <w:lvlText w:val="%8)"/>
      <w:lvlJc w:val="left"/>
      <w:pPr>
        <w:ind w:left="3360" w:hanging="420"/>
      </w:pPr>
      <w:rPr>
        <w:rFonts w:hint="default"/>
        <w:u w:val="none"/>
      </w:rPr>
    </w:lvl>
    <w:lvl w:ilvl="8">
      <w:start w:val="1"/>
      <w:numFmt w:val="lowerRoman"/>
      <w:lvlText w:val="%9."/>
      <w:lvlJc w:val="right"/>
      <w:pPr>
        <w:ind w:left="3780" w:hanging="420"/>
      </w:pPr>
      <w:rPr>
        <w:rFonts w:hint="default"/>
        <w:u w:val="none"/>
      </w:rPr>
    </w:lvl>
  </w:abstractNum>
  <w:abstractNum w:abstractNumId="19">
    <w:nsid w:val="2EE24E1A"/>
    <w:multiLevelType w:val="multilevel"/>
    <w:tmpl w:val="2EE24E1A"/>
    <w:lvl w:ilvl="0">
      <w:start w:val="2"/>
      <w:numFmt w:val="japaneseCounting"/>
      <w:lvlText w:val="%1、"/>
      <w:lvlJc w:val="left"/>
      <w:pPr>
        <w:ind w:left="450" w:hanging="450"/>
      </w:pPr>
      <w:rPr>
        <w:rFonts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35331059"/>
    <w:multiLevelType w:val="multilevel"/>
    <w:tmpl w:val="35331059"/>
    <w:lvl w:ilvl="0">
      <w:start w:val="1"/>
      <w:numFmt w:val="decimal"/>
      <w:pStyle w:val="a1"/>
      <w:suff w:val="nothing"/>
      <w:lvlText w:val="%1、"/>
      <w:lvlJc w:val="left"/>
      <w:pPr>
        <w:ind w:left="0" w:firstLine="0"/>
      </w:pPr>
      <w:rPr>
        <w:rFonts w:hint="eastAsia"/>
        <w:b/>
        <w:color w:val="auto"/>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21">
    <w:nsid w:val="35CC1F78"/>
    <w:multiLevelType w:val="multilevel"/>
    <w:tmpl w:val="35CC1F78"/>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3A5CE237"/>
    <w:multiLevelType w:val="singleLevel"/>
    <w:tmpl w:val="3A5CE237"/>
    <w:lvl w:ilvl="0">
      <w:start w:val="1"/>
      <w:numFmt w:val="decimal"/>
      <w:lvlText w:val="%1."/>
      <w:lvlJc w:val="left"/>
      <w:pPr>
        <w:ind w:left="425" w:hanging="425"/>
      </w:pPr>
      <w:rPr>
        <w:rFonts w:hint="default"/>
      </w:rPr>
    </w:lvl>
  </w:abstractNum>
  <w:abstractNum w:abstractNumId="23">
    <w:nsid w:val="463E0B3C"/>
    <w:multiLevelType w:val="multilevel"/>
    <w:tmpl w:val="463E0B3C"/>
    <w:lvl w:ilvl="0">
      <w:start w:val="1"/>
      <w:numFmt w:val="chineseCountingThousand"/>
      <w:lvlText w:val="(%1)"/>
      <w:lvlJc w:val="left"/>
      <w:pPr>
        <w:ind w:left="425" w:hanging="425"/>
      </w:pPr>
      <w:rPr>
        <w:rFonts w:ascii="宋体" w:eastAsia="宋体" w:hAnsi="宋体" w:hint="eastAsia"/>
        <w:u w:val="none"/>
      </w:rPr>
    </w:lvl>
    <w:lvl w:ilvl="1">
      <w:start w:val="1"/>
      <w:numFmt w:val="decimal"/>
      <w:lvlText w:val="%1.%2"/>
      <w:lvlJc w:val="left"/>
      <w:pPr>
        <w:ind w:left="992" w:hanging="567"/>
      </w:pPr>
      <w:rPr>
        <w:rFonts w:hint="default"/>
        <w:u w:val="none"/>
      </w:rPr>
    </w:lvl>
    <w:lvl w:ilvl="2">
      <w:start w:val="1"/>
      <w:numFmt w:val="decimal"/>
      <w:lvlText w:val="%1.%2.%3"/>
      <w:lvlJc w:val="left"/>
      <w:pPr>
        <w:ind w:left="1418" w:hanging="567"/>
      </w:pPr>
      <w:rPr>
        <w:rFonts w:hint="default"/>
        <w:u w:val="none"/>
      </w:rPr>
    </w:lvl>
    <w:lvl w:ilvl="3">
      <w:start w:val="1"/>
      <w:numFmt w:val="decimal"/>
      <w:lvlText w:val="%1.%2.%3.%4"/>
      <w:lvlJc w:val="left"/>
      <w:pPr>
        <w:ind w:left="1984" w:hanging="708"/>
      </w:pPr>
      <w:rPr>
        <w:rFonts w:hint="default"/>
        <w:u w:val="none"/>
      </w:rPr>
    </w:lvl>
    <w:lvl w:ilvl="4">
      <w:start w:val="1"/>
      <w:numFmt w:val="decimal"/>
      <w:lvlText w:val="%1.%2.%3.%4.%5"/>
      <w:lvlJc w:val="left"/>
      <w:pPr>
        <w:ind w:left="2551" w:hanging="850"/>
      </w:pPr>
      <w:rPr>
        <w:rFonts w:hint="default"/>
        <w:u w:val="none"/>
      </w:rPr>
    </w:lvl>
    <w:lvl w:ilvl="5">
      <w:start w:val="1"/>
      <w:numFmt w:val="decimal"/>
      <w:lvlText w:val="%1.%2.%3.%4.%5.%6"/>
      <w:lvlJc w:val="left"/>
      <w:pPr>
        <w:ind w:left="3260" w:hanging="1134"/>
      </w:pPr>
      <w:rPr>
        <w:rFonts w:hint="default"/>
        <w:u w:val="none"/>
      </w:rPr>
    </w:lvl>
    <w:lvl w:ilvl="6">
      <w:start w:val="1"/>
      <w:numFmt w:val="decimal"/>
      <w:lvlText w:val="%1.%2.%3.%4.%5.%6.%7"/>
      <w:lvlJc w:val="left"/>
      <w:pPr>
        <w:ind w:left="3827" w:hanging="1276"/>
      </w:pPr>
      <w:rPr>
        <w:rFonts w:hint="default"/>
        <w:u w:val="none"/>
      </w:rPr>
    </w:lvl>
    <w:lvl w:ilvl="7">
      <w:start w:val="1"/>
      <w:numFmt w:val="decimal"/>
      <w:lvlText w:val="%1.%2.%3.%4.%5.%6.%7.%8"/>
      <w:lvlJc w:val="left"/>
      <w:pPr>
        <w:ind w:left="4394" w:hanging="1418"/>
      </w:pPr>
      <w:rPr>
        <w:rFonts w:hint="default"/>
        <w:u w:val="none"/>
      </w:rPr>
    </w:lvl>
    <w:lvl w:ilvl="8">
      <w:start w:val="1"/>
      <w:numFmt w:val="decimal"/>
      <w:lvlText w:val="%1.%2.%3.%4.%5.%6.%7.%8.%9"/>
      <w:lvlJc w:val="left"/>
      <w:pPr>
        <w:ind w:left="5102" w:hanging="1700"/>
      </w:pPr>
      <w:rPr>
        <w:rFonts w:hint="default"/>
        <w:u w:val="none"/>
      </w:rPr>
    </w:lvl>
  </w:abstractNum>
  <w:abstractNum w:abstractNumId="24">
    <w:nsid w:val="4DCCD037"/>
    <w:multiLevelType w:val="multilevel"/>
    <w:tmpl w:val="4DCCD037"/>
    <w:lvl w:ilvl="0">
      <w:start w:val="1"/>
      <w:numFmt w:val="chineseCounting"/>
      <w:suff w:val="nothing"/>
      <w:lvlText w:val="（%1）"/>
      <w:lvlJc w:val="left"/>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25">
    <w:nsid w:val="520D70BF"/>
    <w:multiLevelType w:val="singleLevel"/>
    <w:tmpl w:val="520D70BF"/>
    <w:lvl w:ilvl="0">
      <w:start w:val="1"/>
      <w:numFmt w:val="chineseCounting"/>
      <w:suff w:val="nothing"/>
      <w:lvlText w:val="（%1）"/>
      <w:lvlJc w:val="left"/>
      <w:rPr>
        <w:rFonts w:hint="eastAsia"/>
      </w:rPr>
    </w:lvl>
  </w:abstractNum>
  <w:abstractNum w:abstractNumId="26">
    <w:nsid w:val="56E138C3"/>
    <w:multiLevelType w:val="multilevel"/>
    <w:tmpl w:val="56E138C3"/>
    <w:lvl w:ilvl="0">
      <w:start w:val="1"/>
      <w:numFmt w:val="decimal"/>
      <w:lvlText w:val="%1."/>
      <w:lvlJc w:val="left"/>
      <w:pPr>
        <w:ind w:left="425" w:hanging="425"/>
      </w:pPr>
      <w:rPr>
        <w:rFonts w:ascii="宋体" w:eastAsia="宋体" w:hAnsi="宋体" w:hint="eastAsia"/>
        <w:color w:val="auto"/>
        <w:u w:val="none"/>
      </w:rPr>
    </w:lvl>
    <w:lvl w:ilvl="1">
      <w:start w:val="1"/>
      <w:numFmt w:val="decimal"/>
      <w:lvlText w:val="%1.%2"/>
      <w:lvlJc w:val="left"/>
      <w:pPr>
        <w:ind w:left="992" w:hanging="567"/>
      </w:pPr>
      <w:rPr>
        <w:rFonts w:hint="default"/>
        <w:u w:val="none"/>
      </w:rPr>
    </w:lvl>
    <w:lvl w:ilvl="2">
      <w:start w:val="1"/>
      <w:numFmt w:val="decimal"/>
      <w:lvlText w:val="%1.%2.%3"/>
      <w:lvlJc w:val="left"/>
      <w:pPr>
        <w:ind w:left="1418" w:hanging="567"/>
      </w:pPr>
      <w:rPr>
        <w:rFonts w:hint="default"/>
        <w:u w:val="none"/>
      </w:rPr>
    </w:lvl>
    <w:lvl w:ilvl="3">
      <w:start w:val="1"/>
      <w:numFmt w:val="decimal"/>
      <w:lvlText w:val="%1.%2.%3.%4"/>
      <w:lvlJc w:val="left"/>
      <w:pPr>
        <w:ind w:left="1984" w:hanging="708"/>
      </w:pPr>
      <w:rPr>
        <w:rFonts w:hint="default"/>
        <w:u w:val="none"/>
      </w:rPr>
    </w:lvl>
    <w:lvl w:ilvl="4">
      <w:start w:val="1"/>
      <w:numFmt w:val="decimal"/>
      <w:lvlText w:val="%1.%2.%3.%4.%5"/>
      <w:lvlJc w:val="left"/>
      <w:pPr>
        <w:ind w:left="2551" w:hanging="850"/>
      </w:pPr>
      <w:rPr>
        <w:rFonts w:hint="default"/>
        <w:u w:val="none"/>
      </w:rPr>
    </w:lvl>
    <w:lvl w:ilvl="5">
      <w:start w:val="1"/>
      <w:numFmt w:val="decimal"/>
      <w:lvlText w:val="%1.%2.%3.%4.%5.%6"/>
      <w:lvlJc w:val="left"/>
      <w:pPr>
        <w:ind w:left="3260" w:hanging="1134"/>
      </w:pPr>
      <w:rPr>
        <w:rFonts w:hint="default"/>
        <w:u w:val="none"/>
      </w:rPr>
    </w:lvl>
    <w:lvl w:ilvl="6">
      <w:start w:val="1"/>
      <w:numFmt w:val="decimal"/>
      <w:lvlText w:val="%1.%2.%3.%4.%5.%6.%7"/>
      <w:lvlJc w:val="left"/>
      <w:pPr>
        <w:ind w:left="3827" w:hanging="1276"/>
      </w:pPr>
      <w:rPr>
        <w:rFonts w:hint="default"/>
        <w:u w:val="none"/>
      </w:rPr>
    </w:lvl>
    <w:lvl w:ilvl="7">
      <w:start w:val="1"/>
      <w:numFmt w:val="decimal"/>
      <w:lvlText w:val="%1.%2.%3.%4.%5.%6.%7.%8"/>
      <w:lvlJc w:val="left"/>
      <w:pPr>
        <w:ind w:left="4394" w:hanging="1418"/>
      </w:pPr>
      <w:rPr>
        <w:rFonts w:hint="default"/>
        <w:u w:val="none"/>
      </w:rPr>
    </w:lvl>
    <w:lvl w:ilvl="8">
      <w:start w:val="1"/>
      <w:numFmt w:val="decimal"/>
      <w:lvlText w:val="%1.%2.%3.%4.%5.%6.%7.%8.%9"/>
      <w:lvlJc w:val="left"/>
      <w:pPr>
        <w:ind w:left="5102" w:hanging="1700"/>
      </w:pPr>
      <w:rPr>
        <w:rFonts w:hint="default"/>
        <w:u w:val="none"/>
      </w:rPr>
    </w:lvl>
  </w:abstractNum>
  <w:abstractNum w:abstractNumId="27">
    <w:nsid w:val="5A8D14B5"/>
    <w:multiLevelType w:val="multilevel"/>
    <w:tmpl w:val="5A8D14B5"/>
    <w:lvl w:ilvl="0">
      <w:start w:val="1"/>
      <w:numFmt w:val="decimal"/>
      <w:lvlText w:val="%1."/>
      <w:lvlJc w:val="left"/>
      <w:pPr>
        <w:ind w:left="425" w:hanging="425"/>
      </w:pPr>
      <w:rPr>
        <w:rFonts w:ascii="宋体" w:eastAsia="宋体" w:hAnsi="宋体" w:hint="eastAsia"/>
        <w:color w:val="auto"/>
        <w:u w:val="none"/>
      </w:rPr>
    </w:lvl>
    <w:lvl w:ilvl="1">
      <w:start w:val="1"/>
      <w:numFmt w:val="decimal"/>
      <w:lvlText w:val="%1.%2"/>
      <w:lvlJc w:val="left"/>
      <w:pPr>
        <w:ind w:left="992" w:hanging="567"/>
      </w:pPr>
      <w:rPr>
        <w:rFonts w:hint="default"/>
        <w:u w:val="none"/>
      </w:rPr>
    </w:lvl>
    <w:lvl w:ilvl="2">
      <w:start w:val="1"/>
      <w:numFmt w:val="decimal"/>
      <w:lvlText w:val="%1.%2.%3"/>
      <w:lvlJc w:val="left"/>
      <w:pPr>
        <w:ind w:left="1418" w:hanging="567"/>
      </w:pPr>
      <w:rPr>
        <w:rFonts w:hint="default"/>
        <w:u w:val="none"/>
      </w:rPr>
    </w:lvl>
    <w:lvl w:ilvl="3">
      <w:start w:val="1"/>
      <w:numFmt w:val="decimal"/>
      <w:lvlText w:val="%1.%2.%3.%4"/>
      <w:lvlJc w:val="left"/>
      <w:pPr>
        <w:ind w:left="1984" w:hanging="708"/>
      </w:pPr>
      <w:rPr>
        <w:rFonts w:hint="default"/>
        <w:u w:val="none"/>
      </w:rPr>
    </w:lvl>
    <w:lvl w:ilvl="4">
      <w:start w:val="1"/>
      <w:numFmt w:val="decimal"/>
      <w:lvlText w:val="%1.%2.%3.%4.%5"/>
      <w:lvlJc w:val="left"/>
      <w:pPr>
        <w:ind w:left="2551" w:hanging="850"/>
      </w:pPr>
      <w:rPr>
        <w:rFonts w:hint="default"/>
        <w:u w:val="none"/>
      </w:rPr>
    </w:lvl>
    <w:lvl w:ilvl="5">
      <w:start w:val="1"/>
      <w:numFmt w:val="decimal"/>
      <w:lvlText w:val="%1.%2.%3.%4.%5.%6"/>
      <w:lvlJc w:val="left"/>
      <w:pPr>
        <w:ind w:left="3260" w:hanging="1134"/>
      </w:pPr>
      <w:rPr>
        <w:rFonts w:hint="default"/>
        <w:u w:val="none"/>
      </w:rPr>
    </w:lvl>
    <w:lvl w:ilvl="6">
      <w:start w:val="1"/>
      <w:numFmt w:val="decimal"/>
      <w:lvlText w:val="%1.%2.%3.%4.%5.%6.%7"/>
      <w:lvlJc w:val="left"/>
      <w:pPr>
        <w:ind w:left="3827" w:hanging="1276"/>
      </w:pPr>
      <w:rPr>
        <w:rFonts w:hint="default"/>
        <w:u w:val="none"/>
      </w:rPr>
    </w:lvl>
    <w:lvl w:ilvl="7">
      <w:start w:val="1"/>
      <w:numFmt w:val="decimal"/>
      <w:lvlText w:val="%1.%2.%3.%4.%5.%6.%7.%8"/>
      <w:lvlJc w:val="left"/>
      <w:pPr>
        <w:ind w:left="4394" w:hanging="1418"/>
      </w:pPr>
      <w:rPr>
        <w:rFonts w:hint="default"/>
        <w:u w:val="none"/>
      </w:rPr>
    </w:lvl>
    <w:lvl w:ilvl="8">
      <w:start w:val="1"/>
      <w:numFmt w:val="decimal"/>
      <w:lvlText w:val="%1.%2.%3.%4.%5.%6.%7.%8.%9"/>
      <w:lvlJc w:val="left"/>
      <w:pPr>
        <w:ind w:left="5102" w:hanging="1700"/>
      </w:pPr>
      <w:rPr>
        <w:rFonts w:hint="default"/>
        <w:u w:val="none"/>
      </w:rPr>
    </w:lvl>
  </w:abstractNum>
  <w:abstractNum w:abstractNumId="28">
    <w:nsid w:val="5AC7E313"/>
    <w:multiLevelType w:val="singleLevel"/>
    <w:tmpl w:val="5AC7E313"/>
    <w:lvl w:ilvl="0">
      <w:start w:val="1"/>
      <w:numFmt w:val="chineseCounting"/>
      <w:suff w:val="nothing"/>
      <w:lvlText w:val="（%1）"/>
      <w:lvlJc w:val="left"/>
      <w:rPr>
        <w:rFonts w:hint="eastAsia"/>
        <w:color w:val="000000" w:themeColor="text1"/>
      </w:rPr>
    </w:lvl>
  </w:abstractNum>
  <w:abstractNum w:abstractNumId="29">
    <w:nsid w:val="669D6414"/>
    <w:multiLevelType w:val="multilevel"/>
    <w:tmpl w:val="669D6414"/>
    <w:lvl w:ilvl="0">
      <w:start w:val="3"/>
      <w:numFmt w:val="japaneseCounting"/>
      <w:lvlText w:val="%1、"/>
      <w:lvlJc w:val="left"/>
      <w:pPr>
        <w:ind w:left="450" w:hanging="450"/>
      </w:pPr>
      <w:rPr>
        <w:rFonts w:hint="default"/>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68B2400A"/>
    <w:multiLevelType w:val="multilevel"/>
    <w:tmpl w:val="68B2400A"/>
    <w:lvl w:ilvl="0">
      <w:start w:val="1"/>
      <w:numFmt w:val="chineseCountingThousand"/>
      <w:pStyle w:val="a2"/>
      <w:lvlText w:val="（%1）"/>
      <w:lvlJc w:val="left"/>
      <w:pPr>
        <w:ind w:left="0" w:hanging="420"/>
      </w:pPr>
      <w:rPr>
        <w:rFonts w:eastAsia="宋体" w:hint="eastAsia"/>
        <w:color w:val="auto"/>
        <w:sz w:val="21"/>
      </w:rPr>
    </w:lvl>
    <w:lvl w:ilvl="1">
      <w:start w:val="1"/>
      <w:numFmt w:val="lowerLetter"/>
      <w:lvlText w:val="%2)"/>
      <w:lvlJc w:val="left"/>
      <w:pPr>
        <w:ind w:left="665" w:hanging="420"/>
      </w:pPr>
    </w:lvl>
    <w:lvl w:ilvl="2">
      <w:start w:val="1"/>
      <w:numFmt w:val="lowerRoman"/>
      <w:lvlText w:val="%3."/>
      <w:lvlJc w:val="right"/>
      <w:pPr>
        <w:ind w:left="1085" w:hanging="420"/>
      </w:pPr>
    </w:lvl>
    <w:lvl w:ilvl="3">
      <w:start w:val="1"/>
      <w:numFmt w:val="decimal"/>
      <w:lvlText w:val="%4."/>
      <w:lvlJc w:val="left"/>
      <w:pPr>
        <w:ind w:left="1505" w:hanging="420"/>
      </w:pPr>
    </w:lvl>
    <w:lvl w:ilvl="4">
      <w:start w:val="1"/>
      <w:numFmt w:val="lowerLetter"/>
      <w:lvlText w:val="%5)"/>
      <w:lvlJc w:val="left"/>
      <w:pPr>
        <w:ind w:left="1925" w:hanging="420"/>
      </w:pPr>
    </w:lvl>
    <w:lvl w:ilvl="5">
      <w:start w:val="1"/>
      <w:numFmt w:val="lowerRoman"/>
      <w:lvlText w:val="%6."/>
      <w:lvlJc w:val="right"/>
      <w:pPr>
        <w:ind w:left="2345" w:hanging="420"/>
      </w:pPr>
    </w:lvl>
    <w:lvl w:ilvl="6">
      <w:start w:val="1"/>
      <w:numFmt w:val="decimal"/>
      <w:lvlText w:val="%7."/>
      <w:lvlJc w:val="left"/>
      <w:pPr>
        <w:ind w:left="2765" w:hanging="420"/>
      </w:pPr>
    </w:lvl>
    <w:lvl w:ilvl="7">
      <w:start w:val="1"/>
      <w:numFmt w:val="lowerLetter"/>
      <w:lvlText w:val="%8)"/>
      <w:lvlJc w:val="left"/>
      <w:pPr>
        <w:ind w:left="3185" w:hanging="420"/>
      </w:pPr>
    </w:lvl>
    <w:lvl w:ilvl="8">
      <w:start w:val="1"/>
      <w:numFmt w:val="lowerRoman"/>
      <w:lvlText w:val="%9."/>
      <w:lvlJc w:val="right"/>
      <w:pPr>
        <w:ind w:left="3605" w:hanging="420"/>
      </w:pPr>
    </w:lvl>
  </w:abstractNum>
  <w:abstractNum w:abstractNumId="31">
    <w:nsid w:val="72921865"/>
    <w:multiLevelType w:val="multilevel"/>
    <w:tmpl w:val="72921865"/>
    <w:lvl w:ilvl="0">
      <w:start w:val="1"/>
      <w:numFmt w:val="chineseCountingThousand"/>
      <w:lvlText w:val="%1、"/>
      <w:lvlJc w:val="left"/>
      <w:pPr>
        <w:ind w:left="425" w:hanging="425"/>
      </w:pPr>
      <w:rPr>
        <w:rFonts w:hint="default"/>
        <w:color w:val="000000" w:themeColor="text1"/>
        <w:u w:val="none"/>
      </w:rPr>
    </w:lvl>
    <w:lvl w:ilvl="1">
      <w:start w:val="1"/>
      <w:numFmt w:val="decimal"/>
      <w:lvlText w:val="%1.%2"/>
      <w:lvlJc w:val="left"/>
      <w:pPr>
        <w:ind w:left="992" w:hanging="567"/>
      </w:pPr>
      <w:rPr>
        <w:rFonts w:hint="default"/>
        <w:u w:val="none"/>
      </w:rPr>
    </w:lvl>
    <w:lvl w:ilvl="2">
      <w:start w:val="1"/>
      <w:numFmt w:val="decimal"/>
      <w:lvlText w:val="%1.%2.%3"/>
      <w:lvlJc w:val="left"/>
      <w:pPr>
        <w:ind w:left="1418" w:hanging="567"/>
      </w:pPr>
      <w:rPr>
        <w:rFonts w:hint="default"/>
        <w:u w:val="none"/>
      </w:rPr>
    </w:lvl>
    <w:lvl w:ilvl="3">
      <w:start w:val="1"/>
      <w:numFmt w:val="decimal"/>
      <w:lvlText w:val="%1.%2.%3.%4"/>
      <w:lvlJc w:val="left"/>
      <w:pPr>
        <w:ind w:left="1984" w:hanging="708"/>
      </w:pPr>
      <w:rPr>
        <w:rFonts w:hint="default"/>
        <w:u w:val="none"/>
      </w:rPr>
    </w:lvl>
    <w:lvl w:ilvl="4">
      <w:start w:val="1"/>
      <w:numFmt w:val="decimal"/>
      <w:lvlText w:val="%1.%2.%3.%4.%5"/>
      <w:lvlJc w:val="left"/>
      <w:pPr>
        <w:ind w:left="2551" w:hanging="850"/>
      </w:pPr>
      <w:rPr>
        <w:rFonts w:hint="default"/>
        <w:u w:val="none"/>
      </w:rPr>
    </w:lvl>
    <w:lvl w:ilvl="5">
      <w:start w:val="1"/>
      <w:numFmt w:val="decimal"/>
      <w:lvlText w:val="%1.%2.%3.%4.%5.%6"/>
      <w:lvlJc w:val="left"/>
      <w:pPr>
        <w:ind w:left="3260" w:hanging="1134"/>
      </w:pPr>
      <w:rPr>
        <w:rFonts w:hint="default"/>
        <w:u w:val="none"/>
      </w:rPr>
    </w:lvl>
    <w:lvl w:ilvl="6">
      <w:start w:val="1"/>
      <w:numFmt w:val="decimal"/>
      <w:lvlText w:val="%1.%2.%3.%4.%5.%6.%7"/>
      <w:lvlJc w:val="left"/>
      <w:pPr>
        <w:ind w:left="3827" w:hanging="1276"/>
      </w:pPr>
      <w:rPr>
        <w:rFonts w:hint="default"/>
        <w:u w:val="none"/>
      </w:rPr>
    </w:lvl>
    <w:lvl w:ilvl="7">
      <w:start w:val="1"/>
      <w:numFmt w:val="decimal"/>
      <w:lvlText w:val="%1.%2.%3.%4.%5.%6.%7.%8"/>
      <w:lvlJc w:val="left"/>
      <w:pPr>
        <w:ind w:left="4394" w:hanging="1418"/>
      </w:pPr>
      <w:rPr>
        <w:rFonts w:hint="default"/>
        <w:u w:val="none"/>
      </w:rPr>
    </w:lvl>
    <w:lvl w:ilvl="8">
      <w:start w:val="1"/>
      <w:numFmt w:val="decimal"/>
      <w:lvlText w:val="%1.%2.%3.%4.%5.%6.%7.%8.%9"/>
      <w:lvlJc w:val="left"/>
      <w:pPr>
        <w:ind w:left="5102" w:hanging="1700"/>
      </w:pPr>
      <w:rPr>
        <w:rFonts w:hint="default"/>
        <w:u w:val="none"/>
      </w:rPr>
    </w:lvl>
  </w:abstractNum>
  <w:abstractNum w:abstractNumId="32">
    <w:nsid w:val="774018F5"/>
    <w:multiLevelType w:val="multilevel"/>
    <w:tmpl w:val="774018F5"/>
    <w:lvl w:ilvl="0">
      <w:start w:val="1"/>
      <w:numFmt w:val="chineseCountingThousand"/>
      <w:pStyle w:val="a3"/>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7A6ABF04"/>
    <w:multiLevelType w:val="multilevel"/>
    <w:tmpl w:val="7A6ABF04"/>
    <w:lvl w:ilvl="0">
      <w:start w:val="1"/>
      <w:numFmt w:val="bullet"/>
      <w:lvlText w:val=""/>
      <w:lvlJc w:val="left"/>
      <w:pPr>
        <w:ind w:left="1129" w:hanging="420"/>
      </w:pPr>
      <w:rPr>
        <w:rFonts w:ascii="Symbol" w:hAnsi="Symbol" w:hint="default"/>
        <w:sz w:val="18"/>
      </w:rPr>
    </w:lvl>
    <w:lvl w:ilvl="1">
      <w:start w:val="1"/>
      <w:numFmt w:val="bullet"/>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34">
    <w:nsid w:val="7B68381B"/>
    <w:multiLevelType w:val="multilevel"/>
    <w:tmpl w:val="7B68381B"/>
    <w:lvl w:ilvl="0">
      <w:start w:val="1"/>
      <w:numFmt w:val="bullet"/>
      <w:lvlText w:val=""/>
      <w:lvlJc w:val="left"/>
      <w:pPr>
        <w:ind w:left="1129" w:hanging="420"/>
      </w:pPr>
      <w:rPr>
        <w:rFonts w:ascii="Symbol" w:hAnsi="Symbol" w:hint="default"/>
        <w:sz w:val="18"/>
      </w:rPr>
    </w:lvl>
    <w:lvl w:ilvl="1">
      <w:start w:val="1"/>
      <w:numFmt w:val="bullet"/>
      <w:lvlText w:val=""/>
      <w:lvlJc w:val="left"/>
      <w:pPr>
        <w:ind w:left="1549" w:hanging="420"/>
      </w:pPr>
      <w:rPr>
        <w:rFonts w:ascii="Wingdings" w:hAnsi="Wingdings" w:hint="default"/>
      </w:rPr>
    </w:lvl>
    <w:lvl w:ilvl="2">
      <w:start w:val="1"/>
      <w:numFmt w:val="bullet"/>
      <w:lvlText w:val=""/>
      <w:lvlJc w:val="left"/>
      <w:pPr>
        <w:ind w:left="1969" w:hanging="420"/>
      </w:pPr>
      <w:rPr>
        <w:rFonts w:ascii="Wingdings" w:hAnsi="Wingdings" w:hint="default"/>
      </w:rPr>
    </w:lvl>
    <w:lvl w:ilvl="3">
      <w:start w:val="1"/>
      <w:numFmt w:val="bullet"/>
      <w:lvlText w:val=""/>
      <w:lvlJc w:val="left"/>
      <w:pPr>
        <w:ind w:left="2389" w:hanging="420"/>
      </w:pPr>
      <w:rPr>
        <w:rFonts w:ascii="Wingdings" w:hAnsi="Wingdings" w:hint="default"/>
      </w:rPr>
    </w:lvl>
    <w:lvl w:ilvl="4">
      <w:start w:val="1"/>
      <w:numFmt w:val="bullet"/>
      <w:lvlText w:val=""/>
      <w:lvlJc w:val="left"/>
      <w:pPr>
        <w:ind w:left="2809" w:hanging="420"/>
      </w:pPr>
      <w:rPr>
        <w:rFonts w:ascii="Wingdings" w:hAnsi="Wingdings" w:hint="default"/>
      </w:rPr>
    </w:lvl>
    <w:lvl w:ilvl="5">
      <w:start w:val="1"/>
      <w:numFmt w:val="bullet"/>
      <w:lvlText w:val=""/>
      <w:lvlJc w:val="left"/>
      <w:pPr>
        <w:ind w:left="3229" w:hanging="420"/>
      </w:pPr>
      <w:rPr>
        <w:rFonts w:ascii="Wingdings" w:hAnsi="Wingdings" w:hint="default"/>
      </w:rPr>
    </w:lvl>
    <w:lvl w:ilvl="6">
      <w:start w:val="1"/>
      <w:numFmt w:val="bullet"/>
      <w:lvlText w:val=""/>
      <w:lvlJc w:val="left"/>
      <w:pPr>
        <w:ind w:left="3649" w:hanging="420"/>
      </w:pPr>
      <w:rPr>
        <w:rFonts w:ascii="Wingdings" w:hAnsi="Wingdings" w:hint="default"/>
      </w:rPr>
    </w:lvl>
    <w:lvl w:ilvl="7">
      <w:start w:val="1"/>
      <w:numFmt w:val="bullet"/>
      <w:lvlText w:val=""/>
      <w:lvlJc w:val="left"/>
      <w:pPr>
        <w:ind w:left="4069" w:hanging="420"/>
      </w:pPr>
      <w:rPr>
        <w:rFonts w:ascii="Wingdings" w:hAnsi="Wingdings" w:hint="default"/>
      </w:rPr>
    </w:lvl>
    <w:lvl w:ilvl="8">
      <w:start w:val="1"/>
      <w:numFmt w:val="bullet"/>
      <w:lvlText w:val=""/>
      <w:lvlJc w:val="left"/>
      <w:pPr>
        <w:ind w:left="4489" w:hanging="420"/>
      </w:pPr>
      <w:rPr>
        <w:rFonts w:ascii="Wingdings" w:hAnsi="Wingdings" w:hint="default"/>
      </w:rPr>
    </w:lvl>
  </w:abstractNum>
  <w:abstractNum w:abstractNumId="35">
    <w:nsid w:val="7C6B0EF4"/>
    <w:multiLevelType w:val="multilevel"/>
    <w:tmpl w:val="7C6B0EF4"/>
    <w:lvl w:ilvl="0">
      <w:start w:val="2"/>
      <w:numFmt w:val="decimal"/>
      <w:lvlText w:val="(%1)"/>
      <w:lvlJc w:val="left"/>
      <w:pPr>
        <w:ind w:left="420" w:hanging="420"/>
      </w:pPr>
      <w:rPr>
        <w:rFonts w:hint="default"/>
        <w:b w:val="0"/>
      </w:rPr>
    </w:lvl>
    <w:lvl w:ilvl="1">
      <w:start w:val="1"/>
      <w:numFmt w:val="lowerLetter"/>
      <w:lvlText w:val="%2."/>
      <w:lvlJc w:val="left"/>
      <w:pPr>
        <w:ind w:left="780" w:hanging="36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6">
    <w:nsid w:val="7C6B0F09"/>
    <w:multiLevelType w:val="multilevel"/>
    <w:tmpl w:val="7C6B0F09"/>
    <w:lvl w:ilvl="0">
      <w:start w:val="1"/>
      <w:numFmt w:val="decimal"/>
      <w:lvlText w:val="(%1)"/>
      <w:lvlJc w:val="left"/>
      <w:pPr>
        <w:ind w:left="420" w:hanging="420"/>
      </w:pPr>
      <w:rPr>
        <w:rFonts w:hint="default"/>
        <w:b w:val="0"/>
      </w:rPr>
    </w:lvl>
    <w:lvl w:ilvl="1">
      <w:start w:val="1"/>
      <w:numFmt w:val="lowerLetter"/>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7C6B0F0A"/>
    <w:multiLevelType w:val="multilevel"/>
    <w:tmpl w:val="7C6B0F0A"/>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7C6B0F0B"/>
    <w:multiLevelType w:val="multilevel"/>
    <w:tmpl w:val="7C6B0F0B"/>
    <w:lvl w:ilvl="0">
      <w:start w:val="1"/>
      <w:numFmt w:val="upperLetter"/>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9">
    <w:nsid w:val="7C6B0F0C"/>
    <w:multiLevelType w:val="multilevel"/>
    <w:tmpl w:val="7C6B0F0C"/>
    <w:lvl w:ilvl="0">
      <w:start w:val="1"/>
      <w:numFmt w:val="decimal"/>
      <w:lvlText w:val="%1)"/>
      <w:lvlJc w:val="left"/>
      <w:pPr>
        <w:tabs>
          <w:tab w:val="left" w:pos="-840"/>
        </w:tabs>
        <w:ind w:left="-120" w:hanging="720"/>
      </w:pPr>
      <w:rPr>
        <w:rFonts w:hint="default"/>
      </w:rPr>
    </w:lvl>
    <w:lvl w:ilvl="1">
      <w:start w:val="1"/>
      <w:numFmt w:val="lowerLetter"/>
      <w:lvlText w:val="%2)"/>
      <w:lvlJc w:val="left"/>
      <w:pPr>
        <w:tabs>
          <w:tab w:val="left" w:pos="-840"/>
        </w:tabs>
        <w:ind w:left="0" w:hanging="420"/>
      </w:pPr>
    </w:lvl>
    <w:lvl w:ilvl="2">
      <w:start w:val="1"/>
      <w:numFmt w:val="lowerRoman"/>
      <w:lvlText w:val="%3."/>
      <w:lvlJc w:val="right"/>
      <w:pPr>
        <w:tabs>
          <w:tab w:val="left" w:pos="-840"/>
        </w:tabs>
        <w:ind w:left="420" w:hanging="420"/>
      </w:pPr>
    </w:lvl>
    <w:lvl w:ilvl="3">
      <w:start w:val="1"/>
      <w:numFmt w:val="decimal"/>
      <w:lvlText w:val="%4."/>
      <w:lvlJc w:val="left"/>
      <w:pPr>
        <w:tabs>
          <w:tab w:val="left" w:pos="-840"/>
        </w:tabs>
        <w:ind w:left="840" w:hanging="420"/>
      </w:pPr>
    </w:lvl>
    <w:lvl w:ilvl="4">
      <w:start w:val="1"/>
      <w:numFmt w:val="lowerLetter"/>
      <w:lvlText w:val="%5)"/>
      <w:lvlJc w:val="left"/>
      <w:pPr>
        <w:tabs>
          <w:tab w:val="left" w:pos="-840"/>
        </w:tabs>
        <w:ind w:left="1260" w:hanging="420"/>
      </w:pPr>
    </w:lvl>
    <w:lvl w:ilvl="5">
      <w:start w:val="1"/>
      <w:numFmt w:val="lowerRoman"/>
      <w:lvlText w:val="%6."/>
      <w:lvlJc w:val="right"/>
      <w:pPr>
        <w:tabs>
          <w:tab w:val="left" w:pos="-840"/>
        </w:tabs>
        <w:ind w:left="1680" w:hanging="420"/>
      </w:pPr>
    </w:lvl>
    <w:lvl w:ilvl="6">
      <w:start w:val="1"/>
      <w:numFmt w:val="decimal"/>
      <w:lvlText w:val="%7."/>
      <w:lvlJc w:val="left"/>
      <w:pPr>
        <w:tabs>
          <w:tab w:val="left" w:pos="-840"/>
        </w:tabs>
        <w:ind w:left="2100" w:hanging="420"/>
      </w:pPr>
    </w:lvl>
    <w:lvl w:ilvl="7">
      <w:start w:val="1"/>
      <w:numFmt w:val="lowerLetter"/>
      <w:lvlText w:val="%8)"/>
      <w:lvlJc w:val="left"/>
      <w:pPr>
        <w:tabs>
          <w:tab w:val="left" w:pos="-840"/>
        </w:tabs>
        <w:ind w:left="2520" w:hanging="420"/>
      </w:pPr>
    </w:lvl>
    <w:lvl w:ilvl="8">
      <w:start w:val="1"/>
      <w:numFmt w:val="lowerRoman"/>
      <w:lvlText w:val="%9."/>
      <w:lvlJc w:val="right"/>
      <w:pPr>
        <w:tabs>
          <w:tab w:val="left" w:pos="-840"/>
        </w:tabs>
        <w:ind w:left="2940" w:hanging="420"/>
      </w:pPr>
    </w:lvl>
  </w:abstractNum>
  <w:abstractNum w:abstractNumId="40">
    <w:nsid w:val="7C6B0F0D"/>
    <w:multiLevelType w:val="multilevel"/>
    <w:tmpl w:val="7C6B0F0D"/>
    <w:lvl w:ilvl="0">
      <w:start w:val="1"/>
      <w:numFmt w:val="decimal"/>
      <w:lvlText w:val="(%1)"/>
      <w:lvlJc w:val="left"/>
      <w:pPr>
        <w:ind w:left="420" w:hanging="420"/>
      </w:pPr>
      <w:rPr>
        <w:rFonts w:hint="default"/>
        <w:b w:val="0"/>
      </w:rPr>
    </w:lvl>
    <w:lvl w:ilvl="1">
      <w:start w:val="1"/>
      <w:numFmt w:val="lowerLetter"/>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nsid w:val="7D040F0B"/>
    <w:multiLevelType w:val="multilevel"/>
    <w:tmpl w:val="7D040F0B"/>
    <w:lvl w:ilvl="0">
      <w:start w:val="1"/>
      <w:numFmt w:val="decimal"/>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32"/>
  </w:num>
  <w:num w:numId="2">
    <w:abstractNumId w:val="18"/>
  </w:num>
  <w:num w:numId="3">
    <w:abstractNumId w:val="30"/>
  </w:num>
  <w:num w:numId="4">
    <w:abstractNumId w:val="20"/>
  </w:num>
  <w:num w:numId="5">
    <w:abstractNumId w:val="2"/>
  </w:num>
  <w:num w:numId="6">
    <w:abstractNumId w:val="12"/>
  </w:num>
  <w:num w:numId="7">
    <w:abstractNumId w:val="25"/>
  </w:num>
  <w:num w:numId="8">
    <w:abstractNumId w:val="5"/>
  </w:num>
  <w:num w:numId="9">
    <w:abstractNumId w:val="21"/>
  </w:num>
  <w:num w:numId="10">
    <w:abstractNumId w:val="7"/>
  </w:num>
  <w:num w:numId="11">
    <w:abstractNumId w:val="15"/>
  </w:num>
  <w:num w:numId="12">
    <w:abstractNumId w:val="26"/>
  </w:num>
  <w:num w:numId="13">
    <w:abstractNumId w:val="6"/>
  </w:num>
  <w:num w:numId="14">
    <w:abstractNumId w:val="27"/>
  </w:num>
  <w:num w:numId="15">
    <w:abstractNumId w:val="10"/>
  </w:num>
  <w:num w:numId="16">
    <w:abstractNumId w:val="9"/>
  </w:num>
  <w:num w:numId="17">
    <w:abstractNumId w:val="8"/>
  </w:num>
  <w:num w:numId="18">
    <w:abstractNumId w:val="22"/>
  </w:num>
  <w:num w:numId="19">
    <w:abstractNumId w:val="0"/>
  </w:num>
  <w:num w:numId="20">
    <w:abstractNumId w:val="31"/>
  </w:num>
  <w:num w:numId="21">
    <w:abstractNumId w:val="3"/>
  </w:num>
  <w:num w:numId="22">
    <w:abstractNumId w:val="29"/>
  </w:num>
  <w:num w:numId="23">
    <w:abstractNumId w:val="23"/>
  </w:num>
  <w:num w:numId="24">
    <w:abstractNumId w:val="11"/>
  </w:num>
  <w:num w:numId="25">
    <w:abstractNumId w:val="1"/>
  </w:num>
  <w:num w:numId="26">
    <w:abstractNumId w:val="41"/>
  </w:num>
  <w:num w:numId="27">
    <w:abstractNumId w:val="19"/>
  </w:num>
  <w:num w:numId="28">
    <w:abstractNumId w:val="28"/>
  </w:num>
  <w:num w:numId="29">
    <w:abstractNumId w:val="16"/>
  </w:num>
  <w:num w:numId="30">
    <w:abstractNumId w:val="4"/>
  </w:num>
  <w:num w:numId="31">
    <w:abstractNumId w:val="24"/>
  </w:num>
  <w:num w:numId="32">
    <w:abstractNumId w:val="36"/>
  </w:num>
  <w:num w:numId="33">
    <w:abstractNumId w:val="35"/>
  </w:num>
  <w:num w:numId="34">
    <w:abstractNumId w:val="37"/>
  </w:num>
  <w:num w:numId="35">
    <w:abstractNumId w:val="38"/>
  </w:num>
  <w:num w:numId="36">
    <w:abstractNumId w:val="14"/>
  </w:num>
  <w:num w:numId="37">
    <w:abstractNumId w:val="33"/>
  </w:num>
  <w:num w:numId="38">
    <w:abstractNumId w:val="34"/>
  </w:num>
  <w:num w:numId="39">
    <w:abstractNumId w:val="39"/>
  </w:num>
  <w:num w:numId="40">
    <w:abstractNumId w:val="13"/>
  </w:num>
  <w:num w:numId="41">
    <w:abstractNumId w:val="17"/>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hideSpellingErrors/>
  <w:proofState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1A8"/>
    <w:rsid w:val="000027B9"/>
    <w:rsid w:val="0000294C"/>
    <w:rsid w:val="00002FE6"/>
    <w:rsid w:val="0000342E"/>
    <w:rsid w:val="00007939"/>
    <w:rsid w:val="000105C8"/>
    <w:rsid w:val="00011D35"/>
    <w:rsid w:val="00012722"/>
    <w:rsid w:val="000146A1"/>
    <w:rsid w:val="0001529A"/>
    <w:rsid w:val="000167CA"/>
    <w:rsid w:val="00016E96"/>
    <w:rsid w:val="00022135"/>
    <w:rsid w:val="00022B65"/>
    <w:rsid w:val="000233C4"/>
    <w:rsid w:val="0002527E"/>
    <w:rsid w:val="00025DE0"/>
    <w:rsid w:val="0002641B"/>
    <w:rsid w:val="00026A3E"/>
    <w:rsid w:val="00026D58"/>
    <w:rsid w:val="0002747D"/>
    <w:rsid w:val="0002789A"/>
    <w:rsid w:val="00031724"/>
    <w:rsid w:val="00031928"/>
    <w:rsid w:val="00031ABB"/>
    <w:rsid w:val="00032241"/>
    <w:rsid w:val="00034435"/>
    <w:rsid w:val="00037015"/>
    <w:rsid w:val="000419DC"/>
    <w:rsid w:val="00042632"/>
    <w:rsid w:val="00042F5B"/>
    <w:rsid w:val="0004482E"/>
    <w:rsid w:val="0005305F"/>
    <w:rsid w:val="00054D12"/>
    <w:rsid w:val="000605BE"/>
    <w:rsid w:val="00061023"/>
    <w:rsid w:val="00062567"/>
    <w:rsid w:val="000629BE"/>
    <w:rsid w:val="00062D92"/>
    <w:rsid w:val="00066995"/>
    <w:rsid w:val="00070DF8"/>
    <w:rsid w:val="000718D2"/>
    <w:rsid w:val="0007319F"/>
    <w:rsid w:val="00081769"/>
    <w:rsid w:val="00081A54"/>
    <w:rsid w:val="00082DA8"/>
    <w:rsid w:val="000848D6"/>
    <w:rsid w:val="00086FFD"/>
    <w:rsid w:val="00087471"/>
    <w:rsid w:val="00087964"/>
    <w:rsid w:val="00094E32"/>
    <w:rsid w:val="0009613B"/>
    <w:rsid w:val="000A3105"/>
    <w:rsid w:val="000A5C7A"/>
    <w:rsid w:val="000A5D80"/>
    <w:rsid w:val="000A7BE8"/>
    <w:rsid w:val="000B58F4"/>
    <w:rsid w:val="000B5AF9"/>
    <w:rsid w:val="000B6091"/>
    <w:rsid w:val="000B62CA"/>
    <w:rsid w:val="000B69F8"/>
    <w:rsid w:val="000B6A27"/>
    <w:rsid w:val="000B75EA"/>
    <w:rsid w:val="000B7611"/>
    <w:rsid w:val="000B78B3"/>
    <w:rsid w:val="000C123D"/>
    <w:rsid w:val="000C13FD"/>
    <w:rsid w:val="000C1EE9"/>
    <w:rsid w:val="000C1F06"/>
    <w:rsid w:val="000C2C9C"/>
    <w:rsid w:val="000C4637"/>
    <w:rsid w:val="000C53F2"/>
    <w:rsid w:val="000D1D2E"/>
    <w:rsid w:val="000D2627"/>
    <w:rsid w:val="000D3AC6"/>
    <w:rsid w:val="000D46F1"/>
    <w:rsid w:val="000D4861"/>
    <w:rsid w:val="000D4A55"/>
    <w:rsid w:val="000D4A68"/>
    <w:rsid w:val="000D4D99"/>
    <w:rsid w:val="000D6A48"/>
    <w:rsid w:val="000E0BC3"/>
    <w:rsid w:val="000E1C7F"/>
    <w:rsid w:val="000E1DBF"/>
    <w:rsid w:val="000E34FE"/>
    <w:rsid w:val="000E359C"/>
    <w:rsid w:val="000E399D"/>
    <w:rsid w:val="000E7C28"/>
    <w:rsid w:val="000F0017"/>
    <w:rsid w:val="000F0445"/>
    <w:rsid w:val="000F08B5"/>
    <w:rsid w:val="000F1842"/>
    <w:rsid w:val="000F21D3"/>
    <w:rsid w:val="000F64EB"/>
    <w:rsid w:val="001005B3"/>
    <w:rsid w:val="001007FD"/>
    <w:rsid w:val="00102566"/>
    <w:rsid w:val="001042B7"/>
    <w:rsid w:val="00104C84"/>
    <w:rsid w:val="00105DFF"/>
    <w:rsid w:val="001064E2"/>
    <w:rsid w:val="00106B74"/>
    <w:rsid w:val="00107F15"/>
    <w:rsid w:val="0011166C"/>
    <w:rsid w:val="00111DF5"/>
    <w:rsid w:val="00112460"/>
    <w:rsid w:val="001137B1"/>
    <w:rsid w:val="00114789"/>
    <w:rsid w:val="00114B8F"/>
    <w:rsid w:val="00115C9F"/>
    <w:rsid w:val="00116A47"/>
    <w:rsid w:val="00117551"/>
    <w:rsid w:val="0012239B"/>
    <w:rsid w:val="001223E4"/>
    <w:rsid w:val="001225A4"/>
    <w:rsid w:val="001227A3"/>
    <w:rsid w:val="0012285E"/>
    <w:rsid w:val="00122C27"/>
    <w:rsid w:val="001233EC"/>
    <w:rsid w:val="00123959"/>
    <w:rsid w:val="00125AE5"/>
    <w:rsid w:val="00126873"/>
    <w:rsid w:val="0013190A"/>
    <w:rsid w:val="00132346"/>
    <w:rsid w:val="00132D3E"/>
    <w:rsid w:val="001336CD"/>
    <w:rsid w:val="001338F1"/>
    <w:rsid w:val="001367D6"/>
    <w:rsid w:val="00141B7B"/>
    <w:rsid w:val="001420BE"/>
    <w:rsid w:val="001438C6"/>
    <w:rsid w:val="00143E82"/>
    <w:rsid w:val="00145555"/>
    <w:rsid w:val="00145F31"/>
    <w:rsid w:val="001471A0"/>
    <w:rsid w:val="001502AE"/>
    <w:rsid w:val="00151A01"/>
    <w:rsid w:val="001541D2"/>
    <w:rsid w:val="00156E39"/>
    <w:rsid w:val="00160910"/>
    <w:rsid w:val="00160C74"/>
    <w:rsid w:val="0016394F"/>
    <w:rsid w:val="001642F9"/>
    <w:rsid w:val="00164D3F"/>
    <w:rsid w:val="00165476"/>
    <w:rsid w:val="00165E96"/>
    <w:rsid w:val="0016601B"/>
    <w:rsid w:val="00166BBC"/>
    <w:rsid w:val="00170F11"/>
    <w:rsid w:val="0017111F"/>
    <w:rsid w:val="0017118F"/>
    <w:rsid w:val="00172065"/>
    <w:rsid w:val="00172A27"/>
    <w:rsid w:val="00173099"/>
    <w:rsid w:val="0017414F"/>
    <w:rsid w:val="001743E4"/>
    <w:rsid w:val="001749A5"/>
    <w:rsid w:val="0017547E"/>
    <w:rsid w:val="00180D50"/>
    <w:rsid w:val="00181B3D"/>
    <w:rsid w:val="00182409"/>
    <w:rsid w:val="00185095"/>
    <w:rsid w:val="00185ACF"/>
    <w:rsid w:val="00186EA8"/>
    <w:rsid w:val="00187B35"/>
    <w:rsid w:val="001919C9"/>
    <w:rsid w:val="00192852"/>
    <w:rsid w:val="00195129"/>
    <w:rsid w:val="001962CC"/>
    <w:rsid w:val="00197750"/>
    <w:rsid w:val="001A21B5"/>
    <w:rsid w:val="001A237A"/>
    <w:rsid w:val="001A277B"/>
    <w:rsid w:val="001A2D98"/>
    <w:rsid w:val="001A3253"/>
    <w:rsid w:val="001A3FD2"/>
    <w:rsid w:val="001A4D8F"/>
    <w:rsid w:val="001A5CA8"/>
    <w:rsid w:val="001A6218"/>
    <w:rsid w:val="001A6D10"/>
    <w:rsid w:val="001B01F7"/>
    <w:rsid w:val="001B16FC"/>
    <w:rsid w:val="001B170A"/>
    <w:rsid w:val="001B39E3"/>
    <w:rsid w:val="001B5A98"/>
    <w:rsid w:val="001B6E85"/>
    <w:rsid w:val="001C1036"/>
    <w:rsid w:val="001C2CA3"/>
    <w:rsid w:val="001C2F37"/>
    <w:rsid w:val="001C4B26"/>
    <w:rsid w:val="001C7E37"/>
    <w:rsid w:val="001D0A66"/>
    <w:rsid w:val="001D0C41"/>
    <w:rsid w:val="001D0CA8"/>
    <w:rsid w:val="001D48A6"/>
    <w:rsid w:val="001D504A"/>
    <w:rsid w:val="001D6D86"/>
    <w:rsid w:val="001D6F63"/>
    <w:rsid w:val="001D740E"/>
    <w:rsid w:val="001D765F"/>
    <w:rsid w:val="001E11AE"/>
    <w:rsid w:val="001E15AB"/>
    <w:rsid w:val="001E1C4A"/>
    <w:rsid w:val="001E4427"/>
    <w:rsid w:val="001E51DF"/>
    <w:rsid w:val="001E528D"/>
    <w:rsid w:val="001E6825"/>
    <w:rsid w:val="001E6D68"/>
    <w:rsid w:val="001E7182"/>
    <w:rsid w:val="001E7A68"/>
    <w:rsid w:val="001E7AC0"/>
    <w:rsid w:val="001F1414"/>
    <w:rsid w:val="001F1A00"/>
    <w:rsid w:val="001F1A99"/>
    <w:rsid w:val="001F1BA2"/>
    <w:rsid w:val="001F2768"/>
    <w:rsid w:val="001F2B31"/>
    <w:rsid w:val="001F4A44"/>
    <w:rsid w:val="001F5EC4"/>
    <w:rsid w:val="001F5F4B"/>
    <w:rsid w:val="001F63BE"/>
    <w:rsid w:val="001F7D95"/>
    <w:rsid w:val="00201C20"/>
    <w:rsid w:val="00202D72"/>
    <w:rsid w:val="00202F17"/>
    <w:rsid w:val="00203CB2"/>
    <w:rsid w:val="00203F88"/>
    <w:rsid w:val="002042DA"/>
    <w:rsid w:val="00204F37"/>
    <w:rsid w:val="002050FE"/>
    <w:rsid w:val="0020515A"/>
    <w:rsid w:val="002072F7"/>
    <w:rsid w:val="002079DC"/>
    <w:rsid w:val="002106D5"/>
    <w:rsid w:val="0021209A"/>
    <w:rsid w:val="00215083"/>
    <w:rsid w:val="00217556"/>
    <w:rsid w:val="00217DB1"/>
    <w:rsid w:val="00220A17"/>
    <w:rsid w:val="00221228"/>
    <w:rsid w:val="00223766"/>
    <w:rsid w:val="00226A68"/>
    <w:rsid w:val="00232709"/>
    <w:rsid w:val="00233CDA"/>
    <w:rsid w:val="0024115F"/>
    <w:rsid w:val="0024150B"/>
    <w:rsid w:val="0024404A"/>
    <w:rsid w:val="00244139"/>
    <w:rsid w:val="00244FBE"/>
    <w:rsid w:val="0024533B"/>
    <w:rsid w:val="00251B6C"/>
    <w:rsid w:val="0025265B"/>
    <w:rsid w:val="00252BC6"/>
    <w:rsid w:val="00252E51"/>
    <w:rsid w:val="00254591"/>
    <w:rsid w:val="00254BB6"/>
    <w:rsid w:val="00260084"/>
    <w:rsid w:val="002622DC"/>
    <w:rsid w:val="00262F77"/>
    <w:rsid w:val="00267110"/>
    <w:rsid w:val="00272240"/>
    <w:rsid w:val="00272A9E"/>
    <w:rsid w:val="00272F38"/>
    <w:rsid w:val="002745B8"/>
    <w:rsid w:val="00275384"/>
    <w:rsid w:val="002755D9"/>
    <w:rsid w:val="00275EA8"/>
    <w:rsid w:val="0027700E"/>
    <w:rsid w:val="00277DA4"/>
    <w:rsid w:val="00277E6C"/>
    <w:rsid w:val="0028572B"/>
    <w:rsid w:val="002859F1"/>
    <w:rsid w:val="00285EAE"/>
    <w:rsid w:val="002862AE"/>
    <w:rsid w:val="00286952"/>
    <w:rsid w:val="00286DAD"/>
    <w:rsid w:val="0028746E"/>
    <w:rsid w:val="002874DE"/>
    <w:rsid w:val="00287955"/>
    <w:rsid w:val="00287998"/>
    <w:rsid w:val="00291809"/>
    <w:rsid w:val="002923F3"/>
    <w:rsid w:val="002927A4"/>
    <w:rsid w:val="00292E2E"/>
    <w:rsid w:val="00293602"/>
    <w:rsid w:val="00294C10"/>
    <w:rsid w:val="00295FB9"/>
    <w:rsid w:val="00296AA0"/>
    <w:rsid w:val="00297C78"/>
    <w:rsid w:val="00297D34"/>
    <w:rsid w:val="002A1101"/>
    <w:rsid w:val="002A28CD"/>
    <w:rsid w:val="002A3427"/>
    <w:rsid w:val="002A3984"/>
    <w:rsid w:val="002A631A"/>
    <w:rsid w:val="002A64E4"/>
    <w:rsid w:val="002B1ECA"/>
    <w:rsid w:val="002B3F07"/>
    <w:rsid w:val="002B4AAF"/>
    <w:rsid w:val="002B6147"/>
    <w:rsid w:val="002B754A"/>
    <w:rsid w:val="002C0813"/>
    <w:rsid w:val="002C0B99"/>
    <w:rsid w:val="002C0E05"/>
    <w:rsid w:val="002C2858"/>
    <w:rsid w:val="002C32C6"/>
    <w:rsid w:val="002C43E3"/>
    <w:rsid w:val="002C4D19"/>
    <w:rsid w:val="002C5DC3"/>
    <w:rsid w:val="002C6032"/>
    <w:rsid w:val="002C6563"/>
    <w:rsid w:val="002C6D77"/>
    <w:rsid w:val="002D13B6"/>
    <w:rsid w:val="002D2496"/>
    <w:rsid w:val="002D60A0"/>
    <w:rsid w:val="002E13B1"/>
    <w:rsid w:val="002E148E"/>
    <w:rsid w:val="002E165E"/>
    <w:rsid w:val="002E2630"/>
    <w:rsid w:val="002E29E2"/>
    <w:rsid w:val="002E3D22"/>
    <w:rsid w:val="002E4C58"/>
    <w:rsid w:val="002E55AD"/>
    <w:rsid w:val="002E5AC7"/>
    <w:rsid w:val="002E6024"/>
    <w:rsid w:val="002E6F08"/>
    <w:rsid w:val="002E738B"/>
    <w:rsid w:val="002E78F7"/>
    <w:rsid w:val="002F0511"/>
    <w:rsid w:val="002F0781"/>
    <w:rsid w:val="002F083E"/>
    <w:rsid w:val="002F16BA"/>
    <w:rsid w:val="002F192A"/>
    <w:rsid w:val="002F2A87"/>
    <w:rsid w:val="002F3B82"/>
    <w:rsid w:val="002F58B0"/>
    <w:rsid w:val="002F595F"/>
    <w:rsid w:val="00300DEC"/>
    <w:rsid w:val="00302C76"/>
    <w:rsid w:val="00303857"/>
    <w:rsid w:val="00304A89"/>
    <w:rsid w:val="00304AD5"/>
    <w:rsid w:val="0030530E"/>
    <w:rsid w:val="00305821"/>
    <w:rsid w:val="00305D37"/>
    <w:rsid w:val="00306266"/>
    <w:rsid w:val="003063E7"/>
    <w:rsid w:val="00307279"/>
    <w:rsid w:val="00307560"/>
    <w:rsid w:val="00310144"/>
    <w:rsid w:val="0031242F"/>
    <w:rsid w:val="003128D7"/>
    <w:rsid w:val="00312D8C"/>
    <w:rsid w:val="0031321C"/>
    <w:rsid w:val="00313439"/>
    <w:rsid w:val="003155B0"/>
    <w:rsid w:val="003209E0"/>
    <w:rsid w:val="00320E0D"/>
    <w:rsid w:val="003214A4"/>
    <w:rsid w:val="003220F7"/>
    <w:rsid w:val="00322EFA"/>
    <w:rsid w:val="00323972"/>
    <w:rsid w:val="003243DB"/>
    <w:rsid w:val="00325629"/>
    <w:rsid w:val="0032647B"/>
    <w:rsid w:val="003276C3"/>
    <w:rsid w:val="003302F5"/>
    <w:rsid w:val="0033037A"/>
    <w:rsid w:val="003314A3"/>
    <w:rsid w:val="00333199"/>
    <w:rsid w:val="00334470"/>
    <w:rsid w:val="003359C2"/>
    <w:rsid w:val="00336A85"/>
    <w:rsid w:val="00336C4E"/>
    <w:rsid w:val="00336E97"/>
    <w:rsid w:val="003375CF"/>
    <w:rsid w:val="00337D34"/>
    <w:rsid w:val="00343279"/>
    <w:rsid w:val="00343C9B"/>
    <w:rsid w:val="003443FB"/>
    <w:rsid w:val="00345CD5"/>
    <w:rsid w:val="00346017"/>
    <w:rsid w:val="0034604D"/>
    <w:rsid w:val="00347E32"/>
    <w:rsid w:val="00351FB0"/>
    <w:rsid w:val="0035561B"/>
    <w:rsid w:val="0035575D"/>
    <w:rsid w:val="003609B3"/>
    <w:rsid w:val="003628E5"/>
    <w:rsid w:val="00363B92"/>
    <w:rsid w:val="00364AB9"/>
    <w:rsid w:val="00365FF9"/>
    <w:rsid w:val="003676D3"/>
    <w:rsid w:val="003679C0"/>
    <w:rsid w:val="00370B24"/>
    <w:rsid w:val="003773E6"/>
    <w:rsid w:val="003806C7"/>
    <w:rsid w:val="00380B6F"/>
    <w:rsid w:val="00381AC4"/>
    <w:rsid w:val="00381D0C"/>
    <w:rsid w:val="00381E3B"/>
    <w:rsid w:val="00382BE9"/>
    <w:rsid w:val="00385009"/>
    <w:rsid w:val="00386FB6"/>
    <w:rsid w:val="00392835"/>
    <w:rsid w:val="00392F2A"/>
    <w:rsid w:val="00392F68"/>
    <w:rsid w:val="0039409C"/>
    <w:rsid w:val="003945D9"/>
    <w:rsid w:val="0039728D"/>
    <w:rsid w:val="003976CA"/>
    <w:rsid w:val="003A0948"/>
    <w:rsid w:val="003A1D35"/>
    <w:rsid w:val="003A2228"/>
    <w:rsid w:val="003A4DA2"/>
    <w:rsid w:val="003A6771"/>
    <w:rsid w:val="003A6E66"/>
    <w:rsid w:val="003A71E7"/>
    <w:rsid w:val="003B0143"/>
    <w:rsid w:val="003B1F64"/>
    <w:rsid w:val="003B2E0B"/>
    <w:rsid w:val="003B33A3"/>
    <w:rsid w:val="003B3E42"/>
    <w:rsid w:val="003B4215"/>
    <w:rsid w:val="003B55A3"/>
    <w:rsid w:val="003B6DAC"/>
    <w:rsid w:val="003B6E8D"/>
    <w:rsid w:val="003C1487"/>
    <w:rsid w:val="003C1BBE"/>
    <w:rsid w:val="003C358A"/>
    <w:rsid w:val="003C51AB"/>
    <w:rsid w:val="003C62C9"/>
    <w:rsid w:val="003C6969"/>
    <w:rsid w:val="003C7FC8"/>
    <w:rsid w:val="003D109F"/>
    <w:rsid w:val="003D15A7"/>
    <w:rsid w:val="003D222C"/>
    <w:rsid w:val="003D2576"/>
    <w:rsid w:val="003D272A"/>
    <w:rsid w:val="003D3731"/>
    <w:rsid w:val="003D6FD1"/>
    <w:rsid w:val="003D7095"/>
    <w:rsid w:val="003D70D2"/>
    <w:rsid w:val="003E0615"/>
    <w:rsid w:val="003E06CC"/>
    <w:rsid w:val="003E0DA5"/>
    <w:rsid w:val="003E0EA3"/>
    <w:rsid w:val="003E2006"/>
    <w:rsid w:val="003E31E9"/>
    <w:rsid w:val="003E7871"/>
    <w:rsid w:val="003F01E5"/>
    <w:rsid w:val="003F2863"/>
    <w:rsid w:val="003F29C1"/>
    <w:rsid w:val="003F3644"/>
    <w:rsid w:val="003F65FC"/>
    <w:rsid w:val="003F7ABA"/>
    <w:rsid w:val="00400799"/>
    <w:rsid w:val="00400FF9"/>
    <w:rsid w:val="004023AA"/>
    <w:rsid w:val="00402854"/>
    <w:rsid w:val="004035F4"/>
    <w:rsid w:val="00403E06"/>
    <w:rsid w:val="004042B9"/>
    <w:rsid w:val="00404477"/>
    <w:rsid w:val="00405B92"/>
    <w:rsid w:val="0040661E"/>
    <w:rsid w:val="00407531"/>
    <w:rsid w:val="0040770B"/>
    <w:rsid w:val="00407724"/>
    <w:rsid w:val="004115DF"/>
    <w:rsid w:val="00412BED"/>
    <w:rsid w:val="00413CAF"/>
    <w:rsid w:val="00414A54"/>
    <w:rsid w:val="00416DEA"/>
    <w:rsid w:val="004171DE"/>
    <w:rsid w:val="00417EBF"/>
    <w:rsid w:val="00420DB1"/>
    <w:rsid w:val="004215B8"/>
    <w:rsid w:val="004216C6"/>
    <w:rsid w:val="00427452"/>
    <w:rsid w:val="00427912"/>
    <w:rsid w:val="00427E3F"/>
    <w:rsid w:val="0043056B"/>
    <w:rsid w:val="004317C6"/>
    <w:rsid w:val="004331D0"/>
    <w:rsid w:val="00434F04"/>
    <w:rsid w:val="00434FC1"/>
    <w:rsid w:val="0044127D"/>
    <w:rsid w:val="00441569"/>
    <w:rsid w:val="004423B3"/>
    <w:rsid w:val="00442535"/>
    <w:rsid w:val="00442803"/>
    <w:rsid w:val="00443729"/>
    <w:rsid w:val="00444114"/>
    <w:rsid w:val="00444DEF"/>
    <w:rsid w:val="0044675E"/>
    <w:rsid w:val="00446C41"/>
    <w:rsid w:val="004472FA"/>
    <w:rsid w:val="00447C68"/>
    <w:rsid w:val="004509CF"/>
    <w:rsid w:val="00450C58"/>
    <w:rsid w:val="004517F1"/>
    <w:rsid w:val="00453632"/>
    <w:rsid w:val="0045502D"/>
    <w:rsid w:val="00455301"/>
    <w:rsid w:val="004576B1"/>
    <w:rsid w:val="004616F6"/>
    <w:rsid w:val="00466291"/>
    <w:rsid w:val="00467442"/>
    <w:rsid w:val="0047409E"/>
    <w:rsid w:val="0047444E"/>
    <w:rsid w:val="0047565A"/>
    <w:rsid w:val="004764BB"/>
    <w:rsid w:val="00481201"/>
    <w:rsid w:val="00484D98"/>
    <w:rsid w:val="00486E2E"/>
    <w:rsid w:val="0049170F"/>
    <w:rsid w:val="00491810"/>
    <w:rsid w:val="004923AE"/>
    <w:rsid w:val="00492BB0"/>
    <w:rsid w:val="0049305C"/>
    <w:rsid w:val="00493477"/>
    <w:rsid w:val="00493839"/>
    <w:rsid w:val="0049452F"/>
    <w:rsid w:val="00495F2B"/>
    <w:rsid w:val="004A050B"/>
    <w:rsid w:val="004A13EE"/>
    <w:rsid w:val="004A1533"/>
    <w:rsid w:val="004A42A9"/>
    <w:rsid w:val="004A5367"/>
    <w:rsid w:val="004A5568"/>
    <w:rsid w:val="004A7651"/>
    <w:rsid w:val="004B0E6E"/>
    <w:rsid w:val="004B1968"/>
    <w:rsid w:val="004B19CC"/>
    <w:rsid w:val="004B2F40"/>
    <w:rsid w:val="004B337B"/>
    <w:rsid w:val="004B59FE"/>
    <w:rsid w:val="004C1093"/>
    <w:rsid w:val="004C15D1"/>
    <w:rsid w:val="004C1BE1"/>
    <w:rsid w:val="004C1F9A"/>
    <w:rsid w:val="004C2490"/>
    <w:rsid w:val="004C5099"/>
    <w:rsid w:val="004C62F3"/>
    <w:rsid w:val="004C6768"/>
    <w:rsid w:val="004C6E6A"/>
    <w:rsid w:val="004D21C0"/>
    <w:rsid w:val="004D2303"/>
    <w:rsid w:val="004D3B9B"/>
    <w:rsid w:val="004D4349"/>
    <w:rsid w:val="004D44D4"/>
    <w:rsid w:val="004D4C78"/>
    <w:rsid w:val="004D55A6"/>
    <w:rsid w:val="004D65F2"/>
    <w:rsid w:val="004D7342"/>
    <w:rsid w:val="004D752D"/>
    <w:rsid w:val="004E2582"/>
    <w:rsid w:val="004E4E83"/>
    <w:rsid w:val="004E778E"/>
    <w:rsid w:val="004F4F5E"/>
    <w:rsid w:val="004F5699"/>
    <w:rsid w:val="004F61DE"/>
    <w:rsid w:val="004F6235"/>
    <w:rsid w:val="00500777"/>
    <w:rsid w:val="00501245"/>
    <w:rsid w:val="005030DE"/>
    <w:rsid w:val="00503B43"/>
    <w:rsid w:val="00506F93"/>
    <w:rsid w:val="005112C4"/>
    <w:rsid w:val="00511ACB"/>
    <w:rsid w:val="00513530"/>
    <w:rsid w:val="00514071"/>
    <w:rsid w:val="0051594F"/>
    <w:rsid w:val="00515FFD"/>
    <w:rsid w:val="00517B93"/>
    <w:rsid w:val="005212DF"/>
    <w:rsid w:val="005221A8"/>
    <w:rsid w:val="005225B8"/>
    <w:rsid w:val="005234B7"/>
    <w:rsid w:val="00526984"/>
    <w:rsid w:val="00526CA7"/>
    <w:rsid w:val="00526E62"/>
    <w:rsid w:val="005305A8"/>
    <w:rsid w:val="005326EA"/>
    <w:rsid w:val="00533354"/>
    <w:rsid w:val="00534288"/>
    <w:rsid w:val="00534721"/>
    <w:rsid w:val="0053482D"/>
    <w:rsid w:val="00536E62"/>
    <w:rsid w:val="005376B1"/>
    <w:rsid w:val="0054133B"/>
    <w:rsid w:val="00542431"/>
    <w:rsid w:val="00542ABD"/>
    <w:rsid w:val="0054445B"/>
    <w:rsid w:val="00544DEE"/>
    <w:rsid w:val="00550618"/>
    <w:rsid w:val="0055226D"/>
    <w:rsid w:val="005522F8"/>
    <w:rsid w:val="00552B8F"/>
    <w:rsid w:val="005546D3"/>
    <w:rsid w:val="005554C7"/>
    <w:rsid w:val="00557F4F"/>
    <w:rsid w:val="00561709"/>
    <w:rsid w:val="00561741"/>
    <w:rsid w:val="0056203B"/>
    <w:rsid w:val="00562FC6"/>
    <w:rsid w:val="0056325F"/>
    <w:rsid w:val="0056517B"/>
    <w:rsid w:val="00565EA7"/>
    <w:rsid w:val="00566A92"/>
    <w:rsid w:val="00567958"/>
    <w:rsid w:val="005714C8"/>
    <w:rsid w:val="0057163C"/>
    <w:rsid w:val="005730EF"/>
    <w:rsid w:val="00574777"/>
    <w:rsid w:val="005766FE"/>
    <w:rsid w:val="00577102"/>
    <w:rsid w:val="00577188"/>
    <w:rsid w:val="00581AD2"/>
    <w:rsid w:val="00582940"/>
    <w:rsid w:val="00582A4A"/>
    <w:rsid w:val="00590F10"/>
    <w:rsid w:val="00591569"/>
    <w:rsid w:val="00591A80"/>
    <w:rsid w:val="00592A97"/>
    <w:rsid w:val="0059411F"/>
    <w:rsid w:val="00594B86"/>
    <w:rsid w:val="00596A49"/>
    <w:rsid w:val="005971CF"/>
    <w:rsid w:val="005A0007"/>
    <w:rsid w:val="005A015C"/>
    <w:rsid w:val="005A0A0D"/>
    <w:rsid w:val="005A0A9E"/>
    <w:rsid w:val="005A1F0C"/>
    <w:rsid w:val="005A31C2"/>
    <w:rsid w:val="005A3552"/>
    <w:rsid w:val="005A65CB"/>
    <w:rsid w:val="005A6E84"/>
    <w:rsid w:val="005A75F1"/>
    <w:rsid w:val="005B0B48"/>
    <w:rsid w:val="005B2708"/>
    <w:rsid w:val="005B36EA"/>
    <w:rsid w:val="005B3848"/>
    <w:rsid w:val="005B54C1"/>
    <w:rsid w:val="005B57E7"/>
    <w:rsid w:val="005B5E92"/>
    <w:rsid w:val="005B7635"/>
    <w:rsid w:val="005C0FAC"/>
    <w:rsid w:val="005C4B14"/>
    <w:rsid w:val="005D0504"/>
    <w:rsid w:val="005D2F9B"/>
    <w:rsid w:val="005D44AE"/>
    <w:rsid w:val="005D4CBB"/>
    <w:rsid w:val="005D53A8"/>
    <w:rsid w:val="005D6B49"/>
    <w:rsid w:val="005D6FB4"/>
    <w:rsid w:val="005E1EE5"/>
    <w:rsid w:val="005E2D9E"/>
    <w:rsid w:val="005E4E61"/>
    <w:rsid w:val="005E7BB2"/>
    <w:rsid w:val="005F0572"/>
    <w:rsid w:val="005F1871"/>
    <w:rsid w:val="005F3342"/>
    <w:rsid w:val="005F3776"/>
    <w:rsid w:val="005F3891"/>
    <w:rsid w:val="005F4B20"/>
    <w:rsid w:val="005F6F45"/>
    <w:rsid w:val="00602E00"/>
    <w:rsid w:val="006040F7"/>
    <w:rsid w:val="0060493A"/>
    <w:rsid w:val="00604DBD"/>
    <w:rsid w:val="00607486"/>
    <w:rsid w:val="006076C0"/>
    <w:rsid w:val="0061038E"/>
    <w:rsid w:val="006103C2"/>
    <w:rsid w:val="006110D8"/>
    <w:rsid w:val="00611511"/>
    <w:rsid w:val="00611662"/>
    <w:rsid w:val="00611B8E"/>
    <w:rsid w:val="0061233E"/>
    <w:rsid w:val="006124A9"/>
    <w:rsid w:val="00612DB0"/>
    <w:rsid w:val="00620691"/>
    <w:rsid w:val="00621520"/>
    <w:rsid w:val="00621C4B"/>
    <w:rsid w:val="00621CBA"/>
    <w:rsid w:val="00623147"/>
    <w:rsid w:val="00623777"/>
    <w:rsid w:val="0062390B"/>
    <w:rsid w:val="00623AAB"/>
    <w:rsid w:val="00624511"/>
    <w:rsid w:val="00625C07"/>
    <w:rsid w:val="0063041D"/>
    <w:rsid w:val="006310C0"/>
    <w:rsid w:val="00632233"/>
    <w:rsid w:val="00632C4E"/>
    <w:rsid w:val="006330ED"/>
    <w:rsid w:val="00633168"/>
    <w:rsid w:val="0063370C"/>
    <w:rsid w:val="0063409D"/>
    <w:rsid w:val="00636713"/>
    <w:rsid w:val="00637349"/>
    <w:rsid w:val="00637354"/>
    <w:rsid w:val="0064038B"/>
    <w:rsid w:val="006415BF"/>
    <w:rsid w:val="0064193D"/>
    <w:rsid w:val="006420DA"/>
    <w:rsid w:val="00643003"/>
    <w:rsid w:val="0064325D"/>
    <w:rsid w:val="006444C9"/>
    <w:rsid w:val="00644703"/>
    <w:rsid w:val="0064551B"/>
    <w:rsid w:val="00645E3A"/>
    <w:rsid w:val="00650AAE"/>
    <w:rsid w:val="00651ECE"/>
    <w:rsid w:val="006525AA"/>
    <w:rsid w:val="00653D6F"/>
    <w:rsid w:val="006545E9"/>
    <w:rsid w:val="00654ED0"/>
    <w:rsid w:val="006558D3"/>
    <w:rsid w:val="00655E20"/>
    <w:rsid w:val="00656028"/>
    <w:rsid w:val="00656ABA"/>
    <w:rsid w:val="00660DEF"/>
    <w:rsid w:val="00670CD3"/>
    <w:rsid w:val="006717EB"/>
    <w:rsid w:val="006750FF"/>
    <w:rsid w:val="00675378"/>
    <w:rsid w:val="00680098"/>
    <w:rsid w:val="006806D6"/>
    <w:rsid w:val="00680BE5"/>
    <w:rsid w:val="00680FBE"/>
    <w:rsid w:val="00681CDF"/>
    <w:rsid w:val="00682FD0"/>
    <w:rsid w:val="006832FD"/>
    <w:rsid w:val="00684CFE"/>
    <w:rsid w:val="00684FFE"/>
    <w:rsid w:val="006851F0"/>
    <w:rsid w:val="006852B2"/>
    <w:rsid w:val="00685A7E"/>
    <w:rsid w:val="006874F9"/>
    <w:rsid w:val="0068777A"/>
    <w:rsid w:val="006879A4"/>
    <w:rsid w:val="00690213"/>
    <w:rsid w:val="006910C5"/>
    <w:rsid w:val="00694FE1"/>
    <w:rsid w:val="0069505C"/>
    <w:rsid w:val="00697894"/>
    <w:rsid w:val="006A0BB9"/>
    <w:rsid w:val="006A1E13"/>
    <w:rsid w:val="006A2DD1"/>
    <w:rsid w:val="006A3272"/>
    <w:rsid w:val="006A5CE4"/>
    <w:rsid w:val="006A7802"/>
    <w:rsid w:val="006B1921"/>
    <w:rsid w:val="006B2654"/>
    <w:rsid w:val="006B37DE"/>
    <w:rsid w:val="006B43A3"/>
    <w:rsid w:val="006B6D1C"/>
    <w:rsid w:val="006B7C5C"/>
    <w:rsid w:val="006C0D92"/>
    <w:rsid w:val="006C3586"/>
    <w:rsid w:val="006C48ED"/>
    <w:rsid w:val="006C5867"/>
    <w:rsid w:val="006C7584"/>
    <w:rsid w:val="006C7A50"/>
    <w:rsid w:val="006D0817"/>
    <w:rsid w:val="006D2233"/>
    <w:rsid w:val="006D2322"/>
    <w:rsid w:val="006D3383"/>
    <w:rsid w:val="006D356D"/>
    <w:rsid w:val="006D486C"/>
    <w:rsid w:val="006D661F"/>
    <w:rsid w:val="006E061E"/>
    <w:rsid w:val="006E0D13"/>
    <w:rsid w:val="006E1ADB"/>
    <w:rsid w:val="006E21FB"/>
    <w:rsid w:val="006E2CEB"/>
    <w:rsid w:val="006E2D68"/>
    <w:rsid w:val="006E35B4"/>
    <w:rsid w:val="006E60F5"/>
    <w:rsid w:val="006F39AA"/>
    <w:rsid w:val="006F3A4C"/>
    <w:rsid w:val="006F4034"/>
    <w:rsid w:val="006F61FE"/>
    <w:rsid w:val="006F6248"/>
    <w:rsid w:val="006F6C1E"/>
    <w:rsid w:val="006F79A8"/>
    <w:rsid w:val="006F7F32"/>
    <w:rsid w:val="0070065B"/>
    <w:rsid w:val="007012C5"/>
    <w:rsid w:val="00705A37"/>
    <w:rsid w:val="00706647"/>
    <w:rsid w:val="00706728"/>
    <w:rsid w:val="00707C07"/>
    <w:rsid w:val="00710D1F"/>
    <w:rsid w:val="007169D7"/>
    <w:rsid w:val="00720D73"/>
    <w:rsid w:val="00721CF7"/>
    <w:rsid w:val="0072292A"/>
    <w:rsid w:val="00723CB1"/>
    <w:rsid w:val="00723CC3"/>
    <w:rsid w:val="00724E3B"/>
    <w:rsid w:val="00725C9F"/>
    <w:rsid w:val="007263E5"/>
    <w:rsid w:val="007267B0"/>
    <w:rsid w:val="007269BE"/>
    <w:rsid w:val="00727520"/>
    <w:rsid w:val="00730DE9"/>
    <w:rsid w:val="00732B52"/>
    <w:rsid w:val="00733549"/>
    <w:rsid w:val="0073621F"/>
    <w:rsid w:val="00736791"/>
    <w:rsid w:val="007368C1"/>
    <w:rsid w:val="00737CAA"/>
    <w:rsid w:val="00740336"/>
    <w:rsid w:val="00740BC1"/>
    <w:rsid w:val="0074122D"/>
    <w:rsid w:val="00742606"/>
    <w:rsid w:val="00745103"/>
    <w:rsid w:val="00745D33"/>
    <w:rsid w:val="0074681A"/>
    <w:rsid w:val="00750475"/>
    <w:rsid w:val="0075077A"/>
    <w:rsid w:val="0075215C"/>
    <w:rsid w:val="0075276B"/>
    <w:rsid w:val="00753B1F"/>
    <w:rsid w:val="007540BD"/>
    <w:rsid w:val="00755709"/>
    <w:rsid w:val="00755A81"/>
    <w:rsid w:val="00757AC8"/>
    <w:rsid w:val="00760FD8"/>
    <w:rsid w:val="00761D6F"/>
    <w:rsid w:val="007634B6"/>
    <w:rsid w:val="00764754"/>
    <w:rsid w:val="0076656B"/>
    <w:rsid w:val="007738A9"/>
    <w:rsid w:val="00773CF7"/>
    <w:rsid w:val="00777101"/>
    <w:rsid w:val="00777167"/>
    <w:rsid w:val="00781DB3"/>
    <w:rsid w:val="0078210E"/>
    <w:rsid w:val="00782E06"/>
    <w:rsid w:val="00783454"/>
    <w:rsid w:val="00784755"/>
    <w:rsid w:val="007855B3"/>
    <w:rsid w:val="007858B3"/>
    <w:rsid w:val="00787D9D"/>
    <w:rsid w:val="00790591"/>
    <w:rsid w:val="00792B8C"/>
    <w:rsid w:val="00792E7C"/>
    <w:rsid w:val="00794B17"/>
    <w:rsid w:val="0079525D"/>
    <w:rsid w:val="007A1BD3"/>
    <w:rsid w:val="007A5195"/>
    <w:rsid w:val="007B0A2E"/>
    <w:rsid w:val="007B1963"/>
    <w:rsid w:val="007B4B95"/>
    <w:rsid w:val="007B6484"/>
    <w:rsid w:val="007B66EE"/>
    <w:rsid w:val="007C075E"/>
    <w:rsid w:val="007C2D11"/>
    <w:rsid w:val="007C580C"/>
    <w:rsid w:val="007C7C58"/>
    <w:rsid w:val="007C7D56"/>
    <w:rsid w:val="007D0B9C"/>
    <w:rsid w:val="007D1745"/>
    <w:rsid w:val="007D22B2"/>
    <w:rsid w:val="007D438B"/>
    <w:rsid w:val="007D4EEB"/>
    <w:rsid w:val="007D663F"/>
    <w:rsid w:val="007D683E"/>
    <w:rsid w:val="007D7BF9"/>
    <w:rsid w:val="007E0C17"/>
    <w:rsid w:val="007E1367"/>
    <w:rsid w:val="007E1496"/>
    <w:rsid w:val="007E3D48"/>
    <w:rsid w:val="007E3E6E"/>
    <w:rsid w:val="007E488F"/>
    <w:rsid w:val="007E5E24"/>
    <w:rsid w:val="007E6EF7"/>
    <w:rsid w:val="007E70A1"/>
    <w:rsid w:val="007E7E31"/>
    <w:rsid w:val="007F0924"/>
    <w:rsid w:val="007F2756"/>
    <w:rsid w:val="007F50CD"/>
    <w:rsid w:val="007F60A5"/>
    <w:rsid w:val="007F7376"/>
    <w:rsid w:val="00800219"/>
    <w:rsid w:val="008010CD"/>
    <w:rsid w:val="00801CCE"/>
    <w:rsid w:val="00802ADB"/>
    <w:rsid w:val="0080370B"/>
    <w:rsid w:val="008124A1"/>
    <w:rsid w:val="00812DCA"/>
    <w:rsid w:val="00813DA8"/>
    <w:rsid w:val="008170F1"/>
    <w:rsid w:val="0082022D"/>
    <w:rsid w:val="00821E9E"/>
    <w:rsid w:val="00821F62"/>
    <w:rsid w:val="008247DE"/>
    <w:rsid w:val="00824FA6"/>
    <w:rsid w:val="008251A7"/>
    <w:rsid w:val="00825E57"/>
    <w:rsid w:val="008268CC"/>
    <w:rsid w:val="008269DC"/>
    <w:rsid w:val="00827184"/>
    <w:rsid w:val="00830A41"/>
    <w:rsid w:val="00830BA2"/>
    <w:rsid w:val="00831A6F"/>
    <w:rsid w:val="00832EEA"/>
    <w:rsid w:val="0083341F"/>
    <w:rsid w:val="008408F3"/>
    <w:rsid w:val="008410F4"/>
    <w:rsid w:val="00841575"/>
    <w:rsid w:val="0084198D"/>
    <w:rsid w:val="00841ABB"/>
    <w:rsid w:val="00843F43"/>
    <w:rsid w:val="0084425E"/>
    <w:rsid w:val="00844E9C"/>
    <w:rsid w:val="008450E3"/>
    <w:rsid w:val="008454CF"/>
    <w:rsid w:val="00846486"/>
    <w:rsid w:val="00846968"/>
    <w:rsid w:val="008517B3"/>
    <w:rsid w:val="008524E1"/>
    <w:rsid w:val="00853791"/>
    <w:rsid w:val="00853B10"/>
    <w:rsid w:val="00854E0B"/>
    <w:rsid w:val="008551CC"/>
    <w:rsid w:val="008616D7"/>
    <w:rsid w:val="008624F2"/>
    <w:rsid w:val="00862CCD"/>
    <w:rsid w:val="00862EE2"/>
    <w:rsid w:val="00863497"/>
    <w:rsid w:val="0086566A"/>
    <w:rsid w:val="00871A4B"/>
    <w:rsid w:val="00872BE9"/>
    <w:rsid w:val="00874355"/>
    <w:rsid w:val="00875435"/>
    <w:rsid w:val="00875687"/>
    <w:rsid w:val="00875A60"/>
    <w:rsid w:val="008763E3"/>
    <w:rsid w:val="0087654C"/>
    <w:rsid w:val="0088015E"/>
    <w:rsid w:val="00880E49"/>
    <w:rsid w:val="00881B97"/>
    <w:rsid w:val="00881E98"/>
    <w:rsid w:val="008823B1"/>
    <w:rsid w:val="008833A5"/>
    <w:rsid w:val="0088408A"/>
    <w:rsid w:val="00884132"/>
    <w:rsid w:val="0088702B"/>
    <w:rsid w:val="008875D0"/>
    <w:rsid w:val="00890876"/>
    <w:rsid w:val="00890E02"/>
    <w:rsid w:val="008916B8"/>
    <w:rsid w:val="00892C61"/>
    <w:rsid w:val="0089392B"/>
    <w:rsid w:val="00895714"/>
    <w:rsid w:val="00896EEC"/>
    <w:rsid w:val="008975F4"/>
    <w:rsid w:val="008A19EA"/>
    <w:rsid w:val="008A3482"/>
    <w:rsid w:val="008A4BE0"/>
    <w:rsid w:val="008B3359"/>
    <w:rsid w:val="008B41B5"/>
    <w:rsid w:val="008B41D1"/>
    <w:rsid w:val="008B7DC1"/>
    <w:rsid w:val="008C0890"/>
    <w:rsid w:val="008C1297"/>
    <w:rsid w:val="008C1809"/>
    <w:rsid w:val="008C2BFD"/>
    <w:rsid w:val="008C33B1"/>
    <w:rsid w:val="008C60AF"/>
    <w:rsid w:val="008D4A62"/>
    <w:rsid w:val="008D4DFA"/>
    <w:rsid w:val="008D6ACD"/>
    <w:rsid w:val="008D763E"/>
    <w:rsid w:val="008E11AB"/>
    <w:rsid w:val="008E2634"/>
    <w:rsid w:val="008E3612"/>
    <w:rsid w:val="008E3BCD"/>
    <w:rsid w:val="008F2C70"/>
    <w:rsid w:val="008F3054"/>
    <w:rsid w:val="008F6A6B"/>
    <w:rsid w:val="008F7AF7"/>
    <w:rsid w:val="009001A1"/>
    <w:rsid w:val="0090091F"/>
    <w:rsid w:val="009010FF"/>
    <w:rsid w:val="00901759"/>
    <w:rsid w:val="00901E41"/>
    <w:rsid w:val="00902954"/>
    <w:rsid w:val="0090378A"/>
    <w:rsid w:val="009046DA"/>
    <w:rsid w:val="00906102"/>
    <w:rsid w:val="009069DC"/>
    <w:rsid w:val="0091017F"/>
    <w:rsid w:val="00913D8F"/>
    <w:rsid w:val="009143E0"/>
    <w:rsid w:val="00914C7A"/>
    <w:rsid w:val="00916209"/>
    <w:rsid w:val="00921F19"/>
    <w:rsid w:val="00922AD9"/>
    <w:rsid w:val="009232B0"/>
    <w:rsid w:val="009253AE"/>
    <w:rsid w:val="00925866"/>
    <w:rsid w:val="00926531"/>
    <w:rsid w:val="00926E01"/>
    <w:rsid w:val="00930B9F"/>
    <w:rsid w:val="00930F8E"/>
    <w:rsid w:val="00932785"/>
    <w:rsid w:val="00934969"/>
    <w:rsid w:val="0093625E"/>
    <w:rsid w:val="0093668F"/>
    <w:rsid w:val="00936A52"/>
    <w:rsid w:val="00936D52"/>
    <w:rsid w:val="00937C83"/>
    <w:rsid w:val="0094096F"/>
    <w:rsid w:val="00941058"/>
    <w:rsid w:val="009453E7"/>
    <w:rsid w:val="00945758"/>
    <w:rsid w:val="0094655B"/>
    <w:rsid w:val="00947E20"/>
    <w:rsid w:val="00950856"/>
    <w:rsid w:val="00951347"/>
    <w:rsid w:val="00952174"/>
    <w:rsid w:val="00952B74"/>
    <w:rsid w:val="00953568"/>
    <w:rsid w:val="009557C3"/>
    <w:rsid w:val="00955949"/>
    <w:rsid w:val="00960292"/>
    <w:rsid w:val="009638B1"/>
    <w:rsid w:val="009643BA"/>
    <w:rsid w:val="009648A1"/>
    <w:rsid w:val="00966095"/>
    <w:rsid w:val="009670BB"/>
    <w:rsid w:val="0096715C"/>
    <w:rsid w:val="00972DBD"/>
    <w:rsid w:val="00973900"/>
    <w:rsid w:val="0097457F"/>
    <w:rsid w:val="00974A65"/>
    <w:rsid w:val="00975344"/>
    <w:rsid w:val="009766D4"/>
    <w:rsid w:val="00976D22"/>
    <w:rsid w:val="00977D74"/>
    <w:rsid w:val="009802BE"/>
    <w:rsid w:val="00980912"/>
    <w:rsid w:val="00980E90"/>
    <w:rsid w:val="00981D98"/>
    <w:rsid w:val="00983FE0"/>
    <w:rsid w:val="00984BCF"/>
    <w:rsid w:val="009868EB"/>
    <w:rsid w:val="00992AAE"/>
    <w:rsid w:val="00992D24"/>
    <w:rsid w:val="00992EA0"/>
    <w:rsid w:val="0099570B"/>
    <w:rsid w:val="00995A97"/>
    <w:rsid w:val="00996AAE"/>
    <w:rsid w:val="00996AC8"/>
    <w:rsid w:val="009970BB"/>
    <w:rsid w:val="009978A0"/>
    <w:rsid w:val="009A014A"/>
    <w:rsid w:val="009A0298"/>
    <w:rsid w:val="009A04EA"/>
    <w:rsid w:val="009A4E71"/>
    <w:rsid w:val="009A728E"/>
    <w:rsid w:val="009B29A6"/>
    <w:rsid w:val="009B4A9D"/>
    <w:rsid w:val="009B4D99"/>
    <w:rsid w:val="009B5A90"/>
    <w:rsid w:val="009B5C38"/>
    <w:rsid w:val="009B6418"/>
    <w:rsid w:val="009C0FAC"/>
    <w:rsid w:val="009C26D1"/>
    <w:rsid w:val="009C3899"/>
    <w:rsid w:val="009C52FD"/>
    <w:rsid w:val="009C557F"/>
    <w:rsid w:val="009C632B"/>
    <w:rsid w:val="009C70F0"/>
    <w:rsid w:val="009D160A"/>
    <w:rsid w:val="009D23BD"/>
    <w:rsid w:val="009D33B2"/>
    <w:rsid w:val="009D3F46"/>
    <w:rsid w:val="009D3FCC"/>
    <w:rsid w:val="009D7273"/>
    <w:rsid w:val="009E2895"/>
    <w:rsid w:val="009E2A4D"/>
    <w:rsid w:val="009E3367"/>
    <w:rsid w:val="009E367E"/>
    <w:rsid w:val="009E3B55"/>
    <w:rsid w:val="009E3BC1"/>
    <w:rsid w:val="009F0ACD"/>
    <w:rsid w:val="009F2046"/>
    <w:rsid w:val="009F2115"/>
    <w:rsid w:val="009F3910"/>
    <w:rsid w:val="009F432C"/>
    <w:rsid w:val="009F4E3B"/>
    <w:rsid w:val="009F731D"/>
    <w:rsid w:val="00A01288"/>
    <w:rsid w:val="00A012E6"/>
    <w:rsid w:val="00A03A23"/>
    <w:rsid w:val="00A04BCE"/>
    <w:rsid w:val="00A05310"/>
    <w:rsid w:val="00A059BC"/>
    <w:rsid w:val="00A06330"/>
    <w:rsid w:val="00A1105B"/>
    <w:rsid w:val="00A11C05"/>
    <w:rsid w:val="00A123E6"/>
    <w:rsid w:val="00A132C9"/>
    <w:rsid w:val="00A14971"/>
    <w:rsid w:val="00A14D7A"/>
    <w:rsid w:val="00A151FA"/>
    <w:rsid w:val="00A15265"/>
    <w:rsid w:val="00A161FA"/>
    <w:rsid w:val="00A1693F"/>
    <w:rsid w:val="00A20201"/>
    <w:rsid w:val="00A236C4"/>
    <w:rsid w:val="00A2427D"/>
    <w:rsid w:val="00A25F1B"/>
    <w:rsid w:val="00A266E4"/>
    <w:rsid w:val="00A27914"/>
    <w:rsid w:val="00A27C96"/>
    <w:rsid w:val="00A30752"/>
    <w:rsid w:val="00A321AC"/>
    <w:rsid w:val="00A35C1C"/>
    <w:rsid w:val="00A3640F"/>
    <w:rsid w:val="00A3788D"/>
    <w:rsid w:val="00A37CB2"/>
    <w:rsid w:val="00A37DE8"/>
    <w:rsid w:val="00A4071A"/>
    <w:rsid w:val="00A415F4"/>
    <w:rsid w:val="00A425EB"/>
    <w:rsid w:val="00A42FCD"/>
    <w:rsid w:val="00A46A2A"/>
    <w:rsid w:val="00A473E5"/>
    <w:rsid w:val="00A51398"/>
    <w:rsid w:val="00A528D4"/>
    <w:rsid w:val="00A52EBF"/>
    <w:rsid w:val="00A534BF"/>
    <w:rsid w:val="00A53B89"/>
    <w:rsid w:val="00A555D4"/>
    <w:rsid w:val="00A56FF7"/>
    <w:rsid w:val="00A61E22"/>
    <w:rsid w:val="00A638F6"/>
    <w:rsid w:val="00A65066"/>
    <w:rsid w:val="00A66546"/>
    <w:rsid w:val="00A7024F"/>
    <w:rsid w:val="00A71A0F"/>
    <w:rsid w:val="00A742F3"/>
    <w:rsid w:val="00A749C0"/>
    <w:rsid w:val="00A75C01"/>
    <w:rsid w:val="00A76813"/>
    <w:rsid w:val="00A76F99"/>
    <w:rsid w:val="00A7796A"/>
    <w:rsid w:val="00A801BC"/>
    <w:rsid w:val="00A8058F"/>
    <w:rsid w:val="00A80613"/>
    <w:rsid w:val="00A80C27"/>
    <w:rsid w:val="00A83341"/>
    <w:rsid w:val="00A8540B"/>
    <w:rsid w:val="00A855B4"/>
    <w:rsid w:val="00A85AE6"/>
    <w:rsid w:val="00A87875"/>
    <w:rsid w:val="00A92BB2"/>
    <w:rsid w:val="00A92FEB"/>
    <w:rsid w:val="00A93370"/>
    <w:rsid w:val="00A93425"/>
    <w:rsid w:val="00A94F5B"/>
    <w:rsid w:val="00A968DC"/>
    <w:rsid w:val="00A969A0"/>
    <w:rsid w:val="00A97135"/>
    <w:rsid w:val="00A97222"/>
    <w:rsid w:val="00AA01A0"/>
    <w:rsid w:val="00AA05A6"/>
    <w:rsid w:val="00AA3FD7"/>
    <w:rsid w:val="00AA4614"/>
    <w:rsid w:val="00AA4D2D"/>
    <w:rsid w:val="00AA5E5E"/>
    <w:rsid w:val="00AB0078"/>
    <w:rsid w:val="00AB06F0"/>
    <w:rsid w:val="00AB0D56"/>
    <w:rsid w:val="00AB1C0F"/>
    <w:rsid w:val="00AB26E7"/>
    <w:rsid w:val="00AB3CE7"/>
    <w:rsid w:val="00AB3D16"/>
    <w:rsid w:val="00AB4364"/>
    <w:rsid w:val="00AB49D3"/>
    <w:rsid w:val="00AB4FEC"/>
    <w:rsid w:val="00AB5685"/>
    <w:rsid w:val="00AC06CD"/>
    <w:rsid w:val="00AC0A5E"/>
    <w:rsid w:val="00AC1690"/>
    <w:rsid w:val="00AC23BB"/>
    <w:rsid w:val="00AC33AD"/>
    <w:rsid w:val="00AC5480"/>
    <w:rsid w:val="00AC5EC2"/>
    <w:rsid w:val="00AC5F96"/>
    <w:rsid w:val="00AC61B5"/>
    <w:rsid w:val="00AC64A6"/>
    <w:rsid w:val="00AC6A3C"/>
    <w:rsid w:val="00AC70F5"/>
    <w:rsid w:val="00AD0E42"/>
    <w:rsid w:val="00AD123E"/>
    <w:rsid w:val="00AD1AC4"/>
    <w:rsid w:val="00AD23D5"/>
    <w:rsid w:val="00AD48EE"/>
    <w:rsid w:val="00AD534D"/>
    <w:rsid w:val="00AD5BB5"/>
    <w:rsid w:val="00AD6F34"/>
    <w:rsid w:val="00AE0621"/>
    <w:rsid w:val="00AE08FA"/>
    <w:rsid w:val="00AE0D5F"/>
    <w:rsid w:val="00AE0E89"/>
    <w:rsid w:val="00AE3306"/>
    <w:rsid w:val="00AE45F2"/>
    <w:rsid w:val="00AE6081"/>
    <w:rsid w:val="00AF0377"/>
    <w:rsid w:val="00AF0D91"/>
    <w:rsid w:val="00AF1722"/>
    <w:rsid w:val="00AF2638"/>
    <w:rsid w:val="00AF28A4"/>
    <w:rsid w:val="00AF2D0F"/>
    <w:rsid w:val="00AF4610"/>
    <w:rsid w:val="00AF4AA2"/>
    <w:rsid w:val="00AF4CC0"/>
    <w:rsid w:val="00AF557D"/>
    <w:rsid w:val="00AF5F25"/>
    <w:rsid w:val="00B01495"/>
    <w:rsid w:val="00B0435B"/>
    <w:rsid w:val="00B06EF2"/>
    <w:rsid w:val="00B10CD5"/>
    <w:rsid w:val="00B120AE"/>
    <w:rsid w:val="00B12172"/>
    <w:rsid w:val="00B129A1"/>
    <w:rsid w:val="00B13A01"/>
    <w:rsid w:val="00B1491E"/>
    <w:rsid w:val="00B17F29"/>
    <w:rsid w:val="00B2061C"/>
    <w:rsid w:val="00B2084B"/>
    <w:rsid w:val="00B2098C"/>
    <w:rsid w:val="00B22C12"/>
    <w:rsid w:val="00B239E4"/>
    <w:rsid w:val="00B23F49"/>
    <w:rsid w:val="00B24214"/>
    <w:rsid w:val="00B24992"/>
    <w:rsid w:val="00B27176"/>
    <w:rsid w:val="00B271F9"/>
    <w:rsid w:val="00B27AFF"/>
    <w:rsid w:val="00B30F85"/>
    <w:rsid w:val="00B31FC4"/>
    <w:rsid w:val="00B323B5"/>
    <w:rsid w:val="00B34274"/>
    <w:rsid w:val="00B34341"/>
    <w:rsid w:val="00B3577B"/>
    <w:rsid w:val="00B36AB2"/>
    <w:rsid w:val="00B36DF5"/>
    <w:rsid w:val="00B36FF0"/>
    <w:rsid w:val="00B41264"/>
    <w:rsid w:val="00B43CEE"/>
    <w:rsid w:val="00B448B7"/>
    <w:rsid w:val="00B44BC0"/>
    <w:rsid w:val="00B455E3"/>
    <w:rsid w:val="00B45E96"/>
    <w:rsid w:val="00B472AD"/>
    <w:rsid w:val="00B5050E"/>
    <w:rsid w:val="00B51FEA"/>
    <w:rsid w:val="00B52007"/>
    <w:rsid w:val="00B52369"/>
    <w:rsid w:val="00B52A94"/>
    <w:rsid w:val="00B52D8C"/>
    <w:rsid w:val="00B53FF6"/>
    <w:rsid w:val="00B56D84"/>
    <w:rsid w:val="00B570CA"/>
    <w:rsid w:val="00B6055D"/>
    <w:rsid w:val="00B61577"/>
    <w:rsid w:val="00B63156"/>
    <w:rsid w:val="00B67D5A"/>
    <w:rsid w:val="00B7027F"/>
    <w:rsid w:val="00B71ABF"/>
    <w:rsid w:val="00B72BD9"/>
    <w:rsid w:val="00B7381F"/>
    <w:rsid w:val="00B739A0"/>
    <w:rsid w:val="00B739CA"/>
    <w:rsid w:val="00B739F2"/>
    <w:rsid w:val="00B74649"/>
    <w:rsid w:val="00B7698C"/>
    <w:rsid w:val="00B76A00"/>
    <w:rsid w:val="00B76B2D"/>
    <w:rsid w:val="00B775CC"/>
    <w:rsid w:val="00B81B80"/>
    <w:rsid w:val="00B847AC"/>
    <w:rsid w:val="00B86F9F"/>
    <w:rsid w:val="00B87AB4"/>
    <w:rsid w:val="00B91838"/>
    <w:rsid w:val="00B9645C"/>
    <w:rsid w:val="00B968CA"/>
    <w:rsid w:val="00BA0630"/>
    <w:rsid w:val="00BA0CFD"/>
    <w:rsid w:val="00BA0E1D"/>
    <w:rsid w:val="00BA1042"/>
    <w:rsid w:val="00BA161A"/>
    <w:rsid w:val="00BA24A4"/>
    <w:rsid w:val="00BA4E18"/>
    <w:rsid w:val="00BA5D65"/>
    <w:rsid w:val="00BA7BBA"/>
    <w:rsid w:val="00BB136F"/>
    <w:rsid w:val="00BB4AC7"/>
    <w:rsid w:val="00BB7582"/>
    <w:rsid w:val="00BC23B8"/>
    <w:rsid w:val="00BC2CED"/>
    <w:rsid w:val="00BC36BD"/>
    <w:rsid w:val="00BC4596"/>
    <w:rsid w:val="00BC551F"/>
    <w:rsid w:val="00BC63FA"/>
    <w:rsid w:val="00BD3D27"/>
    <w:rsid w:val="00BD5E31"/>
    <w:rsid w:val="00BD5E9A"/>
    <w:rsid w:val="00BD66AE"/>
    <w:rsid w:val="00BD7317"/>
    <w:rsid w:val="00BD7A36"/>
    <w:rsid w:val="00BE071E"/>
    <w:rsid w:val="00BE1B1D"/>
    <w:rsid w:val="00BE2D87"/>
    <w:rsid w:val="00BE2FD4"/>
    <w:rsid w:val="00BE4282"/>
    <w:rsid w:val="00BE4FDA"/>
    <w:rsid w:val="00BE735D"/>
    <w:rsid w:val="00BE77BC"/>
    <w:rsid w:val="00BE7D99"/>
    <w:rsid w:val="00BF0CF2"/>
    <w:rsid w:val="00BF24E6"/>
    <w:rsid w:val="00BF363C"/>
    <w:rsid w:val="00BF3D57"/>
    <w:rsid w:val="00BF5B96"/>
    <w:rsid w:val="00C00386"/>
    <w:rsid w:val="00C00407"/>
    <w:rsid w:val="00C007D5"/>
    <w:rsid w:val="00C024CE"/>
    <w:rsid w:val="00C03755"/>
    <w:rsid w:val="00C054CC"/>
    <w:rsid w:val="00C05AFC"/>
    <w:rsid w:val="00C0686B"/>
    <w:rsid w:val="00C06BB8"/>
    <w:rsid w:val="00C112B5"/>
    <w:rsid w:val="00C112DD"/>
    <w:rsid w:val="00C12718"/>
    <w:rsid w:val="00C148BB"/>
    <w:rsid w:val="00C15674"/>
    <w:rsid w:val="00C159F8"/>
    <w:rsid w:val="00C15CA6"/>
    <w:rsid w:val="00C168F7"/>
    <w:rsid w:val="00C17910"/>
    <w:rsid w:val="00C2203D"/>
    <w:rsid w:val="00C2315C"/>
    <w:rsid w:val="00C26809"/>
    <w:rsid w:val="00C2746D"/>
    <w:rsid w:val="00C314B7"/>
    <w:rsid w:val="00C355F3"/>
    <w:rsid w:val="00C35664"/>
    <w:rsid w:val="00C3597B"/>
    <w:rsid w:val="00C36B43"/>
    <w:rsid w:val="00C40945"/>
    <w:rsid w:val="00C411A3"/>
    <w:rsid w:val="00C419F4"/>
    <w:rsid w:val="00C462CC"/>
    <w:rsid w:val="00C46FD4"/>
    <w:rsid w:val="00C50094"/>
    <w:rsid w:val="00C51355"/>
    <w:rsid w:val="00C51690"/>
    <w:rsid w:val="00C522FE"/>
    <w:rsid w:val="00C52416"/>
    <w:rsid w:val="00C52E5C"/>
    <w:rsid w:val="00C531AD"/>
    <w:rsid w:val="00C537CC"/>
    <w:rsid w:val="00C54540"/>
    <w:rsid w:val="00C55BD0"/>
    <w:rsid w:val="00C57224"/>
    <w:rsid w:val="00C6004A"/>
    <w:rsid w:val="00C60C1B"/>
    <w:rsid w:val="00C61189"/>
    <w:rsid w:val="00C61FA9"/>
    <w:rsid w:val="00C62B8A"/>
    <w:rsid w:val="00C62E60"/>
    <w:rsid w:val="00C636D7"/>
    <w:rsid w:val="00C64703"/>
    <w:rsid w:val="00C656E0"/>
    <w:rsid w:val="00C658A0"/>
    <w:rsid w:val="00C70F07"/>
    <w:rsid w:val="00C7433A"/>
    <w:rsid w:val="00C74460"/>
    <w:rsid w:val="00C74D6A"/>
    <w:rsid w:val="00C76D61"/>
    <w:rsid w:val="00C76D7D"/>
    <w:rsid w:val="00C77B81"/>
    <w:rsid w:val="00C80657"/>
    <w:rsid w:val="00C82DD5"/>
    <w:rsid w:val="00C85A53"/>
    <w:rsid w:val="00C85AB4"/>
    <w:rsid w:val="00C85AD6"/>
    <w:rsid w:val="00C85CF6"/>
    <w:rsid w:val="00C87883"/>
    <w:rsid w:val="00C87B1E"/>
    <w:rsid w:val="00C91316"/>
    <w:rsid w:val="00C92496"/>
    <w:rsid w:val="00C92E2C"/>
    <w:rsid w:val="00C94D71"/>
    <w:rsid w:val="00C9500E"/>
    <w:rsid w:val="00C95E4B"/>
    <w:rsid w:val="00C965E5"/>
    <w:rsid w:val="00C9794C"/>
    <w:rsid w:val="00CA1015"/>
    <w:rsid w:val="00CA2058"/>
    <w:rsid w:val="00CA2558"/>
    <w:rsid w:val="00CA3D08"/>
    <w:rsid w:val="00CA40C2"/>
    <w:rsid w:val="00CA4A0B"/>
    <w:rsid w:val="00CA587D"/>
    <w:rsid w:val="00CB2F2B"/>
    <w:rsid w:val="00CB36E2"/>
    <w:rsid w:val="00CB43E8"/>
    <w:rsid w:val="00CB483D"/>
    <w:rsid w:val="00CB5D9B"/>
    <w:rsid w:val="00CB5EA3"/>
    <w:rsid w:val="00CB6059"/>
    <w:rsid w:val="00CB6AD9"/>
    <w:rsid w:val="00CB78AD"/>
    <w:rsid w:val="00CC0E28"/>
    <w:rsid w:val="00CC2088"/>
    <w:rsid w:val="00CC22A4"/>
    <w:rsid w:val="00CC29C3"/>
    <w:rsid w:val="00CC3A5B"/>
    <w:rsid w:val="00CC3DB3"/>
    <w:rsid w:val="00CC606F"/>
    <w:rsid w:val="00CC70ED"/>
    <w:rsid w:val="00CD25FA"/>
    <w:rsid w:val="00CD3CEE"/>
    <w:rsid w:val="00CD3F41"/>
    <w:rsid w:val="00CD52EC"/>
    <w:rsid w:val="00CD5C68"/>
    <w:rsid w:val="00CD5D52"/>
    <w:rsid w:val="00CD72E0"/>
    <w:rsid w:val="00CD7906"/>
    <w:rsid w:val="00CE06AB"/>
    <w:rsid w:val="00CE16C8"/>
    <w:rsid w:val="00CE20E7"/>
    <w:rsid w:val="00CE363B"/>
    <w:rsid w:val="00CE63B9"/>
    <w:rsid w:val="00CF0040"/>
    <w:rsid w:val="00CF1B0E"/>
    <w:rsid w:val="00CF2743"/>
    <w:rsid w:val="00CF3F26"/>
    <w:rsid w:val="00CF4010"/>
    <w:rsid w:val="00CF4D0D"/>
    <w:rsid w:val="00CF58DA"/>
    <w:rsid w:val="00CF751A"/>
    <w:rsid w:val="00CF7C3C"/>
    <w:rsid w:val="00D01196"/>
    <w:rsid w:val="00D01C31"/>
    <w:rsid w:val="00D02BE3"/>
    <w:rsid w:val="00D044DC"/>
    <w:rsid w:val="00D05C59"/>
    <w:rsid w:val="00D07B8B"/>
    <w:rsid w:val="00D145E7"/>
    <w:rsid w:val="00D14A07"/>
    <w:rsid w:val="00D14D60"/>
    <w:rsid w:val="00D15A30"/>
    <w:rsid w:val="00D16F7A"/>
    <w:rsid w:val="00D20A23"/>
    <w:rsid w:val="00D2106A"/>
    <w:rsid w:val="00D230F6"/>
    <w:rsid w:val="00D2782F"/>
    <w:rsid w:val="00D30B82"/>
    <w:rsid w:val="00D32E94"/>
    <w:rsid w:val="00D32EE9"/>
    <w:rsid w:val="00D3332B"/>
    <w:rsid w:val="00D33AB2"/>
    <w:rsid w:val="00D350D8"/>
    <w:rsid w:val="00D408FA"/>
    <w:rsid w:val="00D40DBE"/>
    <w:rsid w:val="00D41B04"/>
    <w:rsid w:val="00D475DA"/>
    <w:rsid w:val="00D50405"/>
    <w:rsid w:val="00D5186E"/>
    <w:rsid w:val="00D519E1"/>
    <w:rsid w:val="00D523D0"/>
    <w:rsid w:val="00D534E7"/>
    <w:rsid w:val="00D5359B"/>
    <w:rsid w:val="00D55A76"/>
    <w:rsid w:val="00D6009A"/>
    <w:rsid w:val="00D6116E"/>
    <w:rsid w:val="00D61BF2"/>
    <w:rsid w:val="00D64A8F"/>
    <w:rsid w:val="00D65655"/>
    <w:rsid w:val="00D6649B"/>
    <w:rsid w:val="00D67B37"/>
    <w:rsid w:val="00D67EE2"/>
    <w:rsid w:val="00D67F71"/>
    <w:rsid w:val="00D72D61"/>
    <w:rsid w:val="00D732F8"/>
    <w:rsid w:val="00D74655"/>
    <w:rsid w:val="00D75409"/>
    <w:rsid w:val="00D754F6"/>
    <w:rsid w:val="00D7669B"/>
    <w:rsid w:val="00D76780"/>
    <w:rsid w:val="00D77214"/>
    <w:rsid w:val="00D77E06"/>
    <w:rsid w:val="00D80465"/>
    <w:rsid w:val="00D81046"/>
    <w:rsid w:val="00D81C59"/>
    <w:rsid w:val="00D822D0"/>
    <w:rsid w:val="00D8277A"/>
    <w:rsid w:val="00D82DD3"/>
    <w:rsid w:val="00D85371"/>
    <w:rsid w:val="00D9390B"/>
    <w:rsid w:val="00D9483B"/>
    <w:rsid w:val="00D9511D"/>
    <w:rsid w:val="00D97062"/>
    <w:rsid w:val="00DA010A"/>
    <w:rsid w:val="00DA1E98"/>
    <w:rsid w:val="00DA1F7D"/>
    <w:rsid w:val="00DA21BC"/>
    <w:rsid w:val="00DA2E86"/>
    <w:rsid w:val="00DA3FCF"/>
    <w:rsid w:val="00DA5F54"/>
    <w:rsid w:val="00DA6B6A"/>
    <w:rsid w:val="00DA7771"/>
    <w:rsid w:val="00DB17FA"/>
    <w:rsid w:val="00DB2CCF"/>
    <w:rsid w:val="00DB5D43"/>
    <w:rsid w:val="00DB755A"/>
    <w:rsid w:val="00DB7F56"/>
    <w:rsid w:val="00DC1413"/>
    <w:rsid w:val="00DC1A07"/>
    <w:rsid w:val="00DC20B2"/>
    <w:rsid w:val="00DC27DB"/>
    <w:rsid w:val="00DC5951"/>
    <w:rsid w:val="00DC659A"/>
    <w:rsid w:val="00DC6C94"/>
    <w:rsid w:val="00DC7090"/>
    <w:rsid w:val="00DC7D35"/>
    <w:rsid w:val="00DD1CA8"/>
    <w:rsid w:val="00DD4B31"/>
    <w:rsid w:val="00DD5258"/>
    <w:rsid w:val="00DE0E47"/>
    <w:rsid w:val="00DE3EFE"/>
    <w:rsid w:val="00DE4D42"/>
    <w:rsid w:val="00DE7C91"/>
    <w:rsid w:val="00DF2064"/>
    <w:rsid w:val="00DF36F4"/>
    <w:rsid w:val="00DF49A1"/>
    <w:rsid w:val="00DF5663"/>
    <w:rsid w:val="00DF5C1D"/>
    <w:rsid w:val="00DF6703"/>
    <w:rsid w:val="00DF6C22"/>
    <w:rsid w:val="00DF6DAA"/>
    <w:rsid w:val="00E00713"/>
    <w:rsid w:val="00E00D5B"/>
    <w:rsid w:val="00E0164D"/>
    <w:rsid w:val="00E05D6B"/>
    <w:rsid w:val="00E07225"/>
    <w:rsid w:val="00E0730F"/>
    <w:rsid w:val="00E07946"/>
    <w:rsid w:val="00E11B1F"/>
    <w:rsid w:val="00E11E4B"/>
    <w:rsid w:val="00E12C31"/>
    <w:rsid w:val="00E132BF"/>
    <w:rsid w:val="00E13825"/>
    <w:rsid w:val="00E13DAB"/>
    <w:rsid w:val="00E13F8F"/>
    <w:rsid w:val="00E158A4"/>
    <w:rsid w:val="00E1704C"/>
    <w:rsid w:val="00E1754F"/>
    <w:rsid w:val="00E17EB2"/>
    <w:rsid w:val="00E2015E"/>
    <w:rsid w:val="00E20559"/>
    <w:rsid w:val="00E206AA"/>
    <w:rsid w:val="00E20925"/>
    <w:rsid w:val="00E21F98"/>
    <w:rsid w:val="00E22F39"/>
    <w:rsid w:val="00E23110"/>
    <w:rsid w:val="00E249A9"/>
    <w:rsid w:val="00E256FA"/>
    <w:rsid w:val="00E2660B"/>
    <w:rsid w:val="00E26BD8"/>
    <w:rsid w:val="00E27E13"/>
    <w:rsid w:val="00E30629"/>
    <w:rsid w:val="00E3471C"/>
    <w:rsid w:val="00E35975"/>
    <w:rsid w:val="00E362B8"/>
    <w:rsid w:val="00E36324"/>
    <w:rsid w:val="00E36F9E"/>
    <w:rsid w:val="00E402E8"/>
    <w:rsid w:val="00E417C0"/>
    <w:rsid w:val="00E4298D"/>
    <w:rsid w:val="00E42E39"/>
    <w:rsid w:val="00E43E04"/>
    <w:rsid w:val="00E44479"/>
    <w:rsid w:val="00E52529"/>
    <w:rsid w:val="00E54745"/>
    <w:rsid w:val="00E55F80"/>
    <w:rsid w:val="00E5713F"/>
    <w:rsid w:val="00E57C9F"/>
    <w:rsid w:val="00E57DF2"/>
    <w:rsid w:val="00E62A1A"/>
    <w:rsid w:val="00E6610D"/>
    <w:rsid w:val="00E6635E"/>
    <w:rsid w:val="00E71C5B"/>
    <w:rsid w:val="00E72714"/>
    <w:rsid w:val="00E729FB"/>
    <w:rsid w:val="00E75917"/>
    <w:rsid w:val="00E77C10"/>
    <w:rsid w:val="00E81233"/>
    <w:rsid w:val="00E81419"/>
    <w:rsid w:val="00E81E4C"/>
    <w:rsid w:val="00E81FB5"/>
    <w:rsid w:val="00E83477"/>
    <w:rsid w:val="00E845E3"/>
    <w:rsid w:val="00E84871"/>
    <w:rsid w:val="00E8696D"/>
    <w:rsid w:val="00E869A1"/>
    <w:rsid w:val="00E86ADC"/>
    <w:rsid w:val="00E86EE1"/>
    <w:rsid w:val="00E87750"/>
    <w:rsid w:val="00E877A0"/>
    <w:rsid w:val="00E929D9"/>
    <w:rsid w:val="00E92A2E"/>
    <w:rsid w:val="00E942FC"/>
    <w:rsid w:val="00E96B00"/>
    <w:rsid w:val="00E97399"/>
    <w:rsid w:val="00E97CF7"/>
    <w:rsid w:val="00EA2853"/>
    <w:rsid w:val="00EA5274"/>
    <w:rsid w:val="00EB1F4A"/>
    <w:rsid w:val="00EB225F"/>
    <w:rsid w:val="00EB40F3"/>
    <w:rsid w:val="00EC58A7"/>
    <w:rsid w:val="00ED121C"/>
    <w:rsid w:val="00ED1CDC"/>
    <w:rsid w:val="00ED2C2F"/>
    <w:rsid w:val="00ED31B4"/>
    <w:rsid w:val="00ED331F"/>
    <w:rsid w:val="00ED37ED"/>
    <w:rsid w:val="00ED40C2"/>
    <w:rsid w:val="00EE073D"/>
    <w:rsid w:val="00EE0BC9"/>
    <w:rsid w:val="00EE0F4E"/>
    <w:rsid w:val="00EE14F3"/>
    <w:rsid w:val="00EE1EF4"/>
    <w:rsid w:val="00EE2D7C"/>
    <w:rsid w:val="00EE332F"/>
    <w:rsid w:val="00EE347E"/>
    <w:rsid w:val="00EE5CA4"/>
    <w:rsid w:val="00EE5E90"/>
    <w:rsid w:val="00EE6ECD"/>
    <w:rsid w:val="00EE7178"/>
    <w:rsid w:val="00EE742F"/>
    <w:rsid w:val="00EE7A85"/>
    <w:rsid w:val="00EF1F35"/>
    <w:rsid w:val="00EF4D1D"/>
    <w:rsid w:val="00F01D29"/>
    <w:rsid w:val="00F02185"/>
    <w:rsid w:val="00F03893"/>
    <w:rsid w:val="00F054C3"/>
    <w:rsid w:val="00F07BBC"/>
    <w:rsid w:val="00F11CB5"/>
    <w:rsid w:val="00F12FDE"/>
    <w:rsid w:val="00F1318F"/>
    <w:rsid w:val="00F13C7D"/>
    <w:rsid w:val="00F149DE"/>
    <w:rsid w:val="00F15070"/>
    <w:rsid w:val="00F155B8"/>
    <w:rsid w:val="00F1617F"/>
    <w:rsid w:val="00F2006A"/>
    <w:rsid w:val="00F22BE0"/>
    <w:rsid w:val="00F22DFE"/>
    <w:rsid w:val="00F241C3"/>
    <w:rsid w:val="00F24939"/>
    <w:rsid w:val="00F25E8F"/>
    <w:rsid w:val="00F3275E"/>
    <w:rsid w:val="00F32E6C"/>
    <w:rsid w:val="00F33018"/>
    <w:rsid w:val="00F36538"/>
    <w:rsid w:val="00F36D80"/>
    <w:rsid w:val="00F37657"/>
    <w:rsid w:val="00F4077F"/>
    <w:rsid w:val="00F40C88"/>
    <w:rsid w:val="00F41719"/>
    <w:rsid w:val="00F41BDE"/>
    <w:rsid w:val="00F43FB9"/>
    <w:rsid w:val="00F443A0"/>
    <w:rsid w:val="00F45BBE"/>
    <w:rsid w:val="00F470BB"/>
    <w:rsid w:val="00F47FFC"/>
    <w:rsid w:val="00F5062B"/>
    <w:rsid w:val="00F508C3"/>
    <w:rsid w:val="00F50931"/>
    <w:rsid w:val="00F52DA6"/>
    <w:rsid w:val="00F534D3"/>
    <w:rsid w:val="00F546F0"/>
    <w:rsid w:val="00F556A1"/>
    <w:rsid w:val="00F577D9"/>
    <w:rsid w:val="00F57CF3"/>
    <w:rsid w:val="00F60AF5"/>
    <w:rsid w:val="00F6220C"/>
    <w:rsid w:val="00F627B4"/>
    <w:rsid w:val="00F633B2"/>
    <w:rsid w:val="00F63425"/>
    <w:rsid w:val="00F66767"/>
    <w:rsid w:val="00F72771"/>
    <w:rsid w:val="00F73270"/>
    <w:rsid w:val="00F74156"/>
    <w:rsid w:val="00F768C5"/>
    <w:rsid w:val="00F76B08"/>
    <w:rsid w:val="00F82BF4"/>
    <w:rsid w:val="00F838B3"/>
    <w:rsid w:val="00F83FA3"/>
    <w:rsid w:val="00F85515"/>
    <w:rsid w:val="00F85D33"/>
    <w:rsid w:val="00F860CF"/>
    <w:rsid w:val="00F86117"/>
    <w:rsid w:val="00F86718"/>
    <w:rsid w:val="00F8717E"/>
    <w:rsid w:val="00F87703"/>
    <w:rsid w:val="00F87FF6"/>
    <w:rsid w:val="00F91D17"/>
    <w:rsid w:val="00F92DA4"/>
    <w:rsid w:val="00F9366C"/>
    <w:rsid w:val="00F95A71"/>
    <w:rsid w:val="00F95EC3"/>
    <w:rsid w:val="00F96751"/>
    <w:rsid w:val="00F9746C"/>
    <w:rsid w:val="00FA2BA9"/>
    <w:rsid w:val="00FA528C"/>
    <w:rsid w:val="00FA5A4C"/>
    <w:rsid w:val="00FB0ED3"/>
    <w:rsid w:val="00FB14F0"/>
    <w:rsid w:val="00FB1597"/>
    <w:rsid w:val="00FB1CBC"/>
    <w:rsid w:val="00FB2AB1"/>
    <w:rsid w:val="00FB2C9A"/>
    <w:rsid w:val="00FB45AE"/>
    <w:rsid w:val="00FB4864"/>
    <w:rsid w:val="00FB5F8C"/>
    <w:rsid w:val="00FB76BC"/>
    <w:rsid w:val="00FB7BFB"/>
    <w:rsid w:val="00FB7CCC"/>
    <w:rsid w:val="00FC0141"/>
    <w:rsid w:val="00FC0D8C"/>
    <w:rsid w:val="00FC1B61"/>
    <w:rsid w:val="00FC5AAA"/>
    <w:rsid w:val="00FD0301"/>
    <w:rsid w:val="00FD13FE"/>
    <w:rsid w:val="00FD3B0B"/>
    <w:rsid w:val="00FD3E03"/>
    <w:rsid w:val="00FD7C6A"/>
    <w:rsid w:val="00FE2E06"/>
    <w:rsid w:val="00FE2F1F"/>
    <w:rsid w:val="00FE46BA"/>
    <w:rsid w:val="00FE4C03"/>
    <w:rsid w:val="00FE4CB2"/>
    <w:rsid w:val="00FE54BA"/>
    <w:rsid w:val="00FF0243"/>
    <w:rsid w:val="00FF0DA8"/>
    <w:rsid w:val="00FF2411"/>
    <w:rsid w:val="00FF2E24"/>
    <w:rsid w:val="00FF3317"/>
    <w:rsid w:val="014B441F"/>
    <w:rsid w:val="02680072"/>
    <w:rsid w:val="059173B1"/>
    <w:rsid w:val="0C64614D"/>
    <w:rsid w:val="0D47088A"/>
    <w:rsid w:val="0FA26416"/>
    <w:rsid w:val="0FB60D26"/>
    <w:rsid w:val="129840B6"/>
    <w:rsid w:val="133C6779"/>
    <w:rsid w:val="140B57FE"/>
    <w:rsid w:val="142439B3"/>
    <w:rsid w:val="15126B2C"/>
    <w:rsid w:val="1A4B0759"/>
    <w:rsid w:val="1A9D0D20"/>
    <w:rsid w:val="1D160E2D"/>
    <w:rsid w:val="1ED974E4"/>
    <w:rsid w:val="221C70D4"/>
    <w:rsid w:val="264771C5"/>
    <w:rsid w:val="297844AC"/>
    <w:rsid w:val="2A405901"/>
    <w:rsid w:val="2BEF2BEC"/>
    <w:rsid w:val="2FBD1C4B"/>
    <w:rsid w:val="310A5964"/>
    <w:rsid w:val="325E0EB9"/>
    <w:rsid w:val="34227C15"/>
    <w:rsid w:val="34944E26"/>
    <w:rsid w:val="35C84B46"/>
    <w:rsid w:val="384C510B"/>
    <w:rsid w:val="39666604"/>
    <w:rsid w:val="3B605F0D"/>
    <w:rsid w:val="3B956478"/>
    <w:rsid w:val="3F3F5AC8"/>
    <w:rsid w:val="40812AB1"/>
    <w:rsid w:val="408316BE"/>
    <w:rsid w:val="449F2032"/>
    <w:rsid w:val="473E0697"/>
    <w:rsid w:val="4CD80DD1"/>
    <w:rsid w:val="4FB619D6"/>
    <w:rsid w:val="50D27216"/>
    <w:rsid w:val="512D35F0"/>
    <w:rsid w:val="5305075D"/>
    <w:rsid w:val="56436969"/>
    <w:rsid w:val="56493867"/>
    <w:rsid w:val="567C7317"/>
    <w:rsid w:val="59A948F4"/>
    <w:rsid w:val="59FE0776"/>
    <w:rsid w:val="5ED400FA"/>
    <w:rsid w:val="5F522BEC"/>
    <w:rsid w:val="5FFD760D"/>
    <w:rsid w:val="660955E0"/>
    <w:rsid w:val="66E84CDF"/>
    <w:rsid w:val="696C1DE8"/>
    <w:rsid w:val="6A1D4AD4"/>
    <w:rsid w:val="6A8C0DCD"/>
    <w:rsid w:val="701C3377"/>
    <w:rsid w:val="77030714"/>
    <w:rsid w:val="78D9309E"/>
    <w:rsid w:val="7ABB3CED"/>
    <w:rsid w:val="7B5F6252"/>
    <w:rsid w:val="7D197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9023FA-0924-4457-94CA-90F074A2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uiPriority="99" w:unhideWhenUsed="1" w:qFormat="1"/>
    <w:lsdException w:name="annotation text" w:uiPriority="99" w:unhideWhenUsed="1" w:qFormat="1"/>
    <w:lsdException w:name="header" w:uiPriority="99" w:qFormat="1"/>
    <w:lsdException w:name="footer" w:uiPriority="99"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unhideWhenUsed="1" w:qFormat="1"/>
    <w:lsdException w:name="annotation reference" w:uiPriority="99" w:qFormat="1"/>
    <w:lsdException w:name="line number" w:semiHidden="1" w:unhideWhenUsed="1" w:qFormat="1"/>
    <w:lsdException w:name="page number"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unhideWhenUsed="1" w:qFormat="1"/>
    <w:lsdException w:name="Date" w:qFormat="1"/>
    <w:lsdException w:name="Body Text First Indent 2" w:semiHidden="1" w:unhideWhenUsed="1" w:qFormat="1"/>
    <w:lsdException w:name="Note Heading" w:uiPriority="99" w:unhideWhenUsed="1" w:qFormat="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nhideWhenUsed="1" w:qFormat="1"/>
    <w:lsdException w:name="FollowedHyperlink" w:unhideWhenUsed="1" w:qFormat="1"/>
    <w:lsdException w:name="Strong" w:uiPriority="22" w:qFormat="1"/>
    <w:lsdException w:name="Emphasis" w:qFormat="1"/>
    <w:lsdException w:name="Document Map" w:semiHidden="1" w:unhideWhenUsed="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unhideWhenUsed/>
    <w:qFormat/>
    <w:pPr>
      <w:widowControl w:val="0"/>
      <w:jc w:val="both"/>
    </w:pPr>
    <w:rPr>
      <w:rFonts w:ascii="Calibri" w:hAnsi="Calibri" w:cstheme="minorBidi"/>
      <w:kern w:val="2"/>
      <w:sz w:val="21"/>
    </w:rPr>
  </w:style>
  <w:style w:type="paragraph" w:styleId="1">
    <w:name w:val="heading 1"/>
    <w:basedOn w:val="a4"/>
    <w:next w:val="a4"/>
    <w:link w:val="1Char"/>
    <w:unhideWhenUsed/>
    <w:qFormat/>
    <w:pPr>
      <w:keepNext/>
      <w:keepLines/>
      <w:spacing w:before="60" w:after="60" w:line="360" w:lineRule="auto"/>
      <w:jc w:val="center"/>
      <w:outlineLvl w:val="0"/>
    </w:pPr>
    <w:rPr>
      <w:rFonts w:eastAsia="黑体"/>
      <w:b/>
      <w:kern w:val="44"/>
      <w:sz w:val="28"/>
    </w:rPr>
  </w:style>
  <w:style w:type="paragraph" w:styleId="2">
    <w:name w:val="heading 2"/>
    <w:basedOn w:val="a4"/>
    <w:next w:val="a4"/>
    <w:link w:val="2Char"/>
    <w:unhideWhenUsed/>
    <w:qFormat/>
    <w:pPr>
      <w:keepNext/>
      <w:keepLines/>
      <w:spacing w:before="60" w:after="60"/>
      <w:outlineLvl w:val="1"/>
    </w:pPr>
    <w:rPr>
      <w:rFonts w:ascii="Arial" w:hAnsi="Arial"/>
      <w:b/>
    </w:rPr>
  </w:style>
  <w:style w:type="paragraph" w:styleId="3">
    <w:name w:val="heading 3"/>
    <w:basedOn w:val="a4"/>
    <w:next w:val="a4"/>
    <w:link w:val="3Char"/>
    <w:unhideWhenUsed/>
    <w:qFormat/>
    <w:pPr>
      <w:keepNext/>
      <w:keepLines/>
      <w:spacing w:before="60" w:after="60"/>
      <w:outlineLvl w:val="2"/>
    </w:pPr>
    <w:rPr>
      <w:b/>
    </w:rPr>
  </w:style>
  <w:style w:type="paragraph" w:styleId="4">
    <w:name w:val="heading 4"/>
    <w:basedOn w:val="a4"/>
    <w:next w:val="a4"/>
    <w:link w:val="4Char"/>
    <w:unhideWhenUsed/>
    <w:qFormat/>
    <w:pPr>
      <w:keepNext/>
      <w:keepLines/>
      <w:spacing w:before="60" w:after="60"/>
      <w:outlineLvl w:val="3"/>
    </w:pPr>
    <w:rPr>
      <w:rFonts w:ascii="Cambria" w:hAnsi="Cambria"/>
      <w:b/>
    </w:rPr>
  </w:style>
  <w:style w:type="paragraph" w:styleId="5">
    <w:name w:val="heading 5"/>
    <w:basedOn w:val="a4"/>
    <w:next w:val="a4"/>
    <w:link w:val="5Char"/>
    <w:unhideWhenUsed/>
    <w:qFormat/>
    <w:pPr>
      <w:keepNext/>
      <w:keepLines/>
      <w:spacing w:before="60" w:after="60"/>
      <w:outlineLvl w:val="4"/>
    </w:pPr>
    <w:rPr>
      <w:b/>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7">
    <w:name w:val="toc 7"/>
    <w:basedOn w:val="a4"/>
    <w:next w:val="a4"/>
    <w:uiPriority w:val="39"/>
    <w:qFormat/>
    <w:pPr>
      <w:ind w:left="1050"/>
      <w:jc w:val="left"/>
    </w:pPr>
    <w:rPr>
      <w:rFonts w:asciiTheme="minorHAnsi" w:hAnsiTheme="minorHAnsi"/>
      <w:sz w:val="20"/>
    </w:rPr>
  </w:style>
  <w:style w:type="paragraph" w:styleId="a8">
    <w:name w:val="Note Heading"/>
    <w:basedOn w:val="a4"/>
    <w:next w:val="a4"/>
    <w:uiPriority w:val="99"/>
    <w:unhideWhenUsed/>
    <w:qFormat/>
    <w:pPr>
      <w:jc w:val="center"/>
    </w:pPr>
    <w:rPr>
      <w:rFonts w:ascii="Times New Roman" w:hAnsi="Times New Roman"/>
    </w:rPr>
  </w:style>
  <w:style w:type="paragraph" w:styleId="a9">
    <w:name w:val="caption"/>
    <w:basedOn w:val="a4"/>
    <w:next w:val="a4"/>
    <w:uiPriority w:val="35"/>
    <w:unhideWhenUsed/>
    <w:qFormat/>
    <w:rPr>
      <w:rFonts w:asciiTheme="majorHAnsi" w:eastAsia="黑体" w:hAnsiTheme="majorHAnsi" w:cstheme="majorBidi"/>
      <w:sz w:val="20"/>
    </w:rPr>
  </w:style>
  <w:style w:type="paragraph" w:styleId="aa">
    <w:name w:val="annotation text"/>
    <w:basedOn w:val="a4"/>
    <w:link w:val="Char"/>
    <w:uiPriority w:val="99"/>
    <w:unhideWhenUsed/>
    <w:qFormat/>
    <w:pPr>
      <w:jc w:val="left"/>
    </w:pPr>
    <w:rPr>
      <w:rFonts w:ascii="Times New Roman" w:hAnsi="Times New Roman"/>
    </w:rPr>
  </w:style>
  <w:style w:type="paragraph" w:styleId="ab">
    <w:name w:val="Salutation"/>
    <w:basedOn w:val="a4"/>
    <w:next w:val="a4"/>
    <w:link w:val="Char0"/>
    <w:uiPriority w:val="99"/>
    <w:unhideWhenUsed/>
    <w:qFormat/>
    <w:rPr>
      <w:rFonts w:ascii="Times New Roman" w:hAnsi="Times New Roman"/>
    </w:rPr>
  </w:style>
  <w:style w:type="paragraph" w:styleId="ac">
    <w:name w:val="Body Text Indent"/>
    <w:basedOn w:val="a4"/>
    <w:link w:val="Char1"/>
    <w:qFormat/>
    <w:pPr>
      <w:widowControl/>
      <w:spacing w:after="120"/>
      <w:ind w:leftChars="200" w:left="420"/>
      <w:jc w:val="left"/>
    </w:pPr>
    <w:rPr>
      <w:rFonts w:ascii="Times New Roman" w:hAnsi="Times New Roman" w:cs="Times New Roman"/>
      <w:kern w:val="0"/>
      <w:sz w:val="24"/>
      <w:szCs w:val="24"/>
    </w:rPr>
  </w:style>
  <w:style w:type="paragraph" w:styleId="50">
    <w:name w:val="toc 5"/>
    <w:basedOn w:val="a4"/>
    <w:next w:val="a4"/>
    <w:uiPriority w:val="39"/>
    <w:qFormat/>
    <w:pPr>
      <w:ind w:left="630"/>
      <w:jc w:val="left"/>
    </w:pPr>
    <w:rPr>
      <w:rFonts w:asciiTheme="minorHAnsi" w:hAnsiTheme="minorHAnsi"/>
      <w:sz w:val="20"/>
    </w:rPr>
  </w:style>
  <w:style w:type="paragraph" w:styleId="30">
    <w:name w:val="toc 3"/>
    <w:basedOn w:val="a4"/>
    <w:next w:val="a4"/>
    <w:uiPriority w:val="39"/>
    <w:qFormat/>
    <w:pPr>
      <w:ind w:left="210"/>
      <w:jc w:val="left"/>
    </w:pPr>
    <w:rPr>
      <w:rFonts w:asciiTheme="minorHAnsi" w:hAnsiTheme="minorHAnsi"/>
      <w:sz w:val="20"/>
    </w:rPr>
  </w:style>
  <w:style w:type="paragraph" w:styleId="ad">
    <w:name w:val="Plain Text"/>
    <w:basedOn w:val="a4"/>
    <w:unhideWhenUsed/>
    <w:qFormat/>
    <w:rPr>
      <w:rFonts w:ascii="宋体" w:hAnsi="Courier New" w:hint="eastAsia"/>
    </w:rPr>
  </w:style>
  <w:style w:type="paragraph" w:styleId="8">
    <w:name w:val="toc 8"/>
    <w:basedOn w:val="a4"/>
    <w:next w:val="a4"/>
    <w:uiPriority w:val="39"/>
    <w:qFormat/>
    <w:pPr>
      <w:ind w:left="1260"/>
      <w:jc w:val="left"/>
    </w:pPr>
    <w:rPr>
      <w:rFonts w:asciiTheme="minorHAnsi" w:hAnsiTheme="minorHAnsi"/>
      <w:sz w:val="20"/>
    </w:rPr>
  </w:style>
  <w:style w:type="paragraph" w:styleId="ae">
    <w:name w:val="Date"/>
    <w:basedOn w:val="a4"/>
    <w:next w:val="a4"/>
    <w:link w:val="Char2"/>
    <w:qFormat/>
    <w:rPr>
      <w:rFonts w:ascii="楷体_GB2312" w:eastAsia="楷体_GB2312" w:hAnsi="Times New Roman" w:cs="Times New Roman"/>
      <w:sz w:val="20"/>
    </w:rPr>
  </w:style>
  <w:style w:type="paragraph" w:styleId="20">
    <w:name w:val="Body Text Indent 2"/>
    <w:basedOn w:val="a4"/>
    <w:link w:val="2Char0"/>
    <w:qFormat/>
    <w:pPr>
      <w:widowControl/>
      <w:autoSpaceDE w:val="0"/>
      <w:autoSpaceDN w:val="0"/>
      <w:ind w:firstLine="540"/>
      <w:textAlignment w:val="bottom"/>
    </w:pPr>
    <w:rPr>
      <w:rFonts w:ascii="Times New Roman" w:eastAsia="华文楷体" w:hAnsi="Times New Roman" w:cs="Times New Roman"/>
      <w:kern w:val="0"/>
      <w:sz w:val="24"/>
      <w:szCs w:val="24"/>
    </w:rPr>
  </w:style>
  <w:style w:type="paragraph" w:styleId="af">
    <w:name w:val="endnote text"/>
    <w:basedOn w:val="a4"/>
    <w:link w:val="Char3"/>
    <w:unhideWhenUsed/>
    <w:qFormat/>
    <w:pPr>
      <w:widowControl/>
      <w:snapToGrid w:val="0"/>
      <w:jc w:val="left"/>
    </w:pPr>
    <w:rPr>
      <w:rFonts w:ascii="Arial" w:hAnsi="Arial" w:cs="Times New Roman"/>
      <w:kern w:val="0"/>
      <w:sz w:val="24"/>
      <w:szCs w:val="24"/>
    </w:rPr>
  </w:style>
  <w:style w:type="paragraph" w:styleId="af0">
    <w:name w:val="Balloon Text"/>
    <w:basedOn w:val="a4"/>
    <w:link w:val="Char4"/>
    <w:qFormat/>
    <w:rPr>
      <w:sz w:val="18"/>
      <w:szCs w:val="18"/>
    </w:rPr>
  </w:style>
  <w:style w:type="paragraph" w:styleId="af1">
    <w:name w:val="footer"/>
    <w:basedOn w:val="a4"/>
    <w:link w:val="Char5"/>
    <w:uiPriority w:val="99"/>
    <w:qFormat/>
    <w:pPr>
      <w:tabs>
        <w:tab w:val="center" w:pos="4153"/>
        <w:tab w:val="right" w:pos="8306"/>
      </w:tabs>
      <w:snapToGrid w:val="0"/>
      <w:jc w:val="left"/>
    </w:pPr>
    <w:rPr>
      <w:sz w:val="18"/>
      <w:szCs w:val="18"/>
    </w:rPr>
  </w:style>
  <w:style w:type="paragraph" w:styleId="af2">
    <w:name w:val="header"/>
    <w:basedOn w:val="a4"/>
    <w:link w:val="Char6"/>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4"/>
    <w:next w:val="a4"/>
    <w:uiPriority w:val="39"/>
    <w:unhideWhenUsed/>
    <w:qFormat/>
    <w:pPr>
      <w:spacing w:before="360"/>
      <w:jc w:val="left"/>
    </w:pPr>
    <w:rPr>
      <w:rFonts w:asciiTheme="majorHAnsi" w:hAnsiTheme="majorHAnsi"/>
      <w:b/>
      <w:bCs/>
      <w:caps/>
      <w:sz w:val="24"/>
      <w:szCs w:val="24"/>
    </w:rPr>
  </w:style>
  <w:style w:type="paragraph" w:styleId="40">
    <w:name w:val="toc 4"/>
    <w:basedOn w:val="a4"/>
    <w:next w:val="a4"/>
    <w:uiPriority w:val="39"/>
    <w:qFormat/>
    <w:pPr>
      <w:ind w:left="420"/>
      <w:jc w:val="left"/>
    </w:pPr>
    <w:rPr>
      <w:rFonts w:asciiTheme="minorHAnsi" w:hAnsiTheme="minorHAnsi"/>
      <w:sz w:val="20"/>
    </w:rPr>
  </w:style>
  <w:style w:type="paragraph" w:styleId="a3">
    <w:name w:val="Subtitle"/>
    <w:basedOn w:val="21"/>
    <w:next w:val="a4"/>
    <w:link w:val="Char7"/>
    <w:qFormat/>
    <w:pPr>
      <w:widowControl/>
      <w:numPr>
        <w:numId w:val="1"/>
      </w:numPr>
      <w:overflowPunct w:val="0"/>
      <w:autoSpaceDE w:val="0"/>
      <w:autoSpaceDN w:val="0"/>
      <w:adjustRightInd w:val="0"/>
      <w:snapToGrid w:val="0"/>
      <w:spacing w:before="0"/>
      <w:textAlignment w:val="bottom"/>
    </w:pPr>
    <w:rPr>
      <w:rFonts w:eastAsia="黑体" w:cs="Arial"/>
      <w:snapToGrid w:val="0"/>
      <w:color w:val="000000" w:themeColor="text1"/>
      <w:kern w:val="0"/>
      <w:sz w:val="24"/>
    </w:rPr>
  </w:style>
  <w:style w:type="paragraph" w:customStyle="1" w:styleId="21">
    <w:name w:val="标题 21"/>
    <w:basedOn w:val="a4"/>
    <w:next w:val="a4"/>
    <w:semiHidden/>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af3">
    <w:name w:val="footnote text"/>
    <w:basedOn w:val="a4"/>
    <w:link w:val="Char8"/>
    <w:uiPriority w:val="99"/>
    <w:unhideWhenUsed/>
    <w:qFormat/>
    <w:rPr>
      <w:rFonts w:asciiTheme="minorHAnsi" w:eastAsiaTheme="minorEastAsia" w:hAnsiTheme="minorHAnsi"/>
      <w:sz w:val="20"/>
    </w:rPr>
  </w:style>
  <w:style w:type="paragraph" w:styleId="6">
    <w:name w:val="toc 6"/>
    <w:basedOn w:val="a4"/>
    <w:next w:val="a4"/>
    <w:uiPriority w:val="39"/>
    <w:qFormat/>
    <w:pPr>
      <w:ind w:left="840"/>
      <w:jc w:val="left"/>
    </w:pPr>
    <w:rPr>
      <w:rFonts w:asciiTheme="minorHAnsi" w:hAnsiTheme="minorHAnsi"/>
      <w:sz w:val="20"/>
    </w:rPr>
  </w:style>
  <w:style w:type="paragraph" w:styleId="31">
    <w:name w:val="Body Text Indent 3"/>
    <w:basedOn w:val="a4"/>
    <w:link w:val="3Char0"/>
    <w:qFormat/>
    <w:pPr>
      <w:widowControl/>
      <w:spacing w:after="120"/>
      <w:ind w:leftChars="200" w:left="420"/>
      <w:jc w:val="left"/>
    </w:pPr>
    <w:rPr>
      <w:rFonts w:ascii="Times New Roman" w:hAnsi="Times New Roman" w:cs="Times New Roman"/>
      <w:kern w:val="0"/>
      <w:sz w:val="16"/>
      <w:szCs w:val="16"/>
    </w:rPr>
  </w:style>
  <w:style w:type="paragraph" w:styleId="22">
    <w:name w:val="toc 2"/>
    <w:basedOn w:val="a4"/>
    <w:next w:val="a4"/>
    <w:uiPriority w:val="39"/>
    <w:qFormat/>
    <w:pPr>
      <w:spacing w:before="240"/>
      <w:jc w:val="left"/>
    </w:pPr>
    <w:rPr>
      <w:rFonts w:asciiTheme="minorHAnsi" w:hAnsiTheme="minorHAnsi"/>
      <w:b/>
      <w:bCs/>
      <w:sz w:val="20"/>
    </w:rPr>
  </w:style>
  <w:style w:type="paragraph" w:styleId="9">
    <w:name w:val="toc 9"/>
    <w:basedOn w:val="a4"/>
    <w:next w:val="a4"/>
    <w:uiPriority w:val="39"/>
    <w:qFormat/>
    <w:pPr>
      <w:ind w:left="1470"/>
      <w:jc w:val="left"/>
    </w:pPr>
    <w:rPr>
      <w:rFonts w:asciiTheme="minorHAnsi" w:hAnsiTheme="minorHAnsi"/>
      <w:sz w:val="20"/>
    </w:rPr>
  </w:style>
  <w:style w:type="paragraph" w:styleId="HTML">
    <w:name w:val="HTML Preformatted"/>
    <w:basedOn w:val="a4"/>
    <w:link w:val="HTMLChar"/>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4">
    <w:name w:val="Normal (Web)"/>
    <w:basedOn w:val="a4"/>
    <w:uiPriority w:val="99"/>
    <w:unhideWhenUsed/>
    <w:qFormat/>
    <w:pPr>
      <w:widowControl/>
      <w:spacing w:before="100" w:beforeAutospacing="1" w:after="100" w:afterAutospacing="1"/>
      <w:jc w:val="left"/>
    </w:pPr>
    <w:rPr>
      <w:rFonts w:ascii="宋体" w:hAnsi="宋体" w:hint="eastAsia"/>
      <w:kern w:val="0"/>
      <w:sz w:val="24"/>
    </w:rPr>
  </w:style>
  <w:style w:type="paragraph" w:styleId="af5">
    <w:name w:val="Title"/>
    <w:basedOn w:val="310"/>
    <w:next w:val="a4"/>
    <w:link w:val="Char9"/>
    <w:qFormat/>
    <w:pPr>
      <w:widowControl/>
      <w:spacing w:before="240" w:after="60"/>
      <w:jc w:val="center"/>
      <w:outlineLvl w:val="0"/>
    </w:pPr>
    <w:rPr>
      <w:rFonts w:hint="eastAsia"/>
      <w:kern w:val="0"/>
      <w:sz w:val="28"/>
      <w:szCs w:val="32"/>
    </w:rPr>
  </w:style>
  <w:style w:type="paragraph" w:customStyle="1" w:styleId="310">
    <w:name w:val="标题 31"/>
    <w:basedOn w:val="a4"/>
    <w:next w:val="a4"/>
    <w:semiHidden/>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af6">
    <w:name w:val="annotation subject"/>
    <w:basedOn w:val="aa"/>
    <w:next w:val="aa"/>
    <w:link w:val="Chara"/>
    <w:qFormat/>
    <w:rPr>
      <w:rFonts w:ascii="Calibri" w:hAnsi="Calibri"/>
      <w:b/>
      <w:bCs/>
    </w:rPr>
  </w:style>
  <w:style w:type="paragraph" w:styleId="23">
    <w:name w:val="Body Text First Indent 2"/>
    <w:basedOn w:val="ac"/>
    <w:link w:val="2Char1"/>
    <w:semiHidden/>
    <w:unhideWhenUsed/>
    <w:qFormat/>
    <w:pPr>
      <w:widowControl w:val="0"/>
      <w:ind w:firstLineChars="200" w:firstLine="420"/>
      <w:jc w:val="both"/>
    </w:pPr>
    <w:rPr>
      <w:rFonts w:ascii="Calibri" w:hAnsi="Calibri" w:cstheme="minorBidi"/>
      <w:kern w:val="2"/>
      <w:sz w:val="21"/>
      <w:szCs w:val="20"/>
    </w:rPr>
  </w:style>
  <w:style w:type="table" w:styleId="af7">
    <w:name w:val="Table Grid"/>
    <w:basedOn w:val="a6"/>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5"/>
    <w:uiPriority w:val="22"/>
    <w:qFormat/>
    <w:rPr>
      <w:b/>
      <w:bCs/>
    </w:rPr>
  </w:style>
  <w:style w:type="character" w:styleId="af9">
    <w:name w:val="endnote reference"/>
    <w:basedOn w:val="a5"/>
    <w:unhideWhenUsed/>
    <w:qFormat/>
    <w:rPr>
      <w:vertAlign w:val="superscript"/>
    </w:rPr>
  </w:style>
  <w:style w:type="character" w:styleId="afa">
    <w:name w:val="page number"/>
    <w:basedOn w:val="a5"/>
    <w:qFormat/>
  </w:style>
  <w:style w:type="character" w:styleId="afb">
    <w:name w:val="FollowedHyperlink"/>
    <w:basedOn w:val="a5"/>
    <w:unhideWhenUsed/>
    <w:qFormat/>
    <w:rPr>
      <w:color w:val="954F72" w:themeColor="followedHyperlink"/>
      <w:u w:val="single"/>
    </w:rPr>
  </w:style>
  <w:style w:type="character" w:styleId="afc">
    <w:name w:val="Emphasis"/>
    <w:basedOn w:val="5Char"/>
    <w:qFormat/>
    <w:rPr>
      <w:rFonts w:ascii="黑体" w:eastAsiaTheme="majorEastAsia" w:hAnsi="黑体" w:cstheme="majorBidi"/>
      <w:b w:val="0"/>
      <w:i/>
      <w:iCs/>
      <w:color w:val="auto"/>
      <w:kern w:val="2"/>
      <w:sz w:val="24"/>
      <w:szCs w:val="24"/>
    </w:rPr>
  </w:style>
  <w:style w:type="character" w:customStyle="1" w:styleId="5Char">
    <w:name w:val="标题 5 Char"/>
    <w:basedOn w:val="a5"/>
    <w:link w:val="5"/>
    <w:unhideWhenUsed/>
    <w:qFormat/>
    <w:rPr>
      <w:rFonts w:ascii="Calibri" w:eastAsia="宋体" w:hAnsi="Calibri"/>
      <w:b/>
      <w:kern w:val="2"/>
      <w:sz w:val="21"/>
    </w:rPr>
  </w:style>
  <w:style w:type="character" w:styleId="afd">
    <w:name w:val="line number"/>
    <w:basedOn w:val="a5"/>
    <w:semiHidden/>
    <w:unhideWhenUsed/>
    <w:qFormat/>
  </w:style>
  <w:style w:type="character" w:styleId="afe">
    <w:name w:val="Hyperlink"/>
    <w:basedOn w:val="a5"/>
    <w:unhideWhenUsed/>
    <w:qFormat/>
    <w:rPr>
      <w:rFonts w:ascii="Times New Roman" w:eastAsia="宋体" w:hAnsi="Times New Roman" w:hint="default"/>
      <w:color w:val="0000FF"/>
      <w:sz w:val="24"/>
      <w:u w:val="single"/>
    </w:rPr>
  </w:style>
  <w:style w:type="character" w:styleId="aff">
    <w:name w:val="annotation reference"/>
    <w:basedOn w:val="a5"/>
    <w:uiPriority w:val="99"/>
    <w:qFormat/>
    <w:rPr>
      <w:sz w:val="21"/>
      <w:szCs w:val="21"/>
    </w:rPr>
  </w:style>
  <w:style w:type="character" w:styleId="HTML0">
    <w:name w:val="HTML Cite"/>
    <w:basedOn w:val="a5"/>
    <w:qFormat/>
  </w:style>
  <w:style w:type="character" w:styleId="aff0">
    <w:name w:val="footnote reference"/>
    <w:basedOn w:val="a5"/>
    <w:uiPriority w:val="99"/>
    <w:unhideWhenUsed/>
    <w:qFormat/>
    <w:rPr>
      <w:vertAlign w:val="superscript"/>
    </w:rPr>
  </w:style>
  <w:style w:type="character" w:customStyle="1" w:styleId="1Char">
    <w:name w:val="标题 1 Char"/>
    <w:basedOn w:val="a5"/>
    <w:link w:val="1"/>
    <w:qFormat/>
    <w:rPr>
      <w:rFonts w:ascii="Calibri" w:eastAsia="黑体" w:hAnsi="Calibri"/>
      <w:b/>
      <w:kern w:val="44"/>
      <w:sz w:val="28"/>
    </w:rPr>
  </w:style>
  <w:style w:type="character" w:customStyle="1" w:styleId="2Char">
    <w:name w:val="标题 2 Char"/>
    <w:link w:val="2"/>
    <w:qFormat/>
    <w:rPr>
      <w:rFonts w:ascii="Arial" w:eastAsia="宋体" w:hAnsi="Arial"/>
      <w:b/>
      <w:kern w:val="2"/>
      <w:sz w:val="21"/>
    </w:rPr>
  </w:style>
  <w:style w:type="character" w:customStyle="1" w:styleId="3Char">
    <w:name w:val="标题 3 Char"/>
    <w:basedOn w:val="a5"/>
    <w:link w:val="3"/>
    <w:qFormat/>
    <w:rPr>
      <w:rFonts w:ascii="Calibri" w:eastAsia="宋体" w:hAnsi="Calibri"/>
      <w:b/>
      <w:kern w:val="2"/>
      <w:sz w:val="21"/>
    </w:rPr>
  </w:style>
  <w:style w:type="character" w:customStyle="1" w:styleId="4Char">
    <w:name w:val="标题 4 Char"/>
    <w:basedOn w:val="a5"/>
    <w:link w:val="4"/>
    <w:qFormat/>
    <w:rPr>
      <w:rFonts w:ascii="Cambria" w:eastAsia="宋体" w:hAnsi="Cambria"/>
      <w:b/>
      <w:kern w:val="2"/>
      <w:sz w:val="21"/>
    </w:rPr>
  </w:style>
  <w:style w:type="character" w:customStyle="1" w:styleId="Char">
    <w:name w:val="批注文字 Char"/>
    <w:basedOn w:val="a5"/>
    <w:link w:val="aa"/>
    <w:uiPriority w:val="99"/>
    <w:qFormat/>
    <w:rPr>
      <w:rFonts w:ascii="Times New Roman" w:eastAsia="宋体" w:hAnsi="Times New Roman"/>
      <w:kern w:val="2"/>
      <w:sz w:val="21"/>
    </w:rPr>
  </w:style>
  <w:style w:type="character" w:customStyle="1" w:styleId="Char0">
    <w:name w:val="称呼 Char"/>
    <w:basedOn w:val="a5"/>
    <w:link w:val="ab"/>
    <w:uiPriority w:val="99"/>
    <w:qFormat/>
    <w:rPr>
      <w:rFonts w:cstheme="minorBidi"/>
      <w:kern w:val="2"/>
      <w:sz w:val="21"/>
    </w:rPr>
  </w:style>
  <w:style w:type="character" w:customStyle="1" w:styleId="Char1">
    <w:name w:val="正文文本缩进 Char"/>
    <w:basedOn w:val="a5"/>
    <w:link w:val="ac"/>
    <w:qFormat/>
    <w:rPr>
      <w:rFonts w:ascii="Times New Roman" w:eastAsia="宋体" w:hAnsi="Times New Roman" w:cs="Times New Roman"/>
      <w:sz w:val="24"/>
      <w:szCs w:val="24"/>
    </w:rPr>
  </w:style>
  <w:style w:type="character" w:customStyle="1" w:styleId="Char2">
    <w:name w:val="日期 Char"/>
    <w:basedOn w:val="a5"/>
    <w:link w:val="ae"/>
    <w:qFormat/>
    <w:rPr>
      <w:rFonts w:ascii="楷体_GB2312" w:eastAsia="楷体_GB2312" w:hAnsi="Times New Roman" w:cs="Times New Roman"/>
      <w:kern w:val="2"/>
    </w:rPr>
  </w:style>
  <w:style w:type="character" w:customStyle="1" w:styleId="2Char0">
    <w:name w:val="正文文本缩进 2 Char"/>
    <w:basedOn w:val="a5"/>
    <w:link w:val="20"/>
    <w:qFormat/>
    <w:rPr>
      <w:rFonts w:ascii="Times New Roman" w:eastAsia="华文楷体" w:hAnsi="Times New Roman" w:cs="Times New Roman"/>
      <w:sz w:val="24"/>
      <w:szCs w:val="24"/>
    </w:rPr>
  </w:style>
  <w:style w:type="character" w:customStyle="1" w:styleId="Char3">
    <w:name w:val="尾注文本 Char"/>
    <w:basedOn w:val="a5"/>
    <w:link w:val="af"/>
    <w:qFormat/>
    <w:rPr>
      <w:rFonts w:ascii="Arial" w:eastAsia="宋体" w:hAnsi="Arial" w:cs="Times New Roman"/>
      <w:sz w:val="24"/>
      <w:szCs w:val="24"/>
    </w:rPr>
  </w:style>
  <w:style w:type="character" w:customStyle="1" w:styleId="Char4">
    <w:name w:val="批注框文本 Char"/>
    <w:basedOn w:val="a5"/>
    <w:link w:val="af0"/>
    <w:qFormat/>
    <w:rPr>
      <w:rFonts w:ascii="Calibri" w:eastAsia="宋体" w:hAnsi="Calibri"/>
      <w:kern w:val="2"/>
      <w:sz w:val="18"/>
      <w:szCs w:val="18"/>
    </w:rPr>
  </w:style>
  <w:style w:type="character" w:customStyle="1" w:styleId="Char5">
    <w:name w:val="页脚 Char"/>
    <w:basedOn w:val="a5"/>
    <w:link w:val="af1"/>
    <w:uiPriority w:val="99"/>
    <w:qFormat/>
    <w:rPr>
      <w:rFonts w:ascii="Calibri" w:eastAsia="宋体" w:hAnsi="Calibri"/>
      <w:kern w:val="2"/>
      <w:sz w:val="18"/>
      <w:szCs w:val="18"/>
    </w:rPr>
  </w:style>
  <w:style w:type="character" w:customStyle="1" w:styleId="Char6">
    <w:name w:val="页眉 Char"/>
    <w:basedOn w:val="a5"/>
    <w:link w:val="af2"/>
    <w:uiPriority w:val="99"/>
    <w:qFormat/>
    <w:rPr>
      <w:rFonts w:ascii="Calibri" w:eastAsia="宋体" w:hAnsi="Calibri"/>
      <w:kern w:val="2"/>
      <w:sz w:val="18"/>
      <w:szCs w:val="18"/>
    </w:rPr>
  </w:style>
  <w:style w:type="character" w:customStyle="1" w:styleId="Char7">
    <w:name w:val="副标题 Char"/>
    <w:basedOn w:val="a5"/>
    <w:link w:val="a3"/>
    <w:qFormat/>
    <w:rPr>
      <w:rFonts w:ascii="Arial" w:eastAsia="黑体" w:hAnsi="Arial" w:cs="Arial"/>
      <w:b/>
      <w:snapToGrid w:val="0"/>
      <w:color w:val="000000" w:themeColor="text1"/>
      <w:sz w:val="24"/>
      <w:szCs w:val="26"/>
    </w:rPr>
  </w:style>
  <w:style w:type="character" w:customStyle="1" w:styleId="Char8">
    <w:name w:val="脚注文本 Char"/>
    <w:basedOn w:val="a5"/>
    <w:link w:val="af3"/>
    <w:uiPriority w:val="99"/>
    <w:qFormat/>
    <w:rPr>
      <w:kern w:val="2"/>
    </w:rPr>
  </w:style>
  <w:style w:type="character" w:customStyle="1" w:styleId="3Char0">
    <w:name w:val="正文文本缩进 3 Char"/>
    <w:basedOn w:val="a5"/>
    <w:link w:val="31"/>
    <w:qFormat/>
    <w:rPr>
      <w:rFonts w:ascii="Times New Roman" w:eastAsia="宋体" w:hAnsi="Times New Roman" w:cs="Times New Roman"/>
      <w:sz w:val="16"/>
      <w:szCs w:val="16"/>
    </w:rPr>
  </w:style>
  <w:style w:type="character" w:customStyle="1" w:styleId="HTMLChar">
    <w:name w:val="HTML 预设格式 Char"/>
    <w:basedOn w:val="a5"/>
    <w:link w:val="HTML"/>
    <w:uiPriority w:val="99"/>
    <w:semiHidden/>
    <w:qFormat/>
    <w:rPr>
      <w:rFonts w:ascii="宋体" w:hAnsi="宋体" w:cs="宋体"/>
      <w:sz w:val="24"/>
      <w:szCs w:val="24"/>
    </w:rPr>
  </w:style>
  <w:style w:type="character" w:customStyle="1" w:styleId="Char9">
    <w:name w:val="标题 Char"/>
    <w:basedOn w:val="a5"/>
    <w:link w:val="af5"/>
    <w:qFormat/>
    <w:rPr>
      <w:rFonts w:asciiTheme="majorHAnsi" w:eastAsia="宋体" w:hAnsiTheme="majorHAnsi" w:cstheme="majorBidi"/>
      <w:b/>
      <w:bCs/>
      <w:sz w:val="28"/>
      <w:szCs w:val="32"/>
    </w:rPr>
  </w:style>
  <w:style w:type="character" w:customStyle="1" w:styleId="Chara">
    <w:name w:val="批注主题 Char"/>
    <w:basedOn w:val="Char"/>
    <w:link w:val="af6"/>
    <w:qFormat/>
    <w:rPr>
      <w:rFonts w:ascii="Calibri" w:eastAsia="宋体" w:hAnsi="Calibri"/>
      <w:b/>
      <w:bCs/>
      <w:kern w:val="2"/>
      <w:sz w:val="21"/>
    </w:rPr>
  </w:style>
  <w:style w:type="character" w:customStyle="1" w:styleId="2Char1">
    <w:name w:val="正文首行缩进 2 Char"/>
    <w:basedOn w:val="Char1"/>
    <w:link w:val="23"/>
    <w:semiHidden/>
    <w:qFormat/>
    <w:rPr>
      <w:rFonts w:ascii="Calibri" w:eastAsia="宋体" w:hAnsi="Calibri" w:cstheme="minorBidi"/>
      <w:kern w:val="2"/>
      <w:sz w:val="21"/>
      <w:szCs w:val="24"/>
    </w:rPr>
  </w:style>
  <w:style w:type="paragraph" w:styleId="aff1">
    <w:name w:val="No Spacing"/>
    <w:uiPriority w:val="1"/>
    <w:unhideWhenUsed/>
    <w:qFormat/>
    <w:pPr>
      <w:widowControl w:val="0"/>
      <w:jc w:val="both"/>
    </w:pPr>
    <w:rPr>
      <w:rFonts w:ascii="Calibri" w:hAnsi="Calibri" w:cstheme="minorBidi"/>
      <w:kern w:val="2"/>
      <w:sz w:val="21"/>
    </w:rPr>
  </w:style>
  <w:style w:type="paragraph" w:styleId="aff2">
    <w:name w:val="List Paragraph"/>
    <w:basedOn w:val="a4"/>
    <w:uiPriority w:val="34"/>
    <w:unhideWhenUsed/>
    <w:qFormat/>
    <w:pPr>
      <w:ind w:firstLineChars="200" w:firstLine="420"/>
    </w:pPr>
  </w:style>
  <w:style w:type="paragraph" w:customStyle="1" w:styleId="11">
    <w:name w:val="列出段落1"/>
    <w:basedOn w:val="a4"/>
    <w:uiPriority w:val="34"/>
    <w:unhideWhenUsed/>
    <w:qFormat/>
    <w:pPr>
      <w:ind w:firstLineChars="200" w:firstLine="420"/>
    </w:pPr>
  </w:style>
  <w:style w:type="character" w:customStyle="1" w:styleId="font71">
    <w:name w:val="font71"/>
    <w:basedOn w:val="a5"/>
    <w:unhideWhenUsed/>
    <w:qFormat/>
    <w:rPr>
      <w:rFonts w:ascii="宋体" w:eastAsia="宋体" w:hAnsi="宋体" w:hint="eastAsia"/>
      <w:color w:val="000000"/>
      <w:sz w:val="22"/>
    </w:rPr>
  </w:style>
  <w:style w:type="character" w:styleId="aff3">
    <w:name w:val="Placeholder Text"/>
    <w:basedOn w:val="a5"/>
    <w:uiPriority w:val="99"/>
    <w:unhideWhenUsed/>
    <w:qFormat/>
    <w:rPr>
      <w:rFonts w:hint="default"/>
      <w:color w:val="auto"/>
      <w:sz w:val="24"/>
    </w:rPr>
  </w:style>
  <w:style w:type="character" w:customStyle="1" w:styleId="font11">
    <w:name w:val="font11"/>
    <w:basedOn w:val="a5"/>
    <w:unhideWhenUsed/>
    <w:qFormat/>
    <w:rPr>
      <w:rFonts w:ascii="宋体" w:eastAsia="宋体" w:hAnsi="宋体" w:hint="eastAsia"/>
      <w:color w:val="000000"/>
      <w:sz w:val="18"/>
    </w:rPr>
  </w:style>
  <w:style w:type="paragraph" w:customStyle="1" w:styleId="12">
    <w:name w:val="修订1"/>
    <w:hidden/>
    <w:uiPriority w:val="99"/>
    <w:unhideWhenUsed/>
    <w:qFormat/>
    <w:rPr>
      <w:rFonts w:ascii="Calibri" w:hAnsi="Calibri" w:cstheme="minorBidi"/>
      <w:kern w:val="2"/>
      <w:sz w:val="21"/>
    </w:rPr>
  </w:style>
  <w:style w:type="paragraph" w:customStyle="1" w:styleId="TOC1">
    <w:name w:val="TOC 标题1"/>
    <w:basedOn w:val="1"/>
    <w:next w:val="a4"/>
    <w:uiPriority w:val="39"/>
    <w:semiHidden/>
    <w:unhideWhenUsed/>
    <w:qFormat/>
    <w:pPr>
      <w:widowControl/>
      <w:spacing w:before="480" w:after="0" w:line="276" w:lineRule="auto"/>
      <w:jc w:val="left"/>
      <w:outlineLvl w:val="9"/>
    </w:pPr>
    <w:rPr>
      <w:rFonts w:asciiTheme="majorHAnsi" w:eastAsiaTheme="majorEastAsia" w:hAnsiTheme="majorHAnsi" w:cstheme="majorBidi"/>
      <w:bCs/>
      <w:color w:val="2E74B5" w:themeColor="accent1" w:themeShade="BF"/>
      <w:kern w:val="0"/>
      <w:szCs w:val="28"/>
    </w:rPr>
  </w:style>
  <w:style w:type="character" w:customStyle="1" w:styleId="font21">
    <w:name w:val="font21"/>
    <w:basedOn w:val="a5"/>
    <w:qFormat/>
    <w:rPr>
      <w:rFonts w:ascii="Calibri" w:hAnsi="Calibri" w:cs="Calibri" w:hint="default"/>
      <w:color w:val="000000"/>
      <w:sz w:val="28"/>
      <w:szCs w:val="28"/>
      <w:u w:val="none"/>
    </w:rPr>
  </w:style>
  <w:style w:type="character" w:customStyle="1" w:styleId="font01">
    <w:name w:val="font01"/>
    <w:basedOn w:val="a5"/>
    <w:qFormat/>
    <w:rPr>
      <w:rFonts w:ascii="宋体" w:eastAsia="宋体" w:hAnsi="宋体" w:cs="宋体" w:hint="eastAsia"/>
      <w:color w:val="000000"/>
      <w:sz w:val="28"/>
      <w:szCs w:val="28"/>
      <w:u w:val="none"/>
    </w:rPr>
  </w:style>
  <w:style w:type="paragraph" w:customStyle="1" w:styleId="a0">
    <w:name w:val="一级"/>
    <w:basedOn w:val="aff2"/>
    <w:qFormat/>
    <w:pPr>
      <w:numPr>
        <w:numId w:val="2"/>
      </w:numPr>
      <w:ind w:firstLineChars="0" w:firstLine="0"/>
    </w:pPr>
    <w:rPr>
      <w:rFonts w:ascii="宋体" w:hAnsi="宋体" w:cs="宋体"/>
      <w:b/>
    </w:rPr>
  </w:style>
  <w:style w:type="paragraph" w:customStyle="1" w:styleId="a2">
    <w:name w:val="二级"/>
    <w:basedOn w:val="a4"/>
    <w:qFormat/>
    <w:pPr>
      <w:widowControl/>
      <w:numPr>
        <w:numId w:val="3"/>
      </w:numPr>
      <w:jc w:val="left"/>
    </w:pPr>
    <w:rPr>
      <w:rFonts w:ascii="宋体" w:hAnsi="宋体" w:cs="宋体" w:hint="eastAsia"/>
      <w:b/>
      <w:kern w:val="0"/>
    </w:rPr>
  </w:style>
  <w:style w:type="paragraph" w:customStyle="1" w:styleId="a1">
    <w:name w:val="三级"/>
    <w:basedOn w:val="4"/>
    <w:qFormat/>
    <w:pPr>
      <w:keepNext w:val="0"/>
      <w:keepLines w:val="0"/>
      <w:numPr>
        <w:numId w:val="4"/>
      </w:numPr>
    </w:pPr>
    <w:rPr>
      <w:rFonts w:ascii="宋体" w:hAnsi="宋体" w:cs="宋体"/>
    </w:rPr>
  </w:style>
  <w:style w:type="paragraph" w:customStyle="1" w:styleId="a">
    <w:name w:val="四级"/>
    <w:basedOn w:val="a4"/>
    <w:qFormat/>
    <w:pPr>
      <w:widowControl/>
      <w:numPr>
        <w:numId w:val="5"/>
      </w:numPr>
      <w:jc w:val="left"/>
    </w:pPr>
    <w:rPr>
      <w:rFonts w:ascii="宋体" w:hAnsi="宋体" w:cs="宋体"/>
      <w:b/>
      <w:kern w:val="0"/>
    </w:rPr>
  </w:style>
  <w:style w:type="paragraph" w:customStyle="1" w:styleId="110">
    <w:name w:val="修订11"/>
    <w:hidden/>
    <w:uiPriority w:val="99"/>
    <w:unhideWhenUsed/>
    <w:qFormat/>
    <w:rPr>
      <w:rFonts w:ascii="Calibri" w:hAnsi="Calibri" w:cstheme="minorBidi"/>
      <w:kern w:val="2"/>
      <w:sz w:val="21"/>
    </w:rPr>
  </w:style>
  <w:style w:type="paragraph" w:customStyle="1" w:styleId="Default">
    <w:name w:val="Default"/>
    <w:qFormat/>
    <w:pPr>
      <w:autoSpaceDE w:val="0"/>
      <w:autoSpaceDN w:val="0"/>
      <w:adjustRightInd w:val="0"/>
    </w:pPr>
    <w:rPr>
      <w:rFonts w:ascii="仿宋_GB2312" w:eastAsia="仿宋_GB2312" w:cs="仿宋_GB2312"/>
      <w:color w:val="000000"/>
      <w:sz w:val="24"/>
      <w:szCs w:val="24"/>
    </w:rPr>
  </w:style>
  <w:style w:type="character" w:customStyle="1" w:styleId="13">
    <w:name w:val="不明显强调1"/>
    <w:basedOn w:val="4Char"/>
    <w:uiPriority w:val="19"/>
    <w:qFormat/>
    <w:rPr>
      <w:rFonts w:ascii="黑体" w:eastAsia="黑体" w:hAnsi="黑体" w:cs="Arial"/>
      <w:b/>
      <w:i/>
      <w:color w:val="auto"/>
      <w:kern w:val="2"/>
      <w:sz w:val="21"/>
    </w:rPr>
  </w:style>
  <w:style w:type="paragraph" w:styleId="aff4">
    <w:name w:val="Quote"/>
    <w:basedOn w:val="5"/>
    <w:next w:val="a4"/>
    <w:link w:val="Charb"/>
    <w:uiPriority w:val="29"/>
    <w:qFormat/>
    <w:pPr>
      <w:widowControl/>
      <w:spacing w:before="0" w:after="0"/>
      <w:jc w:val="left"/>
    </w:pPr>
    <w:rPr>
      <w:rFonts w:ascii="黑体" w:eastAsiaTheme="majorEastAsia" w:hAnsi="黑体" w:cstheme="majorBidi"/>
      <w:b w:val="0"/>
      <w:i/>
      <w:iCs/>
      <w:color w:val="000000" w:themeColor="text1"/>
      <w:kern w:val="0"/>
      <w:sz w:val="24"/>
      <w:szCs w:val="24"/>
    </w:rPr>
  </w:style>
  <w:style w:type="character" w:customStyle="1" w:styleId="Charb">
    <w:name w:val="引用 Char"/>
    <w:basedOn w:val="a5"/>
    <w:link w:val="aff4"/>
    <w:uiPriority w:val="29"/>
    <w:qFormat/>
    <w:rPr>
      <w:rFonts w:ascii="黑体" w:eastAsiaTheme="majorEastAsia" w:hAnsi="黑体" w:cstheme="majorBidi"/>
      <w:i/>
      <w:iCs/>
      <w:color w:val="000000" w:themeColor="text1"/>
      <w:sz w:val="24"/>
      <w:szCs w:val="24"/>
    </w:rPr>
  </w:style>
  <w:style w:type="paragraph" w:styleId="aff5">
    <w:name w:val="Intense Quote"/>
    <w:basedOn w:val="4"/>
    <w:next w:val="a4"/>
    <w:link w:val="Charc"/>
    <w:uiPriority w:val="30"/>
    <w:qFormat/>
    <w:pPr>
      <w:widowControl/>
      <w:pBdr>
        <w:bottom w:val="single" w:sz="4" w:space="4" w:color="5B9BD5" w:themeColor="accent1"/>
      </w:pBdr>
      <w:spacing w:before="0" w:after="0"/>
      <w:ind w:left="936" w:right="936"/>
      <w:jc w:val="left"/>
    </w:pPr>
    <w:rPr>
      <w:rFonts w:ascii="黑体" w:eastAsiaTheme="majorEastAsia" w:hAnsi="黑体" w:cstheme="majorBidi"/>
      <w:kern w:val="0"/>
      <w:sz w:val="24"/>
      <w:szCs w:val="24"/>
    </w:rPr>
  </w:style>
  <w:style w:type="character" w:customStyle="1" w:styleId="Charc">
    <w:name w:val="明显引用 Char"/>
    <w:basedOn w:val="a5"/>
    <w:link w:val="aff5"/>
    <w:uiPriority w:val="30"/>
    <w:qFormat/>
    <w:rPr>
      <w:rFonts w:ascii="黑体" w:eastAsiaTheme="majorEastAsia" w:hAnsi="黑体" w:cstheme="majorBidi"/>
      <w:b/>
      <w:sz w:val="24"/>
      <w:szCs w:val="24"/>
    </w:rPr>
  </w:style>
  <w:style w:type="paragraph" w:customStyle="1" w:styleId="Style1">
    <w:name w:val="Style1"/>
    <w:basedOn w:val="41"/>
    <w:link w:val="Style1Char"/>
    <w:qFormat/>
    <w:pPr>
      <w:widowControl/>
      <w:overflowPunct w:val="0"/>
      <w:autoSpaceDE w:val="0"/>
      <w:autoSpaceDN w:val="0"/>
      <w:adjustRightInd w:val="0"/>
      <w:snapToGrid w:val="0"/>
      <w:spacing w:before="0"/>
      <w:ind w:left="720" w:hanging="720"/>
      <w:textAlignment w:val="bottom"/>
    </w:pPr>
    <w:rPr>
      <w:rFonts w:ascii="Arial" w:eastAsia="黑体" w:hAnsi="Arial" w:cs="Arial"/>
      <w:snapToGrid w:val="0"/>
      <w:sz w:val="24"/>
      <w:szCs w:val="24"/>
    </w:rPr>
  </w:style>
  <w:style w:type="paragraph" w:customStyle="1" w:styleId="41">
    <w:name w:val="标题 41"/>
    <w:basedOn w:val="a4"/>
    <w:next w:val="a4"/>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character" w:customStyle="1" w:styleId="Style1Char">
    <w:name w:val="Style1 Char"/>
    <w:basedOn w:val="4Char"/>
    <w:link w:val="Style1"/>
    <w:qFormat/>
    <w:rPr>
      <w:rFonts w:ascii="Arial" w:eastAsia="黑体" w:hAnsi="Arial" w:cs="Arial"/>
      <w:b/>
      <w:iCs/>
      <w:snapToGrid w:val="0"/>
      <w:kern w:val="2"/>
      <w:sz w:val="24"/>
      <w:szCs w:val="24"/>
    </w:rPr>
  </w:style>
  <w:style w:type="paragraph" w:customStyle="1" w:styleId="Style2">
    <w:name w:val="Style2"/>
    <w:basedOn w:val="5"/>
    <w:link w:val="Style2Char"/>
    <w:qFormat/>
    <w:pPr>
      <w:widowControl/>
      <w:overflowPunct w:val="0"/>
      <w:autoSpaceDE w:val="0"/>
      <w:autoSpaceDN w:val="0"/>
      <w:adjustRightInd w:val="0"/>
      <w:snapToGrid w:val="0"/>
      <w:spacing w:before="0" w:after="0"/>
      <w:ind w:left="1440" w:hanging="720"/>
      <w:textAlignment w:val="bottom"/>
    </w:pPr>
    <w:rPr>
      <w:rFonts w:ascii="黑体" w:eastAsia="黑体" w:hAnsi="黑体" w:cs="Arial"/>
      <w:b w:val="0"/>
      <w:snapToGrid w:val="0"/>
      <w:sz w:val="24"/>
      <w:szCs w:val="24"/>
      <w:u w:val="single"/>
    </w:rPr>
  </w:style>
  <w:style w:type="character" w:customStyle="1" w:styleId="Style2Char">
    <w:name w:val="Style2 Char"/>
    <w:basedOn w:val="5Char"/>
    <w:link w:val="Style2"/>
    <w:qFormat/>
    <w:rPr>
      <w:rFonts w:ascii="黑体" w:eastAsia="黑体" w:hAnsi="黑体" w:cs="Arial"/>
      <w:b w:val="0"/>
      <w:snapToGrid w:val="0"/>
      <w:kern w:val="2"/>
      <w:sz w:val="24"/>
      <w:szCs w:val="24"/>
      <w:u w:val="single"/>
    </w:rPr>
  </w:style>
  <w:style w:type="paragraph" w:customStyle="1" w:styleId="Style3">
    <w:name w:val="Style3"/>
    <w:basedOn w:val="4"/>
    <w:link w:val="Style3Char"/>
    <w:qFormat/>
    <w:pPr>
      <w:widowControl/>
      <w:overflowPunct w:val="0"/>
      <w:autoSpaceDE w:val="0"/>
      <w:autoSpaceDN w:val="0"/>
      <w:adjustRightInd w:val="0"/>
      <w:snapToGrid w:val="0"/>
      <w:spacing w:before="0" w:after="0"/>
      <w:ind w:left="720" w:hanging="720"/>
      <w:textAlignment w:val="bottom"/>
    </w:pPr>
    <w:rPr>
      <w:rFonts w:ascii="Arial" w:eastAsia="黑体" w:hAnsi="Arial" w:cs="Arial"/>
      <w:b w:val="0"/>
      <w:iCs/>
      <w:snapToGrid w:val="0"/>
      <w:sz w:val="24"/>
      <w:szCs w:val="24"/>
    </w:rPr>
  </w:style>
  <w:style w:type="character" w:customStyle="1" w:styleId="Style3Char">
    <w:name w:val="Style3 Char"/>
    <w:basedOn w:val="3Char"/>
    <w:link w:val="Style3"/>
    <w:qFormat/>
    <w:rPr>
      <w:rFonts w:ascii="Arial" w:eastAsia="黑体" w:hAnsi="Arial" w:cs="Arial"/>
      <w:b w:val="0"/>
      <w:iCs/>
      <w:snapToGrid w:val="0"/>
      <w:kern w:val="2"/>
      <w:sz w:val="24"/>
      <w:szCs w:val="24"/>
    </w:rPr>
  </w:style>
  <w:style w:type="paragraph" w:customStyle="1" w:styleId="Style4">
    <w:name w:val="Style4"/>
    <w:basedOn w:val="5"/>
    <w:link w:val="Style4Char"/>
    <w:qFormat/>
    <w:pPr>
      <w:widowControl/>
      <w:overflowPunct w:val="0"/>
      <w:autoSpaceDE w:val="0"/>
      <w:autoSpaceDN w:val="0"/>
      <w:adjustRightInd w:val="0"/>
      <w:snapToGrid w:val="0"/>
      <w:spacing w:before="0" w:after="0"/>
      <w:ind w:left="1440" w:hanging="720"/>
      <w:textAlignment w:val="bottom"/>
    </w:pPr>
    <w:rPr>
      <w:rFonts w:ascii="Arial" w:eastAsia="黑体" w:hAnsi="Arial" w:cs="Arial"/>
      <w:b w:val="0"/>
      <w:snapToGrid w:val="0"/>
      <w:sz w:val="24"/>
      <w:szCs w:val="24"/>
    </w:rPr>
  </w:style>
  <w:style w:type="character" w:customStyle="1" w:styleId="Style4Char">
    <w:name w:val="Style4 Char"/>
    <w:basedOn w:val="5Char"/>
    <w:link w:val="Style4"/>
    <w:qFormat/>
    <w:rPr>
      <w:rFonts w:ascii="Arial" w:eastAsia="黑体" w:hAnsi="Arial" w:cs="Arial"/>
      <w:b w:val="0"/>
      <w:snapToGrid w:val="0"/>
      <w:kern w:val="2"/>
      <w:sz w:val="24"/>
      <w:szCs w:val="24"/>
    </w:rPr>
  </w:style>
  <w:style w:type="paragraph" w:customStyle="1" w:styleId="Style5">
    <w:name w:val="Style5"/>
    <w:basedOn w:val="4"/>
    <w:link w:val="Style5Char"/>
    <w:qFormat/>
    <w:pPr>
      <w:widowControl/>
      <w:overflowPunct w:val="0"/>
      <w:autoSpaceDE w:val="0"/>
      <w:autoSpaceDN w:val="0"/>
      <w:adjustRightInd w:val="0"/>
      <w:snapToGrid w:val="0"/>
      <w:spacing w:before="0" w:after="0"/>
      <w:ind w:left="720"/>
      <w:textAlignment w:val="bottom"/>
    </w:pPr>
    <w:rPr>
      <w:rFonts w:ascii="Arial" w:eastAsia="黑体" w:hAnsi="Arial" w:cs="Arial"/>
      <w:iCs/>
      <w:snapToGrid w:val="0"/>
      <w:sz w:val="24"/>
      <w:szCs w:val="24"/>
    </w:rPr>
  </w:style>
  <w:style w:type="character" w:customStyle="1" w:styleId="Style5Char">
    <w:name w:val="Style5 Char"/>
    <w:basedOn w:val="4Char"/>
    <w:link w:val="Style5"/>
    <w:qFormat/>
    <w:rPr>
      <w:rFonts w:ascii="Arial" w:eastAsia="黑体" w:hAnsi="Arial" w:cs="Arial"/>
      <w:b/>
      <w:iCs/>
      <w:snapToGrid w:val="0"/>
      <w:kern w:val="2"/>
      <w:sz w:val="24"/>
      <w:szCs w:val="24"/>
    </w:rPr>
  </w:style>
  <w:style w:type="paragraph" w:customStyle="1" w:styleId="Style6">
    <w:name w:val="Style6"/>
    <w:basedOn w:val="5"/>
    <w:link w:val="Style6Char"/>
    <w:qFormat/>
    <w:pPr>
      <w:widowControl/>
      <w:tabs>
        <w:tab w:val="left" w:pos="2520"/>
        <w:tab w:val="decimal" w:pos="5250"/>
        <w:tab w:val="decimal" w:pos="6510"/>
        <w:tab w:val="decimal" w:pos="7035"/>
        <w:tab w:val="decimal" w:pos="8295"/>
      </w:tabs>
      <w:overflowPunct w:val="0"/>
      <w:autoSpaceDE w:val="0"/>
      <w:autoSpaceDN w:val="0"/>
      <w:adjustRightInd w:val="0"/>
      <w:snapToGrid w:val="0"/>
      <w:spacing w:before="0" w:after="0"/>
      <w:ind w:left="1440" w:hanging="720"/>
    </w:pPr>
    <w:rPr>
      <w:rFonts w:ascii="Arial" w:eastAsia="黑体" w:hAnsi="Arial" w:cs="Arial"/>
      <w:b w:val="0"/>
      <w:snapToGrid w:val="0"/>
      <w:sz w:val="24"/>
      <w:szCs w:val="24"/>
      <w:u w:val="single"/>
    </w:rPr>
  </w:style>
  <w:style w:type="character" w:customStyle="1" w:styleId="Style6Char">
    <w:name w:val="Style6 Char"/>
    <w:basedOn w:val="5Char"/>
    <w:link w:val="Style6"/>
    <w:qFormat/>
    <w:rPr>
      <w:rFonts w:ascii="Arial" w:eastAsia="黑体" w:hAnsi="Arial" w:cs="Arial"/>
      <w:b w:val="0"/>
      <w:snapToGrid w:val="0"/>
      <w:kern w:val="2"/>
      <w:sz w:val="24"/>
      <w:szCs w:val="24"/>
      <w:u w:val="single"/>
    </w:rPr>
  </w:style>
  <w:style w:type="paragraph" w:customStyle="1" w:styleId="xl122">
    <w:name w:val="xl122"/>
    <w:basedOn w:val="a4"/>
    <w:qFormat/>
    <w:pPr>
      <w:widowControl/>
      <w:spacing w:before="100" w:beforeAutospacing="1" w:after="100" w:afterAutospacing="1"/>
      <w:jc w:val="left"/>
    </w:pPr>
    <w:rPr>
      <w:rFonts w:ascii="黑体" w:eastAsia="黑体" w:hAnsi="黑体" w:cs="Times New Roman"/>
      <w:kern w:val="0"/>
      <w:sz w:val="20"/>
    </w:rPr>
  </w:style>
  <w:style w:type="paragraph" w:customStyle="1" w:styleId="xl123">
    <w:name w:val="xl123"/>
    <w:basedOn w:val="a4"/>
    <w:qFormat/>
    <w:pPr>
      <w:widowControl/>
      <w:spacing w:before="100" w:beforeAutospacing="1" w:after="100" w:afterAutospacing="1"/>
      <w:jc w:val="right"/>
    </w:pPr>
    <w:rPr>
      <w:rFonts w:ascii="黑体" w:eastAsia="黑体" w:hAnsi="黑体" w:cs="Times New Roman"/>
      <w:kern w:val="0"/>
      <w:sz w:val="20"/>
    </w:rPr>
  </w:style>
  <w:style w:type="paragraph" w:customStyle="1" w:styleId="xl124">
    <w:name w:val="xl124"/>
    <w:basedOn w:val="a4"/>
    <w:qFormat/>
    <w:pPr>
      <w:widowControl/>
      <w:spacing w:before="100" w:beforeAutospacing="1" w:after="100" w:afterAutospacing="1"/>
      <w:jc w:val="left"/>
    </w:pPr>
    <w:rPr>
      <w:rFonts w:ascii="黑体" w:eastAsia="黑体" w:hAnsi="黑体" w:cs="Times New Roman"/>
      <w:color w:val="80C687"/>
      <w:kern w:val="0"/>
      <w:sz w:val="24"/>
      <w:szCs w:val="24"/>
    </w:rPr>
  </w:style>
  <w:style w:type="paragraph" w:customStyle="1" w:styleId="xl125">
    <w:name w:val="xl125"/>
    <w:basedOn w:val="a4"/>
    <w:qFormat/>
    <w:pPr>
      <w:widowControl/>
      <w:spacing w:before="100" w:beforeAutospacing="1" w:after="100" w:afterAutospacing="1"/>
      <w:jc w:val="left"/>
    </w:pPr>
    <w:rPr>
      <w:rFonts w:ascii="黑体" w:eastAsia="黑体" w:hAnsi="黑体" w:cs="Times New Roman"/>
      <w:kern w:val="0"/>
      <w:sz w:val="20"/>
    </w:rPr>
  </w:style>
  <w:style w:type="paragraph" w:customStyle="1" w:styleId="xl126">
    <w:name w:val="xl126"/>
    <w:basedOn w:val="a4"/>
    <w:qFormat/>
    <w:pPr>
      <w:widowControl/>
      <w:spacing w:before="100" w:beforeAutospacing="1" w:after="100" w:afterAutospacing="1"/>
      <w:jc w:val="left"/>
    </w:pPr>
    <w:rPr>
      <w:rFonts w:ascii="黑体" w:eastAsia="黑体" w:hAnsi="黑体" w:cs="Times New Roman"/>
      <w:color w:val="FF0000"/>
      <w:kern w:val="0"/>
      <w:sz w:val="20"/>
    </w:rPr>
  </w:style>
  <w:style w:type="paragraph" w:customStyle="1" w:styleId="xl127">
    <w:name w:val="xl127"/>
    <w:basedOn w:val="a4"/>
    <w:qFormat/>
    <w:pPr>
      <w:widowControl/>
      <w:spacing w:before="100" w:beforeAutospacing="1" w:after="100" w:afterAutospacing="1"/>
      <w:jc w:val="left"/>
      <w:textAlignment w:val="bottom"/>
    </w:pPr>
    <w:rPr>
      <w:rFonts w:ascii="黑体" w:eastAsia="黑体" w:hAnsi="黑体" w:cs="Times New Roman"/>
      <w:kern w:val="0"/>
      <w:sz w:val="20"/>
    </w:rPr>
  </w:style>
  <w:style w:type="paragraph" w:customStyle="1" w:styleId="xl128">
    <w:name w:val="xl128"/>
    <w:basedOn w:val="a4"/>
    <w:qFormat/>
    <w:pPr>
      <w:widowControl/>
      <w:spacing w:before="100" w:beforeAutospacing="1" w:after="100" w:afterAutospacing="1"/>
      <w:jc w:val="left"/>
    </w:pPr>
    <w:rPr>
      <w:rFonts w:ascii="黑体" w:eastAsia="黑体" w:hAnsi="黑体" w:cs="Times New Roman"/>
      <w:color w:val="000000"/>
      <w:kern w:val="0"/>
      <w:sz w:val="20"/>
    </w:rPr>
  </w:style>
  <w:style w:type="paragraph" w:customStyle="1" w:styleId="xl129">
    <w:name w:val="xl129"/>
    <w:basedOn w:val="a4"/>
    <w:qFormat/>
    <w:pPr>
      <w:widowControl/>
      <w:spacing w:before="100" w:beforeAutospacing="1" w:after="100" w:afterAutospacing="1"/>
      <w:jc w:val="left"/>
    </w:pPr>
    <w:rPr>
      <w:rFonts w:ascii="黑体" w:eastAsia="黑体" w:hAnsi="黑体" w:cs="Times New Roman"/>
      <w:kern w:val="0"/>
      <w:sz w:val="20"/>
      <w:u w:val="single"/>
    </w:rPr>
  </w:style>
  <w:style w:type="paragraph" w:customStyle="1" w:styleId="xl130">
    <w:name w:val="xl130"/>
    <w:basedOn w:val="a4"/>
    <w:qFormat/>
    <w:pPr>
      <w:widowControl/>
      <w:spacing w:before="100" w:beforeAutospacing="1" w:after="100" w:afterAutospacing="1"/>
      <w:jc w:val="left"/>
    </w:pPr>
    <w:rPr>
      <w:rFonts w:ascii="黑体" w:eastAsia="黑体" w:hAnsi="黑体" w:cs="Times New Roman"/>
      <w:kern w:val="0"/>
      <w:sz w:val="20"/>
    </w:rPr>
  </w:style>
  <w:style w:type="paragraph" w:customStyle="1" w:styleId="xl131">
    <w:name w:val="xl131"/>
    <w:basedOn w:val="a4"/>
    <w:qFormat/>
    <w:pPr>
      <w:widowControl/>
      <w:spacing w:before="100" w:beforeAutospacing="1" w:after="100" w:afterAutospacing="1"/>
      <w:jc w:val="left"/>
    </w:pPr>
    <w:rPr>
      <w:rFonts w:ascii="黑体" w:eastAsia="黑体" w:hAnsi="黑体" w:cs="Times New Roman"/>
      <w:b/>
      <w:bCs/>
      <w:kern w:val="0"/>
      <w:sz w:val="20"/>
    </w:rPr>
  </w:style>
  <w:style w:type="paragraph" w:customStyle="1" w:styleId="xl132">
    <w:name w:val="xl132"/>
    <w:basedOn w:val="a4"/>
    <w:qFormat/>
    <w:pPr>
      <w:widowControl/>
      <w:spacing w:before="100" w:beforeAutospacing="1" w:after="100" w:afterAutospacing="1"/>
      <w:jc w:val="right"/>
    </w:pPr>
    <w:rPr>
      <w:rFonts w:ascii="黑体" w:eastAsia="黑体" w:hAnsi="黑体" w:cs="Times New Roman"/>
      <w:b/>
      <w:bCs/>
      <w:color w:val="000000"/>
      <w:kern w:val="0"/>
      <w:sz w:val="20"/>
    </w:rPr>
  </w:style>
  <w:style w:type="paragraph" w:customStyle="1" w:styleId="xl133">
    <w:name w:val="xl133"/>
    <w:basedOn w:val="a4"/>
    <w:qFormat/>
    <w:pPr>
      <w:widowControl/>
      <w:spacing w:before="100" w:beforeAutospacing="1" w:after="100" w:afterAutospacing="1"/>
      <w:jc w:val="right"/>
    </w:pPr>
    <w:rPr>
      <w:rFonts w:ascii="黑体" w:eastAsia="黑体" w:hAnsi="黑体" w:cs="Times New Roman"/>
      <w:b/>
      <w:bCs/>
      <w:kern w:val="0"/>
      <w:sz w:val="20"/>
      <w:u w:val="single"/>
    </w:rPr>
  </w:style>
  <w:style w:type="paragraph" w:customStyle="1" w:styleId="xl134">
    <w:name w:val="xl134"/>
    <w:basedOn w:val="a4"/>
    <w:qFormat/>
    <w:pPr>
      <w:widowControl/>
      <w:spacing w:before="100" w:beforeAutospacing="1" w:after="100" w:afterAutospacing="1"/>
      <w:jc w:val="right"/>
    </w:pPr>
    <w:rPr>
      <w:rFonts w:ascii="黑体" w:eastAsia="黑体" w:hAnsi="黑体" w:cs="Times New Roman"/>
      <w:b/>
      <w:bCs/>
      <w:color w:val="000000"/>
      <w:kern w:val="0"/>
      <w:sz w:val="20"/>
    </w:rPr>
  </w:style>
  <w:style w:type="paragraph" w:customStyle="1" w:styleId="xl135">
    <w:name w:val="xl135"/>
    <w:basedOn w:val="a4"/>
    <w:qFormat/>
    <w:pPr>
      <w:widowControl/>
      <w:spacing w:before="100" w:beforeAutospacing="1" w:after="100" w:afterAutospacing="1"/>
      <w:jc w:val="left"/>
      <w:textAlignment w:val="bottom"/>
    </w:pPr>
    <w:rPr>
      <w:rFonts w:ascii="黑体" w:eastAsia="黑体" w:hAnsi="黑体" w:cs="Times New Roman"/>
      <w:color w:val="000000"/>
      <w:kern w:val="0"/>
      <w:sz w:val="20"/>
    </w:rPr>
  </w:style>
  <w:style w:type="paragraph" w:customStyle="1" w:styleId="xl136">
    <w:name w:val="xl136"/>
    <w:basedOn w:val="a4"/>
    <w:qFormat/>
    <w:pPr>
      <w:widowControl/>
      <w:spacing w:before="100" w:beforeAutospacing="1" w:after="100" w:afterAutospacing="1"/>
      <w:jc w:val="right"/>
    </w:pPr>
    <w:rPr>
      <w:rFonts w:ascii="黑体" w:eastAsia="黑体" w:hAnsi="黑体" w:cs="Times New Roman"/>
      <w:color w:val="000000"/>
      <w:kern w:val="0"/>
      <w:sz w:val="20"/>
    </w:rPr>
  </w:style>
  <w:style w:type="paragraph" w:customStyle="1" w:styleId="xl137">
    <w:name w:val="xl137"/>
    <w:basedOn w:val="a4"/>
    <w:qFormat/>
    <w:pPr>
      <w:widowControl/>
      <w:spacing w:before="100" w:beforeAutospacing="1" w:after="100" w:afterAutospacing="1"/>
      <w:jc w:val="right"/>
    </w:pPr>
    <w:rPr>
      <w:rFonts w:ascii="黑体" w:eastAsia="黑体" w:hAnsi="黑体" w:cs="Times New Roman"/>
      <w:kern w:val="0"/>
      <w:sz w:val="20"/>
      <w:u w:val="single"/>
    </w:rPr>
  </w:style>
  <w:style w:type="paragraph" w:customStyle="1" w:styleId="xl138">
    <w:name w:val="xl138"/>
    <w:basedOn w:val="a4"/>
    <w:qFormat/>
    <w:pPr>
      <w:widowControl/>
      <w:spacing w:before="100" w:beforeAutospacing="1" w:after="100" w:afterAutospacing="1"/>
      <w:jc w:val="right"/>
      <w:textAlignment w:val="bottom"/>
    </w:pPr>
    <w:rPr>
      <w:rFonts w:ascii="黑体" w:eastAsia="黑体" w:hAnsi="黑体" w:cs="Times New Roman"/>
      <w:color w:val="000000"/>
      <w:kern w:val="0"/>
      <w:sz w:val="20"/>
    </w:rPr>
  </w:style>
  <w:style w:type="paragraph" w:customStyle="1" w:styleId="xl139">
    <w:name w:val="xl139"/>
    <w:basedOn w:val="a4"/>
    <w:qFormat/>
    <w:pPr>
      <w:widowControl/>
      <w:pBdr>
        <w:right w:val="single" w:sz="4" w:space="0" w:color="auto"/>
      </w:pBdr>
      <w:spacing w:before="100" w:beforeAutospacing="1" w:after="100" w:afterAutospacing="1"/>
      <w:jc w:val="left"/>
    </w:pPr>
    <w:rPr>
      <w:rFonts w:ascii="黑体" w:eastAsia="黑体" w:hAnsi="黑体" w:cs="Times New Roman"/>
      <w:color w:val="FF0000"/>
      <w:kern w:val="0"/>
      <w:sz w:val="20"/>
    </w:rPr>
  </w:style>
  <w:style w:type="paragraph" w:customStyle="1" w:styleId="xl140">
    <w:name w:val="xl140"/>
    <w:basedOn w:val="a4"/>
    <w:qFormat/>
    <w:pPr>
      <w:widowControl/>
      <w:spacing w:before="100" w:beforeAutospacing="1" w:after="100" w:afterAutospacing="1"/>
      <w:jc w:val="right"/>
    </w:pPr>
    <w:rPr>
      <w:rFonts w:ascii="黑体" w:eastAsia="黑体" w:hAnsi="黑体" w:cs="Times New Roman"/>
      <w:b/>
      <w:bCs/>
      <w:kern w:val="0"/>
      <w:sz w:val="20"/>
    </w:rPr>
  </w:style>
  <w:style w:type="paragraph" w:customStyle="1" w:styleId="xl141">
    <w:name w:val="xl141"/>
    <w:basedOn w:val="a4"/>
    <w:qFormat/>
    <w:pPr>
      <w:widowControl/>
      <w:shd w:val="clear" w:color="000000" w:fill="EBF1DE"/>
      <w:spacing w:before="100" w:beforeAutospacing="1" w:after="100" w:afterAutospacing="1"/>
      <w:jc w:val="right"/>
      <w:textAlignment w:val="bottom"/>
    </w:pPr>
    <w:rPr>
      <w:rFonts w:ascii="黑体" w:eastAsia="黑体" w:hAnsi="黑体" w:cs="Times New Roman"/>
      <w:color w:val="000000"/>
      <w:kern w:val="0"/>
      <w:sz w:val="20"/>
    </w:rPr>
  </w:style>
  <w:style w:type="paragraph" w:customStyle="1" w:styleId="xl142">
    <w:name w:val="xl142"/>
    <w:basedOn w:val="a4"/>
    <w:qFormat/>
    <w:pPr>
      <w:widowControl/>
      <w:spacing w:before="100" w:beforeAutospacing="1" w:after="100" w:afterAutospacing="1"/>
      <w:jc w:val="right"/>
      <w:textAlignment w:val="bottom"/>
    </w:pPr>
    <w:rPr>
      <w:rFonts w:ascii="黑体" w:eastAsia="黑体" w:hAnsi="黑体" w:cs="Times New Roman"/>
      <w:kern w:val="0"/>
      <w:sz w:val="20"/>
      <w:u w:val="single"/>
    </w:rPr>
  </w:style>
  <w:style w:type="paragraph" w:customStyle="1" w:styleId="xl143">
    <w:name w:val="xl143"/>
    <w:basedOn w:val="a4"/>
    <w:qFormat/>
    <w:pPr>
      <w:widowControl/>
      <w:pBdr>
        <w:bottom w:val="single" w:sz="4" w:space="0" w:color="auto"/>
      </w:pBdr>
      <w:shd w:val="clear" w:color="000000" w:fill="EBF1DE"/>
      <w:spacing w:before="100" w:beforeAutospacing="1" w:after="100" w:afterAutospacing="1"/>
      <w:jc w:val="right"/>
      <w:textAlignment w:val="bottom"/>
    </w:pPr>
    <w:rPr>
      <w:rFonts w:ascii="黑体" w:eastAsia="黑体" w:hAnsi="黑体" w:cs="Times New Roman"/>
      <w:color w:val="000000"/>
      <w:kern w:val="0"/>
      <w:sz w:val="20"/>
    </w:rPr>
  </w:style>
  <w:style w:type="paragraph" w:customStyle="1" w:styleId="xl144">
    <w:name w:val="xl144"/>
    <w:basedOn w:val="a4"/>
    <w:qFormat/>
    <w:pPr>
      <w:widowControl/>
      <w:spacing w:before="100" w:beforeAutospacing="1" w:after="100" w:afterAutospacing="1"/>
      <w:jc w:val="left"/>
    </w:pPr>
    <w:rPr>
      <w:rFonts w:ascii="黑体" w:eastAsia="黑体" w:hAnsi="黑体" w:cs="Times New Roman"/>
      <w:color w:val="000000"/>
      <w:kern w:val="0"/>
      <w:sz w:val="20"/>
    </w:rPr>
  </w:style>
  <w:style w:type="paragraph" w:customStyle="1" w:styleId="xl145">
    <w:name w:val="xl145"/>
    <w:basedOn w:val="a4"/>
    <w:qFormat/>
    <w:pPr>
      <w:widowControl/>
      <w:spacing w:before="100" w:beforeAutospacing="1" w:after="100" w:afterAutospacing="1"/>
      <w:jc w:val="left"/>
    </w:pPr>
    <w:rPr>
      <w:rFonts w:ascii="黑体" w:eastAsia="黑体" w:hAnsi="黑体" w:cs="Times New Roman"/>
      <w:color w:val="0000FF"/>
      <w:kern w:val="0"/>
      <w:sz w:val="24"/>
      <w:szCs w:val="24"/>
      <w:u w:val="single"/>
    </w:rPr>
  </w:style>
  <w:style w:type="paragraph" w:customStyle="1" w:styleId="xl146">
    <w:name w:val="xl146"/>
    <w:basedOn w:val="a4"/>
    <w:qFormat/>
    <w:pPr>
      <w:widowControl/>
      <w:pBdr>
        <w:right w:val="single" w:sz="4" w:space="0" w:color="auto"/>
      </w:pBdr>
      <w:shd w:val="clear" w:color="000000" w:fill="F2DCDB"/>
      <w:spacing w:before="100" w:beforeAutospacing="1" w:after="100" w:afterAutospacing="1"/>
      <w:jc w:val="left"/>
    </w:pPr>
    <w:rPr>
      <w:rFonts w:ascii="黑体" w:eastAsia="黑体" w:hAnsi="黑体" w:cs="Times New Roman"/>
      <w:color w:val="FF0000"/>
      <w:kern w:val="0"/>
      <w:sz w:val="20"/>
    </w:rPr>
  </w:style>
  <w:style w:type="paragraph" w:customStyle="1" w:styleId="xl147">
    <w:name w:val="xl147"/>
    <w:basedOn w:val="a4"/>
    <w:qFormat/>
    <w:pPr>
      <w:widowControl/>
      <w:pBdr>
        <w:right w:val="single" w:sz="4" w:space="0" w:color="auto"/>
      </w:pBdr>
      <w:shd w:val="clear" w:color="000000" w:fill="F2DCDB"/>
      <w:spacing w:before="100" w:beforeAutospacing="1" w:after="100" w:afterAutospacing="1"/>
      <w:jc w:val="left"/>
    </w:pPr>
    <w:rPr>
      <w:rFonts w:ascii="黑体" w:eastAsia="黑体" w:hAnsi="黑体" w:cs="Times New Roman"/>
      <w:kern w:val="0"/>
      <w:sz w:val="20"/>
    </w:rPr>
  </w:style>
  <w:style w:type="paragraph" w:customStyle="1" w:styleId="xl148">
    <w:name w:val="xl148"/>
    <w:basedOn w:val="a4"/>
    <w:qFormat/>
    <w:pPr>
      <w:widowControl/>
      <w:spacing w:before="100" w:beforeAutospacing="1" w:after="100" w:afterAutospacing="1"/>
      <w:jc w:val="right"/>
      <w:textAlignment w:val="top"/>
    </w:pPr>
    <w:rPr>
      <w:rFonts w:ascii="黑体" w:eastAsia="黑体" w:hAnsi="黑体" w:cs="Times New Roman"/>
      <w:b/>
      <w:bCs/>
      <w:color w:val="000000"/>
      <w:kern w:val="0"/>
      <w:sz w:val="20"/>
    </w:rPr>
  </w:style>
  <w:style w:type="paragraph" w:customStyle="1" w:styleId="xl149">
    <w:name w:val="xl149"/>
    <w:basedOn w:val="a4"/>
    <w:qFormat/>
    <w:pPr>
      <w:widowControl/>
      <w:pBdr>
        <w:bottom w:val="single" w:sz="4" w:space="0" w:color="auto"/>
      </w:pBdr>
      <w:spacing w:before="100" w:beforeAutospacing="1" w:after="100" w:afterAutospacing="1"/>
      <w:jc w:val="center"/>
    </w:pPr>
    <w:rPr>
      <w:rFonts w:ascii="黑体" w:eastAsia="黑体" w:hAnsi="黑体" w:cs="Times New Roman"/>
      <w:b/>
      <w:bCs/>
      <w:kern w:val="0"/>
      <w:sz w:val="20"/>
    </w:rPr>
  </w:style>
  <w:style w:type="paragraph" w:customStyle="1" w:styleId="xl150">
    <w:name w:val="xl150"/>
    <w:basedOn w:val="a4"/>
    <w:qFormat/>
    <w:pPr>
      <w:widowControl/>
      <w:pBdr>
        <w:bottom w:val="single" w:sz="4" w:space="0" w:color="auto"/>
      </w:pBdr>
      <w:spacing w:before="100" w:beforeAutospacing="1" w:after="100" w:afterAutospacing="1"/>
      <w:jc w:val="center"/>
    </w:pPr>
    <w:rPr>
      <w:rFonts w:ascii="黑体" w:eastAsia="黑体" w:hAnsi="黑体" w:cs="Times New Roman"/>
      <w:b/>
      <w:bCs/>
      <w:kern w:val="0"/>
      <w:sz w:val="20"/>
    </w:rPr>
  </w:style>
  <w:style w:type="paragraph" w:customStyle="1" w:styleId="xl151">
    <w:name w:val="xl151"/>
    <w:basedOn w:val="a4"/>
    <w:qFormat/>
    <w:pPr>
      <w:widowControl/>
      <w:pBdr>
        <w:right w:val="single" w:sz="4" w:space="0" w:color="auto"/>
      </w:pBdr>
      <w:shd w:val="clear" w:color="000000" w:fill="F2DCDB"/>
      <w:spacing w:before="100" w:beforeAutospacing="1" w:after="100" w:afterAutospacing="1"/>
      <w:jc w:val="left"/>
    </w:pPr>
    <w:rPr>
      <w:rFonts w:ascii="黑体" w:eastAsia="黑体" w:hAnsi="黑体" w:cs="Times New Roman"/>
      <w:kern w:val="0"/>
      <w:sz w:val="20"/>
    </w:rPr>
  </w:style>
  <w:style w:type="paragraph" w:customStyle="1" w:styleId="xl152">
    <w:name w:val="xl152"/>
    <w:basedOn w:val="a4"/>
    <w:qFormat/>
    <w:pPr>
      <w:widowControl/>
      <w:pBdr>
        <w:bottom w:val="single" w:sz="4" w:space="0" w:color="auto"/>
      </w:pBdr>
      <w:spacing w:before="100" w:beforeAutospacing="1" w:after="100" w:afterAutospacing="1"/>
      <w:jc w:val="center"/>
    </w:pPr>
    <w:rPr>
      <w:rFonts w:ascii="黑体" w:eastAsia="黑体" w:hAnsi="黑体" w:cs="Times New Roman"/>
      <w:b/>
      <w:bCs/>
      <w:kern w:val="0"/>
      <w:sz w:val="20"/>
    </w:rPr>
  </w:style>
  <w:style w:type="character" w:customStyle="1" w:styleId="heading3-1Char">
    <w:name w:val="heading3-1 Char"/>
    <w:basedOn w:val="a5"/>
    <w:link w:val="heading3-1"/>
    <w:qFormat/>
    <w:locked/>
    <w:rPr>
      <w:rFonts w:ascii="Arial" w:eastAsia="黑体" w:hAnsi="Arial" w:cs="Arial"/>
      <w:b/>
      <w:sz w:val="24"/>
      <w:szCs w:val="24"/>
    </w:rPr>
  </w:style>
  <w:style w:type="paragraph" w:customStyle="1" w:styleId="heading3-1">
    <w:name w:val="heading3-1"/>
    <w:basedOn w:val="3"/>
    <w:link w:val="heading3-1Char"/>
    <w:qFormat/>
    <w:pPr>
      <w:widowControl/>
      <w:overflowPunct w:val="0"/>
      <w:autoSpaceDE w:val="0"/>
      <w:autoSpaceDN w:val="0"/>
      <w:adjustRightInd w:val="0"/>
      <w:snapToGrid w:val="0"/>
      <w:spacing w:before="0" w:after="0"/>
      <w:ind w:left="720" w:hanging="720"/>
    </w:pPr>
    <w:rPr>
      <w:rFonts w:ascii="Arial" w:eastAsia="黑体" w:hAnsi="Arial" w:cs="Arial"/>
      <w:kern w:val="0"/>
      <w:sz w:val="24"/>
      <w:szCs w:val="24"/>
    </w:rPr>
  </w:style>
  <w:style w:type="paragraph" w:customStyle="1" w:styleId="heading4-3">
    <w:name w:val="heading4-3"/>
    <w:basedOn w:val="4"/>
    <w:link w:val="heading4-3Char"/>
    <w:qFormat/>
    <w:pPr>
      <w:widowControl/>
      <w:tabs>
        <w:tab w:val="right" w:pos="3289"/>
        <w:tab w:val="right" w:pos="4536"/>
        <w:tab w:val="right" w:pos="5783"/>
        <w:tab w:val="right" w:pos="7031"/>
        <w:tab w:val="right" w:pos="8280"/>
      </w:tabs>
      <w:overflowPunct w:val="0"/>
      <w:autoSpaceDE w:val="0"/>
      <w:autoSpaceDN w:val="0"/>
      <w:adjustRightInd w:val="0"/>
      <w:snapToGrid w:val="0"/>
      <w:spacing w:before="0" w:after="0"/>
      <w:ind w:left="1440" w:hanging="720"/>
      <w:textAlignment w:val="bottom"/>
    </w:pPr>
    <w:rPr>
      <w:rFonts w:ascii="Arial" w:eastAsia="黑体" w:hAnsi="Arial" w:cs="Arial"/>
      <w:b w:val="0"/>
      <w:bCs/>
      <w:iCs/>
      <w:snapToGrid w:val="0"/>
      <w:color w:val="5B9BD5" w:themeColor="accent1"/>
      <w:sz w:val="24"/>
      <w:szCs w:val="24"/>
    </w:rPr>
  </w:style>
  <w:style w:type="character" w:customStyle="1" w:styleId="heading4-3Char">
    <w:name w:val="heading4-3 Char"/>
    <w:basedOn w:val="4Char"/>
    <w:link w:val="heading4-3"/>
    <w:qFormat/>
    <w:rPr>
      <w:rFonts w:ascii="Arial" w:eastAsia="黑体" w:hAnsi="Arial" w:cs="Arial"/>
      <w:b w:val="0"/>
      <w:bCs/>
      <w:iCs/>
      <w:snapToGrid w:val="0"/>
      <w:color w:val="5B9BD5" w:themeColor="accent1"/>
      <w:kern w:val="2"/>
      <w:sz w:val="24"/>
      <w:szCs w:val="24"/>
    </w:rPr>
  </w:style>
  <w:style w:type="table" w:customStyle="1" w:styleId="210">
    <w:name w:val="无格式表格 21"/>
    <w:basedOn w:val="a6"/>
    <w:uiPriority w:val="42"/>
    <w:qFormat/>
    <w:rPr>
      <w:sz w:val="22"/>
      <w:szCs w:val="22"/>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a5"/>
    <w:uiPriority w:val="99"/>
    <w:semiHidden/>
    <w:unhideWhenUsed/>
    <w:qFormat/>
    <w:rPr>
      <w:color w:val="808080"/>
      <w:shd w:val="clear" w:color="auto" w:fill="E6E6E6"/>
    </w:rPr>
  </w:style>
  <w:style w:type="character" w:customStyle="1" w:styleId="14">
    <w:name w:val="未处理的提及1"/>
    <w:basedOn w:val="a5"/>
    <w:uiPriority w:val="99"/>
    <w:semiHidden/>
    <w:unhideWhenUsed/>
    <w:qFormat/>
    <w:rPr>
      <w:color w:val="605E5C"/>
      <w:shd w:val="clear" w:color="auto" w:fill="E1DFDD"/>
    </w:rPr>
  </w:style>
  <w:style w:type="paragraph" w:customStyle="1" w:styleId="heading">
    <w:name w:val="heading"/>
    <w:basedOn w:val="1"/>
    <w:link w:val="headingChar"/>
    <w:qFormat/>
    <w:pPr>
      <w:widowControl/>
      <w:autoSpaceDE w:val="0"/>
      <w:autoSpaceDN w:val="0"/>
      <w:spacing w:before="0" w:after="0" w:line="240" w:lineRule="auto"/>
    </w:pPr>
    <w:rPr>
      <w:rFonts w:ascii="Arial" w:hAnsi="Arial" w:cs="Arial"/>
      <w:bCs/>
      <w:snapToGrid w:val="0"/>
      <w:kern w:val="2"/>
      <w:sz w:val="24"/>
      <w:szCs w:val="28"/>
    </w:rPr>
  </w:style>
  <w:style w:type="character" w:customStyle="1" w:styleId="headingChar">
    <w:name w:val="heading Char"/>
    <w:basedOn w:val="Char6"/>
    <w:link w:val="heading"/>
    <w:qFormat/>
    <w:rPr>
      <w:rFonts w:ascii="Arial" w:eastAsia="黑体" w:hAnsi="Arial" w:cs="Arial"/>
      <w:b/>
      <w:bCs/>
      <w:snapToGrid w:val="0"/>
      <w:kern w:val="2"/>
      <w:sz w:val="24"/>
      <w:szCs w:val="28"/>
    </w:rPr>
  </w:style>
  <w:style w:type="paragraph" w:customStyle="1" w:styleId="heading2">
    <w:name w:val="heading2"/>
    <w:basedOn w:val="2"/>
    <w:link w:val="heading2Char"/>
    <w:qFormat/>
    <w:pPr>
      <w:widowControl/>
      <w:overflowPunct w:val="0"/>
      <w:autoSpaceDE w:val="0"/>
      <w:autoSpaceDN w:val="0"/>
      <w:adjustRightInd w:val="0"/>
      <w:snapToGrid w:val="0"/>
      <w:spacing w:before="0" w:after="0"/>
      <w:ind w:left="720" w:hanging="720"/>
      <w:textAlignment w:val="bottom"/>
    </w:pPr>
    <w:rPr>
      <w:rFonts w:eastAsia="黑体" w:cs="Arial"/>
      <w:snapToGrid w:val="0"/>
      <w:color w:val="5B9BD5" w:themeColor="accent1"/>
      <w:sz w:val="24"/>
      <w:szCs w:val="26"/>
    </w:rPr>
  </w:style>
  <w:style w:type="character" w:customStyle="1" w:styleId="heading2Char">
    <w:name w:val="heading2 Char"/>
    <w:basedOn w:val="2Char"/>
    <w:link w:val="heading2"/>
    <w:qFormat/>
    <w:rPr>
      <w:rFonts w:ascii="Arial" w:eastAsia="黑体" w:hAnsi="Arial" w:cs="Arial"/>
      <w:b/>
      <w:snapToGrid w:val="0"/>
      <w:color w:val="5B9BD5" w:themeColor="accent1"/>
      <w:kern w:val="2"/>
      <w:sz w:val="24"/>
      <w:szCs w:val="26"/>
    </w:rPr>
  </w:style>
  <w:style w:type="paragraph" w:customStyle="1" w:styleId="heading3">
    <w:name w:val="heading3"/>
    <w:basedOn w:val="3"/>
    <w:link w:val="heading3Char"/>
    <w:qFormat/>
    <w:pPr>
      <w:widowControl/>
      <w:overflowPunct w:val="0"/>
      <w:autoSpaceDE w:val="0"/>
      <w:autoSpaceDN w:val="0"/>
      <w:adjustRightInd w:val="0"/>
      <w:snapToGrid w:val="0"/>
      <w:spacing w:before="0" w:after="0"/>
      <w:ind w:left="1440" w:hanging="720"/>
      <w:textAlignment w:val="bottom"/>
    </w:pPr>
    <w:rPr>
      <w:rFonts w:ascii="Arial" w:eastAsia="黑体" w:hAnsi="Arial" w:cs="Arial"/>
      <w:b w:val="0"/>
      <w:bCs/>
      <w:snapToGrid w:val="0"/>
      <w:color w:val="5B9BD5" w:themeColor="accent1"/>
      <w:sz w:val="24"/>
      <w:szCs w:val="24"/>
      <w:u w:val="single"/>
    </w:rPr>
  </w:style>
  <w:style w:type="character" w:customStyle="1" w:styleId="heading3Char">
    <w:name w:val="heading3 Char"/>
    <w:basedOn w:val="3Char"/>
    <w:link w:val="heading3"/>
    <w:qFormat/>
    <w:rPr>
      <w:rFonts w:ascii="Arial" w:eastAsia="黑体" w:hAnsi="Arial" w:cs="Arial"/>
      <w:b w:val="0"/>
      <w:bCs/>
      <w:snapToGrid w:val="0"/>
      <w:color w:val="5B9BD5" w:themeColor="accent1"/>
      <w:kern w:val="2"/>
      <w:sz w:val="24"/>
      <w:szCs w:val="24"/>
      <w:u w:val="single"/>
    </w:rPr>
  </w:style>
  <w:style w:type="paragraph" w:customStyle="1" w:styleId="heading4">
    <w:name w:val="heading4"/>
    <w:basedOn w:val="4"/>
    <w:link w:val="heading4Char"/>
    <w:qFormat/>
    <w:pPr>
      <w:widowControl/>
      <w:overflowPunct w:val="0"/>
      <w:autoSpaceDE w:val="0"/>
      <w:autoSpaceDN w:val="0"/>
      <w:adjustRightInd w:val="0"/>
      <w:snapToGrid w:val="0"/>
      <w:spacing w:before="0" w:after="0"/>
      <w:ind w:left="1440" w:hanging="720"/>
      <w:textAlignment w:val="bottom"/>
    </w:pPr>
    <w:rPr>
      <w:rFonts w:ascii="Arial" w:eastAsia="黑体" w:hAnsi="Arial" w:cs="Arial"/>
      <w:b w:val="0"/>
      <w:bCs/>
      <w:iCs/>
      <w:color w:val="5B9BD5" w:themeColor="accent1"/>
      <w:sz w:val="24"/>
      <w:szCs w:val="24"/>
      <w:u w:val="single"/>
    </w:rPr>
  </w:style>
  <w:style w:type="character" w:customStyle="1" w:styleId="heading4Char">
    <w:name w:val="heading4 Char"/>
    <w:basedOn w:val="4Char"/>
    <w:link w:val="heading4"/>
    <w:qFormat/>
    <w:rPr>
      <w:rFonts w:ascii="Arial" w:eastAsia="黑体" w:hAnsi="Arial" w:cs="Arial"/>
      <w:b w:val="0"/>
      <w:bCs/>
      <w:iCs/>
      <w:color w:val="5B9BD5" w:themeColor="accent1"/>
      <w:kern w:val="2"/>
      <w:sz w:val="24"/>
      <w:szCs w:val="24"/>
      <w:u w:val="single"/>
    </w:rPr>
  </w:style>
  <w:style w:type="paragraph" w:customStyle="1" w:styleId="heading5">
    <w:name w:val="heading5"/>
    <w:basedOn w:val="5"/>
    <w:link w:val="heading5Char"/>
    <w:qFormat/>
    <w:pPr>
      <w:widowControl/>
      <w:overflowPunct w:val="0"/>
      <w:autoSpaceDE w:val="0"/>
      <w:autoSpaceDN w:val="0"/>
      <w:adjustRightInd w:val="0"/>
      <w:snapToGrid w:val="0"/>
      <w:spacing w:before="0" w:after="0"/>
      <w:ind w:left="1440" w:hanging="720"/>
      <w:textAlignment w:val="bottom"/>
    </w:pPr>
    <w:rPr>
      <w:rFonts w:ascii="Arial" w:eastAsia="黑体" w:hAnsi="Arial" w:cs="Arial"/>
      <w:b w:val="0"/>
      <w:i/>
      <w:color w:val="1F4E79" w:themeColor="accent1" w:themeShade="80"/>
      <w:sz w:val="24"/>
      <w:szCs w:val="24"/>
    </w:rPr>
  </w:style>
  <w:style w:type="character" w:customStyle="1" w:styleId="heading5Char">
    <w:name w:val="heading5 Char"/>
    <w:basedOn w:val="5Char"/>
    <w:link w:val="heading5"/>
    <w:qFormat/>
    <w:rPr>
      <w:rFonts w:ascii="Arial" w:eastAsia="黑体" w:hAnsi="Arial" w:cs="Arial"/>
      <w:b w:val="0"/>
      <w:i/>
      <w:color w:val="1F4E79" w:themeColor="accent1" w:themeShade="80"/>
      <w:kern w:val="2"/>
      <w:sz w:val="24"/>
      <w:szCs w:val="24"/>
    </w:rPr>
  </w:style>
  <w:style w:type="paragraph" w:customStyle="1" w:styleId="heading4-1">
    <w:name w:val="heading4-1"/>
    <w:basedOn w:val="4"/>
    <w:link w:val="heading4-1Char"/>
    <w:qFormat/>
    <w:pPr>
      <w:widowControl/>
      <w:overflowPunct w:val="0"/>
      <w:autoSpaceDE w:val="0"/>
      <w:autoSpaceDN w:val="0"/>
      <w:adjustRightInd w:val="0"/>
      <w:snapToGrid w:val="0"/>
      <w:spacing w:before="0" w:after="0"/>
      <w:ind w:left="1440" w:hanging="720"/>
      <w:textAlignment w:val="bottom"/>
    </w:pPr>
    <w:rPr>
      <w:rFonts w:ascii="Arial" w:eastAsia="黑体" w:hAnsi="Arial" w:cs="Arial"/>
      <w:bCs/>
      <w:iCs/>
      <w:snapToGrid w:val="0"/>
      <w:color w:val="5B9BD5" w:themeColor="accent1"/>
      <w:sz w:val="24"/>
      <w:szCs w:val="24"/>
    </w:rPr>
  </w:style>
  <w:style w:type="character" w:customStyle="1" w:styleId="heading4-1Char">
    <w:name w:val="heading4-1 Char"/>
    <w:basedOn w:val="4Char"/>
    <w:link w:val="heading4-1"/>
    <w:qFormat/>
    <w:rPr>
      <w:rFonts w:ascii="Arial" w:eastAsia="黑体" w:hAnsi="Arial" w:cs="Arial"/>
      <w:b/>
      <w:bCs/>
      <w:iCs/>
      <w:snapToGrid w:val="0"/>
      <w:color w:val="5B9BD5" w:themeColor="accent1"/>
      <w:kern w:val="2"/>
      <w:sz w:val="24"/>
      <w:szCs w:val="24"/>
    </w:rPr>
  </w:style>
  <w:style w:type="paragraph" w:customStyle="1" w:styleId="heading5-1">
    <w:name w:val="heading5-1"/>
    <w:basedOn w:val="5"/>
    <w:link w:val="heading5-1Char"/>
    <w:qFormat/>
    <w:pPr>
      <w:widowControl/>
      <w:overflowPunct w:val="0"/>
      <w:autoSpaceDE w:val="0"/>
      <w:autoSpaceDN w:val="0"/>
      <w:adjustRightInd w:val="0"/>
      <w:snapToGrid w:val="0"/>
      <w:spacing w:before="0" w:after="0"/>
      <w:ind w:left="2160" w:hanging="720"/>
      <w:textAlignment w:val="bottom"/>
    </w:pPr>
    <w:rPr>
      <w:rFonts w:ascii="Arial" w:eastAsia="黑体" w:hAnsi="Arial" w:cs="Arial"/>
      <w:b w:val="0"/>
      <w:snapToGrid w:val="0"/>
      <w:color w:val="1F4E79" w:themeColor="accent1" w:themeShade="80"/>
      <w:sz w:val="24"/>
      <w:szCs w:val="24"/>
      <w:u w:val="single"/>
    </w:rPr>
  </w:style>
  <w:style w:type="character" w:customStyle="1" w:styleId="heading5-1Char">
    <w:name w:val="heading5-1 Char"/>
    <w:basedOn w:val="5Char"/>
    <w:link w:val="heading5-1"/>
    <w:qFormat/>
    <w:rPr>
      <w:rFonts w:ascii="Arial" w:eastAsia="黑体" w:hAnsi="Arial" w:cs="Arial"/>
      <w:b w:val="0"/>
      <w:snapToGrid w:val="0"/>
      <w:color w:val="1F4E79" w:themeColor="accent1" w:themeShade="80"/>
      <w:kern w:val="2"/>
      <w:sz w:val="24"/>
      <w:szCs w:val="24"/>
      <w:u w:val="single"/>
    </w:rPr>
  </w:style>
  <w:style w:type="paragraph" w:customStyle="1" w:styleId="heading5-2">
    <w:name w:val="heading5-2"/>
    <w:basedOn w:val="5"/>
    <w:link w:val="heading5-2Char"/>
    <w:qFormat/>
    <w:pPr>
      <w:widowControl/>
      <w:overflowPunct w:val="0"/>
      <w:autoSpaceDE w:val="0"/>
      <w:autoSpaceDN w:val="0"/>
      <w:adjustRightInd w:val="0"/>
      <w:snapToGrid w:val="0"/>
      <w:spacing w:before="0" w:after="0"/>
      <w:ind w:left="720"/>
      <w:textAlignment w:val="bottom"/>
    </w:pPr>
    <w:rPr>
      <w:rFonts w:ascii="Arial" w:eastAsia="黑体" w:hAnsi="Arial" w:cs="Arial"/>
      <w:b w:val="0"/>
      <w:snapToGrid w:val="0"/>
      <w:color w:val="1F4E79" w:themeColor="accent1" w:themeShade="80"/>
      <w:sz w:val="24"/>
      <w:szCs w:val="24"/>
    </w:rPr>
  </w:style>
  <w:style w:type="character" w:customStyle="1" w:styleId="heading5-2Char">
    <w:name w:val="heading5-2 Char"/>
    <w:basedOn w:val="5Char"/>
    <w:link w:val="heading5-2"/>
    <w:qFormat/>
    <w:rPr>
      <w:rFonts w:ascii="Arial" w:eastAsia="黑体" w:hAnsi="Arial" w:cs="Arial"/>
      <w:b w:val="0"/>
      <w:snapToGrid w:val="0"/>
      <w:color w:val="1F4E79" w:themeColor="accent1" w:themeShade="80"/>
      <w:kern w:val="2"/>
      <w:sz w:val="24"/>
      <w:szCs w:val="24"/>
    </w:rPr>
  </w:style>
  <w:style w:type="paragraph" w:customStyle="1" w:styleId="heading5-3">
    <w:name w:val="heading5-3"/>
    <w:basedOn w:val="5"/>
    <w:link w:val="heading5-3Char"/>
    <w:qFormat/>
    <w:pPr>
      <w:widowControl/>
      <w:overflowPunct w:val="0"/>
      <w:autoSpaceDE w:val="0"/>
      <w:autoSpaceDN w:val="0"/>
      <w:adjustRightInd w:val="0"/>
      <w:snapToGrid w:val="0"/>
      <w:spacing w:before="0" w:after="0"/>
      <w:ind w:left="720"/>
      <w:textAlignment w:val="bottom"/>
    </w:pPr>
    <w:rPr>
      <w:rFonts w:ascii="Arial" w:eastAsia="黑体" w:hAnsi="Arial" w:cs="Arial"/>
      <w:b w:val="0"/>
      <w:snapToGrid w:val="0"/>
      <w:color w:val="1F4E79" w:themeColor="accent1" w:themeShade="80"/>
      <w:sz w:val="24"/>
      <w:szCs w:val="24"/>
      <w:u w:val="single"/>
    </w:rPr>
  </w:style>
  <w:style w:type="character" w:customStyle="1" w:styleId="heading5-3Char">
    <w:name w:val="heading5-3 Char"/>
    <w:basedOn w:val="5Char"/>
    <w:link w:val="heading5-3"/>
    <w:qFormat/>
    <w:rPr>
      <w:rFonts w:ascii="Arial" w:eastAsia="黑体" w:hAnsi="Arial" w:cs="Arial"/>
      <w:b w:val="0"/>
      <w:snapToGrid w:val="0"/>
      <w:color w:val="1F4E79" w:themeColor="accent1" w:themeShade="80"/>
      <w:kern w:val="2"/>
      <w:sz w:val="24"/>
      <w:szCs w:val="24"/>
      <w:u w:val="single"/>
    </w:rPr>
  </w:style>
  <w:style w:type="character" w:customStyle="1" w:styleId="basic-word">
    <w:name w:val="basic-word"/>
    <w:basedOn w:val="a5"/>
    <w:qFormat/>
  </w:style>
  <w:style w:type="character" w:customStyle="1" w:styleId="high-light-bg4">
    <w:name w:val="high-light-bg4"/>
    <w:basedOn w:val="a5"/>
    <w:qFormat/>
  </w:style>
  <w:style w:type="paragraph" w:customStyle="1" w:styleId="Tablebullet1">
    <w:name w:val="Table bullet 1"/>
    <w:basedOn w:val="a4"/>
    <w:qFormat/>
    <w:pPr>
      <w:widowControl/>
      <w:tabs>
        <w:tab w:val="left" w:pos="432"/>
      </w:tabs>
      <w:spacing w:before="60" w:after="60"/>
      <w:ind w:left="432" w:right="72" w:hanging="360"/>
      <w:jc w:val="left"/>
    </w:pPr>
    <w:rPr>
      <w:rFonts w:ascii="Arial" w:eastAsia="Times New Roman" w:hAnsi="Arial" w:cs="Times New Roman"/>
      <w:color w:val="000000" w:themeColor="text1"/>
      <w:kern w:val="0"/>
      <w:sz w:val="20"/>
      <w:szCs w:val="24"/>
      <w:lang w:eastAsia="nl-NL"/>
    </w:rPr>
  </w:style>
  <w:style w:type="paragraph" w:customStyle="1" w:styleId="src">
    <w:name w:val="src"/>
    <w:basedOn w:val="a4"/>
    <w:qFormat/>
    <w:pPr>
      <w:widowControl/>
      <w:spacing w:before="100" w:beforeAutospacing="1" w:after="100" w:afterAutospacing="1"/>
      <w:jc w:val="left"/>
    </w:pPr>
    <w:rPr>
      <w:rFonts w:ascii="Times New Roman" w:eastAsia="Times New Roman" w:hAnsi="Times New Roman" w:cs="Times New Roman"/>
      <w:kern w:val="0"/>
      <w:sz w:val="24"/>
      <w:szCs w:val="24"/>
    </w:rPr>
  </w:style>
  <w:style w:type="character" w:customStyle="1" w:styleId="transsent">
    <w:name w:val="transsent"/>
    <w:basedOn w:val="a5"/>
    <w:qFormat/>
  </w:style>
  <w:style w:type="paragraph" w:customStyle="1" w:styleId="aff6">
    <w:name w:val="附注二级正文"/>
    <w:basedOn w:val="a4"/>
    <w:qFormat/>
    <w:pPr>
      <w:adjustRightInd w:val="0"/>
      <w:snapToGrid w:val="0"/>
      <w:spacing w:line="400" w:lineRule="atLeast"/>
      <w:ind w:leftChars="342" w:left="718"/>
    </w:pPr>
    <w:rPr>
      <w:rFonts w:ascii="宋体" w:hAnsi="宋体"/>
      <w:szCs w:val="21"/>
    </w:rPr>
  </w:style>
  <w:style w:type="character" w:customStyle="1" w:styleId="24">
    <w:name w:val="不明显强调2"/>
    <w:basedOn w:val="4Char"/>
    <w:uiPriority w:val="19"/>
    <w:qFormat/>
    <w:rPr>
      <w:rFonts w:ascii="黑体" w:eastAsia="黑体" w:hAnsi="黑体" w:cs="Arial"/>
      <w:b/>
      <w:bCs/>
      <w:iCs/>
      <w:color w:val="auto"/>
      <w:kern w:val="2"/>
      <w:sz w:val="24"/>
      <w:szCs w:val="24"/>
    </w:rPr>
  </w:style>
  <w:style w:type="character" w:customStyle="1" w:styleId="100">
    <w:name w:val="10"/>
    <w:basedOn w:val="a5"/>
    <w:qFormat/>
    <w:rPr>
      <w:rFonts w:ascii="Times New Roman" w:hAnsi="Times New Roman" w:cs="Times New Roman" w:hint="default"/>
    </w:rPr>
  </w:style>
  <w:style w:type="character" w:customStyle="1" w:styleId="15">
    <w:name w:val="15"/>
    <w:basedOn w:val="a5"/>
    <w:qFormat/>
    <w:rPr>
      <w:rFonts w:ascii="Calibri" w:eastAsia="宋体" w:hAnsi="Calibri" w:cs="Times New Roman" w:hint="default"/>
      <w:b/>
    </w:rPr>
  </w:style>
  <w:style w:type="paragraph" w:customStyle="1" w:styleId="16">
    <w:name w:val="1.正文"/>
    <w:basedOn w:val="a4"/>
    <w:uiPriority w:val="99"/>
    <w:qFormat/>
    <w:rPr>
      <w:szCs w:val="22"/>
    </w:rPr>
  </w:style>
  <w:style w:type="character" w:customStyle="1" w:styleId="111">
    <w:name w:val="未处理的提及11"/>
    <w:basedOn w:val="a5"/>
    <w:uiPriority w:val="99"/>
    <w:semiHidden/>
    <w:unhideWhenUsed/>
    <w:qFormat/>
    <w:rPr>
      <w:color w:val="605E5C"/>
      <w:shd w:val="clear" w:color="auto" w:fill="E1DFDD"/>
    </w:rPr>
  </w:style>
  <w:style w:type="paragraph" w:customStyle="1" w:styleId="indentedmatter">
    <w:name w:val="indentedmatter"/>
    <w:basedOn w:val="a4"/>
    <w:qFormat/>
    <w:pPr>
      <w:widowControl/>
      <w:autoSpaceDE w:val="0"/>
      <w:autoSpaceDN w:val="0"/>
      <w:spacing w:before="80" w:after="240" w:line="280" w:lineRule="atLeast"/>
      <w:ind w:left="720" w:right="720" w:hanging="360"/>
    </w:pPr>
    <w:rPr>
      <w:rFonts w:ascii="Times New Roman" w:hAnsi="Times New Roman" w:cs="Times New Roman"/>
      <w:kern w:val="0"/>
      <w:sz w:val="24"/>
      <w:szCs w:val="24"/>
    </w:rPr>
  </w:style>
  <w:style w:type="paragraph" w:customStyle="1" w:styleId="25">
    <w:name w:val="修订2"/>
    <w:hidden/>
    <w:uiPriority w:val="99"/>
    <w:semiHidden/>
    <w:qFormat/>
    <w:rPr>
      <w:sz w:val="24"/>
      <w:szCs w:val="24"/>
    </w:rPr>
  </w:style>
  <w:style w:type="table" w:customStyle="1" w:styleId="220">
    <w:name w:val="无格式表格 22"/>
    <w:basedOn w:val="a6"/>
    <w:uiPriority w:val="42"/>
    <w:qFormat/>
    <w:rPr>
      <w:rFonts w:asciiTheme="minorHAnsi" w:eastAsiaTheme="minorEastAsia" w:hAnsiTheme="minorHAnsi" w:cstheme="minorBidi"/>
      <w:sz w:val="22"/>
      <w:szCs w:val="22"/>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gchighlight">
    <w:name w:val="bgchighlight"/>
    <w:basedOn w:val="a5"/>
    <w:qFormat/>
  </w:style>
  <w:style w:type="character" w:customStyle="1" w:styleId="Chard">
    <w:name w:val="正文的样式 Char"/>
    <w:basedOn w:val="a5"/>
    <w:link w:val="aff7"/>
    <w:qFormat/>
    <w:rPr>
      <w:kern w:val="2"/>
      <w:sz w:val="21"/>
      <w:szCs w:val="24"/>
    </w:rPr>
  </w:style>
  <w:style w:type="paragraph" w:customStyle="1" w:styleId="aff7">
    <w:name w:val="正文的样式"/>
    <w:basedOn w:val="a4"/>
    <w:link w:val="Chard"/>
    <w:qFormat/>
    <w:pPr>
      <w:spacing w:before="100" w:after="100"/>
    </w:pPr>
    <w:rPr>
      <w:rFonts w:ascii="Times New Roman" w:hAnsi="Times New Roman" w:cs="Times New Roman"/>
      <w:szCs w:val="24"/>
    </w:rPr>
  </w:style>
  <w:style w:type="character" w:customStyle="1" w:styleId="font61">
    <w:name w:val="font61"/>
    <w:basedOn w:val="a5"/>
    <w:qFormat/>
    <w:rPr>
      <w:rFonts w:ascii="Times New Roman" w:hAnsi="Times New Roman" w:cs="Times New Roman" w:hint="default"/>
      <w:color w:val="000000"/>
      <w:sz w:val="22"/>
      <w:szCs w:val="22"/>
      <w:u w:val="none"/>
    </w:rPr>
  </w:style>
  <w:style w:type="paragraph" w:customStyle="1" w:styleId="211">
    <w:name w:val="修订21"/>
    <w:hidden/>
    <w:uiPriority w:val="99"/>
    <w:semiHidden/>
    <w:qFormat/>
    <w:rPr>
      <w:sz w:val="24"/>
      <w:szCs w:val="24"/>
    </w:rPr>
  </w:style>
  <w:style w:type="paragraph" w:customStyle="1" w:styleId="17">
    <w:name w:val="样式1"/>
    <w:basedOn w:val="a4"/>
    <w:qFormat/>
    <w:pPr>
      <w:spacing w:line="360" w:lineRule="auto"/>
      <w:ind w:firstLineChars="200" w:firstLine="480"/>
      <w:jc w:val="left"/>
    </w:pPr>
    <w:rPr>
      <w:sz w:val="24"/>
    </w:rPr>
  </w:style>
  <w:style w:type="paragraph" w:customStyle="1" w:styleId="32">
    <w:name w:val="修订3"/>
    <w:hidden/>
    <w:uiPriority w:val="99"/>
    <w:semiHidden/>
    <w:qFormat/>
    <w:rPr>
      <w:sz w:val="24"/>
      <w:szCs w:val="24"/>
    </w:rPr>
  </w:style>
  <w:style w:type="table" w:customStyle="1" w:styleId="230">
    <w:name w:val="无格式表格 23"/>
    <w:basedOn w:val="a6"/>
    <w:uiPriority w:val="42"/>
    <w:qFormat/>
    <w:rPr>
      <w:rFonts w:asciiTheme="minorHAnsi" w:eastAsiaTheme="minorEastAsia" w:hAnsiTheme="minorHAnsi" w:cstheme="minorBidi"/>
      <w:sz w:val="22"/>
      <w:szCs w:val="22"/>
    </w:rPr>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110">
    <w:name w:val="无格式表格 211"/>
    <w:basedOn w:val="a6"/>
    <w:uiPriority w:val="42"/>
    <w:qFormat/>
    <w:rPr>
      <w:rFonts w:ascii="Calibri" w:hAnsi="Calibri"/>
      <w:sz w:val="22"/>
      <w:szCs w:val="22"/>
    </w:rPr>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42">
    <w:name w:val="修订4"/>
    <w:hidden/>
    <w:uiPriority w:val="99"/>
    <w:semiHidden/>
    <w:qFormat/>
    <w:rPr>
      <w:sz w:val="24"/>
      <w:szCs w:val="24"/>
    </w:rPr>
  </w:style>
  <w:style w:type="table" w:customStyle="1" w:styleId="240">
    <w:name w:val="无格式表格 24"/>
    <w:basedOn w:val="a6"/>
    <w:uiPriority w:val="42"/>
    <w:qFormat/>
    <w:rPr>
      <w:rFonts w:ascii="Calibri" w:hAnsi="Calibri"/>
      <w:sz w:val="22"/>
      <w:szCs w:val="22"/>
    </w:rPr>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50">
    <w:name w:val="无格式表格 25"/>
    <w:basedOn w:val="a6"/>
    <w:uiPriority w:val="42"/>
    <w:qFormat/>
    <w:tblPr>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51">
    <w:name w:val="修订5"/>
    <w:hidden/>
    <w:uiPriority w:val="99"/>
    <w:semiHidden/>
    <w:qFormat/>
    <w:rPr>
      <w:rFonts w:ascii="Calibri" w:hAnsi="Calibri" w:cstheme="minorBidi"/>
      <w:kern w:val="2"/>
      <w:sz w:val="21"/>
    </w:rPr>
  </w:style>
  <w:style w:type="character" w:customStyle="1" w:styleId="markedcontent">
    <w:name w:val="markedcontent"/>
    <w:basedOn w:val="a5"/>
    <w:qFormat/>
  </w:style>
  <w:style w:type="character" w:customStyle="1" w:styleId="font31">
    <w:name w:val="font31"/>
    <w:basedOn w:val="a5"/>
    <w:qFormat/>
    <w:rPr>
      <w:rFonts w:ascii="宋体" w:eastAsia="宋体" w:hAnsi="宋体" w:cs="宋体" w:hint="eastAsia"/>
      <w:color w:val="000000"/>
      <w:sz w:val="20"/>
      <w:szCs w:val="20"/>
      <w:u w:val="none"/>
    </w:rPr>
  </w:style>
  <w:style w:type="paragraph" w:customStyle="1" w:styleId="1100">
    <w:name w:val="标题 11_0"/>
    <w:basedOn w:val="a4"/>
    <w:next w:val="a4"/>
    <w:qFormat/>
    <w:pPr>
      <w:autoSpaceDE w:val="0"/>
      <w:autoSpaceDN w:val="0"/>
      <w:jc w:val="center"/>
      <w:outlineLvl w:val="0"/>
    </w:pPr>
    <w:rPr>
      <w:rFonts w:ascii="Arial" w:eastAsia="黑体" w:hAnsi="Arial" w:cs="Arial"/>
      <w:b/>
      <w:snapToGrid w:val="0"/>
    </w:rPr>
  </w:style>
  <w:style w:type="paragraph" w:customStyle="1" w:styleId="18">
    <w:name w:val="页脚1"/>
    <w:basedOn w:val="a4"/>
    <w:uiPriority w:val="99"/>
    <w:qFormat/>
    <w:pPr>
      <w:tabs>
        <w:tab w:val="center" w:pos="4819"/>
        <w:tab w:val="right" w:pos="9071"/>
      </w:tabs>
      <w:adjustRightInd w:val="0"/>
      <w:textAlignment w:val="baseline"/>
    </w:pPr>
    <w:rPr>
      <w:rFonts w:ascii="MingLiU" w:eastAsia="MingLiU"/>
      <w:sz w:val="20"/>
      <w:lang w:eastAsia="zh-TW"/>
    </w:rPr>
  </w:style>
  <w:style w:type="paragraph" w:customStyle="1" w:styleId="26">
    <w:name w:val="页眉2"/>
    <w:basedOn w:val="a4"/>
    <w:uiPriority w:val="99"/>
    <w:qFormat/>
    <w:pPr>
      <w:pBdr>
        <w:bottom w:val="single" w:sz="6" w:space="1" w:color="auto"/>
      </w:pBdr>
      <w:tabs>
        <w:tab w:val="center" w:pos="4153"/>
        <w:tab w:val="right" w:pos="8306"/>
      </w:tabs>
      <w:snapToGrid w:val="0"/>
      <w:jc w:val="center"/>
    </w:pPr>
    <w:rPr>
      <w:sz w:val="18"/>
      <w:szCs w:val="18"/>
    </w:rPr>
  </w:style>
  <w:style w:type="paragraph" w:customStyle="1" w:styleId="19">
    <w:name w:val="页眉1"/>
    <w:basedOn w:val="a4"/>
    <w:uiPriority w:val="99"/>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header" Target="header29.xml"/><Relationship Id="rId47" Type="http://schemas.openxmlformats.org/officeDocument/2006/relationships/header" Target="header34.xml"/><Relationship Id="rId63" Type="http://schemas.openxmlformats.org/officeDocument/2006/relationships/header" Target="header50.xml"/><Relationship Id="rId68" Type="http://schemas.openxmlformats.org/officeDocument/2006/relationships/header" Target="header55.xml"/><Relationship Id="rId84" Type="http://schemas.openxmlformats.org/officeDocument/2006/relationships/header" Target="header71.xml"/><Relationship Id="rId89" Type="http://schemas.openxmlformats.org/officeDocument/2006/relationships/header" Target="header75.xml"/><Relationship Id="rId16" Type="http://schemas.openxmlformats.org/officeDocument/2006/relationships/footer" Target="footer5.xml"/><Relationship Id="rId11" Type="http://schemas.openxmlformats.org/officeDocument/2006/relationships/header" Target="header2.xml"/><Relationship Id="rId32" Type="http://schemas.openxmlformats.org/officeDocument/2006/relationships/header" Target="header19.xml"/><Relationship Id="rId37" Type="http://schemas.openxmlformats.org/officeDocument/2006/relationships/header" Target="header24.xml"/><Relationship Id="rId53" Type="http://schemas.openxmlformats.org/officeDocument/2006/relationships/header" Target="header40.xml"/><Relationship Id="rId58" Type="http://schemas.openxmlformats.org/officeDocument/2006/relationships/header" Target="header45.xml"/><Relationship Id="rId74" Type="http://schemas.openxmlformats.org/officeDocument/2006/relationships/header" Target="header61.xml"/><Relationship Id="rId79" Type="http://schemas.openxmlformats.org/officeDocument/2006/relationships/header" Target="header66.xml"/><Relationship Id="rId5" Type="http://schemas.openxmlformats.org/officeDocument/2006/relationships/webSettings" Target="webSettings.xml"/><Relationship Id="rId90" Type="http://schemas.openxmlformats.org/officeDocument/2006/relationships/footer" Target="footer7.xml"/><Relationship Id="rId95" Type="http://schemas.openxmlformats.org/officeDocument/2006/relationships/fontTable" Target="fontTable.xml"/><Relationship Id="rId22" Type="http://schemas.openxmlformats.org/officeDocument/2006/relationships/header" Target="header9.xml"/><Relationship Id="rId27" Type="http://schemas.openxmlformats.org/officeDocument/2006/relationships/header" Target="header14.xml"/><Relationship Id="rId43" Type="http://schemas.openxmlformats.org/officeDocument/2006/relationships/header" Target="header30.xml"/><Relationship Id="rId48" Type="http://schemas.openxmlformats.org/officeDocument/2006/relationships/header" Target="header35.xml"/><Relationship Id="rId64" Type="http://schemas.openxmlformats.org/officeDocument/2006/relationships/header" Target="header51.xml"/><Relationship Id="rId69" Type="http://schemas.openxmlformats.org/officeDocument/2006/relationships/header" Target="header56.xml"/><Relationship Id="rId80" Type="http://schemas.openxmlformats.org/officeDocument/2006/relationships/header" Target="header67.xml"/><Relationship Id="rId85" Type="http://schemas.openxmlformats.org/officeDocument/2006/relationships/header" Target="header72.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header" Target="header46.xml"/><Relationship Id="rId67" Type="http://schemas.openxmlformats.org/officeDocument/2006/relationships/header" Target="header54.xml"/><Relationship Id="rId20" Type="http://schemas.openxmlformats.org/officeDocument/2006/relationships/header" Target="header7.xml"/><Relationship Id="rId41" Type="http://schemas.openxmlformats.org/officeDocument/2006/relationships/header" Target="header28.xml"/><Relationship Id="rId54" Type="http://schemas.openxmlformats.org/officeDocument/2006/relationships/header" Target="header41.xml"/><Relationship Id="rId62" Type="http://schemas.openxmlformats.org/officeDocument/2006/relationships/header" Target="header49.xml"/><Relationship Id="rId70" Type="http://schemas.openxmlformats.org/officeDocument/2006/relationships/header" Target="header57.xml"/><Relationship Id="rId75" Type="http://schemas.openxmlformats.org/officeDocument/2006/relationships/header" Target="header62.xml"/><Relationship Id="rId83" Type="http://schemas.openxmlformats.org/officeDocument/2006/relationships/header" Target="header70.xml"/><Relationship Id="rId88" Type="http://schemas.openxmlformats.org/officeDocument/2006/relationships/header" Target="header74.xml"/><Relationship Id="rId91" Type="http://schemas.openxmlformats.org/officeDocument/2006/relationships/footer" Target="footer8.xml"/><Relationship Id="rId9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49" Type="http://schemas.openxmlformats.org/officeDocument/2006/relationships/header" Target="header36.xml"/><Relationship Id="rId57" Type="http://schemas.openxmlformats.org/officeDocument/2006/relationships/header" Target="header44.xml"/><Relationship Id="rId10" Type="http://schemas.openxmlformats.org/officeDocument/2006/relationships/footer" Target="footer1.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header" Target="header47.xml"/><Relationship Id="rId65" Type="http://schemas.openxmlformats.org/officeDocument/2006/relationships/header" Target="header52.xml"/><Relationship Id="rId73" Type="http://schemas.openxmlformats.org/officeDocument/2006/relationships/header" Target="header60.xml"/><Relationship Id="rId78" Type="http://schemas.openxmlformats.org/officeDocument/2006/relationships/header" Target="header65.xml"/><Relationship Id="rId81" Type="http://schemas.openxmlformats.org/officeDocument/2006/relationships/header" Target="header68.xml"/><Relationship Id="rId86" Type="http://schemas.openxmlformats.org/officeDocument/2006/relationships/footer" Target="footer6.xml"/><Relationship Id="rId94" Type="http://schemas.openxmlformats.org/officeDocument/2006/relationships/header" Target="header7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9" Type="http://schemas.openxmlformats.org/officeDocument/2006/relationships/header" Target="header26.xml"/><Relationship Id="rId34" Type="http://schemas.openxmlformats.org/officeDocument/2006/relationships/header" Target="header21.xml"/><Relationship Id="rId50" Type="http://schemas.openxmlformats.org/officeDocument/2006/relationships/header" Target="header37.xml"/><Relationship Id="rId55" Type="http://schemas.openxmlformats.org/officeDocument/2006/relationships/header" Target="header42.xml"/><Relationship Id="rId76" Type="http://schemas.openxmlformats.org/officeDocument/2006/relationships/header" Target="header63.xm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58.xml"/><Relationship Id="rId92" Type="http://schemas.openxmlformats.org/officeDocument/2006/relationships/header" Target="header76.xml"/><Relationship Id="rId2" Type="http://schemas.openxmlformats.org/officeDocument/2006/relationships/numbering" Target="numbering.xml"/><Relationship Id="rId29" Type="http://schemas.openxmlformats.org/officeDocument/2006/relationships/header" Target="header16.xml"/><Relationship Id="rId24" Type="http://schemas.openxmlformats.org/officeDocument/2006/relationships/header" Target="header11.xml"/><Relationship Id="rId40" Type="http://schemas.openxmlformats.org/officeDocument/2006/relationships/header" Target="header27.xml"/><Relationship Id="rId45" Type="http://schemas.openxmlformats.org/officeDocument/2006/relationships/header" Target="header32.xml"/><Relationship Id="rId66" Type="http://schemas.openxmlformats.org/officeDocument/2006/relationships/header" Target="header53.xml"/><Relationship Id="rId87" Type="http://schemas.openxmlformats.org/officeDocument/2006/relationships/header" Target="header73.xml"/><Relationship Id="rId61" Type="http://schemas.openxmlformats.org/officeDocument/2006/relationships/header" Target="header48.xml"/><Relationship Id="rId82" Type="http://schemas.openxmlformats.org/officeDocument/2006/relationships/header" Target="header69.xml"/><Relationship Id="rId19" Type="http://schemas.openxmlformats.org/officeDocument/2006/relationships/header" Target="header6.xml"/><Relationship Id="rId14" Type="http://schemas.openxmlformats.org/officeDocument/2006/relationships/header" Target="header3.xml"/><Relationship Id="rId30" Type="http://schemas.openxmlformats.org/officeDocument/2006/relationships/header" Target="header17.xml"/><Relationship Id="rId35" Type="http://schemas.openxmlformats.org/officeDocument/2006/relationships/header" Target="header22.xml"/><Relationship Id="rId56" Type="http://schemas.openxmlformats.org/officeDocument/2006/relationships/header" Target="header43.xml"/><Relationship Id="rId77" Type="http://schemas.openxmlformats.org/officeDocument/2006/relationships/header" Target="header64.xml"/><Relationship Id="rId8" Type="http://schemas.openxmlformats.org/officeDocument/2006/relationships/image" Target="media/image1.png"/><Relationship Id="rId51" Type="http://schemas.openxmlformats.org/officeDocument/2006/relationships/header" Target="header38.xml"/><Relationship Id="rId72" Type="http://schemas.openxmlformats.org/officeDocument/2006/relationships/header" Target="header59.xml"/><Relationship Id="rId93" Type="http://schemas.openxmlformats.org/officeDocument/2006/relationships/footer" Target="footer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A3FFAF830242E2B3BDC03511AA9E8D"/>
        <w:category>
          <w:name w:val="常规"/>
          <w:gallery w:val="placeholder"/>
        </w:category>
        <w:types>
          <w:type w:val="bbPlcHdr"/>
        </w:types>
        <w:behaviors>
          <w:behavior w:val="content"/>
        </w:behaviors>
        <w:guid w:val="{29DDABCF-6351-4395-97C2-20C6245B8B5A}"/>
      </w:docPartPr>
      <w:docPartBody>
        <w:p w:rsidR="001A1F3F" w:rsidRDefault="001A0175">
          <w:pPr>
            <w:pStyle w:val="F2A3FFAF830242E2B3BDC03511AA9E8D"/>
          </w:pPr>
          <w:r>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86"/>
    <w:family w:val="auto"/>
    <w:pitch w:val="default"/>
    <w:sig w:usb0="00000000" w:usb1="00000000" w:usb2="0000000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 w:name="微软雅黑">
    <w:panose1 w:val="020B0503020204020204"/>
    <w:charset w:val="86"/>
    <w:family w:val="swiss"/>
    <w:pitch w:val="variable"/>
    <w:sig w:usb0="80000287" w:usb1="2ACF3C50" w:usb2="00000016" w:usb3="00000000" w:csb0="0004001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仿宋">
    <w:panose1 w:val="02010609060101010101"/>
    <w:charset w:val="86"/>
    <w:family w:val="modern"/>
    <w:pitch w:val="fixed"/>
    <w:sig w:usb0="800002BF" w:usb1="38CF7CFA" w:usb2="00000016" w:usb3="00000000" w:csb0="00040001" w:csb1="00000000"/>
  </w:font>
  <w:font w:name="CIDFont+F5">
    <w:altName w:val="Yu Gothic"/>
    <w:charset w:val="80"/>
    <w:family w:val="auto"/>
    <w:pitch w:val="default"/>
    <w:sig w:usb0="00000000" w:usb1="0000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C7"/>
    <w:rsid w:val="00063457"/>
    <w:rsid w:val="00064C8C"/>
    <w:rsid w:val="00093EFA"/>
    <w:rsid w:val="00104E80"/>
    <w:rsid w:val="00110977"/>
    <w:rsid w:val="001151EE"/>
    <w:rsid w:val="00147F6F"/>
    <w:rsid w:val="001737C7"/>
    <w:rsid w:val="001A0175"/>
    <w:rsid w:val="001A1F3F"/>
    <w:rsid w:val="0020628A"/>
    <w:rsid w:val="00227697"/>
    <w:rsid w:val="00253537"/>
    <w:rsid w:val="00265C8A"/>
    <w:rsid w:val="0029234C"/>
    <w:rsid w:val="002A781A"/>
    <w:rsid w:val="00344FB1"/>
    <w:rsid w:val="00351478"/>
    <w:rsid w:val="003B3C72"/>
    <w:rsid w:val="004207BD"/>
    <w:rsid w:val="0043308E"/>
    <w:rsid w:val="00470F13"/>
    <w:rsid w:val="004E26F9"/>
    <w:rsid w:val="00516FCF"/>
    <w:rsid w:val="00532116"/>
    <w:rsid w:val="005678C6"/>
    <w:rsid w:val="00594723"/>
    <w:rsid w:val="005A0C43"/>
    <w:rsid w:val="005C1DF4"/>
    <w:rsid w:val="005C3733"/>
    <w:rsid w:val="005D412F"/>
    <w:rsid w:val="005F1C1E"/>
    <w:rsid w:val="00634486"/>
    <w:rsid w:val="00696731"/>
    <w:rsid w:val="006A66DB"/>
    <w:rsid w:val="006B3621"/>
    <w:rsid w:val="007029E9"/>
    <w:rsid w:val="00733222"/>
    <w:rsid w:val="007449F9"/>
    <w:rsid w:val="00757D4A"/>
    <w:rsid w:val="00864CAB"/>
    <w:rsid w:val="008D64E4"/>
    <w:rsid w:val="00994F4D"/>
    <w:rsid w:val="00A7275B"/>
    <w:rsid w:val="00AA1553"/>
    <w:rsid w:val="00AB035A"/>
    <w:rsid w:val="00B07EE3"/>
    <w:rsid w:val="00B235E9"/>
    <w:rsid w:val="00B4590E"/>
    <w:rsid w:val="00B46610"/>
    <w:rsid w:val="00C02258"/>
    <w:rsid w:val="00C83876"/>
    <w:rsid w:val="00C84577"/>
    <w:rsid w:val="00CE060E"/>
    <w:rsid w:val="00CE5E30"/>
    <w:rsid w:val="00D1052A"/>
    <w:rsid w:val="00D81C14"/>
    <w:rsid w:val="00E026E3"/>
    <w:rsid w:val="00E515AE"/>
    <w:rsid w:val="00E634CD"/>
    <w:rsid w:val="00EC57E9"/>
    <w:rsid w:val="00F670B2"/>
    <w:rsid w:val="00FD1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style>
  <w:style w:type="paragraph" w:customStyle="1" w:styleId="F2A3FFAF830242E2B3BDC03511AA9E8D">
    <w:name w:val="F2A3FFAF830242E2B3BDC03511AA9E8D"/>
    <w:qFormat/>
    <w:pPr>
      <w:widowControl w:val="0"/>
      <w:jc w:val="both"/>
    </w:pPr>
    <w:rPr>
      <w:kern w:val="2"/>
      <w:sz w:val="21"/>
      <w:szCs w:val="22"/>
    </w:rPr>
  </w:style>
  <w:style w:type="paragraph" w:customStyle="1" w:styleId="1CEB4FE4CC194E8681454EB1CFC92B0C">
    <w:name w:val="1CEB4FE4CC194E8681454EB1CFC92B0C"/>
    <w:rsid w:val="00147F6F"/>
    <w:pPr>
      <w:widowControl w:val="0"/>
      <w:jc w:val="both"/>
    </w:pPr>
    <w:rPr>
      <w:kern w:val="2"/>
      <w:sz w:val="21"/>
      <w:szCs w:val="22"/>
    </w:rPr>
  </w:style>
  <w:style w:type="paragraph" w:customStyle="1" w:styleId="94C15278AEE54C54A960F5509C2E45FF">
    <w:name w:val="94C15278AEE54C54A960F5509C2E45FF"/>
    <w:rsid w:val="00147F6F"/>
    <w:pPr>
      <w:widowControl w:val="0"/>
      <w:jc w:val="both"/>
    </w:pPr>
    <w:rPr>
      <w:kern w:val="2"/>
      <w:sz w:val="21"/>
      <w:szCs w:val="22"/>
    </w:rPr>
  </w:style>
  <w:style w:type="paragraph" w:customStyle="1" w:styleId="705A27BE01904C0880AF257D74724474">
    <w:name w:val="705A27BE01904C0880AF257D74724474"/>
    <w:rsid w:val="00147F6F"/>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C7819-C353-40D2-8B1E-44B0EEDF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194</Pages>
  <Words>32312</Words>
  <Characters>184182</Characters>
  <Application>Microsoft Office Word</Application>
  <DocSecurity>0</DocSecurity>
  <Lines>1534</Lines>
  <Paragraphs>432</Paragraphs>
  <ScaleCrop>false</ScaleCrop>
  <Company>XMB</Company>
  <LinksUpToDate>false</LinksUpToDate>
  <CharactersWithSpaces>216062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65</cp:revision>
  <cp:lastPrinted>2023-08-10T11:53:00Z</cp:lastPrinted>
  <dcterms:created xsi:type="dcterms:W3CDTF">2023-08-02T02:51:00Z</dcterms:created>
  <dcterms:modified xsi:type="dcterms:W3CDTF">2023-08-26T11:22:00Z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7975DAAFD8D7488B88183095256386A9</vt:lpwstr>
  </property>
</Properties>
</file>