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drawing>
          <wp:inline distT="0" distB="0" distL="114300" distR="114300">
            <wp:extent cx="2908935" cy="857885"/>
            <wp:effectExtent l="0" t="0" r="5715" b="18415"/>
            <wp:docPr id="3" name="图片 3" descr="1608709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8709771(1)"/>
                    <pic:cNvPicPr>
                      <a:picLocks noChangeAspect="1"/>
                    </pic:cNvPicPr>
                  </pic:nvPicPr>
                  <pic:blipFill>
                    <a:blip r:embed="rId7"/>
                    <a:stretch>
                      <a:fillRect/>
                    </a:stretch>
                  </pic:blipFill>
                  <pic:spPr>
                    <a:xfrm>
                      <a:off x="0" y="0"/>
                      <a:ext cx="2908935" cy="857885"/>
                    </a:xfrm>
                    <a:prstGeom prst="rect">
                      <a:avLst/>
                    </a:prstGeom>
                  </pic:spPr>
                </pic:pic>
              </a:graphicData>
            </a:graphic>
          </wp:inline>
        </w:drawing>
      </w:r>
    </w:p>
    <w:p>
      <w:pPr>
        <w:jc w:val="center"/>
        <w:rPr>
          <w:rFonts w:ascii="仿宋" w:hAnsi="仿宋" w:eastAsia="仿宋" w:cs="仿宋"/>
          <w:sz w:val="28"/>
          <w:szCs w:val="28"/>
        </w:rPr>
      </w:pPr>
    </w:p>
    <w:p>
      <w:pPr>
        <w:jc w:val="center"/>
        <w:rPr>
          <w:rFonts w:ascii="仿宋" w:hAnsi="仿宋" w:eastAsia="仿宋" w:cs="仿宋"/>
          <w:sz w:val="28"/>
          <w:szCs w:val="28"/>
        </w:rPr>
      </w:pPr>
    </w:p>
    <w:p>
      <w:pPr>
        <w:pStyle w:val="3"/>
        <w:jc w:val="center"/>
        <w:rPr>
          <w:rFonts w:ascii="黑体" w:hAnsi="黑体" w:eastAsia="黑体" w:cs="黑体"/>
          <w:szCs w:val="44"/>
        </w:rPr>
      </w:pPr>
      <w:r>
        <w:rPr>
          <w:rFonts w:hint="eastAsia" w:ascii="黑体" w:hAnsi="黑体" w:eastAsia="黑体" w:cs="黑体"/>
          <w:szCs w:val="44"/>
        </w:rPr>
        <w:t>厦门银行股份有限公司</w:t>
      </w:r>
    </w:p>
    <w:p>
      <w:pPr>
        <w:pStyle w:val="3"/>
        <w:jc w:val="center"/>
        <w:rPr>
          <w:rFonts w:ascii="黑体" w:hAnsi="黑体" w:eastAsia="黑体" w:cs="黑体"/>
          <w:szCs w:val="44"/>
        </w:rPr>
      </w:pPr>
      <w:r>
        <w:rPr>
          <w:rFonts w:hint="eastAsia" w:ascii="黑体" w:hAnsi="黑体" w:eastAsia="黑体" w:cs="黑体"/>
          <w:szCs w:val="44"/>
          <w:lang w:eastAsia="zh-CN"/>
        </w:rPr>
        <w:t>2022年度股东大会</w:t>
      </w:r>
      <w:r>
        <w:rPr>
          <w:rFonts w:hint="eastAsia" w:ascii="黑体" w:hAnsi="黑体" w:eastAsia="黑体" w:cs="黑体"/>
          <w:szCs w:val="44"/>
        </w:rPr>
        <w:t>会议材料</w:t>
      </w:r>
    </w:p>
    <w:p>
      <w:pPr>
        <w:jc w:val="center"/>
        <w:rPr>
          <w:rFonts w:ascii="黑体" w:hAnsi="黑体" w:eastAsia="黑体" w:cs="黑体"/>
          <w:sz w:val="28"/>
          <w:szCs w:val="28"/>
        </w:rPr>
      </w:pPr>
      <w:r>
        <w:rPr>
          <w:rFonts w:hint="eastAsia" w:ascii="黑体" w:hAnsi="黑体" w:eastAsia="黑体" w:cs="黑体"/>
          <w:sz w:val="28"/>
          <w:szCs w:val="28"/>
        </w:rPr>
        <w:t>（股票代码：601187）</w:t>
      </w: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r>
        <w:rPr>
          <w:rFonts w:hint="eastAsia" w:ascii="黑体" w:hAnsi="黑体" w:eastAsia="黑体" w:cs="黑体"/>
          <w:sz w:val="28"/>
          <w:szCs w:val="28"/>
        </w:rPr>
        <w:t>中国·厦门</w:t>
      </w: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r>
        <w:rPr>
          <w:rFonts w:hint="eastAsia" w:ascii="黑体" w:hAnsi="黑体" w:eastAsia="黑体" w:cs="黑体"/>
          <w:sz w:val="28"/>
          <w:szCs w:val="28"/>
        </w:rPr>
        <w:t>202</w:t>
      </w:r>
      <w:r>
        <w:rPr>
          <w:rFonts w:hint="eastAsia" w:ascii="黑体" w:hAnsi="黑体" w:eastAsia="黑体" w:cs="黑体"/>
          <w:sz w:val="28"/>
          <w:szCs w:val="28"/>
          <w:lang w:val="en-US" w:eastAsia="zh-CN"/>
        </w:rPr>
        <w:t>3</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18</w:t>
      </w:r>
      <w:r>
        <w:rPr>
          <w:rFonts w:hint="eastAsia" w:ascii="黑体" w:hAnsi="黑体" w:eastAsia="黑体" w:cs="黑体"/>
          <w:sz w:val="28"/>
          <w:szCs w:val="28"/>
        </w:rPr>
        <w:t>日</w:t>
      </w:r>
    </w:p>
    <w:p>
      <w:r>
        <w:rPr>
          <w:rFonts w:hint="eastAsia"/>
        </w:rPr>
        <w:br w:type="page"/>
      </w:r>
    </w:p>
    <w:p>
      <w:pPr>
        <w:jc w:val="center"/>
        <w:rPr>
          <w:rFonts w:ascii="仿宋" w:hAnsi="仿宋" w:eastAsia="仿宋" w:cs="仿宋"/>
          <w:b/>
          <w:bCs/>
          <w:sz w:val="30"/>
          <w:szCs w:val="30"/>
        </w:rPr>
      </w:pPr>
      <w:bookmarkStart w:id="0" w:name="_Toc18955_WPSOffice_Type1"/>
      <w:r>
        <w:rPr>
          <w:rFonts w:hint="eastAsia" w:ascii="仿宋" w:hAnsi="仿宋" w:eastAsia="仿宋" w:cs="仿宋"/>
          <w:b/>
          <w:bCs/>
          <w:sz w:val="30"/>
          <w:szCs w:val="30"/>
        </w:rPr>
        <w:t>文件目录</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ascii="仿宋" w:hAnsi="仿宋" w:eastAsia="仿宋" w:cs="仿宋"/>
          <w:sz w:val="30"/>
          <w:szCs w:val="30"/>
        </w:rPr>
      </w:pPr>
      <w:r>
        <w:fldChar w:fldCharType="begin"/>
      </w:r>
      <w:r>
        <w:instrText xml:space="preserve"> HYPERLINK \l "_Toc12240_WPSOffice_Level1" </w:instrText>
      </w:r>
      <w:r>
        <w:fldChar w:fldCharType="separate"/>
      </w:r>
      <w:sdt>
        <w:sdtPr>
          <w:rPr>
            <w:rFonts w:hint="eastAsia" w:ascii="仿宋" w:hAnsi="仿宋" w:eastAsia="仿宋" w:cs="仿宋"/>
            <w:b/>
            <w:bCs/>
            <w:kern w:val="2"/>
            <w:sz w:val="30"/>
            <w:szCs w:val="30"/>
          </w:rPr>
          <w:id w:val="147476657"/>
          <w:placeholder>
            <w:docPart w:val="{428cafbf-0c45-44b5-9482-a0c71a6f12fd}"/>
          </w:placeholder>
        </w:sdtPr>
        <w:sdtEndPr>
          <w:rPr>
            <w:rFonts w:hint="eastAsia" w:ascii="仿宋" w:hAnsi="仿宋" w:eastAsia="仿宋" w:cs="仿宋"/>
            <w:b/>
            <w:bCs/>
            <w:kern w:val="2"/>
            <w:sz w:val="30"/>
            <w:szCs w:val="30"/>
          </w:rPr>
        </w:sdtEndPr>
        <w:sdtContent>
          <w:r>
            <w:rPr>
              <w:rFonts w:hint="eastAsia" w:ascii="仿宋" w:hAnsi="仿宋" w:eastAsia="仿宋" w:cs="仿宋"/>
              <w:b/>
              <w:bCs/>
              <w:sz w:val="30"/>
              <w:szCs w:val="30"/>
            </w:rPr>
            <w:t>会议议程</w:t>
          </w:r>
        </w:sdtContent>
      </w:sdt>
      <w:r>
        <w:rPr>
          <w:rFonts w:hint="eastAsia" w:ascii="仿宋" w:hAnsi="仿宋" w:eastAsia="仿宋" w:cs="仿宋"/>
          <w:sz w:val="30"/>
          <w:szCs w:val="30"/>
        </w:rPr>
        <w:tab/>
      </w:r>
      <w:r>
        <w:rPr>
          <w:rFonts w:hint="eastAsia" w:ascii="仿宋" w:hAnsi="仿宋" w:eastAsia="仿宋" w:cs="仿宋"/>
          <w:sz w:val="30"/>
          <w:szCs w:val="30"/>
        </w:rPr>
        <w:t>3</w:t>
      </w:r>
      <w:r>
        <w:rPr>
          <w:rFonts w:hint="eastAsia" w:ascii="仿宋" w:hAnsi="仿宋" w:eastAsia="仿宋" w:cs="仿宋"/>
          <w:sz w:val="30"/>
          <w:szCs w:val="30"/>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ascii="仿宋" w:hAnsi="仿宋" w:eastAsia="仿宋" w:cs="仿宋"/>
          <w:sz w:val="30"/>
          <w:szCs w:val="30"/>
        </w:rPr>
      </w:pPr>
      <w:r>
        <w:fldChar w:fldCharType="begin"/>
      </w:r>
      <w:r>
        <w:instrText xml:space="preserve"> HYPERLINK \l "_Toc18955_WPSOffice_Level1" </w:instrText>
      </w:r>
      <w:r>
        <w:fldChar w:fldCharType="separate"/>
      </w:r>
      <w:sdt>
        <w:sdtPr>
          <w:rPr>
            <w:rFonts w:hint="eastAsia" w:ascii="仿宋" w:hAnsi="仿宋" w:eastAsia="仿宋" w:cs="仿宋"/>
            <w:b/>
            <w:bCs/>
            <w:kern w:val="2"/>
            <w:sz w:val="30"/>
            <w:szCs w:val="30"/>
          </w:rPr>
          <w:id w:val="-451082672"/>
          <w:placeholder>
            <w:docPart w:val="{3390bca2-9f08-4b9e-b0f7-e9dea686b0f4}"/>
          </w:placeholder>
        </w:sdtPr>
        <w:sdtEndPr>
          <w:rPr>
            <w:rFonts w:hint="eastAsia" w:ascii="仿宋" w:hAnsi="仿宋" w:eastAsia="仿宋" w:cs="仿宋"/>
            <w:b/>
            <w:bCs/>
            <w:kern w:val="2"/>
            <w:sz w:val="30"/>
            <w:szCs w:val="30"/>
          </w:rPr>
        </w:sdtEndPr>
        <w:sdtContent>
          <w:r>
            <w:rPr>
              <w:rFonts w:hint="eastAsia" w:ascii="仿宋" w:hAnsi="仿宋" w:eastAsia="仿宋" w:cs="仿宋"/>
              <w:b/>
              <w:bCs/>
              <w:sz w:val="30"/>
              <w:szCs w:val="30"/>
            </w:rPr>
            <w:t>会议须知</w:t>
          </w:r>
        </w:sdtContent>
      </w:sdt>
      <w:r>
        <w:rPr>
          <w:rFonts w:hint="eastAsia" w:ascii="仿宋" w:hAnsi="仿宋" w:eastAsia="仿宋" w:cs="仿宋"/>
          <w:sz w:val="30"/>
          <w:szCs w:val="30"/>
        </w:rPr>
        <w:tab/>
      </w:r>
      <w:r>
        <w:rPr>
          <w:rFonts w:hint="eastAsia" w:ascii="仿宋" w:hAnsi="仿宋" w:eastAsia="仿宋" w:cs="仿宋"/>
          <w:sz w:val="30"/>
          <w:szCs w:val="30"/>
        </w:rPr>
        <w:t>4</w:t>
      </w:r>
      <w:r>
        <w:rPr>
          <w:rFonts w:hint="eastAsia" w:ascii="仿宋" w:hAnsi="仿宋" w:eastAsia="仿宋" w:cs="仿宋"/>
          <w:sz w:val="30"/>
          <w:szCs w:val="30"/>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0"/>
          <w:szCs w:val="30"/>
          <w:lang w:eastAsia="zh-CN"/>
        </w:rPr>
      </w:pPr>
      <w:r>
        <w:fldChar w:fldCharType="begin"/>
      </w:r>
      <w:r>
        <w:instrText xml:space="preserve"> HYPERLINK \l "_Toc22893_WPSOffice_Level1" </w:instrText>
      </w:r>
      <w:r>
        <w:fldChar w:fldCharType="separate"/>
      </w:r>
      <w:sdt>
        <w:sdtPr>
          <w:rPr>
            <w:rFonts w:hint="eastAsia" w:ascii="仿宋" w:hAnsi="仿宋" w:eastAsia="仿宋" w:cs="仿宋"/>
            <w:b/>
            <w:bCs/>
            <w:kern w:val="2"/>
            <w:sz w:val="30"/>
            <w:szCs w:val="30"/>
          </w:rPr>
          <w:id w:val="-2071637978"/>
          <w:placeholder>
            <w:docPart w:val="{9649a124-272f-4fa2-8e5e-7b16b071e390}"/>
          </w:placeholder>
        </w:sdtPr>
        <w:sdtEndPr>
          <w:rPr>
            <w:rFonts w:hint="eastAsia" w:ascii="仿宋" w:hAnsi="仿宋" w:eastAsia="仿宋" w:cs="仿宋"/>
            <w:b/>
            <w:bCs/>
            <w:kern w:val="2"/>
            <w:sz w:val="30"/>
            <w:szCs w:val="30"/>
          </w:rPr>
        </w:sdtEndPr>
        <w:sdtContent>
          <w:r>
            <w:rPr>
              <w:rFonts w:hint="eastAsia" w:ascii="仿宋" w:hAnsi="仿宋" w:eastAsia="仿宋" w:cs="仿宋"/>
              <w:b/>
              <w:bCs/>
              <w:kern w:val="2"/>
              <w:sz w:val="30"/>
              <w:szCs w:val="30"/>
            </w:rPr>
            <w:t>议案1</w:t>
          </w:r>
          <w:r>
            <w:rPr>
              <w:rFonts w:hint="eastAsia" w:ascii="仿宋" w:hAnsi="仿宋" w:eastAsia="仿宋" w:cs="仿宋"/>
              <w:b/>
              <w:bCs/>
              <w:kern w:val="2"/>
              <w:sz w:val="30"/>
              <w:szCs w:val="30"/>
              <w:lang w:val="en-US" w:eastAsia="zh-CN"/>
            </w:rPr>
            <w:t xml:space="preserve"> </w:t>
          </w:r>
          <w:r>
            <w:rPr>
              <w:rFonts w:hint="eastAsia" w:ascii="仿宋" w:hAnsi="仿宋" w:eastAsia="仿宋" w:cs="仿宋"/>
              <w:sz w:val="30"/>
              <w:szCs w:val="30"/>
            </w:rPr>
            <w:t>厦门银行股份有限公司关于2022年度董事会工作报告的议案</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7</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"_Toc24086_WPSOffice_Level1" </w:instrText>
      </w:r>
      <w:r>
        <w:fldChar w:fldCharType="separate"/>
      </w:r>
      <w:sdt>
        <w:sdtPr>
          <w:rPr>
            <w:rFonts w:hint="eastAsia" w:ascii="仿宋" w:hAnsi="仿宋" w:eastAsia="仿宋" w:cs="仿宋"/>
            <w:kern w:val="2"/>
            <w:sz w:val="30"/>
            <w:szCs w:val="30"/>
          </w:rPr>
          <w:id w:val="337052657"/>
          <w:placeholder>
            <w:docPart w:val="{3103aea9-14b4-441b-ad48-d2ce8aadb0ac}"/>
          </w:placeholder>
        </w:sdtPr>
        <w:sdtEndPr>
          <w:rPr>
            <w:rFonts w:hint="eastAsia" w:ascii="仿宋" w:hAnsi="仿宋" w:eastAsia="仿宋" w:cs="仿宋"/>
            <w:kern w:val="2"/>
            <w:sz w:val="30"/>
            <w:szCs w:val="30"/>
          </w:rPr>
        </w:sdtEndPr>
        <w:sdtContent>
          <w:r>
            <w:rPr>
              <w:rFonts w:hint="eastAsia" w:ascii="仿宋" w:hAnsi="仿宋" w:eastAsia="仿宋" w:cs="仿宋"/>
              <w:b/>
              <w:bCs/>
              <w:kern w:val="2"/>
              <w:sz w:val="30"/>
              <w:szCs w:val="30"/>
            </w:rPr>
            <w:t>议案2</w:t>
          </w:r>
          <w:r>
            <w:rPr>
              <w:rFonts w:hint="eastAsia" w:ascii="仿宋" w:hAnsi="仿宋" w:eastAsia="仿宋" w:cs="仿宋"/>
              <w:kern w:val="2"/>
              <w:sz w:val="30"/>
              <w:szCs w:val="30"/>
            </w:rPr>
            <w:t xml:space="preserve"> </w:t>
          </w:r>
          <w:r>
            <w:rPr>
              <w:rFonts w:hint="eastAsia" w:ascii="仿宋" w:hAnsi="仿宋" w:eastAsia="仿宋" w:cs="仿宋"/>
              <w:sz w:val="30"/>
              <w:szCs w:val="30"/>
            </w:rPr>
            <w:t>厦门银行股份有限公司关于2022年度监事会工作报告的议案</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14</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"_Toc28231_WPSOffice_Level1" </w:instrText>
      </w:r>
      <w:r>
        <w:fldChar w:fldCharType="separate"/>
      </w:r>
      <w:sdt>
        <w:sdtPr>
          <w:rPr>
            <w:rFonts w:hint="eastAsia" w:ascii="仿宋" w:hAnsi="仿宋" w:eastAsia="仿宋" w:cs="仿宋"/>
            <w:b/>
            <w:bCs/>
            <w:kern w:val="2"/>
            <w:sz w:val="30"/>
            <w:szCs w:val="30"/>
          </w:rPr>
          <w:id w:val="1986892254"/>
          <w:placeholder>
            <w:docPart w:val="{8628c024-a370-4ff2-a2c8-c02efeb9c6dd}"/>
          </w:placeholder>
        </w:sdtPr>
        <w:sdtEndPr>
          <w:rPr>
            <w:rFonts w:hint="eastAsia" w:ascii="仿宋" w:hAnsi="仿宋" w:eastAsia="仿宋" w:cs="仿宋"/>
            <w:b/>
            <w:bCs/>
            <w:kern w:val="2"/>
            <w:sz w:val="30"/>
            <w:szCs w:val="30"/>
          </w:rPr>
        </w:sdtEndPr>
        <w:sdtContent>
          <w:sdt>
            <w:sdtPr>
              <w:rPr>
                <w:rFonts w:hint="eastAsia" w:ascii="仿宋" w:hAnsi="仿宋" w:eastAsia="仿宋" w:cs="仿宋"/>
                <w:b/>
                <w:bCs/>
                <w:kern w:val="2"/>
                <w:sz w:val="30"/>
                <w:szCs w:val="30"/>
              </w:rPr>
              <w:id w:val="-1950309573"/>
              <w:placeholder>
                <w:docPart w:val="{d80bb59c-4ca3-44dd-ac11-77ca711d4dbb}"/>
              </w:placeholder>
            </w:sdtPr>
            <w:sdtEndPr>
              <w:rPr>
                <w:rFonts w:hint="eastAsia" w:ascii="仿宋" w:hAnsi="仿宋" w:eastAsia="仿宋" w:cs="仿宋"/>
                <w:b/>
                <w:bCs/>
                <w:kern w:val="2"/>
                <w:sz w:val="30"/>
                <w:szCs w:val="30"/>
              </w:rPr>
            </w:sdtEndPr>
            <w:sdtContent>
              <w:r>
                <w:rPr>
                  <w:rFonts w:hint="eastAsia" w:ascii="仿宋" w:hAnsi="仿宋" w:eastAsia="仿宋" w:cs="仿宋"/>
                  <w:b/>
                  <w:bCs/>
                  <w:kern w:val="2"/>
                  <w:sz w:val="30"/>
                  <w:szCs w:val="30"/>
                </w:rPr>
                <w:t>议案3</w:t>
              </w:r>
              <w:r>
                <w:rPr>
                  <w:rFonts w:hint="eastAsia" w:ascii="仿宋" w:hAnsi="仿宋" w:eastAsia="仿宋" w:cs="仿宋"/>
                  <w:kern w:val="2"/>
                  <w:sz w:val="30"/>
                  <w:szCs w:val="30"/>
                </w:rPr>
                <w:t xml:space="preserve"> </w:t>
              </w:r>
              <w:r>
                <w:rPr>
                  <w:rFonts w:hint="eastAsia" w:ascii="仿宋" w:hAnsi="仿宋" w:eastAsia="仿宋" w:cs="仿宋"/>
                  <w:sz w:val="30"/>
                  <w:szCs w:val="30"/>
                </w:rPr>
                <w:t>厦门银行股份有限公司关于2022年年度报告及其摘要的议案</w:t>
              </w:r>
            </w:sdtContent>
          </w:sdt>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21</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"_Toc25166_WPSOffice_Level1" </w:instrText>
      </w:r>
      <w:r>
        <w:fldChar w:fldCharType="separate"/>
      </w:r>
      <w:sdt>
        <w:sdtPr>
          <w:rPr>
            <w:rFonts w:hint="eastAsia" w:ascii="仿宋" w:hAnsi="仿宋" w:eastAsia="仿宋" w:cs="仿宋"/>
            <w:kern w:val="2"/>
            <w:sz w:val="30"/>
            <w:szCs w:val="30"/>
          </w:rPr>
          <w:id w:val="1314526572"/>
          <w:placeholder>
            <w:docPart w:val="{0321a32d-d2fb-4311-844d-a736ca41f652}"/>
          </w:placeholder>
        </w:sdtPr>
        <w:sdtEndPr>
          <w:rPr>
            <w:rFonts w:hint="eastAsia" w:ascii="仿宋" w:hAnsi="仿宋" w:eastAsia="仿宋" w:cs="仿宋"/>
            <w:kern w:val="2"/>
            <w:sz w:val="30"/>
            <w:szCs w:val="30"/>
          </w:rPr>
        </w:sdtEndPr>
        <w:sdtContent>
          <w:r>
            <w:rPr>
              <w:rFonts w:hint="eastAsia" w:ascii="仿宋" w:hAnsi="仿宋" w:eastAsia="仿宋" w:cs="仿宋"/>
              <w:b/>
              <w:bCs/>
              <w:kern w:val="2"/>
              <w:sz w:val="30"/>
              <w:szCs w:val="30"/>
            </w:rPr>
            <w:t>议案4</w:t>
          </w:r>
          <w:r>
            <w:rPr>
              <w:rFonts w:hint="eastAsia" w:ascii="仿宋" w:hAnsi="仿宋" w:eastAsia="仿宋" w:cs="仿宋"/>
              <w:kern w:val="2"/>
              <w:sz w:val="30"/>
              <w:szCs w:val="30"/>
            </w:rPr>
            <w:t xml:space="preserve"> </w:t>
          </w:r>
          <w:r>
            <w:rPr>
              <w:rFonts w:hint="eastAsia" w:ascii="仿宋" w:hAnsi="仿宋" w:eastAsia="仿宋" w:cs="仿宋"/>
              <w:sz w:val="30"/>
              <w:szCs w:val="30"/>
            </w:rPr>
            <w:t>厦门银行股份有限公司关于2022年度财务决算报告的议案</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22</w:t>
      </w:r>
    </w:p>
    <w:bookmarkEnd w:id="0"/>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"_Toc22893_WPSOffice_Level1" </w:instrText>
      </w:r>
      <w:r>
        <w:fldChar w:fldCharType="separate"/>
      </w:r>
      <w:sdt>
        <w:sdtPr>
          <w:rPr>
            <w:rFonts w:hint="eastAsia" w:ascii="仿宋" w:hAnsi="仿宋" w:eastAsia="仿宋" w:cs="仿宋"/>
            <w:b/>
            <w:bCs/>
            <w:kern w:val="2"/>
            <w:sz w:val="30"/>
            <w:szCs w:val="30"/>
          </w:rPr>
          <w:id w:val="-2071637978"/>
          <w:placeholder>
            <w:docPart w:val="{6f4d0943-4f0e-488c-ac86-b98137e677b0}"/>
          </w:placeholder>
        </w:sdtPr>
        <w:sdtEndPr>
          <w:rPr>
            <w:rFonts w:hint="eastAsia" w:ascii="仿宋" w:hAnsi="仿宋" w:eastAsia="仿宋" w:cs="仿宋"/>
            <w:b/>
            <w:bCs/>
            <w:kern w:val="2"/>
            <w:sz w:val="30"/>
            <w:szCs w:val="30"/>
          </w:rPr>
        </w:sdtEndPr>
        <w:sdtContent>
          <w:r>
            <w:rPr>
              <w:rFonts w:hint="eastAsia" w:ascii="仿宋" w:hAnsi="仿宋" w:eastAsia="仿宋" w:cs="仿宋"/>
              <w:b/>
              <w:bCs/>
              <w:kern w:val="2"/>
              <w:sz w:val="30"/>
              <w:szCs w:val="30"/>
            </w:rPr>
            <w:t>议案</w:t>
          </w:r>
          <w:r>
            <w:rPr>
              <w:rFonts w:hint="eastAsia" w:ascii="仿宋" w:hAnsi="仿宋" w:eastAsia="仿宋" w:cs="仿宋"/>
              <w:b/>
              <w:bCs/>
              <w:kern w:val="2"/>
              <w:sz w:val="30"/>
              <w:szCs w:val="30"/>
              <w:lang w:val="en-US" w:eastAsia="zh-CN"/>
            </w:rPr>
            <w:t>5</w:t>
          </w:r>
          <w:r>
            <w:rPr>
              <w:rFonts w:hint="eastAsia" w:ascii="仿宋" w:hAnsi="仿宋" w:eastAsia="仿宋" w:cs="仿宋"/>
              <w:kern w:val="2"/>
              <w:sz w:val="30"/>
              <w:szCs w:val="30"/>
            </w:rPr>
            <w:t xml:space="preserve"> </w:t>
          </w:r>
          <w:r>
            <w:rPr>
              <w:rFonts w:hint="eastAsia" w:ascii="仿宋" w:hAnsi="仿宋" w:eastAsia="仿宋" w:cs="仿宋"/>
              <w:sz w:val="30"/>
              <w:szCs w:val="30"/>
            </w:rPr>
            <w:t>厦门银行股份有限公司关于2022年度利润分配方案的议案</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25</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"_Toc24086_WPSOffice_Level1" </w:instrText>
      </w:r>
      <w:r>
        <w:fldChar w:fldCharType="separate"/>
      </w:r>
      <w:sdt>
        <w:sdtPr>
          <w:rPr>
            <w:rFonts w:hint="eastAsia" w:ascii="仿宋" w:hAnsi="仿宋" w:eastAsia="仿宋" w:cs="仿宋"/>
            <w:kern w:val="2"/>
            <w:sz w:val="30"/>
            <w:szCs w:val="30"/>
          </w:rPr>
          <w:id w:val="337052657"/>
          <w:placeholder>
            <w:docPart w:val="{5223d8cb-fe5e-442e-a733-c428eea4f83b}"/>
          </w:placeholder>
        </w:sdtPr>
        <w:sdtEndPr>
          <w:rPr>
            <w:rFonts w:hint="eastAsia" w:ascii="仿宋" w:hAnsi="仿宋" w:eastAsia="仿宋" w:cs="仿宋"/>
            <w:kern w:val="2"/>
            <w:sz w:val="30"/>
            <w:szCs w:val="30"/>
          </w:rPr>
        </w:sdtEndPr>
        <w:sdtContent>
          <w:r>
            <w:rPr>
              <w:rFonts w:hint="eastAsia" w:ascii="仿宋" w:hAnsi="仿宋" w:eastAsia="仿宋" w:cs="仿宋"/>
              <w:b/>
              <w:bCs/>
              <w:kern w:val="2"/>
              <w:sz w:val="30"/>
              <w:szCs w:val="30"/>
            </w:rPr>
            <w:t>议案</w:t>
          </w:r>
          <w:r>
            <w:rPr>
              <w:rFonts w:hint="eastAsia" w:ascii="仿宋" w:hAnsi="仿宋" w:eastAsia="仿宋" w:cs="仿宋"/>
              <w:b/>
              <w:bCs/>
              <w:kern w:val="2"/>
              <w:sz w:val="30"/>
              <w:szCs w:val="30"/>
              <w:lang w:val="en-US" w:eastAsia="zh-CN"/>
            </w:rPr>
            <w:t>6</w:t>
          </w:r>
          <w:r>
            <w:rPr>
              <w:rFonts w:hint="eastAsia" w:ascii="仿宋" w:hAnsi="仿宋" w:eastAsia="仿宋" w:cs="仿宋"/>
              <w:kern w:val="2"/>
              <w:sz w:val="30"/>
              <w:szCs w:val="30"/>
            </w:rPr>
            <w:t xml:space="preserve"> </w:t>
          </w:r>
          <w:r>
            <w:rPr>
              <w:rFonts w:hint="eastAsia" w:ascii="仿宋" w:hAnsi="仿宋" w:eastAsia="仿宋" w:cs="仿宋"/>
              <w:sz w:val="30"/>
              <w:szCs w:val="30"/>
            </w:rPr>
            <w:t>厦门银行股份有限公司关于2023年度财务预算方案的议案</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26</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"_Toc28231_WPSOffice_Level1" </w:instrText>
      </w:r>
      <w:r>
        <w:fldChar w:fldCharType="separate"/>
      </w:r>
      <w:sdt>
        <w:sdtPr>
          <w:rPr>
            <w:rFonts w:hint="eastAsia" w:ascii="仿宋" w:hAnsi="仿宋" w:eastAsia="仿宋" w:cs="仿宋"/>
            <w:b/>
            <w:bCs/>
            <w:kern w:val="2"/>
            <w:sz w:val="30"/>
            <w:szCs w:val="30"/>
          </w:rPr>
          <w:id w:val="1986892254"/>
          <w:placeholder>
            <w:docPart w:val="{65487b67-2785-4dd5-b42a-9cfb19a25ceb}"/>
          </w:placeholder>
        </w:sdtPr>
        <w:sdtEndPr>
          <w:rPr>
            <w:rFonts w:hint="eastAsia" w:ascii="仿宋" w:hAnsi="仿宋" w:eastAsia="仿宋" w:cs="仿宋"/>
            <w:b/>
            <w:bCs/>
            <w:kern w:val="2"/>
            <w:sz w:val="30"/>
            <w:szCs w:val="30"/>
          </w:rPr>
        </w:sdtEndPr>
        <w:sdtContent>
          <w:sdt>
            <w:sdtPr>
              <w:rPr>
                <w:rFonts w:hint="eastAsia" w:ascii="仿宋" w:hAnsi="仿宋" w:eastAsia="仿宋" w:cs="仿宋"/>
                <w:b/>
                <w:bCs/>
                <w:kern w:val="2"/>
                <w:sz w:val="30"/>
                <w:szCs w:val="30"/>
              </w:rPr>
              <w:id w:val="-1950309573"/>
              <w:placeholder>
                <w:docPart w:val="{594b564b-b7c3-4e20-a303-4ce95a95a6eb}"/>
              </w:placeholder>
            </w:sdtPr>
            <w:sdtEndPr>
              <w:rPr>
                <w:rFonts w:hint="eastAsia" w:ascii="仿宋" w:hAnsi="仿宋" w:eastAsia="仿宋" w:cs="仿宋"/>
                <w:b/>
                <w:bCs/>
                <w:kern w:val="2"/>
                <w:sz w:val="30"/>
                <w:szCs w:val="30"/>
              </w:rPr>
            </w:sdtEndPr>
            <w:sdtContent>
              <w:r>
                <w:rPr>
                  <w:rFonts w:hint="eastAsia" w:ascii="仿宋" w:hAnsi="仿宋" w:eastAsia="仿宋" w:cs="仿宋"/>
                  <w:b/>
                  <w:bCs/>
                  <w:kern w:val="2"/>
                  <w:sz w:val="30"/>
                  <w:szCs w:val="30"/>
                </w:rPr>
                <w:t>议案</w:t>
              </w:r>
              <w:r>
                <w:rPr>
                  <w:rFonts w:hint="eastAsia" w:ascii="仿宋" w:hAnsi="仿宋" w:eastAsia="仿宋" w:cs="仿宋"/>
                  <w:b/>
                  <w:bCs/>
                  <w:kern w:val="2"/>
                  <w:sz w:val="30"/>
                  <w:szCs w:val="30"/>
                  <w:lang w:val="en-US" w:eastAsia="zh-CN"/>
                </w:rPr>
                <w:t>7</w:t>
              </w:r>
              <w:r>
                <w:rPr>
                  <w:rFonts w:hint="eastAsia" w:ascii="仿宋" w:hAnsi="仿宋" w:eastAsia="仿宋" w:cs="仿宋"/>
                  <w:kern w:val="2"/>
                  <w:sz w:val="30"/>
                  <w:szCs w:val="30"/>
                </w:rPr>
                <w:t xml:space="preserve"> </w:t>
              </w:r>
              <w:r>
                <w:rPr>
                  <w:rFonts w:hint="eastAsia" w:ascii="仿宋" w:hAnsi="仿宋" w:eastAsia="仿宋" w:cs="仿宋"/>
                  <w:sz w:val="30"/>
                  <w:szCs w:val="30"/>
                </w:rPr>
                <w:t>厦门银行股份有限公司关于聘请2023年度会计师事务所的议案</w:t>
              </w:r>
            </w:sdtContent>
          </w:sdt>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28</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"_Toc28231_WPSOffice_Level1" </w:instrText>
      </w:r>
      <w:r>
        <w:fldChar w:fldCharType="separate"/>
      </w:r>
      <w:sdt>
        <w:sdtPr>
          <w:rPr>
            <w:rFonts w:hint="eastAsia" w:ascii="仿宋" w:hAnsi="仿宋" w:eastAsia="仿宋" w:cs="仿宋"/>
            <w:b/>
            <w:bCs/>
            <w:kern w:val="2"/>
            <w:sz w:val="30"/>
            <w:szCs w:val="30"/>
          </w:rPr>
          <w:id w:val="1986892254"/>
          <w:placeholder>
            <w:docPart w:val="{052ee845-d880-46d4-8a00-fa7b380cb6f3}"/>
          </w:placeholder>
        </w:sdtPr>
        <w:sdtEndPr>
          <w:rPr>
            <w:rFonts w:hint="eastAsia" w:ascii="仿宋" w:hAnsi="仿宋" w:eastAsia="仿宋" w:cs="仿宋"/>
            <w:b/>
            <w:bCs/>
            <w:kern w:val="2"/>
            <w:sz w:val="30"/>
            <w:szCs w:val="30"/>
          </w:rPr>
        </w:sdtEndPr>
        <w:sdtContent>
          <w:sdt>
            <w:sdtPr>
              <w:rPr>
                <w:rFonts w:hint="eastAsia" w:ascii="仿宋" w:hAnsi="仿宋" w:eastAsia="仿宋" w:cs="仿宋"/>
                <w:b/>
                <w:bCs/>
                <w:kern w:val="2"/>
                <w:sz w:val="30"/>
                <w:szCs w:val="30"/>
              </w:rPr>
              <w:id w:val="-1950309573"/>
              <w:placeholder>
                <w:docPart w:val="{15282cb0-2f5d-4289-9b37-81b55745a598}"/>
              </w:placeholder>
            </w:sdtPr>
            <w:sdtEndPr>
              <w:rPr>
                <w:rFonts w:hint="eastAsia" w:ascii="仿宋" w:hAnsi="仿宋" w:eastAsia="仿宋" w:cs="仿宋"/>
                <w:b/>
                <w:bCs/>
                <w:kern w:val="2"/>
                <w:sz w:val="30"/>
                <w:szCs w:val="30"/>
              </w:rPr>
            </w:sdtEndPr>
            <w:sdtContent>
              <w:r>
                <w:rPr>
                  <w:rFonts w:hint="eastAsia" w:ascii="仿宋" w:hAnsi="仿宋" w:eastAsia="仿宋" w:cs="仿宋"/>
                  <w:b/>
                  <w:bCs/>
                  <w:kern w:val="2"/>
                  <w:sz w:val="30"/>
                  <w:szCs w:val="30"/>
                </w:rPr>
                <w:t>议案</w:t>
              </w:r>
              <w:r>
                <w:rPr>
                  <w:rFonts w:hint="eastAsia" w:ascii="仿宋" w:hAnsi="仿宋" w:eastAsia="仿宋" w:cs="仿宋"/>
                  <w:b/>
                  <w:bCs/>
                  <w:kern w:val="2"/>
                  <w:sz w:val="30"/>
                  <w:szCs w:val="30"/>
                  <w:lang w:val="en-US" w:eastAsia="zh-CN"/>
                </w:rPr>
                <w:t>8</w:t>
              </w:r>
              <w:r>
                <w:rPr>
                  <w:rFonts w:hint="eastAsia" w:ascii="仿宋" w:hAnsi="仿宋" w:eastAsia="仿宋" w:cs="仿宋"/>
                  <w:kern w:val="2"/>
                  <w:sz w:val="30"/>
                  <w:szCs w:val="30"/>
                </w:rPr>
                <w:t xml:space="preserve"> </w:t>
              </w:r>
              <w:r>
                <w:rPr>
                  <w:rFonts w:hint="eastAsia" w:ascii="仿宋" w:hAnsi="仿宋" w:eastAsia="仿宋" w:cs="仿宋"/>
                  <w:sz w:val="30"/>
                  <w:szCs w:val="30"/>
                </w:rPr>
                <w:t>厦门银行股份有限公司关于2023年度日常关联交易预计额度的议案</w:t>
              </w:r>
            </w:sdtContent>
          </w:sdt>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31</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rPr>
          <w:rFonts w:hint="eastAsia" w:ascii="仿宋" w:hAnsi="仿宋" w:eastAsia="仿宋" w:cs="仿宋"/>
          <w:b/>
          <w:bCs/>
          <w:sz w:val="30"/>
          <w:szCs w:val="30"/>
          <w:lang w:val="en-US" w:eastAsia="zh-CN"/>
        </w:rPr>
        <w:t>报告1</w:t>
      </w:r>
      <w:r>
        <w:rPr>
          <w:rFonts w:hint="eastAsia" w:ascii="仿宋" w:hAnsi="仿宋" w:eastAsia="仿宋" w:cs="仿宋"/>
          <w:sz w:val="30"/>
          <w:szCs w:val="30"/>
          <w:lang w:val="en-US" w:eastAsia="zh-CN"/>
        </w:rPr>
        <w:t xml:space="preserve"> </w:t>
      </w:r>
      <w:r>
        <w:fldChar w:fldCharType="begin"/>
      </w:r>
      <w:r>
        <w:instrText xml:space="preserve"> HYPERLINK \l "_Toc22893_WPSOffice_Level1" </w:instrText>
      </w:r>
      <w:r>
        <w:fldChar w:fldCharType="separate"/>
      </w:r>
      <w:sdt>
        <w:sdtPr>
          <w:rPr>
            <w:rFonts w:hint="eastAsia" w:ascii="仿宋" w:hAnsi="仿宋" w:eastAsia="仿宋" w:cs="仿宋"/>
            <w:b/>
            <w:bCs/>
            <w:kern w:val="2"/>
            <w:sz w:val="30"/>
            <w:szCs w:val="30"/>
          </w:rPr>
          <w:id w:val="-2071637978"/>
          <w:placeholder>
            <w:docPart w:val="{0319545c-f25b-440c-abc7-d1de39efb957}"/>
          </w:placeholder>
        </w:sdtPr>
        <w:sdtEndPr>
          <w:rPr>
            <w:rFonts w:hint="eastAsia" w:ascii="仿宋" w:hAnsi="仿宋" w:eastAsia="仿宋" w:cs="仿宋"/>
            <w:b/>
            <w:bCs/>
            <w:kern w:val="2"/>
            <w:sz w:val="30"/>
            <w:szCs w:val="30"/>
          </w:rPr>
        </w:sdtEndPr>
        <w:sdtContent>
          <w:r>
            <w:rPr>
              <w:rFonts w:hint="eastAsia" w:ascii="仿宋" w:hAnsi="仿宋" w:eastAsia="仿宋" w:cs="仿宋"/>
              <w:b w:val="0"/>
              <w:bCs w:val="0"/>
              <w:kern w:val="2"/>
              <w:sz w:val="30"/>
              <w:szCs w:val="30"/>
            </w:rPr>
            <w:t>厦门银行股份有限公司202</w:t>
          </w:r>
          <w:r>
            <w:rPr>
              <w:rFonts w:hint="eastAsia" w:ascii="仿宋" w:hAnsi="仿宋" w:eastAsia="仿宋" w:cs="仿宋"/>
              <w:b w:val="0"/>
              <w:bCs w:val="0"/>
              <w:kern w:val="2"/>
              <w:sz w:val="30"/>
              <w:szCs w:val="30"/>
              <w:lang w:val="en-US" w:eastAsia="zh-CN"/>
            </w:rPr>
            <w:t>2</w:t>
          </w:r>
          <w:r>
            <w:rPr>
              <w:rFonts w:hint="eastAsia" w:ascii="仿宋" w:hAnsi="仿宋" w:eastAsia="仿宋" w:cs="仿宋"/>
              <w:b w:val="0"/>
              <w:bCs w:val="0"/>
              <w:kern w:val="2"/>
              <w:sz w:val="30"/>
              <w:szCs w:val="30"/>
            </w:rPr>
            <w:t>年度独立董事述职报告</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43</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"_Toc24086_WPSOffice_Level1" </w:instrText>
      </w:r>
      <w:r>
        <w:fldChar w:fldCharType="separate"/>
      </w:r>
      <w:sdt>
        <w:sdtPr>
          <w:rPr>
            <w:rFonts w:hint="eastAsia" w:ascii="仿宋" w:hAnsi="仿宋" w:eastAsia="仿宋" w:cs="仿宋"/>
            <w:kern w:val="2"/>
            <w:sz w:val="30"/>
            <w:szCs w:val="30"/>
          </w:rPr>
          <w:id w:val="337052657"/>
          <w:placeholder>
            <w:docPart w:val="{b40b983c-bc69-4dc6-8bc1-0320e0d6a942}"/>
          </w:placeholder>
        </w:sdtPr>
        <w:sdtEndPr>
          <w:rPr>
            <w:rFonts w:hint="eastAsia" w:ascii="仿宋" w:hAnsi="仿宋" w:eastAsia="仿宋" w:cs="仿宋"/>
            <w:kern w:val="2"/>
            <w:sz w:val="30"/>
            <w:szCs w:val="30"/>
          </w:rPr>
        </w:sdtEndPr>
        <w:sdtContent>
          <w:r>
            <w:rPr>
              <w:rFonts w:hint="eastAsia" w:ascii="仿宋" w:hAnsi="仿宋" w:eastAsia="仿宋" w:cs="仿宋"/>
              <w:b/>
              <w:bCs/>
              <w:sz w:val="30"/>
              <w:szCs w:val="30"/>
              <w:lang w:val="en-US" w:eastAsia="zh-CN"/>
            </w:rPr>
            <w:t xml:space="preserve">报告2 </w:t>
          </w:r>
          <w:r>
            <w:rPr>
              <w:rFonts w:hint="eastAsia" w:ascii="仿宋" w:hAnsi="仿宋" w:eastAsia="仿宋" w:cs="仿宋"/>
              <w:b w:val="0"/>
              <w:bCs w:val="0"/>
              <w:sz w:val="30"/>
              <w:szCs w:val="30"/>
              <w:lang w:val="en-US" w:eastAsia="zh-CN"/>
            </w:rPr>
            <w:t>厦门银行股份有限公司2022年度关联交易管理情况报告</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49</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"_Toc28231_WPSOffice_Level1" </w:instrText>
      </w:r>
      <w:r>
        <w:fldChar w:fldCharType="separate"/>
      </w:r>
      <w:sdt>
        <w:sdtPr>
          <w:rPr>
            <w:rFonts w:hint="eastAsia" w:ascii="仿宋" w:hAnsi="仿宋" w:eastAsia="仿宋" w:cs="仿宋"/>
            <w:b/>
            <w:bCs/>
            <w:kern w:val="2"/>
            <w:sz w:val="30"/>
            <w:szCs w:val="30"/>
          </w:rPr>
          <w:id w:val="1986892254"/>
          <w:placeholder>
            <w:docPart w:val="{633e0d42-bdc0-40f4-aa16-ee82b94f519c}"/>
          </w:placeholder>
        </w:sdtPr>
        <w:sdtEndPr>
          <w:rPr>
            <w:rFonts w:hint="eastAsia" w:ascii="仿宋" w:hAnsi="仿宋" w:eastAsia="仿宋" w:cs="仿宋"/>
            <w:b/>
            <w:bCs/>
            <w:kern w:val="2"/>
            <w:sz w:val="30"/>
            <w:szCs w:val="30"/>
          </w:rPr>
        </w:sdtEndPr>
        <w:sdtContent>
          <w:sdt>
            <w:sdtPr>
              <w:rPr>
                <w:rFonts w:hint="eastAsia" w:ascii="仿宋" w:hAnsi="仿宋" w:eastAsia="仿宋" w:cs="仿宋"/>
                <w:b/>
                <w:bCs/>
                <w:kern w:val="2"/>
                <w:sz w:val="30"/>
                <w:szCs w:val="30"/>
              </w:rPr>
              <w:id w:val="-1950309573"/>
              <w:placeholder>
                <w:docPart w:val="{60825baf-83cd-4bf3-974b-d8dad41587c1}"/>
              </w:placeholder>
            </w:sdtPr>
            <w:sdtEndPr>
              <w:rPr>
                <w:rFonts w:hint="eastAsia" w:ascii="仿宋" w:hAnsi="仿宋" w:eastAsia="仿宋" w:cs="仿宋"/>
                <w:b/>
                <w:bCs/>
                <w:kern w:val="2"/>
                <w:sz w:val="30"/>
                <w:szCs w:val="30"/>
              </w:rPr>
            </w:sdtEndPr>
            <w:sdtContent>
              <w:r>
                <w:rPr>
                  <w:rFonts w:hint="eastAsia" w:ascii="仿宋" w:hAnsi="仿宋" w:eastAsia="仿宋" w:cs="仿宋"/>
                  <w:b/>
                  <w:bCs/>
                  <w:sz w:val="30"/>
                  <w:szCs w:val="30"/>
                  <w:lang w:val="en-US" w:eastAsia="zh-CN"/>
                </w:rPr>
                <w:t xml:space="preserve">报告3 </w:t>
              </w:r>
              <w:r>
                <w:rPr>
                  <w:rFonts w:hint="eastAsia" w:ascii="仿宋" w:hAnsi="仿宋" w:eastAsia="仿宋" w:cs="仿宋"/>
                  <w:sz w:val="30"/>
                  <w:szCs w:val="30"/>
                </w:rPr>
                <w:t>厦门银行股份有限公司202</w:t>
              </w:r>
              <w:r>
                <w:rPr>
                  <w:rFonts w:hint="eastAsia" w:ascii="仿宋" w:hAnsi="仿宋" w:eastAsia="仿宋" w:cs="仿宋"/>
                  <w:sz w:val="30"/>
                  <w:szCs w:val="30"/>
                  <w:lang w:val="en-US" w:eastAsia="zh-CN"/>
                </w:rPr>
                <w:t>2</w:t>
              </w:r>
              <w:r>
                <w:rPr>
                  <w:rFonts w:hint="eastAsia" w:ascii="仿宋" w:hAnsi="仿宋" w:eastAsia="仿宋" w:cs="仿宋"/>
                  <w:sz w:val="30"/>
                  <w:szCs w:val="30"/>
                </w:rPr>
                <w:t>年度董事会及董事履职评价报告</w:t>
              </w:r>
            </w:sdtContent>
          </w:sdt>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55</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"_Toc25166_WPSOffice_Level1" </w:instrText>
      </w:r>
      <w:r>
        <w:fldChar w:fldCharType="separate"/>
      </w:r>
      <w:sdt>
        <w:sdtPr>
          <w:rPr>
            <w:rFonts w:hint="eastAsia" w:ascii="仿宋" w:hAnsi="仿宋" w:eastAsia="仿宋" w:cs="仿宋"/>
            <w:kern w:val="2"/>
            <w:sz w:val="30"/>
            <w:szCs w:val="30"/>
          </w:rPr>
          <w:id w:val="1314526572"/>
          <w:placeholder>
            <w:docPart w:val="{0305f2b6-8d98-486c-818e-c186a8eb0127}"/>
          </w:placeholder>
        </w:sdtPr>
        <w:sdtEndPr>
          <w:rPr>
            <w:rFonts w:hint="eastAsia" w:ascii="仿宋" w:hAnsi="仿宋" w:eastAsia="仿宋" w:cs="仿宋"/>
            <w:kern w:val="2"/>
            <w:sz w:val="30"/>
            <w:szCs w:val="30"/>
          </w:rPr>
        </w:sdtEndPr>
        <w:sdtContent>
          <w:r>
            <w:rPr>
              <w:rFonts w:hint="eastAsia" w:ascii="仿宋" w:hAnsi="仿宋" w:eastAsia="仿宋" w:cs="仿宋"/>
              <w:b/>
              <w:bCs/>
              <w:sz w:val="30"/>
              <w:szCs w:val="30"/>
              <w:lang w:val="en-US" w:eastAsia="zh-CN"/>
            </w:rPr>
            <w:t xml:space="preserve">报告4 </w:t>
          </w:r>
          <w:r>
            <w:rPr>
              <w:rFonts w:hint="eastAsia" w:ascii="仿宋" w:hAnsi="仿宋" w:eastAsia="仿宋" w:cs="仿宋"/>
              <w:sz w:val="30"/>
              <w:szCs w:val="30"/>
            </w:rPr>
            <w:t>厦门银行股份有限公司202</w:t>
          </w:r>
          <w:r>
            <w:rPr>
              <w:rFonts w:hint="eastAsia" w:ascii="仿宋" w:hAnsi="仿宋" w:eastAsia="仿宋" w:cs="仿宋"/>
              <w:sz w:val="30"/>
              <w:szCs w:val="30"/>
              <w:lang w:val="en-US" w:eastAsia="zh-CN"/>
            </w:rPr>
            <w:t>2</w:t>
          </w:r>
          <w:r>
            <w:rPr>
              <w:rFonts w:hint="eastAsia" w:ascii="仿宋" w:hAnsi="仿宋" w:eastAsia="仿宋" w:cs="仿宋"/>
              <w:sz w:val="30"/>
              <w:szCs w:val="30"/>
            </w:rPr>
            <w:t>年度高级管理层及其成员履职评价报告</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60</w:t>
      </w:r>
    </w:p>
    <w:p>
      <w:pPr>
        <w:pStyle w:val="27"/>
        <w:keepNext w:val="0"/>
        <w:keepLines w:val="0"/>
        <w:pageBreakBefore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fldChar w:fldCharType="begin"/>
      </w:r>
      <w:r>
        <w:instrText xml:space="preserve"> HYPERLINK \l "_Toc25166_WPSOffice_Level1" </w:instrText>
      </w:r>
      <w:r>
        <w:fldChar w:fldCharType="separate"/>
      </w:r>
      <w:sdt>
        <w:sdtPr>
          <w:rPr>
            <w:rFonts w:hint="eastAsia" w:ascii="仿宋" w:hAnsi="仿宋" w:eastAsia="仿宋" w:cs="仿宋"/>
            <w:kern w:val="2"/>
            <w:sz w:val="30"/>
            <w:szCs w:val="30"/>
          </w:rPr>
          <w:id w:val="1314526572"/>
          <w:placeholder>
            <w:docPart w:val="{7ff11da7-9d76-4bfe-b333-c3a492783161}"/>
          </w:placeholder>
        </w:sdtPr>
        <w:sdtEndPr>
          <w:rPr>
            <w:rFonts w:hint="eastAsia" w:ascii="仿宋" w:hAnsi="仿宋" w:eastAsia="仿宋" w:cs="仿宋"/>
            <w:kern w:val="2"/>
            <w:sz w:val="30"/>
            <w:szCs w:val="30"/>
          </w:rPr>
        </w:sdtEndPr>
        <w:sdtContent>
          <w:r>
            <w:rPr>
              <w:rFonts w:hint="eastAsia" w:ascii="仿宋" w:hAnsi="仿宋" w:eastAsia="仿宋" w:cs="仿宋"/>
              <w:b/>
              <w:bCs/>
              <w:sz w:val="30"/>
              <w:szCs w:val="30"/>
              <w:lang w:val="en-US" w:eastAsia="zh-CN"/>
            </w:rPr>
            <w:t xml:space="preserve">报告5 </w:t>
          </w:r>
          <w:r>
            <w:rPr>
              <w:rFonts w:hint="eastAsia" w:ascii="仿宋" w:hAnsi="仿宋" w:eastAsia="仿宋" w:cs="仿宋"/>
              <w:sz w:val="30"/>
              <w:szCs w:val="30"/>
            </w:rPr>
            <w:t>厦门银行股份有限公司202</w:t>
          </w:r>
          <w:r>
            <w:rPr>
              <w:rFonts w:hint="eastAsia" w:ascii="仿宋" w:hAnsi="仿宋" w:eastAsia="仿宋" w:cs="仿宋"/>
              <w:sz w:val="30"/>
              <w:szCs w:val="30"/>
              <w:lang w:val="en-US" w:eastAsia="zh-CN"/>
            </w:rPr>
            <w:t>2</w:t>
          </w:r>
          <w:r>
            <w:rPr>
              <w:rFonts w:hint="eastAsia" w:ascii="仿宋" w:hAnsi="仿宋" w:eastAsia="仿宋" w:cs="仿宋"/>
              <w:sz w:val="30"/>
              <w:szCs w:val="30"/>
            </w:rPr>
            <w:t>年度监事会及监事履职评价报告</w:t>
          </w:r>
        </w:sdtContent>
      </w:sdt>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64</w:t>
      </w:r>
      <w:bookmarkStart w:id="22" w:name="_GoBack"/>
      <w:bookmarkEnd w:id="22"/>
    </w:p>
    <w:p>
      <w:pPr>
        <w:keepNext w:val="0"/>
        <w:keepLines w:val="0"/>
        <w:pageBreakBefore w:val="0"/>
        <w:kinsoku/>
        <w:wordWrap/>
        <w:overflowPunct/>
        <w:topLinePunct w:val="0"/>
        <w:autoSpaceDE/>
        <w:autoSpaceDN/>
        <w:bidi w:val="0"/>
        <w:adjustRightInd/>
        <w:snapToGrid/>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仿宋" w:hAnsi="仿宋" w:eastAsia="仿宋" w:cs="仿宋"/>
          <w:b/>
          <w:bCs/>
          <w:sz w:val="30"/>
          <w:szCs w:val="30"/>
        </w:rPr>
      </w:pPr>
      <w:bookmarkStart w:id="1" w:name="_Toc12240_WPSOffice_Level1"/>
      <w:r>
        <w:rPr>
          <w:rFonts w:hint="eastAsia" w:ascii="仿宋" w:hAnsi="仿宋" w:eastAsia="仿宋" w:cs="仿宋"/>
          <w:b/>
          <w:bCs/>
          <w:sz w:val="30"/>
          <w:szCs w:val="30"/>
        </w:rPr>
        <w:t>会议议程</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30"/>
          <w:szCs w:val="30"/>
        </w:rPr>
      </w:pPr>
      <w:r>
        <w:rPr>
          <w:rFonts w:hint="eastAsia" w:ascii="仿宋" w:hAnsi="仿宋" w:eastAsia="仿宋" w:cs="仿宋"/>
          <w:sz w:val="30"/>
          <w:szCs w:val="30"/>
        </w:rPr>
        <w:t>会议时间：202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日下午14:</w:t>
      </w:r>
      <w:r>
        <w:rPr>
          <w:rFonts w:hint="eastAsia" w:ascii="仿宋" w:hAnsi="仿宋" w:eastAsia="仿宋" w:cs="仿宋"/>
          <w:sz w:val="30"/>
          <w:szCs w:val="30"/>
          <w:lang w:val="en-US" w:eastAsia="zh-CN"/>
        </w:rPr>
        <w:t>0</w:t>
      </w:r>
      <w:r>
        <w:rPr>
          <w:rFonts w:hint="eastAsia" w:ascii="仿宋" w:hAnsi="仿宋" w:eastAsia="仿宋" w:cs="仿宋"/>
          <w:sz w:val="30"/>
          <w:szCs w:val="30"/>
        </w:rPr>
        <w:t>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30"/>
          <w:szCs w:val="30"/>
        </w:rPr>
      </w:pPr>
      <w:r>
        <w:rPr>
          <w:rFonts w:hint="eastAsia" w:ascii="仿宋" w:hAnsi="仿宋" w:eastAsia="仿宋" w:cs="仿宋"/>
          <w:sz w:val="30"/>
          <w:szCs w:val="30"/>
        </w:rPr>
        <w:t>会议地点：厦门市湖滨北路101号商业银行大厦A603会议室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30"/>
          <w:szCs w:val="30"/>
        </w:rPr>
      </w:pPr>
      <w:r>
        <w:rPr>
          <w:rFonts w:hint="eastAsia" w:ascii="仿宋" w:hAnsi="仿宋" w:eastAsia="仿宋" w:cs="仿宋"/>
          <w:sz w:val="30"/>
          <w:szCs w:val="30"/>
        </w:rPr>
        <w:t>召开方式：现场会议+网络投票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30"/>
          <w:szCs w:val="30"/>
        </w:rPr>
      </w:pPr>
      <w:r>
        <w:rPr>
          <w:rFonts w:hint="eastAsia" w:ascii="仿宋" w:hAnsi="仿宋" w:eastAsia="仿宋" w:cs="仿宋"/>
          <w:sz w:val="30"/>
          <w:szCs w:val="30"/>
        </w:rPr>
        <w:t>召 集 人：厦门银行股份有限公司（以下简称“公司”或“本行”）董事会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30"/>
          <w:szCs w:val="30"/>
        </w:rPr>
      </w:pPr>
      <w:bookmarkStart w:id="2" w:name="_Toc18955_WPSOffice_Level1"/>
      <w:r>
        <w:rPr>
          <w:rFonts w:hint="eastAsia" w:ascii="仿宋" w:hAnsi="仿宋" w:eastAsia="仿宋" w:cs="仿宋"/>
          <w:b/>
          <w:bCs/>
          <w:sz w:val="30"/>
          <w:szCs w:val="30"/>
        </w:rPr>
        <w:t>议程内容</w:t>
      </w:r>
      <w:bookmarkEnd w:id="2"/>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3" w:name="_Toc3526_WPSOffice_Level1"/>
      <w:r>
        <w:rPr>
          <w:rFonts w:hint="eastAsia" w:ascii="仿宋" w:hAnsi="仿宋" w:eastAsia="仿宋" w:cs="仿宋"/>
          <w:sz w:val="30"/>
          <w:szCs w:val="30"/>
        </w:rPr>
        <w:t>宣布会议开始</w:t>
      </w:r>
      <w:bookmarkEnd w:id="3"/>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4" w:name="_Toc14836_WPSOffice_Level1"/>
      <w:r>
        <w:rPr>
          <w:rFonts w:hint="eastAsia" w:ascii="仿宋" w:hAnsi="仿宋" w:eastAsia="仿宋" w:cs="仿宋"/>
          <w:sz w:val="30"/>
          <w:szCs w:val="30"/>
        </w:rPr>
        <w:t>宣读股东大会会议须知</w:t>
      </w:r>
      <w:bookmarkEnd w:id="4"/>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5" w:name="_Toc22970_WPSOffice_Level1"/>
      <w:r>
        <w:rPr>
          <w:rFonts w:hint="eastAsia" w:ascii="仿宋" w:hAnsi="仿宋" w:eastAsia="仿宋" w:cs="仿宋"/>
          <w:sz w:val="30"/>
          <w:szCs w:val="30"/>
        </w:rPr>
        <w:t>审议各项议案</w:t>
      </w:r>
      <w:bookmarkEnd w:id="5"/>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6" w:name="_Toc11815_WPSOffice_Level1"/>
      <w:r>
        <w:rPr>
          <w:rFonts w:hint="eastAsia" w:ascii="仿宋" w:hAnsi="仿宋" w:eastAsia="仿宋" w:cs="仿宋"/>
          <w:sz w:val="30"/>
          <w:szCs w:val="30"/>
        </w:rPr>
        <w:t>提问交流</w:t>
      </w:r>
      <w:bookmarkEnd w:id="6"/>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7" w:name="_Toc29589_WPSOffice_Level1"/>
      <w:r>
        <w:rPr>
          <w:rFonts w:hint="eastAsia" w:ascii="仿宋" w:hAnsi="仿宋" w:eastAsia="仿宋" w:cs="仿宋"/>
          <w:sz w:val="30"/>
          <w:szCs w:val="30"/>
        </w:rPr>
        <w:t>宣布出席会议股东人数、代表股份数</w:t>
      </w:r>
      <w:bookmarkEnd w:id="7"/>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8" w:name="_Toc352_WPSOffice_Level1"/>
      <w:r>
        <w:rPr>
          <w:rFonts w:hint="eastAsia" w:ascii="仿宋" w:hAnsi="仿宋" w:eastAsia="仿宋" w:cs="仿宋"/>
          <w:sz w:val="30"/>
          <w:szCs w:val="30"/>
        </w:rPr>
        <w:t>推选计票人、监票人</w:t>
      </w:r>
      <w:bookmarkEnd w:id="8"/>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9" w:name="_Toc2865_WPSOffice_Level1"/>
      <w:r>
        <w:rPr>
          <w:rFonts w:hint="eastAsia" w:ascii="仿宋" w:hAnsi="仿宋" w:eastAsia="仿宋" w:cs="仿宋"/>
          <w:sz w:val="30"/>
          <w:szCs w:val="30"/>
        </w:rPr>
        <w:t>投票表决</w:t>
      </w:r>
      <w:bookmarkEnd w:id="9"/>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10" w:name="_Toc11222_WPSOffice_Level1"/>
      <w:r>
        <w:rPr>
          <w:rFonts w:hint="eastAsia" w:ascii="仿宋" w:hAnsi="仿宋" w:eastAsia="仿宋" w:cs="仿宋"/>
          <w:sz w:val="30"/>
          <w:szCs w:val="30"/>
        </w:rPr>
        <w:t>与会代表休息（工作人员统计投票结果）</w:t>
      </w:r>
      <w:bookmarkEnd w:id="1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11" w:name="_Toc18570_WPSOffice_Level1"/>
      <w:r>
        <w:rPr>
          <w:rFonts w:hint="eastAsia" w:ascii="仿宋" w:hAnsi="仿宋" w:eastAsia="仿宋" w:cs="仿宋"/>
          <w:sz w:val="30"/>
          <w:szCs w:val="30"/>
        </w:rPr>
        <w:t>宣布现场表决结果</w:t>
      </w:r>
      <w:bookmarkEnd w:id="11"/>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12" w:name="_Toc2997_WPSOffice_Level1"/>
      <w:r>
        <w:rPr>
          <w:rFonts w:hint="eastAsia" w:ascii="仿宋" w:hAnsi="仿宋" w:eastAsia="仿宋" w:cs="仿宋"/>
          <w:sz w:val="30"/>
          <w:szCs w:val="30"/>
        </w:rPr>
        <w:t>见证律师宣读法律意见书</w:t>
      </w:r>
      <w:bookmarkEnd w:id="12"/>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 w:hAnsi="仿宋" w:eastAsia="仿宋" w:cs="仿宋"/>
          <w:sz w:val="30"/>
          <w:szCs w:val="30"/>
        </w:rPr>
      </w:pPr>
      <w:bookmarkStart w:id="13" w:name="_Toc30420_WPSOffice_Level1"/>
      <w:r>
        <w:rPr>
          <w:rFonts w:hint="eastAsia" w:ascii="仿宋" w:hAnsi="仿宋" w:eastAsia="仿宋" w:cs="仿宋"/>
          <w:sz w:val="30"/>
          <w:szCs w:val="30"/>
        </w:rPr>
        <w:t>宣布会议结束</w:t>
      </w:r>
      <w:bookmarkEnd w:id="13"/>
    </w:p>
    <w:p>
      <w:pPr>
        <w:rPr>
          <w:rFonts w:ascii="仿宋" w:hAnsi="仿宋" w:eastAsia="仿宋" w:cs="仿宋"/>
          <w:sz w:val="30"/>
          <w:szCs w:val="30"/>
        </w:rPr>
      </w:pPr>
    </w:p>
    <w:p>
      <w:pPr>
        <w:rPr>
          <w:rFonts w:ascii="仿宋" w:hAnsi="仿宋" w:eastAsia="仿宋" w:cs="仿宋"/>
          <w:b/>
          <w:bCs/>
          <w:sz w:val="30"/>
          <w:szCs w:val="30"/>
        </w:rPr>
      </w:pPr>
      <w:bookmarkStart w:id="14" w:name="_Toc22087_WPSOffice_Level1"/>
      <w:r>
        <w:rPr>
          <w:rFonts w:hint="eastAsia" w:ascii="仿宋" w:hAnsi="仿宋" w:eastAsia="仿宋" w:cs="仿宋"/>
          <w:b/>
          <w:bCs/>
          <w:sz w:val="30"/>
          <w:szCs w:val="30"/>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仿宋" w:hAnsi="仿宋" w:eastAsia="仿宋" w:cs="仿宋"/>
          <w:b/>
          <w:bCs/>
          <w:sz w:val="30"/>
          <w:szCs w:val="30"/>
        </w:rPr>
      </w:pPr>
      <w:r>
        <w:rPr>
          <w:rFonts w:hint="eastAsia" w:ascii="仿宋" w:hAnsi="仿宋" w:eastAsia="仿宋" w:cs="仿宋"/>
          <w:b/>
          <w:bCs/>
          <w:sz w:val="30"/>
          <w:szCs w:val="30"/>
        </w:rPr>
        <w:t>会议须知</w:t>
      </w:r>
      <w:bookmarkEnd w:id="14"/>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为维护全体股东的合法权益，确保股东大会会议秩序和议事效率，根据《中华人民共和国公司法》（以下简称“《公司法》”、《中华人民共和国证券法》（以下简称“《证券法》”）、《上市公司股东大会规则》《厦门银行股份有限公司章程》（以下简称“《公司章程》”或“本行章程”）和《厦门银行股份有限公司股东大会议事规则》等相关规定，特制定本须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一、公司根据《公司法》《证券法》《上市公司股东大会规则》和《公司章程》的规定，认真做好召开股东大会的各项工作。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二、董事会以维护股东的合法权益、确保大会正常秩序和议事效率为原则，认真履行《公司章程》中规定的职责。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三、股东及股东代理人参与股东大会依法享有发言权、质询权、表决权等权利。根据《公司章程》规定，股权登记日（202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12</w:t>
      </w:r>
      <w:r>
        <w:rPr>
          <w:rFonts w:hint="eastAsia" w:ascii="仿宋" w:hAnsi="仿宋" w:eastAsia="仿宋" w:cs="仿宋"/>
          <w:sz w:val="30"/>
          <w:szCs w:val="30"/>
        </w:rPr>
        <w:t>日）质押公司股份数量达到或超过其持有公司股份的50%的股东，</w:t>
      </w:r>
      <w:r>
        <w:rPr>
          <w:rFonts w:hint="eastAsia" w:ascii="仿宋" w:hAnsi="仿宋" w:eastAsia="仿宋" w:cs="仿宋"/>
          <w:sz w:val="30"/>
          <w:szCs w:val="30"/>
          <w:lang w:val="en-US" w:eastAsia="zh-CN"/>
        </w:rPr>
        <w:t>以及持有公司1%以上股份的股东在公司的授信逾期时，其</w:t>
      </w:r>
      <w:r>
        <w:rPr>
          <w:rFonts w:hint="eastAsia" w:ascii="仿宋" w:hAnsi="仿宋" w:eastAsia="仿宋" w:cs="仿宋"/>
          <w:sz w:val="30"/>
          <w:szCs w:val="30"/>
        </w:rPr>
        <w:t>投票表决权将被限制。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四、股东参加股东大会，应认真履行其法定权利和义务，尊重和维护其他股东的合法权益。会议开始后应将手机铃声置于震动或静音状态，保障大会的正常秩序。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五、在会议主持人宣布现场出席会议的股东和代理人数及其所持有表决权的股份总数之前，会议现场登记终止。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六、股东要求在股东大会上发言的，应先经会议主持人许可。股东发言时应首先说明自己的股东身份（或所代表的股东单位）、持股数量等情况。股东发言或提问应与本次股东大会议题相关，每次发言原则上不超过2分钟。公司董事和高级管理人员应当认真负责、有针对性地集中回答股东的问题。全部提问及回答的时间控制在20分钟以内。</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七、本次股东大会采取现场投票和网络投票相结合的方式。现场投票方法：每项议案逐项表决，请股东在表决票上逐项填写表决意见，未填、错填、字迹无法辨认的，视为“弃权”；网络投票方法：股东可以在网络投票规定的时间内通过上海证券交易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以下简称“上交所”</w:t>
      </w:r>
      <w:r>
        <w:rPr>
          <w:rFonts w:hint="eastAsia" w:ascii="仿宋" w:hAnsi="仿宋" w:eastAsia="仿宋" w:cs="仿宋"/>
          <w:sz w:val="30"/>
          <w:szCs w:val="30"/>
          <w:lang w:eastAsia="zh-CN"/>
        </w:rPr>
        <w:t>）</w:t>
      </w:r>
      <w:r>
        <w:rPr>
          <w:rFonts w:hint="eastAsia" w:ascii="仿宋" w:hAnsi="仿宋" w:eastAsia="仿宋" w:cs="仿宋"/>
          <w:sz w:val="30"/>
          <w:szCs w:val="30"/>
        </w:rPr>
        <w:t>交易系统行使表决权。同一表决权只能通过现场或网络投票方式中的一种方式行使，如出现重复投票，以第一次投票结果为准。具体投票方法按照公司于202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28</w:t>
      </w:r>
      <w:r>
        <w:rPr>
          <w:rFonts w:hint="eastAsia" w:ascii="仿宋" w:hAnsi="仿宋" w:eastAsia="仿宋" w:cs="仿宋"/>
          <w:sz w:val="30"/>
          <w:szCs w:val="30"/>
        </w:rPr>
        <w:t>日在</w:t>
      </w:r>
      <w:r>
        <w:rPr>
          <w:rFonts w:hint="eastAsia" w:ascii="仿宋" w:hAnsi="仿宋" w:eastAsia="仿宋" w:cs="仿宋"/>
          <w:sz w:val="30"/>
          <w:szCs w:val="30"/>
          <w:lang w:val="en-US" w:eastAsia="zh-CN"/>
        </w:rPr>
        <w:t>上交所</w:t>
      </w:r>
      <w:r>
        <w:rPr>
          <w:rFonts w:hint="eastAsia" w:ascii="仿宋" w:hAnsi="仿宋" w:eastAsia="仿宋" w:cs="仿宋"/>
          <w:sz w:val="30"/>
          <w:szCs w:val="30"/>
        </w:rPr>
        <w:t>网站（www.sse.com.cn）、《中国证券报》《上海证券报》《证券时报》《证券日报》上刊登的《厦门银行股份有限公司关于召开</w:t>
      </w:r>
      <w:r>
        <w:rPr>
          <w:rFonts w:hint="eastAsia" w:ascii="仿宋" w:hAnsi="仿宋" w:eastAsia="仿宋" w:cs="仿宋"/>
          <w:sz w:val="30"/>
          <w:szCs w:val="30"/>
          <w:lang w:eastAsia="zh-CN"/>
        </w:rPr>
        <w:t>2022年度股东大会</w:t>
      </w:r>
      <w:r>
        <w:rPr>
          <w:rFonts w:hint="eastAsia" w:ascii="仿宋" w:hAnsi="仿宋" w:eastAsia="仿宋" w:cs="仿宋"/>
          <w:sz w:val="30"/>
          <w:szCs w:val="30"/>
        </w:rPr>
        <w:t>的通知》的说明进行。现场投票结果将与网络投票结果合计形成最终表决结果，并予以公告。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八、本次股东大会议案中</w:t>
      </w:r>
      <w:r>
        <w:rPr>
          <w:rFonts w:hint="eastAsia" w:ascii="仿宋" w:hAnsi="仿宋" w:eastAsia="仿宋" w:cs="仿宋"/>
          <w:sz w:val="30"/>
          <w:szCs w:val="30"/>
          <w:lang w:val="en-US" w:eastAsia="zh-CN"/>
        </w:rPr>
        <w:t>全部议案均</w:t>
      </w:r>
      <w:r>
        <w:rPr>
          <w:rFonts w:hint="eastAsia" w:ascii="仿宋" w:hAnsi="仿宋" w:eastAsia="仿宋" w:cs="仿宋"/>
          <w:sz w:val="30"/>
          <w:szCs w:val="30"/>
        </w:rPr>
        <w:t>为</w:t>
      </w:r>
      <w:r>
        <w:rPr>
          <w:rFonts w:hint="eastAsia" w:ascii="仿宋" w:hAnsi="仿宋" w:eastAsia="仿宋" w:cs="仿宋"/>
          <w:sz w:val="30"/>
          <w:szCs w:val="30"/>
          <w:lang w:val="en-US" w:eastAsia="zh-CN"/>
        </w:rPr>
        <w:t>普通</w:t>
      </w:r>
      <w:r>
        <w:rPr>
          <w:rFonts w:hint="eastAsia" w:ascii="仿宋" w:hAnsi="仿宋" w:eastAsia="仿宋" w:cs="仿宋"/>
          <w:sz w:val="30"/>
          <w:szCs w:val="30"/>
        </w:rPr>
        <w:t>决议事项，由参加现场会议和网络投票的有表决权的股东所持表决权的</w:t>
      </w:r>
      <w:r>
        <w:rPr>
          <w:rFonts w:hint="eastAsia" w:ascii="仿宋" w:hAnsi="仿宋" w:eastAsia="仿宋" w:cs="仿宋"/>
          <w:sz w:val="30"/>
          <w:szCs w:val="30"/>
          <w:lang w:val="en-US" w:eastAsia="zh-CN"/>
        </w:rPr>
        <w:t>过半数</w:t>
      </w:r>
      <w:r>
        <w:rPr>
          <w:rFonts w:hint="eastAsia" w:ascii="仿宋" w:hAnsi="仿宋" w:eastAsia="仿宋" w:cs="仿宋"/>
          <w:sz w:val="30"/>
          <w:szCs w:val="30"/>
        </w:rPr>
        <w:t>通过。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九、公司董事会聘请福建天衡联合律师事务所执业律师见证本次股东大会，并出具法律意见。</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rPr>
        <w:t>十、公司不向参加股东大会的股东发放礼品，不负责安排参加股东大会股东的住宿和接送等事项。</w:t>
      </w:r>
      <w:r>
        <w:rPr>
          <w:rFonts w:hint="eastAsia" w:ascii="仿宋" w:hAnsi="仿宋" w:eastAsia="仿宋" w:cs="仿宋"/>
          <w:sz w:val="30"/>
          <w:szCs w:val="30"/>
        </w:rPr>
        <w:br w:type="page"/>
      </w:r>
    </w:p>
    <w:p>
      <w:pPr>
        <w:ind w:firstLine="602" w:firstLineChars="200"/>
        <w:rPr>
          <w:rFonts w:ascii="宋体" w:hAnsi="宋体"/>
          <w:b/>
          <w:sz w:val="30"/>
          <w:szCs w:val="30"/>
        </w:rPr>
      </w:pPr>
      <w:r>
        <w:rPr>
          <w:rFonts w:ascii="宋体" w:hAnsi="宋体"/>
          <w:b/>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380615" cy="693420"/>
                <wp:effectExtent l="4445" t="5080" r="15240" b="6350"/>
                <wp:wrapNone/>
                <wp:docPr id="1" name="文本框 4"/>
                <wp:cNvGraphicFramePr/>
                <a:graphic xmlns:a="http://schemas.openxmlformats.org/drawingml/2006/main">
                  <a:graphicData uri="http://schemas.microsoft.com/office/word/2010/wordprocessingShape">
                    <wps:wsp>
                      <wps:cNvSpPr txBox="1"/>
                      <wps:spPr>
                        <a:xfrm>
                          <a:off x="0" y="0"/>
                          <a:ext cx="238061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hint="eastAsia"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pStyle w:val="24"/>
                              <w:jc w:val="center"/>
                              <w:rPr>
                                <w:rFonts w:hint="default" w:eastAsia="宋体"/>
                                <w:lang w:val="en-US" w:eastAsia="zh-CN"/>
                              </w:rPr>
                            </w:pPr>
                            <w:r>
                              <w:rPr>
                                <w:rFonts w:hint="eastAsia" w:ascii="宋体" w:hAnsi="宋体" w:eastAsia="宋体" w:cs="宋体"/>
                                <w:lang w:val="en-US" w:eastAsia="zh-CN"/>
                              </w:rPr>
                              <w:t>议案1</w:t>
                            </w:r>
                          </w:p>
                        </w:txbxContent>
                      </wps:txbx>
                      <wps:bodyPr upright="1"/>
                    </wps:wsp>
                  </a:graphicData>
                </a:graphic>
              </wp:anchor>
            </w:drawing>
          </mc:Choice>
          <mc:Fallback>
            <w:pict>
              <v:shape id="文本框 4" o:spid="_x0000_s1026" o:spt="202" type="#_x0000_t202" style="position:absolute;left:0pt;margin-left:0pt;margin-top:0pt;height:54.6pt;width:187.45pt;z-index:251659264;mso-width-relative:page;mso-height-relative:page;" fillcolor="#FFFFFF" filled="t" stroked="t" coordsize="21600,21600" o:gfxdata="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XqgA1QAAAAUBAAAPAAAAAAAAAAEAIAAAACIA&#10;AABkcnMvZG93bnJldi54bWxQSwECFAAUAAAACACHTuJA5xRdVwwCAAA2BAAADgAAAAAAAAABACAA&#10;AAAkAQAAZHJzL2Uyb0RvYy54bWxQSwUGAAAAAAYABgBZAQAAogU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hint="eastAsia"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pStyle w:val="24"/>
                        <w:jc w:val="center"/>
                        <w:rPr>
                          <w:rFonts w:hint="default" w:eastAsia="宋体"/>
                          <w:lang w:val="en-US" w:eastAsia="zh-CN"/>
                        </w:rPr>
                      </w:pPr>
                      <w:r>
                        <w:rPr>
                          <w:rFonts w:hint="eastAsia" w:ascii="宋体" w:hAnsi="宋体" w:eastAsia="宋体" w:cs="宋体"/>
                          <w:lang w:val="en-US" w:eastAsia="zh-CN"/>
                        </w:rPr>
                        <w:t>议案1</w:t>
                      </w:r>
                    </w:p>
                  </w:txbxContent>
                </v:textbox>
              </v:shape>
            </w:pict>
          </mc:Fallback>
        </mc:AlternateContent>
      </w:r>
    </w:p>
    <w:p>
      <w:pPr>
        <w:pStyle w:val="9"/>
        <w:spacing w:line="520" w:lineRule="exact"/>
        <w:rPr>
          <w:b/>
          <w:sz w:val="24"/>
        </w:rPr>
      </w:pPr>
    </w:p>
    <w:p>
      <w:pPr>
        <w:pStyle w:val="9"/>
        <w:snapToGrid w:val="0"/>
        <w:spacing w:line="360" w:lineRule="auto"/>
        <w:jc w:val="center"/>
        <w:rPr>
          <w:b/>
          <w:sz w:val="28"/>
          <w:szCs w:val="28"/>
        </w:rPr>
      </w:pPr>
    </w:p>
    <w:p>
      <w:pPr>
        <w:widowControl/>
        <w:spacing w:line="360" w:lineRule="auto"/>
        <w:jc w:val="center"/>
        <w:rPr>
          <w:rFonts w:ascii="宋体" w:hAnsi="宋体"/>
          <w:b/>
          <w:bCs/>
          <w:color w:val="000000"/>
          <w:sz w:val="30"/>
          <w:szCs w:val="30"/>
        </w:rPr>
      </w:pPr>
      <w:r>
        <w:rPr>
          <w:rFonts w:hint="eastAsia" w:ascii="宋体" w:hAnsi="宋体"/>
          <w:b/>
          <w:bCs/>
          <w:color w:val="000000"/>
          <w:sz w:val="30"/>
          <w:szCs w:val="30"/>
          <w:lang w:val="en-US" w:eastAsia="zh-CN"/>
        </w:rPr>
        <w:t>厦门银行股份有限公司关于2022年度董事会工作报告的议案</w:t>
      </w:r>
    </w:p>
    <w:p>
      <w:pPr>
        <w:widowControl/>
        <w:spacing w:line="360" w:lineRule="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kern w:val="0"/>
          <w:sz w:val="24"/>
        </w:rPr>
        <w:t>尊敬的各位</w:t>
      </w:r>
      <w:r>
        <w:rPr>
          <w:rFonts w:hint="eastAsia" w:ascii="宋体" w:hAnsi="宋体" w:eastAsia="宋体" w:cs="宋体"/>
          <w:kern w:val="0"/>
          <w:sz w:val="24"/>
          <w:lang w:val="en-US" w:eastAsia="zh-CN"/>
        </w:rPr>
        <w:t>股东</w:t>
      </w:r>
      <w:r>
        <w:rPr>
          <w:rFonts w:hint="eastAsia" w:ascii="宋体" w:hAnsi="宋体" w:eastAsia="宋体" w:cs="宋体"/>
          <w:kern w:val="0"/>
          <w:sz w:val="24"/>
        </w:rPr>
        <w:t>：</w:t>
      </w:r>
    </w:p>
    <w:p>
      <w:pPr>
        <w:keepNext w:val="0"/>
        <w:keepLines w:val="0"/>
        <w:pageBreakBefore w:val="0"/>
        <w:widowControl w:val="0"/>
        <w:kinsoku/>
        <w:wordWrap/>
        <w:overflowPunct/>
        <w:topLinePunct w:val="0"/>
        <w:bidi w:val="0"/>
        <w:snapToGrid w:val="0"/>
        <w:spacing w:line="360" w:lineRule="auto"/>
        <w:ind w:left="0" w:firstLine="480" w:firstLineChars="200"/>
        <w:jc w:val="left"/>
        <w:textAlignment w:val="auto"/>
        <w:rPr>
          <w:rFonts w:hint="eastAsia" w:ascii="宋体" w:hAnsi="宋体"/>
          <w:sz w:val="24"/>
          <w:highlight w:val="none"/>
        </w:rPr>
      </w:pPr>
      <w:r>
        <w:rPr>
          <w:rFonts w:hint="eastAsia" w:asciiTheme="minorEastAsia" w:hAnsiTheme="minorEastAsia" w:eastAsiaTheme="minorEastAsia"/>
          <w:sz w:val="24"/>
          <w:szCs w:val="22"/>
          <w:lang w:val="en-US" w:eastAsia="zh-CN"/>
        </w:rPr>
        <w:t>2022年度，在国际局势动荡加剧和</w:t>
      </w:r>
      <w:r>
        <w:rPr>
          <w:rFonts w:hint="eastAsia" w:asciiTheme="minorEastAsia" w:hAnsiTheme="minorEastAsia" w:eastAsiaTheme="minorEastAsia"/>
          <w:sz w:val="24"/>
        </w:rPr>
        <w:t>国内经济下行压力显现</w:t>
      </w:r>
      <w:r>
        <w:rPr>
          <w:rFonts w:hint="eastAsia" w:asciiTheme="minorEastAsia" w:hAnsiTheme="minorEastAsia" w:eastAsiaTheme="minorEastAsia"/>
          <w:sz w:val="24"/>
          <w:lang w:val="en-US" w:eastAsia="zh-CN"/>
        </w:rPr>
        <w:t>的背景下</w:t>
      </w:r>
      <w:r>
        <w:rPr>
          <w:rFonts w:hint="eastAsia" w:asciiTheme="minorEastAsia" w:hAnsiTheme="minorEastAsia" w:eastAsiaTheme="minorEastAsia"/>
          <w:sz w:val="24"/>
          <w:lang w:eastAsia="zh-CN"/>
        </w:rPr>
        <w:t>，</w:t>
      </w:r>
      <w:r>
        <w:rPr>
          <w:rFonts w:hint="eastAsia" w:asciiTheme="minorEastAsia" w:hAnsiTheme="minorEastAsia" w:eastAsiaTheme="minorEastAsia"/>
          <w:sz w:val="24"/>
          <w:szCs w:val="22"/>
          <w:highlight w:val="none"/>
          <w:lang w:val="en-US" w:eastAsia="zh-CN"/>
        </w:rPr>
        <w:t>公司董事会</w:t>
      </w:r>
      <w:r>
        <w:rPr>
          <w:rFonts w:hint="eastAsia" w:asciiTheme="minorEastAsia" w:hAnsiTheme="minorEastAsia" w:eastAsiaTheme="minorEastAsia"/>
          <w:sz w:val="24"/>
          <w:szCs w:val="22"/>
          <w:lang w:val="en-US" w:eastAsia="zh-CN"/>
        </w:rPr>
        <w:t>认真贯彻落实党中央、国务院决策部署</w:t>
      </w:r>
      <w:r>
        <w:rPr>
          <w:rFonts w:hint="eastAsia" w:asciiTheme="minorEastAsia" w:hAnsiTheme="minorEastAsia" w:eastAsiaTheme="minorEastAsia"/>
          <w:sz w:val="24"/>
          <w:szCs w:val="22"/>
          <w:highlight w:val="none"/>
          <w:lang w:val="en-US" w:eastAsia="zh-CN"/>
        </w:rPr>
        <w:t>，坚持以习近平新时代中国特色社会主义思想为指导，深入贯彻党的十九大和十九届历次全会精神，认真学习宣传党的二十大精神，根据相关法律法规及</w:t>
      </w:r>
      <w:r>
        <w:rPr>
          <w:rFonts w:hint="eastAsia" w:ascii="宋体" w:hAnsi="宋体" w:eastAsia="宋体" w:cs="宋体"/>
          <w:i w:val="0"/>
          <w:caps w:val="0"/>
          <w:spacing w:val="0"/>
          <w:sz w:val="24"/>
          <w:szCs w:val="24"/>
          <w:highlight w:val="none"/>
          <w:shd w:val="clear" w:color="auto" w:fill="FFFFFF"/>
        </w:rPr>
        <w:t>《</w:t>
      </w:r>
      <w:r>
        <w:rPr>
          <w:rFonts w:hint="eastAsia" w:ascii="宋体" w:hAnsi="宋体" w:cs="宋体"/>
          <w:i w:val="0"/>
          <w:caps w:val="0"/>
          <w:spacing w:val="0"/>
          <w:sz w:val="24"/>
          <w:szCs w:val="24"/>
          <w:highlight w:val="none"/>
          <w:shd w:val="clear" w:color="auto" w:fill="FFFFFF"/>
          <w:lang w:eastAsia="zh-CN"/>
        </w:rPr>
        <w:t>厦门银行股份有限</w:t>
      </w:r>
      <w:r>
        <w:rPr>
          <w:rFonts w:hint="eastAsia" w:ascii="宋体" w:hAnsi="宋体" w:eastAsia="宋体" w:cs="宋体"/>
          <w:i w:val="0"/>
          <w:caps w:val="0"/>
          <w:spacing w:val="0"/>
          <w:sz w:val="24"/>
          <w:szCs w:val="24"/>
          <w:highlight w:val="none"/>
          <w:shd w:val="clear" w:color="auto" w:fill="FFFFFF"/>
        </w:rPr>
        <w:t>公司章程》</w:t>
      </w:r>
      <w:r>
        <w:rPr>
          <w:rFonts w:hint="eastAsia" w:ascii="宋体" w:hAnsi="宋体" w:eastAsia="宋体" w:cs="宋体"/>
          <w:i w:val="0"/>
          <w:caps w:val="0"/>
          <w:spacing w:val="0"/>
          <w:sz w:val="24"/>
          <w:szCs w:val="24"/>
          <w:shd w:val="clear" w:color="auto" w:fill="FFFFFF"/>
        </w:rPr>
        <w:t>（以下简称</w:t>
      </w:r>
      <w:r>
        <w:rPr>
          <w:rFonts w:hint="eastAsia" w:ascii="宋体" w:hAnsi="宋体" w:cs="宋体"/>
          <w:i w:val="0"/>
          <w:caps w:val="0"/>
          <w:spacing w:val="0"/>
          <w:sz w:val="24"/>
          <w:szCs w:val="24"/>
          <w:shd w:val="clear" w:color="auto" w:fill="FFFFFF"/>
          <w:lang w:eastAsia="zh-CN"/>
        </w:rPr>
        <w:t>“</w:t>
      </w:r>
      <w:r>
        <w:rPr>
          <w:rFonts w:hint="eastAsia" w:asciiTheme="minorEastAsia" w:hAnsiTheme="minorEastAsia" w:eastAsiaTheme="minorEastAsia"/>
          <w:sz w:val="24"/>
        </w:rPr>
        <w:t>《公司章程》</w:t>
      </w:r>
      <w:r>
        <w:rPr>
          <w:rFonts w:hint="eastAsia" w:ascii="宋体" w:hAnsi="宋体" w:cs="宋体"/>
          <w:i w:val="0"/>
          <w:caps w:val="0"/>
          <w:spacing w:val="0"/>
          <w:sz w:val="24"/>
          <w:szCs w:val="24"/>
          <w:shd w:val="clear" w:color="auto" w:fill="FFFFFF"/>
          <w:lang w:eastAsia="zh-CN"/>
        </w:rPr>
        <w:t>”</w:t>
      </w:r>
      <w:r>
        <w:rPr>
          <w:rFonts w:hint="eastAsia" w:ascii="宋体" w:hAnsi="宋体" w:eastAsia="宋体" w:cs="宋体"/>
          <w:i w:val="0"/>
          <w:caps w:val="0"/>
          <w:spacing w:val="0"/>
          <w:sz w:val="24"/>
          <w:szCs w:val="24"/>
          <w:shd w:val="clear" w:color="auto" w:fill="FFFFFF"/>
        </w:rPr>
        <w:t>）</w:t>
      </w:r>
      <w:r>
        <w:rPr>
          <w:rFonts w:hint="eastAsia" w:asciiTheme="minorEastAsia" w:hAnsiTheme="minorEastAsia" w:eastAsiaTheme="minorEastAsia"/>
          <w:sz w:val="24"/>
          <w:szCs w:val="22"/>
          <w:highlight w:val="none"/>
          <w:lang w:val="en-US" w:eastAsia="zh-CN"/>
        </w:rPr>
        <w:t>的规定和要求，</w:t>
      </w:r>
      <w:r>
        <w:rPr>
          <w:rFonts w:hint="eastAsia" w:ascii="宋体" w:hAnsi="宋体"/>
          <w:sz w:val="24"/>
          <w:highlight w:val="none"/>
        </w:rPr>
        <w:t>在</w:t>
      </w:r>
      <w:r>
        <w:rPr>
          <w:rFonts w:hint="eastAsia" w:ascii="宋体" w:hAnsi="宋体"/>
          <w:sz w:val="24"/>
          <w:highlight w:val="none"/>
          <w:lang w:val="en-US" w:eastAsia="zh-CN"/>
        </w:rPr>
        <w:t>各级监管部门及主管单位的</w:t>
      </w:r>
      <w:r>
        <w:rPr>
          <w:rFonts w:hint="eastAsia" w:ascii="宋体" w:hAnsi="宋体"/>
          <w:sz w:val="24"/>
          <w:highlight w:val="none"/>
        </w:rPr>
        <w:t>监督、指导下，在股东大会</w:t>
      </w:r>
      <w:r>
        <w:rPr>
          <w:rFonts w:hint="eastAsia" w:ascii="宋体" w:hAnsi="宋体"/>
          <w:sz w:val="24"/>
        </w:rPr>
        <w:t>和总行党委的正确领导下</w:t>
      </w:r>
      <w:r>
        <w:rPr>
          <w:rFonts w:hint="eastAsia" w:ascii="宋体" w:hAnsi="宋体"/>
          <w:sz w:val="24"/>
          <w:highlight w:val="none"/>
        </w:rPr>
        <w:t>，</w:t>
      </w:r>
      <w:r>
        <w:rPr>
          <w:rFonts w:hint="eastAsia" w:ascii="宋体" w:hAnsi="宋体"/>
          <w:sz w:val="24"/>
          <w:highlight w:val="none"/>
          <w:lang w:val="en-US" w:eastAsia="zh-CN"/>
        </w:rPr>
        <w:t>围绕</w:t>
      </w:r>
      <w:r>
        <w:rPr>
          <w:rFonts w:hint="eastAsia" w:ascii="宋体" w:hAnsi="宋体"/>
          <w:sz w:val="24"/>
          <w:highlight w:val="none"/>
        </w:rPr>
        <w:t>“稳字当头、稳中求进”工作总基调</w:t>
      </w:r>
      <w:r>
        <w:rPr>
          <w:rFonts w:hint="eastAsia" w:ascii="宋体" w:hAnsi="宋体"/>
          <w:sz w:val="24"/>
          <w:highlight w:val="none"/>
          <w:lang w:eastAsia="zh-CN"/>
        </w:rPr>
        <w:t>，</w:t>
      </w:r>
      <w:r>
        <w:rPr>
          <w:rFonts w:hint="eastAsia" w:ascii="宋体" w:hAnsi="宋体"/>
          <w:sz w:val="24"/>
          <w:highlight w:val="none"/>
        </w:rPr>
        <w:t>审慎经营，稳健发展，较好地完成了年度经营目标</w:t>
      </w:r>
      <w:r>
        <w:rPr>
          <w:rFonts w:hint="eastAsia" w:asciiTheme="minorEastAsia" w:hAnsiTheme="minorEastAsia" w:eastAsiaTheme="minorEastAsia"/>
          <w:sz w:val="24"/>
        </w:rPr>
        <w:t>。</w:t>
      </w:r>
      <w:r>
        <w:rPr>
          <w:rFonts w:hint="eastAsia" w:asciiTheme="minorEastAsia" w:hAnsiTheme="minorEastAsia" w:eastAsiaTheme="minorEastAsia"/>
          <w:sz w:val="24"/>
          <w:highlight w:val="none"/>
        </w:rPr>
        <w:t>现将董事会</w:t>
      </w:r>
      <w:r>
        <w:rPr>
          <w:rFonts w:asciiTheme="minorEastAsia" w:hAnsiTheme="minorEastAsia" w:eastAsiaTheme="minorEastAsia"/>
          <w:sz w:val="24"/>
          <w:highlight w:val="none"/>
        </w:rPr>
        <w:t>20</w:t>
      </w: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年度主要工作</w:t>
      </w:r>
      <w:r>
        <w:rPr>
          <w:rFonts w:hint="eastAsia" w:asciiTheme="minorEastAsia" w:hAnsiTheme="minorEastAsia" w:eastAsiaTheme="minorEastAsia"/>
          <w:sz w:val="24"/>
          <w:highlight w:val="none"/>
          <w:lang w:val="en-US" w:eastAsia="zh-CN"/>
        </w:rPr>
        <w:t>情况报告</w:t>
      </w:r>
      <w:r>
        <w:rPr>
          <w:rFonts w:hint="eastAsia" w:asciiTheme="minorEastAsia" w:hAnsiTheme="minorEastAsia" w:eastAsiaTheme="minorEastAsia"/>
          <w:sz w:val="24"/>
          <w:highlight w:val="none"/>
        </w:rPr>
        <w:t>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eastAsia" w:cs="仿宋_GB2312" w:asciiTheme="minorEastAsia" w:hAnsiTheme="minorEastAsia" w:eastAsiaTheme="minorEastAsia"/>
          <w:kern w:val="0"/>
          <w:sz w:val="24"/>
          <w:lang w:eastAsia="zh-CN"/>
        </w:rPr>
      </w:pPr>
      <w:r>
        <w:rPr>
          <w:rFonts w:hint="eastAsia" w:cs="Arial Unicode MS" w:asciiTheme="minorEastAsia" w:hAnsiTheme="minorEastAsia" w:eastAsiaTheme="minorEastAsia"/>
          <w:b/>
          <w:kern w:val="0"/>
          <w:sz w:val="24"/>
          <w:lang w:val="en-US" w:eastAsia="zh-CN"/>
        </w:rPr>
        <w:t>一、2022年主要工作完成情况</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0" w:firstLine="482" w:firstLineChars="200"/>
        <w:jc w:val="left"/>
        <w:textAlignment w:val="auto"/>
        <w:rPr>
          <w:rFonts w:hint="eastAsia" w:cs="Arial Unicode MS" w:asciiTheme="minorEastAsia" w:hAnsiTheme="minorEastAsia" w:eastAsiaTheme="minorEastAsia"/>
          <w:b/>
          <w:kern w:val="0"/>
          <w:sz w:val="24"/>
          <w:lang w:val="en-US" w:eastAsia="zh-CN"/>
        </w:rPr>
      </w:pPr>
      <w:r>
        <w:rPr>
          <w:rFonts w:hint="eastAsia" w:cs="Arial Unicode MS" w:asciiTheme="minorEastAsia" w:hAnsiTheme="minorEastAsia" w:eastAsiaTheme="minorEastAsia"/>
          <w:b/>
          <w:kern w:val="0"/>
          <w:sz w:val="24"/>
        </w:rPr>
        <w:t>勤勉尽职，强化科学决策能力</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报告期内，公司董事会积极维护公司股东、存款人、其他债权人以及公司的利益，</w:t>
      </w:r>
      <w:r>
        <w:rPr>
          <w:rFonts w:asciiTheme="minorEastAsia" w:hAnsiTheme="minorEastAsia" w:eastAsiaTheme="minorEastAsia"/>
          <w:sz w:val="24"/>
        </w:rPr>
        <w:t>严格遵守有关法律、法规和</w:t>
      </w:r>
      <w:r>
        <w:rPr>
          <w:rFonts w:hint="eastAsia" w:asciiTheme="minorEastAsia" w:hAnsiTheme="minorEastAsia" w:eastAsiaTheme="minorEastAsia"/>
          <w:sz w:val="24"/>
        </w:rPr>
        <w:t>《公司章程》</w:t>
      </w:r>
      <w:r>
        <w:rPr>
          <w:rFonts w:asciiTheme="minorEastAsia" w:hAnsiTheme="minorEastAsia" w:eastAsiaTheme="minorEastAsia"/>
          <w:sz w:val="24"/>
        </w:rPr>
        <w:t>的规定，依法履行董事</w:t>
      </w:r>
      <w:r>
        <w:rPr>
          <w:rFonts w:hint="eastAsia" w:asciiTheme="minorEastAsia" w:hAnsiTheme="minorEastAsia" w:eastAsiaTheme="minorEastAsia"/>
          <w:sz w:val="24"/>
        </w:rPr>
        <w:t>会</w:t>
      </w:r>
      <w:r>
        <w:rPr>
          <w:rFonts w:asciiTheme="minorEastAsia" w:hAnsiTheme="minorEastAsia" w:eastAsiaTheme="minorEastAsia"/>
          <w:sz w:val="24"/>
        </w:rPr>
        <w:t>职责</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b/>
          <w:bCs/>
          <w:sz w:val="24"/>
          <w:lang w:val="en-US" w:eastAsia="zh-CN"/>
        </w:rPr>
        <w:t>一是</w:t>
      </w:r>
      <w:r>
        <w:rPr>
          <w:rFonts w:hint="eastAsia" w:asciiTheme="minorEastAsia" w:hAnsiTheme="minorEastAsia" w:eastAsiaTheme="minorEastAsia"/>
          <w:b/>
          <w:bCs/>
          <w:sz w:val="24"/>
        </w:rPr>
        <w:t>股东大会召开情况</w:t>
      </w:r>
      <w:r>
        <w:rPr>
          <w:rFonts w:hint="eastAsia" w:asciiTheme="minorEastAsia" w:hAnsiTheme="minorEastAsia" w:eastAsiaTheme="minorEastAsia"/>
          <w:b/>
          <w:bCs/>
          <w:sz w:val="24"/>
          <w:lang w:eastAsia="zh-CN"/>
        </w:rPr>
        <w:t>。</w:t>
      </w:r>
      <w:r>
        <w:rPr>
          <w:rFonts w:hint="eastAsia" w:asciiTheme="minorEastAsia" w:hAnsiTheme="minorEastAsia" w:eastAsiaTheme="minorEastAsia"/>
          <w:sz w:val="24"/>
        </w:rPr>
        <w:t>董事会召集召开股东大会</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次，共审议</w:t>
      </w: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项议案，</w:t>
      </w:r>
      <w:r>
        <w:rPr>
          <w:rFonts w:hint="eastAsia" w:asciiTheme="minorEastAsia" w:hAnsiTheme="minorEastAsia" w:eastAsiaTheme="minorEastAsia"/>
          <w:sz w:val="24"/>
          <w:lang w:val="en-US" w:eastAsia="zh-CN"/>
        </w:rPr>
        <w:t>听取5项报告，涉及年度财务决算报告、利润分配方案、董事会年度工作报告、监事会年度工作报告、日常关联交易预计额度制定、年度关联交易管理情况、发行A股可转换公司债券、选举公司第八届董事会董事等多个方面内容</w:t>
      </w:r>
      <w:r>
        <w:rPr>
          <w:rFonts w:hint="eastAsia" w:asciiTheme="minorEastAsia" w:hAnsiTheme="minorEastAsia" w:eastAsiaTheme="minorEastAsia"/>
          <w:sz w:val="24"/>
          <w:lang w:val="zh-CN"/>
        </w:rPr>
        <w:t>，</w:t>
      </w:r>
      <w:r>
        <w:rPr>
          <w:rFonts w:hint="eastAsia" w:asciiTheme="minorEastAsia" w:hAnsiTheme="minorEastAsia" w:eastAsiaTheme="minorEastAsia"/>
          <w:sz w:val="24"/>
        </w:rPr>
        <w:t>并督促经营层认真执行股东大会的各项决议。</w:t>
      </w:r>
    </w:p>
    <w:p>
      <w:pPr>
        <w:keepNext w:val="0"/>
        <w:keepLines w:val="0"/>
        <w:pageBreakBefore w:val="0"/>
        <w:widowControl w:val="0"/>
        <w:kinsoku/>
        <w:wordWrap/>
        <w:overflowPunct/>
        <w:topLinePunct w:val="0"/>
        <w:bidi w:val="0"/>
        <w:snapToGrid w:val="0"/>
        <w:spacing w:line="360" w:lineRule="auto"/>
        <w:ind w:left="0" w:firstLine="480"/>
        <w:textAlignment w:val="auto"/>
        <w:rPr>
          <w:rFonts w:asciiTheme="minorEastAsia" w:hAnsiTheme="minorEastAsia" w:eastAsiaTheme="minorEastAsia"/>
          <w:sz w:val="24"/>
        </w:rPr>
      </w:pPr>
      <w:r>
        <w:rPr>
          <w:rFonts w:hint="eastAsia" w:asciiTheme="minorEastAsia" w:hAnsiTheme="minorEastAsia" w:eastAsiaTheme="minorEastAsia"/>
          <w:b/>
          <w:bCs/>
          <w:sz w:val="24"/>
          <w:lang w:val="en-US" w:eastAsia="zh-CN"/>
        </w:rPr>
        <w:t>二是</w:t>
      </w:r>
      <w:r>
        <w:rPr>
          <w:rFonts w:asciiTheme="minorEastAsia" w:hAnsiTheme="minorEastAsia" w:eastAsiaTheme="minorEastAsia"/>
          <w:b/>
          <w:bCs/>
          <w:sz w:val="24"/>
        </w:rPr>
        <w:t>董事会召开情况</w:t>
      </w:r>
      <w:r>
        <w:rPr>
          <w:rFonts w:hint="eastAsia" w:asciiTheme="minorEastAsia" w:hAnsiTheme="minorEastAsia" w:eastAsiaTheme="minorEastAsia"/>
          <w:b/>
          <w:bCs/>
          <w:sz w:val="24"/>
          <w:lang w:eastAsia="zh-CN"/>
        </w:rPr>
        <w:t>。</w:t>
      </w:r>
      <w:r>
        <w:rPr>
          <w:rFonts w:hint="eastAsia" w:asciiTheme="minorEastAsia" w:hAnsiTheme="minorEastAsia" w:eastAsiaTheme="minorEastAsia"/>
          <w:sz w:val="24"/>
        </w:rPr>
        <w:t>召开董事会共</w:t>
      </w:r>
      <w:r>
        <w:rPr>
          <w:rFonts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次，其中</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次现场会议，</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次通讯会议，共审议</w:t>
      </w:r>
      <w:r>
        <w:rPr>
          <w:rFonts w:hint="eastAsia" w:asciiTheme="minorEastAsia" w:hAnsiTheme="minorEastAsia" w:eastAsiaTheme="minorEastAsia"/>
          <w:sz w:val="24"/>
          <w:lang w:val="en-US" w:eastAsia="zh-CN"/>
        </w:rPr>
        <w:t>92</w:t>
      </w:r>
      <w:r>
        <w:rPr>
          <w:rFonts w:hint="eastAsia" w:asciiTheme="minorEastAsia" w:hAnsiTheme="minorEastAsia" w:eastAsiaTheme="minorEastAsia"/>
          <w:sz w:val="24"/>
        </w:rPr>
        <w:t>项议案，听取</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项报告，对</w:t>
      </w:r>
      <w:r>
        <w:rPr>
          <w:rFonts w:hint="eastAsia" w:asciiTheme="minorEastAsia" w:hAnsiTheme="minorEastAsia" w:eastAsiaTheme="minorEastAsia"/>
          <w:sz w:val="24"/>
          <w:lang w:val="zh-CN" w:eastAsia="zh-CN"/>
        </w:rPr>
        <w:t>经营情况、风险控制、内控报告、战略执行情况、会计师事务所选聘、董事</w:t>
      </w:r>
      <w:r>
        <w:rPr>
          <w:rFonts w:hint="eastAsia" w:asciiTheme="minorEastAsia" w:hAnsiTheme="minorEastAsia" w:eastAsiaTheme="minorEastAsia"/>
          <w:sz w:val="24"/>
          <w:lang w:val="en-US" w:eastAsia="zh-CN"/>
        </w:rPr>
        <w:t>长</w:t>
      </w:r>
      <w:r>
        <w:rPr>
          <w:rFonts w:hint="eastAsia" w:asciiTheme="minorEastAsia" w:hAnsiTheme="minorEastAsia" w:eastAsiaTheme="minorEastAsia"/>
          <w:sz w:val="24"/>
          <w:lang w:val="zh-CN" w:eastAsia="zh-CN"/>
        </w:rPr>
        <w:t>选举、</w:t>
      </w:r>
      <w:r>
        <w:rPr>
          <w:rFonts w:hint="eastAsia" w:asciiTheme="minorEastAsia" w:hAnsiTheme="minorEastAsia" w:eastAsiaTheme="minorEastAsia"/>
          <w:sz w:val="24"/>
          <w:lang w:val="en-US" w:eastAsia="zh-CN"/>
        </w:rPr>
        <w:t>制定董事会授权书、不良资产转让</w:t>
      </w:r>
      <w:r>
        <w:rPr>
          <w:rFonts w:hint="eastAsia" w:asciiTheme="minorEastAsia" w:hAnsiTheme="minorEastAsia" w:eastAsiaTheme="minorEastAsia"/>
          <w:sz w:val="24"/>
        </w:rPr>
        <w:t>等多个方面进行有效深入的讨论，充分体现了董事会核心决策作用。</w:t>
      </w:r>
    </w:p>
    <w:p>
      <w:pPr>
        <w:keepNext w:val="0"/>
        <w:keepLines w:val="0"/>
        <w:pageBreakBefore w:val="0"/>
        <w:widowControl w:val="0"/>
        <w:kinsoku/>
        <w:wordWrap/>
        <w:overflowPunct/>
        <w:topLinePunct w:val="0"/>
        <w:bidi w:val="0"/>
        <w:snapToGrid w:val="0"/>
        <w:spacing w:line="360" w:lineRule="auto"/>
        <w:ind w:left="0" w:firstLine="482"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sz w:val="24"/>
          <w:lang w:val="en-US" w:eastAsia="zh-CN"/>
        </w:rPr>
        <w:t>三是</w:t>
      </w:r>
      <w:r>
        <w:rPr>
          <w:rFonts w:asciiTheme="minorEastAsia" w:hAnsiTheme="minorEastAsia" w:eastAsiaTheme="minorEastAsia"/>
          <w:b/>
          <w:bCs/>
          <w:sz w:val="24"/>
        </w:rPr>
        <w:t>董事会下设各委员会召开情况</w:t>
      </w:r>
      <w:r>
        <w:rPr>
          <w:rFonts w:hint="eastAsia" w:asciiTheme="minorEastAsia" w:hAnsiTheme="minorEastAsia" w:eastAsiaTheme="minorEastAsia"/>
          <w:b/>
          <w:bCs/>
          <w:sz w:val="24"/>
          <w:lang w:eastAsia="zh-CN"/>
        </w:rPr>
        <w:t>。</w:t>
      </w:r>
      <w:r>
        <w:rPr>
          <w:rFonts w:hint="eastAsia" w:asciiTheme="minorEastAsia" w:hAnsiTheme="minorEastAsia" w:eastAsiaTheme="minorEastAsia"/>
          <w:sz w:val="24"/>
        </w:rPr>
        <w:t>董事会下设的战略委员会、提名委员会、薪酬委员会、审计与消费者权益保护委员会、风险控制与关联交易管理委员会，根据委员会职责分工和自身专业特长积极履行职责、建言献策，辅助董事会良好履职。</w:t>
      </w:r>
      <w:r>
        <w:rPr>
          <w:rFonts w:asciiTheme="minorEastAsia" w:hAnsiTheme="minorEastAsia" w:eastAsiaTheme="minorEastAsia"/>
          <w:sz w:val="24"/>
        </w:rPr>
        <w:t>20</w:t>
      </w:r>
      <w:r>
        <w:rPr>
          <w:rFonts w:hint="eastAsia" w:asciiTheme="minorEastAsia" w:hAnsiTheme="minorEastAsia" w:eastAsiaTheme="minorEastAsia"/>
          <w:sz w:val="24"/>
          <w:lang w:val="en-US" w:eastAsia="zh-CN"/>
        </w:rPr>
        <w:t>22</w:t>
      </w:r>
      <w:r>
        <w:rPr>
          <w:rFonts w:asciiTheme="minorEastAsia" w:hAnsiTheme="minorEastAsia" w:eastAsiaTheme="minorEastAsia"/>
          <w:sz w:val="24"/>
        </w:rPr>
        <w:t>年度，</w:t>
      </w:r>
      <w:r>
        <w:rPr>
          <w:rFonts w:hint="eastAsia" w:asciiTheme="minorEastAsia" w:hAnsiTheme="minorEastAsia" w:eastAsiaTheme="minorEastAsia"/>
          <w:sz w:val="24"/>
        </w:rPr>
        <w:t>董</w:t>
      </w:r>
      <w:r>
        <w:rPr>
          <w:rFonts w:asciiTheme="minorEastAsia" w:hAnsiTheme="minorEastAsia" w:eastAsiaTheme="minorEastAsia"/>
          <w:sz w:val="24"/>
        </w:rPr>
        <w:t>事会战略委员会召开会议</w:t>
      </w:r>
      <w:r>
        <w:rPr>
          <w:rFonts w:hint="eastAsia" w:asciiTheme="minorEastAsia" w:hAnsiTheme="minorEastAsia" w:eastAsiaTheme="minorEastAsia"/>
          <w:sz w:val="24"/>
        </w:rPr>
        <w:t>共</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次，</w:t>
      </w:r>
      <w:r>
        <w:rPr>
          <w:rFonts w:hint="eastAsia" w:asciiTheme="minorEastAsia" w:hAnsiTheme="minorEastAsia" w:eastAsiaTheme="minorEastAsia"/>
          <w:sz w:val="24"/>
        </w:rPr>
        <w:t>董事会</w:t>
      </w:r>
      <w:r>
        <w:rPr>
          <w:rFonts w:asciiTheme="minorEastAsia" w:hAnsiTheme="minorEastAsia" w:eastAsiaTheme="minorEastAsia"/>
          <w:sz w:val="24"/>
        </w:rPr>
        <w:t>提名委员会</w:t>
      </w:r>
      <w:r>
        <w:rPr>
          <w:rFonts w:hint="eastAsia" w:asciiTheme="minorEastAsia" w:hAnsiTheme="minorEastAsia" w:eastAsiaTheme="minorEastAsia"/>
          <w:sz w:val="24"/>
        </w:rPr>
        <w:t>召开会议共</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次</w:t>
      </w:r>
      <w:r>
        <w:rPr>
          <w:rFonts w:asciiTheme="minorEastAsia" w:hAnsiTheme="minorEastAsia" w:eastAsiaTheme="minorEastAsia"/>
          <w:sz w:val="24"/>
        </w:rPr>
        <w:t>，董事会薪酬委员会召开会议</w:t>
      </w:r>
      <w:r>
        <w:rPr>
          <w:rFonts w:hint="eastAsia" w:asciiTheme="minorEastAsia" w:hAnsiTheme="minorEastAsia" w:eastAsiaTheme="minorEastAsia"/>
          <w:sz w:val="24"/>
        </w:rPr>
        <w:t>共</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次，董事会</w:t>
      </w:r>
      <w:r>
        <w:rPr>
          <w:rFonts w:hint="eastAsia" w:asciiTheme="minorEastAsia" w:hAnsiTheme="minorEastAsia" w:eastAsiaTheme="minorEastAsia"/>
          <w:sz w:val="24"/>
        </w:rPr>
        <w:t>审计与消费者权益保护委员会召开会议共</w:t>
      </w:r>
      <w:r>
        <w:rPr>
          <w:rFonts w:hint="eastAsia" w:asciiTheme="minorEastAsia" w:hAnsiTheme="minorEastAsia" w:eastAsiaTheme="minorEastAsia"/>
          <w:sz w:val="24"/>
          <w:lang w:val="en-US" w:eastAsia="zh-CN"/>
        </w:rPr>
        <w:t>7</w:t>
      </w:r>
      <w:r>
        <w:rPr>
          <w:rFonts w:asciiTheme="minorEastAsia" w:hAnsiTheme="minorEastAsia" w:eastAsiaTheme="minorEastAsia"/>
          <w:sz w:val="24"/>
        </w:rPr>
        <w:t>次，董事会风险控制与关联交易管理委员会召开会议共</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次</w:t>
      </w:r>
      <w:r>
        <w:rPr>
          <w:rFonts w:hint="eastAsia" w:asciiTheme="minorEastAsia" w:hAnsiTheme="minorEastAsia" w:eastAsiaTheme="minorEastAsia"/>
          <w:sz w:val="24"/>
          <w:lang w:eastAsia="zh-CN"/>
        </w:rPr>
        <w:t>，审议听取各类议案报告</w:t>
      </w:r>
      <w:r>
        <w:rPr>
          <w:rFonts w:hint="eastAsia" w:asciiTheme="minorEastAsia" w:hAnsiTheme="minorEastAsia" w:eastAsiaTheme="minorEastAsia"/>
          <w:sz w:val="24"/>
          <w:lang w:val="en-US" w:eastAsia="zh-CN"/>
        </w:rPr>
        <w:t>共计</w:t>
      </w:r>
      <w:r>
        <w:rPr>
          <w:rFonts w:hint="eastAsia" w:asciiTheme="minorEastAsia" w:hAnsiTheme="minorEastAsia" w:eastAsiaTheme="minorEastAsia"/>
          <w:sz w:val="24"/>
          <w:lang w:eastAsia="zh-CN"/>
        </w:rPr>
        <w:t>61项。</w:t>
      </w:r>
      <w:r>
        <w:rPr>
          <w:rFonts w:hint="eastAsia" w:asciiTheme="minorEastAsia" w:hAnsiTheme="minorEastAsia" w:eastAsiaTheme="minorEastAsia"/>
          <w:sz w:val="24"/>
          <w:lang w:val="en-US" w:eastAsia="zh-CN"/>
        </w:rPr>
        <w:t>各委员会</w:t>
      </w:r>
      <w:r>
        <w:rPr>
          <w:rFonts w:hint="eastAsia" w:ascii="宋体" w:hAnsi="宋体" w:cs="宋体"/>
          <w:color w:val="000000" w:themeColor="text1"/>
          <w:sz w:val="24"/>
          <w:szCs w:val="24"/>
          <w:highlight w:val="none"/>
          <w:lang w:val="en-US" w:eastAsia="zh-CN"/>
          <w14:textFill>
            <w14:solidFill>
              <w14:schemeClr w14:val="tx1"/>
            </w14:solidFill>
          </w14:textFill>
        </w:rPr>
        <w:t>发挥自己的专长</w:t>
      </w:r>
      <w:r>
        <w:rPr>
          <w:rFonts w:hint="eastAsia" w:asciiTheme="minorEastAsia" w:hAnsiTheme="minorEastAsia" w:eastAsiaTheme="minorEastAsia"/>
          <w:sz w:val="24"/>
        </w:rPr>
        <w:t>为董事会决策</w:t>
      </w:r>
      <w:r>
        <w:rPr>
          <w:rFonts w:hint="eastAsia" w:ascii="宋体" w:hAnsi="宋体" w:cs="宋体"/>
          <w:color w:val="000000" w:themeColor="text1"/>
          <w:sz w:val="24"/>
          <w:szCs w:val="24"/>
          <w:highlight w:val="none"/>
          <w:lang w:val="en-US" w:eastAsia="zh-CN"/>
          <w14:textFill>
            <w14:solidFill>
              <w14:schemeClr w14:val="tx1"/>
            </w14:solidFill>
          </w14:textFill>
        </w:rPr>
        <w:t>提供专业意见和建议，</w:t>
      </w:r>
      <w:r>
        <w:rPr>
          <w:rFonts w:hint="eastAsia" w:ascii="宋体" w:hAnsi="宋体" w:eastAsia="宋体" w:cs="Times New Roman"/>
          <w:kern w:val="2"/>
          <w:sz w:val="24"/>
          <w:szCs w:val="22"/>
          <w:lang w:val="en-US" w:eastAsia="zh-CN" w:bidi="ar-SA"/>
        </w:rPr>
        <w:t>协助董事会开展相关工作</w:t>
      </w:r>
      <w:r>
        <w:rPr>
          <w:rFonts w:hint="eastAsia" w:ascii="宋体" w:hAnsi="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lang w:val="en-US" w:eastAsia="zh-CN"/>
        </w:rPr>
        <w:t>四是</w:t>
      </w:r>
      <w:r>
        <w:rPr>
          <w:rFonts w:asciiTheme="minorEastAsia" w:hAnsiTheme="minorEastAsia" w:eastAsiaTheme="minorEastAsia"/>
          <w:b/>
          <w:bCs/>
          <w:sz w:val="24"/>
        </w:rPr>
        <w:t>独立董事履职情况</w:t>
      </w:r>
      <w:r>
        <w:rPr>
          <w:rFonts w:hint="eastAsia" w:asciiTheme="minorEastAsia" w:hAnsiTheme="minorEastAsia" w:eastAsiaTheme="minorEastAsia"/>
          <w:b/>
          <w:bCs/>
          <w:sz w:val="24"/>
          <w:lang w:eastAsia="zh-CN"/>
        </w:rPr>
        <w:t>。</w:t>
      </w:r>
      <w:r>
        <w:rPr>
          <w:rFonts w:hint="eastAsia" w:ascii="宋体" w:hAnsi="宋体" w:cs="宋体"/>
          <w:b w:val="0"/>
          <w:bCs w:val="0"/>
          <w:i w:val="0"/>
          <w:caps w:val="0"/>
          <w:spacing w:val="0"/>
          <w:sz w:val="24"/>
          <w:szCs w:val="24"/>
          <w:shd w:val="clear" w:color="auto" w:fill="FFFFFF"/>
          <w:lang w:val="en-US" w:eastAsia="zh-CN"/>
        </w:rPr>
        <w:t>独立董事均能严格按照法律法规的相关规定，遵守</w:t>
      </w:r>
      <w:r>
        <w:rPr>
          <w:rFonts w:hint="eastAsia" w:asciiTheme="minorEastAsia" w:hAnsiTheme="minorEastAsia" w:eastAsiaTheme="minorEastAsia"/>
          <w:sz w:val="24"/>
        </w:rPr>
        <w:t>《公司章程》</w:t>
      </w:r>
      <w:r>
        <w:rPr>
          <w:rFonts w:hint="eastAsia" w:ascii="宋体" w:hAnsi="宋体" w:cs="宋体"/>
          <w:b w:val="0"/>
          <w:bCs w:val="0"/>
          <w:i w:val="0"/>
          <w:caps w:val="0"/>
          <w:spacing w:val="0"/>
          <w:sz w:val="24"/>
          <w:szCs w:val="24"/>
          <w:shd w:val="clear" w:color="auto" w:fill="FFFFFF"/>
          <w:lang w:val="en-US" w:eastAsia="zh-CN"/>
        </w:rPr>
        <w:t>，尽职尽责履行相应义务。独立董事会前认真审阅各项议案，按时出席会议，确保自己的意见能够在董事会上得到体现；关心公司战略部署执行情况，深入研究重大问题，提出有针对性的意见和建议，并</w:t>
      </w:r>
      <w:r>
        <w:rPr>
          <w:rFonts w:asciiTheme="minorEastAsia" w:hAnsiTheme="minorEastAsia" w:eastAsiaTheme="minorEastAsia"/>
          <w:sz w:val="24"/>
        </w:rPr>
        <w:t>对</w:t>
      </w:r>
      <w:r>
        <w:rPr>
          <w:rFonts w:hint="eastAsia" w:asciiTheme="minorEastAsia" w:hAnsiTheme="minorEastAsia" w:eastAsiaTheme="minorEastAsia"/>
          <w:sz w:val="24"/>
        </w:rPr>
        <w:t>会计师事务所选聘、关联交易管理、发行A股可转换公司债券等相关重大事项</w:t>
      </w:r>
      <w:r>
        <w:rPr>
          <w:rFonts w:asciiTheme="minorEastAsia" w:hAnsiTheme="minorEastAsia" w:eastAsiaTheme="minorEastAsia"/>
          <w:sz w:val="24"/>
        </w:rPr>
        <w:t>发表独立意见</w:t>
      </w:r>
      <w:r>
        <w:rPr>
          <w:rFonts w:hint="eastAsia" w:asciiTheme="minorEastAsia" w:hAnsiTheme="minorEastAsia" w:eastAsiaTheme="minorEastAsia"/>
          <w:sz w:val="24"/>
          <w:lang w:eastAsia="zh-CN"/>
        </w:rPr>
        <w:t>，</w:t>
      </w:r>
      <w:r>
        <w:rPr>
          <w:rFonts w:hint="eastAsia" w:ascii="宋体" w:hAnsi="宋体" w:cs="宋体"/>
          <w:b w:val="0"/>
          <w:bCs w:val="0"/>
          <w:i w:val="0"/>
          <w:caps w:val="0"/>
          <w:spacing w:val="0"/>
          <w:sz w:val="24"/>
          <w:szCs w:val="24"/>
          <w:shd w:val="clear" w:color="auto" w:fill="FFFFFF"/>
          <w:lang w:val="en-US" w:eastAsia="zh-CN"/>
        </w:rPr>
        <w:t>为公司的科学决策起到了积极的作用。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cs="Arial Unicode MS" w:asciiTheme="minorEastAsia" w:hAnsiTheme="minorEastAsia" w:eastAsiaTheme="minorEastAsia"/>
          <w:b/>
          <w:kern w:val="0"/>
          <w:sz w:val="24"/>
          <w:lang w:val="en-US" w:eastAsia="zh-CN"/>
        </w:rPr>
      </w:pPr>
      <w:r>
        <w:rPr>
          <w:rFonts w:hint="eastAsia" w:asciiTheme="minorEastAsia" w:hAnsiTheme="minorEastAsia" w:eastAsiaTheme="minorEastAsia"/>
          <w:b/>
          <w:bCs/>
          <w:sz w:val="24"/>
          <w:lang w:val="en-US" w:eastAsia="zh-CN"/>
        </w:rPr>
        <w:t>五是</w:t>
      </w:r>
      <w:r>
        <w:rPr>
          <w:rFonts w:asciiTheme="minorEastAsia" w:hAnsiTheme="minorEastAsia" w:eastAsiaTheme="minorEastAsia"/>
          <w:b/>
          <w:bCs/>
          <w:sz w:val="24"/>
        </w:rPr>
        <w:t>董事</w:t>
      </w:r>
      <w:r>
        <w:rPr>
          <w:rFonts w:hint="eastAsia" w:asciiTheme="minorEastAsia" w:hAnsiTheme="minorEastAsia" w:eastAsiaTheme="minorEastAsia"/>
          <w:b/>
          <w:bCs/>
          <w:sz w:val="24"/>
          <w:lang w:val="en-US" w:eastAsia="zh-CN"/>
        </w:rPr>
        <w:t>参加培训</w:t>
      </w:r>
      <w:r>
        <w:rPr>
          <w:rFonts w:asciiTheme="minorEastAsia" w:hAnsiTheme="minorEastAsia" w:eastAsiaTheme="minorEastAsia"/>
          <w:b/>
          <w:bCs/>
          <w:sz w:val="24"/>
        </w:rPr>
        <w:t>情况</w:t>
      </w:r>
      <w:r>
        <w:rPr>
          <w:rFonts w:hint="eastAsia" w:asciiTheme="minorEastAsia" w:hAnsiTheme="minorEastAsia" w:eastAsiaTheme="minorEastAsia"/>
          <w:b/>
          <w:bCs/>
          <w:sz w:val="24"/>
          <w:lang w:eastAsia="zh-CN"/>
        </w:rPr>
        <w:t>。</w:t>
      </w:r>
      <w:r>
        <w:rPr>
          <w:rFonts w:hint="eastAsia" w:ascii="宋体" w:hAnsi="宋体" w:cs="宋体"/>
          <w:b w:val="0"/>
          <w:bCs w:val="0"/>
          <w:i w:val="0"/>
          <w:caps w:val="0"/>
          <w:spacing w:val="0"/>
          <w:sz w:val="24"/>
          <w:szCs w:val="24"/>
          <w:shd w:val="clear" w:color="auto" w:fill="FFFFFF"/>
          <w:lang w:val="en-US" w:eastAsia="zh-CN"/>
        </w:rPr>
        <w:t>公司董事会始终注重董事持续专业发展，关注并积极</w:t>
      </w:r>
      <w:r>
        <w:rPr>
          <w:rFonts w:hint="default" w:ascii="宋体" w:hAnsi="宋体" w:cs="宋体"/>
          <w:b w:val="0"/>
          <w:bCs w:val="0"/>
          <w:i w:val="0"/>
          <w:caps w:val="0"/>
          <w:spacing w:val="0"/>
          <w:sz w:val="24"/>
          <w:szCs w:val="24"/>
          <w:shd w:val="clear" w:color="auto" w:fill="FFFFFF"/>
          <w:lang w:val="en-US" w:eastAsia="zh-CN"/>
        </w:rPr>
        <w:t>组织董事参加培训。</w:t>
      </w:r>
      <w:r>
        <w:rPr>
          <w:rFonts w:hint="eastAsia" w:ascii="宋体" w:hAnsi="宋体" w:cs="宋体"/>
          <w:b w:val="0"/>
          <w:bCs w:val="0"/>
          <w:i w:val="0"/>
          <w:caps w:val="0"/>
          <w:spacing w:val="0"/>
          <w:sz w:val="24"/>
          <w:szCs w:val="24"/>
          <w:shd w:val="clear" w:color="auto" w:fill="FFFFFF"/>
          <w:lang w:val="en-US" w:eastAsia="zh-CN"/>
        </w:rPr>
        <w:t>公司就</w:t>
      </w:r>
      <w:r>
        <w:rPr>
          <w:rFonts w:hint="default" w:ascii="宋体" w:hAnsi="宋体" w:cs="宋体"/>
          <w:b w:val="0"/>
          <w:bCs w:val="0"/>
          <w:i w:val="0"/>
          <w:caps w:val="0"/>
          <w:spacing w:val="0"/>
          <w:sz w:val="24"/>
          <w:szCs w:val="24"/>
          <w:shd w:val="clear" w:color="auto" w:fill="FFFFFF"/>
          <w:lang w:val="en-US" w:eastAsia="zh-CN"/>
        </w:rPr>
        <w:t>公司治理规范</w:t>
      </w:r>
      <w:r>
        <w:rPr>
          <w:rFonts w:hint="eastAsia" w:ascii="宋体" w:hAnsi="宋体" w:cs="宋体"/>
          <w:b w:val="0"/>
          <w:bCs w:val="0"/>
          <w:i w:val="0"/>
          <w:caps w:val="0"/>
          <w:spacing w:val="0"/>
          <w:sz w:val="24"/>
          <w:szCs w:val="24"/>
          <w:shd w:val="clear" w:color="auto" w:fill="FFFFFF"/>
          <w:lang w:val="en-US" w:eastAsia="zh-CN"/>
        </w:rPr>
        <w:t>及投资者关系管理</w:t>
      </w:r>
      <w:r>
        <w:rPr>
          <w:rFonts w:hint="default" w:ascii="宋体" w:hAnsi="宋体" w:cs="宋体"/>
          <w:b w:val="0"/>
          <w:bCs w:val="0"/>
          <w:i w:val="0"/>
          <w:caps w:val="0"/>
          <w:spacing w:val="0"/>
          <w:sz w:val="24"/>
          <w:szCs w:val="24"/>
          <w:shd w:val="clear" w:color="auto" w:fill="FFFFFF"/>
          <w:lang w:val="en-US" w:eastAsia="zh-CN"/>
        </w:rPr>
        <w:t>等</w:t>
      </w:r>
      <w:r>
        <w:rPr>
          <w:rFonts w:hint="eastAsia" w:ascii="宋体" w:hAnsi="宋体" w:cs="宋体"/>
          <w:b w:val="0"/>
          <w:bCs w:val="0"/>
          <w:i w:val="0"/>
          <w:caps w:val="0"/>
          <w:spacing w:val="0"/>
          <w:sz w:val="24"/>
          <w:szCs w:val="24"/>
          <w:shd w:val="clear" w:color="auto" w:fill="FFFFFF"/>
          <w:lang w:val="en-US" w:eastAsia="zh-CN"/>
        </w:rPr>
        <w:t>方面向全体董事</w:t>
      </w:r>
      <w:r>
        <w:rPr>
          <w:rFonts w:hint="default" w:ascii="宋体" w:hAnsi="宋体" w:cs="宋体"/>
          <w:b w:val="0"/>
          <w:bCs w:val="0"/>
          <w:i w:val="0"/>
          <w:caps w:val="0"/>
          <w:spacing w:val="0"/>
          <w:sz w:val="24"/>
          <w:szCs w:val="24"/>
          <w:shd w:val="clear" w:color="auto" w:fill="FFFFFF"/>
          <w:lang w:val="en-US" w:eastAsia="zh-CN"/>
        </w:rPr>
        <w:t>进行了专题介绍及培训</w:t>
      </w:r>
      <w:r>
        <w:rPr>
          <w:rFonts w:hint="eastAsia" w:ascii="宋体" w:hAnsi="宋体" w:cs="宋体"/>
          <w:b w:val="0"/>
          <w:bCs w:val="0"/>
          <w:i w:val="0"/>
          <w:caps w:val="0"/>
          <w:spacing w:val="0"/>
          <w:sz w:val="24"/>
          <w:szCs w:val="24"/>
          <w:shd w:val="clear" w:color="auto" w:fill="FFFFFF"/>
          <w:lang w:val="en-US" w:eastAsia="zh-CN"/>
        </w:rPr>
        <w:t>，</w:t>
      </w:r>
      <w:r>
        <w:rPr>
          <w:rFonts w:hint="eastAsia" w:ascii="宋体" w:hAnsi="宋体" w:eastAsia="宋体" w:cs="宋体"/>
          <w:b w:val="0"/>
          <w:bCs w:val="0"/>
          <w:i w:val="0"/>
          <w:caps w:val="0"/>
          <w:spacing w:val="0"/>
          <w:sz w:val="24"/>
          <w:szCs w:val="24"/>
          <w:shd w:val="clear" w:color="auto" w:fill="FFFFFF"/>
          <w:lang w:val="en-US" w:eastAsia="zh-CN"/>
        </w:rPr>
        <w:t>董事</w:t>
      </w:r>
      <w:r>
        <w:rPr>
          <w:rFonts w:hint="eastAsia" w:ascii="宋体" w:hAnsi="宋体" w:cs="宋体"/>
          <w:b w:val="0"/>
          <w:bCs w:val="0"/>
          <w:i w:val="0"/>
          <w:caps w:val="0"/>
          <w:spacing w:val="0"/>
          <w:sz w:val="24"/>
          <w:szCs w:val="24"/>
          <w:shd w:val="clear" w:color="auto" w:fill="FFFFFF"/>
          <w:lang w:val="en-US" w:eastAsia="zh-CN"/>
        </w:rPr>
        <w:t>通过高管层定</w:t>
      </w:r>
      <w:r>
        <w:rPr>
          <w:rFonts w:hint="eastAsia" w:ascii="宋体" w:hAnsi="宋体" w:eastAsia="宋体" w:cs="宋体"/>
          <w:b w:val="0"/>
          <w:bCs w:val="0"/>
          <w:i w:val="0"/>
          <w:caps w:val="0"/>
          <w:spacing w:val="0"/>
          <w:sz w:val="24"/>
          <w:szCs w:val="24"/>
          <w:shd w:val="clear" w:color="auto" w:fill="FFFFFF"/>
          <w:lang w:val="en-US" w:eastAsia="zh-CN"/>
        </w:rPr>
        <w:t>期</w:t>
      </w:r>
      <w:r>
        <w:rPr>
          <w:rFonts w:hint="eastAsia" w:ascii="宋体" w:hAnsi="宋体" w:cs="宋体"/>
          <w:b w:val="0"/>
          <w:bCs w:val="0"/>
          <w:i w:val="0"/>
          <w:caps w:val="0"/>
          <w:spacing w:val="0"/>
          <w:sz w:val="24"/>
          <w:szCs w:val="24"/>
          <w:shd w:val="clear" w:color="auto" w:fill="FFFFFF"/>
          <w:lang w:val="en-US" w:eastAsia="zh-CN"/>
        </w:rPr>
        <w:t>通报的</w:t>
      </w:r>
      <w:r>
        <w:rPr>
          <w:rFonts w:hint="eastAsia" w:ascii="宋体" w:hAnsi="宋体" w:eastAsia="宋体" w:cs="宋体"/>
          <w:b w:val="0"/>
          <w:bCs w:val="0"/>
          <w:i w:val="0"/>
          <w:caps w:val="0"/>
          <w:spacing w:val="0"/>
          <w:sz w:val="24"/>
          <w:szCs w:val="24"/>
          <w:shd w:val="clear" w:color="auto" w:fill="FFFFFF"/>
          <w:lang w:val="en-US" w:eastAsia="zh-CN"/>
        </w:rPr>
        <w:t>银行业监管新规及资本市场情况，</w:t>
      </w:r>
      <w:r>
        <w:rPr>
          <w:rFonts w:hint="eastAsia" w:ascii="宋体" w:hAnsi="宋体" w:cs="宋体"/>
          <w:b w:val="0"/>
          <w:bCs w:val="0"/>
          <w:i w:val="0"/>
          <w:caps w:val="0"/>
          <w:spacing w:val="0"/>
          <w:sz w:val="24"/>
          <w:szCs w:val="24"/>
          <w:shd w:val="clear" w:color="auto" w:fill="FFFFFF"/>
          <w:lang w:val="en-US" w:eastAsia="zh-CN"/>
        </w:rPr>
        <w:t>了</w:t>
      </w:r>
      <w:r>
        <w:rPr>
          <w:rFonts w:hint="eastAsia" w:ascii="宋体" w:hAnsi="宋体" w:eastAsia="宋体" w:cs="宋体"/>
          <w:b w:val="0"/>
          <w:bCs w:val="0"/>
          <w:i w:val="0"/>
          <w:caps w:val="0"/>
          <w:spacing w:val="0"/>
          <w:sz w:val="24"/>
          <w:szCs w:val="24"/>
          <w:shd w:val="clear" w:color="auto" w:fill="FFFFFF"/>
          <w:lang w:val="en-US" w:eastAsia="zh-CN"/>
        </w:rPr>
        <w:t>解国内外金融形势和最新监管政策</w:t>
      </w:r>
      <w:r>
        <w:rPr>
          <w:rFonts w:hint="default" w:ascii="宋体" w:hAnsi="宋体" w:eastAsia="宋体" w:cs="宋体"/>
          <w:b w:val="0"/>
          <w:bCs w:val="0"/>
          <w:i w:val="0"/>
          <w:caps w:val="0"/>
          <w:spacing w:val="0"/>
          <w:sz w:val="24"/>
          <w:szCs w:val="24"/>
          <w:shd w:val="clear" w:color="auto" w:fill="FFFFFF"/>
          <w:lang w:val="en-US" w:eastAsia="zh-CN"/>
        </w:rPr>
        <w:t>。此外，</w:t>
      </w:r>
      <w:r>
        <w:rPr>
          <w:rFonts w:hint="eastAsia" w:ascii="宋体" w:hAnsi="宋体" w:eastAsia="宋体" w:cs="宋体"/>
          <w:b w:val="0"/>
          <w:bCs w:val="0"/>
          <w:i w:val="0"/>
          <w:caps w:val="0"/>
          <w:spacing w:val="0"/>
          <w:sz w:val="24"/>
          <w:szCs w:val="24"/>
          <w:shd w:val="clear" w:color="auto" w:fill="FFFFFF"/>
          <w:lang w:val="en-US" w:eastAsia="zh-CN"/>
        </w:rPr>
        <w:t>公司</w:t>
      </w:r>
      <w:r>
        <w:rPr>
          <w:rFonts w:hint="default" w:ascii="宋体" w:hAnsi="宋体" w:eastAsia="宋体" w:cs="宋体"/>
          <w:b w:val="0"/>
          <w:bCs w:val="0"/>
          <w:i w:val="0"/>
          <w:caps w:val="0"/>
          <w:spacing w:val="0"/>
          <w:sz w:val="24"/>
          <w:szCs w:val="24"/>
          <w:shd w:val="clear" w:color="auto" w:fill="FFFFFF"/>
          <w:lang w:val="en-US" w:eastAsia="zh-CN"/>
        </w:rPr>
        <w:t>董事还</w:t>
      </w:r>
      <w:r>
        <w:rPr>
          <w:rFonts w:hint="eastAsia" w:ascii="宋体" w:hAnsi="宋体" w:eastAsia="宋体" w:cs="宋体"/>
          <w:b w:val="0"/>
          <w:bCs w:val="0"/>
          <w:i w:val="0"/>
          <w:caps w:val="0"/>
          <w:spacing w:val="0"/>
          <w:sz w:val="24"/>
          <w:szCs w:val="24"/>
          <w:shd w:val="clear" w:color="auto" w:fill="FFFFFF"/>
          <w:lang w:val="en-US" w:eastAsia="zh-CN"/>
        </w:rPr>
        <w:t>积极参加监管机构组织的相关培训，不断提高履职能力。</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cs="Arial Unicode MS" w:asciiTheme="minorEastAsia" w:hAnsiTheme="minorEastAsia" w:eastAsiaTheme="minorEastAsia"/>
          <w:b/>
          <w:kern w:val="0"/>
          <w:sz w:val="24"/>
          <w:lang w:val="en-US" w:eastAsia="zh-CN"/>
        </w:rPr>
      </w:pPr>
      <w:r>
        <w:rPr>
          <w:rFonts w:hint="eastAsia" w:cs="Arial Unicode MS" w:asciiTheme="minorEastAsia" w:hAnsiTheme="minorEastAsia" w:eastAsiaTheme="minorEastAsia"/>
          <w:b/>
          <w:kern w:val="0"/>
          <w:sz w:val="24"/>
          <w:lang w:val="en-US" w:eastAsia="zh-CN"/>
        </w:rPr>
        <w:t>（二）规范开展公司治理工作，不断提升</w:t>
      </w:r>
      <w:r>
        <w:rPr>
          <w:rFonts w:hint="eastAsia" w:cs="Arial Unicode MS" w:asciiTheme="minorEastAsia" w:hAnsiTheme="minorEastAsia" w:eastAsiaTheme="minorEastAsia"/>
          <w:b/>
          <w:kern w:val="0"/>
          <w:sz w:val="24"/>
        </w:rPr>
        <w:t>公司治理水平</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cs="Arial Unicode MS" w:asciiTheme="minorEastAsia" w:hAnsiTheme="minorEastAsia" w:eastAsiaTheme="minorEastAsia"/>
          <w:b w:val="0"/>
          <w:bCs/>
          <w:kern w:val="0"/>
          <w:sz w:val="24"/>
          <w:lang w:val="en-US" w:eastAsia="zh-CN"/>
        </w:rPr>
      </w:pPr>
      <w:r>
        <w:rPr>
          <w:rFonts w:hint="eastAsia" w:cs="Arial Unicode MS" w:asciiTheme="minorEastAsia" w:hAnsiTheme="minorEastAsia" w:eastAsiaTheme="minorEastAsia"/>
          <w:b w:val="0"/>
          <w:bCs/>
          <w:kern w:val="0"/>
          <w:sz w:val="24"/>
          <w:lang w:val="en-US" w:eastAsia="zh-CN"/>
        </w:rPr>
        <w:t>2022年，公司围绕“健全公司治理三年行动方案”及公司治理评估整改工作，推动公司治理工作的完善与提升。</w:t>
      </w:r>
      <w:r>
        <w:rPr>
          <w:rFonts w:hint="eastAsia" w:cs="Arial Unicode MS" w:asciiTheme="minorEastAsia" w:hAnsiTheme="minorEastAsia" w:eastAsiaTheme="minorEastAsia"/>
          <w:b/>
          <w:bCs w:val="0"/>
          <w:kern w:val="0"/>
          <w:sz w:val="24"/>
          <w:lang w:val="en-US" w:eastAsia="zh-CN"/>
        </w:rPr>
        <w:t>一是</w:t>
      </w:r>
      <w:r>
        <w:rPr>
          <w:rFonts w:hint="eastAsia" w:cs="Arial Unicode MS" w:asciiTheme="minorEastAsia" w:hAnsiTheme="minorEastAsia" w:eastAsiaTheme="minorEastAsia"/>
          <w:b w:val="0"/>
          <w:bCs/>
          <w:kern w:val="0"/>
          <w:sz w:val="24"/>
          <w:lang w:val="en-US" w:eastAsia="zh-CN"/>
        </w:rPr>
        <w:t>邀请党委成员、高管列席董、监事会及参加宏观经济分析研讨会，并将党的领导与公司治理有机融合情况作为对属于党委班子成员的董监高履职评价的重要内容；</w:t>
      </w:r>
      <w:r>
        <w:rPr>
          <w:rFonts w:hint="eastAsia" w:cs="Arial Unicode MS" w:asciiTheme="minorEastAsia" w:hAnsiTheme="minorEastAsia" w:eastAsiaTheme="minorEastAsia"/>
          <w:b/>
          <w:bCs w:val="0"/>
          <w:kern w:val="0"/>
          <w:sz w:val="24"/>
          <w:lang w:val="en-US" w:eastAsia="zh-CN"/>
        </w:rPr>
        <w:t>二是</w:t>
      </w:r>
      <w:r>
        <w:rPr>
          <w:rFonts w:hint="eastAsia" w:cs="Arial Unicode MS" w:asciiTheme="minorEastAsia" w:hAnsiTheme="minorEastAsia" w:eastAsiaTheme="minorEastAsia"/>
          <w:b w:val="0"/>
          <w:bCs/>
          <w:kern w:val="0"/>
          <w:sz w:val="24"/>
          <w:lang w:val="en-US" w:eastAsia="zh-CN"/>
        </w:rPr>
        <w:t>修订了董事会薪酬委员会议事规则、关联交易管理办法、投资者关系管理办法等相关制度，公司治理制度体系更为健全和完善；</w:t>
      </w:r>
      <w:r>
        <w:rPr>
          <w:rFonts w:hint="eastAsia" w:cs="Arial Unicode MS" w:asciiTheme="minorEastAsia" w:hAnsiTheme="minorEastAsia" w:eastAsiaTheme="minorEastAsia"/>
          <w:b/>
          <w:bCs w:val="0"/>
          <w:kern w:val="0"/>
          <w:sz w:val="24"/>
          <w:lang w:val="en-US" w:eastAsia="zh-CN"/>
        </w:rPr>
        <w:t>三是</w:t>
      </w:r>
      <w:r>
        <w:rPr>
          <w:rFonts w:hint="eastAsia" w:cs="Arial Unicode MS" w:asciiTheme="minorEastAsia" w:hAnsiTheme="minorEastAsia" w:eastAsiaTheme="minorEastAsia"/>
          <w:b w:val="0"/>
          <w:bCs/>
          <w:kern w:val="0"/>
          <w:sz w:val="24"/>
          <w:lang w:val="en-US" w:eastAsia="zh-CN"/>
        </w:rPr>
        <w:t>完成第一大股东股权划转，启动资本补充工作，不超过50亿元可转债获厦门银保监局批准，进入上交所审核程序；</w:t>
      </w:r>
      <w:r>
        <w:rPr>
          <w:rFonts w:hint="eastAsia" w:cs="Arial Unicode MS" w:asciiTheme="minorEastAsia" w:hAnsiTheme="minorEastAsia" w:eastAsiaTheme="minorEastAsia"/>
          <w:b/>
          <w:bCs w:val="0"/>
          <w:kern w:val="0"/>
          <w:sz w:val="24"/>
          <w:lang w:val="en-US" w:eastAsia="zh-CN"/>
        </w:rPr>
        <w:t>四是</w:t>
      </w:r>
      <w:r>
        <w:rPr>
          <w:rFonts w:hint="eastAsia" w:asciiTheme="minorEastAsia" w:hAnsiTheme="minorEastAsia" w:eastAsiaTheme="minorEastAsia"/>
          <w:sz w:val="24"/>
          <w:lang w:val="en-US" w:eastAsia="zh-CN"/>
        </w:rPr>
        <w:t>召开</w:t>
      </w:r>
      <w:r>
        <w:rPr>
          <w:rFonts w:hint="eastAsia" w:asciiTheme="minorEastAsia" w:hAnsiTheme="minorEastAsia" w:eastAsiaTheme="minorEastAsia"/>
          <w:sz w:val="24"/>
        </w:rPr>
        <w:t>股东大会选举产生</w:t>
      </w:r>
      <w:r>
        <w:rPr>
          <w:rFonts w:hint="eastAsia" w:asciiTheme="minorEastAsia" w:hAnsiTheme="minorEastAsia" w:eastAsiaTheme="minorEastAsia"/>
          <w:sz w:val="24"/>
          <w:lang w:val="en-US" w:eastAsia="zh-CN"/>
        </w:rPr>
        <w:t>新任</w:t>
      </w:r>
      <w:r>
        <w:rPr>
          <w:rFonts w:hint="eastAsia" w:asciiTheme="minorEastAsia" w:hAnsiTheme="minorEastAsia" w:eastAsiaTheme="minorEastAsia"/>
          <w:sz w:val="24"/>
        </w:rPr>
        <w:t>董事</w:t>
      </w:r>
      <w:r>
        <w:rPr>
          <w:rFonts w:hint="eastAsia" w:asciiTheme="minorEastAsia" w:hAnsiTheme="minorEastAsia" w:eastAsiaTheme="minorEastAsia"/>
          <w:sz w:val="24"/>
          <w:lang w:val="en-US" w:eastAsia="zh-CN"/>
        </w:rPr>
        <w:t>会成员</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并召开</w:t>
      </w:r>
      <w:r>
        <w:rPr>
          <w:rFonts w:hint="eastAsia" w:asciiTheme="minorEastAsia" w:hAnsiTheme="minorEastAsia" w:eastAsiaTheme="minorEastAsia"/>
          <w:sz w:val="24"/>
        </w:rPr>
        <w:t>董事会会议选举产生新</w:t>
      </w:r>
      <w:r>
        <w:rPr>
          <w:rFonts w:hint="eastAsia" w:asciiTheme="minorEastAsia" w:hAnsiTheme="minorEastAsia" w:eastAsiaTheme="minorEastAsia"/>
          <w:sz w:val="24"/>
          <w:lang w:val="en-US" w:eastAsia="zh-CN"/>
        </w:rPr>
        <w:t>任董事长，新老董事顺利交接，</w:t>
      </w:r>
      <w:r>
        <w:rPr>
          <w:rFonts w:hint="eastAsia" w:cs="Arial Unicode MS" w:asciiTheme="minorEastAsia" w:hAnsiTheme="minorEastAsia" w:eastAsiaTheme="minorEastAsia"/>
          <w:kern w:val="0"/>
          <w:sz w:val="24"/>
        </w:rPr>
        <w:t>保证公司治理的稳定性和延续性</w:t>
      </w:r>
      <w:r>
        <w:rPr>
          <w:rFonts w:hint="eastAsia" w:cs="Arial Unicode MS" w:asciiTheme="minorEastAsia" w:hAnsiTheme="minorEastAsia" w:eastAsiaTheme="minorEastAsia"/>
          <w:kern w:val="0"/>
          <w:sz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cs="Arial Unicode MS" w:asciiTheme="minorEastAsia" w:hAnsiTheme="minorEastAsia" w:eastAsiaTheme="minorEastAsia"/>
          <w:b/>
          <w:kern w:val="0"/>
          <w:sz w:val="24"/>
          <w:lang w:val="en-US" w:eastAsia="zh-CN"/>
        </w:rPr>
      </w:pPr>
      <w:r>
        <w:rPr>
          <w:rFonts w:hint="eastAsia" w:cs="Arial Unicode MS" w:asciiTheme="minorEastAsia" w:hAnsiTheme="minorEastAsia" w:eastAsiaTheme="minorEastAsia"/>
          <w:b/>
          <w:kern w:val="0"/>
          <w:sz w:val="24"/>
          <w:lang w:val="en-US" w:eastAsia="zh-CN"/>
        </w:rPr>
        <w:t>（三）经营规模稳健增长，盈利能力持续提升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lang w:val="en-US" w:eastAsia="zh-CN"/>
        </w:rPr>
        <w:t>2</w:t>
      </w:r>
      <w:r>
        <w:rPr>
          <w:rFonts w:hint="eastAsia" w:cs="仿宋_GB2312" w:asciiTheme="minorEastAsia" w:hAnsiTheme="minorEastAsia" w:eastAsiaTheme="minorEastAsia"/>
          <w:kern w:val="0"/>
          <w:sz w:val="24"/>
          <w:highlight w:val="none"/>
        </w:rPr>
        <w:t>02</w:t>
      </w:r>
      <w:r>
        <w:rPr>
          <w:rFonts w:hint="eastAsia" w:cs="仿宋_GB2312" w:asciiTheme="minorEastAsia" w:hAnsiTheme="minorEastAsia" w:eastAsiaTheme="minorEastAsia"/>
          <w:kern w:val="0"/>
          <w:sz w:val="24"/>
          <w:highlight w:val="none"/>
          <w:lang w:val="en-US" w:eastAsia="zh-CN"/>
        </w:rPr>
        <w:t>2</w:t>
      </w:r>
      <w:r>
        <w:rPr>
          <w:rFonts w:hint="eastAsia" w:cs="仿宋_GB2312" w:asciiTheme="minorEastAsia" w:hAnsiTheme="minorEastAsia" w:eastAsiaTheme="minorEastAsia"/>
          <w:kern w:val="0"/>
          <w:sz w:val="24"/>
          <w:highlight w:val="none"/>
        </w:rPr>
        <w:t>年度，在董事会</w:t>
      </w:r>
      <w:r>
        <w:rPr>
          <w:rFonts w:hint="eastAsia" w:cs="仿宋_GB2312" w:asciiTheme="minorEastAsia" w:hAnsiTheme="minorEastAsia" w:eastAsiaTheme="minorEastAsia"/>
          <w:kern w:val="0"/>
          <w:sz w:val="24"/>
          <w:highlight w:val="none"/>
          <w:lang w:val="en-US" w:eastAsia="zh-CN"/>
        </w:rPr>
        <w:t>引</w:t>
      </w:r>
      <w:r>
        <w:rPr>
          <w:rFonts w:hint="eastAsia" w:cs="仿宋_GB2312" w:asciiTheme="minorEastAsia" w:hAnsiTheme="minorEastAsia" w:eastAsiaTheme="minorEastAsia"/>
          <w:kern w:val="0"/>
          <w:sz w:val="24"/>
          <w:highlight w:val="none"/>
        </w:rPr>
        <w:t>领下</w:t>
      </w:r>
      <w:r>
        <w:rPr>
          <w:rFonts w:hint="eastAsia" w:cs="仿宋_GB2312" w:asciiTheme="minorEastAsia" w:hAnsiTheme="minorEastAsia" w:eastAsiaTheme="minorEastAsia"/>
          <w:kern w:val="0"/>
          <w:sz w:val="24"/>
          <w:highlight w:val="none"/>
          <w:lang w:eastAsia="zh-CN"/>
        </w:rPr>
        <w:t>，</w:t>
      </w:r>
      <w:r>
        <w:rPr>
          <w:rFonts w:hint="eastAsia" w:cs="仿宋_GB2312" w:asciiTheme="minorEastAsia" w:hAnsiTheme="minorEastAsia" w:eastAsiaTheme="minorEastAsia"/>
          <w:kern w:val="0"/>
          <w:sz w:val="24"/>
          <w:highlight w:val="none"/>
        </w:rPr>
        <w:t>公司实现营业收入</w:t>
      </w:r>
      <w:r>
        <w:rPr>
          <w:rFonts w:hint="eastAsia" w:cs="仿宋_GB2312" w:asciiTheme="minorEastAsia" w:hAnsiTheme="minorEastAsia" w:eastAsiaTheme="minorEastAsia"/>
          <w:kern w:val="0"/>
          <w:sz w:val="24"/>
          <w:highlight w:val="none"/>
          <w:lang w:val="en-US" w:eastAsia="zh-CN"/>
        </w:rPr>
        <w:t>58.95</w:t>
      </w:r>
      <w:r>
        <w:rPr>
          <w:rFonts w:hint="eastAsia" w:cs="仿宋_GB2312" w:asciiTheme="minorEastAsia" w:hAnsiTheme="minorEastAsia" w:eastAsiaTheme="minorEastAsia"/>
          <w:kern w:val="0"/>
          <w:sz w:val="24"/>
          <w:highlight w:val="none"/>
        </w:rPr>
        <w:t>亿元，</w:t>
      </w:r>
      <w:r>
        <w:rPr>
          <w:rFonts w:hint="eastAsia" w:ascii="宋体" w:hAnsi="宋体"/>
          <w:sz w:val="24"/>
        </w:rPr>
        <w:t>同比增长</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90</w:t>
      </w:r>
      <w:r>
        <w:rPr>
          <w:rFonts w:hint="eastAsia" w:ascii="宋体" w:hAnsi="宋体"/>
          <w:sz w:val="24"/>
        </w:rPr>
        <w:t>%</w:t>
      </w:r>
      <w:r>
        <w:rPr>
          <w:rFonts w:hint="eastAsia" w:cs="仿宋_GB2312" w:asciiTheme="minorEastAsia" w:hAnsiTheme="minorEastAsia" w:eastAsiaTheme="minorEastAsia"/>
          <w:kern w:val="0"/>
          <w:sz w:val="24"/>
          <w:highlight w:val="none"/>
        </w:rPr>
        <w:t>；归属于上市公司股东的净利润</w:t>
      </w:r>
      <w:r>
        <w:rPr>
          <w:rFonts w:hint="eastAsia" w:cs="仿宋_GB2312" w:asciiTheme="minorEastAsia" w:hAnsiTheme="minorEastAsia" w:eastAsiaTheme="minorEastAsia"/>
          <w:kern w:val="0"/>
          <w:sz w:val="24"/>
          <w:highlight w:val="none"/>
          <w:lang w:val="en-US" w:eastAsia="zh-CN"/>
        </w:rPr>
        <w:t>25.06</w:t>
      </w:r>
      <w:r>
        <w:rPr>
          <w:rFonts w:hint="eastAsia" w:cs="仿宋_GB2312" w:asciiTheme="minorEastAsia" w:hAnsiTheme="minorEastAsia" w:eastAsiaTheme="minorEastAsia"/>
          <w:kern w:val="0"/>
          <w:sz w:val="24"/>
          <w:highlight w:val="none"/>
        </w:rPr>
        <w:t>亿元，同比增长</w:t>
      </w:r>
      <w:r>
        <w:rPr>
          <w:rFonts w:hint="eastAsia" w:cs="仿宋_GB2312" w:asciiTheme="minorEastAsia" w:hAnsiTheme="minorEastAsia" w:eastAsiaTheme="minorEastAsia"/>
          <w:kern w:val="0"/>
          <w:sz w:val="24"/>
          <w:highlight w:val="none"/>
          <w:lang w:val="en-US" w:eastAsia="zh-CN"/>
        </w:rPr>
        <w:t>15</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en-US" w:eastAsia="zh-CN"/>
        </w:rPr>
        <w:t>56</w:t>
      </w:r>
      <w:r>
        <w:rPr>
          <w:rFonts w:hint="eastAsia" w:cs="仿宋_GB2312" w:asciiTheme="minorEastAsia" w:hAnsiTheme="minorEastAsia" w:eastAsiaTheme="minorEastAsia"/>
          <w:kern w:val="0"/>
          <w:sz w:val="24"/>
          <w:highlight w:val="none"/>
        </w:rPr>
        <w:t>%。截至202</w:t>
      </w:r>
      <w:r>
        <w:rPr>
          <w:rFonts w:hint="eastAsia" w:cs="仿宋_GB2312" w:asciiTheme="minorEastAsia" w:hAnsiTheme="minorEastAsia" w:eastAsiaTheme="minorEastAsia"/>
          <w:kern w:val="0"/>
          <w:sz w:val="24"/>
          <w:highlight w:val="none"/>
          <w:lang w:val="en-US" w:eastAsia="zh-CN"/>
        </w:rPr>
        <w:t>2</w:t>
      </w:r>
      <w:r>
        <w:rPr>
          <w:rFonts w:hint="eastAsia" w:cs="仿宋_GB2312" w:asciiTheme="minorEastAsia" w:hAnsiTheme="minorEastAsia" w:eastAsiaTheme="minorEastAsia"/>
          <w:kern w:val="0"/>
          <w:sz w:val="24"/>
          <w:highlight w:val="none"/>
        </w:rPr>
        <w:t>年末，公司总资产</w:t>
      </w:r>
      <w:r>
        <w:rPr>
          <w:rFonts w:hint="eastAsia" w:cs="仿宋_GB2312" w:asciiTheme="minorEastAsia" w:hAnsiTheme="minorEastAsia" w:eastAsiaTheme="minorEastAsia"/>
          <w:kern w:val="0"/>
          <w:sz w:val="24"/>
          <w:highlight w:val="none"/>
          <w:lang w:val="en-US" w:eastAsia="zh-CN"/>
        </w:rPr>
        <w:t>3,712.08</w:t>
      </w:r>
      <w:r>
        <w:rPr>
          <w:rFonts w:hint="eastAsia" w:cs="仿宋_GB2312" w:asciiTheme="minorEastAsia" w:hAnsiTheme="minorEastAsia" w:eastAsiaTheme="minorEastAsia"/>
          <w:kern w:val="0"/>
          <w:sz w:val="24"/>
          <w:highlight w:val="none"/>
        </w:rPr>
        <w:t>亿元，较</w:t>
      </w:r>
      <w:r>
        <w:rPr>
          <w:rFonts w:hint="eastAsia" w:cs="仿宋_GB2312" w:asciiTheme="minorEastAsia" w:hAnsiTheme="minorEastAsia" w:eastAsiaTheme="minorEastAsia"/>
          <w:kern w:val="0"/>
          <w:sz w:val="24"/>
          <w:highlight w:val="none"/>
          <w:lang w:val="en-US" w:eastAsia="zh-CN"/>
        </w:rPr>
        <w:t>上年末</w:t>
      </w:r>
      <w:r>
        <w:rPr>
          <w:rFonts w:hint="eastAsia" w:cs="仿宋_GB2312" w:asciiTheme="minorEastAsia" w:hAnsiTheme="minorEastAsia" w:eastAsiaTheme="minorEastAsia"/>
          <w:kern w:val="0"/>
          <w:sz w:val="24"/>
          <w:highlight w:val="none"/>
        </w:rPr>
        <w:t>增长1</w:t>
      </w:r>
      <w:r>
        <w:rPr>
          <w:rFonts w:hint="eastAsia" w:cs="仿宋_GB2312" w:asciiTheme="minorEastAsia" w:hAnsiTheme="minorEastAsia" w:eastAsiaTheme="minorEastAsia"/>
          <w:kern w:val="0"/>
          <w:sz w:val="24"/>
          <w:highlight w:val="none"/>
          <w:lang w:val="en-US" w:eastAsia="zh-CN"/>
        </w:rPr>
        <w:t>2</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en-US" w:eastAsia="zh-CN"/>
        </w:rPr>
        <w:t>66</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eastAsia="zh-CN"/>
        </w:rPr>
        <w:t>；</w:t>
      </w:r>
      <w:r>
        <w:rPr>
          <w:rFonts w:hint="default" w:cs="仿宋_GB2312" w:asciiTheme="minorEastAsia" w:hAnsiTheme="minorEastAsia" w:eastAsiaTheme="minorEastAsia"/>
          <w:kern w:val="0"/>
          <w:sz w:val="24"/>
          <w:highlight w:val="none"/>
          <w:lang w:val="en-US" w:eastAsia="zh-CN"/>
        </w:rPr>
        <w:t>总负债3,464.64亿元，较</w:t>
      </w:r>
      <w:r>
        <w:rPr>
          <w:rFonts w:hint="eastAsia" w:cs="仿宋_GB2312" w:asciiTheme="minorEastAsia" w:hAnsiTheme="minorEastAsia" w:eastAsiaTheme="minorEastAsia"/>
          <w:kern w:val="0"/>
          <w:sz w:val="24"/>
          <w:highlight w:val="none"/>
          <w:lang w:val="en-US" w:eastAsia="zh-CN"/>
        </w:rPr>
        <w:t>上年末</w:t>
      </w:r>
      <w:r>
        <w:rPr>
          <w:rFonts w:hint="default" w:cs="仿宋_GB2312" w:asciiTheme="minorEastAsia" w:hAnsiTheme="minorEastAsia" w:eastAsiaTheme="minorEastAsia"/>
          <w:kern w:val="0"/>
          <w:sz w:val="24"/>
          <w:highlight w:val="none"/>
          <w:lang w:val="en-US" w:eastAsia="zh-CN"/>
        </w:rPr>
        <w:t>增长13.1</w:t>
      </w:r>
      <w:r>
        <w:rPr>
          <w:rFonts w:hint="eastAsia" w:cs="仿宋_GB2312" w:asciiTheme="minorEastAsia" w:hAnsiTheme="minorEastAsia" w:eastAsiaTheme="minorEastAsia"/>
          <w:kern w:val="0"/>
          <w:sz w:val="24"/>
          <w:highlight w:val="none"/>
          <w:lang w:val="en-US" w:eastAsia="zh-CN"/>
        </w:rPr>
        <w:t>4%</w:t>
      </w:r>
      <w:r>
        <w:rPr>
          <w:rFonts w:hint="eastAsia" w:cs="仿宋_GB2312" w:asciiTheme="minorEastAsia" w:hAnsiTheme="minorEastAsia" w:eastAsiaTheme="minorEastAsia"/>
          <w:kern w:val="0"/>
          <w:sz w:val="24"/>
          <w:highlight w:val="none"/>
        </w:rPr>
        <w:t>。202</w:t>
      </w:r>
      <w:r>
        <w:rPr>
          <w:rFonts w:hint="eastAsia" w:cs="仿宋_GB2312" w:asciiTheme="minorEastAsia" w:hAnsiTheme="minorEastAsia" w:eastAsiaTheme="minorEastAsia"/>
          <w:kern w:val="0"/>
          <w:sz w:val="24"/>
          <w:highlight w:val="none"/>
          <w:lang w:val="en-US" w:eastAsia="zh-CN"/>
        </w:rPr>
        <w:t>2</w:t>
      </w:r>
      <w:r>
        <w:rPr>
          <w:rFonts w:hint="eastAsia" w:cs="仿宋_GB2312" w:asciiTheme="minorEastAsia" w:hAnsiTheme="minorEastAsia" w:eastAsiaTheme="minorEastAsia"/>
          <w:kern w:val="0"/>
          <w:sz w:val="24"/>
          <w:highlight w:val="none"/>
        </w:rPr>
        <w:t>年末，公司不良贷款率0.</w:t>
      </w:r>
      <w:r>
        <w:rPr>
          <w:rFonts w:hint="eastAsia" w:cs="仿宋_GB2312" w:asciiTheme="minorEastAsia" w:hAnsiTheme="minorEastAsia" w:eastAsiaTheme="minorEastAsia"/>
          <w:kern w:val="0"/>
          <w:sz w:val="24"/>
          <w:highlight w:val="none"/>
          <w:lang w:val="en-US" w:eastAsia="zh-CN"/>
        </w:rPr>
        <w:t>86</w:t>
      </w:r>
      <w:r>
        <w:rPr>
          <w:rFonts w:hint="eastAsia" w:cs="仿宋_GB2312" w:asciiTheme="minorEastAsia" w:hAnsiTheme="minorEastAsia" w:eastAsiaTheme="minorEastAsia"/>
          <w:kern w:val="0"/>
          <w:sz w:val="24"/>
          <w:highlight w:val="none"/>
        </w:rPr>
        <w:t>%，较</w:t>
      </w:r>
      <w:r>
        <w:rPr>
          <w:rFonts w:hint="eastAsia" w:cs="仿宋_GB2312" w:asciiTheme="minorEastAsia" w:hAnsiTheme="minorEastAsia" w:eastAsiaTheme="minorEastAsia"/>
          <w:kern w:val="0"/>
          <w:sz w:val="24"/>
          <w:highlight w:val="none"/>
          <w:lang w:val="en-US" w:eastAsia="zh-CN"/>
        </w:rPr>
        <w:t>上年末</w:t>
      </w:r>
      <w:r>
        <w:rPr>
          <w:rFonts w:hint="eastAsia" w:cs="仿宋_GB2312" w:asciiTheme="minorEastAsia" w:hAnsiTheme="minorEastAsia" w:eastAsiaTheme="minorEastAsia"/>
          <w:kern w:val="0"/>
          <w:sz w:val="24"/>
          <w:highlight w:val="none"/>
        </w:rPr>
        <w:t>下降0.</w:t>
      </w:r>
      <w:r>
        <w:rPr>
          <w:rFonts w:hint="eastAsia" w:cs="仿宋_GB2312" w:asciiTheme="minorEastAsia" w:hAnsiTheme="minorEastAsia" w:eastAsiaTheme="minorEastAsia"/>
          <w:kern w:val="0"/>
          <w:sz w:val="24"/>
          <w:highlight w:val="none"/>
          <w:lang w:val="en-US" w:eastAsia="zh-CN"/>
        </w:rPr>
        <w:t>05个百分点</w:t>
      </w:r>
      <w:r>
        <w:rPr>
          <w:rFonts w:hint="eastAsia" w:cs="仿宋_GB2312" w:asciiTheme="minorEastAsia" w:hAnsiTheme="minorEastAsia" w:eastAsiaTheme="minorEastAsia"/>
          <w:kern w:val="0"/>
          <w:sz w:val="24"/>
          <w:highlight w:val="none"/>
        </w:rPr>
        <w:t>；拨备覆盖率3</w:t>
      </w:r>
      <w:r>
        <w:rPr>
          <w:rFonts w:hint="eastAsia" w:cs="仿宋_GB2312" w:asciiTheme="minorEastAsia" w:hAnsiTheme="minorEastAsia" w:eastAsiaTheme="minorEastAsia"/>
          <w:kern w:val="0"/>
          <w:sz w:val="24"/>
          <w:highlight w:val="none"/>
          <w:lang w:val="en-US" w:eastAsia="zh-CN"/>
        </w:rPr>
        <w:t>87.93</w:t>
      </w:r>
      <w:r>
        <w:rPr>
          <w:rFonts w:hint="eastAsia" w:cs="仿宋_GB2312" w:asciiTheme="minorEastAsia" w:hAnsiTheme="minorEastAsia" w:eastAsiaTheme="minorEastAsia"/>
          <w:kern w:val="0"/>
          <w:sz w:val="24"/>
          <w:highlight w:val="none"/>
        </w:rPr>
        <w:t>%，较</w:t>
      </w:r>
      <w:r>
        <w:rPr>
          <w:rFonts w:hint="eastAsia" w:cs="仿宋_GB2312" w:asciiTheme="minorEastAsia" w:hAnsiTheme="minorEastAsia" w:eastAsiaTheme="minorEastAsia"/>
          <w:kern w:val="0"/>
          <w:sz w:val="24"/>
          <w:highlight w:val="none"/>
          <w:lang w:val="en-US" w:eastAsia="zh-CN"/>
        </w:rPr>
        <w:t>上年末</w:t>
      </w:r>
      <w:r>
        <w:rPr>
          <w:rFonts w:hint="eastAsia" w:cs="仿宋_GB2312" w:asciiTheme="minorEastAsia" w:hAnsiTheme="minorEastAsia" w:eastAsiaTheme="minorEastAsia"/>
          <w:kern w:val="0"/>
          <w:sz w:val="24"/>
          <w:highlight w:val="none"/>
        </w:rPr>
        <w:t>上升</w:t>
      </w:r>
      <w:r>
        <w:rPr>
          <w:rFonts w:hint="eastAsia" w:cs="仿宋_GB2312" w:asciiTheme="minorEastAsia" w:hAnsiTheme="minorEastAsia" w:eastAsiaTheme="minorEastAsia"/>
          <w:kern w:val="0"/>
          <w:sz w:val="24"/>
          <w:highlight w:val="none"/>
          <w:lang w:val="en-US" w:eastAsia="zh-CN"/>
        </w:rPr>
        <w:t>17</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en-US" w:eastAsia="zh-CN"/>
        </w:rPr>
        <w:t>29个百分点</w:t>
      </w:r>
      <w:r>
        <w:rPr>
          <w:rFonts w:hint="eastAsia" w:cs="仿宋_GB2312" w:asciiTheme="minorEastAsia" w:hAnsiTheme="minorEastAsia" w:eastAsiaTheme="minorEastAsia"/>
          <w:kern w:val="0"/>
          <w:sz w:val="24"/>
          <w:highlight w:val="none"/>
        </w:rPr>
        <w:t>。截</w:t>
      </w:r>
      <w:r>
        <w:rPr>
          <w:rFonts w:hint="eastAsia" w:cs="仿宋_GB2312" w:asciiTheme="minorEastAsia" w:hAnsiTheme="minorEastAsia"/>
          <w:kern w:val="0"/>
          <w:sz w:val="24"/>
          <w:highlight w:val="none"/>
          <w:lang w:val="en-US" w:eastAsia="zh-CN"/>
        </w:rPr>
        <w:t>至</w:t>
      </w:r>
      <w:r>
        <w:rPr>
          <w:rFonts w:cs="仿宋_GB2312" w:asciiTheme="minorEastAsia" w:hAnsiTheme="minorEastAsia" w:eastAsiaTheme="minorEastAsia"/>
          <w:kern w:val="0"/>
          <w:sz w:val="24"/>
          <w:highlight w:val="none"/>
        </w:rPr>
        <w:t>20</w:t>
      </w:r>
      <w:r>
        <w:rPr>
          <w:rFonts w:hint="eastAsia" w:cs="仿宋_GB2312" w:asciiTheme="minorEastAsia" w:hAnsiTheme="minorEastAsia" w:eastAsiaTheme="minorEastAsia"/>
          <w:kern w:val="0"/>
          <w:sz w:val="24"/>
          <w:highlight w:val="none"/>
          <w:lang w:val="en-US" w:eastAsia="zh-CN"/>
        </w:rPr>
        <w:t>22</w:t>
      </w:r>
      <w:r>
        <w:rPr>
          <w:rFonts w:hint="eastAsia" w:cs="仿宋_GB2312" w:asciiTheme="minorEastAsia" w:hAnsiTheme="minorEastAsia" w:eastAsiaTheme="minorEastAsia"/>
          <w:kern w:val="0"/>
          <w:sz w:val="24"/>
          <w:highlight w:val="none"/>
        </w:rPr>
        <w:t>年末，</w:t>
      </w:r>
      <w:r>
        <w:rPr>
          <w:rFonts w:hint="eastAsia" w:cs="仿宋_GB2312" w:asciiTheme="minorEastAsia" w:hAnsiTheme="minorEastAsia" w:eastAsiaTheme="minorEastAsia"/>
          <w:kern w:val="0"/>
          <w:sz w:val="24"/>
          <w:highlight w:val="none"/>
          <w:lang w:val="en-US" w:eastAsia="zh-CN"/>
        </w:rPr>
        <w:t>公司</w:t>
      </w:r>
      <w:r>
        <w:rPr>
          <w:rFonts w:hint="eastAsia" w:cs="仿宋_GB2312" w:asciiTheme="minorEastAsia" w:hAnsiTheme="minorEastAsia" w:eastAsiaTheme="minorEastAsia"/>
          <w:kern w:val="0"/>
          <w:sz w:val="24"/>
          <w:highlight w:val="none"/>
        </w:rPr>
        <w:t>各项主要监管财务指标均符合监管要求。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cs="Arial Unicode MS" w:asciiTheme="minorEastAsia" w:hAnsiTheme="minorEastAsia" w:eastAsiaTheme="minorEastAsia"/>
          <w:b/>
          <w:kern w:val="0"/>
          <w:sz w:val="24"/>
          <w:szCs w:val="22"/>
          <w:highlight w:val="none"/>
          <w:lang w:val="en-US" w:eastAsia="zh-CN"/>
        </w:rPr>
      </w:pPr>
      <w:r>
        <w:rPr>
          <w:rFonts w:hint="eastAsia" w:cs="Arial Unicode MS" w:asciiTheme="minorEastAsia" w:hAnsiTheme="minorEastAsia" w:eastAsiaTheme="minorEastAsia"/>
          <w:b/>
          <w:kern w:val="0"/>
          <w:sz w:val="24"/>
          <w:szCs w:val="22"/>
          <w:highlight w:val="none"/>
          <w:lang w:val="en-US" w:eastAsia="zh-CN"/>
        </w:rPr>
        <w:t>（四）始终坚持战略驱动，业务发展转型加速</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cs="Times New Roman" w:asciiTheme="minorEastAsia" w:hAnsiTheme="minorEastAsia" w:eastAsiaTheme="minorEastAsia"/>
          <w:b w:val="0"/>
          <w:bCs w:val="0"/>
          <w:sz w:val="24"/>
          <w:szCs w:val="22"/>
          <w:highlight w:val="none"/>
          <w:lang w:val="en-US" w:eastAsia="zh-CN"/>
        </w:rPr>
      </w:pPr>
      <w:r>
        <w:rPr>
          <w:rFonts w:hint="eastAsia" w:cs="Times New Roman" w:asciiTheme="minorEastAsia" w:hAnsiTheme="minorEastAsia" w:eastAsiaTheme="minorEastAsia"/>
          <w:b/>
          <w:bCs/>
          <w:sz w:val="24"/>
          <w:szCs w:val="22"/>
          <w:highlight w:val="none"/>
          <w:lang w:val="en-US" w:eastAsia="zh-CN"/>
        </w:rPr>
        <w:t>一是</w:t>
      </w:r>
      <w:r>
        <w:rPr>
          <w:rFonts w:hint="eastAsia" w:cs="Times New Roman" w:asciiTheme="minorEastAsia" w:hAnsiTheme="minorEastAsia" w:eastAsiaTheme="minorEastAsia"/>
          <w:b w:val="0"/>
          <w:bCs w:val="0"/>
          <w:sz w:val="24"/>
          <w:szCs w:val="22"/>
          <w:highlight w:val="none"/>
          <w:lang w:val="en-US" w:eastAsia="zh-CN"/>
        </w:rPr>
        <w:t>有序推进2021-2023年发展战略规划落地，持续发挥“客户体验、数字科技、人与机制”三大战略驱动力作用，深化落实业务战略、区域战略和综合金融三大发展战略，进一步夯实高质量发展基础。</w:t>
      </w:r>
      <w:r>
        <w:rPr>
          <w:rFonts w:hint="eastAsia" w:cs="Times New Roman" w:asciiTheme="minorEastAsia" w:hAnsiTheme="minorEastAsia" w:eastAsiaTheme="minorEastAsia"/>
          <w:b/>
          <w:bCs/>
          <w:sz w:val="24"/>
          <w:szCs w:val="22"/>
          <w:highlight w:val="none"/>
          <w:lang w:val="en-US" w:eastAsia="zh-CN"/>
        </w:rPr>
        <w:t>二是</w:t>
      </w:r>
      <w:r>
        <w:rPr>
          <w:rFonts w:hint="eastAsia" w:cs="Times New Roman" w:asciiTheme="minorEastAsia" w:hAnsiTheme="minorEastAsia" w:eastAsiaTheme="minorEastAsia"/>
          <w:b w:val="0"/>
          <w:bCs w:val="0"/>
          <w:sz w:val="24"/>
          <w:szCs w:val="22"/>
          <w:highlight w:val="none"/>
          <w:lang w:val="en-US" w:eastAsia="zh-CN"/>
        </w:rPr>
        <w:t>持续推进大零售业务发展与转型，通过深化客群分层分类经营、大力发展财富管理、创新信用消费贷款等举措，提升零售金融服务能力，着力打造“零售”精品银行。</w:t>
      </w:r>
      <w:r>
        <w:rPr>
          <w:rFonts w:hint="eastAsia" w:cs="Times New Roman" w:asciiTheme="minorEastAsia" w:hAnsiTheme="minorEastAsia" w:eastAsiaTheme="minorEastAsia"/>
          <w:b/>
          <w:bCs/>
          <w:sz w:val="24"/>
          <w:szCs w:val="22"/>
          <w:highlight w:val="none"/>
          <w:lang w:val="en-US" w:eastAsia="zh-CN"/>
        </w:rPr>
        <w:t>三是</w:t>
      </w:r>
      <w:r>
        <w:rPr>
          <w:rFonts w:hint="eastAsia" w:cs="Times New Roman" w:asciiTheme="minorEastAsia" w:hAnsiTheme="minorEastAsia" w:eastAsiaTheme="minorEastAsia"/>
          <w:b w:val="0"/>
          <w:bCs w:val="0"/>
          <w:sz w:val="24"/>
          <w:szCs w:val="22"/>
          <w:highlight w:val="none"/>
          <w:lang w:val="en-US" w:eastAsia="zh-CN"/>
        </w:rPr>
        <w:t>加力提升对公综合化经营能力，将绿色金融纳入战略规划，成功发行绿色金融债券，以交易银行为重心集中落地多个数字化项目，“商行+投行”综合服务体系日益完善。</w:t>
      </w:r>
      <w:r>
        <w:rPr>
          <w:rFonts w:hint="eastAsia" w:cs="Times New Roman" w:asciiTheme="minorEastAsia" w:hAnsiTheme="minorEastAsia" w:eastAsiaTheme="minorEastAsia"/>
          <w:b/>
          <w:bCs/>
          <w:sz w:val="24"/>
          <w:szCs w:val="22"/>
          <w:highlight w:val="none"/>
          <w:lang w:val="en-US" w:eastAsia="zh-CN"/>
        </w:rPr>
        <w:t>四是</w:t>
      </w:r>
      <w:r>
        <w:rPr>
          <w:rFonts w:hint="eastAsia" w:cs="Times New Roman" w:asciiTheme="minorEastAsia" w:hAnsiTheme="minorEastAsia" w:eastAsiaTheme="minorEastAsia"/>
          <w:b w:val="0"/>
          <w:bCs w:val="0"/>
          <w:sz w:val="24"/>
          <w:szCs w:val="22"/>
          <w:highlight w:val="none"/>
          <w:lang w:val="en-US" w:eastAsia="zh-CN"/>
        </w:rPr>
        <w:t>数字化转型赋能降本增效，推进数据治理和数字科技两个专项规划有序落地，持续完善数据治理机制，工作效率和精细化管理水平进一步提升。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cs="Times New Roman" w:asciiTheme="minorEastAsia" w:hAnsiTheme="minorEastAsia" w:eastAsiaTheme="minorEastAsia"/>
          <w:b w:val="0"/>
          <w:bCs w:val="0"/>
          <w:sz w:val="24"/>
          <w:szCs w:val="22"/>
          <w:highlight w:val="none"/>
          <w:lang w:val="en-US" w:eastAsia="zh-CN"/>
        </w:rPr>
      </w:pPr>
      <w:r>
        <w:rPr>
          <w:rFonts w:hint="eastAsia" w:cs="Arial Unicode MS" w:asciiTheme="minorEastAsia" w:hAnsiTheme="minorEastAsia" w:eastAsiaTheme="minorEastAsia"/>
          <w:b/>
          <w:kern w:val="0"/>
          <w:sz w:val="24"/>
          <w:szCs w:val="22"/>
          <w:highlight w:val="none"/>
          <w:lang w:val="en-US" w:eastAsia="zh-CN"/>
        </w:rPr>
        <w:t>（五）</w:t>
      </w:r>
      <w:r>
        <w:rPr>
          <w:rFonts w:hint="eastAsia" w:asciiTheme="minorEastAsia" w:hAnsiTheme="minorEastAsia" w:eastAsiaTheme="minorEastAsia"/>
          <w:b/>
          <w:sz w:val="24"/>
        </w:rPr>
        <w:t>着力夯实基础平台</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持续提升管理效能</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asciiTheme="minorEastAsia" w:hAnsiTheme="minorEastAsia" w:eastAsiaTheme="minorEastAsia"/>
          <w:sz w:val="24"/>
          <w:highlight w:val="none"/>
          <w:lang w:val="en-US" w:eastAsia="zh-CN"/>
        </w:rPr>
      </w:pPr>
      <w:r>
        <w:rPr>
          <w:rFonts w:hint="eastAsia" w:cs="Times New Roman" w:asciiTheme="minorEastAsia" w:hAnsiTheme="minorEastAsia" w:eastAsiaTheme="minorEastAsia"/>
          <w:b/>
          <w:bCs/>
          <w:sz w:val="24"/>
          <w:szCs w:val="22"/>
          <w:highlight w:val="none"/>
          <w:lang w:val="en-US" w:eastAsia="zh-CN"/>
        </w:rPr>
        <w:t>一是</w:t>
      </w:r>
      <w:r>
        <w:rPr>
          <w:rFonts w:hint="eastAsia" w:cs="Times New Roman" w:asciiTheme="minorEastAsia" w:hAnsiTheme="minorEastAsia" w:eastAsiaTheme="minorEastAsia"/>
          <w:b w:val="0"/>
          <w:bCs w:val="0"/>
          <w:sz w:val="24"/>
          <w:szCs w:val="22"/>
          <w:highlight w:val="none"/>
          <w:lang w:val="en-US" w:eastAsia="zh-CN"/>
        </w:rPr>
        <w:t>加强公司预算目标和资负目标管控，强化对结构性存款、协议存款管控，引导存款成本下行。</w:t>
      </w:r>
      <w:r>
        <w:rPr>
          <w:rFonts w:hint="eastAsia" w:cs="Times New Roman" w:asciiTheme="minorEastAsia" w:hAnsiTheme="minorEastAsia" w:eastAsiaTheme="minorEastAsia"/>
          <w:b/>
          <w:bCs/>
          <w:sz w:val="24"/>
          <w:szCs w:val="22"/>
          <w:highlight w:val="none"/>
          <w:lang w:val="en-US" w:eastAsia="zh-CN"/>
        </w:rPr>
        <w:t>二是</w:t>
      </w:r>
      <w:r>
        <w:rPr>
          <w:rFonts w:hint="eastAsia" w:cs="Times New Roman" w:asciiTheme="minorEastAsia" w:hAnsiTheme="minorEastAsia" w:eastAsiaTheme="minorEastAsia"/>
          <w:b w:val="0"/>
          <w:bCs w:val="0"/>
          <w:sz w:val="24"/>
          <w:szCs w:val="22"/>
          <w:highlight w:val="none"/>
          <w:lang w:val="en-US" w:eastAsia="zh-CN"/>
        </w:rPr>
        <w:t>加强人才引进和人才发展，助力银行战略执行；建立与监管要求、战略需求相匹配的绩效考核支撑体系。</w:t>
      </w:r>
      <w:r>
        <w:rPr>
          <w:rFonts w:hint="eastAsia" w:cs="Times New Roman" w:asciiTheme="minorEastAsia" w:hAnsiTheme="minorEastAsia" w:eastAsiaTheme="minorEastAsia"/>
          <w:b/>
          <w:bCs/>
          <w:sz w:val="24"/>
          <w:szCs w:val="22"/>
          <w:highlight w:val="none"/>
          <w:lang w:val="en-US" w:eastAsia="zh-CN"/>
        </w:rPr>
        <w:t>三是</w:t>
      </w:r>
      <w:r>
        <w:rPr>
          <w:rFonts w:hint="eastAsia" w:cs="Times New Roman" w:asciiTheme="minorEastAsia" w:hAnsiTheme="minorEastAsia" w:eastAsiaTheme="minorEastAsia"/>
          <w:b w:val="0"/>
          <w:bCs w:val="0"/>
          <w:sz w:val="24"/>
          <w:szCs w:val="22"/>
          <w:highlight w:val="none"/>
          <w:lang w:val="en-US" w:eastAsia="zh-CN"/>
        </w:rPr>
        <w:t>营运转型提升持续推进，完成对公开户流程再造、构建账户分级分类管理体系、营运操作流程自动化风险管控等项目上线，完善个人金融信息保护。</w:t>
      </w:r>
      <w:r>
        <w:rPr>
          <w:rFonts w:hint="eastAsia" w:cs="Times New Roman" w:asciiTheme="minorEastAsia" w:hAnsiTheme="minorEastAsia" w:eastAsiaTheme="minorEastAsia"/>
          <w:b/>
          <w:bCs/>
          <w:sz w:val="24"/>
          <w:szCs w:val="22"/>
          <w:highlight w:val="none"/>
          <w:lang w:val="en-US" w:eastAsia="zh-CN"/>
        </w:rPr>
        <w:t>四是</w:t>
      </w:r>
      <w:r>
        <w:rPr>
          <w:rFonts w:hint="eastAsia" w:cs="Times New Roman" w:asciiTheme="minorEastAsia" w:hAnsiTheme="minorEastAsia" w:eastAsiaTheme="minorEastAsia"/>
          <w:b w:val="0"/>
          <w:bCs w:val="0"/>
          <w:sz w:val="24"/>
          <w:szCs w:val="22"/>
          <w:highlight w:val="none"/>
          <w:lang w:val="en-US" w:eastAsia="zh-CN"/>
        </w:rPr>
        <w:t>强化科技赋能，持续完善科技派驻制度，全面推进数据治理工作，有效支持公司业务数字化转型。</w:t>
      </w:r>
      <w:r>
        <w:rPr>
          <w:rFonts w:hint="eastAsia" w:cs="Times New Roman" w:asciiTheme="minorEastAsia" w:hAnsiTheme="minorEastAsia" w:eastAsiaTheme="minorEastAsia"/>
          <w:b/>
          <w:bCs/>
          <w:sz w:val="24"/>
          <w:szCs w:val="22"/>
          <w:highlight w:val="none"/>
          <w:lang w:val="en-US" w:eastAsia="zh-CN"/>
        </w:rPr>
        <w:t>五是</w:t>
      </w:r>
      <w:r>
        <w:rPr>
          <w:rFonts w:hint="eastAsia" w:cs="Times New Roman" w:asciiTheme="minorEastAsia" w:hAnsiTheme="minorEastAsia" w:eastAsiaTheme="minorEastAsia"/>
          <w:b w:val="0"/>
          <w:bCs w:val="0"/>
          <w:sz w:val="24"/>
          <w:szCs w:val="22"/>
          <w:highlight w:val="none"/>
          <w:lang w:val="en-US" w:eastAsia="zh-CN"/>
        </w:rPr>
        <w:t>持续做好安保、基建、采购管理工作，组织安全生产各项专项活动，全年实现“安全保卫零案件”。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asciiTheme="minorEastAsia" w:hAnsiTheme="minorEastAsia" w:eastAsiaTheme="minorEastAsia"/>
          <w:sz w:val="24"/>
          <w:highlight w:val="none"/>
          <w:lang w:val="en-US" w:eastAsia="zh-CN"/>
        </w:rPr>
      </w:pPr>
      <w:r>
        <w:rPr>
          <w:rFonts w:hint="eastAsia" w:cs="Arial Unicode MS" w:asciiTheme="minorEastAsia" w:hAnsiTheme="minorEastAsia" w:eastAsiaTheme="minorEastAsia"/>
          <w:b/>
          <w:kern w:val="0"/>
          <w:sz w:val="24"/>
          <w:szCs w:val="22"/>
          <w:highlight w:val="none"/>
          <w:lang w:val="en-US" w:eastAsia="zh-CN"/>
        </w:rPr>
        <w:t>（六）坚守风险合规底线，加大合规建设力度</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cs="Times New Roman" w:asciiTheme="minorEastAsia" w:hAnsiTheme="minorEastAsia" w:eastAsiaTheme="minorEastAsia"/>
          <w:kern w:val="2"/>
          <w:sz w:val="24"/>
          <w:szCs w:val="22"/>
          <w:highlight w:val="yellow"/>
          <w:lang w:val="en-US" w:eastAsia="zh-CN" w:bidi="ar-SA"/>
        </w:rPr>
      </w:pPr>
      <w:r>
        <w:rPr>
          <w:rFonts w:hint="eastAsia" w:cs="Times New Roman" w:asciiTheme="minorEastAsia" w:hAnsiTheme="minorEastAsia" w:eastAsiaTheme="minorEastAsia"/>
          <w:b/>
          <w:bCs/>
          <w:sz w:val="24"/>
          <w:szCs w:val="22"/>
          <w:highlight w:val="none"/>
          <w:lang w:val="en-US" w:eastAsia="zh-CN"/>
        </w:rPr>
        <w:t>一是</w:t>
      </w:r>
      <w:r>
        <w:rPr>
          <w:rFonts w:hint="eastAsia" w:asciiTheme="minorEastAsia" w:hAnsiTheme="minorEastAsia" w:eastAsiaTheme="minorEastAsia"/>
          <w:sz w:val="24"/>
          <w:highlight w:val="none"/>
          <w:lang w:val="en-US" w:eastAsia="zh-CN"/>
        </w:rPr>
        <w:t>出台年度重点支持行业授信风险指引，自主开发信用卡风控模型，实施反洗钱管理能力提升项目，组织落实预期信用损失法</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bCs/>
          <w:sz w:val="24"/>
          <w:szCs w:val="24"/>
          <w:highlight w:val="none"/>
          <w:lang w:val="en-US" w:eastAsia="zh-CN"/>
        </w:rPr>
        <w:t>二是</w:t>
      </w:r>
      <w:r>
        <w:rPr>
          <w:rFonts w:hint="eastAsia" w:ascii="宋体" w:hAnsi="宋体" w:eastAsia="宋体" w:cs="宋体"/>
          <w:b w:val="0"/>
          <w:bCs w:val="0"/>
          <w:sz w:val="24"/>
          <w:szCs w:val="24"/>
          <w:highlight w:val="none"/>
          <w:lang w:val="en-US" w:eastAsia="zh-CN"/>
        </w:rPr>
        <w:t>审慎把好审批关，通过优化授信方案、否决高风险项目</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排除高风险客户及风险隐患，对部分高风险客户采取压缩退出等策略。</w:t>
      </w:r>
      <w:r>
        <w:rPr>
          <w:rFonts w:hint="eastAsia" w:ascii="宋体" w:hAnsi="宋体" w:eastAsia="宋体" w:cs="宋体"/>
          <w:b/>
          <w:bCs/>
          <w:sz w:val="24"/>
          <w:szCs w:val="24"/>
          <w:highlight w:val="none"/>
          <w:lang w:val="en-US" w:eastAsia="zh-CN"/>
        </w:rPr>
        <w:t>三是</w:t>
      </w:r>
      <w:r>
        <w:rPr>
          <w:rFonts w:hint="eastAsia" w:ascii="宋体" w:hAnsi="宋体" w:eastAsia="宋体" w:cs="宋体"/>
          <w:b w:val="0"/>
          <w:bCs w:val="0"/>
          <w:sz w:val="24"/>
          <w:szCs w:val="24"/>
          <w:highlight w:val="none"/>
          <w:lang w:val="en-US" w:eastAsia="zh-CN"/>
        </w:rPr>
        <w:t>积极组织清收化解，通过债权转让</w:t>
      </w:r>
      <w:r>
        <w:rPr>
          <w:rFonts w:hint="eastAsia" w:ascii="宋体" w:hAnsi="宋体" w:cs="宋体"/>
          <w:b w:val="0"/>
          <w:bCs w:val="0"/>
          <w:sz w:val="24"/>
          <w:szCs w:val="24"/>
          <w:highlight w:val="none"/>
          <w:lang w:val="en-US" w:eastAsia="zh-CN"/>
        </w:rPr>
        <w:t>等方式</w:t>
      </w:r>
      <w:r>
        <w:rPr>
          <w:rFonts w:hint="eastAsia" w:ascii="宋体" w:hAnsi="宋体" w:eastAsia="宋体" w:cs="宋体"/>
          <w:b w:val="0"/>
          <w:bCs w:val="0"/>
          <w:sz w:val="24"/>
          <w:szCs w:val="24"/>
          <w:highlight w:val="none"/>
          <w:lang w:val="en-US" w:eastAsia="zh-CN"/>
        </w:rPr>
        <w:t>加快清收处置，不良清收额创历年新高。</w:t>
      </w: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是</w:t>
      </w:r>
      <w:r>
        <w:rPr>
          <w:rFonts w:hint="eastAsia" w:ascii="宋体" w:hAnsi="宋体" w:cs="宋体"/>
          <w:b w:val="0"/>
          <w:bCs w:val="0"/>
          <w:sz w:val="24"/>
          <w:szCs w:val="24"/>
          <w:highlight w:val="none"/>
          <w:lang w:val="en-US" w:eastAsia="zh-CN"/>
        </w:rPr>
        <w:t>充分</w:t>
      </w:r>
      <w:r>
        <w:rPr>
          <w:rFonts w:hint="eastAsia" w:ascii="宋体" w:hAnsi="宋体" w:eastAsia="宋体" w:cs="宋体"/>
          <w:b w:val="0"/>
          <w:bCs w:val="0"/>
          <w:sz w:val="24"/>
          <w:szCs w:val="24"/>
          <w:highlight w:val="none"/>
          <w:lang w:val="en-US" w:eastAsia="zh-CN"/>
        </w:rPr>
        <w:t>发挥审计监督作用，</w:t>
      </w:r>
      <w:r>
        <w:rPr>
          <w:rFonts w:hint="eastAsia" w:ascii="宋体" w:hAnsi="宋体" w:eastAsia="宋体" w:cs="Times New Roman"/>
          <w:kern w:val="2"/>
          <w:sz w:val="24"/>
          <w:szCs w:val="22"/>
          <w:lang w:val="en-US" w:eastAsia="zh-CN" w:bidi="ar-SA"/>
        </w:rPr>
        <w:t>督促内部审计计划的实施</w:t>
      </w:r>
      <w:r>
        <w:rPr>
          <w:rFonts w:hint="eastAsia" w:ascii="宋体" w:hAnsi="宋体" w:cs="Times New Roman"/>
          <w:kern w:val="2"/>
          <w:sz w:val="24"/>
          <w:szCs w:val="22"/>
          <w:lang w:val="en-US" w:eastAsia="zh-CN" w:bidi="ar-SA"/>
        </w:rPr>
        <w:t>，评估内部审计工作成果，指导内部审计部门有效运作</w:t>
      </w:r>
      <w:r>
        <w:rPr>
          <w:rFonts w:hint="eastAsia" w:ascii="宋体" w:hAnsi="宋体" w:eastAsia="宋体" w:cs="宋体"/>
          <w:b w:val="0"/>
          <w:bCs w:val="0"/>
          <w:sz w:val="24"/>
          <w:szCs w:val="24"/>
          <w:highlight w:val="none"/>
          <w:lang w:val="en-US" w:eastAsia="zh-CN"/>
        </w:rPr>
        <w:t>。</w:t>
      </w:r>
      <w:r>
        <w:rPr>
          <w:rFonts w:hint="eastAsia" w:cs="Times New Roman" w:asciiTheme="minorEastAsia" w:hAnsiTheme="minorEastAsia" w:eastAsiaTheme="minorEastAsia"/>
          <w:b/>
          <w:bCs/>
          <w:sz w:val="24"/>
          <w:szCs w:val="22"/>
          <w:highlight w:val="none"/>
          <w:lang w:val="en-US" w:eastAsia="zh-CN"/>
        </w:rPr>
        <w:t>五是</w:t>
      </w:r>
      <w:r>
        <w:rPr>
          <w:rFonts w:ascii="宋体" w:hAnsi="宋体" w:eastAsia="宋体" w:cs="宋体"/>
          <w:sz w:val="24"/>
          <w:szCs w:val="24"/>
        </w:rPr>
        <w:t>持续重视公司关联交易管理工作，推动公司进一步强化关联方信息收集、关联交易监管报表报送等工作，完成关联交易管理系统的优化升级，切实</w:t>
      </w:r>
      <w:r>
        <w:rPr>
          <w:rFonts w:hint="eastAsia" w:ascii="宋体" w:hAnsi="宋体" w:cs="宋体"/>
          <w:sz w:val="24"/>
          <w:szCs w:val="24"/>
          <w:lang w:val="en-US" w:eastAsia="zh-CN"/>
        </w:rPr>
        <w:t>防范</w:t>
      </w:r>
      <w:r>
        <w:rPr>
          <w:rFonts w:ascii="宋体" w:hAnsi="宋体" w:eastAsia="宋体" w:cs="宋体"/>
          <w:sz w:val="24"/>
          <w:szCs w:val="24"/>
        </w:rPr>
        <w:t>关联交易风险。</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cs="Arial Unicode MS" w:asciiTheme="minorEastAsia" w:hAnsiTheme="minorEastAsia" w:eastAsiaTheme="minorEastAsia"/>
          <w:b/>
          <w:kern w:val="0"/>
          <w:sz w:val="24"/>
          <w:highlight w:val="none"/>
          <w:lang w:val="en-US"/>
        </w:rPr>
      </w:pPr>
      <w:r>
        <w:rPr>
          <w:rFonts w:hint="eastAsia" w:cs="Arial Unicode MS" w:asciiTheme="minorEastAsia" w:hAnsiTheme="minorEastAsia" w:eastAsiaTheme="minorEastAsia"/>
          <w:b/>
          <w:kern w:val="0"/>
          <w:sz w:val="24"/>
          <w:szCs w:val="22"/>
          <w:highlight w:val="none"/>
          <w:lang w:val="en-US" w:eastAsia="zh-CN"/>
        </w:rPr>
        <w:t>（七）完善与提升信息披露，多渠道与投资者沟通交流</w:t>
      </w:r>
    </w:p>
    <w:p>
      <w:pPr>
        <w:pStyle w:val="28"/>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2" w:firstLineChars="200"/>
        <w:jc w:val="left"/>
        <w:textAlignment w:val="auto"/>
        <w:rPr>
          <w:rFonts w:hint="eastAsia" w:cs="Times New Roman" w:asciiTheme="minorEastAsia" w:hAnsiTheme="minorEastAsia" w:eastAsiaTheme="minorEastAsia"/>
          <w:kern w:val="2"/>
          <w:sz w:val="24"/>
          <w:szCs w:val="22"/>
          <w:highlight w:val="none"/>
          <w:lang w:val="zh-CN" w:eastAsia="zh-CN" w:bidi="ar-SA"/>
        </w:rPr>
      </w:pPr>
      <w:r>
        <w:rPr>
          <w:rFonts w:hint="eastAsia" w:cs="Times New Roman" w:asciiTheme="minorEastAsia" w:hAnsiTheme="minorEastAsia" w:eastAsiaTheme="minorEastAsia"/>
          <w:b/>
          <w:bCs/>
          <w:kern w:val="2"/>
          <w:sz w:val="24"/>
          <w:szCs w:val="22"/>
          <w:highlight w:val="none"/>
          <w:lang w:val="zh-CN" w:eastAsia="zh-CN" w:bidi="ar-SA"/>
        </w:rPr>
        <w:t>一是</w:t>
      </w:r>
      <w:r>
        <w:rPr>
          <w:rFonts w:hint="eastAsia" w:cs="Times New Roman" w:asciiTheme="minorEastAsia" w:hAnsiTheme="minorEastAsia" w:eastAsiaTheme="minorEastAsia"/>
          <w:b w:val="0"/>
          <w:bCs w:val="0"/>
          <w:kern w:val="2"/>
          <w:sz w:val="24"/>
          <w:szCs w:val="22"/>
          <w:highlight w:val="none"/>
          <w:lang w:val="zh-CN" w:eastAsia="zh-CN" w:bidi="ar-SA"/>
        </w:rPr>
        <w:t>持续完善信息披露制度体系建设，优化信息披露运行机制，遵循真实、准确、完整、及时和公平的原则，依法合规编制信息披露公告。2022年在上海证券交易所网站及《中国证券报》《上海证券报》《证券时报》《证券日报》等媒体披露超110份文件，内容包括定期报告、临时公告、公司治理文件等，信息披露的全面性、及时性、有效性、主动性不断提升</w:t>
      </w:r>
      <w:r>
        <w:rPr>
          <w:rFonts w:hint="eastAsia" w:cs="Times New Roman" w:asciiTheme="minorEastAsia" w:hAnsiTheme="minorEastAsia" w:eastAsiaTheme="minorEastAsia"/>
          <w:kern w:val="2"/>
          <w:sz w:val="24"/>
          <w:szCs w:val="22"/>
          <w:highlight w:val="none"/>
          <w:lang w:val="zh-CN" w:eastAsia="zh-CN" w:bidi="ar-SA"/>
        </w:rPr>
        <w:t>。</w:t>
      </w:r>
      <w:r>
        <w:rPr>
          <w:rFonts w:hint="eastAsia" w:cs="Times New Roman" w:asciiTheme="minorEastAsia" w:hAnsiTheme="minorEastAsia" w:eastAsiaTheme="minorEastAsia"/>
          <w:b/>
          <w:bCs/>
          <w:kern w:val="2"/>
          <w:sz w:val="24"/>
          <w:szCs w:val="22"/>
          <w:highlight w:val="none"/>
          <w:lang w:val="en-US" w:eastAsia="zh-CN" w:bidi="ar-SA"/>
        </w:rPr>
        <w:t>二是</w:t>
      </w:r>
      <w:r>
        <w:rPr>
          <w:rFonts w:hint="eastAsia" w:cs="Times New Roman" w:asciiTheme="minorEastAsia" w:hAnsiTheme="minorEastAsia" w:eastAsiaTheme="minorEastAsia"/>
          <w:kern w:val="2"/>
          <w:sz w:val="24"/>
          <w:szCs w:val="22"/>
          <w:highlight w:val="none"/>
          <w:lang w:val="en-US" w:eastAsia="zh-CN" w:bidi="ar-SA"/>
        </w:rPr>
        <w:t>修订了《厦门银行股份有限公司投资者关系管理办法》；成功举办2021年度业绩发布会、2022年第三季度业绩说明会，对投资者广泛关注的问题进行了解答；组织了6场专题投资者调研，向投资者传递银行价值；设立了投资者邮箱和投资者热线，及时回复E互动平台投资者提问，保持与投资者的日常沟通，实现与资本市场的良好互动</w:t>
      </w:r>
      <w:r>
        <w:rPr>
          <w:rFonts w:hint="eastAsia" w:cs="Times New Roman" w:asciiTheme="minorEastAsia" w:hAnsiTheme="minorEastAsia" w:eastAsiaTheme="minorEastAsia"/>
          <w:kern w:val="2"/>
          <w:sz w:val="24"/>
          <w:szCs w:val="22"/>
          <w:highlight w:val="none"/>
          <w:lang w:val="zh-CN"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cs="Arial Unicode MS" w:asciiTheme="minorEastAsia" w:hAnsiTheme="minorEastAsia" w:eastAsiaTheme="minorEastAsia"/>
          <w:b/>
          <w:kern w:val="0"/>
          <w:sz w:val="24"/>
          <w:szCs w:val="22"/>
          <w:highlight w:val="none"/>
          <w:lang w:val="en-US" w:eastAsia="zh-CN"/>
        </w:rPr>
      </w:pPr>
      <w:r>
        <w:rPr>
          <w:rFonts w:hint="eastAsia" w:cs="Arial Unicode MS" w:asciiTheme="minorEastAsia" w:hAnsiTheme="minorEastAsia" w:eastAsiaTheme="minorEastAsia"/>
          <w:b/>
          <w:kern w:val="0"/>
          <w:sz w:val="24"/>
          <w:szCs w:val="22"/>
          <w:highlight w:val="none"/>
          <w:lang w:val="en-US" w:eastAsia="zh-CN"/>
        </w:rPr>
        <w:t>（八）强化党建引领，加强企业文化建设</w:t>
      </w:r>
    </w:p>
    <w:p>
      <w:pPr>
        <w:keepNext w:val="0"/>
        <w:keepLines w:val="0"/>
        <w:pageBreakBefore w:val="0"/>
        <w:widowControl w:val="0"/>
        <w:kinsoku/>
        <w:wordWrap/>
        <w:overflowPunct/>
        <w:topLinePunct w:val="0"/>
        <w:bidi w:val="0"/>
        <w:snapToGrid w:val="0"/>
        <w:spacing w:line="360" w:lineRule="auto"/>
        <w:ind w:left="0" w:firstLine="482" w:firstLineChars="200"/>
        <w:textAlignment w:val="auto"/>
        <w:rPr>
          <w:rFonts w:hint="default"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b/>
          <w:bCs/>
          <w:kern w:val="2"/>
          <w:sz w:val="24"/>
          <w:szCs w:val="22"/>
          <w:highlight w:val="none"/>
          <w:lang w:val="en-US" w:eastAsia="zh-CN" w:bidi="ar-SA"/>
        </w:rPr>
        <w:t>一是</w:t>
      </w:r>
      <w:r>
        <w:rPr>
          <w:rFonts w:hint="eastAsia" w:cs="Times New Roman" w:asciiTheme="minorEastAsia" w:hAnsiTheme="minorEastAsia" w:eastAsiaTheme="minorEastAsia"/>
          <w:b w:val="0"/>
          <w:bCs w:val="0"/>
          <w:kern w:val="2"/>
          <w:sz w:val="24"/>
          <w:szCs w:val="22"/>
          <w:highlight w:val="none"/>
          <w:lang w:val="en-US" w:eastAsia="zh-CN" w:bidi="ar-SA"/>
        </w:rPr>
        <w:t>掀起学习宣传贯彻党的二十大精神的热潮，基层党建品牌建设持续推进，精神文明建设取得较好成效。</w:t>
      </w:r>
      <w:r>
        <w:rPr>
          <w:rFonts w:hint="eastAsia" w:cs="Times New Roman" w:asciiTheme="minorEastAsia" w:hAnsiTheme="minorEastAsia" w:eastAsiaTheme="minorEastAsia"/>
          <w:b/>
          <w:bCs/>
          <w:kern w:val="2"/>
          <w:sz w:val="24"/>
          <w:szCs w:val="22"/>
          <w:highlight w:val="none"/>
          <w:lang w:val="en-US" w:eastAsia="zh-CN" w:bidi="ar-SA"/>
        </w:rPr>
        <w:t>二是</w:t>
      </w:r>
      <w:r>
        <w:rPr>
          <w:rFonts w:hint="eastAsia" w:cs="Times New Roman" w:asciiTheme="minorEastAsia" w:hAnsiTheme="minorEastAsia" w:eastAsiaTheme="minorEastAsia"/>
          <w:b w:val="0"/>
          <w:bCs w:val="0"/>
          <w:kern w:val="2"/>
          <w:sz w:val="24"/>
          <w:szCs w:val="22"/>
          <w:highlight w:val="none"/>
          <w:lang w:val="en-US" w:eastAsia="zh-CN" w:bidi="ar-SA"/>
        </w:rPr>
        <w:t>进一步完善清廉金融文化建设体系，推进与党风廉政建设、业务合规经营、内控风险管理、员工行为管理等同部署同落实，持续提升全员廉洁意识。</w:t>
      </w:r>
      <w:r>
        <w:rPr>
          <w:rFonts w:hint="eastAsia" w:cs="Times New Roman" w:asciiTheme="minorEastAsia" w:hAnsiTheme="minorEastAsia" w:eastAsiaTheme="minorEastAsia"/>
          <w:b/>
          <w:bCs/>
          <w:kern w:val="2"/>
          <w:sz w:val="24"/>
          <w:szCs w:val="22"/>
          <w:highlight w:val="none"/>
          <w:lang w:val="en-US" w:eastAsia="zh-CN" w:bidi="ar-SA"/>
        </w:rPr>
        <w:t>三是</w:t>
      </w:r>
      <w:r>
        <w:rPr>
          <w:rFonts w:hint="eastAsia" w:cs="Times New Roman" w:asciiTheme="minorEastAsia" w:hAnsiTheme="minorEastAsia" w:eastAsiaTheme="minorEastAsia"/>
          <w:b w:val="0"/>
          <w:bCs w:val="0"/>
          <w:kern w:val="2"/>
          <w:sz w:val="24"/>
          <w:szCs w:val="22"/>
          <w:highlight w:val="none"/>
          <w:lang w:val="en-US" w:eastAsia="zh-CN" w:bidi="ar-SA"/>
        </w:rPr>
        <w:t>持续开展员工关爱基金捐款、员工子女教育奖励、无偿献血活动，支持南普陀新年慈善书画义卖等公益活动。</w:t>
      </w:r>
      <w:r>
        <w:rPr>
          <w:rFonts w:hint="eastAsia" w:cs="Times New Roman" w:asciiTheme="minorEastAsia" w:hAnsiTheme="minorEastAsia" w:eastAsiaTheme="minorEastAsia"/>
          <w:b/>
          <w:bCs/>
          <w:kern w:val="2"/>
          <w:sz w:val="24"/>
          <w:szCs w:val="22"/>
          <w:highlight w:val="none"/>
          <w:lang w:val="en-US" w:eastAsia="zh-CN" w:bidi="ar-SA"/>
        </w:rPr>
        <w:t>四是</w:t>
      </w:r>
      <w:r>
        <w:rPr>
          <w:rFonts w:hint="eastAsia" w:cs="Times New Roman" w:asciiTheme="minorEastAsia" w:hAnsiTheme="minorEastAsia" w:eastAsiaTheme="minorEastAsia"/>
          <w:b w:val="0"/>
          <w:bCs w:val="0"/>
          <w:kern w:val="2"/>
          <w:sz w:val="24"/>
          <w:szCs w:val="22"/>
          <w:highlight w:val="none"/>
          <w:lang w:val="en-US" w:eastAsia="zh-CN" w:bidi="ar-SA"/>
        </w:rPr>
        <w:t>持续提升两岸金融品牌知名度，开展台湾高</w:t>
      </w:r>
      <w:r>
        <w:rPr>
          <w:rFonts w:hint="eastAsia" w:cs="Times New Roman" w:asciiTheme="minorEastAsia" w:hAnsiTheme="minorEastAsia" w:eastAsiaTheme="minorEastAsia"/>
          <w:kern w:val="2"/>
          <w:sz w:val="24"/>
          <w:szCs w:val="22"/>
          <w:lang w:val="en-US" w:eastAsia="zh-CN" w:bidi="ar-SA"/>
        </w:rPr>
        <w:t>校实习计划，支持两岸少儿美术展、两岸斗茶、两岸青年企业家篮球赛等对台特色活动。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eastAsia" w:cs="Arial Unicode MS" w:asciiTheme="minorEastAsia" w:hAnsiTheme="minorEastAsia" w:eastAsiaTheme="minorEastAsia"/>
          <w:b/>
          <w:kern w:val="0"/>
          <w:sz w:val="24"/>
          <w:szCs w:val="22"/>
          <w:highlight w:val="none"/>
          <w:lang w:val="en-US" w:eastAsia="zh-CN"/>
        </w:rPr>
      </w:pPr>
      <w:r>
        <w:rPr>
          <w:rFonts w:hint="eastAsia" w:cs="Arial Unicode MS" w:asciiTheme="minorEastAsia" w:hAnsiTheme="minorEastAsia" w:eastAsiaTheme="minorEastAsia"/>
          <w:b/>
          <w:kern w:val="0"/>
          <w:sz w:val="24"/>
          <w:szCs w:val="22"/>
          <w:highlight w:val="none"/>
          <w:lang w:val="en-US" w:eastAsia="zh-CN"/>
        </w:rPr>
        <w:t>二、2023年重点工作安排</w:t>
      </w:r>
    </w:p>
    <w:p>
      <w:pPr>
        <w:keepNext w:val="0"/>
        <w:keepLines w:val="0"/>
        <w:pageBreakBefore w:val="0"/>
        <w:widowControl w:val="0"/>
        <w:kinsoku/>
        <w:wordWrap/>
        <w:overflowPunct/>
        <w:topLinePunct w:val="0"/>
        <w:bidi w:val="0"/>
        <w:snapToGrid w:val="0"/>
        <w:spacing w:line="360" w:lineRule="auto"/>
        <w:ind w:left="0" w:firstLine="480" w:firstLineChars="200"/>
        <w:textAlignment w:val="auto"/>
        <w:rPr>
          <w:rFonts w:hint="eastAsia" w:cs="Times New Roman" w:asciiTheme="minorEastAsia" w:hAnsiTheme="minorEastAsia" w:eastAsiaTheme="minorEastAsia"/>
          <w:kern w:val="2"/>
          <w:sz w:val="24"/>
          <w:szCs w:val="22"/>
          <w:highlight w:val="none"/>
          <w:lang w:val="en-US" w:eastAsia="zh-CN" w:bidi="ar-SA"/>
        </w:rPr>
      </w:pPr>
      <w:r>
        <w:rPr>
          <w:rFonts w:hint="eastAsia" w:cs="Times New Roman" w:asciiTheme="minorEastAsia" w:hAnsiTheme="minorEastAsia" w:eastAsiaTheme="minorEastAsia"/>
          <w:kern w:val="2"/>
          <w:sz w:val="24"/>
          <w:szCs w:val="22"/>
          <w:highlight w:val="none"/>
          <w:lang w:val="en-US" w:eastAsia="zh-CN" w:bidi="ar-SA"/>
        </w:rPr>
        <w:t>2023年，</w:t>
      </w:r>
      <w:r>
        <w:rPr>
          <w:rFonts w:hint="eastAsia" w:asciiTheme="minorEastAsia" w:hAnsiTheme="minorEastAsia" w:eastAsiaTheme="minorEastAsia"/>
          <w:sz w:val="24"/>
          <w:highlight w:val="none"/>
        </w:rPr>
        <w:t>是公司</w:t>
      </w:r>
      <w:r>
        <w:rPr>
          <w:rFonts w:hint="eastAsia" w:asciiTheme="minorEastAsia" w:hAnsiTheme="minorEastAsia" w:eastAsiaTheme="minorEastAsia"/>
          <w:sz w:val="24"/>
          <w:highlight w:val="none"/>
          <w:lang w:val="en-US" w:eastAsia="zh-CN"/>
        </w:rPr>
        <w:t>第五期三年战略规划的收官之年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在新的一年里</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公司</w:t>
      </w:r>
      <w:r>
        <w:rPr>
          <w:rFonts w:hint="eastAsia" w:cs="Times New Roman" w:asciiTheme="minorEastAsia" w:hAnsiTheme="minorEastAsia" w:eastAsiaTheme="minorEastAsia"/>
          <w:kern w:val="2"/>
          <w:sz w:val="24"/>
          <w:szCs w:val="22"/>
          <w:highlight w:val="none"/>
          <w:lang w:val="en-US" w:eastAsia="zh-CN" w:bidi="ar-SA"/>
        </w:rPr>
        <w:t>董事会将</w:t>
      </w:r>
      <w:r>
        <w:rPr>
          <w:rFonts w:hint="eastAsia" w:cs="Times New Roman" w:asciiTheme="minorEastAsia" w:hAnsiTheme="minorEastAsia" w:eastAsiaTheme="minorEastAsia"/>
          <w:kern w:val="2"/>
          <w:sz w:val="24"/>
          <w:szCs w:val="22"/>
          <w:lang w:val="en-US" w:eastAsia="zh-CN" w:bidi="ar-SA"/>
        </w:rPr>
        <w:t>切实采取有效措施推动“2021—2023”规划深入实施，坚持以习近平新时代中国特色社会主义思想为指导，全面学习贯彻党的二十大精神，紧密联系全省全市经济社会发展大局，坚持稳中求进工作总基调，以高质量发展为主题，以推进战略规划落地为抓手，统筹兼顾量的合理增长和质的有效提升，在稳中提速提质，在进中保稳强稳，全面实现银行发展的再提升、再跨越。</w:t>
      </w:r>
    </w:p>
    <w:p>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2" w:leftChars="0" w:firstLine="482" w:firstLineChars="0"/>
        <w:textAlignment w:val="auto"/>
        <w:rPr>
          <w:rFonts w:hint="eastAsia" w:cs="Arial Unicode MS" w:asciiTheme="minorEastAsia" w:hAnsiTheme="minorEastAsia" w:eastAsiaTheme="minorEastAsia"/>
          <w:b/>
          <w:kern w:val="0"/>
          <w:sz w:val="24"/>
          <w:szCs w:val="22"/>
          <w:highlight w:val="none"/>
          <w:lang w:val="en-US" w:eastAsia="zh-CN" w:bidi="ar-SA"/>
        </w:rPr>
      </w:pPr>
      <w:r>
        <w:rPr>
          <w:rFonts w:hint="eastAsia" w:cs="Arial Unicode MS" w:asciiTheme="minorEastAsia" w:hAnsiTheme="minorEastAsia" w:eastAsiaTheme="minorEastAsia"/>
          <w:b/>
          <w:kern w:val="0"/>
          <w:sz w:val="24"/>
          <w:szCs w:val="22"/>
          <w:highlight w:val="none"/>
          <w:lang w:val="en-US" w:eastAsia="zh-CN" w:bidi="ar-SA"/>
        </w:rPr>
        <w:t>董事会重点工作思路</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kern w:val="2"/>
          <w:sz w:val="24"/>
          <w:szCs w:val="22"/>
          <w:highlight w:val="none"/>
          <w:lang w:val="en-US" w:eastAsia="zh-CN" w:bidi="ar-SA"/>
        </w:rPr>
        <w:t>202</w:t>
      </w:r>
      <w:r>
        <w:rPr>
          <w:rFonts w:hint="eastAsia" w:ascii="宋体" w:hAnsi="宋体" w:cs="Times New Roman"/>
          <w:kern w:val="2"/>
          <w:sz w:val="24"/>
          <w:szCs w:val="22"/>
          <w:highlight w:val="none"/>
          <w:lang w:val="en-US" w:eastAsia="zh-CN" w:bidi="ar-SA"/>
        </w:rPr>
        <w:t>3</w:t>
      </w:r>
      <w:r>
        <w:rPr>
          <w:rFonts w:hint="eastAsia" w:ascii="宋体" w:hAnsi="宋体" w:eastAsia="宋体" w:cs="Times New Roman"/>
          <w:kern w:val="2"/>
          <w:sz w:val="24"/>
          <w:szCs w:val="22"/>
          <w:highlight w:val="none"/>
          <w:lang w:val="en-US" w:eastAsia="zh-CN" w:bidi="ar-SA"/>
        </w:rPr>
        <w:t>年，董事会</w:t>
      </w:r>
      <w:r>
        <w:rPr>
          <w:rFonts w:hint="eastAsia" w:ascii="宋体" w:hAnsi="宋体" w:cs="Times New Roman"/>
          <w:kern w:val="2"/>
          <w:sz w:val="24"/>
          <w:szCs w:val="22"/>
          <w:highlight w:val="none"/>
          <w:lang w:val="en-US" w:eastAsia="zh-CN" w:bidi="ar-SA"/>
        </w:rPr>
        <w:t>将</w:t>
      </w:r>
      <w:r>
        <w:rPr>
          <w:rFonts w:hint="eastAsia" w:ascii="宋体" w:hAnsi="宋体" w:eastAsia="宋体" w:cs="Times New Roman"/>
          <w:kern w:val="2"/>
          <w:sz w:val="24"/>
          <w:szCs w:val="22"/>
          <w:highlight w:val="none"/>
          <w:lang w:val="en-US" w:eastAsia="zh-CN" w:bidi="ar-SA"/>
        </w:rPr>
        <w:t>严格</w:t>
      </w:r>
      <w:r>
        <w:rPr>
          <w:rFonts w:hint="eastAsia" w:ascii="宋体" w:hAnsi="宋体" w:cs="Times New Roman"/>
          <w:kern w:val="2"/>
          <w:sz w:val="24"/>
          <w:szCs w:val="22"/>
          <w:highlight w:val="none"/>
          <w:lang w:val="en-US" w:eastAsia="zh-CN" w:bidi="ar-SA"/>
        </w:rPr>
        <w:t>遵照相关法律法规及</w:t>
      </w:r>
      <w:r>
        <w:rPr>
          <w:rFonts w:hint="eastAsia" w:ascii="宋体" w:hAnsi="宋体" w:eastAsia="宋体" w:cs="Times New Roman"/>
          <w:kern w:val="2"/>
          <w:sz w:val="24"/>
          <w:szCs w:val="22"/>
          <w:highlight w:val="none"/>
          <w:lang w:val="en-US" w:eastAsia="zh-CN" w:bidi="ar-SA"/>
        </w:rPr>
        <w:t>《公司章程》</w:t>
      </w:r>
      <w:r>
        <w:rPr>
          <w:rFonts w:hint="eastAsia" w:cs="Times New Roman" w:asciiTheme="minorEastAsia" w:hAnsiTheme="minorEastAsia" w:eastAsiaTheme="minorEastAsia"/>
          <w:kern w:val="2"/>
          <w:sz w:val="24"/>
          <w:szCs w:val="22"/>
          <w:highlight w:val="none"/>
          <w:lang w:val="en-US" w:eastAsia="zh-CN" w:bidi="ar-SA"/>
        </w:rPr>
        <w:t>《厦门银行股份有限公司董事会议事规则》</w:t>
      </w:r>
      <w:r>
        <w:rPr>
          <w:rFonts w:hint="eastAsia" w:ascii="宋体" w:hAnsi="宋体" w:eastAsia="宋体" w:cs="Times New Roman"/>
          <w:kern w:val="2"/>
          <w:sz w:val="24"/>
          <w:szCs w:val="22"/>
          <w:highlight w:val="none"/>
          <w:lang w:val="en-US" w:eastAsia="zh-CN" w:bidi="ar-SA"/>
        </w:rPr>
        <w:t>的规定，</w:t>
      </w:r>
      <w:r>
        <w:rPr>
          <w:rFonts w:hint="eastAsia" w:ascii="宋体" w:hAnsi="宋体" w:cs="Times New Roman"/>
          <w:kern w:val="2"/>
          <w:sz w:val="24"/>
          <w:szCs w:val="22"/>
          <w:highlight w:val="none"/>
          <w:lang w:val="en-US" w:eastAsia="zh-CN" w:bidi="ar-SA"/>
        </w:rPr>
        <w:t>忠实</w:t>
      </w:r>
      <w:r>
        <w:rPr>
          <w:rFonts w:hint="eastAsia" w:ascii="宋体" w:hAnsi="宋体" w:eastAsia="宋体" w:cs="Times New Roman"/>
          <w:kern w:val="2"/>
          <w:sz w:val="24"/>
          <w:szCs w:val="22"/>
          <w:highlight w:val="none"/>
          <w:lang w:val="en-US" w:eastAsia="zh-CN" w:bidi="ar-SA"/>
        </w:rPr>
        <w:t>勤勉地履行各项职责。</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cs="Arial Unicode MS" w:asciiTheme="minorEastAsia" w:hAnsiTheme="minorEastAsia" w:eastAsiaTheme="minorEastAsia"/>
          <w:b/>
          <w:kern w:val="0"/>
          <w:sz w:val="24"/>
          <w:szCs w:val="22"/>
          <w:highlight w:val="none"/>
          <w:lang w:val="en-US" w:eastAsia="zh-CN" w:bidi="ar-SA"/>
        </w:rPr>
      </w:pPr>
      <w:r>
        <w:rPr>
          <w:rFonts w:hint="eastAsia" w:cs="Arial Unicode MS" w:asciiTheme="minorEastAsia" w:hAnsiTheme="minorEastAsia" w:eastAsiaTheme="minorEastAsia"/>
          <w:b/>
          <w:bCs w:val="0"/>
          <w:kern w:val="0"/>
          <w:sz w:val="24"/>
          <w:szCs w:val="22"/>
          <w:highlight w:val="none"/>
          <w:lang w:val="en-US" w:eastAsia="zh-CN" w:bidi="ar-SA"/>
        </w:rPr>
        <w:t>一是</w:t>
      </w:r>
      <w:r>
        <w:rPr>
          <w:rFonts w:hint="eastAsia" w:cs="Arial Unicode MS" w:asciiTheme="minorEastAsia" w:hAnsiTheme="minorEastAsia" w:eastAsiaTheme="minorEastAsia"/>
          <w:b w:val="0"/>
          <w:bCs/>
          <w:kern w:val="0"/>
          <w:sz w:val="24"/>
          <w:szCs w:val="22"/>
          <w:highlight w:val="none"/>
          <w:lang w:val="en-US" w:eastAsia="zh-CN" w:bidi="ar-SA"/>
        </w:rPr>
        <w:t>持续学习宣传贯彻党的二十大精神，推进党建品牌创建，实现基层党委全覆盖，切实将党的二十大精神转化为公司高质量发展的生动实践；促进党的领导与公司治理有机融合，充分发挥党委把方向、管大局、促落实的领导作用；提升党建工作创新力，不断丰富党建品牌内涵，踊跃争创“青年文明号”“工人先锋号”“巾帼文明岗”等荣誉称号；深化清廉金融文化建设，筑牢廉洁防线；发扬公司企业文化特色，举办相应活动；加强品牌建设，开展对台特色活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asciiTheme="minorEastAsia" w:hAnsiTheme="minorEastAsia" w:eastAsiaTheme="minorEastAsia"/>
          <w:sz w:val="24"/>
          <w:highlight w:val="none"/>
          <w:lang w:val="en-US" w:eastAsia="zh-CN"/>
        </w:rPr>
      </w:pPr>
      <w:r>
        <w:rPr>
          <w:rFonts w:hint="default" w:cs="Arial Unicode MS" w:asciiTheme="minorEastAsia" w:hAnsiTheme="minorEastAsia" w:eastAsiaTheme="minorEastAsia"/>
          <w:b/>
          <w:kern w:val="0"/>
          <w:sz w:val="24"/>
          <w:szCs w:val="22"/>
          <w:highlight w:val="none"/>
          <w:lang w:val="en-US" w:eastAsia="zh-CN" w:bidi="ar-SA"/>
        </w:rPr>
        <w:t>二</w:t>
      </w:r>
      <w:r>
        <w:rPr>
          <w:rFonts w:hint="eastAsia" w:cs="Arial Unicode MS" w:asciiTheme="minorEastAsia" w:hAnsiTheme="minorEastAsia" w:eastAsiaTheme="minorEastAsia"/>
          <w:b/>
          <w:kern w:val="0"/>
          <w:sz w:val="24"/>
          <w:szCs w:val="22"/>
          <w:highlight w:val="none"/>
          <w:lang w:val="en-US" w:eastAsia="zh-CN" w:bidi="ar-SA"/>
        </w:rPr>
        <w:t>是</w:t>
      </w:r>
      <w:r>
        <w:rPr>
          <w:rFonts w:hint="eastAsia" w:cs="Arial Unicode MS" w:asciiTheme="minorEastAsia" w:hAnsiTheme="minorEastAsia" w:eastAsiaTheme="minorEastAsia"/>
          <w:b w:val="0"/>
          <w:bCs/>
          <w:kern w:val="0"/>
          <w:sz w:val="24"/>
          <w:szCs w:val="22"/>
          <w:highlight w:val="none"/>
          <w:lang w:val="en-US" w:eastAsia="zh-CN" w:bidi="ar-SA"/>
        </w:rPr>
        <w:t>推动公司治理水平的持续提升，</w:t>
      </w:r>
      <w:r>
        <w:rPr>
          <w:rFonts w:hint="eastAsia" w:asciiTheme="minorEastAsia" w:hAnsiTheme="minorEastAsia" w:eastAsiaTheme="minorEastAsia"/>
          <w:sz w:val="24"/>
          <w:highlight w:val="none"/>
        </w:rPr>
        <w:t>进一步促进“三会一层”之间的沟通协作</w:t>
      </w:r>
      <w:r>
        <w:rPr>
          <w:rFonts w:hint="eastAsia" w:asciiTheme="minorEastAsia" w:hAnsiTheme="minorEastAsia" w:eastAsiaTheme="minorEastAsia"/>
          <w:sz w:val="24"/>
          <w:highlight w:val="none"/>
          <w:lang w:eastAsia="zh-CN"/>
        </w:rPr>
        <w:t>，</w:t>
      </w:r>
      <w:r>
        <w:rPr>
          <w:rFonts w:asciiTheme="minorEastAsia" w:hAnsiTheme="minorEastAsia" w:eastAsiaTheme="minorEastAsia"/>
          <w:sz w:val="24"/>
        </w:rPr>
        <w:t>顺利完成董事会</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高级管理层</w:t>
      </w:r>
      <w:r>
        <w:rPr>
          <w:rFonts w:asciiTheme="minorEastAsia" w:hAnsiTheme="minorEastAsia" w:eastAsiaTheme="minorEastAsia"/>
          <w:sz w:val="24"/>
        </w:rPr>
        <w:t>换届工作，</w:t>
      </w:r>
      <w:r>
        <w:rPr>
          <w:rFonts w:hint="eastAsia" w:asciiTheme="minorEastAsia" w:hAnsiTheme="minorEastAsia" w:eastAsiaTheme="minorEastAsia"/>
          <w:sz w:val="24"/>
        </w:rPr>
        <w:t>确保公司治理平稳</w:t>
      </w:r>
      <w:r>
        <w:rPr>
          <w:rFonts w:asciiTheme="minorEastAsia" w:hAnsiTheme="minorEastAsia" w:eastAsiaTheme="minorEastAsia"/>
          <w:sz w:val="24"/>
        </w:rPr>
        <w:t>运</w:t>
      </w:r>
      <w:r>
        <w:rPr>
          <w:rFonts w:hint="eastAsia" w:asciiTheme="minorEastAsia" w:hAnsiTheme="minorEastAsia" w:eastAsiaTheme="minorEastAsia"/>
          <w:sz w:val="24"/>
        </w:rPr>
        <w:t>作</w:t>
      </w:r>
      <w:r>
        <w:rPr>
          <w:rFonts w:hint="eastAsia" w:asciiTheme="minorEastAsia" w:hAnsiTheme="minorEastAsia" w:eastAsiaTheme="minorEastAsia"/>
          <w:sz w:val="24"/>
          <w:lang w:eastAsia="zh-CN"/>
        </w:rPr>
        <w:t>；</w:t>
      </w:r>
      <w:r>
        <w:rPr>
          <w:rFonts w:hint="eastAsia" w:cs="Arial Unicode MS" w:asciiTheme="minorEastAsia" w:hAnsiTheme="minorEastAsia" w:eastAsiaTheme="minorEastAsia"/>
          <w:b w:val="0"/>
          <w:bCs/>
          <w:kern w:val="0"/>
          <w:sz w:val="24"/>
          <w:szCs w:val="22"/>
          <w:highlight w:val="none"/>
          <w:lang w:val="en-US" w:eastAsia="zh-CN" w:bidi="ar-SA"/>
        </w:rPr>
        <w:t>完善市值管理体系，提升市值管理能力与信息披露质量；完善股权管理、规范股东行为，推动公司关联交易流程制度优化及系统建设，推动股权与关联交易数据治理工作。同时，</w:t>
      </w:r>
      <w:r>
        <w:rPr>
          <w:rFonts w:hint="eastAsia" w:asciiTheme="minorEastAsia" w:hAnsiTheme="minorEastAsia" w:eastAsiaTheme="minorEastAsia"/>
          <w:sz w:val="24"/>
          <w:highlight w:val="none"/>
          <w:lang w:val="en-US" w:eastAsia="zh-CN"/>
        </w:rPr>
        <w:t>持</w:t>
      </w:r>
      <w:r>
        <w:rPr>
          <w:rFonts w:hint="eastAsia" w:asciiTheme="minorEastAsia" w:hAnsiTheme="minorEastAsia" w:eastAsiaTheme="minorEastAsia"/>
          <w:sz w:val="24"/>
          <w:highlight w:val="none"/>
        </w:rPr>
        <w:t>续</w:t>
      </w:r>
      <w:r>
        <w:rPr>
          <w:rFonts w:hint="eastAsia" w:asciiTheme="minorEastAsia" w:hAnsiTheme="minorEastAsia" w:eastAsiaTheme="minorEastAsia"/>
          <w:sz w:val="24"/>
          <w:highlight w:val="none"/>
          <w:lang w:val="en-US" w:eastAsia="zh-CN"/>
        </w:rPr>
        <w:t>加强董事会履职独立性和有效性，完善决策、执行、监督、激励约束等治理运行机制。</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default" w:cs="Arial Unicode MS" w:asciiTheme="minorEastAsia" w:hAnsiTheme="minorEastAsia" w:eastAsiaTheme="minorEastAsia"/>
          <w:b/>
          <w:kern w:val="0"/>
          <w:sz w:val="24"/>
          <w:szCs w:val="22"/>
          <w:highlight w:val="none"/>
          <w:lang w:val="en-US" w:eastAsia="zh-CN" w:bidi="ar-SA"/>
        </w:rPr>
      </w:pPr>
      <w:r>
        <w:rPr>
          <w:rFonts w:hint="eastAsia" w:cs="Arial Unicode MS" w:asciiTheme="minorEastAsia" w:hAnsiTheme="minorEastAsia" w:eastAsiaTheme="minorEastAsia"/>
          <w:b/>
          <w:kern w:val="0"/>
          <w:sz w:val="24"/>
          <w:szCs w:val="22"/>
          <w:highlight w:val="none"/>
          <w:lang w:val="en-US" w:eastAsia="zh-CN" w:bidi="ar-SA"/>
        </w:rPr>
        <w:t>三是</w:t>
      </w:r>
      <w:r>
        <w:rPr>
          <w:rFonts w:hint="eastAsia" w:cs="Arial Unicode MS" w:asciiTheme="minorEastAsia" w:hAnsiTheme="minorEastAsia" w:eastAsiaTheme="minorEastAsia"/>
          <w:b w:val="0"/>
          <w:bCs/>
          <w:kern w:val="0"/>
          <w:sz w:val="24"/>
          <w:szCs w:val="22"/>
          <w:highlight w:val="none"/>
          <w:lang w:val="en-US" w:eastAsia="zh-CN" w:bidi="ar-SA"/>
        </w:rPr>
        <w:t>以提升效益为重中之重，有针对性地主动调整业务结构，同时着重将客户经营、“聚焦中小”等战略有效地贯彻到分行，打通总分支管理链路，从“规模赶超”向“质量提升”迈进，做实高质量发展基础。在业务上负债端和资产端“双足并行”改善利差；透过资负管理和风险管理能力的提升，来赋能结构调整和利差改善；围绕“聚焦中小”培育能力，坚定不移做大零售，提升财富管理能力。</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cs="Arial Unicode MS" w:asciiTheme="minorEastAsia" w:hAnsiTheme="minorEastAsia" w:eastAsiaTheme="minorEastAsia"/>
          <w:b/>
          <w:kern w:val="0"/>
          <w:sz w:val="24"/>
          <w:szCs w:val="22"/>
          <w:highlight w:val="none"/>
          <w:lang w:val="en-US" w:eastAsia="zh-CN"/>
        </w:rPr>
      </w:pPr>
      <w:r>
        <w:rPr>
          <w:rFonts w:hint="eastAsia" w:cs="Arial Unicode MS" w:asciiTheme="minorEastAsia" w:hAnsiTheme="minorEastAsia" w:eastAsiaTheme="minorEastAsia"/>
          <w:b/>
          <w:kern w:val="0"/>
          <w:sz w:val="24"/>
          <w:szCs w:val="22"/>
          <w:highlight w:val="none"/>
          <w:lang w:val="en-US" w:eastAsia="zh-CN"/>
        </w:rPr>
        <w:t>四是</w:t>
      </w:r>
      <w:r>
        <w:rPr>
          <w:rFonts w:hint="eastAsia" w:cs="Arial Unicode MS" w:asciiTheme="minorEastAsia" w:hAnsiTheme="minorEastAsia" w:eastAsiaTheme="minorEastAsia"/>
          <w:b w:val="0"/>
          <w:bCs/>
          <w:kern w:val="0"/>
          <w:sz w:val="24"/>
          <w:szCs w:val="22"/>
          <w:highlight w:val="none"/>
          <w:lang w:val="en-US" w:eastAsia="zh-CN"/>
        </w:rPr>
        <w:t>深入推进战略规划落地实施，始终坚守战略规划的引领决策作用，启动研究制定新一轮三年发展规划；重塑政银合作，着力解决活期存款占比低、存款成本高、客户基础薄弱等短中期“质量短板”；从各方面加快数字化转型步伐，抓住绿色金融、适老化金融、新市民服务、支持和扩大消费等新机遇，牢牢把握结构升级的战略方向；持续深入体制机制改革，不断优化组织架构，优化人才结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cs="Arial Unicode MS" w:asciiTheme="minorEastAsia" w:hAnsiTheme="minorEastAsia" w:eastAsiaTheme="minorEastAsia"/>
          <w:b w:val="0"/>
          <w:bCs/>
          <w:kern w:val="0"/>
          <w:sz w:val="24"/>
          <w:szCs w:val="22"/>
          <w:highlight w:val="yellow"/>
          <w:lang w:val="en-US" w:eastAsia="zh-CN" w:bidi="ar-SA"/>
        </w:rPr>
      </w:pPr>
      <w:r>
        <w:rPr>
          <w:rFonts w:hint="eastAsia" w:cs="Arial Unicode MS" w:asciiTheme="minorEastAsia" w:hAnsiTheme="minorEastAsia" w:eastAsiaTheme="minorEastAsia"/>
          <w:b/>
          <w:bCs w:val="0"/>
          <w:kern w:val="0"/>
          <w:sz w:val="24"/>
          <w:szCs w:val="22"/>
          <w:highlight w:val="none"/>
          <w:lang w:val="en-US" w:eastAsia="zh-CN" w:bidi="ar-SA"/>
        </w:rPr>
        <w:t>五是</w:t>
      </w:r>
      <w:r>
        <w:rPr>
          <w:rFonts w:hint="eastAsia" w:cs="Arial Unicode MS" w:asciiTheme="minorEastAsia" w:hAnsiTheme="minorEastAsia" w:eastAsiaTheme="minorEastAsia"/>
          <w:b w:val="0"/>
          <w:bCs/>
          <w:kern w:val="0"/>
          <w:sz w:val="24"/>
          <w:szCs w:val="22"/>
          <w:highlight w:val="none"/>
          <w:lang w:val="en-US" w:eastAsia="zh-CN" w:bidi="ar-SA"/>
        </w:rPr>
        <w:t>建立健全与发展战略相适应的风险治理架构，理顺各层级和各机构风险管理主体责任，提升风险防控整体合力；促进风险约束与经营管理有机融合，深化风险战略与偏好引领，健全风险识别、评估、预警和报告机制，规范风险管理标准、方法和流程；充分运用和转化前期内控合规建设工作成果，持续完善内控合规体系，补齐制度短板。</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cs="Arial Unicode MS" w:asciiTheme="minorEastAsia" w:hAnsiTheme="minorEastAsia" w:eastAsiaTheme="minorEastAsia"/>
          <w:b/>
          <w:kern w:val="0"/>
          <w:sz w:val="24"/>
          <w:szCs w:val="22"/>
          <w:highlight w:val="none"/>
          <w:lang w:val="en-US" w:eastAsia="zh-CN" w:bidi="ar-SA"/>
        </w:rPr>
      </w:pPr>
      <w:r>
        <w:rPr>
          <w:rFonts w:hint="eastAsia" w:cs="Arial Unicode MS" w:asciiTheme="minorEastAsia" w:hAnsiTheme="minorEastAsia" w:eastAsiaTheme="minorEastAsia"/>
          <w:b/>
          <w:kern w:val="0"/>
          <w:sz w:val="24"/>
          <w:szCs w:val="22"/>
          <w:highlight w:val="none"/>
          <w:lang w:val="en-US" w:eastAsia="zh-CN" w:bidi="ar-SA"/>
        </w:rPr>
        <w:t>（二）董事会专业委员会重点工作思路</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cs="Arial Unicode MS" w:asciiTheme="minorEastAsia" w:hAnsiTheme="minorEastAsia" w:eastAsiaTheme="minorEastAsia"/>
          <w:b/>
          <w:kern w:val="0"/>
          <w:sz w:val="24"/>
          <w:szCs w:val="22"/>
          <w:highlight w:val="none"/>
          <w:lang w:val="en-US" w:eastAsia="zh-CN" w:bidi="ar-SA"/>
        </w:rPr>
      </w:pPr>
      <w:r>
        <w:rPr>
          <w:rFonts w:hint="eastAsia" w:cs="Times New Roman" w:asciiTheme="minorEastAsia" w:hAnsiTheme="minorEastAsia" w:eastAsiaTheme="minorEastAsia"/>
          <w:kern w:val="2"/>
          <w:sz w:val="24"/>
          <w:szCs w:val="22"/>
          <w:highlight w:val="none"/>
          <w:lang w:val="en-US" w:eastAsia="zh-CN" w:bidi="ar-SA"/>
        </w:rPr>
        <w:t>2023年，各专业委员会将始终依据相关法律法规和《公司章程》、董事会下设各委员会议事规则的相关规定，诚信、勤勉、专业、高效地履行职责，维护公司利益，推动公司高质量发展。</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cs="Arial Unicode MS" w:asciiTheme="minorEastAsia" w:hAnsiTheme="minorEastAsia" w:eastAsiaTheme="minorEastAsia"/>
          <w:b/>
          <w:kern w:val="0"/>
          <w:sz w:val="24"/>
          <w:szCs w:val="22"/>
          <w:highlight w:val="none"/>
          <w:lang w:val="zh-CN" w:eastAsia="zh-CN" w:bidi="ar-SA"/>
        </w:rPr>
      </w:pPr>
      <w:r>
        <w:rPr>
          <w:rFonts w:hint="eastAsia" w:cs="Arial Unicode MS" w:asciiTheme="minorEastAsia" w:hAnsiTheme="minorEastAsia" w:eastAsiaTheme="minorEastAsia"/>
          <w:b/>
          <w:kern w:val="0"/>
          <w:sz w:val="24"/>
          <w:szCs w:val="22"/>
          <w:highlight w:val="none"/>
          <w:lang w:val="en-US" w:eastAsia="zh-CN" w:bidi="ar-SA"/>
        </w:rPr>
        <w:t>1.</w:t>
      </w:r>
      <w:r>
        <w:rPr>
          <w:rFonts w:hint="eastAsia" w:cs="Arial Unicode MS" w:asciiTheme="minorEastAsia" w:hAnsiTheme="minorEastAsia" w:eastAsiaTheme="minorEastAsia"/>
          <w:b/>
          <w:kern w:val="0"/>
          <w:sz w:val="24"/>
          <w:szCs w:val="22"/>
          <w:highlight w:val="none"/>
          <w:lang w:val="zh-CN" w:eastAsia="zh-CN" w:bidi="ar-SA"/>
        </w:rPr>
        <w:t>战略委员会</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default" w:ascii="宋体" w:hAnsi="宋体" w:eastAsia="宋体" w:cs="Times New Roman"/>
          <w:kern w:val="2"/>
          <w:sz w:val="24"/>
          <w:szCs w:val="22"/>
          <w:highlight w:val="none"/>
          <w:lang w:val="en-US" w:eastAsia="zh-CN" w:bidi="ar-SA"/>
        </w:rPr>
      </w:pPr>
      <w:r>
        <w:rPr>
          <w:rFonts w:hint="eastAsia" w:ascii="宋体" w:hAnsi="宋体" w:cs="Times New Roman"/>
          <w:kern w:val="2"/>
          <w:sz w:val="24"/>
          <w:szCs w:val="22"/>
          <w:highlight w:val="none"/>
          <w:lang w:val="en-US" w:eastAsia="zh-CN" w:bidi="ar-SA"/>
        </w:rPr>
        <w:t>充分</w:t>
      </w:r>
      <w:r>
        <w:rPr>
          <w:rFonts w:hint="eastAsia" w:ascii="宋体" w:hAnsi="宋体" w:eastAsia="宋体" w:cs="Times New Roman"/>
          <w:kern w:val="2"/>
          <w:sz w:val="24"/>
          <w:szCs w:val="22"/>
          <w:highlight w:val="none"/>
          <w:lang w:val="en-US" w:eastAsia="zh-CN" w:bidi="ar-SA"/>
        </w:rPr>
        <w:t>发挥战略规划的引领决策作用，开展新三年战略规划制定工作，强化战略评估与监督，全力推动各项战略任务目标</w:t>
      </w:r>
      <w:r>
        <w:rPr>
          <w:rFonts w:hint="eastAsia" w:ascii="宋体" w:hAnsi="宋体" w:cs="Times New Roman"/>
          <w:kern w:val="2"/>
          <w:sz w:val="24"/>
          <w:szCs w:val="22"/>
          <w:highlight w:val="none"/>
          <w:lang w:val="en-US" w:eastAsia="zh-CN" w:bidi="ar-SA"/>
        </w:rPr>
        <w:t>达成，</w:t>
      </w:r>
      <w:r>
        <w:rPr>
          <w:rFonts w:hint="eastAsia" w:ascii="宋体" w:hAnsi="宋体" w:eastAsia="宋体" w:cs="Times New Roman"/>
          <w:kern w:val="2"/>
          <w:sz w:val="24"/>
          <w:szCs w:val="22"/>
          <w:highlight w:val="none"/>
          <w:lang w:val="en-US" w:eastAsia="zh-CN" w:bidi="ar-SA"/>
        </w:rPr>
        <w:t>保证公司持续稳定发展。</w:t>
      </w:r>
      <w:r>
        <w:rPr>
          <w:rFonts w:hint="eastAsia" w:ascii="宋体" w:hAnsi="宋体" w:eastAsia="宋体" w:cs="Times New Roman"/>
          <w:b/>
          <w:bCs/>
          <w:kern w:val="2"/>
          <w:sz w:val="24"/>
          <w:szCs w:val="22"/>
          <w:highlight w:val="none"/>
          <w:lang w:val="en-US" w:eastAsia="zh-CN" w:bidi="ar-SA"/>
        </w:rPr>
        <w:t>一是</w:t>
      </w:r>
      <w:r>
        <w:rPr>
          <w:rFonts w:hint="eastAsia" w:ascii="宋体" w:hAnsi="宋体" w:eastAsia="宋体" w:cs="Times New Roman"/>
          <w:kern w:val="2"/>
          <w:sz w:val="24"/>
          <w:szCs w:val="22"/>
          <w:highlight w:val="none"/>
          <w:lang w:val="en-US" w:eastAsia="zh-CN" w:bidi="ar-SA"/>
        </w:rPr>
        <w:t>对2022年战略执行情况进行总结，科学研究和规划2023年战略执行目标。</w:t>
      </w:r>
      <w:r>
        <w:rPr>
          <w:rFonts w:hint="eastAsia" w:ascii="宋体" w:hAnsi="宋体" w:eastAsia="宋体" w:cs="Times New Roman"/>
          <w:b/>
          <w:bCs/>
          <w:kern w:val="2"/>
          <w:sz w:val="24"/>
          <w:szCs w:val="22"/>
          <w:highlight w:val="none"/>
          <w:lang w:val="en-US" w:eastAsia="zh-CN" w:bidi="ar-SA"/>
        </w:rPr>
        <w:t>二是</w:t>
      </w:r>
      <w:r>
        <w:rPr>
          <w:rFonts w:hint="eastAsia" w:ascii="宋体" w:hAnsi="宋体" w:eastAsia="宋体" w:cs="Times New Roman"/>
          <w:kern w:val="2"/>
          <w:sz w:val="24"/>
          <w:szCs w:val="22"/>
          <w:highlight w:val="none"/>
          <w:lang w:val="en-US" w:eastAsia="zh-CN" w:bidi="ar-SA"/>
        </w:rPr>
        <w:t>对2022年度集团经营情况进行全面分析，合理制定2023年全面工作计划。</w:t>
      </w:r>
      <w:r>
        <w:rPr>
          <w:rFonts w:hint="eastAsia" w:ascii="宋体" w:hAnsi="宋体" w:eastAsia="宋体" w:cs="Times New Roman"/>
          <w:b/>
          <w:bCs/>
          <w:kern w:val="2"/>
          <w:sz w:val="24"/>
          <w:szCs w:val="22"/>
          <w:highlight w:val="none"/>
          <w:lang w:val="en-US" w:eastAsia="zh-CN" w:bidi="ar-SA"/>
        </w:rPr>
        <w:t>三是</w:t>
      </w:r>
      <w:r>
        <w:rPr>
          <w:rFonts w:hint="eastAsia" w:ascii="宋体" w:hAnsi="宋体" w:eastAsia="宋体" w:cs="Times New Roman"/>
          <w:kern w:val="2"/>
          <w:sz w:val="24"/>
          <w:szCs w:val="22"/>
          <w:highlight w:val="none"/>
          <w:lang w:val="en-US" w:eastAsia="zh-CN" w:bidi="ar-SA"/>
        </w:rPr>
        <w:t>结合宏观市场变化和金融工作发展形势</w:t>
      </w:r>
      <w:r>
        <w:rPr>
          <w:rFonts w:hint="eastAsia" w:ascii="宋体" w:hAnsi="宋体" w:cs="Times New Roman"/>
          <w:kern w:val="2"/>
          <w:sz w:val="24"/>
          <w:szCs w:val="22"/>
          <w:highlight w:val="none"/>
          <w:lang w:val="en-US" w:eastAsia="zh-CN" w:bidi="ar-SA"/>
        </w:rPr>
        <w:t>及公司实际情况</w:t>
      </w:r>
      <w:r>
        <w:rPr>
          <w:rFonts w:hint="eastAsia" w:ascii="宋体" w:hAnsi="宋体" w:eastAsia="宋体" w:cs="Times New Roman"/>
          <w:kern w:val="2"/>
          <w:sz w:val="24"/>
          <w:szCs w:val="22"/>
          <w:highlight w:val="none"/>
          <w:lang w:val="en-US" w:eastAsia="zh-CN" w:bidi="ar-SA"/>
        </w:rPr>
        <w:t>，合理制定2024-2026新三年发展战略规划。</w:t>
      </w:r>
      <w:r>
        <w:rPr>
          <w:rFonts w:hint="eastAsia" w:ascii="宋体" w:hAnsi="宋体" w:cs="Times New Roman"/>
          <w:b/>
          <w:bCs/>
          <w:kern w:val="2"/>
          <w:sz w:val="24"/>
          <w:szCs w:val="22"/>
          <w:highlight w:val="none"/>
          <w:lang w:val="en-US" w:eastAsia="zh-CN" w:bidi="ar-SA"/>
        </w:rPr>
        <w:t>四是</w:t>
      </w:r>
      <w:r>
        <w:rPr>
          <w:rFonts w:hint="eastAsia" w:ascii="宋体" w:hAnsi="宋体" w:cs="Times New Roman"/>
          <w:kern w:val="2"/>
          <w:sz w:val="24"/>
          <w:szCs w:val="22"/>
          <w:highlight w:val="none"/>
          <w:lang w:val="en-US" w:eastAsia="zh-CN" w:bidi="ar-SA"/>
        </w:rPr>
        <w:t>研究讨论绿色金融发展战略相关监管要求，适时修订战略委员会议事规则。</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cs="Times New Roman" w:asciiTheme="minorEastAsia" w:hAnsiTheme="minorEastAsia" w:eastAsiaTheme="minorEastAsia"/>
          <w:kern w:val="2"/>
          <w:sz w:val="24"/>
          <w:szCs w:val="22"/>
          <w:highlight w:val="yellow"/>
          <w:lang w:val="en-US" w:eastAsia="zh-CN" w:bidi="ar-SA"/>
        </w:rPr>
      </w:pPr>
      <w:r>
        <w:rPr>
          <w:rFonts w:hint="eastAsia" w:cs="Arial Unicode MS" w:asciiTheme="minorEastAsia" w:hAnsiTheme="minorEastAsia" w:eastAsiaTheme="minorEastAsia"/>
          <w:b/>
          <w:kern w:val="0"/>
          <w:sz w:val="24"/>
          <w:szCs w:val="22"/>
          <w:highlight w:val="none"/>
          <w:lang w:val="en-US" w:eastAsia="zh-CN" w:bidi="ar-SA"/>
        </w:rPr>
        <w:t>2.</w:t>
      </w:r>
      <w:r>
        <w:rPr>
          <w:rFonts w:hint="eastAsia" w:cs="Arial Unicode MS" w:asciiTheme="minorEastAsia" w:hAnsiTheme="minorEastAsia" w:eastAsiaTheme="minorEastAsia"/>
          <w:b/>
          <w:kern w:val="0"/>
          <w:sz w:val="24"/>
          <w:szCs w:val="22"/>
          <w:highlight w:val="none"/>
          <w:lang w:val="zh-CN" w:eastAsia="zh-CN" w:bidi="ar-SA"/>
        </w:rPr>
        <w:t>提名委员会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cs="Times New Roman" w:asciiTheme="minorEastAsia" w:hAnsiTheme="minorEastAsia" w:eastAsiaTheme="minorEastAsia"/>
          <w:kern w:val="2"/>
          <w:sz w:val="24"/>
          <w:szCs w:val="22"/>
          <w:highlight w:val="yellow"/>
          <w:lang w:val="en-US" w:eastAsia="zh-CN" w:bidi="ar-SA"/>
        </w:rPr>
      </w:pPr>
      <w:r>
        <w:rPr>
          <w:rFonts w:hint="eastAsia" w:cs="Times New Roman" w:asciiTheme="minorEastAsia" w:hAnsiTheme="minorEastAsia" w:eastAsiaTheme="minorEastAsia"/>
          <w:kern w:val="2"/>
          <w:sz w:val="24"/>
          <w:szCs w:val="22"/>
          <w:lang w:val="en-US" w:eastAsia="zh-CN" w:bidi="ar-SA"/>
        </w:rPr>
        <w:t>持续完善与提升公司董事、</w:t>
      </w:r>
      <w:r>
        <w:rPr>
          <w:rFonts w:hint="eastAsia" w:ascii="宋体" w:hAnsi="宋体" w:eastAsia="宋体" w:cs="Times New Roman"/>
          <w:kern w:val="2"/>
          <w:sz w:val="24"/>
          <w:szCs w:val="22"/>
          <w:lang w:val="en-US" w:eastAsia="zh-CN" w:bidi="ar-SA"/>
        </w:rPr>
        <w:t>高级管理人员</w:t>
      </w:r>
      <w:r>
        <w:rPr>
          <w:rFonts w:hint="default" w:cs="Times New Roman" w:asciiTheme="minorEastAsia" w:hAnsiTheme="minorEastAsia" w:eastAsiaTheme="minorEastAsia"/>
          <w:kern w:val="2"/>
          <w:sz w:val="24"/>
          <w:szCs w:val="22"/>
          <w:highlight w:val="none"/>
          <w:lang w:val="en-US" w:eastAsia="zh-CN" w:bidi="ar-SA"/>
        </w:rPr>
        <w:t>的选任程序和标准</w:t>
      </w:r>
      <w:r>
        <w:rPr>
          <w:rFonts w:hint="eastAsia" w:cs="Times New Roman" w:asciiTheme="minorEastAsia" w:hAnsiTheme="minorEastAsia" w:eastAsiaTheme="minorEastAsia"/>
          <w:kern w:val="2"/>
          <w:sz w:val="24"/>
          <w:szCs w:val="22"/>
          <w:highlight w:val="none"/>
          <w:lang w:val="en-US" w:eastAsia="zh-CN" w:bidi="ar-SA"/>
        </w:rPr>
        <w:t>。</w:t>
      </w:r>
      <w:r>
        <w:rPr>
          <w:rFonts w:hint="eastAsia" w:cs="Times New Roman" w:asciiTheme="minorEastAsia" w:hAnsiTheme="minorEastAsia" w:eastAsiaTheme="minorEastAsia"/>
          <w:b/>
          <w:bCs/>
          <w:kern w:val="2"/>
          <w:sz w:val="24"/>
          <w:szCs w:val="22"/>
          <w:highlight w:val="none"/>
          <w:lang w:val="en-US" w:eastAsia="zh-CN" w:bidi="ar-SA"/>
        </w:rPr>
        <w:t>一是</w:t>
      </w:r>
      <w:r>
        <w:rPr>
          <w:rFonts w:hint="eastAsia" w:cs="Times New Roman" w:asciiTheme="minorEastAsia" w:hAnsiTheme="minorEastAsia" w:eastAsiaTheme="minorEastAsia"/>
          <w:kern w:val="2"/>
          <w:sz w:val="24"/>
          <w:szCs w:val="22"/>
          <w:highlight w:val="none"/>
          <w:lang w:val="en-US" w:eastAsia="zh-CN" w:bidi="ar-SA"/>
        </w:rPr>
        <w:t>对公司第九届董事会董事候选人和高级管理人员人选的任职资格及条件进行初步审议并向董事会提出建议。</w:t>
      </w:r>
      <w:r>
        <w:rPr>
          <w:rFonts w:hint="eastAsia" w:cs="Times New Roman" w:asciiTheme="minorEastAsia" w:hAnsiTheme="minorEastAsia" w:eastAsiaTheme="minorEastAsia"/>
          <w:b/>
          <w:bCs/>
          <w:kern w:val="2"/>
          <w:sz w:val="24"/>
          <w:szCs w:val="22"/>
          <w:highlight w:val="none"/>
          <w:lang w:val="en-US" w:eastAsia="zh-CN" w:bidi="ar-SA"/>
        </w:rPr>
        <w:t>二是</w:t>
      </w:r>
      <w:r>
        <w:rPr>
          <w:rFonts w:hint="eastAsia" w:ascii="宋体" w:hAnsi="宋体" w:cs="Times New Roman"/>
          <w:kern w:val="2"/>
          <w:sz w:val="24"/>
          <w:szCs w:val="22"/>
          <w:lang w:val="en-US" w:eastAsia="zh-CN" w:bidi="ar-SA"/>
        </w:rPr>
        <w:t>根据公司经营管理需要，聘任或解聘</w:t>
      </w:r>
      <w:r>
        <w:rPr>
          <w:rFonts w:hint="eastAsia" w:ascii="宋体" w:hAnsi="宋体" w:eastAsia="宋体" w:cs="Times New Roman"/>
          <w:kern w:val="2"/>
          <w:sz w:val="24"/>
          <w:szCs w:val="22"/>
          <w:lang w:val="en-US" w:eastAsia="zh-CN" w:bidi="ar-SA"/>
        </w:rPr>
        <w:t>董事和高级管理人员</w:t>
      </w:r>
      <w:r>
        <w:rPr>
          <w:rFonts w:hint="eastAsia" w:cs="Times New Roman" w:asciiTheme="minorEastAsia" w:hAnsiTheme="minorEastAsia" w:eastAsiaTheme="minorEastAsia"/>
          <w:kern w:val="2"/>
          <w:sz w:val="24"/>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cs="Arial Unicode MS" w:asciiTheme="minorEastAsia" w:hAnsiTheme="minorEastAsia" w:eastAsiaTheme="minorEastAsia"/>
          <w:b/>
          <w:kern w:val="0"/>
          <w:sz w:val="24"/>
          <w:szCs w:val="22"/>
          <w:highlight w:val="none"/>
          <w:lang w:val="zh-CN" w:eastAsia="zh-CN" w:bidi="ar-SA"/>
        </w:rPr>
      </w:pPr>
      <w:r>
        <w:rPr>
          <w:rFonts w:hint="eastAsia" w:cs="Arial Unicode MS" w:asciiTheme="minorEastAsia" w:hAnsiTheme="minorEastAsia" w:eastAsiaTheme="minorEastAsia"/>
          <w:b/>
          <w:kern w:val="0"/>
          <w:sz w:val="24"/>
          <w:szCs w:val="22"/>
          <w:highlight w:val="none"/>
          <w:lang w:val="en-US" w:eastAsia="zh-CN" w:bidi="ar-SA"/>
        </w:rPr>
        <w:t>3.</w:t>
      </w:r>
      <w:r>
        <w:rPr>
          <w:rFonts w:hint="eastAsia" w:cs="Arial Unicode MS" w:asciiTheme="minorEastAsia" w:hAnsiTheme="minorEastAsia" w:eastAsiaTheme="minorEastAsia"/>
          <w:b/>
          <w:kern w:val="0"/>
          <w:sz w:val="24"/>
          <w:szCs w:val="22"/>
          <w:highlight w:val="none"/>
          <w:lang w:val="zh-CN" w:eastAsia="zh-CN" w:bidi="ar-SA"/>
        </w:rPr>
        <w:t>薪酬委员会</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default" w:cs="Arial Unicode MS" w:asciiTheme="minorEastAsia" w:hAnsiTheme="minorEastAsia" w:eastAsiaTheme="minorEastAsia"/>
          <w:b w:val="0"/>
          <w:bCs/>
          <w:kern w:val="0"/>
          <w:sz w:val="24"/>
          <w:szCs w:val="22"/>
          <w:highlight w:val="none"/>
          <w:lang w:val="en-US" w:eastAsia="zh-CN" w:bidi="ar-SA"/>
        </w:rPr>
      </w:pPr>
      <w:r>
        <w:rPr>
          <w:rFonts w:hint="eastAsia" w:cs="Times New Roman" w:asciiTheme="minorEastAsia" w:hAnsiTheme="minorEastAsia" w:eastAsiaTheme="minorEastAsia"/>
          <w:kern w:val="2"/>
          <w:sz w:val="24"/>
          <w:szCs w:val="22"/>
          <w:lang w:val="en-US" w:eastAsia="zh-CN" w:bidi="ar-SA"/>
        </w:rPr>
        <w:t>进一步研究和审查公司薪酬管理制度和政策。</w:t>
      </w:r>
      <w:r>
        <w:rPr>
          <w:rFonts w:hint="eastAsia" w:cs="Times New Roman" w:asciiTheme="minorEastAsia" w:hAnsiTheme="minorEastAsia" w:eastAsiaTheme="minorEastAsia"/>
          <w:b/>
          <w:bCs/>
          <w:kern w:val="2"/>
          <w:sz w:val="24"/>
          <w:szCs w:val="22"/>
          <w:lang w:val="en-US" w:eastAsia="zh-CN" w:bidi="ar-SA"/>
        </w:rPr>
        <w:t>一是</w:t>
      </w:r>
      <w:r>
        <w:rPr>
          <w:rFonts w:hint="eastAsia" w:cs="Arial Unicode MS" w:asciiTheme="minorEastAsia" w:hAnsiTheme="minorEastAsia" w:eastAsiaTheme="minorEastAsia"/>
          <w:b w:val="0"/>
          <w:bCs/>
          <w:kern w:val="0"/>
          <w:sz w:val="24"/>
          <w:szCs w:val="22"/>
          <w:highlight w:val="none"/>
          <w:lang w:val="en-US" w:eastAsia="zh-CN" w:bidi="ar-SA"/>
        </w:rPr>
        <w:t>检视、完善公司</w:t>
      </w:r>
      <w:r>
        <w:rPr>
          <w:rFonts w:hint="eastAsia" w:cs="Times New Roman" w:asciiTheme="minorEastAsia" w:hAnsiTheme="minorEastAsia" w:eastAsiaTheme="minorEastAsia"/>
          <w:kern w:val="2"/>
          <w:sz w:val="24"/>
          <w:szCs w:val="22"/>
          <w:lang w:val="en-US" w:eastAsia="zh-CN" w:bidi="ar-SA"/>
        </w:rPr>
        <w:t>董事的薪酬方案、高级管理人员的薪酬方案和考核标准。</w:t>
      </w:r>
      <w:r>
        <w:rPr>
          <w:rFonts w:hint="eastAsia" w:cs="Times New Roman" w:asciiTheme="minorEastAsia" w:hAnsiTheme="minorEastAsia" w:eastAsiaTheme="minorEastAsia"/>
          <w:b/>
          <w:bCs/>
          <w:kern w:val="2"/>
          <w:sz w:val="24"/>
          <w:szCs w:val="22"/>
          <w:lang w:val="en-US" w:eastAsia="zh-CN" w:bidi="ar-SA"/>
        </w:rPr>
        <w:t>二是</w:t>
      </w:r>
      <w:r>
        <w:rPr>
          <w:rFonts w:hint="eastAsia" w:cs="Times New Roman" w:asciiTheme="minorEastAsia" w:hAnsiTheme="minorEastAsia" w:eastAsiaTheme="minorEastAsia"/>
          <w:kern w:val="2"/>
          <w:sz w:val="24"/>
          <w:szCs w:val="22"/>
          <w:lang w:val="en-US" w:eastAsia="zh-CN" w:bidi="ar-SA"/>
        </w:rPr>
        <w:t>对高级管理人员履行职责的情况进行年度绩效考评，结合公司的预算目标及战略任务，制定合理有效的绩效任务书。</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cs="Arial Unicode MS" w:asciiTheme="minorEastAsia" w:hAnsiTheme="minorEastAsia" w:eastAsiaTheme="minorEastAsia"/>
          <w:b/>
          <w:kern w:val="0"/>
          <w:sz w:val="24"/>
          <w:szCs w:val="22"/>
          <w:highlight w:val="none"/>
          <w:lang w:val="zh-CN" w:eastAsia="zh-CN" w:bidi="ar-SA"/>
        </w:rPr>
      </w:pPr>
      <w:r>
        <w:rPr>
          <w:rFonts w:hint="eastAsia" w:cs="Arial Unicode MS" w:asciiTheme="minorEastAsia" w:hAnsiTheme="minorEastAsia" w:eastAsiaTheme="minorEastAsia"/>
          <w:b/>
          <w:kern w:val="0"/>
          <w:sz w:val="24"/>
          <w:szCs w:val="22"/>
          <w:highlight w:val="none"/>
          <w:lang w:val="en-US" w:eastAsia="zh-CN" w:bidi="ar-SA"/>
        </w:rPr>
        <w:t>4.</w:t>
      </w:r>
      <w:r>
        <w:rPr>
          <w:rFonts w:hint="eastAsia" w:cs="Arial Unicode MS" w:asciiTheme="minorEastAsia" w:hAnsiTheme="minorEastAsia" w:eastAsiaTheme="minorEastAsia"/>
          <w:b/>
          <w:kern w:val="0"/>
          <w:sz w:val="24"/>
          <w:szCs w:val="22"/>
          <w:highlight w:val="none"/>
          <w:lang w:val="zh-CN" w:eastAsia="zh-CN" w:bidi="ar-SA"/>
        </w:rPr>
        <w:t>审计与消费者权益保护委员会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kern w:val="2"/>
          <w:sz w:val="24"/>
          <w:szCs w:val="22"/>
          <w:highlight w:val="none"/>
          <w:lang w:val="en-US" w:eastAsia="zh-CN" w:bidi="ar-SA"/>
        </w:rPr>
        <w:t>继续做好审计和消费者权益保护工作。</w:t>
      </w:r>
      <w:r>
        <w:rPr>
          <w:rFonts w:hint="eastAsia" w:ascii="宋体" w:hAnsi="宋体" w:eastAsia="宋体" w:cs="Times New Roman"/>
          <w:b/>
          <w:bCs/>
          <w:kern w:val="2"/>
          <w:sz w:val="24"/>
          <w:szCs w:val="22"/>
          <w:highlight w:val="none"/>
          <w:lang w:val="en-US" w:eastAsia="zh-CN" w:bidi="ar-SA"/>
        </w:rPr>
        <w:t>一是</w:t>
      </w:r>
      <w:r>
        <w:rPr>
          <w:rFonts w:hint="eastAsia" w:ascii="宋体" w:hAnsi="宋体" w:eastAsia="宋体" w:cs="Times New Roman"/>
          <w:kern w:val="2"/>
          <w:sz w:val="24"/>
          <w:szCs w:val="22"/>
          <w:highlight w:val="none"/>
          <w:lang w:val="en-US" w:eastAsia="zh-CN" w:bidi="ar-SA"/>
        </w:rPr>
        <w:t>加强外部审计机构评估与监督，协调与外部审计机构的沟通，监督及评估</w:t>
      </w:r>
      <w:r>
        <w:rPr>
          <w:rFonts w:hint="eastAsia" w:ascii="宋体" w:hAnsi="宋体" w:eastAsia="宋体" w:cs="宋体"/>
          <w:color w:val="000000" w:themeColor="text1"/>
          <w:sz w:val="24"/>
          <w:szCs w:val="24"/>
          <w:highlight w:val="none"/>
          <w:lang w:val="en-US" w:eastAsia="zh-CN"/>
          <w14:textFill>
            <w14:solidFill>
              <w14:schemeClr w14:val="tx1"/>
            </w14:solidFill>
          </w14:textFill>
        </w:rPr>
        <w:t>外审机构的工作并进行综合评价，向董事会提出外部审计机构的解聘与更换建议。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二是</w:t>
      </w:r>
      <w:r>
        <w:rPr>
          <w:rFonts w:hint="eastAsia" w:ascii="宋体" w:hAnsi="宋体" w:cs="Times New Roman"/>
          <w:kern w:val="2"/>
          <w:sz w:val="24"/>
          <w:szCs w:val="22"/>
          <w:lang w:val="en-US" w:eastAsia="zh-CN" w:bidi="ar-SA"/>
        </w:rPr>
        <w:t>对公司内部审计关键管理环节的有效性和合规性进行监督、评估，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指导公司内部审计工作，审阅公司年度内部审计工作计划和工作报告，针对报告提出有针对性的意见和建议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三是</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持续加强定期报告</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编制、审计和披露情况的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监督，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确保</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满足会计准则和监管要求，</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向董事会提出专业建议，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进一步提升信息披露质量。</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是</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积极推动完善公司风险内控制度建设，进一步指导公司健全内控管理体系，</w:t>
      </w:r>
      <w:r>
        <w:rPr>
          <w:rFonts w:hint="default" w:ascii="宋体" w:hAnsi="宋体" w:cs="宋体"/>
          <w:color w:val="000000" w:themeColor="text1"/>
          <w:kern w:val="0"/>
          <w:sz w:val="24"/>
          <w:szCs w:val="24"/>
          <w:highlight w:val="none"/>
          <w:lang w:val="en-US" w:eastAsia="zh-CN" w:bidi="ar-SA"/>
          <w14:textFill>
            <w14:solidFill>
              <w14:schemeClr w14:val="tx1"/>
            </w14:solidFill>
          </w14:textFill>
        </w:rPr>
        <w:t>强化落实内部控制措施</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，不断提升公司合规内控水平。</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是</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定期听取高级管理层关于消费者权益保护工作开展情况的专题报告，</w:t>
      </w:r>
      <w:r>
        <w:rPr>
          <w:rFonts w:hint="eastAsia" w:ascii="宋体" w:hAnsi="宋体" w:cs="宋体"/>
          <w:sz w:val="24"/>
          <w:szCs w:val="24"/>
          <w:lang w:val="en-US" w:eastAsia="zh-CN"/>
        </w:rPr>
        <w:t>针对消保情况提出建议，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督促高级管理层有效执行和落实消费者权益保护的相关工作。</w:t>
      </w:r>
    </w:p>
    <w:p>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hint="eastAsia" w:ascii="宋体" w:hAnsi="宋体" w:cs="宋体"/>
          <w:sz w:val="24"/>
          <w:szCs w:val="24"/>
          <w:highlight w:val="yellow"/>
          <w:lang w:val="en-US" w:eastAsia="zh-CN"/>
        </w:rPr>
      </w:pPr>
      <w:r>
        <w:rPr>
          <w:rFonts w:hint="eastAsia" w:cs="Arial Unicode MS" w:asciiTheme="minorEastAsia" w:hAnsiTheme="minorEastAsia" w:eastAsiaTheme="minorEastAsia"/>
          <w:b/>
          <w:bCs w:val="0"/>
          <w:kern w:val="0"/>
          <w:sz w:val="24"/>
          <w:szCs w:val="22"/>
          <w:highlight w:val="none"/>
          <w:lang w:val="en-US" w:eastAsia="zh-CN" w:bidi="ar-SA"/>
        </w:rPr>
        <w:t>5.</w:t>
      </w:r>
      <w:r>
        <w:rPr>
          <w:rFonts w:hint="eastAsia" w:cs="Arial Unicode MS" w:asciiTheme="minorEastAsia" w:hAnsiTheme="minorEastAsia" w:eastAsiaTheme="minorEastAsia"/>
          <w:b/>
          <w:bCs w:val="0"/>
          <w:kern w:val="0"/>
          <w:sz w:val="24"/>
          <w:szCs w:val="22"/>
          <w:highlight w:val="none"/>
          <w:lang w:val="zh-CN" w:eastAsia="zh-CN" w:bidi="ar-SA"/>
        </w:rPr>
        <w:t>风险控制与关联交易管理委员会</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kern w:val="0"/>
          <w:sz w:val="24"/>
          <w:szCs w:val="24"/>
        </w:rPr>
      </w:pPr>
      <w:r>
        <w:rPr>
          <w:rFonts w:hint="eastAsia" w:ascii="宋体" w:hAnsi="宋体" w:cs="宋体"/>
          <w:sz w:val="24"/>
          <w:szCs w:val="24"/>
          <w:highlight w:val="none"/>
          <w:shd w:val="clear"/>
          <w:lang w:val="en-US" w:eastAsia="zh-CN"/>
        </w:rPr>
        <w:t>始终坚持稳健的风险文化，持续提升全面风险管理能力和关联交易管理水平，积极防范各类风险，筑牢高质量发展的坚实基础。</w:t>
      </w:r>
      <w:r>
        <w:rPr>
          <w:rFonts w:hint="eastAsia" w:ascii="宋体" w:hAnsi="宋体" w:cs="宋体"/>
          <w:b/>
          <w:bCs/>
          <w:sz w:val="24"/>
          <w:szCs w:val="24"/>
          <w:highlight w:val="none"/>
          <w:shd w:val="clear"/>
          <w:lang w:val="en-US" w:eastAsia="zh-CN"/>
        </w:rPr>
        <w:t>一是</w:t>
      </w:r>
      <w:r>
        <w:rPr>
          <w:rFonts w:hint="eastAsia" w:ascii="宋体" w:hAnsi="宋体" w:cs="宋体"/>
          <w:sz w:val="24"/>
          <w:szCs w:val="24"/>
          <w:highlight w:val="none"/>
          <w:shd w:val="clear"/>
          <w:lang w:val="en-US" w:eastAsia="zh-CN"/>
        </w:rPr>
        <w:t>审阅集团层面全面风险报告、信息科技风险管理报告、业务连续性管理报告等各项报告，及时掌握各类风险情况。</w:t>
      </w:r>
      <w:r>
        <w:rPr>
          <w:rFonts w:hint="eastAsia" w:ascii="宋体" w:hAnsi="宋体" w:cs="宋体"/>
          <w:b/>
          <w:bCs/>
          <w:sz w:val="24"/>
          <w:szCs w:val="24"/>
          <w:highlight w:val="none"/>
          <w:shd w:val="clear"/>
          <w:lang w:val="en-US" w:eastAsia="zh-CN"/>
        </w:rPr>
        <w:t>二是</w:t>
      </w:r>
      <w:r>
        <w:rPr>
          <w:rFonts w:hint="eastAsia" w:ascii="宋体" w:hAnsi="宋体" w:cs="宋体"/>
          <w:sz w:val="24"/>
          <w:szCs w:val="24"/>
          <w:highlight w:val="none"/>
          <w:shd w:val="clear"/>
          <w:lang w:val="en-US" w:eastAsia="zh-CN"/>
        </w:rPr>
        <w:t>持续优化风险管理体系与机制流程，提高主动管理能力和精细化管理水平，提升风险管理质效。</w:t>
      </w:r>
      <w:r>
        <w:rPr>
          <w:rFonts w:hint="eastAsia" w:ascii="宋体" w:hAnsi="宋体" w:cs="宋体"/>
          <w:b/>
          <w:bCs/>
          <w:sz w:val="24"/>
          <w:szCs w:val="24"/>
          <w:highlight w:val="none"/>
          <w:shd w:val="clear"/>
          <w:lang w:val="en-US" w:eastAsia="zh-CN"/>
        </w:rPr>
        <w:t>三是</w:t>
      </w:r>
      <w:r>
        <w:rPr>
          <w:rFonts w:hint="eastAsia" w:ascii="宋体" w:hAnsi="宋体" w:cs="宋体"/>
          <w:b w:val="0"/>
          <w:bCs w:val="0"/>
          <w:sz w:val="24"/>
          <w:szCs w:val="24"/>
          <w:highlight w:val="none"/>
          <w:shd w:val="clear"/>
          <w:lang w:val="en-US" w:eastAsia="zh-CN"/>
        </w:rPr>
        <w:t>监督高级管理人员风险控制情况，对公司风险政策、管理状况及风险承受能力进行定期评估并提出完善的意见。</w:t>
      </w:r>
      <w:r>
        <w:rPr>
          <w:rFonts w:hint="eastAsia" w:ascii="宋体" w:hAnsi="宋体" w:cs="宋体"/>
          <w:b/>
          <w:bCs/>
          <w:sz w:val="24"/>
          <w:szCs w:val="24"/>
          <w:highlight w:val="none"/>
          <w:shd w:val="clear"/>
          <w:lang w:val="en-US" w:eastAsia="zh-CN"/>
        </w:rPr>
        <w:t>四是</w:t>
      </w:r>
      <w:r>
        <w:rPr>
          <w:rFonts w:hint="eastAsia" w:ascii="宋体" w:hAnsi="宋体" w:eastAsia="宋体" w:cs="宋体"/>
          <w:sz w:val="24"/>
          <w:szCs w:val="24"/>
          <w:lang w:val="en-US" w:eastAsia="zh-CN"/>
        </w:rPr>
        <w:t>持续关注</w:t>
      </w:r>
      <w:r>
        <w:rPr>
          <w:rFonts w:ascii="宋体" w:hAnsi="宋体" w:eastAsia="宋体" w:cs="宋体"/>
          <w:sz w:val="24"/>
          <w:szCs w:val="24"/>
        </w:rPr>
        <w:t>关联交易管理工作，完善关联交易管理架构体系，加强关联交易数据治理工作，履行关联交易事前审核和事后监督职责，切实防范关联交易风险</w:t>
      </w:r>
      <w:r>
        <w:rPr>
          <w:rFonts w:hint="eastAsia" w:ascii="宋体" w:hAnsi="宋体" w:eastAsia="宋体" w:cs="宋体"/>
          <w:sz w:val="24"/>
          <w:szCs w:val="24"/>
          <w:lang w:eastAsia="zh-CN"/>
        </w:rPr>
        <w:t>。</w:t>
      </w:r>
    </w:p>
    <w:p>
      <w:pPr>
        <w:pStyle w:val="2"/>
        <w:keepNext w:val="0"/>
        <w:keepLines w:val="0"/>
        <w:pageBreakBefore w:val="0"/>
        <w:kinsoku/>
        <w:wordWrap/>
        <w:overflowPunct/>
        <w:topLinePunct w:val="0"/>
        <w:bidi w:val="0"/>
        <w:snapToGrid w:val="0"/>
        <w:spacing w:line="360" w:lineRule="auto"/>
        <w:textAlignment w:val="auto"/>
        <w:rPr>
          <w:rFonts w:hint="default"/>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本议案已经第八届董事会第</w:t>
      </w:r>
      <w:r>
        <w:rPr>
          <w:rFonts w:hint="eastAsia" w:ascii="宋体" w:hAnsi="宋体" w:eastAsia="宋体" w:cs="宋体"/>
          <w:kern w:val="0"/>
          <w:sz w:val="24"/>
          <w:szCs w:val="24"/>
          <w:lang w:val="en-US" w:eastAsia="zh-CN"/>
        </w:rPr>
        <w:t>三十一</w:t>
      </w:r>
      <w:r>
        <w:rPr>
          <w:rFonts w:hint="eastAsia" w:ascii="宋体" w:hAnsi="宋体" w:eastAsia="宋体" w:cs="宋体"/>
          <w:kern w:val="0"/>
          <w:sz w:val="24"/>
          <w:szCs w:val="24"/>
        </w:rPr>
        <w:t>次会议审议通过，请各位股东</w:t>
      </w:r>
      <w:r>
        <w:rPr>
          <w:rFonts w:hint="eastAsia" w:ascii="宋体" w:hAnsi="宋体" w:eastAsia="宋体" w:cs="宋体"/>
          <w:kern w:val="0"/>
          <w:sz w:val="24"/>
          <w:szCs w:val="24"/>
          <w:lang w:val="en-US" w:eastAsia="zh-CN"/>
        </w:rPr>
        <w:t>审议。</w:t>
      </w:r>
    </w:p>
    <w:p>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rPr>
      </w:pPr>
    </w:p>
    <w:p>
      <w:pPr>
        <w:keepNext w:val="0"/>
        <w:keepLines w:val="0"/>
        <w:pageBreakBefore w:val="0"/>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sz w:val="24"/>
        </w:rPr>
      </w:pPr>
      <w:r>
        <w:rPr>
          <w:rFonts w:hint="eastAsia" w:ascii="宋体" w:hAnsi="宋体" w:eastAsia="宋体" w:cs="宋体"/>
          <w:sz w:val="24"/>
        </w:rPr>
        <w:t>厦门银行股份有限公司</w:t>
      </w:r>
    </w:p>
    <w:p>
      <w:pPr>
        <w:keepNext w:val="0"/>
        <w:keepLines w:val="0"/>
        <w:pageBreakBefore w:val="0"/>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lang w:val="en-US" w:eastAsia="zh-CN"/>
        </w:rPr>
        <w:t>23</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18</w:t>
      </w:r>
      <w:r>
        <w:rPr>
          <w:rFonts w:hint="eastAsia" w:ascii="宋体" w:hAnsi="宋体" w:eastAsia="宋体" w:cs="宋体"/>
          <w:sz w:val="24"/>
        </w:rPr>
        <w:t>日</w:t>
      </w:r>
    </w:p>
    <w:p>
      <w:pPr>
        <w:rPr>
          <w:rFonts w:hint="eastAsia" w:ascii="宋体" w:hAnsi="宋体" w:eastAsia="宋体" w:cs="宋体"/>
          <w:sz w:val="24"/>
        </w:rPr>
      </w:pPr>
      <w:r>
        <w:rPr>
          <w:rFonts w:hint="eastAsia" w:ascii="宋体" w:hAnsi="宋体" w:eastAsia="宋体" w:cs="宋体"/>
          <w:sz w:val="24"/>
        </w:rPr>
        <w:br w:type="page"/>
      </w:r>
    </w:p>
    <w:p>
      <w:pPr>
        <w:spacing w:line="520" w:lineRule="exact"/>
        <w:rPr>
          <w:rFonts w:ascii="宋体" w:hAnsi="宋体" w:eastAsia="宋体" w:cs="宋体"/>
          <w:b/>
          <w:sz w:val="30"/>
          <w:szCs w:val="30"/>
        </w:rPr>
      </w:pPr>
      <w:r>
        <w:rPr>
          <w:rFonts w:hint="eastAsia" w:ascii="宋体" w:hAnsi="宋体" w:eastAsia="宋体" w:cs="宋体"/>
          <w:b/>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467610" cy="693420"/>
                <wp:effectExtent l="4445" t="4445" r="23495" b="6985"/>
                <wp:wrapNone/>
                <wp:docPr id="5" name="文本框 4"/>
                <wp:cNvGraphicFramePr/>
                <a:graphic xmlns:a="http://schemas.openxmlformats.org/drawingml/2006/main">
                  <a:graphicData uri="http://schemas.microsoft.com/office/word/2010/wordprocessingShape">
                    <wps:wsp>
                      <wps:cNvSpPr txBox="1"/>
                      <wps:spPr>
                        <a:xfrm>
                          <a:off x="0" y="0"/>
                          <a:ext cx="246761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ascii="宋体" w:hAnsi="宋体" w:eastAsia="宋体" w:cs="宋体"/>
                              </w:rPr>
                            </w:pPr>
                            <w:r>
                              <w:rPr>
                                <w:rFonts w:hint="eastAsia" w:ascii="宋体" w:hAnsi="宋体" w:eastAsia="宋体" w:cs="宋体"/>
                              </w:rPr>
                              <w:t>议案2</w:t>
                            </w:r>
                          </w:p>
                        </w:txbxContent>
                      </wps:txbx>
                      <wps:bodyPr upright="1"/>
                    </wps:wsp>
                  </a:graphicData>
                </a:graphic>
              </wp:anchor>
            </w:drawing>
          </mc:Choice>
          <mc:Fallback>
            <w:pict>
              <v:shape id="文本框 4" o:spid="_x0000_s1026" o:spt="202" type="#_x0000_t202" style="position:absolute;left:0pt;margin-left:0pt;margin-top:0pt;height:54.6pt;width:194.3pt;z-index:251660288;mso-width-relative:page;mso-height-relative:page;" fillcolor="#FFFFFF" filled="t" stroked="t" coordsize="21600,21600" o:gfxdata="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VXofdUAAAAFAQAADwAAAAAAAAABACAAAAAi&#10;AAAAZHJzL2Rvd25yZXYueG1sUEsBAhQAFAAAAAgAh07iQFb6fogNAgAANgQAAA4AAAAAAAAAAQAg&#10;AAAAJAEAAGRycy9lMm9Eb2MueG1sUEsFBgAAAAAGAAYAWQEAAKM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ascii="宋体" w:hAnsi="宋体" w:eastAsia="宋体" w:cs="宋体"/>
                        </w:rPr>
                      </w:pPr>
                      <w:r>
                        <w:rPr>
                          <w:rFonts w:hint="eastAsia" w:ascii="宋体" w:hAnsi="宋体" w:eastAsia="宋体" w:cs="宋体"/>
                        </w:rPr>
                        <w:t>议案2</w:t>
                      </w:r>
                    </w:p>
                  </w:txbxContent>
                </v:textbox>
              </v:shape>
            </w:pict>
          </mc:Fallback>
        </mc:AlternateContent>
      </w:r>
    </w:p>
    <w:p>
      <w:pPr>
        <w:pStyle w:val="9"/>
        <w:spacing w:line="520" w:lineRule="exact"/>
        <w:rPr>
          <w:rFonts w:hAnsi="宋体" w:eastAsia="宋体" w:cs="宋体"/>
          <w:b/>
          <w:sz w:val="24"/>
        </w:rPr>
      </w:pPr>
    </w:p>
    <w:p>
      <w:pPr>
        <w:pStyle w:val="9"/>
        <w:snapToGrid w:val="0"/>
        <w:spacing w:line="360" w:lineRule="auto"/>
        <w:jc w:val="center"/>
        <w:rPr>
          <w:rFonts w:hAnsi="宋体" w:eastAsia="宋体" w:cs="宋体"/>
          <w:b/>
          <w:sz w:val="28"/>
          <w:szCs w:val="28"/>
        </w:rPr>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厦门银行股份有限公司关于2022年度监事会工作报告的议案</w:t>
      </w:r>
    </w:p>
    <w:p>
      <w:pPr>
        <w:widowControl/>
        <w:spacing w:line="360" w:lineRule="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尊敬的各位</w:t>
      </w:r>
      <w:r>
        <w:rPr>
          <w:rFonts w:hint="eastAsia" w:ascii="宋体" w:hAnsi="宋体" w:eastAsia="宋体" w:cs="宋体"/>
          <w:kern w:val="0"/>
          <w:sz w:val="24"/>
          <w:lang w:val="en-US" w:eastAsia="zh-CN"/>
        </w:rPr>
        <w:t>股东</w:t>
      </w:r>
      <w:r>
        <w:rPr>
          <w:rFonts w:hint="eastAsia" w:ascii="宋体" w:hAnsi="宋体" w:eastAsia="宋体" w:cs="宋体"/>
          <w:kern w:val="0"/>
          <w:sz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ascii="宋体" w:hAnsi="宋体"/>
          <w:sz w:val="24"/>
        </w:rPr>
        <w:t>202</w:t>
      </w:r>
      <w:r>
        <w:rPr>
          <w:rFonts w:hint="eastAsia" w:ascii="宋体" w:hAnsi="宋体"/>
          <w:sz w:val="24"/>
          <w:lang w:val="en-US" w:eastAsia="zh-CN"/>
        </w:rPr>
        <w:t>2</w:t>
      </w:r>
      <w:r>
        <w:rPr>
          <w:rFonts w:hint="eastAsia" w:ascii="宋体" w:hAnsi="宋体"/>
          <w:sz w:val="24"/>
        </w:rPr>
        <w:t>年，厦门银行监事会根据《公司法》《证券法》《银行保险机构公司治理准则》《商业银行监事会工作指引》及《公司章程》</w:t>
      </w:r>
      <w:r>
        <w:rPr>
          <w:rFonts w:hint="eastAsia" w:ascii="宋体" w:hAnsi="宋体"/>
          <w:sz w:val="24"/>
          <w:lang w:val="en-US" w:eastAsia="zh-CN"/>
        </w:rPr>
        <w:t>等</w:t>
      </w:r>
      <w:r>
        <w:rPr>
          <w:rFonts w:hint="eastAsia" w:ascii="宋体" w:hAnsi="宋体"/>
          <w:sz w:val="24"/>
        </w:rPr>
        <w:t>规定和要求，在各级监管部门及主管机构的监督、指导下，在股东大会的正确领导下，在董事会和高级管理层的支持配合下，</w:t>
      </w:r>
      <w:r>
        <w:rPr>
          <w:rFonts w:hint="eastAsia" w:ascii="宋体" w:hAnsi="宋体"/>
          <w:sz w:val="24"/>
          <w:lang w:val="en-US" w:eastAsia="zh-CN"/>
        </w:rPr>
        <w:t>坚持党建引领，</w:t>
      </w:r>
      <w:r>
        <w:rPr>
          <w:rFonts w:hint="eastAsia" w:ascii="宋体" w:hAnsi="宋体"/>
          <w:sz w:val="24"/>
        </w:rPr>
        <w:t>紧紧围绕公司战略发展目标和年度中心工作，全面对接上市公司要求，忠实履行法律法规和《公司章程》赋予的职责，认真落实监管要求，有效发挥监事会在公司治理中的监督作用，助力公司稳健合规发展。现将202</w:t>
      </w:r>
      <w:r>
        <w:rPr>
          <w:rFonts w:hint="eastAsia" w:ascii="宋体" w:hAnsi="宋体"/>
          <w:sz w:val="24"/>
          <w:lang w:val="en-US" w:eastAsia="zh-CN"/>
        </w:rPr>
        <w:t>2</w:t>
      </w:r>
      <w:r>
        <w:rPr>
          <w:rFonts w:hint="eastAsia" w:ascii="宋体" w:hAnsi="宋体"/>
          <w:sz w:val="24"/>
        </w:rPr>
        <w:t>年度监事会主要工作及202</w:t>
      </w:r>
      <w:r>
        <w:rPr>
          <w:rFonts w:hint="eastAsia" w:ascii="宋体" w:hAnsi="宋体"/>
          <w:sz w:val="24"/>
          <w:lang w:val="en-US" w:eastAsia="zh-CN"/>
        </w:rPr>
        <w:t>3</w:t>
      </w:r>
      <w:r>
        <w:rPr>
          <w:rFonts w:hint="eastAsia" w:ascii="宋体" w:hAnsi="宋体"/>
          <w:sz w:val="24"/>
        </w:rPr>
        <w:t>年度工作计划报告如下：</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562" w:leftChars="0"/>
        <w:textAlignment w:val="auto"/>
        <w:rPr>
          <w:rFonts w:asciiTheme="minorEastAsia" w:hAnsiTheme="minorEastAsia" w:eastAsiaTheme="minorEastAsia"/>
          <w:b/>
          <w:sz w:val="24"/>
        </w:rPr>
      </w:pPr>
      <w:r>
        <w:rPr>
          <w:rFonts w:hint="eastAsia" w:asciiTheme="minorEastAsia" w:hAnsiTheme="minorEastAsia"/>
          <w:b/>
          <w:sz w:val="24"/>
          <w:lang w:val="en-US" w:eastAsia="zh-CN"/>
        </w:rPr>
        <w:t>一、</w:t>
      </w:r>
      <w:r>
        <w:rPr>
          <w:rFonts w:hint="eastAsia" w:asciiTheme="minorEastAsia" w:hAnsiTheme="minorEastAsia" w:eastAsiaTheme="minorEastAsia"/>
          <w:b/>
          <w:sz w:val="24"/>
        </w:rPr>
        <w:t>202</w:t>
      </w: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年主要工作情况</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Theme="minorEastAsia" w:hAnsiTheme="minorEastAsia" w:eastAsiaTheme="minorEastAsia"/>
          <w:b/>
          <w:sz w:val="24"/>
          <w:highlight w:val="none"/>
        </w:rPr>
      </w:pPr>
      <w:r>
        <w:rPr>
          <w:rFonts w:hint="eastAsia" w:asciiTheme="minorEastAsia" w:hAnsiTheme="minorEastAsia" w:eastAsiaTheme="minorEastAsia"/>
          <w:b/>
          <w:sz w:val="24"/>
        </w:rPr>
        <w:t>（一）</w:t>
      </w:r>
      <w:r>
        <w:rPr>
          <w:rFonts w:hint="eastAsia" w:cs="Arial Unicode MS" w:asciiTheme="minorEastAsia" w:hAnsiTheme="minorEastAsia" w:eastAsiaTheme="minorEastAsia"/>
          <w:b/>
          <w:kern w:val="0"/>
          <w:sz w:val="24"/>
        </w:rPr>
        <w:t>规范运作，有序组织参与各项会议</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一是高效召开监事会会议，持续提升议事质效。</w:t>
      </w:r>
      <w:r>
        <w:rPr>
          <w:rFonts w:hint="eastAsia" w:ascii="宋体" w:hAnsi="宋体" w:eastAsia="宋体" w:cs="Times New Roman"/>
          <w:sz w:val="24"/>
          <w:highlight w:val="none"/>
        </w:rPr>
        <w:t>202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年，监事会共召开会议</w:t>
      </w:r>
      <w:r>
        <w:rPr>
          <w:rFonts w:hint="eastAsia" w:ascii="宋体" w:hAnsi="宋体" w:cs="Times New Roman"/>
          <w:sz w:val="24"/>
          <w:highlight w:val="none"/>
          <w:lang w:val="en-US" w:eastAsia="zh-CN"/>
        </w:rPr>
        <w:t>9</w:t>
      </w:r>
      <w:r>
        <w:rPr>
          <w:rFonts w:hint="eastAsia" w:ascii="宋体" w:hAnsi="宋体" w:eastAsia="宋体" w:cs="Times New Roman"/>
          <w:sz w:val="24"/>
          <w:highlight w:val="none"/>
        </w:rPr>
        <w:t>次，其中现场会议7次，通讯会议</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次，共审议4</w:t>
      </w:r>
      <w:r>
        <w:rPr>
          <w:rFonts w:hint="eastAsia" w:ascii="宋体" w:hAnsi="宋体" w:cs="Times New Roman"/>
          <w:sz w:val="24"/>
          <w:highlight w:val="none"/>
          <w:lang w:val="en-US" w:eastAsia="zh-CN"/>
        </w:rPr>
        <w:t>5</w:t>
      </w:r>
      <w:r>
        <w:rPr>
          <w:rFonts w:hint="eastAsia" w:ascii="宋体" w:hAnsi="宋体" w:eastAsia="宋体" w:cs="Times New Roman"/>
          <w:sz w:val="24"/>
          <w:highlight w:val="none"/>
        </w:rPr>
        <w:t>项议案，听取</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项报告，</w:t>
      </w:r>
      <w:r>
        <w:rPr>
          <w:rFonts w:hint="eastAsia" w:ascii="宋体" w:hAnsi="宋体" w:eastAsia="宋体" w:cs="Times New Roman"/>
          <w:sz w:val="24"/>
        </w:rPr>
        <w:t>依法依规对发展战略、重大财务活动、风险管理、内控合规管理、薪酬考核、</w:t>
      </w:r>
      <w:r>
        <w:rPr>
          <w:rFonts w:hint="eastAsia" w:ascii="宋体" w:hAnsi="宋体" w:eastAsia="宋体" w:cs="Times New Roman"/>
          <w:sz w:val="24"/>
          <w:lang w:val="en-US" w:eastAsia="zh-CN"/>
        </w:rPr>
        <w:t>案件防控、消费者权益保护、</w:t>
      </w:r>
      <w:r>
        <w:rPr>
          <w:rFonts w:hint="eastAsia" w:ascii="宋体" w:hAnsi="宋体" w:eastAsia="宋体" w:cs="Times New Roman"/>
          <w:sz w:val="24"/>
        </w:rPr>
        <w:t>落实监管意见及问题整改问责情况</w:t>
      </w:r>
      <w:r>
        <w:rPr>
          <w:rFonts w:hint="eastAsia" w:ascii="宋体" w:hAnsi="宋体" w:eastAsia="宋体" w:cs="Times New Roman"/>
          <w:sz w:val="24"/>
          <w:lang w:eastAsia="zh-CN"/>
        </w:rPr>
        <w:t>、</w:t>
      </w:r>
      <w:r>
        <w:rPr>
          <w:rFonts w:hint="eastAsia" w:ascii="宋体" w:hAnsi="宋体" w:eastAsia="宋体" w:cs="Times New Roman"/>
          <w:sz w:val="24"/>
        </w:rPr>
        <w:t>董事会、高级管理层及其成员履职情况等事项进行监督。监事积极</w:t>
      </w:r>
      <w:r>
        <w:rPr>
          <w:rFonts w:hint="eastAsia" w:ascii="宋体" w:hAnsi="宋体" w:eastAsia="宋体" w:cs="Times New Roman"/>
          <w:sz w:val="24"/>
          <w:lang w:val="en-US" w:eastAsia="zh-CN"/>
        </w:rPr>
        <w:t>参与议案研究和</w:t>
      </w:r>
      <w:r>
        <w:rPr>
          <w:rFonts w:hint="eastAsia" w:ascii="宋体" w:hAnsi="宋体" w:eastAsia="宋体" w:cs="Times New Roman"/>
          <w:sz w:val="24"/>
        </w:rPr>
        <w:t>发表审议意见，依法审慎行使表决权</w:t>
      </w:r>
      <w:r>
        <w:rPr>
          <w:rFonts w:hint="eastAsia" w:ascii="宋体" w:hAnsi="宋体"/>
          <w:sz w:val="24"/>
        </w:rPr>
        <w:t>，监事会议事程序规范、注重效率，有效保障了监事会决议的合法、合规及合理性，较好地发挥了监</w:t>
      </w:r>
      <w:r>
        <w:rPr>
          <w:rFonts w:hint="eastAsia" w:ascii="宋体" w:hAnsi="宋体"/>
          <w:sz w:val="24"/>
          <w:highlight w:val="none"/>
        </w:rPr>
        <w:t>督职能。</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二是监事会下设委员会积极开展各项工作，强化监事会工作职能。202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年，监事会提名委员会共召开3次会议，</w:t>
      </w:r>
      <w:r>
        <w:rPr>
          <w:rFonts w:hint="eastAsia" w:ascii="宋体" w:hAnsi="宋体" w:eastAsia="宋体" w:cs="Times New Roman"/>
          <w:sz w:val="24"/>
          <w:highlight w:val="none"/>
          <w:lang w:eastAsia="zh-CN"/>
        </w:rPr>
        <w:t>审议</w:t>
      </w:r>
      <w:r>
        <w:rPr>
          <w:rFonts w:hint="eastAsia" w:ascii="宋体" w:hAnsi="宋体" w:cs="Times New Roman"/>
          <w:sz w:val="24"/>
          <w:highlight w:val="none"/>
          <w:lang w:val="en-US" w:eastAsia="zh-CN"/>
        </w:rPr>
        <w:t>公司</w:t>
      </w:r>
      <w:r>
        <w:rPr>
          <w:rFonts w:hint="eastAsia" w:ascii="宋体" w:hAnsi="宋体" w:eastAsia="宋体" w:cs="Times New Roman"/>
          <w:sz w:val="24"/>
          <w:highlight w:val="none"/>
        </w:rPr>
        <w:t>董事会、监事会、高级管理层及其成员202</w:t>
      </w: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年度履职评价报告、行领导薪酬分配方案、202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年绩效责任书、</w:t>
      </w:r>
      <w:r>
        <w:rPr>
          <w:rFonts w:hint="eastAsia" w:ascii="宋体" w:hAnsi="宋体" w:eastAsia="宋体" w:cs="Times New Roman"/>
          <w:sz w:val="24"/>
          <w:highlight w:val="none"/>
          <w:lang w:val="en-US" w:eastAsia="zh-CN"/>
        </w:rPr>
        <w:t>监事薪酬管理办法、市管干部薪酬管理方案</w:t>
      </w:r>
      <w:r>
        <w:rPr>
          <w:rFonts w:hint="eastAsia" w:ascii="宋体" w:hAnsi="宋体" w:eastAsia="宋体" w:cs="Times New Roman"/>
          <w:sz w:val="24"/>
          <w:highlight w:val="none"/>
        </w:rPr>
        <w:t>等</w:t>
      </w:r>
      <w:r>
        <w:rPr>
          <w:rFonts w:hint="eastAsia" w:ascii="宋体" w:hAnsi="宋体" w:eastAsia="宋体" w:cs="Times New Roman"/>
          <w:sz w:val="24"/>
          <w:highlight w:val="none"/>
          <w:lang w:val="en-US" w:eastAsia="zh-CN"/>
        </w:rPr>
        <w:t>7</w:t>
      </w:r>
      <w:r>
        <w:rPr>
          <w:rFonts w:hint="eastAsia" w:ascii="宋体" w:hAnsi="宋体" w:eastAsia="宋体" w:cs="Times New Roman"/>
          <w:sz w:val="24"/>
          <w:highlight w:val="none"/>
        </w:rPr>
        <w:t>项议案</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监事会提名委员会</w:t>
      </w:r>
      <w:r>
        <w:rPr>
          <w:rFonts w:hint="eastAsia" w:ascii="宋体" w:hAnsi="宋体" w:eastAsia="宋体" w:cs="Times New Roman"/>
          <w:sz w:val="24"/>
          <w:highlight w:val="none"/>
        </w:rPr>
        <w:t>持续规范对董事、监事、高级管理人员的履职监督，强化薪酬管理监督，有效履行了监事会赋予的职责；202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年，监事会审计委员会共召开</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次会议，</w:t>
      </w:r>
      <w:r>
        <w:rPr>
          <w:rFonts w:hint="eastAsia" w:ascii="宋体" w:hAnsi="宋体" w:eastAsia="宋体" w:cs="Times New Roman"/>
          <w:sz w:val="24"/>
          <w:highlight w:val="none"/>
          <w:lang w:eastAsia="zh-CN"/>
        </w:rPr>
        <w:t>审议</w:t>
      </w:r>
      <w:r>
        <w:rPr>
          <w:rFonts w:hint="eastAsia" w:ascii="宋体" w:hAnsi="宋体" w:cs="Times New Roman"/>
          <w:sz w:val="24"/>
          <w:highlight w:val="none"/>
          <w:lang w:val="en-US" w:eastAsia="zh-CN"/>
        </w:rPr>
        <w:t>公司</w:t>
      </w:r>
      <w:r>
        <w:rPr>
          <w:rFonts w:hint="eastAsia" w:ascii="宋体" w:hAnsi="宋体" w:eastAsia="宋体" w:cs="Times New Roman"/>
          <w:sz w:val="24"/>
          <w:highlight w:val="none"/>
        </w:rPr>
        <w:t>202</w:t>
      </w: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年年度报告及其摘要、半年度报告及其摘要、全面风险报告、内部控制评价报告、202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年度风险偏好陈述书、聘请202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年度会计师事务所等1</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项议案，积极协助监事会开展各项监督调研活动，推动监事会创新监督方式、提升监督效能。</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三是积极列席相关会议，对重大决策事项进行监督。202</w:t>
      </w:r>
      <w:r>
        <w:rPr>
          <w:rFonts w:hint="eastAsia" w:ascii="宋体" w:hAnsi="宋体"/>
          <w:sz w:val="24"/>
          <w:lang w:val="en-US" w:eastAsia="zh-CN"/>
        </w:rPr>
        <w:t>2</w:t>
      </w:r>
      <w:r>
        <w:rPr>
          <w:rFonts w:hint="eastAsia" w:ascii="宋体" w:hAnsi="宋体"/>
          <w:sz w:val="24"/>
        </w:rPr>
        <w:t>年，监事会组织监事出席股东大会、列席董事会及其专门委员会。通过参加上述会议，监事会对涉及全行经营管理、</w:t>
      </w:r>
      <w:r>
        <w:rPr>
          <w:rFonts w:hint="eastAsia" w:ascii="宋体" w:hAnsi="宋体"/>
          <w:sz w:val="24"/>
          <w:lang w:val="en-US" w:eastAsia="zh-CN"/>
        </w:rPr>
        <w:t>财务管理、</w:t>
      </w:r>
      <w:r>
        <w:rPr>
          <w:rFonts w:hint="eastAsia" w:ascii="宋体" w:hAnsi="宋体"/>
          <w:sz w:val="24"/>
        </w:rPr>
        <w:t>内控合规、风险防控和发展战略等重大事项的研究决策过程及各类议案的审议过程进行监督，并就重点关注事项发表监督意见或建议；派员</w:t>
      </w:r>
      <w:r>
        <w:rPr>
          <w:rFonts w:hint="eastAsia" w:ascii="宋体" w:hAnsi="宋体"/>
          <w:sz w:val="24"/>
          <w:lang w:val="en-US" w:eastAsia="zh-CN"/>
        </w:rPr>
        <w:t>实时</w:t>
      </w:r>
      <w:r>
        <w:rPr>
          <w:rFonts w:hint="eastAsia" w:ascii="宋体" w:hAnsi="宋体"/>
          <w:sz w:val="24"/>
        </w:rPr>
        <w:t>参加</w:t>
      </w:r>
      <w:r>
        <w:rPr>
          <w:rFonts w:hint="eastAsia" w:ascii="宋体" w:hAnsi="宋体"/>
          <w:sz w:val="24"/>
          <w:lang w:val="en-US" w:eastAsia="zh-CN"/>
        </w:rPr>
        <w:t>公司</w:t>
      </w:r>
      <w:r>
        <w:rPr>
          <w:rFonts w:hint="eastAsia" w:ascii="宋体" w:hAnsi="宋体"/>
          <w:sz w:val="24"/>
        </w:rPr>
        <w:t>党委会、行务会、周例会等全行各类重要经营管理会议，全面</w:t>
      </w:r>
      <w:r>
        <w:rPr>
          <w:rFonts w:hint="eastAsia" w:ascii="宋体" w:hAnsi="宋体"/>
          <w:sz w:val="24"/>
          <w:lang w:val="en-US" w:eastAsia="zh-CN"/>
        </w:rPr>
        <w:t>及时</w:t>
      </w:r>
      <w:r>
        <w:rPr>
          <w:rFonts w:hint="eastAsia" w:ascii="宋体" w:hAnsi="宋体"/>
          <w:sz w:val="24"/>
        </w:rPr>
        <w:t>了解经营管理层执行董事会决议、履行财务、内控和风险管理职责的情况，积极提出客观、独立的意见和建议，严格履行了监事会的监督职责，体现了监事会对全体股东</w:t>
      </w:r>
      <w:r>
        <w:rPr>
          <w:rFonts w:hint="eastAsia" w:ascii="宋体" w:hAnsi="宋体"/>
          <w:sz w:val="24"/>
          <w:lang w:val="en-US" w:eastAsia="zh-CN"/>
        </w:rPr>
        <w:t>和</w:t>
      </w:r>
      <w:r>
        <w:rPr>
          <w:rFonts w:hint="eastAsia" w:ascii="宋体" w:hAnsi="宋体"/>
          <w:sz w:val="24"/>
        </w:rPr>
        <w:t>利益相关者的保护责任。</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cs="Arial Unicode MS" w:asciiTheme="minorEastAsia" w:hAnsiTheme="minorEastAsia" w:eastAsiaTheme="minorEastAsia"/>
          <w:b/>
          <w:kern w:val="0"/>
          <w:sz w:val="24"/>
          <w:lang w:val="en-US" w:eastAsia="zh-CN"/>
        </w:rPr>
      </w:pPr>
      <w:r>
        <w:rPr>
          <w:rFonts w:hint="eastAsia" w:cs="Arial Unicode MS" w:asciiTheme="minorEastAsia" w:hAnsiTheme="minorEastAsia" w:eastAsiaTheme="minorEastAsia"/>
          <w:b/>
          <w:kern w:val="0"/>
          <w:sz w:val="24"/>
        </w:rPr>
        <w:t>（二）深化履职</w:t>
      </w:r>
      <w:r>
        <w:rPr>
          <w:rFonts w:hint="eastAsia" w:cs="Arial Unicode MS" w:asciiTheme="minorEastAsia" w:hAnsiTheme="minorEastAsia" w:eastAsiaTheme="minorEastAsia"/>
          <w:b/>
          <w:kern w:val="0"/>
          <w:sz w:val="24"/>
          <w:lang w:val="en-US" w:eastAsia="zh-CN"/>
        </w:rPr>
        <w:t>评价</w:t>
      </w:r>
      <w:r>
        <w:rPr>
          <w:rFonts w:hint="eastAsia" w:cs="Arial Unicode MS" w:asciiTheme="minorEastAsia" w:hAnsiTheme="minorEastAsia" w:eastAsiaTheme="minorEastAsia"/>
          <w:b/>
          <w:kern w:val="0"/>
          <w:sz w:val="24"/>
        </w:rPr>
        <w:t>，</w:t>
      </w:r>
      <w:r>
        <w:rPr>
          <w:rFonts w:hint="eastAsia" w:cs="Arial Unicode MS" w:asciiTheme="minorEastAsia" w:hAnsiTheme="minorEastAsia" w:eastAsiaTheme="minorEastAsia"/>
          <w:b/>
          <w:kern w:val="0"/>
          <w:sz w:val="24"/>
          <w:lang w:val="en-US" w:eastAsia="zh-CN"/>
        </w:rPr>
        <w:t>推动公司治理有效性的提升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一是持续强化履职监测。</w:t>
      </w:r>
      <w:r>
        <w:rPr>
          <w:rFonts w:hint="eastAsia" w:ascii="宋体" w:hAnsi="宋体"/>
          <w:sz w:val="24"/>
          <w:lang w:val="en-US" w:eastAsia="zh-CN"/>
        </w:rPr>
        <w:t>加强</w:t>
      </w:r>
      <w:r>
        <w:rPr>
          <w:rFonts w:hint="eastAsia" w:ascii="宋体" w:hAnsi="宋体"/>
          <w:sz w:val="24"/>
        </w:rPr>
        <w:t>日常履职信息</w:t>
      </w:r>
      <w:r>
        <w:rPr>
          <w:rFonts w:hint="eastAsia" w:ascii="宋体" w:hAnsi="宋体"/>
          <w:sz w:val="24"/>
          <w:lang w:val="en-US" w:eastAsia="zh-CN"/>
        </w:rPr>
        <w:t>的</w:t>
      </w:r>
      <w:r>
        <w:rPr>
          <w:rFonts w:hint="eastAsia" w:ascii="宋体" w:hAnsi="宋体"/>
          <w:sz w:val="24"/>
        </w:rPr>
        <w:t>收集</w:t>
      </w:r>
      <w:r>
        <w:rPr>
          <w:rFonts w:hint="eastAsia" w:ascii="宋体" w:hAnsi="宋体"/>
          <w:sz w:val="24"/>
          <w:lang w:val="en-US" w:eastAsia="zh-CN"/>
        </w:rPr>
        <w:t>和</w:t>
      </w:r>
      <w:r>
        <w:rPr>
          <w:rFonts w:hint="eastAsia" w:ascii="宋体" w:hAnsi="宋体"/>
          <w:sz w:val="24"/>
        </w:rPr>
        <w:t>分析，</w:t>
      </w:r>
      <w:r>
        <w:rPr>
          <w:rFonts w:hint="eastAsia" w:ascii="宋体" w:hAnsi="宋体"/>
          <w:sz w:val="24"/>
          <w:lang w:val="en-US" w:eastAsia="zh-CN"/>
        </w:rPr>
        <w:t>持续开展</w:t>
      </w:r>
      <w:r>
        <w:rPr>
          <w:rFonts w:hint="eastAsia" w:ascii="宋体" w:hAnsi="宋体"/>
          <w:sz w:val="24"/>
        </w:rPr>
        <w:t>对董事和高级管理人员的履职监测，对重点关注事项进行提示</w:t>
      </w: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年，监事会共发布《监事会重点关注事项的通知》（以下称《通知》）</w:t>
      </w:r>
      <w:r>
        <w:rPr>
          <w:rFonts w:hint="eastAsia" w:ascii="宋体" w:hAnsi="宋体"/>
          <w:sz w:val="24"/>
          <w:highlight w:val="none"/>
          <w:lang w:val="en-US" w:eastAsia="zh-CN"/>
        </w:rPr>
        <w:t>3</w:t>
      </w:r>
      <w:r>
        <w:rPr>
          <w:rFonts w:hint="eastAsia" w:ascii="宋体" w:hAnsi="宋体"/>
          <w:sz w:val="24"/>
          <w:highlight w:val="none"/>
        </w:rPr>
        <w:t>期，内容涉及公司风险管控、</w:t>
      </w:r>
      <w:r>
        <w:rPr>
          <w:rFonts w:hint="eastAsia" w:ascii="宋体" w:hAnsi="宋体"/>
          <w:sz w:val="24"/>
          <w:highlight w:val="none"/>
          <w:lang w:val="en-US" w:eastAsia="zh-CN"/>
        </w:rPr>
        <w:t>经营管理</w:t>
      </w:r>
      <w:r>
        <w:rPr>
          <w:rFonts w:hint="eastAsia" w:ascii="宋体" w:hAnsi="宋体"/>
          <w:sz w:val="24"/>
          <w:highlight w:val="none"/>
        </w:rPr>
        <w:t>、</w:t>
      </w:r>
      <w:r>
        <w:rPr>
          <w:rFonts w:hint="eastAsia" w:ascii="宋体" w:hAnsi="宋体"/>
          <w:sz w:val="24"/>
          <w:highlight w:val="none"/>
          <w:lang w:val="en-US" w:eastAsia="zh-CN"/>
        </w:rPr>
        <w:t>金融市场</w:t>
      </w:r>
      <w:r>
        <w:rPr>
          <w:rFonts w:hint="eastAsia" w:ascii="宋体" w:hAnsi="宋体"/>
          <w:sz w:val="24"/>
          <w:highlight w:val="none"/>
        </w:rPr>
        <w:t>等多个方面，《通知》向高级管理层、总行各相关部门提出了建</w:t>
      </w:r>
      <w:r>
        <w:rPr>
          <w:rFonts w:hint="eastAsia" w:ascii="宋体" w:hAnsi="宋体"/>
          <w:sz w:val="24"/>
        </w:rPr>
        <w:t>设性、战略性的建议和意见，得到管理层积极响应。</w:t>
      </w:r>
      <w:bookmarkStart w:id="15" w:name="_Hlk96419055"/>
    </w:p>
    <w:bookmarkEnd w:id="15"/>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二是</w:t>
      </w:r>
      <w:r>
        <w:rPr>
          <w:rFonts w:hint="eastAsia" w:ascii="宋体" w:hAnsi="宋体"/>
          <w:sz w:val="24"/>
          <w:lang w:val="en-US" w:eastAsia="zh-CN"/>
        </w:rPr>
        <w:t>完善评价机制，开展</w:t>
      </w:r>
      <w:r>
        <w:rPr>
          <w:rFonts w:hint="eastAsia" w:ascii="宋体" w:hAnsi="宋体"/>
          <w:sz w:val="24"/>
        </w:rPr>
        <w:t>履职评价。</w:t>
      </w:r>
      <w:r>
        <w:rPr>
          <w:rFonts w:hint="eastAsia" w:ascii="宋体" w:hAnsi="宋体"/>
          <w:sz w:val="24"/>
          <w:lang w:val="en-US" w:eastAsia="zh-CN"/>
        </w:rPr>
        <w:t>根据</w:t>
      </w:r>
      <w:r>
        <w:rPr>
          <w:rFonts w:hint="eastAsia" w:ascii="宋体" w:hAnsi="宋体"/>
          <w:sz w:val="24"/>
        </w:rPr>
        <w:t>《厦门银行股份有限公司董事会和董事履职评价办法》《厦门银行股份有限公司监事会和监事履职评价办法》《厦门银行股份有限公司高级管理层及其成员履职评价办法》</w:t>
      </w:r>
      <w:r>
        <w:rPr>
          <w:rFonts w:hint="eastAsia" w:ascii="宋体" w:hAnsi="宋体"/>
          <w:sz w:val="24"/>
          <w:lang w:eastAsia="zh-CN"/>
        </w:rPr>
        <w:t>，</w:t>
      </w:r>
      <w:r>
        <w:rPr>
          <w:rFonts w:hint="eastAsia" w:ascii="宋体" w:hAnsi="宋体"/>
          <w:sz w:val="24"/>
        </w:rPr>
        <w:t>研究制订履职评价方案，组织开展董事、监事和高管人员履职自评、他评，不断加强履职监督档案建设，充实完善各类履职资料，做好履职信息采集核实、分数统计汇总、履职报告收集整理等各项工作，保证履职评价资料的准确完整。</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三是持续深化评价结果应用。及时将监事会对董事及高级管理人员履职评价结果向董事会和高管层通报，并按要求向股东大会和监管部门报告，通过履职评价有效促进董事和高级管理人员履职尽职。</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default" w:ascii="宋体" w:hAnsi="宋体" w:eastAsia="宋体"/>
          <w:b/>
          <w:color w:val="auto"/>
          <w:sz w:val="24"/>
          <w:lang w:val="en-US" w:eastAsia="zh-CN"/>
        </w:rPr>
      </w:pPr>
      <w:r>
        <w:rPr>
          <w:rFonts w:hint="eastAsia" w:asciiTheme="minorEastAsia" w:hAnsiTheme="minorEastAsia" w:eastAsiaTheme="minorEastAsia"/>
          <w:b/>
          <w:sz w:val="24"/>
        </w:rPr>
        <w:t>（三）</w:t>
      </w:r>
      <w:r>
        <w:rPr>
          <w:rFonts w:hint="eastAsia" w:ascii="宋体" w:hAnsi="宋体"/>
          <w:b/>
          <w:color w:val="auto"/>
          <w:sz w:val="24"/>
          <w:lang w:val="en-US" w:eastAsia="zh-CN"/>
        </w:rPr>
        <w:t>持续落实</w:t>
      </w:r>
      <w:r>
        <w:rPr>
          <w:rFonts w:hint="eastAsia" w:ascii="宋体" w:hAnsi="宋体"/>
          <w:b/>
          <w:color w:val="auto"/>
          <w:sz w:val="24"/>
        </w:rPr>
        <w:t>财务监督，</w:t>
      </w:r>
      <w:r>
        <w:rPr>
          <w:rFonts w:hint="eastAsia" w:ascii="宋体" w:hAnsi="宋体"/>
          <w:b/>
          <w:color w:val="auto"/>
          <w:sz w:val="24"/>
          <w:lang w:val="en-US" w:eastAsia="zh-CN"/>
        </w:rPr>
        <w:t>维护公司及股东合法权益</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rPr>
        <w:t>2</w:t>
      </w:r>
      <w:r>
        <w:rPr>
          <w:rFonts w:ascii="宋体" w:hAnsi="宋体"/>
          <w:color w:val="auto"/>
          <w:sz w:val="24"/>
        </w:rPr>
        <w:t>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监事会持续落实财务监督，注重监督的实质和效能，不断延伸监督的广度和深度。</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一是监事会</w:t>
      </w:r>
      <w:r>
        <w:rPr>
          <w:rFonts w:hint="eastAsia" w:ascii="宋体" w:hAnsi="宋体"/>
          <w:color w:val="auto"/>
          <w:sz w:val="24"/>
        </w:rPr>
        <w:t>对定期报告的编制和审议程序、内容与格式的合法合规情况进行监督，</w:t>
      </w:r>
      <w:r>
        <w:rPr>
          <w:rFonts w:hint="eastAsia" w:ascii="宋体" w:hAnsi="宋体"/>
          <w:color w:val="auto"/>
          <w:sz w:val="24"/>
          <w:lang w:val="en-US" w:eastAsia="zh-CN"/>
        </w:rPr>
        <w:t>重点</w:t>
      </w:r>
      <w:r>
        <w:rPr>
          <w:rFonts w:hint="eastAsia" w:ascii="宋体" w:hAnsi="宋体"/>
          <w:color w:val="auto"/>
          <w:sz w:val="24"/>
        </w:rPr>
        <w:t>关注重要财务信息的真实性、准确性和完整性，</w:t>
      </w:r>
      <w:r>
        <w:rPr>
          <w:rFonts w:hint="eastAsia" w:ascii="宋体" w:hAnsi="宋体"/>
          <w:color w:val="auto"/>
          <w:sz w:val="24"/>
          <w:lang w:val="en-US" w:eastAsia="zh-CN"/>
        </w:rPr>
        <w:t>并根据相关管理要求</w:t>
      </w:r>
      <w:r>
        <w:rPr>
          <w:rFonts w:hint="eastAsia" w:ascii="宋体" w:hAnsi="宋体"/>
          <w:color w:val="auto"/>
          <w:sz w:val="24"/>
        </w:rPr>
        <w:t>出具了审核意见，及时进行信息披露</w:t>
      </w:r>
      <w:r>
        <w:rPr>
          <w:rFonts w:hint="eastAsia" w:ascii="宋体" w:hAnsi="宋体"/>
          <w:color w:val="auto"/>
          <w:sz w:val="24"/>
          <w:lang w:eastAsia="zh-CN"/>
        </w:rPr>
        <w:t>，</w:t>
      </w:r>
      <w:r>
        <w:rPr>
          <w:rFonts w:hint="eastAsia" w:ascii="宋体" w:hAnsi="宋体"/>
          <w:color w:val="auto"/>
          <w:sz w:val="24"/>
          <w:lang w:val="en-US" w:eastAsia="zh-CN"/>
        </w:rPr>
        <w:t>并</w:t>
      </w:r>
      <w:r>
        <w:rPr>
          <w:rFonts w:hint="eastAsia" w:ascii="宋体" w:hAnsi="宋体"/>
          <w:color w:val="auto"/>
          <w:sz w:val="24"/>
        </w:rPr>
        <w:t>对本年度历次定期报告签署了书面确认意见</w:t>
      </w:r>
      <w:r>
        <w:rPr>
          <w:rFonts w:hint="eastAsia" w:ascii="宋体" w:hAnsi="宋体"/>
          <w:color w:val="auto"/>
          <w:sz w:val="24"/>
          <w:lang w:eastAsia="zh-CN"/>
        </w:rPr>
        <w:t>。</w:t>
      </w:r>
      <w:r>
        <w:rPr>
          <w:rFonts w:hint="eastAsia" w:ascii="宋体" w:hAnsi="宋体"/>
          <w:color w:val="auto"/>
          <w:sz w:val="24"/>
        </w:rPr>
        <w:t>审议年度经营计划和财务预算方案、年度利润分配方案，</w:t>
      </w:r>
      <w:r>
        <w:rPr>
          <w:rFonts w:hint="eastAsia" w:ascii="宋体" w:hAnsi="宋体"/>
          <w:color w:val="auto"/>
          <w:sz w:val="24"/>
          <w:lang w:val="en-US" w:eastAsia="zh-CN"/>
        </w:rPr>
        <w:t>对决策过程及合理性进行了监督。</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二是审阅公司财务数据，</w:t>
      </w:r>
      <w:r>
        <w:rPr>
          <w:rFonts w:hint="eastAsia" w:ascii="宋体" w:hAnsi="宋体"/>
          <w:color w:val="auto"/>
          <w:sz w:val="24"/>
        </w:rPr>
        <w:t>认真听取审计师关于定期报告的情况汇报，加强与审计师沟通，分析财务数据变化</w:t>
      </w:r>
      <w:r>
        <w:rPr>
          <w:rFonts w:hint="eastAsia" w:ascii="宋体" w:hAnsi="宋体"/>
          <w:color w:val="auto"/>
          <w:sz w:val="24"/>
          <w:lang w:val="en-US" w:eastAsia="zh-CN"/>
        </w:rPr>
        <w:t>趋势</w:t>
      </w:r>
      <w:r>
        <w:rPr>
          <w:rFonts w:hint="eastAsia" w:ascii="宋体" w:hAnsi="宋体"/>
          <w:color w:val="auto"/>
          <w:sz w:val="24"/>
        </w:rPr>
        <w:t>，</w:t>
      </w:r>
      <w:r>
        <w:rPr>
          <w:rFonts w:hint="eastAsia" w:ascii="宋体" w:hAnsi="宋体"/>
          <w:color w:val="auto"/>
          <w:sz w:val="24"/>
          <w:lang w:val="en-US" w:eastAsia="zh-CN"/>
        </w:rPr>
        <w:t>比对</w:t>
      </w:r>
      <w:r>
        <w:rPr>
          <w:rFonts w:hint="eastAsia" w:ascii="宋体" w:hAnsi="宋体"/>
          <w:color w:val="auto"/>
          <w:sz w:val="24"/>
        </w:rPr>
        <w:t>核实财务信息真实性，同时结合监事会关注重点，向审计师提出意见与建议，对审计师工作的独立性和有效性进行监督，</w:t>
      </w:r>
      <w:r>
        <w:rPr>
          <w:rFonts w:hint="eastAsia" w:ascii="宋体" w:hAnsi="宋体"/>
          <w:color w:val="auto"/>
          <w:sz w:val="24"/>
          <w:lang w:val="en-US" w:eastAsia="zh-CN"/>
        </w:rPr>
        <w:t>推动公司规范运作</w:t>
      </w:r>
      <w:r>
        <w:rPr>
          <w:rFonts w:hint="eastAsia" w:ascii="宋体" w:hAnsi="宋体"/>
          <w:color w:val="auto"/>
          <w:sz w:val="24"/>
        </w:rPr>
        <w:t>。</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default" w:asciiTheme="minorEastAsia" w:hAnsiTheme="minorEastAsia" w:eastAsiaTheme="minorEastAsia"/>
          <w:b/>
          <w:color w:val="auto"/>
          <w:sz w:val="24"/>
          <w:lang w:val="en-US" w:eastAsia="zh-CN"/>
        </w:rPr>
      </w:pPr>
      <w:r>
        <w:rPr>
          <w:rFonts w:hint="eastAsia" w:asciiTheme="minorEastAsia" w:hAnsiTheme="minorEastAsia" w:eastAsiaTheme="minorEastAsia"/>
          <w:b/>
          <w:color w:val="auto"/>
          <w:sz w:val="24"/>
        </w:rPr>
        <w:t>（</w:t>
      </w:r>
      <w:r>
        <w:rPr>
          <w:rFonts w:hint="eastAsia" w:asciiTheme="minorEastAsia" w:hAnsiTheme="minorEastAsia" w:eastAsiaTheme="minorEastAsia"/>
          <w:b/>
          <w:color w:val="auto"/>
          <w:sz w:val="24"/>
          <w:lang w:val="en-US" w:eastAsia="zh-CN"/>
        </w:rPr>
        <w:t>四</w:t>
      </w:r>
      <w:r>
        <w:rPr>
          <w:rFonts w:hint="eastAsia" w:asciiTheme="minorEastAsia" w:hAnsiTheme="minorEastAsia" w:eastAsiaTheme="minorEastAsia"/>
          <w:b/>
          <w:color w:val="auto"/>
          <w:sz w:val="24"/>
        </w:rPr>
        <w:t>）</w:t>
      </w:r>
      <w:r>
        <w:rPr>
          <w:rFonts w:hint="eastAsia" w:asciiTheme="minorEastAsia" w:hAnsiTheme="minorEastAsia" w:eastAsiaTheme="minorEastAsia"/>
          <w:b/>
          <w:color w:val="auto"/>
          <w:sz w:val="24"/>
          <w:lang w:val="en-US" w:eastAsia="zh-CN"/>
        </w:rPr>
        <w:t>夯实</w:t>
      </w:r>
      <w:r>
        <w:rPr>
          <w:rFonts w:hint="eastAsia" w:asciiTheme="minorEastAsia" w:hAnsiTheme="minorEastAsia" w:eastAsiaTheme="minorEastAsia"/>
          <w:b/>
          <w:color w:val="auto"/>
          <w:sz w:val="24"/>
        </w:rPr>
        <w:t>内部控制</w:t>
      </w:r>
      <w:r>
        <w:rPr>
          <w:rFonts w:hint="eastAsia" w:asciiTheme="minorEastAsia" w:hAnsiTheme="minorEastAsia" w:eastAsiaTheme="minorEastAsia"/>
          <w:b/>
          <w:color w:val="auto"/>
          <w:sz w:val="24"/>
          <w:lang w:val="en-US" w:eastAsia="zh-CN"/>
        </w:rPr>
        <w:t>及风险控制的</w:t>
      </w:r>
      <w:r>
        <w:rPr>
          <w:rFonts w:hint="eastAsia" w:asciiTheme="minorEastAsia" w:hAnsiTheme="minorEastAsia" w:eastAsiaTheme="minorEastAsia"/>
          <w:b/>
          <w:color w:val="auto"/>
          <w:sz w:val="24"/>
        </w:rPr>
        <w:t>监督，</w:t>
      </w:r>
      <w:r>
        <w:rPr>
          <w:rFonts w:hint="eastAsia" w:asciiTheme="minorEastAsia" w:hAnsiTheme="minorEastAsia" w:eastAsiaTheme="minorEastAsia"/>
          <w:b/>
          <w:color w:val="auto"/>
          <w:sz w:val="24"/>
          <w:lang w:val="en-US" w:eastAsia="zh-CN"/>
        </w:rPr>
        <w:t>为公司合规稳健发展保驾护航</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olor w:val="auto"/>
          <w:sz w:val="24"/>
          <w:lang w:val="en-US"/>
        </w:rPr>
      </w:pPr>
      <w:r>
        <w:rPr>
          <w:rFonts w:hint="eastAsia" w:ascii="宋体" w:hAnsi="宋体"/>
          <w:color w:val="auto"/>
          <w:sz w:val="24"/>
        </w:rPr>
        <w:t>202</w:t>
      </w:r>
      <w:r>
        <w:rPr>
          <w:rFonts w:hint="eastAsia" w:ascii="宋体" w:hAnsi="宋体"/>
          <w:color w:val="auto"/>
          <w:sz w:val="24"/>
          <w:lang w:val="en-US" w:eastAsia="zh-CN"/>
        </w:rPr>
        <w:t>2</w:t>
      </w:r>
      <w:r>
        <w:rPr>
          <w:rFonts w:hint="eastAsia" w:ascii="宋体" w:hAnsi="宋体"/>
          <w:color w:val="auto"/>
          <w:sz w:val="24"/>
        </w:rPr>
        <w:t>年，监事会</w:t>
      </w:r>
      <w:r>
        <w:rPr>
          <w:rFonts w:hint="eastAsia" w:ascii="宋体" w:hAnsi="宋体"/>
          <w:color w:val="auto"/>
          <w:sz w:val="24"/>
          <w:lang w:val="en-US" w:eastAsia="zh-CN"/>
        </w:rPr>
        <w:t>聚焦监管和投资者关注重点，不断夯实内部控制和风险控制的监督，以点带面，以监督促规范，为公司合规稳健发展保驾护航。</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一</w:t>
      </w:r>
      <w:r>
        <w:rPr>
          <w:rFonts w:hint="eastAsia" w:ascii="宋体" w:hAnsi="宋体"/>
          <w:color w:val="auto"/>
          <w:sz w:val="24"/>
        </w:rPr>
        <w:t>是认真履行内部控制监督职责，持续关注董事会、高级管理层及其成员内部控制履职尽责情况，督促加强合规经营管理。审议公司年度内部控制评价报告，认真贯彻监管要求，强化内部控制重点领域监督，重点关注案件防控、关联交易、消费者权益保护等领域工作情况并开展常态化跟踪监督，推动压实董事会、高级管理层主体责任，不断加强内部控制体系建设，促进内部控制治理架构不断完善，持续改善内部控制状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二</w:t>
      </w:r>
      <w:r>
        <w:rPr>
          <w:rFonts w:hint="eastAsia" w:ascii="宋体" w:hAnsi="宋体"/>
          <w:color w:val="auto"/>
          <w:sz w:val="24"/>
        </w:rPr>
        <w:t>是监事会不断强化全面风险管理监督</w:t>
      </w:r>
      <w:r>
        <w:rPr>
          <w:rFonts w:hint="eastAsia" w:ascii="宋体" w:hAnsi="宋体"/>
          <w:color w:val="auto"/>
          <w:sz w:val="24"/>
          <w:lang w:eastAsia="zh-CN"/>
        </w:rPr>
        <w:t>。</w:t>
      </w:r>
      <w:r>
        <w:rPr>
          <w:rFonts w:hint="eastAsia" w:ascii="宋体" w:hAnsi="宋体"/>
          <w:color w:val="auto"/>
          <w:sz w:val="24"/>
          <w:lang w:val="en-US" w:eastAsia="zh-CN"/>
        </w:rPr>
        <w:t>首先，</w:t>
      </w:r>
      <w:r>
        <w:rPr>
          <w:rFonts w:hint="eastAsia" w:ascii="宋体" w:hAnsi="宋体"/>
          <w:color w:val="auto"/>
          <w:sz w:val="24"/>
        </w:rPr>
        <w:t>定期审阅集团层面全面风险报告，及时了解</w:t>
      </w:r>
      <w:r>
        <w:rPr>
          <w:rFonts w:hint="eastAsia" w:ascii="宋体" w:hAnsi="宋体"/>
          <w:color w:val="auto"/>
          <w:sz w:val="24"/>
          <w:lang w:val="en-US" w:eastAsia="zh-CN"/>
        </w:rPr>
        <w:t>公司</w:t>
      </w:r>
      <w:r>
        <w:rPr>
          <w:rFonts w:hint="eastAsia" w:ascii="宋体" w:hAnsi="宋体"/>
          <w:color w:val="auto"/>
          <w:sz w:val="24"/>
        </w:rPr>
        <w:t>信用风险、市场风险、流动性风险、操作风险、声誉风险等风险管理情况；</w:t>
      </w:r>
      <w:r>
        <w:rPr>
          <w:rFonts w:hint="eastAsia" w:ascii="宋体" w:hAnsi="宋体"/>
          <w:color w:val="auto"/>
          <w:sz w:val="24"/>
          <w:lang w:val="en-US" w:eastAsia="zh-CN"/>
        </w:rPr>
        <w:t>其次，</w:t>
      </w:r>
      <w:r>
        <w:rPr>
          <w:rFonts w:hint="eastAsia" w:ascii="宋体" w:hAnsi="宋体"/>
          <w:color w:val="auto"/>
          <w:sz w:val="24"/>
        </w:rPr>
        <w:t>持续关注风险管理政策制度制定、风险偏好及传导机制有效性，定期监督主要风险指标达标情况；</w:t>
      </w:r>
      <w:r>
        <w:rPr>
          <w:rFonts w:hint="eastAsia" w:ascii="宋体" w:hAnsi="宋体"/>
          <w:color w:val="auto"/>
          <w:sz w:val="24"/>
          <w:lang w:val="en-US" w:eastAsia="zh-CN"/>
        </w:rPr>
        <w:t>再次，</w:t>
      </w:r>
      <w:r>
        <w:rPr>
          <w:rFonts w:hint="eastAsia" w:ascii="宋体" w:hAnsi="宋体"/>
          <w:color w:val="auto"/>
          <w:sz w:val="24"/>
        </w:rPr>
        <w:t>对机构洗钱风险评估报告、业务连续性管理报告、信息科技风险管理报告</w:t>
      </w:r>
      <w:r>
        <w:rPr>
          <w:rFonts w:hint="eastAsia" w:ascii="宋体" w:hAnsi="宋体"/>
          <w:color w:val="auto"/>
          <w:sz w:val="24"/>
          <w:lang w:val="en-US" w:eastAsia="zh-CN"/>
        </w:rPr>
        <w:t>进行</w:t>
      </w:r>
      <w:r>
        <w:rPr>
          <w:rFonts w:hint="eastAsia" w:ascii="宋体" w:hAnsi="宋体"/>
          <w:color w:val="auto"/>
          <w:sz w:val="24"/>
        </w:rPr>
        <w:t>审议监督</w:t>
      </w:r>
      <w:r>
        <w:rPr>
          <w:rFonts w:hint="eastAsia" w:ascii="宋体" w:hAnsi="宋体"/>
          <w:color w:val="auto"/>
          <w:sz w:val="24"/>
          <w:lang w:eastAsia="zh-CN"/>
        </w:rPr>
        <w:t>；</w:t>
      </w:r>
      <w:r>
        <w:rPr>
          <w:rFonts w:hint="eastAsia" w:ascii="宋体" w:hAnsi="宋体"/>
          <w:color w:val="auto"/>
          <w:sz w:val="24"/>
          <w:lang w:val="en-US" w:eastAsia="zh-CN"/>
        </w:rPr>
        <w:t>此外，本年度监事会根据《中国银保监会关于印发商业银行预期信用损失法实施管理办法的通知》（银保监规〔2022〕10号）要求，监督董事会和高级管理层在预期信用损失法管理方面的履职尽责情况，听取《厦门银行股份有限公司关于2022年预期信用损失减值模型内部验证报告的议案》</w:t>
      </w:r>
      <w:r>
        <w:rPr>
          <w:rFonts w:hint="eastAsia" w:ascii="宋体" w:hAnsi="宋体"/>
          <w:color w:val="auto"/>
          <w:sz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三是高度重视监管部门现场检查发现的问题。督促经营管理层认真分析问题产生根源，举一反三，完善体制机制，规范流程，建立台账逐条对照，按时跟踪全面整改落实，形成“监督——改进——反馈——提升”的良性循环，推动公司合规管理的提升，持续加强合规文化建设。</w:t>
      </w:r>
    </w:p>
    <w:p>
      <w:pPr>
        <w:keepNext w:val="0"/>
        <w:keepLines w:val="0"/>
        <w:pageBreakBefore w:val="0"/>
        <w:kinsoku/>
        <w:wordWrap/>
        <w:overflowPunct/>
        <w:topLinePunct w:val="0"/>
        <w:autoSpaceDE/>
        <w:autoSpaceDN/>
        <w:bidi w:val="0"/>
        <w:adjustRightInd/>
        <w:snapToGrid w:val="0"/>
        <w:spacing w:line="360" w:lineRule="auto"/>
        <w:ind w:firstLine="493"/>
        <w:textAlignment w:val="auto"/>
        <w:rPr>
          <w:rFonts w:asciiTheme="minorEastAsia" w:hAnsiTheme="minorEastAsia" w:eastAsiaTheme="minorEastAsia"/>
          <w:b/>
          <w:sz w:val="24"/>
        </w:rPr>
      </w:pPr>
      <w:r>
        <w:rPr>
          <w:rFonts w:hint="eastAsia" w:asciiTheme="minorEastAsia" w:hAnsiTheme="minorEastAsia" w:eastAsiaTheme="minorEastAsia"/>
          <w:b/>
          <w:sz w:val="24"/>
          <w:lang w:val="en-US" w:eastAsia="zh-CN"/>
        </w:rPr>
        <w:t>（五）深入开展重点监督</w:t>
      </w:r>
      <w:r>
        <w:rPr>
          <w:rFonts w:hint="eastAsia" w:asciiTheme="minorEastAsia" w:hAnsiTheme="minorEastAsia" w:eastAsiaTheme="minorEastAsia"/>
          <w:b/>
          <w:sz w:val="24"/>
        </w:rPr>
        <w:t>，充分发挥监督效能</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根据公司第八届监事会审计委员会第十次会议审议通过的</w:t>
      </w:r>
      <w:r>
        <w:rPr>
          <w:rFonts w:hint="eastAsia" w:ascii="宋体" w:hAnsi="宋体"/>
          <w:sz w:val="24"/>
        </w:rPr>
        <w:t>《</w:t>
      </w:r>
      <w:r>
        <w:rPr>
          <w:rFonts w:hint="eastAsia" w:ascii="宋体" w:hAnsi="宋体" w:cs="仿宋_GB2312"/>
          <w:sz w:val="24"/>
        </w:rPr>
        <w:t>厦门银行股份有限公司监事会审计委员会关于集团并表管理专项检查调研方案的议案</w:t>
      </w:r>
      <w:r>
        <w:rPr>
          <w:rFonts w:hint="eastAsia" w:ascii="宋体" w:hAnsi="宋体"/>
          <w:sz w:val="24"/>
        </w:rPr>
        <w:t>》</w:t>
      </w:r>
      <w:r>
        <w:rPr>
          <w:rFonts w:hint="eastAsia" w:ascii="宋体" w:hAnsi="宋体"/>
          <w:sz w:val="24"/>
          <w:lang w:val="en-US" w:eastAsia="zh-CN"/>
        </w:rPr>
        <w:t>，</w:t>
      </w:r>
      <w:r>
        <w:rPr>
          <w:rFonts w:hint="eastAsia" w:ascii="宋体" w:hAnsi="宋体"/>
          <w:sz w:val="24"/>
        </w:rPr>
        <w:t>由监事会审计委员会牵头，选取</w:t>
      </w:r>
      <w:r>
        <w:rPr>
          <w:rFonts w:hint="eastAsia" w:ascii="宋体" w:hAnsi="宋体"/>
          <w:sz w:val="24"/>
          <w:lang w:val="en-US" w:eastAsia="zh-CN"/>
        </w:rPr>
        <w:t>子公司并表管理作为调研课题</w:t>
      </w:r>
      <w:r>
        <w:rPr>
          <w:rFonts w:hint="eastAsia" w:ascii="宋体" w:hAnsi="宋体"/>
          <w:sz w:val="24"/>
        </w:rPr>
        <w:t>，认真制定调研方案，详细收集整理背景材料，通过</w:t>
      </w:r>
      <w:r>
        <w:rPr>
          <w:rFonts w:hint="eastAsia" w:ascii="宋体" w:hAnsi="宋体"/>
          <w:sz w:val="24"/>
          <w:lang w:val="en-US" w:eastAsia="zh-CN"/>
        </w:rPr>
        <w:t>并表管理</w:t>
      </w:r>
      <w:r>
        <w:rPr>
          <w:rFonts w:hint="eastAsia" w:ascii="宋体" w:hAnsi="宋体"/>
          <w:sz w:val="24"/>
        </w:rPr>
        <w:t>材料</w:t>
      </w:r>
      <w:r>
        <w:rPr>
          <w:rFonts w:hint="eastAsia" w:ascii="宋体" w:hAnsi="宋体"/>
          <w:sz w:val="24"/>
          <w:lang w:val="en-US" w:eastAsia="zh-CN"/>
        </w:rPr>
        <w:t>收集及</w:t>
      </w:r>
      <w:r>
        <w:rPr>
          <w:rFonts w:hint="eastAsia" w:ascii="宋体" w:hAnsi="宋体"/>
          <w:sz w:val="24"/>
        </w:rPr>
        <w:t>分析</w:t>
      </w:r>
      <w:r>
        <w:rPr>
          <w:rFonts w:hint="eastAsia" w:ascii="宋体" w:hAnsi="宋体"/>
          <w:sz w:val="24"/>
          <w:lang w:val="en-US" w:eastAsia="zh-CN"/>
        </w:rPr>
        <w:t>反馈</w:t>
      </w:r>
      <w:r>
        <w:rPr>
          <w:rFonts w:hint="eastAsia" w:ascii="宋体" w:hAnsi="宋体"/>
          <w:sz w:val="24"/>
        </w:rPr>
        <w:t>、</w:t>
      </w:r>
      <w:r>
        <w:rPr>
          <w:rFonts w:hint="eastAsia" w:ascii="宋体" w:hAnsi="宋体"/>
          <w:sz w:val="24"/>
          <w:lang w:val="en-US" w:eastAsia="zh-CN"/>
        </w:rPr>
        <w:t>总行部门调研座谈</w:t>
      </w:r>
      <w:r>
        <w:rPr>
          <w:rFonts w:hint="eastAsia" w:ascii="宋体" w:hAnsi="宋体"/>
          <w:sz w:val="24"/>
        </w:rPr>
        <w:t>、</w:t>
      </w:r>
      <w:r>
        <w:rPr>
          <w:rFonts w:hint="eastAsia" w:ascii="宋体" w:hAnsi="宋体"/>
          <w:sz w:val="24"/>
          <w:lang w:val="en-US" w:eastAsia="zh-CN"/>
        </w:rPr>
        <w:t>子公司调研</w:t>
      </w:r>
      <w:r>
        <w:rPr>
          <w:rFonts w:hint="eastAsia" w:ascii="宋体" w:hAnsi="宋体"/>
          <w:sz w:val="24"/>
        </w:rPr>
        <w:t>座谈等多种形式，顺利完成调研任务。根据调研掌握的情况并结合研究成果，从</w:t>
      </w:r>
      <w:r>
        <w:rPr>
          <w:rFonts w:hint="eastAsia" w:ascii="宋体" w:hAnsi="宋体"/>
          <w:sz w:val="24"/>
          <w:lang w:val="en-US" w:eastAsia="zh-CN"/>
        </w:rPr>
        <w:t>并表管理信息化、自动化、全面风险并表管理、集团联动</w:t>
      </w:r>
      <w:r>
        <w:rPr>
          <w:rFonts w:hint="eastAsia" w:ascii="宋体" w:hAnsi="宋体"/>
          <w:sz w:val="24"/>
        </w:rPr>
        <w:t>等方面提出专业建议，并形成检查报告《厦门银行股份有限公司监事会审计委员会关于</w:t>
      </w:r>
      <w:r>
        <w:rPr>
          <w:rFonts w:hint="eastAsia" w:ascii="宋体" w:hAnsi="宋体"/>
          <w:sz w:val="24"/>
          <w:lang w:val="en-US" w:eastAsia="zh-CN"/>
        </w:rPr>
        <w:t>集团并表管理</w:t>
      </w:r>
      <w:r>
        <w:rPr>
          <w:rFonts w:hint="eastAsia" w:ascii="宋体" w:hAnsi="宋体"/>
          <w:sz w:val="24"/>
        </w:rPr>
        <w:t>专项调研报告》</w:t>
      </w:r>
      <w:r>
        <w:rPr>
          <w:rFonts w:hint="eastAsia" w:ascii="宋体" w:hAnsi="宋体"/>
          <w:sz w:val="24"/>
          <w:lang w:eastAsia="zh-CN"/>
        </w:rPr>
        <w:t>，</w:t>
      </w:r>
      <w:r>
        <w:rPr>
          <w:rFonts w:hint="eastAsia" w:ascii="宋体" w:hAnsi="宋体"/>
          <w:sz w:val="24"/>
        </w:rPr>
        <w:t>提交</w:t>
      </w:r>
      <w:r>
        <w:rPr>
          <w:rFonts w:hint="eastAsia" w:ascii="宋体" w:hAnsi="宋体"/>
          <w:sz w:val="24"/>
          <w:lang w:val="en-US" w:eastAsia="zh-CN"/>
        </w:rPr>
        <w:t>2022年11月28日公司第八届</w:t>
      </w:r>
      <w:r>
        <w:rPr>
          <w:rFonts w:hint="eastAsia" w:ascii="宋体" w:hAnsi="宋体"/>
          <w:sz w:val="24"/>
        </w:rPr>
        <w:t>监事会</w:t>
      </w:r>
      <w:r>
        <w:rPr>
          <w:rFonts w:hint="eastAsia" w:ascii="宋体" w:hAnsi="宋体"/>
          <w:sz w:val="24"/>
          <w:lang w:val="en-US" w:eastAsia="zh-CN"/>
        </w:rPr>
        <w:t>第十六次会议</w:t>
      </w:r>
      <w:r>
        <w:rPr>
          <w:rFonts w:hint="eastAsia" w:ascii="宋体" w:hAnsi="宋体"/>
          <w:sz w:val="24"/>
        </w:rPr>
        <w:t>审议</w:t>
      </w:r>
      <w:r>
        <w:rPr>
          <w:rFonts w:hint="eastAsia" w:ascii="宋体" w:hAnsi="宋体"/>
          <w:sz w:val="24"/>
          <w:lang w:val="en-US" w:eastAsia="zh-CN"/>
        </w:rPr>
        <w:t>通过</w:t>
      </w:r>
      <w:r>
        <w:rPr>
          <w:rFonts w:hint="eastAsia" w:ascii="宋体" w:hAnsi="宋体"/>
          <w:sz w:val="24"/>
        </w:rPr>
        <w:t>，</w:t>
      </w:r>
      <w:r>
        <w:rPr>
          <w:rFonts w:hint="eastAsia" w:ascii="宋体" w:hAnsi="宋体"/>
          <w:sz w:val="24"/>
          <w:lang w:val="en-US" w:eastAsia="zh-CN"/>
        </w:rPr>
        <w:t>并</w:t>
      </w:r>
      <w:r>
        <w:rPr>
          <w:rFonts w:hint="eastAsia" w:ascii="宋体" w:hAnsi="宋体"/>
          <w:sz w:val="24"/>
        </w:rPr>
        <w:t>抄送经营管理层。</w:t>
      </w:r>
      <w:r>
        <w:rPr>
          <w:rFonts w:hint="eastAsia" w:ascii="宋体" w:hAnsi="宋体"/>
          <w:sz w:val="24"/>
          <w:lang w:val="en-US" w:eastAsia="zh-CN"/>
        </w:rPr>
        <w:t>同时，紧扣监事会监督要求，结合内外部经营形式，对标上市银行，对公司治理情况、信息披露、关联交易、资产减值与核销、社会责任履行等情况进行了重点监督，并就监督情况与董</w:t>
      </w:r>
      <w:r>
        <w:rPr>
          <w:rFonts w:hint="eastAsia" w:ascii="宋体" w:hAnsi="宋体" w:eastAsia="宋体" w:cs="Times New Roman"/>
          <w:sz w:val="24"/>
          <w:lang w:val="en-US" w:eastAsia="zh-CN"/>
        </w:rPr>
        <w:t>事会、高级管理层交换意见</w:t>
      </w:r>
      <w:r>
        <w:rPr>
          <w:rFonts w:hint="eastAsia" w:ascii="宋体" w:hAnsi="宋体" w:eastAsia="宋体" w:cs="Times New Roman"/>
          <w:sz w:val="24"/>
        </w:rPr>
        <w:t>，</w:t>
      </w:r>
      <w:r>
        <w:rPr>
          <w:rFonts w:hint="eastAsia" w:ascii="宋体" w:hAnsi="宋体" w:cs="Times New Roman"/>
          <w:sz w:val="24"/>
          <w:lang w:val="en-US" w:eastAsia="zh-CN"/>
        </w:rPr>
        <w:t>得到积极响应。</w:t>
      </w:r>
    </w:p>
    <w:p>
      <w:pPr>
        <w:keepNext w:val="0"/>
        <w:keepLines w:val="0"/>
        <w:pageBreakBefore w:val="0"/>
        <w:numPr>
          <w:ilvl w:val="-1"/>
          <w:numId w:val="0"/>
        </w:numPr>
        <w:kinsoku/>
        <w:wordWrap/>
        <w:overflowPunct/>
        <w:topLinePunct w:val="0"/>
        <w:autoSpaceDE/>
        <w:autoSpaceDN/>
        <w:bidi w:val="0"/>
        <w:adjustRightInd/>
        <w:snapToGrid w:val="0"/>
        <w:spacing w:line="360" w:lineRule="auto"/>
        <w:ind w:firstLine="482" w:firstLineChars="200"/>
        <w:textAlignment w:val="auto"/>
        <w:rPr>
          <w:rFonts w:ascii="宋体" w:hAnsi="宋体"/>
          <w:b/>
          <w:bCs/>
          <w:sz w:val="24"/>
        </w:rPr>
      </w:pPr>
      <w:r>
        <w:rPr>
          <w:rFonts w:hint="eastAsia" w:ascii="宋体" w:hAnsi="宋体"/>
          <w:b/>
          <w:bCs/>
          <w:sz w:val="24"/>
          <w:lang w:eastAsia="zh-CN"/>
        </w:rPr>
        <w:t>（</w:t>
      </w:r>
      <w:r>
        <w:rPr>
          <w:rFonts w:hint="eastAsia" w:ascii="宋体" w:hAnsi="宋体"/>
          <w:b/>
          <w:bCs/>
          <w:sz w:val="24"/>
          <w:lang w:val="en-US" w:eastAsia="zh-CN"/>
        </w:rPr>
        <w:t>六</w:t>
      </w:r>
      <w:r>
        <w:rPr>
          <w:rFonts w:hint="eastAsia" w:ascii="宋体" w:hAnsi="宋体"/>
          <w:b/>
          <w:bCs/>
          <w:sz w:val="24"/>
          <w:lang w:eastAsia="zh-CN"/>
        </w:rPr>
        <w:t>）</w:t>
      </w:r>
      <w:r>
        <w:rPr>
          <w:rFonts w:hint="eastAsia" w:ascii="宋体" w:hAnsi="宋体"/>
          <w:b/>
          <w:bCs/>
          <w:sz w:val="24"/>
        </w:rPr>
        <w:t>加强自身建设，不断提升监督水平</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lang w:val="en-US" w:eastAsia="zh-CN"/>
        </w:rPr>
        <w:t>一</w:t>
      </w:r>
      <w:r>
        <w:rPr>
          <w:rFonts w:hint="eastAsia" w:ascii="宋体" w:hAnsi="宋体"/>
          <w:sz w:val="24"/>
        </w:rPr>
        <w:t>是持续完善监事会制度建设。202</w:t>
      </w:r>
      <w:r>
        <w:rPr>
          <w:rFonts w:hint="eastAsia" w:ascii="宋体" w:hAnsi="宋体"/>
          <w:sz w:val="24"/>
          <w:lang w:val="en-US" w:eastAsia="zh-CN"/>
        </w:rPr>
        <w:t>2</w:t>
      </w:r>
      <w:r>
        <w:rPr>
          <w:rFonts w:hint="eastAsia" w:ascii="宋体" w:hAnsi="宋体"/>
          <w:sz w:val="24"/>
        </w:rPr>
        <w:t>年，监事会</w:t>
      </w:r>
      <w:r>
        <w:rPr>
          <w:rFonts w:hint="eastAsia" w:ascii="宋体" w:hAnsi="宋体"/>
          <w:sz w:val="24"/>
          <w:lang w:val="en-US" w:eastAsia="zh-CN"/>
        </w:rPr>
        <w:t>对标上市先进银行，开展“制度重检”，</w:t>
      </w:r>
      <w:r>
        <w:rPr>
          <w:rFonts w:hint="eastAsia" w:ascii="宋体" w:hAnsi="宋体"/>
          <w:sz w:val="24"/>
        </w:rPr>
        <w:t>积极加强监督体系建设，确保监督工作有据可依，程序明晰，协调有序。根据监管规定</w:t>
      </w:r>
      <w:r>
        <w:rPr>
          <w:rFonts w:hint="eastAsia" w:ascii="宋体" w:hAnsi="宋体"/>
          <w:sz w:val="24"/>
          <w:lang w:eastAsia="zh-CN"/>
        </w:rPr>
        <w:t>、</w:t>
      </w:r>
      <w:r>
        <w:rPr>
          <w:rFonts w:hint="eastAsia" w:ascii="宋体" w:hAnsi="宋体"/>
          <w:sz w:val="24"/>
          <w:lang w:val="en-US" w:eastAsia="zh-CN"/>
        </w:rPr>
        <w:t>上市公司要求</w:t>
      </w:r>
      <w:r>
        <w:rPr>
          <w:rFonts w:hint="eastAsia" w:ascii="宋体" w:hAnsi="宋体"/>
          <w:sz w:val="24"/>
        </w:rPr>
        <w:t>及实际工作需要，</w:t>
      </w:r>
      <w:r>
        <w:rPr>
          <w:rFonts w:hint="eastAsia" w:ascii="宋体" w:hAnsi="宋体"/>
          <w:sz w:val="24"/>
          <w:lang w:val="en-US" w:eastAsia="zh-CN"/>
        </w:rPr>
        <w:t>监事会</w:t>
      </w:r>
      <w:r>
        <w:rPr>
          <w:rFonts w:hint="eastAsia" w:ascii="宋体" w:hAnsi="宋体"/>
          <w:sz w:val="24"/>
        </w:rPr>
        <w:t>对</w:t>
      </w:r>
      <w:r>
        <w:rPr>
          <w:rFonts w:ascii="宋体" w:hAnsi="宋体"/>
          <w:sz w:val="24"/>
        </w:rPr>
        <w:t>监事会议事规则</w:t>
      </w:r>
      <w:r>
        <w:rPr>
          <w:rFonts w:hint="eastAsia" w:ascii="宋体" w:hAnsi="宋体"/>
          <w:sz w:val="24"/>
        </w:rPr>
        <w:t>和</w:t>
      </w:r>
      <w:r>
        <w:rPr>
          <w:rFonts w:hint="eastAsia" w:ascii="宋体" w:hAnsi="宋体"/>
          <w:sz w:val="24"/>
          <w:highlight w:val="none"/>
          <w:lang w:val="en-US" w:eastAsia="zh-CN"/>
        </w:rPr>
        <w:t>监事薪酬管理办法</w:t>
      </w:r>
      <w:r>
        <w:rPr>
          <w:rFonts w:hint="eastAsia" w:ascii="宋体" w:hAnsi="宋体"/>
          <w:sz w:val="24"/>
        </w:rPr>
        <w:t>进行修订，修订内容包括完善监事会职责权限，对公司治理中信息披露、权利行使、监事会召开等事宜的程序进行规范</w:t>
      </w:r>
      <w:r>
        <w:rPr>
          <w:rFonts w:hint="eastAsia" w:ascii="宋体" w:hAnsi="宋体"/>
          <w:sz w:val="24"/>
          <w:lang w:eastAsia="zh-CN"/>
        </w:rPr>
        <w:t>。</w:t>
      </w:r>
      <w:r>
        <w:rPr>
          <w:rFonts w:hint="eastAsia" w:ascii="宋体" w:hAnsi="宋体"/>
          <w:sz w:val="24"/>
          <w:lang w:val="en-US" w:eastAsia="zh-CN"/>
        </w:rPr>
        <w:t>完善监事薪酬规范，对薪酬构成核定、薪酬管理进行规范，促进提升薪酬管理水平</w:t>
      </w:r>
      <w:r>
        <w:rPr>
          <w:rFonts w:hint="eastAsia" w:ascii="宋体" w:hAnsi="宋体"/>
          <w:sz w:val="24"/>
        </w:rPr>
        <w:t>。</w:t>
      </w:r>
      <w:bookmarkStart w:id="16" w:name="_Hlk96418847"/>
    </w:p>
    <w:bookmarkEnd w:id="16"/>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lang w:val="en-US" w:eastAsia="zh-CN"/>
        </w:rPr>
        <w:t>二</w:t>
      </w:r>
      <w:r>
        <w:rPr>
          <w:rFonts w:hint="eastAsia" w:ascii="宋体" w:hAnsi="宋体"/>
          <w:sz w:val="24"/>
        </w:rPr>
        <w:t>是</w:t>
      </w:r>
      <w:r>
        <w:rPr>
          <w:rFonts w:hint="eastAsia" w:ascii="宋体" w:hAnsi="宋体"/>
          <w:sz w:val="24"/>
          <w:lang w:val="en-US" w:eastAsia="zh-CN"/>
        </w:rPr>
        <w:t>不断</w:t>
      </w:r>
      <w:r>
        <w:rPr>
          <w:rFonts w:hint="eastAsia" w:ascii="宋体" w:hAnsi="宋体"/>
          <w:sz w:val="24"/>
        </w:rPr>
        <w:t>提升监事履职能力。202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为提高监事对监管政策和宏观经济形势、公司治理运作规范的把握</w:t>
      </w:r>
      <w:r>
        <w:rPr>
          <w:rFonts w:hint="eastAsia" w:ascii="宋体" w:hAnsi="宋体"/>
          <w:sz w:val="24"/>
        </w:rPr>
        <w:t>，</w:t>
      </w:r>
      <w:r>
        <w:rPr>
          <w:rFonts w:hint="eastAsia" w:ascii="宋体" w:hAnsi="宋体"/>
          <w:sz w:val="24"/>
          <w:lang w:val="en-US" w:eastAsia="zh-CN"/>
        </w:rPr>
        <w:t>监事会</w:t>
      </w:r>
      <w:r>
        <w:rPr>
          <w:rFonts w:hint="eastAsia" w:ascii="宋体" w:hAnsi="宋体"/>
          <w:sz w:val="24"/>
        </w:rPr>
        <w:t>不定期组织监事参加厦门证监局、中国银行业协会、厦门上市公司协会等机构举办的各类培训，</w:t>
      </w:r>
      <w:r>
        <w:rPr>
          <w:rFonts w:hint="eastAsia" w:ascii="宋体" w:hAnsi="宋体"/>
          <w:sz w:val="24"/>
          <w:lang w:val="en-US" w:eastAsia="zh-CN"/>
        </w:rPr>
        <w:t>不断丰富和提升监事履职的专业性</w:t>
      </w:r>
      <w:r>
        <w:rPr>
          <w:rFonts w:hint="eastAsia" w:ascii="宋体" w:hAnsi="宋体"/>
          <w:sz w:val="24"/>
        </w:rPr>
        <w:t>；针对银行业监管重点，经营管理层通过收集汇总，按月</w:t>
      </w:r>
      <w:r>
        <w:rPr>
          <w:rFonts w:hint="eastAsia" w:ascii="宋体" w:hAnsi="宋体"/>
          <w:sz w:val="24"/>
          <w:lang w:val="en-US" w:eastAsia="zh-CN"/>
        </w:rPr>
        <w:t>持续</w:t>
      </w:r>
      <w:r>
        <w:rPr>
          <w:rFonts w:hint="eastAsia" w:ascii="宋体" w:hAnsi="宋体"/>
          <w:sz w:val="24"/>
        </w:rPr>
        <w:t>通过邮件方式向监事发送银行业监管新规和资本市场情况，使监事能够及时掌握最新监管要求和市场动态，不断提高合规履职的意识与能力</w:t>
      </w:r>
      <w:r>
        <w:rPr>
          <w:rFonts w:hint="eastAsia" w:ascii="宋体" w:hAnsi="宋体"/>
          <w:sz w:val="24"/>
          <w:lang w:eastAsia="zh-CN"/>
        </w:rPr>
        <w:t>；</w:t>
      </w:r>
      <w:r>
        <w:rPr>
          <w:rFonts w:hint="eastAsia" w:ascii="宋体" w:hAnsi="宋体"/>
          <w:sz w:val="24"/>
          <w:lang w:val="en-US" w:eastAsia="zh-CN"/>
        </w:rPr>
        <w:t>此外，公司组织了宏观经济与银行业经营展望论坛会议，听取行业分析师对社融信贷、财政货币政策及银行业基本面的展望，与会人员结合公司实际情况积极为公司发展献言建策</w:t>
      </w:r>
      <w:r>
        <w:rPr>
          <w:rFonts w:hint="eastAsia" w:ascii="宋体" w:hAnsi="宋体"/>
          <w:sz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lang w:val="en-US" w:eastAsia="zh-CN"/>
        </w:rPr>
        <w:t>三是持续推动优化机制。</w:t>
      </w:r>
      <w:r>
        <w:rPr>
          <w:rFonts w:hint="eastAsia" w:ascii="宋体" w:hAnsi="宋体"/>
          <w:sz w:val="24"/>
        </w:rPr>
        <w:t>根据《健全银行业保险业公司治理三年行动方案》要求，推动各治理主体持续优化工作机制，推动公司严格执行高标准的职业道德准则，督促公司董事、监事和高管人员遵循高标准的职业道德准则。</w:t>
      </w:r>
    </w:p>
    <w:p>
      <w:pPr>
        <w:keepNext w:val="0"/>
        <w:keepLines w:val="0"/>
        <w:pageBreakBefore w:val="0"/>
        <w:kinsoku/>
        <w:wordWrap/>
        <w:overflowPunct/>
        <w:topLinePunct w:val="0"/>
        <w:autoSpaceDE/>
        <w:autoSpaceDN/>
        <w:bidi w:val="0"/>
        <w:adjustRightInd/>
        <w:snapToGrid w:val="0"/>
        <w:spacing w:line="360" w:lineRule="auto"/>
        <w:ind w:firstLine="723" w:firstLineChars="300"/>
        <w:textAlignment w:val="auto"/>
        <w:rPr>
          <w:rFonts w:ascii="宋体" w:hAnsi="宋体"/>
          <w:b/>
          <w:sz w:val="24"/>
        </w:rPr>
      </w:pPr>
      <w:r>
        <w:rPr>
          <w:rFonts w:hint="eastAsia" w:ascii="宋体" w:hAnsi="宋体"/>
          <w:b/>
          <w:sz w:val="24"/>
        </w:rPr>
        <w:t>二、监事会就有关事项发表的独立意见</w:t>
      </w:r>
    </w:p>
    <w:p>
      <w:pPr>
        <w:pStyle w:val="28"/>
        <w:keepNext w:val="0"/>
        <w:keepLines w:val="0"/>
        <w:pageBreakBefore w:val="0"/>
        <w:numPr>
          <w:ilvl w:val="0"/>
          <w:numId w:val="0"/>
        </w:numPr>
        <w:kinsoku/>
        <w:wordWrap/>
        <w:overflowPunct/>
        <w:topLinePunct w:val="0"/>
        <w:autoSpaceDE/>
        <w:autoSpaceDN/>
        <w:bidi w:val="0"/>
        <w:adjustRightInd/>
        <w:snapToGrid w:val="0"/>
        <w:spacing w:line="360" w:lineRule="auto"/>
        <w:ind w:left="480" w:leftChars="0"/>
        <w:textAlignment w:val="auto"/>
        <w:rPr>
          <w:rFonts w:ascii="宋体" w:hAnsi="宋体"/>
          <w:b/>
          <w:sz w:val="24"/>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rPr>
        <w:t>依法经营情况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度，本公司的经营活动符合《中华人民共和国公司法》《中华人民共和国商业银行法》和《厦门银行股份有限公司章程》的规定，决策程序合法有效。董事、高级管理层成员在业务经营及管理过程中谨慎、认真、勤勉、尽职，未发现有违反法律、法规、公司章程或损害公司及股东利益的行为。</w:t>
      </w:r>
    </w:p>
    <w:p>
      <w:pPr>
        <w:pStyle w:val="28"/>
        <w:keepNext w:val="0"/>
        <w:keepLines w:val="0"/>
        <w:pageBreakBefore w:val="0"/>
        <w:numPr>
          <w:ilvl w:val="0"/>
          <w:numId w:val="0"/>
        </w:numPr>
        <w:kinsoku/>
        <w:wordWrap/>
        <w:overflowPunct/>
        <w:topLinePunct w:val="0"/>
        <w:autoSpaceDE/>
        <w:autoSpaceDN/>
        <w:bidi w:val="0"/>
        <w:adjustRightInd/>
        <w:snapToGrid w:val="0"/>
        <w:spacing w:line="360" w:lineRule="auto"/>
        <w:ind w:left="480" w:leftChars="0"/>
        <w:textAlignment w:val="auto"/>
        <w:rPr>
          <w:rFonts w:ascii="宋体" w:hAnsi="宋体"/>
          <w:b/>
          <w:sz w:val="24"/>
        </w:rPr>
      </w:pPr>
      <w:r>
        <w:rPr>
          <w:rFonts w:hint="eastAsia" w:ascii="宋体" w:hAnsi="宋体"/>
          <w:b/>
          <w:sz w:val="24"/>
          <w:lang w:eastAsia="zh-CN"/>
        </w:rPr>
        <w:t>（</w:t>
      </w:r>
      <w:r>
        <w:rPr>
          <w:rFonts w:hint="eastAsia" w:ascii="宋体" w:hAnsi="宋体"/>
          <w:b/>
          <w:sz w:val="24"/>
          <w:lang w:val="en-US" w:eastAsia="zh-CN"/>
        </w:rPr>
        <w:t>二</w:t>
      </w:r>
      <w:r>
        <w:rPr>
          <w:rFonts w:hint="eastAsia" w:ascii="宋体" w:hAnsi="宋体"/>
          <w:b/>
          <w:sz w:val="24"/>
          <w:lang w:eastAsia="zh-CN"/>
        </w:rPr>
        <w:t>）</w:t>
      </w:r>
      <w:r>
        <w:rPr>
          <w:rFonts w:hint="eastAsia" w:ascii="宋体" w:hAnsi="宋体"/>
          <w:b/>
          <w:sz w:val="24"/>
        </w:rPr>
        <w:t>财务报告情况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安永华明会计师事务所按照中国注册会计师审计准则的规定，对公司202</w:t>
      </w:r>
      <w:r>
        <w:rPr>
          <w:rFonts w:hint="eastAsia" w:ascii="宋体" w:hAnsi="宋体"/>
          <w:sz w:val="24"/>
          <w:lang w:val="en-US" w:eastAsia="zh-CN"/>
        </w:rPr>
        <w:t>2</w:t>
      </w:r>
      <w:r>
        <w:rPr>
          <w:rFonts w:hint="eastAsia" w:ascii="宋体" w:hAnsi="宋体"/>
          <w:sz w:val="24"/>
        </w:rPr>
        <w:t xml:space="preserve">年度财务报告进行审计并出具标准无保留意见的审计报告。财务报告真实、客观、准确地反映了本公司的财务状况和经营成果。 </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（三）公司收购、出售资产情况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报告期内，未发现公司收购、出售资产中有内幕交易、损害股东权益或造成公司资产流失的行为。</w:t>
      </w:r>
    </w:p>
    <w:p>
      <w:pPr>
        <w:keepNext w:val="0"/>
        <w:keepLines w:val="0"/>
        <w:pageBreakBefore w:val="0"/>
        <w:kinsoku/>
        <w:wordWrap/>
        <w:overflowPunct/>
        <w:topLinePunct w:val="0"/>
        <w:autoSpaceDE/>
        <w:autoSpaceDN/>
        <w:bidi w:val="0"/>
        <w:adjustRightInd/>
        <w:snapToGrid w:val="0"/>
        <w:spacing w:line="360" w:lineRule="auto"/>
        <w:ind w:firstLine="482"/>
        <w:textAlignment w:val="auto"/>
        <w:rPr>
          <w:rFonts w:ascii="宋体" w:hAnsi="宋体"/>
          <w:b/>
          <w:sz w:val="24"/>
        </w:rPr>
      </w:pPr>
      <w:r>
        <w:rPr>
          <w:rFonts w:hint="eastAsia" w:ascii="宋体" w:hAnsi="宋体"/>
          <w:b/>
          <w:sz w:val="24"/>
        </w:rPr>
        <w:t>（四）关联交易管理情况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报告期内，</w:t>
      </w:r>
      <w:r>
        <w:rPr>
          <w:rFonts w:hint="default" w:ascii="宋体" w:hAnsi="宋体"/>
          <w:sz w:val="24"/>
          <w:lang w:val="en-US"/>
        </w:rPr>
        <w:t>公司关联交易管理符合国家法律、法规和《公司章程》的相关规定，未发现</w:t>
      </w:r>
      <w:r>
        <w:rPr>
          <w:rFonts w:hint="eastAsia" w:ascii="宋体" w:hAnsi="宋体"/>
          <w:sz w:val="24"/>
        </w:rPr>
        <w:t>损害公司和股东权益的行为。</w:t>
      </w:r>
    </w:p>
    <w:p>
      <w:pPr>
        <w:pStyle w:val="28"/>
        <w:keepNext w:val="0"/>
        <w:keepLines w:val="0"/>
        <w:pageBreakBefore w:val="0"/>
        <w:kinsoku/>
        <w:wordWrap/>
        <w:overflowPunct/>
        <w:topLinePunct w:val="0"/>
        <w:autoSpaceDE/>
        <w:autoSpaceDN/>
        <w:bidi w:val="0"/>
        <w:adjustRightInd/>
        <w:snapToGrid w:val="0"/>
        <w:spacing w:line="360" w:lineRule="auto"/>
        <w:ind w:firstLine="482"/>
        <w:textAlignment w:val="auto"/>
        <w:rPr>
          <w:rFonts w:ascii="宋体" w:hAnsi="宋体"/>
          <w:b/>
          <w:sz w:val="24"/>
        </w:rPr>
      </w:pPr>
      <w:r>
        <w:rPr>
          <w:rFonts w:hint="eastAsia" w:ascii="宋体" w:hAnsi="宋体"/>
          <w:b/>
          <w:sz w:val="24"/>
        </w:rPr>
        <w:t>（五）内部控制情况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报告期内，公司持续加强和完善内部控制，未发现公司内部控制机制和制度在完整性、合理性、有效性方面存在重大缺陷。</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（六）</w:t>
      </w:r>
      <w:r>
        <w:rPr>
          <w:rFonts w:hint="eastAsia" w:ascii="宋体" w:hAnsi="宋体"/>
          <w:b/>
          <w:bCs/>
          <w:sz w:val="24"/>
        </w:rPr>
        <w:t>信息披露情况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报告期内，公司</w:t>
      </w:r>
      <w:r>
        <w:rPr>
          <w:rFonts w:hint="eastAsia" w:ascii="宋体" w:hAnsi="宋体"/>
          <w:sz w:val="24"/>
          <w:lang w:val="en-US" w:eastAsia="zh-CN"/>
        </w:rPr>
        <w:t>遵</w:t>
      </w:r>
      <w:r>
        <w:rPr>
          <w:rFonts w:hint="eastAsia" w:ascii="宋体" w:hAnsi="宋体"/>
          <w:sz w:val="24"/>
        </w:rPr>
        <w:t>照监管要求履行信息披露义务，依法披露公司信息，未发现有虚假记载、误导性陈述或重大遗漏。</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b/>
          <w:bCs/>
          <w:sz w:val="24"/>
        </w:rPr>
      </w:pPr>
      <w:r>
        <w:rPr>
          <w:rFonts w:hint="eastAsia" w:ascii="宋体" w:hAnsi="宋体"/>
          <w:b/>
          <w:bCs/>
          <w:sz w:val="24"/>
        </w:rPr>
        <w:t>（七）</w:t>
      </w:r>
      <w:r>
        <w:rPr>
          <w:rFonts w:hint="eastAsia" w:ascii="宋体" w:hAnsi="宋体"/>
          <w:b/>
          <w:sz w:val="24"/>
        </w:rPr>
        <w:t>股东大会决议执行情况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监事会对报告期内董事会提交股东大会审议的各项报告和提案没有异议，对股东大会决议的执行情况进行了监督，认为公司董事会、经营管理层能够认真执行股东大会的有关决议。</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sz w:val="24"/>
        </w:rPr>
      </w:pPr>
      <w:r>
        <w:rPr>
          <w:rFonts w:hint="eastAsia" w:ascii="宋体" w:hAnsi="宋体"/>
          <w:b/>
          <w:bCs/>
          <w:sz w:val="24"/>
        </w:rPr>
        <w:t>（八）利润分配情况</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ascii="宋体" w:hAnsi="宋体"/>
          <w:sz w:val="24"/>
        </w:rPr>
        <w:t>202</w:t>
      </w:r>
      <w:r>
        <w:rPr>
          <w:rFonts w:hint="eastAsia" w:ascii="宋体" w:hAnsi="宋体"/>
          <w:sz w:val="24"/>
          <w:lang w:val="en-US" w:eastAsia="zh-CN"/>
        </w:rPr>
        <w:t>2</w:t>
      </w:r>
      <w:r>
        <w:rPr>
          <w:rFonts w:hint="eastAsia" w:ascii="宋体" w:hAnsi="宋体"/>
          <w:sz w:val="24"/>
        </w:rPr>
        <w:t>年度的利润分配方案</w:t>
      </w:r>
      <w:r>
        <w:rPr>
          <w:rFonts w:hint="eastAsia" w:ascii="宋体" w:hAnsi="宋体"/>
          <w:sz w:val="24"/>
          <w:lang w:val="en-US" w:eastAsia="zh-CN"/>
        </w:rPr>
        <w:t>符合公司当前的实际情况和持续稳健发展的需要，</w:t>
      </w:r>
      <w:r>
        <w:rPr>
          <w:rFonts w:hint="eastAsia" w:ascii="宋体" w:hAnsi="宋体"/>
          <w:sz w:val="24"/>
        </w:rPr>
        <w:t>相关审议程序符合</w:t>
      </w:r>
      <w:r>
        <w:rPr>
          <w:rFonts w:hint="eastAsia" w:ascii="宋体" w:hAnsi="宋体"/>
          <w:sz w:val="24"/>
          <w:lang w:val="en-US" w:eastAsia="zh-CN"/>
        </w:rPr>
        <w:t>有关法侓、法规及</w:t>
      </w:r>
      <w:r>
        <w:rPr>
          <w:rFonts w:hint="eastAsia" w:ascii="宋体" w:hAnsi="宋体"/>
          <w:sz w:val="24"/>
        </w:rPr>
        <w:t>《公司章程》</w:t>
      </w:r>
      <w:r>
        <w:rPr>
          <w:rFonts w:hint="eastAsia" w:ascii="宋体" w:hAnsi="宋体"/>
          <w:sz w:val="24"/>
          <w:lang w:val="en-US" w:eastAsia="zh-CN"/>
        </w:rPr>
        <w:t>的</w:t>
      </w:r>
      <w:r>
        <w:rPr>
          <w:rFonts w:hint="eastAsia" w:ascii="宋体" w:hAnsi="宋体"/>
          <w:sz w:val="24"/>
        </w:rPr>
        <w:t>规定，不存在损害股东利益的情形。</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三、202</w:t>
      </w:r>
      <w:r>
        <w:rPr>
          <w:rFonts w:hint="eastAsia" w:ascii="宋体" w:hAnsi="宋体"/>
          <w:b/>
          <w:sz w:val="24"/>
          <w:lang w:val="en-US" w:eastAsia="zh-CN"/>
        </w:rPr>
        <w:t>3</w:t>
      </w:r>
      <w:r>
        <w:rPr>
          <w:rFonts w:hint="eastAsia" w:ascii="宋体" w:hAnsi="宋体"/>
          <w:b/>
          <w:sz w:val="24"/>
        </w:rPr>
        <w:t>年工作计划</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sz w:val="24"/>
          <w:lang w:val="en-US" w:eastAsia="zh-CN"/>
        </w:rPr>
      </w:pPr>
      <w:r>
        <w:rPr>
          <w:rFonts w:hint="eastAsia" w:ascii="宋体" w:hAnsi="宋体"/>
          <w:sz w:val="24"/>
        </w:rPr>
        <w:t>202</w:t>
      </w:r>
      <w:r>
        <w:rPr>
          <w:rFonts w:hint="eastAsia" w:ascii="宋体" w:hAnsi="宋体"/>
          <w:sz w:val="24"/>
          <w:lang w:val="en-US" w:eastAsia="zh-CN"/>
        </w:rPr>
        <w:t>3</w:t>
      </w:r>
      <w:r>
        <w:rPr>
          <w:rFonts w:hint="eastAsia" w:ascii="宋体" w:hAnsi="宋体"/>
          <w:sz w:val="24"/>
        </w:rPr>
        <w:t>年是公司第五轮战略</w:t>
      </w:r>
      <w:r>
        <w:rPr>
          <w:rFonts w:hint="eastAsia" w:ascii="宋体" w:hAnsi="宋体"/>
          <w:sz w:val="24"/>
          <w:lang w:val="en-US" w:eastAsia="zh-CN"/>
        </w:rPr>
        <w:t>规划</w:t>
      </w:r>
      <w:r>
        <w:rPr>
          <w:rFonts w:hint="eastAsia" w:ascii="宋体" w:hAnsi="宋体"/>
          <w:sz w:val="24"/>
        </w:rPr>
        <w:t>落地</w:t>
      </w:r>
      <w:r>
        <w:rPr>
          <w:rFonts w:hint="eastAsia" w:ascii="宋体" w:hAnsi="宋体"/>
          <w:sz w:val="24"/>
          <w:lang w:val="en-US" w:eastAsia="zh-CN"/>
        </w:rPr>
        <w:t>收官之</w:t>
      </w:r>
      <w:r>
        <w:rPr>
          <w:rFonts w:hint="eastAsia" w:ascii="宋体" w:hAnsi="宋体"/>
          <w:sz w:val="24"/>
        </w:rPr>
        <w:t>年，</w:t>
      </w:r>
      <w:r>
        <w:rPr>
          <w:rFonts w:hint="eastAsia" w:ascii="宋体" w:hAnsi="宋体"/>
          <w:sz w:val="24"/>
          <w:lang w:val="en-US" w:eastAsia="zh-CN"/>
        </w:rPr>
        <w:t>内外部经济形势仍复杂严峻，</w:t>
      </w:r>
      <w:r>
        <w:rPr>
          <w:rFonts w:hint="eastAsia" w:ascii="宋体" w:hAnsi="宋体"/>
          <w:sz w:val="24"/>
        </w:rPr>
        <w:t>监事会将</w:t>
      </w:r>
      <w:r>
        <w:rPr>
          <w:rFonts w:hint="eastAsia" w:ascii="宋体" w:hAnsi="宋体"/>
          <w:sz w:val="24"/>
          <w:lang w:val="en-US" w:eastAsia="zh-CN"/>
        </w:rPr>
        <w:t>深入贯彻党的二十大精神，继续落实中央决策部署及监管政策要求，切实维护银行、股东、职工、债权人和其他利益相关者的合法权益，</w:t>
      </w:r>
      <w:r>
        <w:rPr>
          <w:rFonts w:hint="eastAsia" w:ascii="宋体" w:hAnsi="宋体"/>
          <w:sz w:val="24"/>
        </w:rPr>
        <w:t>紧紧围绕公司</w:t>
      </w:r>
      <w:r>
        <w:rPr>
          <w:rFonts w:hint="eastAsia" w:ascii="宋体" w:hAnsi="宋体"/>
          <w:sz w:val="24"/>
          <w:lang w:val="en-US" w:eastAsia="zh-CN"/>
        </w:rPr>
        <w:t>年度重点</w:t>
      </w:r>
      <w:r>
        <w:rPr>
          <w:rFonts w:hint="eastAsia" w:ascii="宋体" w:hAnsi="宋体"/>
          <w:sz w:val="24"/>
        </w:rPr>
        <w:t>工作，</w:t>
      </w:r>
      <w:r>
        <w:rPr>
          <w:rFonts w:hint="eastAsia" w:ascii="宋体" w:hAnsi="宋体"/>
          <w:sz w:val="24"/>
          <w:lang w:val="en-US" w:eastAsia="zh-CN"/>
        </w:rPr>
        <w:t>切实履行监督职能、不断提升履职能力、继续强化监督质效、持续提高风险预见能力。</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b/>
          <w:bCs/>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Fonts w:hint="eastAsia" w:ascii="宋体" w:hAnsi="宋体"/>
          <w:b/>
          <w:bCs/>
          <w:sz w:val="24"/>
        </w:rPr>
        <w:t>监事会工作计划</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b/>
          <w:bCs/>
          <w:sz w:val="24"/>
          <w:lang w:val="en-US" w:eastAsia="zh-CN"/>
        </w:rPr>
      </w:pPr>
      <w:r>
        <w:rPr>
          <w:rFonts w:hint="eastAsia" w:ascii="宋体" w:hAnsi="宋体"/>
          <w:b/>
          <w:bCs/>
          <w:sz w:val="24"/>
          <w:lang w:val="en-US" w:eastAsia="zh-CN"/>
        </w:rPr>
        <w:t>1.加强会议管理，提升日常会议监督质效</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一是</w:t>
      </w:r>
      <w:r>
        <w:rPr>
          <w:rFonts w:hint="default" w:ascii="宋体" w:hAnsi="宋体"/>
          <w:sz w:val="24"/>
          <w:lang w:val="en-US" w:eastAsia="zh-CN"/>
        </w:rPr>
        <w:t>严格依据法律法规及监管要求，规范召开</w:t>
      </w:r>
      <w:r>
        <w:rPr>
          <w:rFonts w:hint="eastAsia" w:ascii="宋体" w:hAnsi="宋体"/>
          <w:sz w:val="24"/>
          <w:lang w:val="en-US" w:eastAsia="zh-CN"/>
        </w:rPr>
        <w:t>监事会和专门委员会</w:t>
      </w:r>
      <w:r>
        <w:rPr>
          <w:rFonts w:hint="default" w:ascii="宋体" w:hAnsi="宋体"/>
          <w:sz w:val="24"/>
          <w:lang w:val="en-US" w:eastAsia="zh-CN"/>
        </w:rPr>
        <w:t>会议，</w:t>
      </w:r>
      <w:r>
        <w:rPr>
          <w:rFonts w:hint="eastAsia" w:ascii="宋体" w:hAnsi="宋体"/>
          <w:sz w:val="24"/>
          <w:lang w:val="en-US" w:eastAsia="zh-CN"/>
        </w:rPr>
        <w:t>审核监事会职责范围内的监督事项，并结合公司实际</w:t>
      </w:r>
      <w:r>
        <w:rPr>
          <w:rFonts w:hint="default" w:ascii="宋体" w:hAnsi="宋体"/>
          <w:sz w:val="24"/>
          <w:lang w:val="en-US" w:eastAsia="zh-CN"/>
        </w:rPr>
        <w:t>及时增加、调整重点监督领域审议事项，提升会议精细化管理水平。</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lang w:val="en-US" w:eastAsia="zh-CN"/>
        </w:rPr>
        <w:t>二是</w:t>
      </w:r>
      <w:r>
        <w:rPr>
          <w:rFonts w:hint="default" w:ascii="宋体" w:hAnsi="宋体"/>
          <w:sz w:val="24"/>
          <w:lang w:val="en-US" w:eastAsia="zh-CN"/>
        </w:rPr>
        <w:t>持续优化会议机制，灵活运用视频、电话等多种方式，</w:t>
      </w:r>
      <w:r>
        <w:rPr>
          <w:rFonts w:hint="eastAsia" w:ascii="宋体" w:hAnsi="宋体"/>
          <w:sz w:val="24"/>
          <w:lang w:val="en-US" w:eastAsia="zh-CN"/>
        </w:rPr>
        <w:t>通过监事出席股东大会、列席董事会会议、高级管理层等相关会议，一方面对</w:t>
      </w:r>
      <w:r>
        <w:rPr>
          <w:rFonts w:hint="default" w:ascii="宋体" w:hAnsi="宋体"/>
          <w:sz w:val="24"/>
          <w:lang w:val="en-US" w:eastAsia="zh-CN"/>
        </w:rPr>
        <w:t>各项会议的通知、召开、讨论、决策及披露环节</w:t>
      </w:r>
      <w:r>
        <w:rPr>
          <w:rFonts w:hint="eastAsia" w:ascii="宋体" w:hAnsi="宋体"/>
          <w:sz w:val="24"/>
          <w:lang w:val="en-US" w:eastAsia="zh-CN"/>
        </w:rPr>
        <w:t>的合法性、合规性进行监督，另一方面让监事了解公司经营管理情况，履行监督职责，促进公司规范经营，维护公司和股东利益。</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b/>
          <w:bCs/>
          <w:sz w:val="24"/>
          <w:lang w:val="en-US" w:eastAsia="zh-CN"/>
        </w:rPr>
      </w:pPr>
      <w:r>
        <w:rPr>
          <w:rFonts w:hint="eastAsia" w:ascii="宋体" w:hAnsi="宋体"/>
          <w:b/>
          <w:bCs/>
          <w:sz w:val="24"/>
          <w:lang w:val="en-US" w:eastAsia="zh-CN"/>
        </w:rPr>
        <w:t>2.</w:t>
      </w:r>
      <w:r>
        <w:rPr>
          <w:rFonts w:hint="eastAsia" w:ascii="宋体" w:hAnsi="宋体"/>
          <w:b/>
          <w:bCs/>
          <w:sz w:val="24"/>
        </w:rPr>
        <w:t>聚焦年度监督重点，切实履行监督职责</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一是聚焦第五轮战略规划收官之年的执行情况，重点督导战略规划执行，及时将战略规划执行中发现的问题反馈董事会及高管层，推进战略规划的落地和优化。</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二是密切跟踪监管政策变化，认真研究监管意见，不断拓展监督的广度和深度，确保监管要求落到实处。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三是关注</w:t>
      </w:r>
      <w:r>
        <w:rPr>
          <w:rFonts w:hint="eastAsia" w:ascii="宋体" w:hAnsi="宋体"/>
          <w:sz w:val="24"/>
        </w:rPr>
        <w:t>董事会和高级管理层在完善公司治理、落实国家经济金融政策，以及在风险管理、内部控制、财务管理等方面的履职情况，确保监督事项</w:t>
      </w:r>
      <w:r>
        <w:rPr>
          <w:rFonts w:hint="eastAsia" w:ascii="宋体" w:hAnsi="宋体"/>
          <w:sz w:val="24"/>
          <w:lang w:val="en-US" w:eastAsia="zh-CN"/>
        </w:rPr>
        <w:t>覆盖到面并突出重点</w:t>
      </w:r>
      <w:r>
        <w:rPr>
          <w:rFonts w:hint="eastAsia" w:ascii="宋体" w:hAnsi="宋体"/>
          <w:sz w:val="24"/>
          <w:lang w:eastAsia="zh-CN"/>
        </w:rPr>
        <w:t>，</w:t>
      </w:r>
      <w:r>
        <w:rPr>
          <w:rFonts w:hint="eastAsia" w:ascii="宋体" w:hAnsi="宋体"/>
          <w:sz w:val="24"/>
          <w:lang w:val="en-US" w:eastAsia="zh-CN"/>
        </w:rPr>
        <w:t>坚持问题导向、紧扣发展实践，保障公司稳健经营。</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b/>
          <w:bCs/>
          <w:sz w:val="24"/>
          <w:lang w:val="en-US" w:eastAsia="zh-CN"/>
        </w:rPr>
      </w:pPr>
      <w:r>
        <w:rPr>
          <w:rFonts w:hint="eastAsia" w:ascii="宋体" w:hAnsi="宋体"/>
          <w:b/>
          <w:bCs/>
          <w:sz w:val="24"/>
          <w:lang w:val="en-US" w:eastAsia="zh-CN"/>
        </w:rPr>
        <w:t>3.聚焦发展大局，提升内外部监督联动协作</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一是加强与公司各监督主体密切协作，联合纪委、内审等监督资源，紧扣公司经营发展重心，与董事会、高管层保持密切沟通，从不同角度共同推动公司重要事项落实，有效形成合力，共同推动公司稳健经营。</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二是对内外部检查发现问题的整改情况进行回溯展望，督促经营管理层全面整改，落实到位。对已经整改完成的事项，确认已从机制、根源层面解决问题，对尚未整改完成的事项，督促制定相应的整改计划，持续对整改的全面性和有效性进行监督推进</w:t>
      </w:r>
      <w:r>
        <w:rPr>
          <w:rFonts w:hint="default" w:ascii="宋体" w:hAnsi="宋体"/>
          <w:sz w:val="24"/>
          <w:lang w:val="en-US" w:eastAsia="zh-CN"/>
        </w:rPr>
        <w:t>。</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b/>
          <w:sz w:val="24"/>
        </w:rPr>
      </w:pPr>
      <w:r>
        <w:rPr>
          <w:rFonts w:hint="eastAsia" w:ascii="宋体" w:hAnsi="宋体"/>
          <w:b/>
          <w:sz w:val="24"/>
          <w:lang w:val="en-US" w:eastAsia="zh-CN"/>
        </w:rPr>
        <w:t>4.</w:t>
      </w:r>
      <w:r>
        <w:rPr>
          <w:rFonts w:hint="eastAsia" w:ascii="宋体" w:hAnsi="宋体"/>
          <w:b/>
          <w:sz w:val="24"/>
        </w:rPr>
        <w:t>加强监事会自身建设，提升监督实效</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rPr>
        <w:t>一是</w:t>
      </w:r>
      <w:r>
        <w:rPr>
          <w:rFonts w:hint="eastAsia" w:ascii="宋体" w:hAnsi="宋体"/>
          <w:sz w:val="24"/>
          <w:lang w:val="en-US" w:eastAsia="zh-CN"/>
        </w:rPr>
        <w:t>以监事会工作为中心，</w:t>
      </w:r>
      <w:r>
        <w:rPr>
          <w:rFonts w:hint="eastAsia" w:ascii="宋体" w:hAnsi="宋体"/>
          <w:sz w:val="24"/>
        </w:rPr>
        <w:t>组织组织监事参加监管部门</w:t>
      </w:r>
      <w:r>
        <w:rPr>
          <w:rFonts w:hint="eastAsia" w:ascii="宋体" w:hAnsi="宋体"/>
          <w:sz w:val="24"/>
          <w:lang w:eastAsia="zh-CN"/>
        </w:rPr>
        <w:t>、</w:t>
      </w:r>
      <w:r>
        <w:rPr>
          <w:rFonts w:hint="eastAsia" w:ascii="宋体" w:hAnsi="宋体"/>
          <w:sz w:val="24"/>
          <w:lang w:val="en-US" w:eastAsia="zh-CN"/>
        </w:rPr>
        <w:t>上市公司协会等机构</w:t>
      </w:r>
      <w:r>
        <w:rPr>
          <w:rFonts w:hint="eastAsia" w:ascii="宋体" w:hAnsi="宋体"/>
          <w:sz w:val="24"/>
        </w:rPr>
        <w:t>组织的培训，</w:t>
      </w:r>
      <w:r>
        <w:rPr>
          <w:rFonts w:hint="eastAsia" w:ascii="宋体" w:hAnsi="宋体"/>
          <w:sz w:val="24"/>
          <w:lang w:val="en-US" w:eastAsia="zh-CN"/>
        </w:rPr>
        <w:t>根据《推动提高上市公司三年行动方案（2022-2025）》要求，持续</w:t>
      </w:r>
      <w:r>
        <w:rPr>
          <w:rFonts w:hint="eastAsia" w:ascii="宋体" w:hAnsi="宋体"/>
          <w:sz w:val="24"/>
        </w:rPr>
        <w:t>提升监事履职专业性</w:t>
      </w:r>
      <w:r>
        <w:rPr>
          <w:rFonts w:hint="eastAsia" w:ascii="宋体" w:hAnsi="宋体"/>
          <w:sz w:val="24"/>
          <w:lang w:eastAsia="zh-CN"/>
        </w:rPr>
        <w:t>，</w:t>
      </w:r>
      <w:r>
        <w:rPr>
          <w:rFonts w:hint="eastAsia" w:ascii="宋体" w:hAnsi="宋体"/>
          <w:sz w:val="24"/>
          <w:lang w:val="en-US" w:eastAsia="zh-CN"/>
        </w:rPr>
        <w:t>力争到2025年公司结构更加优化，整体治理迈上新台阶</w:t>
      </w:r>
      <w:r>
        <w:rPr>
          <w:rFonts w:hint="eastAsia" w:ascii="宋体" w:hAnsi="宋体"/>
          <w:sz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二是加强同业间沟通交流，通过线上线下等方式，积极向上市公司、优秀同业监事会学习，不断拓宽工作思路，创新工作方法，完善工作机制，提升工作成效。</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（二）监事会专业委员会202</w:t>
      </w:r>
      <w:r>
        <w:rPr>
          <w:rFonts w:hint="eastAsia" w:ascii="宋体" w:hAnsi="宋体"/>
          <w:b/>
          <w:sz w:val="24"/>
          <w:lang w:val="en-US" w:eastAsia="zh-CN"/>
        </w:rPr>
        <w:t>3</w:t>
      </w:r>
      <w:r>
        <w:rPr>
          <w:rFonts w:hint="eastAsia" w:ascii="宋体" w:hAnsi="宋体"/>
          <w:b/>
          <w:sz w:val="24"/>
        </w:rPr>
        <w:t>年工作重点</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bCs/>
          <w:sz w:val="24"/>
          <w:lang w:val="en-US"/>
        </w:rPr>
      </w:pPr>
      <w:r>
        <w:rPr>
          <w:rFonts w:ascii="宋体" w:hAnsi="宋体"/>
          <w:bCs/>
          <w:sz w:val="24"/>
        </w:rPr>
        <w:t>202</w:t>
      </w:r>
      <w:r>
        <w:rPr>
          <w:rFonts w:hint="eastAsia" w:ascii="宋体" w:hAnsi="宋体"/>
          <w:bCs/>
          <w:sz w:val="24"/>
          <w:lang w:val="en-US" w:eastAsia="zh-CN"/>
        </w:rPr>
        <w:t>3</w:t>
      </w:r>
      <w:r>
        <w:rPr>
          <w:rFonts w:ascii="宋体" w:hAnsi="宋体"/>
          <w:bCs/>
          <w:sz w:val="24"/>
        </w:rPr>
        <w:t>年，监事会下设各专业委员会</w:t>
      </w:r>
      <w:r>
        <w:rPr>
          <w:rFonts w:hint="eastAsia" w:ascii="宋体" w:hAnsi="宋体"/>
          <w:bCs/>
          <w:sz w:val="24"/>
          <w:lang w:val="en-US" w:eastAsia="zh-CN"/>
        </w:rPr>
        <w:t>将按照职责分工，独立高效履职，</w:t>
      </w:r>
      <w:r>
        <w:rPr>
          <w:rFonts w:ascii="宋体" w:hAnsi="宋体"/>
          <w:bCs/>
          <w:sz w:val="24"/>
        </w:rPr>
        <w:t>持续</w:t>
      </w:r>
      <w:r>
        <w:rPr>
          <w:rFonts w:hint="eastAsia" w:ascii="宋体" w:hAnsi="宋体"/>
          <w:bCs/>
          <w:sz w:val="24"/>
          <w:lang w:val="en-US" w:eastAsia="zh-CN"/>
        </w:rPr>
        <w:t>提升</w:t>
      </w:r>
      <w:r>
        <w:rPr>
          <w:rFonts w:ascii="宋体" w:hAnsi="宋体"/>
          <w:bCs/>
          <w:sz w:val="24"/>
        </w:rPr>
        <w:t>对公司财务管理、</w:t>
      </w:r>
      <w:r>
        <w:rPr>
          <w:rFonts w:hint="eastAsia" w:ascii="宋体" w:hAnsi="宋体"/>
          <w:bCs/>
          <w:sz w:val="24"/>
        </w:rPr>
        <w:t>内部控制、</w:t>
      </w:r>
      <w:r>
        <w:rPr>
          <w:rFonts w:ascii="宋体" w:hAnsi="宋体"/>
          <w:bCs/>
          <w:sz w:val="24"/>
        </w:rPr>
        <w:t>风险</w:t>
      </w:r>
      <w:r>
        <w:rPr>
          <w:rFonts w:hint="eastAsia" w:ascii="宋体" w:hAnsi="宋体"/>
          <w:bCs/>
          <w:sz w:val="24"/>
          <w:lang w:val="en-US" w:eastAsia="zh-CN"/>
        </w:rPr>
        <w:t>控制、信息披露</w:t>
      </w:r>
      <w:r>
        <w:rPr>
          <w:rFonts w:hint="eastAsia" w:ascii="宋体" w:hAnsi="宋体"/>
          <w:bCs/>
          <w:sz w:val="24"/>
        </w:rPr>
        <w:t>等</w:t>
      </w:r>
      <w:r>
        <w:rPr>
          <w:rFonts w:hint="eastAsia" w:ascii="宋体" w:hAnsi="宋体"/>
          <w:bCs/>
          <w:sz w:val="24"/>
          <w:lang w:val="en-US" w:eastAsia="zh-CN"/>
        </w:rPr>
        <w:t>重大事项</w:t>
      </w:r>
      <w:r>
        <w:rPr>
          <w:rFonts w:hint="eastAsia" w:ascii="宋体" w:hAnsi="宋体"/>
          <w:bCs/>
          <w:sz w:val="24"/>
        </w:rPr>
        <w:t>的监督效能，</w:t>
      </w:r>
      <w:r>
        <w:rPr>
          <w:rFonts w:hint="eastAsia" w:ascii="宋体" w:hAnsi="宋体"/>
          <w:bCs/>
          <w:sz w:val="24"/>
          <w:lang w:val="en-US" w:eastAsia="zh-CN"/>
        </w:rPr>
        <w:t>为监事会决策提供专业支持。</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lang w:val="en-US" w:eastAsia="zh-CN"/>
        </w:rPr>
        <w:t>1.</w:t>
      </w:r>
      <w:r>
        <w:rPr>
          <w:rFonts w:hint="eastAsia" w:ascii="宋体" w:hAnsi="宋体"/>
          <w:b/>
          <w:sz w:val="24"/>
        </w:rPr>
        <w:t>审计委员会</w:t>
      </w:r>
    </w:p>
    <w:p>
      <w:pPr>
        <w:keepNext w:val="0"/>
        <w:keepLines w:val="0"/>
        <w:pageBreakBefore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lang w:eastAsia="zh-CN"/>
        </w:rPr>
      </w:pPr>
      <w:r>
        <w:rPr>
          <w:rFonts w:hint="eastAsia" w:ascii="宋体" w:hAnsi="宋体"/>
          <w:b w:val="0"/>
          <w:bCs/>
          <w:sz w:val="24"/>
          <w:lang w:val="en-US" w:eastAsia="zh-CN"/>
        </w:rPr>
        <w:t>一是创新工作思路，开展多形式调研。通过现场调研与非现场调研灵活结合，采取现场、视频等方式；通过专题调研与公司内部专项检查相结合，多层面相互印证，</w:t>
      </w:r>
      <w:r>
        <w:rPr>
          <w:rFonts w:hint="eastAsia" w:ascii="宋体" w:hAnsi="宋体"/>
          <w:sz w:val="24"/>
        </w:rPr>
        <w:t>借力专业资源和力量，提升调研检查的广度与深度</w:t>
      </w:r>
      <w:r>
        <w:rPr>
          <w:rFonts w:hint="eastAsia" w:ascii="宋体" w:hAnsi="宋体"/>
          <w:sz w:val="24"/>
          <w:lang w:eastAsia="zh-CN"/>
        </w:rPr>
        <w:t>，</w:t>
      </w:r>
      <w:r>
        <w:rPr>
          <w:rFonts w:hint="eastAsia" w:ascii="宋体" w:hAnsi="宋体"/>
          <w:b w:val="0"/>
          <w:bCs/>
          <w:sz w:val="24"/>
          <w:lang w:val="en-US" w:eastAsia="zh-CN"/>
        </w:rPr>
        <w:t>确保调研</w:t>
      </w:r>
      <w:r>
        <w:rPr>
          <w:rFonts w:hint="eastAsia" w:ascii="宋体" w:hAnsi="宋体"/>
          <w:sz w:val="24"/>
        </w:rPr>
        <w:t>结果更突出重点、切中要点，更有效发挥监事会的监督保障作用</w:t>
      </w:r>
      <w:r>
        <w:rPr>
          <w:rFonts w:hint="eastAsia" w:ascii="宋体" w:hAnsi="宋体"/>
          <w:sz w:val="24"/>
          <w:lang w:eastAsia="zh-CN"/>
        </w:rPr>
        <w:t>。</w:t>
      </w:r>
    </w:p>
    <w:p>
      <w:pPr>
        <w:keepNext w:val="0"/>
        <w:keepLines w:val="0"/>
        <w:pageBreakBefore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b w:val="0"/>
          <w:bCs/>
          <w:sz w:val="24"/>
          <w:lang w:val="en-US" w:eastAsia="zh-CN"/>
        </w:rPr>
      </w:pPr>
      <w:r>
        <w:rPr>
          <w:rFonts w:hint="eastAsia" w:ascii="宋体" w:hAnsi="宋体"/>
          <w:sz w:val="24"/>
          <w:lang w:val="en-US" w:eastAsia="zh-CN"/>
        </w:rPr>
        <w:t>二是</w:t>
      </w:r>
      <w:r>
        <w:rPr>
          <w:rFonts w:hint="eastAsia" w:ascii="宋体" w:hAnsi="宋体"/>
          <w:sz w:val="24"/>
        </w:rPr>
        <w:t>按照“调研选题、方案制定、</w:t>
      </w:r>
      <w:r>
        <w:rPr>
          <w:rFonts w:hint="eastAsia" w:ascii="宋体" w:hAnsi="宋体"/>
          <w:sz w:val="24"/>
          <w:lang w:val="en-US" w:eastAsia="zh-CN"/>
        </w:rPr>
        <w:t>方案</w:t>
      </w:r>
      <w:r>
        <w:rPr>
          <w:rFonts w:hint="eastAsia" w:ascii="宋体" w:hAnsi="宋体"/>
          <w:sz w:val="24"/>
        </w:rPr>
        <w:t>实施、</w:t>
      </w:r>
      <w:r>
        <w:rPr>
          <w:rFonts w:hint="eastAsia" w:ascii="宋体" w:hAnsi="宋体"/>
          <w:sz w:val="24"/>
          <w:lang w:val="en-US" w:eastAsia="zh-CN"/>
        </w:rPr>
        <w:t>提升反馈</w:t>
      </w:r>
      <w:r>
        <w:rPr>
          <w:rFonts w:hint="eastAsia" w:ascii="宋体" w:hAnsi="宋体"/>
          <w:sz w:val="24"/>
        </w:rPr>
        <w:t>”的闭环</w:t>
      </w:r>
      <w:r>
        <w:rPr>
          <w:rFonts w:hint="eastAsia" w:ascii="宋体" w:hAnsi="宋体"/>
          <w:sz w:val="24"/>
          <w:lang w:val="en-US" w:eastAsia="zh-CN"/>
        </w:rPr>
        <w:t>方式</w:t>
      </w:r>
      <w:r>
        <w:rPr>
          <w:rFonts w:hint="eastAsia" w:ascii="宋体" w:hAnsi="宋体"/>
          <w:sz w:val="24"/>
        </w:rPr>
        <w:t>组织调研</w:t>
      </w:r>
      <w:r>
        <w:rPr>
          <w:rFonts w:hint="eastAsia" w:ascii="宋体" w:hAnsi="宋体"/>
          <w:sz w:val="24"/>
          <w:lang w:eastAsia="zh-CN"/>
        </w:rPr>
        <w:t>，</w:t>
      </w:r>
      <w:r>
        <w:rPr>
          <w:rFonts w:hint="eastAsia" w:ascii="宋体" w:hAnsi="宋体"/>
          <w:sz w:val="24"/>
          <w:lang w:val="en-US" w:eastAsia="zh-CN"/>
        </w:rPr>
        <w:t>切实</w:t>
      </w:r>
      <w:r>
        <w:rPr>
          <w:rFonts w:hint="eastAsia" w:ascii="宋体" w:hAnsi="宋体"/>
          <w:sz w:val="24"/>
        </w:rPr>
        <w:t>做好调研监督前的研究准备</w:t>
      </w:r>
      <w:r>
        <w:rPr>
          <w:rFonts w:hint="eastAsia" w:ascii="宋体" w:hAnsi="宋体"/>
          <w:sz w:val="24"/>
          <w:lang w:eastAsia="zh-CN"/>
        </w:rPr>
        <w:t>、</w:t>
      </w:r>
      <w:r>
        <w:rPr>
          <w:rFonts w:hint="eastAsia" w:ascii="宋体" w:hAnsi="宋体"/>
          <w:sz w:val="24"/>
          <w:lang w:val="en-US" w:eastAsia="zh-CN"/>
        </w:rPr>
        <w:t>调研过程中的细致实施、</w:t>
      </w:r>
      <w:r>
        <w:rPr>
          <w:rFonts w:hint="eastAsia" w:ascii="宋体" w:hAnsi="宋体"/>
          <w:sz w:val="24"/>
        </w:rPr>
        <w:t>调研监督后的收效评估，</w:t>
      </w:r>
      <w:r>
        <w:rPr>
          <w:rFonts w:hint="eastAsia" w:ascii="宋体" w:hAnsi="宋体"/>
          <w:sz w:val="24"/>
          <w:lang w:val="en-US" w:eastAsia="zh-CN"/>
        </w:rPr>
        <w:t>坚持以问题为导向，围绕公司战略重点，多维度研究调研课题，确保调研成效。</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ascii="宋体" w:hAnsi="宋体"/>
          <w:b/>
          <w:bCs/>
          <w:sz w:val="24"/>
        </w:rPr>
      </w:pPr>
      <w:r>
        <w:rPr>
          <w:rFonts w:hint="eastAsia" w:ascii="宋体" w:hAnsi="宋体"/>
          <w:b/>
          <w:bCs/>
          <w:sz w:val="24"/>
          <w:lang w:val="en-US" w:eastAsia="zh-CN"/>
        </w:rPr>
        <w:t>2.</w:t>
      </w:r>
      <w:r>
        <w:rPr>
          <w:rFonts w:hint="eastAsia" w:ascii="宋体" w:hAnsi="宋体"/>
          <w:b/>
          <w:bCs/>
          <w:sz w:val="24"/>
        </w:rPr>
        <w:t>提名委员会</w:t>
      </w:r>
    </w:p>
    <w:p>
      <w:pPr>
        <w:keepNext w:val="0"/>
        <w:keepLines w:val="0"/>
        <w:pageBreakBefore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lang w:val="en-US" w:eastAsia="zh-CN"/>
        </w:rPr>
      </w:pPr>
      <w:r>
        <w:rPr>
          <w:rFonts w:hint="eastAsia" w:ascii="宋体" w:hAnsi="宋体"/>
          <w:b w:val="0"/>
          <w:bCs w:val="0"/>
          <w:sz w:val="24"/>
          <w:lang w:val="en-US" w:eastAsia="zh-CN"/>
        </w:rPr>
        <w:t>一是</w:t>
      </w:r>
      <w:r>
        <w:rPr>
          <w:rFonts w:hint="eastAsia" w:ascii="宋体" w:hAnsi="宋体"/>
          <w:sz w:val="24"/>
          <w:lang w:val="en-US" w:eastAsia="zh-CN"/>
        </w:rPr>
        <w:t>根据</w:t>
      </w:r>
      <w:r>
        <w:rPr>
          <w:rFonts w:hint="eastAsia" w:ascii="宋体" w:hAnsi="宋体"/>
          <w:sz w:val="24"/>
        </w:rPr>
        <w:t>董事会、监事会、高级管理层及其成员履职评价办法，</w:t>
      </w:r>
      <w:r>
        <w:rPr>
          <w:rFonts w:hint="eastAsia" w:ascii="宋体" w:hAnsi="宋体"/>
          <w:sz w:val="24"/>
          <w:lang w:val="en-US" w:eastAsia="zh-CN"/>
        </w:rPr>
        <w:t>扎实推进</w:t>
      </w:r>
      <w:r>
        <w:rPr>
          <w:rFonts w:hint="eastAsia" w:ascii="宋体" w:hAnsi="宋体"/>
          <w:sz w:val="24"/>
        </w:rPr>
        <w:t>董事、监事、高级管理人员年度履职评价</w:t>
      </w:r>
      <w:r>
        <w:rPr>
          <w:rFonts w:hint="eastAsia" w:ascii="宋体" w:hAnsi="宋体"/>
          <w:sz w:val="24"/>
          <w:lang w:val="en-US" w:eastAsia="zh-CN"/>
        </w:rPr>
        <w:t>工作</w:t>
      </w:r>
      <w:r>
        <w:rPr>
          <w:rFonts w:hint="eastAsia" w:ascii="宋体" w:hAnsi="宋体"/>
          <w:sz w:val="24"/>
          <w:lang w:eastAsia="zh-CN"/>
        </w:rPr>
        <w:t>，</w:t>
      </w:r>
      <w:r>
        <w:rPr>
          <w:rFonts w:hint="eastAsia" w:ascii="宋体" w:hAnsi="宋体"/>
          <w:sz w:val="24"/>
        </w:rPr>
        <w:t>协助监事会加强对董事会、高级管理层及其成员的履职监督；</w:t>
      </w:r>
      <w:r>
        <w:rPr>
          <w:rFonts w:hint="eastAsia" w:ascii="宋体" w:hAnsi="宋体"/>
          <w:sz w:val="24"/>
          <w:lang w:val="en-US" w:eastAsia="zh-CN"/>
        </w:rPr>
        <w:t>切实依据履职记录、佐证记录开展评价，不断丰富完善履职评价档案。加强对履职评价过程管理的研究，持续探索履职评价优化方式，确保三会一层及其成员合规履职。</w:t>
      </w:r>
    </w:p>
    <w:p>
      <w:pPr>
        <w:keepNext w:val="0"/>
        <w:keepLines w:val="0"/>
        <w:pageBreakBefore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hint="eastAsia" w:cs="Times New Roman" w:asciiTheme="minorEastAsia" w:hAnsiTheme="minorEastAsia" w:eastAsiaTheme="minorEastAsia"/>
          <w:kern w:val="2"/>
          <w:sz w:val="24"/>
          <w:szCs w:val="22"/>
          <w:highlight w:val="none"/>
          <w:lang w:val="en-US" w:eastAsia="zh-CN" w:bidi="ar-SA"/>
        </w:rPr>
      </w:pPr>
      <w:r>
        <w:rPr>
          <w:rFonts w:hint="eastAsia" w:ascii="宋体" w:hAnsi="宋体"/>
          <w:sz w:val="24"/>
          <w:lang w:val="en-US" w:eastAsia="zh-CN"/>
        </w:rPr>
        <w:t>二是</w:t>
      </w:r>
      <w:r>
        <w:rPr>
          <w:rFonts w:hint="eastAsia" w:cs="Times New Roman" w:asciiTheme="minorEastAsia" w:hAnsiTheme="minorEastAsia" w:eastAsiaTheme="minorEastAsia"/>
          <w:kern w:val="2"/>
          <w:sz w:val="24"/>
          <w:szCs w:val="22"/>
          <w:lang w:val="en-US" w:eastAsia="zh-CN" w:bidi="ar-SA"/>
        </w:rPr>
        <w:t>持续完善与提升公司监事</w:t>
      </w:r>
      <w:r>
        <w:rPr>
          <w:rFonts w:hint="default" w:cs="Times New Roman" w:asciiTheme="minorEastAsia" w:hAnsiTheme="minorEastAsia" w:eastAsiaTheme="minorEastAsia"/>
          <w:kern w:val="2"/>
          <w:sz w:val="24"/>
          <w:szCs w:val="22"/>
          <w:highlight w:val="none"/>
          <w:lang w:val="en-US" w:eastAsia="zh-CN" w:bidi="ar-SA"/>
        </w:rPr>
        <w:t>选任程序和标准</w:t>
      </w:r>
      <w:r>
        <w:rPr>
          <w:rFonts w:hint="eastAsia" w:cs="Times New Roman" w:asciiTheme="minorEastAsia" w:hAnsiTheme="minorEastAsia" w:eastAsiaTheme="minorEastAsia"/>
          <w:kern w:val="2"/>
          <w:sz w:val="24"/>
          <w:szCs w:val="22"/>
          <w:highlight w:val="none"/>
          <w:lang w:val="en-US" w:eastAsia="zh-CN" w:bidi="ar-SA"/>
        </w:rPr>
        <w:t>。对公司第九届监事会监事候选人的任职资格进行初步审核并向监事会提出建议。</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rPr>
      </w:pPr>
      <w:r>
        <w:rPr>
          <w:rFonts w:hint="eastAsia" w:cs="Times New Roman" w:asciiTheme="minorEastAsia" w:hAnsiTheme="minorEastAsia" w:eastAsiaTheme="minorEastAsia"/>
          <w:kern w:val="2"/>
          <w:sz w:val="24"/>
          <w:szCs w:val="22"/>
          <w:highlight w:val="none"/>
          <w:lang w:val="en-US" w:eastAsia="zh-CN" w:bidi="ar-SA"/>
        </w:rPr>
        <w:t>三是对董事的选聘程序进行监督。</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本议案已经第八届监事会第</w:t>
      </w:r>
      <w:r>
        <w:rPr>
          <w:rFonts w:hint="eastAsia" w:ascii="宋体" w:hAnsi="宋体" w:eastAsia="宋体" w:cs="宋体"/>
          <w:kern w:val="0"/>
          <w:sz w:val="24"/>
          <w:lang w:val="en-US" w:eastAsia="zh-CN"/>
        </w:rPr>
        <w:t>二十</w:t>
      </w:r>
      <w:r>
        <w:rPr>
          <w:rFonts w:hint="eastAsia" w:ascii="宋体" w:hAnsi="宋体" w:eastAsia="宋体" w:cs="宋体"/>
          <w:kern w:val="0"/>
          <w:sz w:val="24"/>
        </w:rPr>
        <w:t>次会议审议通过，请各位股东审议。</w:t>
      </w:r>
    </w:p>
    <w:p>
      <w:pPr>
        <w:keepNext w:val="0"/>
        <w:keepLines w:val="0"/>
        <w:pageBreakBefore w:val="0"/>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sz w:val="24"/>
        </w:rPr>
      </w:pPr>
      <w:r>
        <w:rPr>
          <w:rFonts w:hint="eastAsia" w:ascii="宋体" w:hAnsi="宋体" w:eastAsia="宋体" w:cs="宋体"/>
          <w:sz w:val="24"/>
        </w:rPr>
        <w:t>厦门银行股份有限公司</w:t>
      </w:r>
    </w:p>
    <w:p>
      <w:pPr>
        <w:pStyle w:val="9"/>
        <w:keepNext w:val="0"/>
        <w:keepLines w:val="0"/>
        <w:pageBreakBefore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lang w:val="en-US" w:eastAsia="zh-CN"/>
        </w:rPr>
        <w:t>2</w:t>
      </w:r>
      <w:r>
        <w:rPr>
          <w:rFonts w:hint="eastAsia" w:hAnsi="宋体" w:eastAsia="宋体" w:cs="宋体"/>
          <w:sz w:val="24"/>
          <w:lang w:val="en-US" w:eastAsia="zh-CN"/>
        </w:rPr>
        <w:t>3</w:t>
      </w:r>
      <w:r>
        <w:rPr>
          <w:rFonts w:hint="eastAsia" w:ascii="宋体" w:hAnsi="宋体" w:eastAsia="宋体" w:cs="宋体"/>
          <w:sz w:val="24"/>
        </w:rPr>
        <w:t>年</w:t>
      </w:r>
      <w:r>
        <w:rPr>
          <w:rFonts w:hint="eastAsia" w:hAnsi="宋体" w:eastAsia="宋体" w:cs="宋体"/>
          <w:sz w:val="24"/>
          <w:lang w:val="en-US" w:eastAsia="zh-CN"/>
        </w:rPr>
        <w:t>5</w:t>
      </w:r>
      <w:r>
        <w:rPr>
          <w:rFonts w:hint="eastAsia" w:ascii="宋体" w:hAnsi="宋体" w:eastAsia="宋体" w:cs="宋体"/>
          <w:sz w:val="24"/>
        </w:rPr>
        <w:t>月</w:t>
      </w:r>
      <w:r>
        <w:rPr>
          <w:rFonts w:hint="eastAsia" w:hAnsi="宋体" w:eastAsia="宋体" w:cs="宋体"/>
          <w:sz w:val="24"/>
          <w:lang w:val="en-US" w:eastAsia="zh-CN"/>
        </w:rPr>
        <w:t>18</w:t>
      </w:r>
      <w:r>
        <w:rPr>
          <w:rFonts w:hint="eastAsia" w:ascii="宋体" w:hAnsi="宋体" w:eastAsia="宋体" w:cs="宋体"/>
          <w:sz w:val="24"/>
        </w:rPr>
        <w:t>日</w:t>
      </w:r>
      <w:r>
        <w:rPr>
          <w:rFonts w:hint="eastAsia" w:ascii="宋体" w:hAnsi="宋体" w:eastAsia="宋体" w:cs="宋体"/>
          <w:sz w:val="24"/>
        </w:rPr>
        <w:br w:type="page"/>
      </w:r>
    </w:p>
    <w:p>
      <w:pPr>
        <w:pStyle w:val="24"/>
      </w:pPr>
    </w:p>
    <w:p>
      <w:pPr>
        <w:spacing w:line="520" w:lineRule="exact"/>
        <w:jc w:val="center"/>
        <w:rPr>
          <w:rFonts w:ascii="宋体" w:hAnsi="宋体" w:eastAsia="宋体" w:cs="宋体"/>
          <w:b/>
          <w:bCs/>
          <w:color w:val="000000"/>
          <w:sz w:val="30"/>
          <w:szCs w:val="30"/>
        </w:rPr>
      </w:pPr>
      <w:r>
        <w:rPr>
          <w:rFonts w:hint="eastAsia" w:ascii="宋体" w:hAnsi="宋体" w:eastAsia="宋体" w:cs="宋体"/>
          <w:b/>
          <w:bCs/>
          <w:color w:val="000000"/>
          <w:sz w:val="30"/>
          <w:szCs w:val="30"/>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-161925</wp:posOffset>
                </wp:positionV>
                <wp:extent cx="2371725" cy="693420"/>
                <wp:effectExtent l="4445" t="4445" r="5080" b="6985"/>
                <wp:wrapNone/>
                <wp:docPr id="7" name="文本框 2"/>
                <wp:cNvGraphicFramePr/>
                <a:graphic xmlns:a="http://schemas.openxmlformats.org/drawingml/2006/main">
                  <a:graphicData uri="http://schemas.microsoft.com/office/word/2010/wordprocessingShape">
                    <wps:wsp>
                      <wps:cNvSpPr txBox="1"/>
                      <wps:spPr>
                        <a:xfrm>
                          <a:off x="0" y="0"/>
                          <a:ext cx="237172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ascii="宋体" w:hAnsi="宋体" w:eastAsia="宋体" w:cs="宋体"/>
                              </w:rPr>
                            </w:pPr>
                            <w:r>
                              <w:rPr>
                                <w:rFonts w:hint="eastAsia" w:ascii="宋体" w:hAnsi="宋体" w:eastAsia="宋体" w:cs="宋体"/>
                              </w:rPr>
                              <w:t>议案3</w:t>
                            </w:r>
                          </w:p>
                        </w:txbxContent>
                      </wps:txbx>
                      <wps:bodyPr wrap="square" upright="1"/>
                    </wps:wsp>
                  </a:graphicData>
                </a:graphic>
              </wp:anchor>
            </w:drawing>
          </mc:Choice>
          <mc:Fallback>
            <w:pict>
              <v:shape id="文本框 2" o:spid="_x0000_s1026" o:spt="202" type="#_x0000_t202" style="position:absolute;left:0pt;margin-left:2.25pt;margin-top:-12.75pt;height:54.6pt;width:186.75pt;z-index:251661312;mso-width-relative:page;mso-height-relative:page;" fillcolor="#FFFFFF" filled="t" stroked="t" coordsize="21600,21600" o:gfxdata="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8n5+3YAAAACAEAAA8A&#10;AAAAAAAAAQAgAAAAIgAAAGRycy9kb3ducmV2LnhtbFBLAQIUABQAAAAIAIdO4kChrV/TFwIAAEQE&#10;AAAOAAAAAAAAAAEAIAAAACcBAABkcnMvZTJvRG9jLnhtbFBLBQYAAAAABgAGAFkBAACwBQ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ascii="宋体" w:hAnsi="宋体" w:eastAsia="宋体" w:cs="宋体"/>
                        </w:rPr>
                      </w:pPr>
                      <w:r>
                        <w:rPr>
                          <w:rFonts w:hint="eastAsia" w:ascii="宋体" w:hAnsi="宋体" w:eastAsia="宋体" w:cs="宋体"/>
                        </w:rPr>
                        <w:t>议案3</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bookmarkStart w:id="17" w:name="_Toc2584_WPSOffice_Level1"/>
      <w:r>
        <w:rPr>
          <w:rFonts w:hint="eastAsia" w:ascii="宋体" w:hAnsi="宋体"/>
          <w:b/>
          <w:bCs/>
          <w:color w:val="000000"/>
          <w:sz w:val="30"/>
          <w:szCs w:val="30"/>
          <w:lang w:val="en-US" w:eastAsia="zh-CN"/>
        </w:rPr>
        <w:t>厦门银行股份有限公司关于2022年年度报告及其摘要的议案</w:t>
      </w:r>
    </w:p>
    <w:p>
      <w:pPr>
        <w:widowControl/>
        <w:spacing w:line="360" w:lineRule="auto"/>
        <w:rPr>
          <w:rFonts w:hint="eastAsia" w:ascii="宋体" w:hAnsi="宋体" w:cs="宋体"/>
          <w:kern w:val="0"/>
          <w:sz w:val="24"/>
        </w:rPr>
      </w:pP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kern w:val="0"/>
          <w:sz w:val="24"/>
        </w:rPr>
        <w:t>尊敬的各位</w:t>
      </w:r>
      <w:r>
        <w:rPr>
          <w:rFonts w:hint="eastAsia" w:ascii="宋体" w:hAnsi="宋体" w:eastAsia="宋体" w:cs="宋体"/>
          <w:kern w:val="0"/>
          <w:sz w:val="24"/>
          <w:lang w:val="en-US" w:eastAsia="zh-CN"/>
        </w:rPr>
        <w:t>股东</w:t>
      </w:r>
      <w:r>
        <w:rPr>
          <w:rFonts w:hint="eastAsia" w:ascii="宋体" w:hAnsi="宋体" w:eastAsia="宋体" w:cs="宋体"/>
          <w:kern w:val="0"/>
          <w:sz w:val="24"/>
        </w:rPr>
        <w:t>：</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根据中国证监会《公开发行证券的公司信息披露内容与格式准则第2号——年度报告的内容与格式》《公开发行证券的公司信息披露编报规则第26号——商业银行信息披露特别规定》等有关规定，本行编制了《厦门银行股份有限公司2022年年度报告》及摘要。</w:t>
      </w:r>
    </w:p>
    <w:p>
      <w:pPr>
        <w:keepNext w:val="0"/>
        <w:keepLines w:val="0"/>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具体内容详见本行于2023年4月28日在上海证券交易所网站（www.sse.com.cn）披露的《厦门银行股份有限公司2022年年度报告》及其摘要。</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本议案已经第八届董事会第</w:t>
      </w:r>
      <w:r>
        <w:rPr>
          <w:rFonts w:hint="eastAsia" w:ascii="宋体" w:hAnsi="宋体" w:eastAsia="宋体" w:cs="宋体"/>
          <w:sz w:val="24"/>
          <w:lang w:val="en-US" w:eastAsia="zh-CN"/>
        </w:rPr>
        <w:t>三十一</w:t>
      </w:r>
      <w:r>
        <w:rPr>
          <w:rFonts w:hint="eastAsia" w:ascii="宋体" w:hAnsi="宋体" w:eastAsia="宋体" w:cs="宋体"/>
          <w:sz w:val="24"/>
        </w:rPr>
        <w:t>次会议、第八届监事会第</w:t>
      </w:r>
      <w:r>
        <w:rPr>
          <w:rFonts w:hint="eastAsia" w:ascii="宋体" w:hAnsi="宋体" w:eastAsia="宋体" w:cs="宋体"/>
          <w:sz w:val="24"/>
          <w:lang w:val="en-US" w:eastAsia="zh-CN"/>
        </w:rPr>
        <w:t>二十</w:t>
      </w:r>
      <w:r>
        <w:rPr>
          <w:rFonts w:hint="eastAsia" w:ascii="宋体" w:hAnsi="宋体" w:eastAsia="宋体" w:cs="宋体"/>
          <w:sz w:val="24"/>
        </w:rPr>
        <w:t>次会议审议通过</w:t>
      </w:r>
      <w:r>
        <w:rPr>
          <w:rFonts w:hint="eastAsia" w:ascii="宋体" w:hAnsi="宋体" w:eastAsia="宋体" w:cs="宋体"/>
          <w:sz w:val="24"/>
          <w:lang w:eastAsia="zh-CN"/>
        </w:rPr>
        <w:t>，请各位股东审议。</w:t>
      </w:r>
    </w:p>
    <w:p>
      <w:pPr>
        <w:keepNext w:val="0"/>
        <w:keepLines w:val="0"/>
        <w:pageBreakBefore w:val="0"/>
        <w:kinsoku/>
        <w:wordWrap/>
        <w:overflowPunct/>
        <w:topLinePunct w:val="0"/>
        <w:bidi w:val="0"/>
        <w:snapToGrid w:val="0"/>
        <w:spacing w:line="360" w:lineRule="auto"/>
        <w:ind w:firstLine="480" w:firstLineChars="200"/>
        <w:jc w:val="right"/>
        <w:textAlignment w:val="auto"/>
        <w:rPr>
          <w:rFonts w:hint="eastAsia" w:ascii="宋体" w:hAnsi="宋体" w:eastAsia="宋体" w:cs="宋体"/>
          <w:sz w:val="24"/>
        </w:rPr>
      </w:pPr>
    </w:p>
    <w:p>
      <w:pPr>
        <w:keepNext w:val="0"/>
        <w:keepLines w:val="0"/>
        <w:pageBreakBefore w:val="0"/>
        <w:kinsoku/>
        <w:wordWrap/>
        <w:overflowPunct/>
        <w:topLinePunct w:val="0"/>
        <w:bidi w:val="0"/>
        <w:snapToGrid w:val="0"/>
        <w:spacing w:line="360" w:lineRule="auto"/>
        <w:ind w:firstLine="480" w:firstLineChars="200"/>
        <w:jc w:val="right"/>
        <w:textAlignment w:val="auto"/>
        <w:rPr>
          <w:rFonts w:hint="eastAsia" w:ascii="宋体" w:hAnsi="宋体" w:eastAsia="宋体" w:cs="宋体"/>
          <w:sz w:val="24"/>
        </w:rPr>
      </w:pPr>
    </w:p>
    <w:p>
      <w:pPr>
        <w:keepNext w:val="0"/>
        <w:keepLines w:val="0"/>
        <w:pageBreakBefore w:val="0"/>
        <w:kinsoku/>
        <w:wordWrap/>
        <w:overflowPunct/>
        <w:topLinePunct w:val="0"/>
        <w:bidi w:val="0"/>
        <w:snapToGrid w:val="0"/>
        <w:spacing w:line="360" w:lineRule="auto"/>
        <w:ind w:firstLine="480" w:firstLineChars="200"/>
        <w:jc w:val="right"/>
        <w:textAlignment w:val="auto"/>
        <w:rPr>
          <w:rFonts w:hint="eastAsia" w:ascii="宋体" w:hAnsi="宋体" w:eastAsia="宋体" w:cs="宋体"/>
          <w:sz w:val="24"/>
        </w:rPr>
      </w:pPr>
      <w:r>
        <w:rPr>
          <w:rFonts w:hint="eastAsia" w:ascii="宋体" w:hAnsi="宋体" w:eastAsia="宋体" w:cs="宋体"/>
          <w:sz w:val="24"/>
        </w:rPr>
        <w:t>厦门银行股份有限公司</w:t>
      </w:r>
    </w:p>
    <w:p>
      <w:pPr>
        <w:pStyle w:val="24"/>
        <w:keepNext w:val="0"/>
        <w:keepLines w:val="0"/>
        <w:pageBreakBefore w:val="0"/>
        <w:kinsoku/>
        <w:wordWrap/>
        <w:overflowPunct/>
        <w:topLinePunct w:val="0"/>
        <w:bidi w:val="0"/>
        <w:snapToGrid w:val="0"/>
        <w:spacing w:line="360" w:lineRule="auto"/>
        <w:jc w:val="right"/>
        <w:textAlignment w:val="auto"/>
        <w:rPr>
          <w:rFonts w:ascii="宋体" w:hAnsi="宋体" w:eastAsia="宋体" w:cs="宋体"/>
          <w:color w:val="000000"/>
          <w:kern w:val="0"/>
          <w:sz w:val="24"/>
          <w:szCs w:val="24"/>
        </w:rPr>
      </w:pPr>
      <w:r>
        <w:rPr>
          <w:rFonts w:hint="eastAsia" w:ascii="宋体" w:hAnsi="宋体" w:eastAsia="宋体" w:cs="宋体"/>
          <w:sz w:val="24"/>
        </w:rPr>
        <w:t>20</w:t>
      </w:r>
      <w:r>
        <w:rPr>
          <w:rFonts w:hint="eastAsia" w:ascii="宋体" w:hAnsi="宋体" w:eastAsia="宋体" w:cs="宋体"/>
          <w:sz w:val="24"/>
          <w:lang w:val="en-US" w:eastAsia="zh-CN"/>
        </w:rPr>
        <w:t>23</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18</w:t>
      </w:r>
      <w:r>
        <w:rPr>
          <w:rFonts w:hint="eastAsia" w:ascii="宋体" w:hAnsi="宋体" w:eastAsia="宋体" w:cs="宋体"/>
          <w:sz w:val="24"/>
        </w:rPr>
        <w:t>日</w:t>
      </w:r>
    </w:p>
    <w:p>
      <w:pPr>
        <w:rPr>
          <w:rFonts w:hint="eastAsia" w:ascii="宋体" w:hAnsi="宋体" w:eastAsia="宋体" w:cs="宋体"/>
          <w:b/>
          <w:color w:val="000000"/>
          <w:kern w:val="0"/>
          <w:sz w:val="24"/>
        </w:rPr>
      </w:pPr>
      <w:r>
        <w:rPr>
          <w:rFonts w:hint="eastAsia" w:ascii="宋体" w:hAnsi="宋体" w:eastAsia="宋体" w:cs="宋体"/>
          <w:b/>
          <w:color w:val="000000"/>
          <w:kern w:val="0"/>
          <w:sz w:val="24"/>
        </w:rPr>
        <w:br w:type="page"/>
      </w:r>
    </w:p>
    <w:bookmarkEnd w:id="17"/>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8"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ascii="宋体" w:hAnsi="宋体" w:eastAsia="宋体" w:cs="宋体"/>
                              </w:rPr>
                            </w:pPr>
                            <w:r>
                              <w:rPr>
                                <w:rFonts w:hint="eastAsia" w:ascii="宋体" w:hAnsi="宋体" w:eastAsia="宋体" w:cs="宋体"/>
                              </w:rPr>
                              <w:t>议案4</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62336;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LprHSAVAgAARA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ascii="宋体" w:hAnsi="宋体" w:eastAsia="宋体" w:cs="宋体"/>
                        </w:rPr>
                      </w:pPr>
                      <w:r>
                        <w:rPr>
                          <w:rFonts w:hint="eastAsia" w:ascii="宋体" w:hAnsi="宋体" w:eastAsia="宋体" w:cs="宋体"/>
                        </w:rPr>
                        <w:t>议案4</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厦门银行股份有限公司关于2022年度财务决算报告的议案</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color w:val="000000"/>
          <w:kern w:val="36"/>
          <w:sz w:val="24"/>
        </w:rPr>
        <w:t>尊敬的各位</w:t>
      </w:r>
      <w:r>
        <w:rPr>
          <w:rFonts w:hint="eastAsia" w:asciiTheme="minorEastAsia" w:hAnsiTheme="minorEastAsia" w:eastAsiaTheme="minorEastAsia" w:cstheme="minorEastAsia"/>
          <w:sz w:val="24"/>
        </w:rPr>
        <w:t>股东</w:t>
      </w:r>
      <w:r>
        <w:rPr>
          <w:rFonts w:hint="eastAsia" w:asciiTheme="minorEastAsia" w:hAnsiTheme="minorEastAsia" w:eastAsiaTheme="minorEastAsia" w:cstheme="minorEastAsia"/>
          <w:bCs/>
          <w:color w:val="000000"/>
          <w:kern w:val="36"/>
          <w:sz w:val="24"/>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481" w:leftChars="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kern w:val="0"/>
          <w:sz w:val="24"/>
          <w:szCs w:val="24"/>
        </w:rPr>
        <w:t>现将202</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年度财务决算报告如下：</w:t>
      </w:r>
    </w:p>
    <w:p>
      <w:pPr>
        <w:keepNext w:val="0"/>
        <w:keepLines w:val="0"/>
        <w:pageBreakBefore w:val="0"/>
        <w:widowControl/>
        <w:numPr>
          <w:ilvl w:val="0"/>
          <w:numId w:val="4"/>
        </w:numPr>
        <w:kinsoku/>
        <w:wordWrap/>
        <w:overflowPunct/>
        <w:topLinePunct w:val="0"/>
        <w:autoSpaceDE/>
        <w:autoSpaceDN/>
        <w:bidi w:val="0"/>
        <w:adjustRightInd/>
        <w:snapToGrid w:val="0"/>
        <w:spacing w:line="360" w:lineRule="auto"/>
        <w:ind w:left="481"/>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财务报告审计情况</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2022年，公司聘请</w:t>
      </w:r>
      <w:r>
        <w:rPr>
          <w:rFonts w:hint="eastAsia" w:asciiTheme="minorEastAsia" w:hAnsiTheme="minorEastAsia" w:eastAsiaTheme="minorEastAsia" w:cstheme="minorEastAsia"/>
          <w:kern w:val="0"/>
          <w:sz w:val="24"/>
          <w:szCs w:val="24"/>
        </w:rPr>
        <w:t>安永华明会计师事务所（特殊普通合伙）</w:t>
      </w:r>
      <w:r>
        <w:rPr>
          <w:rFonts w:hint="eastAsia" w:asciiTheme="minorEastAsia" w:hAnsiTheme="minorEastAsia" w:eastAsiaTheme="minorEastAsia" w:cstheme="minorEastAsia"/>
          <w:kern w:val="0"/>
          <w:sz w:val="24"/>
          <w:szCs w:val="24"/>
          <w:lang w:val="en-US" w:eastAsia="zh-CN"/>
        </w:rPr>
        <w:t>作为年度财务报告审计机构，经</w:t>
      </w:r>
      <w:r>
        <w:rPr>
          <w:rFonts w:hint="eastAsia" w:asciiTheme="minorEastAsia" w:hAnsiTheme="minorEastAsia" w:eastAsiaTheme="minorEastAsia" w:cstheme="minorEastAsia"/>
          <w:kern w:val="0"/>
          <w:sz w:val="24"/>
          <w:szCs w:val="24"/>
        </w:rPr>
        <w:t>审</w:t>
      </w:r>
      <w:r>
        <w:rPr>
          <w:rFonts w:hint="eastAsia" w:asciiTheme="minorEastAsia" w:hAnsiTheme="minorEastAsia" w:eastAsiaTheme="minorEastAsia" w:cstheme="minorEastAsia"/>
          <w:kern w:val="0"/>
          <w:sz w:val="24"/>
          <w:szCs w:val="24"/>
          <w:lang w:val="en-US" w:eastAsia="zh-CN"/>
        </w:rPr>
        <w:t>计，</w:t>
      </w:r>
      <w:r>
        <w:rPr>
          <w:rFonts w:hint="eastAsia" w:asciiTheme="minorEastAsia" w:hAnsiTheme="minorEastAsia" w:eastAsiaTheme="minorEastAsia" w:cstheme="minorEastAsia"/>
          <w:kern w:val="0"/>
          <w:sz w:val="24"/>
          <w:szCs w:val="24"/>
        </w:rPr>
        <w:t>安永华明会计师事务所</w:t>
      </w:r>
      <w:r>
        <w:rPr>
          <w:rFonts w:hint="eastAsia" w:asciiTheme="minorEastAsia" w:hAnsiTheme="minorEastAsia" w:eastAsiaTheme="minorEastAsia" w:cstheme="minorEastAsia"/>
          <w:kern w:val="0"/>
          <w:sz w:val="24"/>
          <w:szCs w:val="24"/>
          <w:lang w:val="en-US" w:eastAsia="zh-CN"/>
        </w:rPr>
        <w:t>对公司</w:t>
      </w:r>
      <w:r>
        <w:rPr>
          <w:rFonts w:hint="eastAsia" w:asciiTheme="minorEastAsia" w:hAnsiTheme="minorEastAsia" w:eastAsiaTheme="minorEastAsia" w:cstheme="minorEastAsia"/>
          <w:kern w:val="0"/>
          <w:sz w:val="24"/>
          <w:szCs w:val="24"/>
        </w:rPr>
        <w:t>202</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年度</w:t>
      </w:r>
      <w:r>
        <w:rPr>
          <w:rFonts w:hint="eastAsia" w:asciiTheme="minorEastAsia" w:hAnsiTheme="minorEastAsia" w:eastAsiaTheme="minorEastAsia" w:cstheme="minorEastAsia"/>
          <w:kern w:val="0"/>
          <w:sz w:val="24"/>
          <w:szCs w:val="24"/>
          <w:lang w:val="en-US" w:eastAsia="zh-CN"/>
        </w:rPr>
        <w:t>财务</w:t>
      </w:r>
      <w:r>
        <w:rPr>
          <w:rFonts w:hint="eastAsia" w:asciiTheme="minorEastAsia" w:hAnsiTheme="minorEastAsia" w:eastAsiaTheme="minorEastAsia" w:cstheme="minorEastAsia"/>
          <w:kern w:val="0"/>
          <w:sz w:val="24"/>
          <w:szCs w:val="24"/>
        </w:rPr>
        <w:t>报</w:t>
      </w:r>
      <w:r>
        <w:rPr>
          <w:rFonts w:hint="eastAsia" w:asciiTheme="minorEastAsia" w:hAnsiTheme="minorEastAsia" w:eastAsiaTheme="minorEastAsia" w:cstheme="minorEastAsia"/>
          <w:kern w:val="0"/>
          <w:sz w:val="24"/>
          <w:szCs w:val="24"/>
          <w:lang w:val="en-US" w:eastAsia="zh-CN"/>
        </w:rPr>
        <w:t>告出具了标准无保留意见的审计报告。</w:t>
      </w:r>
    </w:p>
    <w:p>
      <w:pPr>
        <w:keepNext w:val="0"/>
        <w:keepLines w:val="0"/>
        <w:pageBreakBefore w:val="0"/>
        <w:widowControl/>
        <w:numPr>
          <w:ilvl w:val="0"/>
          <w:numId w:val="4"/>
        </w:numPr>
        <w:kinsoku/>
        <w:wordWrap/>
        <w:overflowPunct/>
        <w:topLinePunct w:val="0"/>
        <w:autoSpaceDE/>
        <w:autoSpaceDN/>
        <w:bidi w:val="0"/>
        <w:adjustRightInd/>
        <w:snapToGrid w:val="0"/>
        <w:spacing w:line="360" w:lineRule="auto"/>
        <w:ind w:left="481"/>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2022</w:t>
      </w:r>
      <w:r>
        <w:rPr>
          <w:rFonts w:hint="eastAsia" w:asciiTheme="minorEastAsia" w:hAnsiTheme="minorEastAsia" w:eastAsiaTheme="minorEastAsia" w:cstheme="minorEastAsia"/>
          <w:b/>
          <w:bCs/>
          <w:kern w:val="0"/>
          <w:sz w:val="24"/>
          <w:szCs w:val="24"/>
        </w:rPr>
        <w:t>年度财务决算情</w:t>
      </w:r>
      <w:r>
        <w:rPr>
          <w:rFonts w:hint="eastAsia" w:asciiTheme="minorEastAsia" w:hAnsiTheme="minorEastAsia" w:eastAsiaTheme="minorEastAsia" w:cstheme="minorEastAsia"/>
          <w:b/>
          <w:bCs/>
          <w:kern w:val="0"/>
          <w:sz w:val="24"/>
          <w:szCs w:val="24"/>
          <w:lang w:val="en-US" w:eastAsia="zh-CN"/>
        </w:rPr>
        <w:t>况</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202</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年，是</w:t>
      </w:r>
      <w:r>
        <w:rPr>
          <w:rFonts w:hint="eastAsia" w:asciiTheme="minorEastAsia" w:hAnsiTheme="minorEastAsia" w:eastAsiaTheme="minorEastAsia" w:cstheme="minorEastAsia"/>
          <w:kern w:val="0"/>
          <w:sz w:val="24"/>
          <w:szCs w:val="24"/>
          <w:highlight w:val="none"/>
          <w:lang w:val="en-US" w:eastAsia="zh-CN"/>
        </w:rPr>
        <w:t>公司</w:t>
      </w:r>
      <w:r>
        <w:rPr>
          <w:rFonts w:hint="eastAsia" w:asciiTheme="minorEastAsia" w:hAnsiTheme="minorEastAsia" w:eastAsiaTheme="minorEastAsia" w:cstheme="minorEastAsia"/>
          <w:kern w:val="0"/>
          <w:sz w:val="24"/>
          <w:szCs w:val="24"/>
          <w:highlight w:val="none"/>
        </w:rPr>
        <w:t>新三年战略规划推进实施</w:t>
      </w:r>
      <w:r>
        <w:rPr>
          <w:rFonts w:hint="eastAsia" w:asciiTheme="minorEastAsia" w:hAnsiTheme="minorEastAsia" w:eastAsiaTheme="minorEastAsia" w:cstheme="minorEastAsia"/>
          <w:kern w:val="0"/>
          <w:sz w:val="24"/>
          <w:szCs w:val="24"/>
          <w:highlight w:val="none"/>
          <w:lang w:val="en-US" w:eastAsia="zh-CN"/>
        </w:rPr>
        <w:t>的</w:t>
      </w:r>
      <w:r>
        <w:rPr>
          <w:rFonts w:hint="eastAsia" w:asciiTheme="minorEastAsia" w:hAnsiTheme="minorEastAsia" w:eastAsiaTheme="minorEastAsia" w:cstheme="minorEastAsia"/>
          <w:kern w:val="0"/>
          <w:sz w:val="24"/>
          <w:szCs w:val="24"/>
          <w:highlight w:val="none"/>
        </w:rPr>
        <w:t>承启</w:t>
      </w:r>
      <w:r>
        <w:rPr>
          <w:rFonts w:hint="eastAsia" w:asciiTheme="minorEastAsia" w:hAnsiTheme="minorEastAsia" w:eastAsiaTheme="minorEastAsia" w:cstheme="minorEastAsia"/>
          <w:kern w:val="0"/>
          <w:sz w:val="24"/>
          <w:szCs w:val="24"/>
          <w:highlight w:val="none"/>
          <w:lang w:val="en-US" w:eastAsia="zh-CN"/>
        </w:rPr>
        <w:t>之</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kern w:val="0"/>
          <w:sz w:val="24"/>
          <w:szCs w:val="24"/>
          <w:highlight w:val="none"/>
          <w:lang w:val="en-US" w:eastAsia="zh-CN"/>
        </w:rPr>
        <w:t>公司深入</w:t>
      </w:r>
      <w:r>
        <w:rPr>
          <w:rFonts w:hint="eastAsia" w:asciiTheme="minorEastAsia" w:hAnsiTheme="minorEastAsia" w:eastAsiaTheme="minorEastAsia" w:cstheme="minorEastAsia"/>
          <w:kern w:val="0"/>
          <w:sz w:val="24"/>
          <w:szCs w:val="24"/>
          <w:highlight w:val="none"/>
        </w:rPr>
        <w:t>贯彻</w:t>
      </w:r>
      <w:r>
        <w:rPr>
          <w:rFonts w:hint="eastAsia" w:asciiTheme="minorEastAsia" w:hAnsiTheme="minorEastAsia" w:eastAsiaTheme="minorEastAsia" w:cstheme="minorEastAsia"/>
          <w:kern w:val="0"/>
          <w:sz w:val="24"/>
          <w:szCs w:val="24"/>
          <w:highlight w:val="none"/>
          <w:lang w:val="en-US" w:eastAsia="zh-CN"/>
        </w:rPr>
        <w:t>落实</w:t>
      </w:r>
      <w:r>
        <w:rPr>
          <w:rFonts w:hint="eastAsia" w:asciiTheme="minorEastAsia" w:hAnsiTheme="minorEastAsia" w:eastAsiaTheme="minorEastAsia" w:cstheme="minorEastAsia"/>
          <w:kern w:val="0"/>
          <w:sz w:val="24"/>
          <w:szCs w:val="24"/>
          <w:highlight w:val="none"/>
        </w:rPr>
        <w:t>党中央</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国务院</w:t>
      </w:r>
      <w:r>
        <w:rPr>
          <w:rFonts w:hint="eastAsia" w:asciiTheme="minorEastAsia" w:hAnsiTheme="minorEastAsia" w:eastAsiaTheme="minorEastAsia" w:cstheme="minorEastAsia"/>
          <w:kern w:val="0"/>
          <w:sz w:val="24"/>
          <w:szCs w:val="24"/>
          <w:highlight w:val="none"/>
          <w:lang w:val="en-US" w:eastAsia="zh-CN"/>
        </w:rPr>
        <w:t>和金融</w:t>
      </w:r>
      <w:r>
        <w:rPr>
          <w:rFonts w:hint="eastAsia" w:asciiTheme="minorEastAsia" w:hAnsiTheme="minorEastAsia" w:eastAsiaTheme="minorEastAsia" w:cstheme="minorEastAsia"/>
          <w:kern w:val="0"/>
          <w:sz w:val="24"/>
          <w:szCs w:val="24"/>
          <w:highlight w:val="none"/>
        </w:rPr>
        <w:t>监管机构的各项决策部署，坚持</w:t>
      </w:r>
      <w:r>
        <w:rPr>
          <w:rFonts w:hint="eastAsia" w:asciiTheme="minorEastAsia" w:hAnsiTheme="minorEastAsia" w:eastAsiaTheme="minorEastAsia" w:cstheme="minorEastAsia"/>
          <w:kern w:val="0"/>
          <w:sz w:val="24"/>
          <w:szCs w:val="24"/>
          <w:highlight w:val="none"/>
          <w:lang w:val="en-US" w:eastAsia="zh-CN"/>
        </w:rPr>
        <w:t>高质量发展主题及</w:t>
      </w:r>
      <w:r>
        <w:rPr>
          <w:rFonts w:hint="eastAsia" w:asciiTheme="minorEastAsia" w:hAnsiTheme="minorEastAsia" w:eastAsiaTheme="minorEastAsia" w:cstheme="minorEastAsia"/>
          <w:kern w:val="0"/>
          <w:sz w:val="24"/>
          <w:szCs w:val="24"/>
          <w:highlight w:val="none"/>
        </w:rPr>
        <w:t>“稳字当头、稳中求进”工作总基调，</w:t>
      </w:r>
      <w:r>
        <w:rPr>
          <w:rFonts w:hint="eastAsia" w:asciiTheme="minorEastAsia" w:hAnsiTheme="minorEastAsia" w:eastAsiaTheme="minorEastAsia" w:cstheme="minorEastAsia"/>
          <w:kern w:val="0"/>
          <w:sz w:val="24"/>
          <w:szCs w:val="24"/>
          <w:highlight w:val="none"/>
          <w:lang w:val="en-US" w:eastAsia="zh-CN"/>
        </w:rPr>
        <w:t>以战略规划为指引，</w:t>
      </w:r>
      <w:r>
        <w:rPr>
          <w:rFonts w:hint="eastAsia" w:asciiTheme="minorEastAsia" w:hAnsiTheme="minorEastAsia" w:eastAsiaTheme="minorEastAsia" w:cstheme="minorEastAsia"/>
          <w:kern w:val="0"/>
          <w:sz w:val="24"/>
          <w:szCs w:val="24"/>
          <w:highlight w:val="none"/>
        </w:rPr>
        <w:t>统筹兼顾、重点突破</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扎实前进，延续了</w:t>
      </w:r>
      <w:r>
        <w:rPr>
          <w:rFonts w:hint="eastAsia" w:asciiTheme="minorEastAsia" w:hAnsiTheme="minorEastAsia" w:eastAsiaTheme="minorEastAsia" w:cstheme="minorEastAsia"/>
          <w:kern w:val="0"/>
          <w:sz w:val="24"/>
          <w:szCs w:val="24"/>
          <w:highlight w:val="none"/>
          <w:lang w:val="en-US" w:eastAsia="zh-CN"/>
        </w:rPr>
        <w:t>业务规模、经营效益及资产质量</w:t>
      </w:r>
      <w:r>
        <w:rPr>
          <w:rFonts w:hint="eastAsia" w:asciiTheme="minorEastAsia" w:hAnsiTheme="minorEastAsia" w:eastAsiaTheme="minorEastAsia" w:cstheme="minorEastAsia"/>
          <w:kern w:val="0"/>
          <w:sz w:val="24"/>
          <w:szCs w:val="24"/>
          <w:highlight w:val="none"/>
        </w:rPr>
        <w:t>稳</w:t>
      </w:r>
      <w:r>
        <w:rPr>
          <w:rFonts w:hint="eastAsia" w:asciiTheme="minorEastAsia" w:hAnsiTheme="minorEastAsia" w:eastAsiaTheme="minorEastAsia" w:cstheme="minorEastAsia"/>
          <w:kern w:val="0"/>
          <w:sz w:val="24"/>
          <w:szCs w:val="24"/>
          <w:highlight w:val="none"/>
          <w:lang w:val="en-US" w:eastAsia="zh-CN"/>
        </w:rPr>
        <w:t>步提升</w:t>
      </w:r>
      <w:r>
        <w:rPr>
          <w:rFonts w:hint="eastAsia" w:asciiTheme="minorEastAsia" w:hAnsiTheme="minorEastAsia" w:eastAsiaTheme="minorEastAsia" w:cstheme="minorEastAsia"/>
          <w:kern w:val="0"/>
          <w:sz w:val="24"/>
          <w:szCs w:val="24"/>
          <w:highlight w:val="none"/>
        </w:rPr>
        <w:t>的发展态势。</w:t>
      </w:r>
    </w:p>
    <w:p>
      <w:pPr>
        <w:keepNext w:val="0"/>
        <w:keepLines w:val="0"/>
        <w:pageBreakBefore w:val="0"/>
        <w:widowControl/>
        <w:numPr>
          <w:ilvl w:val="0"/>
          <w:numId w:val="5"/>
        </w:numPr>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kern w:val="0"/>
          <w:sz w:val="24"/>
          <w:szCs w:val="24"/>
          <w:lang w:val="en-US"/>
        </w:rPr>
      </w:pPr>
      <w:r>
        <w:rPr>
          <w:rFonts w:hint="eastAsia" w:asciiTheme="minorEastAsia" w:hAnsiTheme="minorEastAsia" w:eastAsiaTheme="minorEastAsia" w:cstheme="minorEastAsia"/>
          <w:b w:val="0"/>
          <w:bCs w:val="0"/>
          <w:kern w:val="0"/>
          <w:sz w:val="24"/>
          <w:szCs w:val="24"/>
        </w:rPr>
        <w:t>资产规模</w:t>
      </w:r>
      <w:r>
        <w:rPr>
          <w:rFonts w:hint="eastAsia" w:asciiTheme="minorEastAsia" w:hAnsiTheme="minorEastAsia" w:eastAsiaTheme="minorEastAsia" w:cstheme="minorEastAsia"/>
          <w:b w:val="0"/>
          <w:bCs w:val="0"/>
          <w:kern w:val="0"/>
          <w:sz w:val="24"/>
          <w:szCs w:val="24"/>
          <w:lang w:val="en-US" w:eastAsia="zh-CN"/>
        </w:rPr>
        <w:t>稳健增长</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202</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年，公司资产规模</w:t>
      </w:r>
      <w:r>
        <w:rPr>
          <w:rFonts w:hint="eastAsia" w:asciiTheme="minorEastAsia" w:hAnsiTheme="minorEastAsia" w:eastAsiaTheme="minorEastAsia" w:cstheme="minorEastAsia"/>
          <w:kern w:val="0"/>
          <w:sz w:val="24"/>
          <w:szCs w:val="24"/>
          <w:lang w:val="en-US" w:eastAsia="zh-CN"/>
        </w:rPr>
        <w:t>稳步扩张</w:t>
      </w:r>
      <w:r>
        <w:rPr>
          <w:rFonts w:hint="eastAsia" w:asciiTheme="minorEastAsia" w:hAnsiTheme="minorEastAsia" w:eastAsiaTheme="minorEastAsia" w:cstheme="minorEastAsia"/>
          <w:kern w:val="0"/>
          <w:sz w:val="24"/>
          <w:szCs w:val="24"/>
        </w:rPr>
        <w:t>，截</w:t>
      </w:r>
      <w:r>
        <w:rPr>
          <w:rFonts w:hint="eastAsia" w:asciiTheme="minorEastAsia" w:hAnsiTheme="minorEastAsia" w:eastAsiaTheme="minorEastAsia" w:cstheme="minorEastAsia"/>
          <w:kern w:val="0"/>
          <w:sz w:val="24"/>
          <w:szCs w:val="24"/>
          <w:lang w:val="en-US" w:eastAsia="zh-CN"/>
        </w:rPr>
        <w:t>至</w:t>
      </w:r>
      <w:r>
        <w:rPr>
          <w:rFonts w:hint="eastAsia" w:asciiTheme="minorEastAsia" w:hAnsiTheme="minorEastAsia" w:eastAsiaTheme="minorEastAsia" w:cstheme="minorEastAsia"/>
          <w:kern w:val="0"/>
          <w:sz w:val="24"/>
          <w:szCs w:val="24"/>
        </w:rPr>
        <w:t>202</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年末，公司资产规模为</w:t>
      </w:r>
      <w:r>
        <w:rPr>
          <w:rFonts w:hint="eastAsia" w:asciiTheme="minorEastAsia" w:hAnsiTheme="minorEastAsia" w:eastAsiaTheme="minorEastAsia" w:cstheme="minorEastAsia"/>
          <w:kern w:val="0"/>
          <w:sz w:val="24"/>
          <w:szCs w:val="24"/>
          <w:lang w:val="en-US"/>
        </w:rPr>
        <w:t>3,712.</w:t>
      </w:r>
      <w:r>
        <w:rPr>
          <w:rFonts w:hint="eastAsia" w:asciiTheme="minorEastAsia" w:hAnsiTheme="minorEastAsia" w:eastAsiaTheme="minorEastAsia" w:cstheme="minorEastAsia"/>
          <w:kern w:val="0"/>
          <w:sz w:val="24"/>
          <w:szCs w:val="24"/>
          <w:lang w:val="en-US" w:eastAsia="zh-CN"/>
        </w:rPr>
        <w:t>08</w:t>
      </w:r>
      <w:r>
        <w:rPr>
          <w:rFonts w:hint="eastAsia" w:asciiTheme="minorEastAsia" w:hAnsiTheme="minorEastAsia" w:eastAsiaTheme="minorEastAsia" w:cstheme="minorEastAsia"/>
          <w:kern w:val="0"/>
          <w:sz w:val="24"/>
          <w:szCs w:val="24"/>
        </w:rPr>
        <w:t>亿元，较</w:t>
      </w:r>
      <w:r>
        <w:rPr>
          <w:rFonts w:hint="eastAsia" w:asciiTheme="minorEastAsia" w:hAnsiTheme="minorEastAsia" w:eastAsiaTheme="minorEastAsia" w:cstheme="minorEastAsia"/>
          <w:kern w:val="0"/>
          <w:sz w:val="24"/>
          <w:szCs w:val="24"/>
          <w:lang w:eastAsia="zh-CN"/>
        </w:rPr>
        <w:t>上年末</w:t>
      </w:r>
      <w:r>
        <w:rPr>
          <w:rFonts w:hint="eastAsia" w:asciiTheme="minorEastAsia" w:hAnsiTheme="minorEastAsia" w:eastAsiaTheme="minorEastAsia" w:cstheme="minorEastAsia"/>
          <w:kern w:val="0"/>
          <w:sz w:val="24"/>
          <w:szCs w:val="24"/>
        </w:rPr>
        <w:t>增加</w:t>
      </w:r>
      <w:r>
        <w:rPr>
          <w:rFonts w:hint="eastAsia" w:asciiTheme="minorEastAsia" w:hAnsiTheme="minorEastAsia" w:eastAsiaTheme="minorEastAsia" w:cstheme="minorEastAsia"/>
          <w:kern w:val="0"/>
          <w:sz w:val="24"/>
          <w:szCs w:val="24"/>
          <w:lang w:val="en-US" w:eastAsia="zh-CN"/>
        </w:rPr>
        <w:t>417.13</w:t>
      </w:r>
      <w:r>
        <w:rPr>
          <w:rFonts w:hint="eastAsia" w:asciiTheme="minorEastAsia" w:hAnsiTheme="minorEastAsia" w:eastAsiaTheme="minorEastAsia" w:cstheme="minorEastAsia"/>
          <w:kern w:val="0"/>
          <w:sz w:val="24"/>
          <w:szCs w:val="24"/>
        </w:rPr>
        <w:t>亿元，增幅</w:t>
      </w:r>
      <w:r>
        <w:rPr>
          <w:rFonts w:hint="eastAsia" w:asciiTheme="minorEastAsia" w:hAnsiTheme="minorEastAsia" w:eastAsiaTheme="minorEastAsia" w:cstheme="minorEastAsia"/>
          <w:kern w:val="0"/>
          <w:sz w:val="24"/>
          <w:szCs w:val="24"/>
          <w:lang w:val="en-US" w:eastAsia="zh-CN"/>
        </w:rPr>
        <w:t>12.66</w:t>
      </w:r>
      <w:r>
        <w:rPr>
          <w:rFonts w:hint="eastAsia" w:asciiTheme="minorEastAsia" w:hAnsiTheme="minorEastAsia" w:eastAsiaTheme="minorEastAsia" w:cstheme="minorEastAsia"/>
          <w:kern w:val="0"/>
          <w:sz w:val="24"/>
          <w:szCs w:val="24"/>
        </w:rPr>
        <w:t>%；同时，资产结构</w:t>
      </w:r>
      <w:r>
        <w:rPr>
          <w:rFonts w:hint="eastAsia" w:asciiTheme="minorEastAsia" w:hAnsiTheme="minorEastAsia" w:eastAsiaTheme="minorEastAsia" w:cstheme="minorEastAsia"/>
          <w:kern w:val="0"/>
          <w:sz w:val="24"/>
          <w:szCs w:val="24"/>
          <w:lang w:val="en-US" w:eastAsia="zh-CN"/>
        </w:rPr>
        <w:t>持续</w:t>
      </w:r>
      <w:r>
        <w:rPr>
          <w:rFonts w:hint="eastAsia" w:asciiTheme="minorEastAsia" w:hAnsiTheme="minorEastAsia" w:eastAsiaTheme="minorEastAsia" w:cstheme="minorEastAsia"/>
          <w:kern w:val="0"/>
          <w:sz w:val="24"/>
          <w:szCs w:val="24"/>
        </w:rPr>
        <w:t>优化</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公司持续加大金融支持实体经济力度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期末</w:t>
      </w:r>
      <w:r>
        <w:rPr>
          <w:rFonts w:hint="eastAsia" w:asciiTheme="minorEastAsia" w:hAnsiTheme="minorEastAsia" w:eastAsiaTheme="minorEastAsia" w:cstheme="minorEastAsia"/>
          <w:kern w:val="0"/>
          <w:sz w:val="24"/>
          <w:szCs w:val="24"/>
        </w:rPr>
        <w:t>贷款</w:t>
      </w:r>
      <w:r>
        <w:rPr>
          <w:rFonts w:hint="eastAsia" w:asciiTheme="minorEastAsia" w:hAnsiTheme="minorEastAsia" w:eastAsiaTheme="minorEastAsia" w:cstheme="minorEastAsia"/>
          <w:kern w:val="0"/>
          <w:sz w:val="24"/>
          <w:szCs w:val="24"/>
          <w:lang w:val="en-US" w:eastAsia="zh-CN"/>
        </w:rPr>
        <w:t>(原值）总额2,003.85亿元，较上年末增加253.45亿元，增幅14.48%，</w:t>
      </w:r>
      <w:r>
        <w:rPr>
          <w:rFonts w:hint="eastAsia" w:asciiTheme="minorEastAsia" w:hAnsiTheme="minorEastAsia" w:eastAsiaTheme="minorEastAsia" w:cstheme="minorEastAsia"/>
          <w:kern w:val="0"/>
          <w:sz w:val="24"/>
          <w:szCs w:val="24"/>
        </w:rPr>
        <w:t>占总资产比例</w:t>
      </w:r>
      <w:r>
        <w:rPr>
          <w:rFonts w:hint="eastAsia" w:asciiTheme="minorEastAsia" w:hAnsiTheme="minorEastAsia" w:eastAsiaTheme="minorEastAsia" w:cstheme="minorEastAsia"/>
          <w:kern w:val="0"/>
          <w:sz w:val="24"/>
          <w:szCs w:val="24"/>
          <w:lang w:val="en-US" w:eastAsia="zh-CN"/>
        </w:rPr>
        <w:t>由上年末</w:t>
      </w:r>
      <w:r>
        <w:rPr>
          <w:rFonts w:hint="eastAsia" w:asciiTheme="minorEastAsia" w:hAnsiTheme="minorEastAsia" w:eastAsiaTheme="minorEastAsia" w:cstheme="minorEastAsia"/>
          <w:kern w:val="0"/>
          <w:sz w:val="24"/>
          <w:szCs w:val="24"/>
          <w:highlight w:val="none"/>
          <w:lang w:val="en-US" w:eastAsia="zh-CN"/>
        </w:rPr>
        <w:t>的53.12%增至53.98%</w:t>
      </w:r>
      <w:r>
        <w:rPr>
          <w:rFonts w:hint="eastAsia" w:asciiTheme="minorEastAsia" w:hAnsiTheme="minorEastAsia" w:eastAsiaTheme="minorEastAsia" w:cstheme="minorEastAsia"/>
          <w:kern w:val="0"/>
          <w:sz w:val="24"/>
          <w:szCs w:val="24"/>
          <w:highlight w:val="none"/>
        </w:rPr>
        <w:t>。在负债方面，</w:t>
      </w:r>
      <w:r>
        <w:rPr>
          <w:rFonts w:hint="eastAsia" w:asciiTheme="minorEastAsia" w:hAnsiTheme="minorEastAsia" w:eastAsiaTheme="minorEastAsia" w:cstheme="minorEastAsia"/>
          <w:kern w:val="0"/>
          <w:sz w:val="24"/>
          <w:szCs w:val="24"/>
        </w:rPr>
        <w:t>负债余额3,46</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64</w:t>
      </w:r>
      <w:r>
        <w:rPr>
          <w:rFonts w:hint="eastAsia" w:asciiTheme="minorEastAsia" w:hAnsiTheme="minorEastAsia" w:eastAsiaTheme="minorEastAsia" w:cstheme="minorEastAsia"/>
          <w:kern w:val="0"/>
          <w:sz w:val="24"/>
          <w:szCs w:val="24"/>
        </w:rPr>
        <w:t>亿元，较</w:t>
      </w:r>
      <w:r>
        <w:rPr>
          <w:rFonts w:hint="eastAsia" w:asciiTheme="minorEastAsia" w:hAnsiTheme="minorEastAsia" w:eastAsiaTheme="minorEastAsia" w:cstheme="minorEastAsia"/>
          <w:kern w:val="0"/>
          <w:sz w:val="24"/>
          <w:szCs w:val="24"/>
          <w:lang w:eastAsia="zh-CN"/>
        </w:rPr>
        <w:t>上年末</w:t>
      </w:r>
      <w:r>
        <w:rPr>
          <w:rFonts w:hint="eastAsia" w:asciiTheme="minorEastAsia" w:hAnsiTheme="minorEastAsia" w:eastAsiaTheme="minorEastAsia" w:cstheme="minorEastAsia"/>
          <w:kern w:val="0"/>
          <w:sz w:val="24"/>
          <w:szCs w:val="24"/>
        </w:rPr>
        <w:t>增加402.</w:t>
      </w:r>
      <w:r>
        <w:rPr>
          <w:rFonts w:hint="eastAsia" w:asciiTheme="minorEastAsia" w:hAnsiTheme="minorEastAsia" w:eastAsiaTheme="minorEastAsia" w:cstheme="minorEastAsia"/>
          <w:kern w:val="0"/>
          <w:sz w:val="24"/>
          <w:szCs w:val="24"/>
          <w:lang w:val="en-US" w:eastAsia="zh-CN"/>
        </w:rPr>
        <w:t>35</w:t>
      </w:r>
      <w:r>
        <w:rPr>
          <w:rFonts w:hint="eastAsia" w:asciiTheme="minorEastAsia" w:hAnsiTheme="minorEastAsia" w:eastAsiaTheme="minorEastAsia" w:cstheme="minorEastAsia"/>
          <w:kern w:val="0"/>
          <w:sz w:val="24"/>
          <w:szCs w:val="24"/>
        </w:rPr>
        <w:t>亿元，增幅1</w:t>
      </w:r>
      <w:r>
        <w:rPr>
          <w:rFonts w:hint="eastAsia" w:asciiTheme="minorEastAsia" w:hAnsiTheme="minorEastAsia" w:eastAsiaTheme="minorEastAsia" w:cstheme="minorEastAsia"/>
          <w:kern w:val="0"/>
          <w:sz w:val="24"/>
          <w:szCs w:val="24"/>
          <w:lang w:val="en-US" w:eastAsia="zh-CN"/>
        </w:rPr>
        <w:t>3.14</w:t>
      </w:r>
      <w:r>
        <w:rPr>
          <w:rFonts w:hint="eastAsia" w:asciiTheme="minorEastAsia" w:hAnsiTheme="minorEastAsia" w:eastAsiaTheme="minorEastAsia" w:cstheme="minorEastAsia"/>
          <w:kern w:val="0"/>
          <w:sz w:val="24"/>
          <w:szCs w:val="24"/>
        </w:rPr>
        <w:t>%。在权益方面，所有者权益余额</w:t>
      </w:r>
      <w:r>
        <w:rPr>
          <w:rFonts w:hint="eastAsia" w:asciiTheme="minorEastAsia" w:hAnsiTheme="minorEastAsia" w:eastAsiaTheme="minorEastAsia" w:cstheme="minorEastAsia"/>
          <w:kern w:val="0"/>
          <w:sz w:val="24"/>
          <w:szCs w:val="24"/>
          <w:lang w:val="en-US" w:eastAsia="zh-CN"/>
        </w:rPr>
        <w:t>247.44</w:t>
      </w:r>
      <w:r>
        <w:rPr>
          <w:rFonts w:hint="eastAsia" w:asciiTheme="minorEastAsia" w:hAnsiTheme="minorEastAsia" w:eastAsiaTheme="minorEastAsia" w:cstheme="minorEastAsia"/>
          <w:kern w:val="0"/>
          <w:sz w:val="24"/>
          <w:szCs w:val="24"/>
        </w:rPr>
        <w:t>亿元，较</w:t>
      </w:r>
      <w:r>
        <w:rPr>
          <w:rFonts w:hint="eastAsia" w:asciiTheme="minorEastAsia" w:hAnsiTheme="minorEastAsia" w:eastAsiaTheme="minorEastAsia" w:cstheme="minorEastAsia"/>
          <w:kern w:val="0"/>
          <w:sz w:val="24"/>
          <w:szCs w:val="24"/>
          <w:lang w:eastAsia="zh-CN"/>
        </w:rPr>
        <w:t>上年末</w:t>
      </w:r>
      <w:r>
        <w:rPr>
          <w:rFonts w:hint="eastAsia" w:asciiTheme="minorEastAsia" w:hAnsiTheme="minorEastAsia" w:eastAsiaTheme="minorEastAsia" w:cstheme="minorEastAsia"/>
          <w:kern w:val="0"/>
          <w:sz w:val="24"/>
          <w:szCs w:val="24"/>
        </w:rPr>
        <w:t>增加</w:t>
      </w:r>
      <w:r>
        <w:rPr>
          <w:rFonts w:hint="eastAsia" w:asciiTheme="minorEastAsia" w:hAnsiTheme="minorEastAsia" w:eastAsiaTheme="minorEastAsia" w:cstheme="minorEastAsia"/>
          <w:kern w:val="0"/>
          <w:sz w:val="24"/>
          <w:szCs w:val="24"/>
          <w:lang w:val="en-US" w:eastAsia="zh-CN"/>
        </w:rPr>
        <w:t>14.79</w:t>
      </w:r>
      <w:r>
        <w:rPr>
          <w:rFonts w:hint="eastAsia" w:asciiTheme="minorEastAsia" w:hAnsiTheme="minorEastAsia" w:eastAsiaTheme="minorEastAsia" w:cstheme="minorEastAsia"/>
          <w:kern w:val="0"/>
          <w:sz w:val="24"/>
          <w:szCs w:val="24"/>
        </w:rPr>
        <w:t>亿元</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增幅</w:t>
      </w:r>
      <w:r>
        <w:rPr>
          <w:rFonts w:hint="eastAsia" w:asciiTheme="minorEastAsia" w:hAnsiTheme="minorEastAsia" w:eastAsiaTheme="minorEastAsia" w:cstheme="minorEastAsia"/>
          <w:kern w:val="0"/>
          <w:sz w:val="24"/>
          <w:szCs w:val="24"/>
          <w:lang w:val="en-US" w:eastAsia="zh-CN"/>
        </w:rPr>
        <w:t>6.36</w:t>
      </w:r>
      <w:r>
        <w:rPr>
          <w:rFonts w:hint="eastAsia" w:asciiTheme="minorEastAsia" w:hAnsiTheme="minorEastAsia" w:eastAsiaTheme="minorEastAsia" w:cstheme="minorEastAsia"/>
          <w:kern w:val="0"/>
          <w:sz w:val="24"/>
          <w:szCs w:val="24"/>
        </w:rPr>
        <w:t>%。</w:t>
      </w:r>
    </w:p>
    <w:p>
      <w:pPr>
        <w:keepNext w:val="0"/>
        <w:keepLines w:val="0"/>
        <w:pageBreakBefore w:val="0"/>
        <w:widowControl/>
        <w:numPr>
          <w:ilvl w:val="0"/>
          <w:numId w:val="5"/>
        </w:numPr>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kern w:val="0"/>
          <w:sz w:val="24"/>
          <w:szCs w:val="24"/>
        </w:rPr>
        <w:t>经营效益</w:t>
      </w:r>
      <w:r>
        <w:rPr>
          <w:rFonts w:hint="eastAsia" w:asciiTheme="minorEastAsia" w:hAnsiTheme="minorEastAsia" w:eastAsiaTheme="minorEastAsia" w:cstheme="minorEastAsia"/>
          <w:kern w:val="0"/>
          <w:sz w:val="24"/>
          <w:szCs w:val="24"/>
          <w:lang w:val="en-US" w:eastAsia="zh-CN"/>
        </w:rPr>
        <w:t>持续</w:t>
      </w:r>
      <w:r>
        <w:rPr>
          <w:rFonts w:hint="eastAsia" w:asciiTheme="minorEastAsia" w:hAnsiTheme="minorEastAsia" w:eastAsiaTheme="minorEastAsia" w:cstheme="minorEastAsia"/>
          <w:kern w:val="0"/>
          <w:sz w:val="24"/>
          <w:szCs w:val="24"/>
        </w:rPr>
        <w:t>提升</w:t>
      </w:r>
    </w:p>
    <w:p>
      <w:pPr>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480"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年，公司盈利能力进一步提升</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全年</w:t>
      </w:r>
      <w:r>
        <w:rPr>
          <w:rFonts w:hint="eastAsia" w:asciiTheme="minorEastAsia" w:hAnsiTheme="minorEastAsia" w:eastAsiaTheme="minorEastAsia" w:cstheme="minorEastAsia"/>
          <w:sz w:val="24"/>
        </w:rPr>
        <w:t>实现营业收入58.</w:t>
      </w:r>
      <w:r>
        <w:rPr>
          <w:rFonts w:hint="eastAsia" w:asciiTheme="minorEastAsia" w:hAnsiTheme="minorEastAsia" w:eastAsiaTheme="minorEastAsia" w:cstheme="minorEastAsia"/>
          <w:sz w:val="24"/>
          <w:lang w:val="en-US" w:eastAsia="zh-CN"/>
        </w:rPr>
        <w:t>95</w:t>
      </w:r>
      <w:r>
        <w:rPr>
          <w:rFonts w:hint="eastAsia" w:asciiTheme="minorEastAsia" w:hAnsiTheme="minorEastAsia" w:eastAsiaTheme="minorEastAsia" w:cstheme="minorEastAsia"/>
          <w:sz w:val="24"/>
        </w:rPr>
        <w:t>亿元，同比增长10.</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0%；</w:t>
      </w:r>
      <w:r>
        <w:rPr>
          <w:rFonts w:hint="eastAsia" w:asciiTheme="minorEastAsia" w:hAnsiTheme="minorEastAsia" w:eastAsiaTheme="minorEastAsia" w:cstheme="minorEastAsia"/>
          <w:sz w:val="24"/>
          <w:lang w:val="en-US" w:eastAsia="zh-CN"/>
        </w:rPr>
        <w:t>全年</w:t>
      </w:r>
      <w:r>
        <w:rPr>
          <w:rFonts w:hint="eastAsia" w:asciiTheme="minorEastAsia" w:hAnsiTheme="minorEastAsia" w:eastAsiaTheme="minorEastAsia" w:cstheme="minorEastAsia"/>
          <w:sz w:val="24"/>
        </w:rPr>
        <w:t>归属于上市公司股东的净利润25.0</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亿元，同比增长15.</w:t>
      </w:r>
      <w:r>
        <w:rPr>
          <w:rFonts w:hint="eastAsia" w:asciiTheme="minorEastAsia" w:hAnsiTheme="minorEastAsia" w:eastAsiaTheme="minorEastAsia" w:cstheme="minorEastAsia"/>
          <w:sz w:val="24"/>
          <w:lang w:val="en-US" w:eastAsia="zh-CN"/>
        </w:rPr>
        <w:t>56</w:t>
      </w:r>
      <w:r>
        <w:rPr>
          <w:rFonts w:hint="eastAsia" w:asciiTheme="minorEastAsia" w:hAnsiTheme="minorEastAsia" w:eastAsiaTheme="minorEastAsia" w:cstheme="minorEastAsia"/>
          <w:sz w:val="24"/>
        </w:rPr>
        <w:t>%。</w:t>
      </w:r>
    </w:p>
    <w:p>
      <w:pPr>
        <w:keepNext w:val="0"/>
        <w:keepLines w:val="0"/>
        <w:pageBreakBefore w:val="0"/>
        <w:widowControl/>
        <w:numPr>
          <w:ilvl w:val="0"/>
          <w:numId w:val="5"/>
        </w:numPr>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资产质量</w:t>
      </w:r>
      <w:r>
        <w:rPr>
          <w:rFonts w:hint="eastAsia" w:asciiTheme="minorEastAsia" w:hAnsiTheme="minorEastAsia" w:eastAsiaTheme="minorEastAsia" w:cstheme="minorEastAsia"/>
          <w:b w:val="0"/>
          <w:bCs w:val="0"/>
          <w:kern w:val="0"/>
          <w:sz w:val="24"/>
          <w:szCs w:val="24"/>
          <w:lang w:val="en-US" w:eastAsia="zh-CN"/>
        </w:rPr>
        <w:t>保持稳定</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公司</w:t>
      </w:r>
      <w:r>
        <w:rPr>
          <w:rFonts w:hint="eastAsia" w:asciiTheme="minorEastAsia" w:hAnsiTheme="minorEastAsia" w:eastAsiaTheme="minorEastAsia" w:cstheme="minorEastAsia"/>
          <w:sz w:val="24"/>
        </w:rPr>
        <w:t>加强信用风险全流程管理、严控新增不良，积极拓宽不良处置渠道、持续加大存量不良资产处置力度，化解存量资产质量风险，并通过加大拨备计提力度，进一步增厚应对风险的“安全垫”，夯实资产质量管控基础。截</w:t>
      </w:r>
      <w:r>
        <w:rPr>
          <w:rFonts w:hint="eastAsia" w:asciiTheme="minorEastAsia" w:hAnsiTheme="minorEastAsia" w:eastAsiaTheme="minorEastAsia" w:cstheme="minorEastAsia"/>
          <w:sz w:val="24"/>
          <w:lang w:val="en-US" w:eastAsia="zh-CN"/>
        </w:rPr>
        <w:t>至</w:t>
      </w: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年末，公司不良贷款率0.</w:t>
      </w:r>
      <w:r>
        <w:rPr>
          <w:rFonts w:hint="eastAsia" w:asciiTheme="minorEastAsia" w:hAnsiTheme="minorEastAsia" w:eastAsiaTheme="minorEastAsia" w:cstheme="minorEastAsia"/>
          <w:sz w:val="24"/>
          <w:lang w:val="en-US" w:eastAsia="zh-CN"/>
        </w:rPr>
        <w:t>86</w:t>
      </w:r>
      <w:r>
        <w:rPr>
          <w:rFonts w:hint="eastAsia" w:asciiTheme="minorEastAsia" w:hAnsiTheme="minorEastAsia" w:eastAsiaTheme="minorEastAsia" w:cstheme="minorEastAsia"/>
          <w:sz w:val="24"/>
        </w:rPr>
        <w:t>%，比</w:t>
      </w:r>
      <w:r>
        <w:rPr>
          <w:rFonts w:hint="eastAsia" w:asciiTheme="minorEastAsia" w:hAnsiTheme="minorEastAsia" w:eastAsiaTheme="minorEastAsia" w:cstheme="minorEastAsia"/>
          <w:sz w:val="24"/>
          <w:lang w:eastAsia="zh-CN"/>
        </w:rPr>
        <w:t>上年末</w:t>
      </w:r>
      <w:r>
        <w:rPr>
          <w:rFonts w:hint="eastAsia" w:asciiTheme="minorEastAsia" w:hAnsiTheme="minorEastAsia" w:eastAsiaTheme="minorEastAsia" w:cstheme="minorEastAsia"/>
          <w:sz w:val="24"/>
        </w:rPr>
        <w:t>降低0.0</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个百分点，拨备覆盖率387.9</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%，比</w:t>
      </w:r>
      <w:r>
        <w:rPr>
          <w:rFonts w:hint="eastAsia" w:asciiTheme="minorEastAsia" w:hAnsiTheme="minorEastAsia" w:eastAsiaTheme="minorEastAsia" w:cstheme="minorEastAsia"/>
          <w:sz w:val="24"/>
          <w:lang w:eastAsia="zh-CN"/>
        </w:rPr>
        <w:t>上年末</w:t>
      </w:r>
      <w:r>
        <w:rPr>
          <w:rFonts w:hint="eastAsia" w:asciiTheme="minorEastAsia" w:hAnsiTheme="minorEastAsia" w:eastAsiaTheme="minorEastAsia" w:cstheme="minorEastAsia"/>
          <w:sz w:val="24"/>
          <w:lang w:val="en-US" w:eastAsia="zh-CN"/>
        </w:rPr>
        <w:t>上</w:t>
      </w:r>
      <w:r>
        <w:rPr>
          <w:rFonts w:hint="eastAsia" w:asciiTheme="minorEastAsia" w:hAnsiTheme="minorEastAsia" w:eastAsiaTheme="minorEastAsia" w:cstheme="minorEastAsia"/>
          <w:sz w:val="24"/>
        </w:rPr>
        <w:t>升</w:t>
      </w:r>
      <w:r>
        <w:rPr>
          <w:rFonts w:hint="eastAsia" w:asciiTheme="minorEastAsia" w:hAnsiTheme="minorEastAsia" w:eastAsiaTheme="minorEastAsia" w:cstheme="minorEastAsia"/>
          <w:sz w:val="24"/>
          <w:lang w:val="en-US" w:eastAsia="zh-CN"/>
        </w:rPr>
        <w:t>17.29</w:t>
      </w:r>
      <w:r>
        <w:rPr>
          <w:rFonts w:hint="eastAsia" w:asciiTheme="minorEastAsia" w:hAnsiTheme="minorEastAsia" w:eastAsiaTheme="minorEastAsia" w:cstheme="minorEastAsia"/>
          <w:sz w:val="24"/>
        </w:rPr>
        <w:t>个百分点。</w:t>
      </w:r>
    </w:p>
    <w:p>
      <w:pPr>
        <w:keepNext w:val="0"/>
        <w:keepLines w:val="0"/>
        <w:pageBreakBefore w:val="0"/>
        <w:widowControl/>
        <w:numPr>
          <w:ilvl w:val="0"/>
          <w:numId w:val="4"/>
        </w:numPr>
        <w:kinsoku/>
        <w:wordWrap/>
        <w:overflowPunct/>
        <w:topLinePunct w:val="0"/>
        <w:autoSpaceDE/>
        <w:autoSpaceDN/>
        <w:bidi w:val="0"/>
        <w:adjustRightInd/>
        <w:snapToGrid w:val="0"/>
        <w:spacing w:line="360" w:lineRule="auto"/>
        <w:ind w:left="481" w:firstLine="0" w:firstLineChars="0"/>
        <w:jc w:val="left"/>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财务收支情况</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bCs w:val="0"/>
          <w:sz w:val="24"/>
          <w:lang w:val="en-US" w:eastAsia="zh-CN"/>
        </w:rPr>
      </w:pPr>
      <w:r>
        <w:rPr>
          <w:rFonts w:hint="eastAsia" w:asciiTheme="minorEastAsia" w:hAnsiTheme="minorEastAsia" w:eastAsiaTheme="minorEastAsia" w:cstheme="minorEastAsia"/>
          <w:bCs w:val="0"/>
          <w:sz w:val="24"/>
          <w:lang w:val="en-US" w:eastAsia="zh-CN"/>
        </w:rPr>
        <w:t>公司2022年</w:t>
      </w:r>
      <w:r>
        <w:rPr>
          <w:rFonts w:hint="eastAsia" w:asciiTheme="minorEastAsia" w:hAnsiTheme="minorEastAsia" w:eastAsiaTheme="minorEastAsia" w:cstheme="minorEastAsia"/>
          <w:bCs w:val="0"/>
          <w:sz w:val="24"/>
        </w:rPr>
        <w:t>实现</w:t>
      </w:r>
      <w:r>
        <w:rPr>
          <w:rFonts w:hint="eastAsia" w:asciiTheme="minorEastAsia" w:hAnsiTheme="minorEastAsia" w:eastAsiaTheme="minorEastAsia" w:cstheme="minorEastAsia"/>
          <w:bCs w:val="0"/>
          <w:sz w:val="24"/>
          <w:lang w:val="en-US" w:eastAsia="zh-CN"/>
        </w:rPr>
        <w:t>净利润25.72亿元，较上年增加3.59亿元，同比增长16.21%</w:t>
      </w:r>
      <w:r>
        <w:rPr>
          <w:rFonts w:hint="eastAsia" w:asciiTheme="minorEastAsia" w:hAnsiTheme="minorEastAsia" w:eastAsiaTheme="minorEastAsia" w:cstheme="minorEastAsia"/>
          <w:bCs w:val="0"/>
          <w:sz w:val="24"/>
          <w:lang w:eastAsia="zh-CN"/>
        </w:rPr>
        <w:t>，</w:t>
      </w:r>
      <w:r>
        <w:rPr>
          <w:rFonts w:hint="eastAsia" w:asciiTheme="minorEastAsia" w:hAnsiTheme="minorEastAsia" w:eastAsiaTheme="minorEastAsia" w:cstheme="minorEastAsia"/>
          <w:bCs w:val="0"/>
          <w:sz w:val="24"/>
          <w:lang w:val="en-US" w:eastAsia="zh-CN"/>
        </w:rPr>
        <w:t>较预算15%的增长目标多增1.21个百分点。</w:t>
      </w:r>
    </w:p>
    <w:p>
      <w:pPr>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bCs w:val="0"/>
          <w:sz w:val="24"/>
          <w:lang w:val="en-US" w:eastAsia="zh-CN"/>
        </w:rPr>
      </w:pPr>
      <w:r>
        <w:rPr>
          <w:rFonts w:hint="eastAsia" w:asciiTheme="minorEastAsia" w:hAnsiTheme="minorEastAsia" w:eastAsiaTheme="minorEastAsia" w:cstheme="minorEastAsia"/>
          <w:bCs w:val="0"/>
          <w:sz w:val="24"/>
          <w:lang w:val="en-US" w:eastAsia="zh-CN"/>
        </w:rPr>
        <w:t>营业收入</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Theme="minorEastAsia" w:hAnsiTheme="minorEastAsia" w:eastAsiaTheme="minorEastAsia" w:cstheme="minorEastAsia"/>
          <w:bCs w:val="0"/>
          <w:sz w:val="24"/>
          <w:lang w:eastAsia="zh-CN"/>
        </w:rPr>
      </w:pPr>
      <w:r>
        <w:rPr>
          <w:rFonts w:hint="eastAsia" w:asciiTheme="minorEastAsia" w:hAnsiTheme="minorEastAsia" w:eastAsiaTheme="minorEastAsia" w:cstheme="minorEastAsia"/>
          <w:bCs w:val="0"/>
          <w:sz w:val="24"/>
          <w:lang w:val="en-US" w:eastAsia="zh-CN"/>
        </w:rPr>
        <w:t>2022年，公司实现营业收入</w:t>
      </w:r>
      <w:r>
        <w:rPr>
          <w:rFonts w:hint="eastAsia" w:asciiTheme="minorEastAsia" w:hAnsiTheme="minorEastAsia" w:eastAsiaTheme="minorEastAsia" w:cstheme="minorEastAsia"/>
          <w:bCs w:val="0"/>
          <w:sz w:val="24"/>
        </w:rPr>
        <w:t>58.</w:t>
      </w:r>
      <w:r>
        <w:rPr>
          <w:rFonts w:hint="eastAsia" w:asciiTheme="minorEastAsia" w:hAnsiTheme="minorEastAsia" w:eastAsiaTheme="minorEastAsia" w:cstheme="minorEastAsia"/>
          <w:bCs w:val="0"/>
          <w:sz w:val="24"/>
          <w:lang w:val="en-US" w:eastAsia="zh-CN"/>
        </w:rPr>
        <w:t>95</w:t>
      </w:r>
      <w:r>
        <w:rPr>
          <w:rFonts w:hint="eastAsia" w:asciiTheme="minorEastAsia" w:hAnsiTheme="minorEastAsia" w:eastAsiaTheme="minorEastAsia" w:cstheme="minorEastAsia"/>
          <w:bCs w:val="0"/>
          <w:sz w:val="24"/>
        </w:rPr>
        <w:t>亿元，同比增长10.</w:t>
      </w:r>
      <w:r>
        <w:rPr>
          <w:rFonts w:hint="eastAsia" w:asciiTheme="minorEastAsia" w:hAnsiTheme="minorEastAsia" w:eastAsiaTheme="minorEastAsia" w:cstheme="minorEastAsia"/>
          <w:bCs w:val="0"/>
          <w:sz w:val="24"/>
          <w:lang w:val="en-US" w:eastAsia="zh-CN"/>
        </w:rPr>
        <w:t>9</w:t>
      </w:r>
      <w:r>
        <w:rPr>
          <w:rFonts w:hint="eastAsia" w:asciiTheme="minorEastAsia" w:hAnsiTheme="minorEastAsia" w:eastAsiaTheme="minorEastAsia" w:cstheme="minorEastAsia"/>
          <w:bCs w:val="0"/>
          <w:sz w:val="24"/>
        </w:rPr>
        <w:t>0%</w:t>
      </w:r>
      <w:r>
        <w:rPr>
          <w:rFonts w:hint="eastAsia" w:asciiTheme="minorEastAsia" w:hAnsiTheme="minorEastAsia" w:eastAsiaTheme="minorEastAsia" w:cstheme="minorEastAsia"/>
          <w:bCs w:val="0"/>
          <w:sz w:val="24"/>
          <w:lang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Theme="minorEastAsia" w:hAnsiTheme="minorEastAsia" w:eastAsiaTheme="minorEastAsia" w:cstheme="minorEastAsia"/>
          <w:bCs w:val="0"/>
          <w:sz w:val="24"/>
        </w:rPr>
      </w:pPr>
      <w:r>
        <w:rPr>
          <w:rFonts w:hint="eastAsia" w:asciiTheme="minorEastAsia" w:hAnsiTheme="minorEastAsia" w:eastAsiaTheme="minorEastAsia" w:cstheme="minorEastAsia"/>
          <w:bCs w:val="0"/>
          <w:sz w:val="24"/>
          <w:lang w:val="en-US" w:eastAsia="zh-CN"/>
        </w:rPr>
        <w:t>实现利息净收入</w:t>
      </w:r>
      <w:r>
        <w:rPr>
          <w:rFonts w:hint="eastAsia" w:asciiTheme="minorEastAsia" w:hAnsiTheme="minorEastAsia" w:eastAsiaTheme="minorEastAsia" w:cstheme="minorEastAsia"/>
          <w:bCs w:val="0"/>
          <w:sz w:val="24"/>
        </w:rPr>
        <w:t>47.</w:t>
      </w:r>
      <w:r>
        <w:rPr>
          <w:rFonts w:hint="eastAsia" w:asciiTheme="minorEastAsia" w:hAnsiTheme="minorEastAsia" w:eastAsiaTheme="minorEastAsia" w:cstheme="minorEastAsia"/>
          <w:bCs w:val="0"/>
          <w:sz w:val="24"/>
          <w:lang w:val="en-US" w:eastAsia="zh-CN"/>
        </w:rPr>
        <w:t>90</w:t>
      </w:r>
      <w:r>
        <w:rPr>
          <w:rFonts w:hint="eastAsia" w:asciiTheme="minorEastAsia" w:hAnsiTheme="minorEastAsia" w:eastAsiaTheme="minorEastAsia" w:cstheme="minorEastAsia"/>
          <w:bCs w:val="0"/>
          <w:sz w:val="24"/>
        </w:rPr>
        <w:t>亿元，</w:t>
      </w:r>
      <w:r>
        <w:rPr>
          <w:rFonts w:hint="eastAsia" w:asciiTheme="minorEastAsia" w:hAnsiTheme="minorEastAsia" w:eastAsiaTheme="minorEastAsia" w:cstheme="minorEastAsia"/>
          <w:bCs w:val="0"/>
          <w:sz w:val="24"/>
          <w:lang w:val="en-US" w:eastAsia="zh-CN"/>
        </w:rPr>
        <w:t>同比增长8.11</w:t>
      </w:r>
      <w:r>
        <w:rPr>
          <w:rFonts w:hint="eastAsia" w:asciiTheme="minorEastAsia" w:hAnsiTheme="minorEastAsia" w:eastAsiaTheme="minorEastAsia" w:cstheme="minorEastAsia"/>
          <w:bCs w:val="0"/>
          <w:sz w:val="24"/>
        </w:rPr>
        <w:t>%，主要系公司业务规模的增长带来的利息净收入所致</w:t>
      </w:r>
      <w:r>
        <w:rPr>
          <w:rFonts w:hint="eastAsia" w:asciiTheme="minorEastAsia" w:hAnsiTheme="minorEastAsia" w:eastAsiaTheme="minorEastAsia" w:cstheme="minorEastAsia"/>
          <w:bCs w:val="0"/>
          <w:sz w:val="24"/>
          <w:lang w:eastAsia="zh-CN"/>
        </w:rPr>
        <w:t>，</w:t>
      </w:r>
      <w:r>
        <w:rPr>
          <w:rFonts w:hint="eastAsia" w:asciiTheme="minorEastAsia" w:hAnsiTheme="minorEastAsia" w:eastAsiaTheme="minorEastAsia" w:cstheme="minorEastAsia"/>
          <w:bCs w:val="0"/>
          <w:sz w:val="24"/>
          <w:lang w:val="en-US" w:eastAsia="zh-CN"/>
        </w:rPr>
        <w:t>全年生息资产日均规模3,124.83亿元，同比增长13.98%，但受让利实体经济及行业竞争加剧的影响，</w:t>
      </w:r>
      <w:r>
        <w:rPr>
          <w:rFonts w:hint="eastAsia" w:asciiTheme="minorEastAsia" w:hAnsiTheme="minorEastAsia" w:eastAsiaTheme="minorEastAsia" w:cstheme="minorEastAsia"/>
          <w:bCs w:val="0"/>
          <w:sz w:val="24"/>
        </w:rPr>
        <w:t>净息差</w:t>
      </w:r>
      <w:r>
        <w:rPr>
          <w:rFonts w:hint="eastAsia" w:asciiTheme="minorEastAsia" w:hAnsiTheme="minorEastAsia" w:eastAsiaTheme="minorEastAsia" w:cstheme="minorEastAsia"/>
          <w:bCs w:val="0"/>
          <w:sz w:val="24"/>
          <w:lang w:val="en-US" w:eastAsia="zh-CN"/>
        </w:rPr>
        <w:t>为1.53%，</w:t>
      </w:r>
      <w:r>
        <w:rPr>
          <w:rFonts w:hint="eastAsia" w:asciiTheme="minorEastAsia" w:hAnsiTheme="minorEastAsia" w:eastAsiaTheme="minorEastAsia" w:cstheme="minorEastAsia"/>
          <w:bCs w:val="0"/>
          <w:sz w:val="24"/>
        </w:rPr>
        <w:t>同比</w:t>
      </w:r>
      <w:r>
        <w:rPr>
          <w:rFonts w:hint="eastAsia" w:asciiTheme="minorEastAsia" w:hAnsiTheme="minorEastAsia" w:eastAsiaTheme="minorEastAsia" w:cstheme="minorEastAsia"/>
          <w:bCs w:val="0"/>
          <w:sz w:val="24"/>
          <w:lang w:val="en-US" w:eastAsia="zh-CN"/>
        </w:rPr>
        <w:t>下</w:t>
      </w:r>
      <w:r>
        <w:rPr>
          <w:rFonts w:hint="eastAsia" w:asciiTheme="minorEastAsia" w:hAnsiTheme="minorEastAsia" w:eastAsiaTheme="minorEastAsia" w:cstheme="minorEastAsia"/>
          <w:bCs w:val="0"/>
          <w:sz w:val="24"/>
        </w:rPr>
        <w:t>降0.0</w:t>
      </w:r>
      <w:r>
        <w:rPr>
          <w:rFonts w:hint="eastAsia" w:asciiTheme="minorEastAsia" w:hAnsiTheme="minorEastAsia" w:eastAsiaTheme="minorEastAsia" w:cstheme="minorEastAsia"/>
          <w:bCs w:val="0"/>
          <w:sz w:val="24"/>
          <w:lang w:val="en-US" w:eastAsia="zh-CN"/>
        </w:rPr>
        <w:t>9</w:t>
      </w:r>
      <w:r>
        <w:rPr>
          <w:rFonts w:hint="eastAsia" w:asciiTheme="minorEastAsia" w:hAnsiTheme="minorEastAsia" w:eastAsiaTheme="minorEastAsia" w:cstheme="minorEastAsia"/>
          <w:bCs w:val="0"/>
          <w:sz w:val="24"/>
        </w:rPr>
        <w:t>个百分点。</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val="0"/>
          <w:sz w:val="24"/>
        </w:rPr>
      </w:pPr>
      <w:r>
        <w:rPr>
          <w:rFonts w:hint="eastAsia" w:asciiTheme="minorEastAsia" w:hAnsiTheme="minorEastAsia" w:eastAsiaTheme="minorEastAsia" w:cstheme="minorEastAsia"/>
          <w:bCs w:val="0"/>
          <w:sz w:val="24"/>
          <w:lang w:val="en-US" w:eastAsia="zh-CN"/>
        </w:rPr>
        <w:t>实现非息</w:t>
      </w:r>
      <w:r>
        <w:rPr>
          <w:rFonts w:hint="eastAsia" w:asciiTheme="minorEastAsia" w:hAnsiTheme="minorEastAsia" w:eastAsiaTheme="minorEastAsia" w:cstheme="minorEastAsia"/>
          <w:bCs w:val="0"/>
          <w:sz w:val="24"/>
        </w:rPr>
        <w:t>净收入11.06亿元，同比</w:t>
      </w:r>
      <w:r>
        <w:rPr>
          <w:rFonts w:hint="eastAsia" w:asciiTheme="minorEastAsia" w:hAnsiTheme="minorEastAsia" w:eastAsiaTheme="minorEastAsia" w:cstheme="minorEastAsia"/>
          <w:bCs w:val="0"/>
          <w:sz w:val="24"/>
          <w:lang w:val="en-US" w:eastAsia="zh-CN"/>
        </w:rPr>
        <w:t>增长24.88</w:t>
      </w:r>
      <w:r>
        <w:rPr>
          <w:rFonts w:hint="eastAsia" w:asciiTheme="minorEastAsia" w:hAnsiTheme="minorEastAsia" w:eastAsiaTheme="minorEastAsia" w:cstheme="minorEastAsia"/>
          <w:bCs w:val="0"/>
          <w:sz w:val="24"/>
        </w:rPr>
        <w:t>%。</w:t>
      </w:r>
    </w:p>
    <w:p>
      <w:pPr>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bCs w:val="0"/>
          <w:sz w:val="24"/>
          <w:lang w:val="en-US" w:eastAsia="zh-CN"/>
        </w:rPr>
      </w:pPr>
      <w:r>
        <w:rPr>
          <w:rFonts w:hint="eastAsia" w:asciiTheme="minorEastAsia" w:hAnsiTheme="minorEastAsia" w:eastAsiaTheme="minorEastAsia" w:cstheme="minorEastAsia"/>
          <w:bCs w:val="0"/>
          <w:sz w:val="24"/>
          <w:lang w:val="en-US" w:eastAsia="zh-CN"/>
        </w:rPr>
        <w:t>营业支出</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bCs w:val="0"/>
          <w:sz w:val="24"/>
          <w:highlight w:val="none"/>
          <w:lang w:val="en-US" w:eastAsia="zh-CN"/>
        </w:rPr>
      </w:pPr>
      <w:r>
        <w:rPr>
          <w:rFonts w:hint="eastAsia" w:asciiTheme="minorEastAsia" w:hAnsiTheme="minorEastAsia" w:eastAsiaTheme="minorEastAsia" w:cstheme="minorEastAsia"/>
          <w:bCs w:val="0"/>
          <w:sz w:val="24"/>
          <w:lang w:val="en-US" w:eastAsia="zh-CN"/>
        </w:rPr>
        <w:t>2022年，公司</w:t>
      </w:r>
      <w:r>
        <w:rPr>
          <w:rFonts w:hint="eastAsia" w:asciiTheme="minorEastAsia" w:hAnsiTheme="minorEastAsia" w:eastAsiaTheme="minorEastAsia" w:cstheme="minorEastAsia"/>
          <w:bCs w:val="0"/>
          <w:sz w:val="24"/>
        </w:rPr>
        <w:t>营业</w:t>
      </w:r>
      <w:r>
        <w:rPr>
          <w:rFonts w:hint="eastAsia" w:asciiTheme="minorEastAsia" w:hAnsiTheme="minorEastAsia" w:eastAsiaTheme="minorEastAsia" w:cstheme="minorEastAsia"/>
          <w:bCs w:val="0"/>
          <w:sz w:val="24"/>
          <w:lang w:val="en-US" w:eastAsia="zh-CN"/>
        </w:rPr>
        <w:t>支出合计34.25</w:t>
      </w:r>
      <w:r>
        <w:rPr>
          <w:rFonts w:hint="eastAsia" w:asciiTheme="minorEastAsia" w:hAnsiTheme="minorEastAsia" w:eastAsiaTheme="minorEastAsia" w:cstheme="minorEastAsia"/>
          <w:bCs w:val="0"/>
          <w:sz w:val="24"/>
        </w:rPr>
        <w:t>亿元，</w:t>
      </w:r>
      <w:r>
        <w:rPr>
          <w:rFonts w:hint="eastAsia" w:asciiTheme="minorEastAsia" w:hAnsiTheme="minorEastAsia" w:eastAsiaTheme="minorEastAsia" w:cstheme="minorEastAsia"/>
          <w:bCs w:val="0"/>
          <w:sz w:val="24"/>
          <w:highlight w:val="none"/>
        </w:rPr>
        <w:t>同比</w:t>
      </w:r>
      <w:r>
        <w:rPr>
          <w:rFonts w:hint="eastAsia" w:asciiTheme="minorEastAsia" w:hAnsiTheme="minorEastAsia" w:eastAsiaTheme="minorEastAsia" w:cstheme="minorEastAsia"/>
          <w:bCs w:val="0"/>
          <w:sz w:val="24"/>
          <w:highlight w:val="none"/>
          <w:lang w:val="en-US" w:eastAsia="zh-CN"/>
        </w:rPr>
        <w:t>增长16.21%。</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bCs w:val="0"/>
          <w:sz w:val="24"/>
        </w:rPr>
      </w:pPr>
      <w:r>
        <w:rPr>
          <w:rFonts w:hint="eastAsia" w:asciiTheme="minorEastAsia" w:hAnsiTheme="minorEastAsia" w:eastAsiaTheme="minorEastAsia" w:cstheme="minorEastAsia"/>
          <w:bCs w:val="0"/>
          <w:sz w:val="24"/>
          <w:lang w:val="en-US" w:eastAsia="zh-CN"/>
        </w:rPr>
        <w:t>2022年</w:t>
      </w:r>
      <w:r>
        <w:rPr>
          <w:rFonts w:hint="eastAsia" w:asciiTheme="minorEastAsia" w:hAnsiTheme="minorEastAsia" w:eastAsiaTheme="minorEastAsia" w:cstheme="minorEastAsia"/>
          <w:bCs w:val="0"/>
          <w:sz w:val="24"/>
        </w:rPr>
        <w:t>公司发生的业务及管理费合计</w:t>
      </w:r>
      <w:r>
        <w:rPr>
          <w:rFonts w:hint="eastAsia" w:asciiTheme="minorEastAsia" w:hAnsiTheme="minorEastAsia" w:eastAsiaTheme="minorEastAsia" w:cstheme="minorEastAsia"/>
          <w:bCs w:val="0"/>
          <w:sz w:val="24"/>
          <w:lang w:val="en-US" w:eastAsia="zh-CN"/>
        </w:rPr>
        <w:t>20.22</w:t>
      </w:r>
      <w:r>
        <w:rPr>
          <w:rFonts w:hint="eastAsia" w:asciiTheme="minorEastAsia" w:hAnsiTheme="minorEastAsia" w:eastAsiaTheme="minorEastAsia" w:cstheme="minorEastAsia"/>
          <w:bCs w:val="0"/>
          <w:sz w:val="24"/>
        </w:rPr>
        <w:t>亿元，同比</w:t>
      </w:r>
      <w:r>
        <w:rPr>
          <w:rFonts w:hint="eastAsia" w:asciiTheme="minorEastAsia" w:hAnsiTheme="minorEastAsia" w:eastAsiaTheme="minorEastAsia" w:cstheme="minorEastAsia"/>
          <w:bCs w:val="0"/>
          <w:sz w:val="24"/>
          <w:lang w:val="en-US" w:eastAsia="zh-CN"/>
        </w:rPr>
        <w:t>增长</w:t>
      </w:r>
      <w:r>
        <w:rPr>
          <w:rFonts w:hint="eastAsia" w:asciiTheme="minorEastAsia" w:hAnsiTheme="minorEastAsia" w:eastAsiaTheme="minorEastAsia" w:cstheme="minorEastAsia"/>
          <w:bCs w:val="0"/>
          <w:sz w:val="24"/>
        </w:rPr>
        <w:t>1</w:t>
      </w:r>
      <w:r>
        <w:rPr>
          <w:rFonts w:hint="eastAsia" w:asciiTheme="minorEastAsia" w:hAnsiTheme="minorEastAsia" w:eastAsiaTheme="minorEastAsia" w:cstheme="minorEastAsia"/>
          <w:bCs w:val="0"/>
          <w:sz w:val="24"/>
          <w:lang w:val="en-US" w:eastAsia="zh-CN"/>
        </w:rPr>
        <w:t>0.08</w:t>
      </w:r>
      <w:r>
        <w:rPr>
          <w:rFonts w:hint="eastAsia" w:asciiTheme="minorEastAsia" w:hAnsiTheme="minorEastAsia" w:eastAsiaTheme="minorEastAsia" w:cstheme="minorEastAsia"/>
          <w:bCs w:val="0"/>
          <w:sz w:val="24"/>
        </w:rPr>
        <w:t>%。</w:t>
      </w:r>
      <w:r>
        <w:rPr>
          <w:rFonts w:hint="eastAsia" w:asciiTheme="minorEastAsia" w:hAnsiTheme="minorEastAsia" w:eastAsiaTheme="minorEastAsia" w:cstheme="minorEastAsia"/>
          <w:bCs w:val="0"/>
          <w:sz w:val="24"/>
          <w:lang w:eastAsia="zh-CN"/>
        </w:rPr>
        <w:t>主</w:t>
      </w:r>
      <w:r>
        <w:rPr>
          <w:rFonts w:hint="eastAsia" w:asciiTheme="minorEastAsia" w:hAnsiTheme="minorEastAsia" w:eastAsiaTheme="minorEastAsia" w:cstheme="minorEastAsia"/>
          <w:bCs w:val="0"/>
          <w:sz w:val="24"/>
          <w:lang w:val="en-US" w:eastAsia="zh-CN"/>
        </w:rPr>
        <w:t>要</w:t>
      </w:r>
      <w:r>
        <w:rPr>
          <w:rFonts w:hint="eastAsia" w:asciiTheme="minorEastAsia" w:hAnsiTheme="minorEastAsia" w:eastAsiaTheme="minorEastAsia" w:cstheme="minorEastAsia"/>
          <w:bCs w:val="0"/>
          <w:sz w:val="24"/>
        </w:rPr>
        <w:t>是公司</w:t>
      </w:r>
      <w:r>
        <w:rPr>
          <w:rFonts w:hint="eastAsia" w:asciiTheme="minorEastAsia" w:hAnsiTheme="minorEastAsia" w:eastAsiaTheme="minorEastAsia" w:cstheme="minorEastAsia"/>
          <w:bCs w:val="0"/>
          <w:sz w:val="24"/>
          <w:lang w:val="en-US" w:eastAsia="zh-CN"/>
        </w:rPr>
        <w:t>持续加大转型发展步伐</w:t>
      </w:r>
      <w:r>
        <w:rPr>
          <w:rFonts w:hint="eastAsia" w:asciiTheme="minorEastAsia" w:hAnsiTheme="minorEastAsia" w:eastAsiaTheme="minorEastAsia" w:cstheme="minorEastAsia"/>
          <w:bCs w:val="0"/>
          <w:sz w:val="24"/>
        </w:rPr>
        <w:t>，集中资源加速网点建设，进一步扩大业务辐射</w:t>
      </w:r>
      <w:r>
        <w:rPr>
          <w:rFonts w:hint="eastAsia" w:asciiTheme="minorEastAsia" w:hAnsiTheme="minorEastAsia" w:eastAsiaTheme="minorEastAsia" w:cstheme="minorEastAsia"/>
          <w:bCs w:val="0"/>
          <w:sz w:val="24"/>
          <w:lang w:val="en-US" w:eastAsia="zh-CN"/>
        </w:rPr>
        <w:t>范围</w:t>
      </w:r>
      <w:r>
        <w:rPr>
          <w:rFonts w:hint="eastAsia" w:asciiTheme="minorEastAsia" w:hAnsiTheme="minorEastAsia" w:eastAsiaTheme="minorEastAsia" w:cstheme="minorEastAsia"/>
          <w:bCs w:val="0"/>
          <w:sz w:val="24"/>
        </w:rPr>
        <w:t>和阵地化经营</w:t>
      </w:r>
      <w:r>
        <w:rPr>
          <w:rFonts w:hint="eastAsia" w:asciiTheme="minorEastAsia" w:hAnsiTheme="minorEastAsia" w:eastAsiaTheme="minorEastAsia" w:cstheme="minorEastAsia"/>
          <w:bCs w:val="0"/>
          <w:sz w:val="24"/>
          <w:lang w:eastAsia="zh-CN"/>
        </w:rPr>
        <w:t>，</w:t>
      </w:r>
      <w:r>
        <w:rPr>
          <w:rFonts w:hint="eastAsia" w:asciiTheme="minorEastAsia" w:hAnsiTheme="minorEastAsia" w:eastAsiaTheme="minorEastAsia" w:cstheme="minorEastAsia"/>
          <w:bCs w:val="0"/>
          <w:sz w:val="24"/>
          <w:lang w:val="en-US" w:eastAsia="zh-CN"/>
        </w:rPr>
        <w:t>同时</w:t>
      </w:r>
      <w:r>
        <w:rPr>
          <w:rFonts w:hint="eastAsia" w:asciiTheme="minorEastAsia" w:hAnsiTheme="minorEastAsia" w:eastAsiaTheme="minorEastAsia" w:cstheme="minorEastAsia"/>
          <w:bCs w:val="0"/>
          <w:sz w:val="24"/>
        </w:rPr>
        <w:t>加大对金融科技建设、</w:t>
      </w:r>
      <w:r>
        <w:rPr>
          <w:rFonts w:hint="eastAsia" w:asciiTheme="minorEastAsia" w:hAnsiTheme="minorEastAsia" w:eastAsiaTheme="minorEastAsia" w:cstheme="minorEastAsia"/>
          <w:bCs w:val="0"/>
          <w:sz w:val="24"/>
          <w:lang w:val="en-US" w:eastAsia="zh-CN"/>
        </w:rPr>
        <w:t>人才引进及人才发展</w:t>
      </w:r>
      <w:r>
        <w:rPr>
          <w:rFonts w:hint="eastAsia" w:asciiTheme="minorEastAsia" w:hAnsiTheme="minorEastAsia" w:eastAsiaTheme="minorEastAsia" w:cstheme="minorEastAsia"/>
          <w:bCs w:val="0"/>
          <w:sz w:val="24"/>
        </w:rPr>
        <w:t>等战略</w:t>
      </w:r>
      <w:r>
        <w:rPr>
          <w:rFonts w:hint="eastAsia" w:asciiTheme="minorEastAsia" w:hAnsiTheme="minorEastAsia" w:eastAsiaTheme="minorEastAsia" w:cstheme="minorEastAsia"/>
          <w:bCs w:val="0"/>
          <w:sz w:val="24"/>
          <w:lang w:val="en-US" w:eastAsia="zh-CN"/>
        </w:rPr>
        <w:t>性</w:t>
      </w:r>
      <w:r>
        <w:rPr>
          <w:rFonts w:hint="eastAsia" w:asciiTheme="minorEastAsia" w:hAnsiTheme="minorEastAsia" w:eastAsiaTheme="minorEastAsia" w:cstheme="minorEastAsia"/>
          <w:bCs w:val="0"/>
          <w:sz w:val="24"/>
        </w:rPr>
        <w:t>的投入</w:t>
      </w:r>
      <w:r>
        <w:rPr>
          <w:rFonts w:hint="eastAsia" w:asciiTheme="minorEastAsia" w:hAnsiTheme="minorEastAsia" w:eastAsiaTheme="minorEastAsia" w:cstheme="minorEastAsia"/>
          <w:bCs w:val="0"/>
          <w:sz w:val="24"/>
          <w:lang w:eastAsia="zh-CN"/>
        </w:rPr>
        <w:t>，</w:t>
      </w:r>
      <w:r>
        <w:rPr>
          <w:rFonts w:hint="eastAsia" w:asciiTheme="minorEastAsia" w:hAnsiTheme="minorEastAsia" w:eastAsiaTheme="minorEastAsia" w:cstheme="minorEastAsia"/>
          <w:bCs w:val="0"/>
          <w:sz w:val="24"/>
          <w:lang w:val="en-US" w:eastAsia="zh-CN"/>
        </w:rPr>
        <w:t>助力战略任务执行</w:t>
      </w:r>
      <w:r>
        <w:rPr>
          <w:rFonts w:hint="eastAsia" w:asciiTheme="minorEastAsia" w:hAnsiTheme="minorEastAsia" w:eastAsiaTheme="minorEastAsia" w:cstheme="minorEastAsia"/>
          <w:bCs w:val="0"/>
          <w:sz w:val="24"/>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bCs w:val="0"/>
          <w:sz w:val="24"/>
          <w:lang w:val="en-US" w:eastAsia="zh-CN"/>
        </w:rPr>
      </w:pPr>
      <w:r>
        <w:rPr>
          <w:rFonts w:hint="eastAsia" w:asciiTheme="minorEastAsia" w:hAnsiTheme="minorEastAsia" w:eastAsiaTheme="minorEastAsia" w:cstheme="minorEastAsia"/>
          <w:bCs w:val="0"/>
          <w:sz w:val="24"/>
          <w:lang w:eastAsia="zh-CN"/>
        </w:rPr>
        <w:t>2</w:t>
      </w:r>
      <w:r>
        <w:rPr>
          <w:rFonts w:hint="eastAsia" w:asciiTheme="minorEastAsia" w:hAnsiTheme="minorEastAsia" w:eastAsiaTheme="minorEastAsia" w:cstheme="minorEastAsia"/>
          <w:bCs w:val="0"/>
          <w:sz w:val="24"/>
          <w:lang w:val="en-US" w:eastAsia="zh-CN"/>
        </w:rPr>
        <w:t>022</w:t>
      </w:r>
      <w:r>
        <w:rPr>
          <w:rFonts w:hint="eastAsia" w:asciiTheme="minorEastAsia" w:hAnsiTheme="minorEastAsia" w:eastAsiaTheme="minorEastAsia" w:cstheme="minorEastAsia"/>
          <w:bCs w:val="0"/>
          <w:sz w:val="24"/>
        </w:rPr>
        <w:t>年公司整体资产质量</w:t>
      </w:r>
      <w:r>
        <w:rPr>
          <w:rFonts w:hint="eastAsia" w:asciiTheme="minorEastAsia" w:hAnsiTheme="minorEastAsia" w:eastAsiaTheme="minorEastAsia" w:cstheme="minorEastAsia"/>
          <w:bCs w:val="0"/>
          <w:sz w:val="24"/>
          <w:lang w:val="en-US" w:eastAsia="zh-CN"/>
        </w:rPr>
        <w:t>保持</w:t>
      </w:r>
      <w:r>
        <w:rPr>
          <w:rFonts w:hint="eastAsia" w:asciiTheme="minorEastAsia" w:hAnsiTheme="minorEastAsia" w:eastAsiaTheme="minorEastAsia" w:cstheme="minorEastAsia"/>
          <w:bCs w:val="0"/>
          <w:sz w:val="24"/>
        </w:rPr>
        <w:t>良好</w:t>
      </w:r>
      <w:r>
        <w:rPr>
          <w:rFonts w:hint="eastAsia" w:asciiTheme="minorEastAsia" w:hAnsiTheme="minorEastAsia" w:eastAsiaTheme="minorEastAsia" w:cstheme="minorEastAsia"/>
          <w:bCs w:val="0"/>
          <w:sz w:val="24"/>
          <w:lang w:val="en-US" w:eastAsia="zh-CN"/>
        </w:rPr>
        <w:t>韧性</w:t>
      </w:r>
      <w:r>
        <w:rPr>
          <w:rFonts w:hint="eastAsia" w:asciiTheme="minorEastAsia" w:hAnsiTheme="minorEastAsia" w:eastAsiaTheme="minorEastAsia" w:cstheme="minorEastAsia"/>
          <w:bCs w:val="0"/>
          <w:sz w:val="24"/>
        </w:rPr>
        <w:t>，不良率持续下降</w:t>
      </w:r>
      <w:r>
        <w:rPr>
          <w:rFonts w:hint="eastAsia" w:asciiTheme="minorEastAsia" w:hAnsiTheme="minorEastAsia" w:eastAsiaTheme="minorEastAsia" w:cstheme="minorEastAsia"/>
          <w:bCs w:val="0"/>
          <w:sz w:val="24"/>
          <w:lang w:eastAsia="zh-CN"/>
        </w:rPr>
        <w:t>，</w:t>
      </w:r>
      <w:r>
        <w:rPr>
          <w:rFonts w:hint="eastAsia" w:asciiTheme="minorEastAsia" w:hAnsiTheme="minorEastAsia" w:eastAsiaTheme="minorEastAsia" w:cstheme="minorEastAsia"/>
          <w:bCs w:val="0"/>
          <w:sz w:val="24"/>
          <w:lang w:val="en-US" w:eastAsia="zh-CN"/>
        </w:rPr>
        <w:t>为保障资产质量整体稳定，公司进一步增厚应对风险的“安全垫”，</w:t>
      </w:r>
      <w:r>
        <w:rPr>
          <w:rFonts w:hint="eastAsia" w:asciiTheme="minorEastAsia" w:hAnsiTheme="minorEastAsia" w:eastAsiaTheme="minorEastAsia" w:cstheme="minorEastAsia"/>
          <w:bCs w:val="0"/>
          <w:sz w:val="24"/>
          <w:highlight w:val="none"/>
          <w:lang w:val="en-US" w:eastAsia="zh-CN"/>
        </w:rPr>
        <w:t>提高了贷款拨备覆盖水平。</w:t>
      </w:r>
      <w:r>
        <w:rPr>
          <w:rFonts w:hint="eastAsia" w:asciiTheme="minorEastAsia" w:hAnsiTheme="minorEastAsia" w:eastAsiaTheme="minorEastAsia" w:cstheme="minorEastAsia"/>
          <w:bCs w:val="0"/>
          <w:sz w:val="24"/>
          <w:lang w:val="en-US" w:eastAsia="zh-CN"/>
        </w:rPr>
        <w:t>公司</w:t>
      </w:r>
      <w:r>
        <w:rPr>
          <w:rFonts w:hint="eastAsia" w:asciiTheme="minorEastAsia" w:hAnsiTheme="minorEastAsia" w:eastAsiaTheme="minorEastAsia" w:cstheme="minorEastAsia"/>
          <w:sz w:val="24"/>
          <w:lang w:val="en-US" w:eastAsia="zh-CN"/>
        </w:rPr>
        <w:t>全年计提各类减值损失13.11亿元</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Cs w:val="0"/>
          <w:sz w:val="24"/>
          <w:lang w:val="en-US" w:eastAsia="zh-CN"/>
        </w:rPr>
        <w:t>年末</w:t>
      </w:r>
      <w:r>
        <w:rPr>
          <w:rFonts w:hint="eastAsia" w:asciiTheme="minorEastAsia" w:hAnsiTheme="minorEastAsia" w:eastAsiaTheme="minorEastAsia" w:cstheme="minorEastAsia"/>
          <w:sz w:val="24"/>
          <w:lang w:val="en-US" w:eastAsia="zh-CN"/>
        </w:rPr>
        <w:t>拨备覆盖率</w:t>
      </w:r>
      <w:r>
        <w:rPr>
          <w:rFonts w:hint="eastAsia" w:asciiTheme="minorEastAsia" w:hAnsiTheme="minorEastAsia" w:eastAsiaTheme="minorEastAsia" w:cstheme="minorEastAsia"/>
          <w:sz w:val="24"/>
        </w:rPr>
        <w:t>387.9</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比</w:t>
      </w:r>
      <w:r>
        <w:rPr>
          <w:rFonts w:hint="eastAsia" w:asciiTheme="minorEastAsia" w:hAnsiTheme="minorEastAsia" w:eastAsiaTheme="minorEastAsia" w:cstheme="minorEastAsia"/>
          <w:sz w:val="24"/>
          <w:lang w:eastAsia="zh-CN"/>
        </w:rPr>
        <w:t>上年末</w:t>
      </w:r>
      <w:r>
        <w:rPr>
          <w:rFonts w:hint="eastAsia" w:asciiTheme="minorEastAsia" w:hAnsiTheme="minorEastAsia" w:eastAsiaTheme="minorEastAsia" w:cstheme="minorEastAsia"/>
          <w:sz w:val="24"/>
        </w:rPr>
        <w:t>上升</w:t>
      </w:r>
      <w:r>
        <w:rPr>
          <w:rFonts w:hint="eastAsia" w:asciiTheme="minorEastAsia" w:hAnsiTheme="minorEastAsia" w:eastAsiaTheme="minorEastAsia" w:cstheme="minorEastAsia"/>
          <w:sz w:val="24"/>
          <w:lang w:val="en-US" w:eastAsia="zh-CN"/>
        </w:rPr>
        <w:t>17.29</w:t>
      </w:r>
      <w:r>
        <w:rPr>
          <w:rFonts w:hint="eastAsia" w:asciiTheme="minorEastAsia" w:hAnsiTheme="minorEastAsia" w:eastAsiaTheme="minorEastAsia" w:cstheme="minorEastAsia"/>
          <w:sz w:val="24"/>
        </w:rPr>
        <w:t>个百分点。</w:t>
      </w:r>
    </w:p>
    <w:p>
      <w:pPr>
        <w:keepNext w:val="0"/>
        <w:keepLines w:val="0"/>
        <w:pageBreakBefore w:val="0"/>
        <w:widowControl/>
        <w:numPr>
          <w:ilvl w:val="0"/>
          <w:numId w:val="4"/>
        </w:numPr>
        <w:kinsoku/>
        <w:wordWrap/>
        <w:overflowPunct/>
        <w:topLinePunct w:val="0"/>
        <w:autoSpaceDE/>
        <w:autoSpaceDN/>
        <w:bidi w:val="0"/>
        <w:adjustRightInd/>
        <w:snapToGrid w:val="0"/>
        <w:spacing w:line="360" w:lineRule="auto"/>
        <w:ind w:left="481" w:firstLine="0" w:firstLineChars="0"/>
        <w:jc w:val="left"/>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主要监管指标情况</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资本充足率13.76%，较上年末（16.40%）降低2.64个百分点，达到监管指标要求（</w:t>
      </w:r>
      <w:r>
        <w:rPr>
          <w:rFonts w:hint="eastAsia" w:asciiTheme="minorEastAsia" w:hAnsiTheme="minorEastAsia" w:eastAsiaTheme="minorEastAsia" w:cstheme="minorEastAsia"/>
          <w:b w:val="0"/>
          <w:bCs w:val="0"/>
          <w:sz w:val="24"/>
          <w:lang w:val="en-US" w:eastAsia="zh-CN"/>
        </w:rPr>
        <w:t>≥</w:t>
      </w:r>
      <w:r>
        <w:rPr>
          <w:rFonts w:hint="eastAsia" w:asciiTheme="minorEastAsia" w:hAnsiTheme="minorEastAsia" w:eastAsiaTheme="minorEastAsia" w:cstheme="minorEastAsia"/>
          <w:sz w:val="24"/>
          <w:lang w:val="en-US" w:eastAsia="zh-CN"/>
        </w:rPr>
        <w:t>10.5%）。</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核心一级资本充足率9.50%，较上年末（10.47%）降低0.97个百分点，达到监管指标要求（</w:t>
      </w:r>
      <w:r>
        <w:rPr>
          <w:rFonts w:hint="eastAsia" w:asciiTheme="minorEastAsia" w:hAnsiTheme="minorEastAsia" w:eastAsiaTheme="minorEastAsia" w:cstheme="minorEastAsia"/>
          <w:b w:val="0"/>
          <w:bCs w:val="0"/>
          <w:sz w:val="24"/>
          <w:lang w:val="en-US" w:eastAsia="zh-CN"/>
        </w:rPr>
        <w:t>≥</w:t>
      </w:r>
      <w:r>
        <w:rPr>
          <w:rFonts w:hint="eastAsia" w:asciiTheme="minorEastAsia" w:hAnsiTheme="minorEastAsia" w:eastAsiaTheme="minorEastAsia" w:cstheme="minorEastAsia"/>
          <w:sz w:val="24"/>
          <w:lang w:val="en-US" w:eastAsia="zh-CN"/>
        </w:rPr>
        <w:t>7.5%）。</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流动性比例75.22%，较上年末（70.43%）降低4.79个百分点，达到监管指标要求（</w:t>
      </w:r>
      <w:r>
        <w:rPr>
          <w:rFonts w:hint="eastAsia" w:asciiTheme="minorEastAsia" w:hAnsiTheme="minorEastAsia" w:eastAsiaTheme="minorEastAsia" w:cstheme="minorEastAsia"/>
          <w:b w:val="0"/>
          <w:bCs w:val="0"/>
          <w:sz w:val="24"/>
          <w:lang w:val="en-US" w:eastAsia="zh-CN"/>
        </w:rPr>
        <w:t>≥</w:t>
      </w:r>
      <w:r>
        <w:rPr>
          <w:rFonts w:hint="eastAsia" w:asciiTheme="minorEastAsia" w:hAnsiTheme="minorEastAsia" w:eastAsiaTheme="minorEastAsia" w:cstheme="minorEastAsia"/>
          <w:sz w:val="24"/>
          <w:lang w:val="en-US" w:eastAsia="zh-CN"/>
        </w:rPr>
        <w:t>25%）。</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流动性覆盖率347.74%，较上年末（203.37%）提高144.37个百分点，达到监管指标要求（</w:t>
      </w:r>
      <w:r>
        <w:rPr>
          <w:rFonts w:hint="eastAsia" w:asciiTheme="minorEastAsia" w:hAnsiTheme="minorEastAsia" w:eastAsiaTheme="minorEastAsia" w:cstheme="minorEastAsia"/>
          <w:b w:val="0"/>
          <w:bCs w:val="0"/>
          <w:sz w:val="24"/>
          <w:lang w:val="en-US" w:eastAsia="zh-CN"/>
        </w:rPr>
        <w:t>≥</w:t>
      </w:r>
      <w:r>
        <w:rPr>
          <w:rFonts w:hint="eastAsia" w:asciiTheme="minorEastAsia" w:hAnsiTheme="minorEastAsia" w:eastAsiaTheme="minorEastAsia" w:cstheme="minorEastAsia"/>
          <w:sz w:val="24"/>
          <w:lang w:val="en-US" w:eastAsia="zh-CN"/>
        </w:rPr>
        <w:t>100%）。</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净稳定资金比例111.91%，较上年末（107.21%）提高4.70个百分点，达到监管指标要求（</w:t>
      </w:r>
      <w:r>
        <w:rPr>
          <w:rFonts w:hint="eastAsia" w:asciiTheme="minorEastAsia" w:hAnsiTheme="minorEastAsia" w:eastAsiaTheme="minorEastAsia" w:cstheme="minorEastAsia"/>
          <w:b w:val="0"/>
          <w:bCs w:val="0"/>
          <w:sz w:val="24"/>
          <w:lang w:val="en-US" w:eastAsia="zh-CN"/>
        </w:rPr>
        <w:t>≥</w:t>
      </w:r>
      <w:r>
        <w:rPr>
          <w:rFonts w:hint="eastAsia" w:asciiTheme="minorEastAsia" w:hAnsiTheme="minorEastAsia" w:eastAsiaTheme="minorEastAsia" w:cstheme="minorEastAsia"/>
          <w:sz w:val="24"/>
          <w:lang w:val="en-US" w:eastAsia="zh-CN"/>
        </w:rPr>
        <w:t>100%）。</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lang w:eastAsia="zh-CN"/>
        </w:rPr>
      </w:pPr>
      <w:r>
        <w:rPr>
          <w:rFonts w:hint="eastAsia" w:asciiTheme="minorEastAsia" w:hAnsiTheme="minorEastAsia" w:eastAsiaTheme="minorEastAsia" w:cstheme="minorEastAsia"/>
          <w:sz w:val="24"/>
        </w:rPr>
        <w:t>本议案已经第八届董事会第</w:t>
      </w:r>
      <w:r>
        <w:rPr>
          <w:rFonts w:hint="eastAsia" w:asciiTheme="minorEastAsia" w:hAnsiTheme="minorEastAsia" w:eastAsiaTheme="minorEastAsia" w:cstheme="minorEastAsia"/>
          <w:sz w:val="24"/>
          <w:lang w:val="en-US" w:eastAsia="zh-CN"/>
        </w:rPr>
        <w:t>三十一</w:t>
      </w:r>
      <w:r>
        <w:rPr>
          <w:rFonts w:hint="eastAsia" w:asciiTheme="minorEastAsia" w:hAnsiTheme="minorEastAsia" w:eastAsiaTheme="minorEastAsia" w:cstheme="minorEastAsia"/>
          <w:sz w:val="24"/>
        </w:rPr>
        <w:t>次会议、第八届监事会第</w:t>
      </w:r>
      <w:r>
        <w:rPr>
          <w:rFonts w:hint="eastAsia" w:asciiTheme="minorEastAsia" w:hAnsiTheme="minorEastAsia" w:eastAsiaTheme="minorEastAsia" w:cstheme="minorEastAsia"/>
          <w:sz w:val="24"/>
          <w:lang w:val="en-US" w:eastAsia="zh-CN"/>
        </w:rPr>
        <w:t>二十</w:t>
      </w:r>
      <w:r>
        <w:rPr>
          <w:rFonts w:hint="eastAsia" w:asciiTheme="minorEastAsia" w:hAnsiTheme="minorEastAsia" w:eastAsiaTheme="minorEastAsia" w:cstheme="minorEastAsia"/>
          <w:sz w:val="24"/>
        </w:rPr>
        <w:t>次会议审议通过</w:t>
      </w:r>
      <w:r>
        <w:rPr>
          <w:rFonts w:hint="eastAsia" w:asciiTheme="minorEastAsia" w:hAnsiTheme="minorEastAsia" w:eastAsiaTheme="minorEastAsia" w:cstheme="minorEastAsia"/>
          <w:sz w:val="24"/>
          <w:lang w:eastAsia="zh-CN"/>
        </w:rPr>
        <w:t>，请各位股东审议。</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2"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5</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64384;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D1udFYVAgAARA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5</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厦门银行股份有限公司关于2022年度利润分配方案的议案</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36"/>
          <w:sz w:val="24"/>
          <w:szCs w:val="24"/>
        </w:rPr>
        <w:t>尊敬的各位</w:t>
      </w:r>
      <w:r>
        <w:rPr>
          <w:rFonts w:hint="eastAsia" w:asciiTheme="minorEastAsia" w:hAnsiTheme="minorEastAsia" w:eastAsiaTheme="minorEastAsia" w:cstheme="minorEastAsia"/>
          <w:sz w:val="24"/>
          <w:szCs w:val="24"/>
        </w:rPr>
        <w:t>股东</w:t>
      </w:r>
      <w:r>
        <w:rPr>
          <w:rFonts w:hint="eastAsia" w:asciiTheme="minorEastAsia" w:hAnsiTheme="minorEastAsia" w:eastAsiaTheme="minorEastAsia" w:cstheme="minorEastAsia"/>
          <w:bCs/>
          <w:color w:val="000000"/>
          <w:kern w:val="36"/>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rPr>
        <w:t>根据安永华明会计师事</w:t>
      </w:r>
      <w:r>
        <w:rPr>
          <w:rFonts w:hint="eastAsia" w:asciiTheme="minorEastAsia" w:hAnsiTheme="minorEastAsia" w:eastAsiaTheme="minorEastAsia" w:cstheme="minorEastAsia"/>
          <w:color w:val="auto"/>
          <w:kern w:val="0"/>
          <w:sz w:val="24"/>
          <w:szCs w:val="24"/>
          <w:highlight w:val="none"/>
        </w:rPr>
        <w:t>务所（特殊普通合伙）审定的202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年度会计报表，</w:t>
      </w:r>
      <w:r>
        <w:rPr>
          <w:rFonts w:hint="eastAsia" w:asciiTheme="minorEastAsia" w:hAnsiTheme="minorEastAsia" w:eastAsiaTheme="minorEastAsia" w:cstheme="minorEastAsia"/>
          <w:b w:val="0"/>
          <w:color w:val="auto"/>
          <w:kern w:val="0"/>
          <w:sz w:val="24"/>
          <w:szCs w:val="24"/>
          <w:highlight w:val="none"/>
          <w:lang w:val="zh-CN"/>
        </w:rPr>
        <w:t>202</w:t>
      </w:r>
      <w:r>
        <w:rPr>
          <w:rFonts w:hint="eastAsia" w:asciiTheme="minorEastAsia" w:hAnsiTheme="minorEastAsia" w:eastAsiaTheme="minorEastAsia" w:cstheme="minorEastAsia"/>
          <w:b w:val="0"/>
          <w:color w:val="auto"/>
          <w:kern w:val="0"/>
          <w:sz w:val="24"/>
          <w:szCs w:val="24"/>
          <w:highlight w:val="none"/>
          <w:lang w:val="en-US" w:eastAsia="zh-CN"/>
        </w:rPr>
        <w:t>2</w:t>
      </w:r>
      <w:r>
        <w:rPr>
          <w:rFonts w:hint="eastAsia" w:asciiTheme="minorEastAsia" w:hAnsiTheme="minorEastAsia" w:eastAsiaTheme="minorEastAsia" w:cstheme="minorEastAsia"/>
          <w:b w:val="0"/>
          <w:color w:val="auto"/>
          <w:kern w:val="0"/>
          <w:sz w:val="24"/>
          <w:szCs w:val="24"/>
          <w:highlight w:val="none"/>
          <w:lang w:val="zh-CN"/>
        </w:rPr>
        <w:t>年度</w:t>
      </w:r>
      <w:r>
        <w:rPr>
          <w:rFonts w:hint="eastAsia" w:asciiTheme="minorEastAsia" w:hAnsiTheme="minorEastAsia" w:eastAsiaTheme="minorEastAsia" w:cstheme="minorEastAsia"/>
          <w:b w:val="0"/>
          <w:color w:val="auto"/>
          <w:kern w:val="0"/>
          <w:sz w:val="24"/>
          <w:szCs w:val="24"/>
          <w:highlight w:val="none"/>
          <w:lang w:val="en-US" w:eastAsia="zh-CN"/>
        </w:rPr>
        <w:t>公司</w:t>
      </w:r>
      <w:r>
        <w:rPr>
          <w:rFonts w:hint="eastAsia" w:asciiTheme="minorEastAsia" w:hAnsiTheme="minorEastAsia" w:eastAsiaTheme="minorEastAsia" w:cstheme="minorEastAsia"/>
          <w:b w:val="0"/>
          <w:color w:val="auto"/>
          <w:kern w:val="0"/>
          <w:sz w:val="24"/>
          <w:szCs w:val="24"/>
          <w:highlight w:val="none"/>
          <w:lang w:val="zh-CN"/>
        </w:rPr>
        <w:t>实现的税后归属于母公司净利润</w:t>
      </w:r>
      <w:r>
        <w:rPr>
          <w:rFonts w:hint="eastAsia" w:asciiTheme="minorEastAsia" w:hAnsiTheme="minorEastAsia" w:eastAsiaTheme="minorEastAsia" w:cstheme="minorEastAsia"/>
          <w:b w:val="0"/>
          <w:color w:val="auto"/>
          <w:kern w:val="0"/>
          <w:sz w:val="24"/>
          <w:szCs w:val="24"/>
          <w:highlight w:val="none"/>
          <w:lang w:val="en-US" w:eastAsia="zh-CN"/>
        </w:rPr>
        <w:t>25.06</w:t>
      </w:r>
      <w:r>
        <w:rPr>
          <w:rFonts w:hint="eastAsia" w:asciiTheme="minorEastAsia" w:hAnsiTheme="minorEastAsia" w:eastAsiaTheme="minorEastAsia" w:cstheme="minorEastAsia"/>
          <w:b w:val="0"/>
          <w:color w:val="auto"/>
          <w:kern w:val="0"/>
          <w:sz w:val="24"/>
          <w:szCs w:val="24"/>
          <w:highlight w:val="none"/>
          <w:lang w:val="zh-CN"/>
        </w:rPr>
        <w:t>亿元。202</w:t>
      </w:r>
      <w:r>
        <w:rPr>
          <w:rFonts w:hint="eastAsia" w:asciiTheme="minorEastAsia" w:hAnsiTheme="minorEastAsia" w:eastAsiaTheme="minorEastAsia" w:cstheme="minorEastAsia"/>
          <w:b w:val="0"/>
          <w:color w:val="auto"/>
          <w:kern w:val="0"/>
          <w:sz w:val="24"/>
          <w:szCs w:val="24"/>
          <w:highlight w:val="none"/>
          <w:lang w:val="en-US" w:eastAsia="zh-CN"/>
        </w:rPr>
        <w:t>2</w:t>
      </w:r>
      <w:r>
        <w:rPr>
          <w:rFonts w:hint="eastAsia" w:asciiTheme="minorEastAsia" w:hAnsiTheme="minorEastAsia" w:eastAsiaTheme="minorEastAsia" w:cstheme="minorEastAsia"/>
          <w:b w:val="0"/>
          <w:color w:val="auto"/>
          <w:kern w:val="0"/>
          <w:sz w:val="24"/>
          <w:szCs w:val="24"/>
          <w:highlight w:val="none"/>
          <w:lang w:val="zh-CN"/>
        </w:rPr>
        <w:t>年初未分配利润</w:t>
      </w:r>
      <w:r>
        <w:rPr>
          <w:rFonts w:hint="eastAsia" w:asciiTheme="minorEastAsia" w:hAnsiTheme="minorEastAsia" w:eastAsiaTheme="minorEastAsia" w:cstheme="minorEastAsia"/>
          <w:b w:val="0"/>
          <w:color w:val="auto"/>
          <w:kern w:val="0"/>
          <w:sz w:val="24"/>
          <w:szCs w:val="24"/>
          <w:highlight w:val="none"/>
          <w:lang w:val="en-US" w:eastAsia="zh-CN"/>
        </w:rPr>
        <w:t>为55.85</w:t>
      </w:r>
      <w:r>
        <w:rPr>
          <w:rFonts w:hint="eastAsia" w:asciiTheme="minorEastAsia" w:hAnsiTheme="minorEastAsia" w:eastAsiaTheme="minorEastAsia" w:cstheme="minorEastAsia"/>
          <w:b w:val="0"/>
          <w:color w:val="auto"/>
          <w:kern w:val="0"/>
          <w:sz w:val="24"/>
          <w:szCs w:val="24"/>
          <w:highlight w:val="none"/>
          <w:lang w:val="zh-CN"/>
        </w:rPr>
        <w:t>亿元，</w:t>
      </w:r>
      <w:r>
        <w:rPr>
          <w:rFonts w:hint="eastAsia" w:asciiTheme="minorEastAsia" w:hAnsiTheme="minorEastAsia" w:eastAsiaTheme="minorEastAsia" w:cstheme="minorEastAsia"/>
          <w:b w:val="0"/>
          <w:color w:val="auto"/>
          <w:kern w:val="0"/>
          <w:sz w:val="24"/>
          <w:szCs w:val="24"/>
          <w:highlight w:val="none"/>
          <w:lang w:val="en-US" w:eastAsia="zh-CN"/>
        </w:rPr>
        <w:t>扣除</w:t>
      </w:r>
      <w:r>
        <w:rPr>
          <w:rFonts w:hint="eastAsia" w:asciiTheme="minorEastAsia" w:hAnsiTheme="minorEastAsia" w:eastAsiaTheme="minorEastAsia" w:cstheme="minorEastAsia"/>
          <w:b w:val="0"/>
          <w:color w:val="auto"/>
          <w:kern w:val="0"/>
          <w:sz w:val="24"/>
          <w:szCs w:val="24"/>
          <w:highlight w:val="none"/>
          <w:lang w:val="zh-CN"/>
        </w:rPr>
        <w:t>202</w:t>
      </w:r>
      <w:r>
        <w:rPr>
          <w:rFonts w:hint="eastAsia" w:asciiTheme="minorEastAsia" w:hAnsiTheme="minorEastAsia" w:eastAsiaTheme="minorEastAsia" w:cstheme="minorEastAsia"/>
          <w:b w:val="0"/>
          <w:color w:val="auto"/>
          <w:kern w:val="0"/>
          <w:sz w:val="24"/>
          <w:szCs w:val="24"/>
          <w:highlight w:val="none"/>
          <w:lang w:val="en-US" w:eastAsia="zh-CN"/>
        </w:rPr>
        <w:t>1</w:t>
      </w:r>
      <w:r>
        <w:rPr>
          <w:rFonts w:hint="eastAsia" w:asciiTheme="minorEastAsia" w:hAnsiTheme="minorEastAsia" w:eastAsiaTheme="minorEastAsia" w:cstheme="minorEastAsia"/>
          <w:b w:val="0"/>
          <w:color w:val="auto"/>
          <w:kern w:val="0"/>
          <w:sz w:val="24"/>
          <w:szCs w:val="24"/>
          <w:highlight w:val="none"/>
          <w:lang w:val="zh-CN"/>
        </w:rPr>
        <w:t>年度普通股股利</w:t>
      </w:r>
      <w:r>
        <w:rPr>
          <w:rFonts w:hint="eastAsia" w:asciiTheme="minorEastAsia" w:hAnsiTheme="minorEastAsia" w:eastAsiaTheme="minorEastAsia" w:cstheme="minorEastAsia"/>
          <w:b w:val="0"/>
          <w:color w:val="auto"/>
          <w:kern w:val="0"/>
          <w:sz w:val="24"/>
          <w:szCs w:val="24"/>
          <w:highlight w:val="none"/>
          <w:lang w:val="en-US" w:eastAsia="zh-CN"/>
        </w:rPr>
        <w:t>6.60</w:t>
      </w:r>
      <w:r>
        <w:rPr>
          <w:rFonts w:hint="eastAsia" w:asciiTheme="minorEastAsia" w:hAnsiTheme="minorEastAsia" w:eastAsiaTheme="minorEastAsia" w:cstheme="minorEastAsia"/>
          <w:b w:val="0"/>
          <w:color w:val="auto"/>
          <w:kern w:val="0"/>
          <w:sz w:val="24"/>
          <w:szCs w:val="24"/>
          <w:highlight w:val="none"/>
          <w:lang w:val="zh-CN"/>
        </w:rPr>
        <w:t>亿元及永续债利息</w:t>
      </w:r>
      <w:r>
        <w:rPr>
          <w:rFonts w:hint="eastAsia" w:asciiTheme="minorEastAsia" w:hAnsiTheme="minorEastAsia" w:eastAsiaTheme="minorEastAsia" w:cstheme="minorEastAsia"/>
          <w:b w:val="0"/>
          <w:color w:val="auto"/>
          <w:kern w:val="0"/>
          <w:sz w:val="24"/>
          <w:szCs w:val="24"/>
          <w:highlight w:val="none"/>
          <w:lang w:val="en-US" w:eastAsia="zh-CN"/>
        </w:rPr>
        <w:t>1.20</w:t>
      </w:r>
      <w:r>
        <w:rPr>
          <w:rFonts w:hint="eastAsia" w:asciiTheme="minorEastAsia" w:hAnsiTheme="minorEastAsia" w:eastAsiaTheme="minorEastAsia" w:cstheme="minorEastAsia"/>
          <w:b w:val="0"/>
          <w:color w:val="auto"/>
          <w:kern w:val="0"/>
          <w:sz w:val="24"/>
          <w:szCs w:val="24"/>
          <w:highlight w:val="none"/>
          <w:lang w:val="zh-CN"/>
        </w:rPr>
        <w:t>亿元后，本期</w:t>
      </w:r>
      <w:r>
        <w:rPr>
          <w:rFonts w:hint="eastAsia" w:asciiTheme="minorEastAsia" w:hAnsiTheme="minorEastAsia" w:eastAsiaTheme="minorEastAsia" w:cstheme="minorEastAsia"/>
          <w:b w:val="0"/>
          <w:color w:val="auto"/>
          <w:kern w:val="0"/>
          <w:sz w:val="24"/>
          <w:szCs w:val="24"/>
          <w:highlight w:val="none"/>
          <w:lang w:val="en-US" w:eastAsia="zh-CN"/>
        </w:rPr>
        <w:t>公司</w:t>
      </w:r>
      <w:r>
        <w:rPr>
          <w:rFonts w:hint="eastAsia" w:asciiTheme="minorEastAsia" w:hAnsiTheme="minorEastAsia" w:eastAsiaTheme="minorEastAsia" w:cstheme="minorEastAsia"/>
          <w:b w:val="0"/>
          <w:color w:val="auto"/>
          <w:kern w:val="0"/>
          <w:sz w:val="24"/>
          <w:szCs w:val="24"/>
          <w:highlight w:val="none"/>
          <w:lang w:val="zh-CN"/>
        </w:rPr>
        <w:t>可供分配的利润为73.</w:t>
      </w:r>
      <w:r>
        <w:rPr>
          <w:rFonts w:hint="eastAsia" w:asciiTheme="minorEastAsia" w:hAnsiTheme="minorEastAsia" w:eastAsiaTheme="minorEastAsia" w:cstheme="minorEastAsia"/>
          <w:b w:val="0"/>
          <w:color w:val="auto"/>
          <w:kern w:val="0"/>
          <w:sz w:val="24"/>
          <w:szCs w:val="24"/>
          <w:highlight w:val="none"/>
          <w:lang w:val="en-US" w:eastAsia="zh-CN"/>
        </w:rPr>
        <w:t>11</w:t>
      </w:r>
      <w:r>
        <w:rPr>
          <w:rFonts w:hint="eastAsia" w:asciiTheme="minorEastAsia" w:hAnsiTheme="minorEastAsia" w:eastAsiaTheme="minorEastAsia" w:cstheme="minorEastAsia"/>
          <w:b w:val="0"/>
          <w:color w:val="auto"/>
          <w:kern w:val="0"/>
          <w:sz w:val="24"/>
          <w:szCs w:val="24"/>
          <w:highlight w:val="none"/>
          <w:lang w:val="zh-CN"/>
        </w:rPr>
        <w:t>亿元。</w:t>
      </w:r>
      <w:r>
        <w:rPr>
          <w:rFonts w:hint="eastAsia" w:asciiTheme="minorEastAsia" w:hAnsiTheme="minorEastAsia" w:eastAsiaTheme="minorEastAsia" w:cstheme="minorEastAsia"/>
          <w:color w:val="auto"/>
          <w:kern w:val="0"/>
          <w:sz w:val="24"/>
          <w:szCs w:val="24"/>
          <w:highlight w:val="none"/>
        </w:rPr>
        <w:t>拟定利润分配方案如下：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1、提取法定盈余公积：按当年度净利润扣减以前年度亏损后余额的10%计提法定盈余公积2.42亿元。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2、提取一般准备：</w:t>
      </w:r>
      <w:r>
        <w:rPr>
          <w:rFonts w:hint="eastAsia" w:asciiTheme="minorEastAsia" w:hAnsiTheme="minorEastAsia" w:eastAsiaTheme="minorEastAsia" w:cstheme="minorEastAsia"/>
          <w:kern w:val="0"/>
          <w:sz w:val="24"/>
          <w:szCs w:val="24"/>
          <w:highlight w:val="none"/>
          <w:lang w:val="en-US" w:eastAsia="zh-CN"/>
        </w:rPr>
        <w:t>根据</w:t>
      </w:r>
      <w:r>
        <w:rPr>
          <w:rFonts w:hint="eastAsia" w:asciiTheme="minorEastAsia" w:hAnsiTheme="minorEastAsia" w:eastAsiaTheme="minorEastAsia" w:cstheme="minorEastAsia"/>
          <w:kern w:val="0"/>
          <w:sz w:val="24"/>
          <w:szCs w:val="24"/>
          <w:highlight w:val="none"/>
        </w:rPr>
        <w:t>财政部《金融企业准备金计提管理办法》（财金[2012]20号）的规定，按公司202</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年风险资产期末余额1.5%差额提取一般风险准备3.20亿</w:t>
      </w:r>
      <w:r>
        <w:rPr>
          <w:rFonts w:hint="eastAsia" w:asciiTheme="minorEastAsia" w:hAnsiTheme="minorEastAsia" w:eastAsiaTheme="minorEastAsia" w:cstheme="minorEastAsia"/>
          <w:kern w:val="0"/>
          <w:sz w:val="24"/>
          <w:szCs w:val="24"/>
          <w:highlight w:val="none"/>
          <w:lang w:val="en-US" w:eastAsia="zh-CN"/>
        </w:rPr>
        <w:t>元</w:t>
      </w:r>
      <w:r>
        <w:rPr>
          <w:rFonts w:hint="eastAsia" w:asciiTheme="minorEastAsia" w:hAnsiTheme="minorEastAsia" w:eastAsiaTheme="minorEastAsia" w:cstheme="minorEastAsia"/>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3、拟以实施权益分派股权登记日的普通股总股本为基数，按每10股派发现金股利</w:t>
      </w:r>
      <w:r>
        <w:rPr>
          <w:rFonts w:hint="eastAsia" w:asciiTheme="minorEastAsia" w:hAnsiTheme="minorEastAsia" w:eastAsiaTheme="minorEastAsia" w:cstheme="minorEastAsia"/>
          <w:kern w:val="0"/>
          <w:sz w:val="24"/>
          <w:szCs w:val="24"/>
          <w:highlight w:val="none"/>
          <w:lang w:val="en-US" w:eastAsia="zh-CN"/>
        </w:rPr>
        <w:t>2.90</w:t>
      </w:r>
      <w:r>
        <w:rPr>
          <w:rFonts w:hint="eastAsia" w:asciiTheme="minorEastAsia" w:hAnsiTheme="minorEastAsia" w:eastAsiaTheme="minorEastAsia" w:cstheme="minorEastAsia"/>
          <w:kern w:val="0"/>
          <w:sz w:val="24"/>
          <w:szCs w:val="24"/>
          <w:highlight w:val="none"/>
        </w:rPr>
        <w:t>元（含税）。截至202</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年12月31日，公司总股本2,639,127,888股，以此计算合计拟派发现金股利共计</w:t>
      </w:r>
      <w:r>
        <w:rPr>
          <w:rFonts w:hint="eastAsia" w:asciiTheme="minorEastAsia" w:hAnsiTheme="minorEastAsia" w:eastAsiaTheme="minorEastAsia" w:cstheme="minorEastAsia"/>
          <w:kern w:val="0"/>
          <w:sz w:val="24"/>
          <w:szCs w:val="24"/>
          <w:highlight w:val="none"/>
          <w:lang w:val="en-US" w:eastAsia="zh-CN"/>
        </w:rPr>
        <w:t>7.65</w:t>
      </w:r>
      <w:r>
        <w:rPr>
          <w:rFonts w:hint="eastAsia" w:asciiTheme="minorEastAsia" w:hAnsiTheme="minorEastAsia" w:eastAsiaTheme="minorEastAsia" w:cstheme="minorEastAsia"/>
          <w:kern w:val="0"/>
          <w:sz w:val="24"/>
          <w:szCs w:val="24"/>
          <w:highlight w:val="none"/>
        </w:rPr>
        <w:t>亿元（含税）。本年度公司现金分红比例为</w:t>
      </w:r>
      <w:r>
        <w:rPr>
          <w:rFonts w:hint="eastAsia" w:asciiTheme="minorEastAsia" w:hAnsiTheme="minorEastAsia" w:eastAsiaTheme="minorEastAsia" w:cstheme="minorEastAsia"/>
          <w:kern w:val="0"/>
          <w:sz w:val="24"/>
          <w:szCs w:val="24"/>
          <w:highlight w:val="none"/>
          <w:lang w:val="en-US" w:eastAsia="zh-CN"/>
        </w:rPr>
        <w:t>30.54</w:t>
      </w:r>
      <w:r>
        <w:rPr>
          <w:rFonts w:hint="eastAsia" w:asciiTheme="minorEastAsia" w:hAnsiTheme="minorEastAsia" w:eastAsiaTheme="minorEastAsia" w:cstheme="minorEastAsia"/>
          <w:kern w:val="0"/>
          <w:sz w:val="24"/>
          <w:szCs w:val="24"/>
          <w:highlight w:val="none"/>
        </w:rPr>
        <w:t>%。</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highlight w:val="none"/>
        </w:rPr>
        <w:t>4、经上述分配后，公司</w:t>
      </w:r>
      <w:r>
        <w:rPr>
          <w:rFonts w:hint="eastAsia" w:asciiTheme="minorEastAsia" w:hAnsiTheme="minorEastAsia" w:cstheme="minorEastAsia"/>
          <w:kern w:val="0"/>
          <w:sz w:val="24"/>
          <w:szCs w:val="24"/>
          <w:highlight w:val="none"/>
          <w:lang w:val="en-US" w:eastAsia="zh-CN"/>
        </w:rPr>
        <w:t>结余的</w:t>
      </w:r>
      <w:r>
        <w:rPr>
          <w:rFonts w:hint="eastAsia" w:asciiTheme="minorEastAsia" w:hAnsiTheme="minorEastAsia" w:eastAsiaTheme="minorEastAsia" w:cstheme="minorEastAsia"/>
          <w:kern w:val="0"/>
          <w:sz w:val="24"/>
          <w:szCs w:val="24"/>
          <w:highlight w:val="none"/>
        </w:rPr>
        <w:t>未分配利润为</w:t>
      </w:r>
      <w:r>
        <w:rPr>
          <w:rFonts w:hint="eastAsia" w:asciiTheme="minorEastAsia" w:hAnsiTheme="minorEastAsia" w:eastAsiaTheme="minorEastAsia" w:cstheme="minorEastAsia"/>
          <w:color w:val="auto"/>
          <w:kern w:val="0"/>
          <w:sz w:val="24"/>
          <w:szCs w:val="24"/>
          <w:highlight w:val="none"/>
          <w:lang w:val="en-US" w:eastAsia="zh-CN"/>
        </w:rPr>
        <w:t>59.83</w:t>
      </w:r>
      <w:r>
        <w:rPr>
          <w:rFonts w:hint="eastAsia" w:asciiTheme="minorEastAsia" w:hAnsiTheme="minorEastAsia" w:eastAsiaTheme="minorEastAsia" w:cstheme="minorEastAsia"/>
          <w:kern w:val="0"/>
          <w:sz w:val="24"/>
          <w:szCs w:val="24"/>
          <w:highlight w:val="none"/>
        </w:rPr>
        <w:t>亿元，结转下年度。</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本议案已经第八届董事会第</w:t>
      </w:r>
      <w:r>
        <w:rPr>
          <w:rFonts w:hint="eastAsia" w:asciiTheme="minorEastAsia" w:hAnsiTheme="minorEastAsia" w:eastAsiaTheme="minorEastAsia" w:cstheme="minorEastAsia"/>
          <w:sz w:val="24"/>
          <w:szCs w:val="24"/>
          <w:lang w:val="en-US" w:eastAsia="zh-CN"/>
        </w:rPr>
        <w:t>三十一</w:t>
      </w:r>
      <w:r>
        <w:rPr>
          <w:rFonts w:hint="eastAsia" w:asciiTheme="minorEastAsia" w:hAnsiTheme="minorEastAsia" w:eastAsiaTheme="minorEastAsia" w:cstheme="minorEastAsia"/>
          <w:sz w:val="24"/>
          <w:szCs w:val="24"/>
        </w:rPr>
        <w:t>次会议、第八届监事会第</w:t>
      </w:r>
      <w:r>
        <w:rPr>
          <w:rFonts w:hint="eastAsia" w:asciiTheme="minorEastAsia" w:hAnsiTheme="minorEastAsia" w:eastAsiaTheme="minorEastAsia" w:cstheme="minorEastAsia"/>
          <w:sz w:val="24"/>
          <w:szCs w:val="24"/>
          <w:lang w:val="en-US" w:eastAsia="zh-CN"/>
        </w:rPr>
        <w:t>二十</w:t>
      </w:r>
      <w:r>
        <w:rPr>
          <w:rFonts w:hint="eastAsia" w:asciiTheme="minorEastAsia" w:hAnsiTheme="minorEastAsia" w:eastAsiaTheme="minorEastAsia" w:cstheme="minorEastAsia"/>
          <w:sz w:val="24"/>
          <w:szCs w:val="24"/>
        </w:rPr>
        <w:t>次会议审议通过</w:t>
      </w:r>
      <w:r>
        <w:rPr>
          <w:rFonts w:hint="eastAsia" w:asciiTheme="minorEastAsia" w:hAnsiTheme="minorEastAsia" w:eastAsiaTheme="minorEastAsia" w:cstheme="minorEastAsia"/>
          <w:sz w:val="24"/>
          <w:szCs w:val="24"/>
          <w:lang w:eastAsia="zh-CN"/>
        </w:rPr>
        <w:t>，请各位股东审议</w:t>
      </w:r>
      <w:r>
        <w:rPr>
          <w:rFonts w:hint="eastAsia" w:asciiTheme="minorEastAsia" w:hAnsiTheme="minorEastAsia" w:eastAsiaTheme="minorEastAsia" w:cstheme="minorEastAsia"/>
          <w:sz w:val="24"/>
          <w:szCs w:val="24"/>
        </w:rPr>
        <w:t>。</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pPr>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pageBreakBefore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4"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6</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65408;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H9vfM0VAgAARA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6</w:t>
                      </w:r>
                    </w:p>
                  </w:txbxContent>
                </v:textbox>
              </v:shape>
            </w:pict>
          </mc:Fallback>
        </mc:AlternateContent>
      </w:r>
    </w:p>
    <w:p>
      <w:pPr>
        <w:pStyle w:val="2"/>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4"/>
          <w:szCs w:val="24"/>
        </w:rPr>
      </w:pPr>
    </w:p>
    <w:p>
      <w:pPr>
        <w:widowControl/>
        <w:spacing w:line="360" w:lineRule="auto"/>
        <w:jc w:val="both"/>
        <w:rPr>
          <w:rFonts w:hint="eastAsia" w:ascii="宋体" w:hAnsi="宋体"/>
          <w:b/>
          <w:bCs/>
          <w:color w:val="000000"/>
          <w:sz w:val="30"/>
          <w:szCs w:val="30"/>
          <w:lang w:val="en-US" w:eastAsia="zh-CN"/>
        </w:rPr>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厦门银行股份有限公司关于2023年度财务预算方案的议案</w:t>
      </w:r>
    </w:p>
    <w:p>
      <w:pPr>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Cs/>
          <w:color w:val="000000"/>
          <w:kern w:val="36"/>
          <w:sz w:val="24"/>
          <w:szCs w:val="24"/>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36"/>
          <w:sz w:val="24"/>
          <w:szCs w:val="24"/>
        </w:rPr>
        <w:t>尊敬的各位</w:t>
      </w:r>
      <w:r>
        <w:rPr>
          <w:rFonts w:hint="eastAsia" w:asciiTheme="minorEastAsia" w:hAnsiTheme="minorEastAsia" w:eastAsiaTheme="minorEastAsia" w:cstheme="minorEastAsia"/>
          <w:sz w:val="24"/>
          <w:szCs w:val="24"/>
        </w:rPr>
        <w:t>股东</w:t>
      </w:r>
      <w:r>
        <w:rPr>
          <w:rFonts w:hint="eastAsia" w:asciiTheme="minorEastAsia" w:hAnsiTheme="minorEastAsia" w:eastAsiaTheme="minorEastAsia" w:cstheme="minorEastAsia"/>
          <w:bCs/>
          <w:color w:val="000000"/>
          <w:kern w:val="36"/>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现将2023年度财务预算方案报告如下：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2023年，是贯彻落实党的二十大精神的开局之年，也是公司本轮三年战略规划的收官之年，做好今年各项工作意义重大。当前地缘政治冲突、能源危机等多因素交织叠加，国际经济环境更趋复杂严峻。国内需求收缩、供给冲击、预期转弱三重压力依然存在，市场信心和经济恢复基础尚不牢固，中小银行发展仍将面临诸多风险挑战。公司将始终坚持贯彻党的二十大精神，坚持“稳字当头、稳中求进”的工作总基调，以高质量发展为主题，以推进战略规划落地为抓手</w:t>
      </w:r>
      <w:r>
        <w:rPr>
          <w:rFonts w:hint="eastAsia" w:asciiTheme="minorEastAsia" w:hAnsiTheme="minorEastAsia" w:cstheme="minorEastAsia"/>
          <w:iCs/>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统筹兼顾量的合理增长和质的有效提升，在稳中提速提质，在进中保稳强稳，全面实现公司发展的再提升、再跨越。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2023年，疫后复苏尚存时滞，且受利率重定价及其他政策调整影响，预期银行业经营先抑后扬，公司整体发展态势也将与同业趋同。公司预计2023年全年资产规模和盈利能力将平稳增长，其中总资产规模增速为10%左右，净利润增速在10%-15%之间，公司资产质量及风险抵补能力将保持稳定，资本充足率等其他主要监管指标持续满足监管要求。为推动上述预算目标的实现，公司将着重抓好以下四方面工作：</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t>1.立足战略目标，优化经营管理体制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2023年，公司稳步推进战略规划与执行,制定关键战略任务、明确战略任务执行角色；深入挖掘与实现经营商机，深化客户体验提升，聚合客户黏性，持续推动优化建议落地；明确标准化管理要求，推动企业标准化、精细化建设。</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t>2.聚焦战略落地，加快银行转型发展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2023年，公司将立足于战略规划指引，从对公业务、零售业务、两岸金融业务、资金业务及子公司经营五大方面着手，加快推进资产业务转型升级，提升数字化的深度及广度。在有效防控风险的前提下，推动规模的稳步扩张，针对性地主动调整业务结构，以提升效益为重点，从“规模赶超”向“质量提升”迈进，做实高质量发展基础；持续强化金融产品创新和渠道拓展，丰富产品类型，不断提升综合服务及管理能力。</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t>3.精准风险防控，推动银行高质量发展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2023年，公司坚守审慎经营理念，持续强化全流程风险管理,推进风险管理智能化、数字化建设；坚定实行稳健的授信策略，通过对行业和产业链的持续跟踪和研究，进一步优化合规管理长效机制；多途径推进不良资产清收化解工作，利用数字化力量提升清收效率。</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4"/>
          <w:szCs w:val="24"/>
          <w:lang w:val="en-US" w:eastAsia="zh-CN"/>
          <w14:textFill>
            <w14:solidFill>
              <w14:schemeClr w14:val="tx1"/>
            </w14:solidFill>
          </w14:textFill>
        </w:rPr>
        <w:t>4.加强基础管理，提升内部管理质效</w:t>
      </w:r>
    </w:p>
    <w:p>
      <w:pPr>
        <w:pStyle w:val="2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Cs/>
          <w:color w:val="000000" w:themeColor="text1"/>
          <w:kern w:val="0"/>
          <w:sz w:val="24"/>
          <w:szCs w:val="24"/>
          <w:lang w:val="en-US" w:eastAsia="zh-CN"/>
          <w14:textFill>
            <w14:solidFill>
              <w14:schemeClr w14:val="tx1"/>
            </w14:solidFill>
          </w14:textFill>
        </w:rPr>
        <w:t>2023年，公司将持续加强内部基础体系建设：进一步提升公司治理水平，持续加强人才队伍和梯队建设，推进营运转型及业务智能化建设，持续增强金融科技支撑能力，推动企业精神文明建设再上新台阶，全方位助力公司经营管理能力的提升。</w:t>
      </w:r>
    </w:p>
    <w:p>
      <w:pPr>
        <w:pStyle w:val="2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pStyle w:val="2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本议案已经第八届董事会第三十次会议、第八届监事会第</w:t>
      </w:r>
      <w:r>
        <w:rPr>
          <w:rFonts w:hint="eastAsia" w:asciiTheme="minorEastAsia" w:hAnsiTheme="minorEastAsia" w:eastAsiaTheme="minorEastAsia" w:cstheme="minorEastAsia"/>
          <w:sz w:val="24"/>
          <w:szCs w:val="24"/>
          <w:lang w:val="en-US" w:eastAsia="zh-CN"/>
        </w:rPr>
        <w:t>十九</w:t>
      </w:r>
      <w:r>
        <w:rPr>
          <w:rFonts w:hint="eastAsia" w:asciiTheme="minorEastAsia" w:hAnsiTheme="minorEastAsia" w:eastAsiaTheme="minorEastAsia" w:cstheme="minorEastAsia"/>
          <w:sz w:val="24"/>
          <w:szCs w:val="24"/>
        </w:rPr>
        <w:t>次会议审议通过，请各位股东审议。</w:t>
      </w:r>
    </w:p>
    <w:p>
      <w:pPr>
        <w:pStyle w:val="2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p>
    <w:p>
      <w:pPr>
        <w:pStyle w:val="2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p>
    <w:p>
      <w:pPr>
        <w:pStyle w:val="9"/>
        <w:keepNext w:val="0"/>
        <w:keepLines w:val="0"/>
        <w:pageBreakBefore w:val="0"/>
        <w:widowControl w:val="0"/>
        <w:kinsoku/>
        <w:wordWrap/>
        <w:overflowPunct/>
        <w:topLinePunct w:val="0"/>
        <w:autoSpaceDE/>
        <w:autoSpaceDN/>
        <w:bidi w:val="0"/>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厦门银行股份有限公司</w:t>
      </w:r>
    </w:p>
    <w:p>
      <w:pPr>
        <w:pStyle w:val="9"/>
        <w:keepNext w:val="0"/>
        <w:keepLines w:val="0"/>
        <w:pageBreakBefore w:val="0"/>
        <w:widowControl w:val="0"/>
        <w:kinsoku/>
        <w:wordWrap/>
        <w:overflowPunct/>
        <w:topLinePunct w:val="0"/>
        <w:autoSpaceDE/>
        <w:autoSpaceDN/>
        <w:bidi w:val="0"/>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pPr>
        <w:widowControl/>
        <w:spacing w:line="360" w:lineRule="auto"/>
        <w:jc w:val="center"/>
        <w:rPr>
          <w:rFonts w:hint="eastAsia" w:hAnsi="宋体" w:eastAsia="宋体" w:cs="宋体"/>
          <w:sz w:val="24"/>
          <w:szCs w:val="24"/>
        </w:rPr>
      </w:pPr>
      <w:r>
        <w:rPr>
          <w:rFonts w:hint="eastAsia" w:hAnsi="宋体" w:eastAsia="宋体" w:cs="宋体"/>
          <w:sz w:val="24"/>
          <w:szCs w:val="24"/>
        </w:rP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6"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7</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66432;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H6SVA0VAgAARA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7</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厦门银行股份有限公司关于聘请2023年度会计师事务所的议案</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color w:val="000000"/>
          <w:kern w:val="36"/>
          <w:sz w:val="24"/>
        </w:rPr>
        <w:t>尊敬的各位</w:t>
      </w:r>
      <w:r>
        <w:rPr>
          <w:rFonts w:hint="eastAsia" w:asciiTheme="minorEastAsia" w:hAnsiTheme="minorEastAsia" w:eastAsiaTheme="minorEastAsia" w:cstheme="minorEastAsia"/>
          <w:sz w:val="24"/>
        </w:rPr>
        <w:t>股东</w:t>
      </w:r>
      <w:r>
        <w:rPr>
          <w:rFonts w:hint="eastAsia" w:asciiTheme="minorEastAsia" w:hAnsiTheme="minorEastAsia" w:eastAsiaTheme="minorEastAsia" w:cstheme="minorEastAsia"/>
          <w:bCs/>
          <w:color w:val="000000"/>
          <w:kern w:val="36"/>
          <w:sz w:val="24"/>
        </w:rPr>
        <w:t>：</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安永华明会计师事务所（特殊普通合伙）（下称“安永华明会计师事务所”）为符合《证券法》规定的会计师事务所，2022年度审计工作中，在专业胜任能力、投资者保护能力、诚信状况和独立性等方面能够满足为公司提供审计服务的要求。根据《国有金融企业选聘会计师事务所管理办法》及本公司章程等相关制度规定，拟续聘安永华明会计师事务所为公司2023年度财务审计及内控审计机构，聘期一年。</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年度审计费用根据审计工作量及公允合理的定价原则确定，公司拟就2023年度审计项目向安永华明会计师事务所支付的费用预计为人民币333万元（包括：年度财务报告审计费用180万元，半年度审阅费用100万元，内部控制审计费用为人民币53万元）。</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本议案已经第八届董事会第三十</w:t>
      </w:r>
      <w:r>
        <w:rPr>
          <w:rFonts w:hint="eastAsia" w:asciiTheme="minorEastAsia" w:hAnsiTheme="minorEastAsia" w:cstheme="minorEastAsia"/>
          <w:sz w:val="24"/>
          <w:lang w:val="en-US" w:eastAsia="zh-CN"/>
        </w:rPr>
        <w:t>一</w:t>
      </w:r>
      <w:r>
        <w:rPr>
          <w:rFonts w:hint="eastAsia" w:asciiTheme="minorEastAsia" w:hAnsiTheme="minorEastAsia" w:eastAsiaTheme="minorEastAsia" w:cstheme="minorEastAsia"/>
          <w:sz w:val="24"/>
        </w:rPr>
        <w:t>次会议、第八届监事会第</w:t>
      </w:r>
      <w:r>
        <w:rPr>
          <w:rFonts w:hint="eastAsia" w:asciiTheme="minorEastAsia" w:hAnsiTheme="minorEastAsia" w:cstheme="minorEastAsia"/>
          <w:sz w:val="24"/>
          <w:lang w:val="en-US" w:eastAsia="zh-CN"/>
        </w:rPr>
        <w:t>二十</w:t>
      </w:r>
      <w:r>
        <w:rPr>
          <w:rFonts w:hint="eastAsia" w:asciiTheme="minorEastAsia" w:hAnsiTheme="minorEastAsia" w:eastAsiaTheme="minorEastAsia" w:cstheme="minorEastAsia"/>
          <w:sz w:val="24"/>
        </w:rPr>
        <w:t>次会议审议通过，请各位股东审议。</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附件：拟聘任会计师事务所基本情况</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pPr>
        <w:rPr>
          <w:rFonts w:hint="eastAsia" w:hAnsi="宋体" w:eastAsia="宋体" w:cs="宋体"/>
          <w:sz w:val="24"/>
          <w:szCs w:val="24"/>
        </w:rPr>
      </w:pPr>
      <w:r>
        <w:rPr>
          <w:rFonts w:hint="eastAsia" w:hAnsi="宋体" w:eastAsia="宋体" w:cs="宋体"/>
          <w:sz w:val="24"/>
          <w:szCs w:val="24"/>
        </w:rPr>
        <w:br w:type="page"/>
      </w:r>
    </w:p>
    <w:p>
      <w:pPr>
        <w:pStyle w:val="9"/>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hAnsi="宋体" w:eastAsia="宋体" w:cs="宋体"/>
          <w:b/>
          <w:bCs/>
          <w:sz w:val="24"/>
          <w:szCs w:val="24"/>
          <w:lang w:val="en-US" w:eastAsia="zh-CN"/>
        </w:rPr>
      </w:pPr>
      <w:r>
        <w:rPr>
          <w:rFonts w:hint="eastAsia" w:hAnsi="宋体" w:eastAsia="宋体" w:cs="宋体"/>
          <w:b/>
          <w:bCs/>
          <w:sz w:val="24"/>
          <w:szCs w:val="24"/>
          <w:lang w:val="en-US" w:eastAsia="zh-CN"/>
        </w:rPr>
        <w:t>附件：</w:t>
      </w: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拟聘任会计师事务所基本情况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bCs w:val="0"/>
          <w:color w:val="000000"/>
          <w:kern w:val="36"/>
          <w:sz w:val="24"/>
          <w:szCs w:val="24"/>
          <w:lang w:val="en-US" w:eastAsia="zh-CN"/>
        </w:rPr>
      </w:pPr>
      <w:r>
        <w:rPr>
          <w:rFonts w:hint="eastAsia" w:asciiTheme="minorEastAsia" w:hAnsiTheme="minorEastAsia"/>
          <w:b/>
          <w:bCs w:val="0"/>
          <w:color w:val="000000"/>
          <w:kern w:val="36"/>
          <w:sz w:val="24"/>
          <w:szCs w:val="24"/>
          <w:lang w:val="en-US" w:eastAsia="zh-CN"/>
        </w:rPr>
        <w:t>（一）机构信息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1、基本信息。安永华明会计师事务所（特殊普通合伙）（以下简称“安永华明”），于1992年9月成立，2012年8月完成本土化转制，从一家中外合作的有限责任制事务所转制为特殊普通合伙制事务所。安永华明总部设在北京，注册地址为北京市东城区东长安街1号东方广场安永大楼17层01-12室。截至2022年末拥有合伙人229人，首席合伙人为毛鞍宁先生。安永华明一直以来注重人才培养，截至2022年末拥有执业注册会计师1818人，其中拥有证券相关业务服务经验的执业注册会计师超过1500人，注册会计师中签署过证券服务业务审计报告的注册会计师超过400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安永华明2021年度业务总收入人民币54.9亿元，其中，审计业务收入人民币52.82亿元（含证券业务收入人民币22.7亿元）。2021年度A股上市公司年报审计客户共计116家，收费总额人民币7.63亿元。这些上市公司主要行业涉及制造业、金融业、批发和零售业、信息传输、软件和信息技术服务业、房地产业等。本公司同行业上市公司审计客户20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2、投资者保护能力。安永华明具有良好的投资者保护能力，已按照相关法律法规要求计提职业风险基金和购买职业保险，保险涵盖北京总所和全部分所。已计提的职业风险基金和已购买的职业保险累计赔偿限额之和超过人民币2亿元。安永华明近三年不存在任何因与执业行为相关的民事诉讼而需承担民事责任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3、诚信记录。安永华明及从业人员近三年没有因执业行为受到任何刑事处罚、行政处罚，以及证券交易所、行业协会等自律组织的自律监管措施和纪律处分。曾两次收到证券监督管理机构出具警示函措施的决定，涉及从业人员十三人。前述出具警示函的决定属监督管理措施，并非行政处罚。根据相关法律法规的规定，该监督管理措施不影响安永华明继续承接或执行证券服务业务和其他业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bCs w:val="0"/>
          <w:color w:val="000000"/>
          <w:kern w:val="36"/>
          <w:sz w:val="24"/>
          <w:szCs w:val="24"/>
          <w:lang w:val="en-US" w:eastAsia="zh-CN"/>
        </w:rPr>
      </w:pPr>
      <w:r>
        <w:rPr>
          <w:rFonts w:hint="eastAsia" w:asciiTheme="minorEastAsia" w:hAnsiTheme="minorEastAsia"/>
          <w:b/>
          <w:bCs w:val="0"/>
          <w:color w:val="000000"/>
          <w:kern w:val="36"/>
          <w:sz w:val="24"/>
          <w:szCs w:val="24"/>
          <w:lang w:val="en-US" w:eastAsia="zh-CN"/>
        </w:rPr>
        <w:t>（二）项目信息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1、基本信息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（1）项目合伙人及签字注册会计师：昌华女士。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昌华女士，于2006年成为注册会计师，2001年开始从事上市公司审计，2001年开始在安永华明执业，2021年开始为公司提供审计服务；近三年签署或复核5家上市公司审计报告。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（2）项目质量控制复核合伙人：田志勇先生。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田志勇先生，于2013年成为注册会计师，2007年开始从事上市公司审计，2015年开始在安永华明执业，2022年开始为公司提供审计服务；近三年签署或复核4家上市公司审计报告。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（3）签字注册会计师：张力卓女士。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张力卓女士，于2018年成为注册会计师、2020年开始从事上市公司审计、2018年开始在安永华明执业、2018年开始为公司提供审计服务；近三年签署/复核1家上市公司审计报告。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2、诚信记录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上述项目合伙人、签字注册会计师、项目质量控制复核人近三年均无受到刑事处罚、行政处罚、监督管理措施、自律监管措施和纪律处分的情况。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3、独立性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安永华明及上述项目合伙人、签字注册会计师、项目质量控制复核人等不存在违反《中国注册会计师职业道德守则》对独立性要求的情形。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4、审计收费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Cs/>
          <w:color w:val="000000"/>
          <w:kern w:val="36"/>
          <w:sz w:val="24"/>
          <w:szCs w:val="24"/>
          <w:lang w:val="en-US" w:eastAsia="zh-CN"/>
        </w:rPr>
      </w:pPr>
      <w:r>
        <w:rPr>
          <w:rFonts w:hint="eastAsia" w:asciiTheme="minorEastAsia" w:hAnsiTheme="minorEastAsia"/>
          <w:bCs/>
          <w:color w:val="000000"/>
          <w:kern w:val="36"/>
          <w:sz w:val="24"/>
          <w:szCs w:val="24"/>
          <w:lang w:val="en-US" w:eastAsia="zh-CN"/>
        </w:rPr>
        <w:t>安永华明审计服务收费是按照审计工作量及公允合理的原则由双方协商确定。2023年度审计项目向安永华明支付的费用预计为人民币333万元（其中内部控制审计费用为人民币53万元）。与上一期审计费用相比未发生变化。</w:t>
      </w:r>
    </w:p>
    <w:p>
      <w:pPr>
        <w:rPr>
          <w:rFonts w:hint="eastAsia" w:asciiTheme="minorEastAsia" w:hAnsiTheme="minorEastAsia"/>
          <w:bCs/>
          <w:color w:val="000000"/>
          <w:kern w:val="36"/>
          <w:sz w:val="24"/>
          <w:szCs w:val="24"/>
          <w:lang w:val="en-US" w:eastAsia="zh-CN"/>
        </w:rPr>
      </w:pPr>
    </w:p>
    <w:p>
      <w:pPr>
        <w:rPr>
          <w:rFonts w:hint="default" w:hAnsi="宋体" w:eastAsia="宋体" w:cs="宋体"/>
          <w:sz w:val="24"/>
          <w:szCs w:val="24"/>
          <w:lang w:val="en-US" w:eastAsia="zh-CN"/>
        </w:rPr>
      </w:pPr>
      <w:r>
        <w:rPr>
          <w:rFonts w:hint="default" w:hAnsi="宋体" w:eastAsia="宋体" w:cs="宋体"/>
          <w:sz w:val="24"/>
          <w:szCs w:val="24"/>
          <w:lang w:val="en-US" w:eastAsia="zh-CN"/>
        </w:rP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11"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8</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67456;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Lnt2roVAgAARQ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eastAsia" w:ascii="宋体" w:hAnsi="宋体" w:eastAsia="宋体" w:cs="宋体"/>
                          <w:lang w:eastAsia="zh-CN"/>
                        </w:rPr>
                      </w:pPr>
                      <w:r>
                        <w:rPr>
                          <w:rFonts w:hint="eastAsia" w:ascii="宋体" w:hAnsi="宋体" w:eastAsia="宋体" w:cs="宋体"/>
                        </w:rPr>
                        <w:t>议案</w:t>
                      </w:r>
                      <w:r>
                        <w:rPr>
                          <w:rFonts w:hint="eastAsia" w:ascii="宋体" w:hAnsi="宋体" w:eastAsia="宋体" w:cs="宋体"/>
                          <w:lang w:val="en-US" w:eastAsia="zh-CN"/>
                        </w:rPr>
                        <w:t>8</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w:t>
      </w: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关于2023年度日常关联交易预计额度的议案</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color w:val="000000"/>
          <w:kern w:val="36"/>
          <w:sz w:val="24"/>
        </w:rPr>
        <w:t>尊敬的各位</w:t>
      </w:r>
      <w:r>
        <w:rPr>
          <w:rFonts w:hint="eastAsia" w:asciiTheme="minorEastAsia" w:hAnsiTheme="minorEastAsia" w:eastAsiaTheme="minorEastAsia" w:cstheme="minorEastAsia"/>
          <w:sz w:val="24"/>
        </w:rPr>
        <w:t>股东</w:t>
      </w:r>
      <w:r>
        <w:rPr>
          <w:rFonts w:hint="eastAsia" w:asciiTheme="minorEastAsia" w:hAnsiTheme="minorEastAsia" w:eastAsiaTheme="minorEastAsia" w:cstheme="minorEastAsia"/>
          <w:bCs/>
          <w:color w:val="000000"/>
          <w:kern w:val="36"/>
          <w:sz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outlineLvl w:val="1"/>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为规范厦门银行股份有限公司（以下简称“本行”或“公司”）关联交易管理，根据《上海证券交易所股票上市规则》《上海证券交易所上市公司自律监管指引第5号——交易与关联交易》及《厦门银行股份有限公司关联交易管理办法》（下称“本行关联交易管理办法”）等规定，本行对2023年度日常关联交易额度进行了合理预计，该预计额度及交易内容均基于与相关客户原有的合作基础及未来业务拓展需要，属于本行与关联方发生的银行正常经营范围内的常规业务，具体情况如下：</w:t>
      </w:r>
    </w:p>
    <w:p>
      <w:pPr>
        <w:keepNext w:val="0"/>
        <w:keepLines w:val="0"/>
        <w:pageBreakBefore w:val="0"/>
        <w:widowControl/>
        <w:kinsoku/>
        <w:wordWrap/>
        <w:overflowPunct/>
        <w:topLinePunct w:val="0"/>
        <w:autoSpaceDE/>
        <w:autoSpaceDN/>
        <w:bidi w:val="0"/>
        <w:adjustRightInd/>
        <w:snapToGrid/>
        <w:spacing w:line="360" w:lineRule="auto"/>
        <w:ind w:firstLine="482" w:firstLineChars="200"/>
        <w:outlineLvl w:val="1"/>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一、日常关联交易基本情况</w:t>
      </w:r>
    </w:p>
    <w:p>
      <w:pPr>
        <w:keepNext w:val="0"/>
        <w:keepLines w:val="0"/>
        <w:pageBreakBefore w:val="0"/>
        <w:widowControl/>
        <w:kinsoku/>
        <w:wordWrap/>
        <w:overflowPunct/>
        <w:topLinePunct w:val="0"/>
        <w:autoSpaceDE/>
        <w:autoSpaceDN/>
        <w:bidi w:val="0"/>
        <w:adjustRightInd/>
        <w:snapToGrid/>
        <w:spacing w:line="360" w:lineRule="auto"/>
        <w:ind w:firstLine="482" w:firstLineChars="200"/>
        <w:outlineLvl w:val="1"/>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（一）日常关联交易概述</w:t>
      </w:r>
    </w:p>
    <w:p>
      <w:pPr>
        <w:keepNext w:val="0"/>
        <w:keepLines w:val="0"/>
        <w:pageBreakBefore w:val="0"/>
        <w:widowControl/>
        <w:kinsoku/>
        <w:wordWrap/>
        <w:overflowPunct/>
        <w:topLinePunct w:val="0"/>
        <w:autoSpaceDE/>
        <w:autoSpaceDN/>
        <w:bidi w:val="0"/>
        <w:adjustRightInd/>
        <w:snapToGrid/>
        <w:spacing w:line="360" w:lineRule="auto"/>
        <w:ind w:firstLine="480" w:firstLineChars="200"/>
        <w:outlineLvl w:val="1"/>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本行的日常关联交易是指本行与关联方之间发生的利益转移事项，主要指在日常经营过程中与关联方发生的贷款（含贸易融资）、票据承兑和贴现、透支、债券投资、特定目的载体投资、开立信用证、保理、担保、保函、贷款承诺、证券回购、拆借以及其他实质上由本行承担信用风险的表内外业务等授信类关联交易和资产转移类、服务类、存款类等非授信业务事项，具体交易事项以监管机构规定及本行关联交易管理办法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outlineLvl w:val="1"/>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根据《商业银行集团客户授信业务风险管理指引》（中国银行业监督管理委员会令 2010年第4号）、《厦门银行股份有限公司大额风险暴露管理办法》（厦门银行授管〔2019〕1号）、《厦门银行股份有限公司关联交易管理办法》（厦门银行董〔2022〕7号），对本行大额风险暴露及关联交易上限指标明确如下：</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16"/>
        <w:gridCol w:w="1440"/>
        <w:gridCol w:w="2087"/>
        <w:gridCol w:w="735"/>
        <w:gridCol w:w="1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1" w:hRule="atLeast"/>
        </w:trPr>
        <w:tc>
          <w:tcPr>
            <w:tcW w:w="1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i w:val="0"/>
                <w:color w:val="auto"/>
                <w:kern w:val="0"/>
                <w:sz w:val="24"/>
                <w:szCs w:val="24"/>
                <w:highlight w:val="none"/>
                <w:u w:val="none"/>
                <w:lang w:val="en-US" w:eastAsia="zh-CN" w:bidi="ar"/>
              </w:rPr>
            </w:pPr>
            <w:r>
              <w:rPr>
                <w:rFonts w:hint="eastAsia" w:asciiTheme="minorEastAsia" w:hAnsiTheme="minorEastAsia" w:eastAsiaTheme="minorEastAsia" w:cstheme="minorEastAsia"/>
                <w:b/>
                <w:i w:val="0"/>
                <w:color w:val="auto"/>
                <w:kern w:val="0"/>
                <w:sz w:val="24"/>
                <w:szCs w:val="24"/>
                <w:highlight w:val="none"/>
                <w:u w:val="none"/>
                <w:lang w:val="en-US" w:eastAsia="zh-CN" w:bidi="ar"/>
              </w:rPr>
              <w:t>对象</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33"/>
                <w:rFonts w:hint="eastAsia" w:asciiTheme="minorEastAsia" w:hAnsiTheme="minorEastAsia" w:eastAsiaTheme="minorEastAsia" w:cstheme="minorEastAsia"/>
                <w:color w:val="auto"/>
                <w:sz w:val="24"/>
                <w:szCs w:val="24"/>
                <w:highlight w:val="none"/>
                <w:lang w:val="en-US" w:eastAsia="zh-CN" w:bidi="ar"/>
              </w:rPr>
            </w:pPr>
            <w:r>
              <w:rPr>
                <w:rStyle w:val="33"/>
                <w:rFonts w:hint="eastAsia" w:asciiTheme="minorEastAsia" w:hAnsiTheme="minorEastAsia" w:eastAsiaTheme="minorEastAsia" w:cstheme="minorEastAsia"/>
                <w:color w:val="auto"/>
                <w:sz w:val="24"/>
                <w:szCs w:val="24"/>
                <w:highlight w:val="none"/>
                <w:lang w:val="en-US" w:eastAsia="zh-CN" w:bidi="ar"/>
              </w:rPr>
              <w:t>指标</w:t>
            </w:r>
          </w:p>
        </w:tc>
        <w:tc>
          <w:tcPr>
            <w:tcW w:w="162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color w:val="auto"/>
                <w:kern w:val="0"/>
                <w:sz w:val="24"/>
                <w:szCs w:val="24"/>
                <w:highlight w:val="none"/>
                <w:u w:val="none"/>
                <w:lang w:val="en-US" w:eastAsia="zh-CN" w:bidi="ar"/>
              </w:rPr>
              <w:t>监管限额要求</w:t>
            </w:r>
          </w:p>
        </w:tc>
        <w:tc>
          <w:tcPr>
            <w:tcW w:w="10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color w:val="auto"/>
                <w:kern w:val="0"/>
                <w:sz w:val="24"/>
                <w:szCs w:val="24"/>
                <w:highlight w:val="none"/>
                <w:u w:val="none"/>
                <w:lang w:val="en-US" w:eastAsia="zh-CN" w:bidi="ar"/>
              </w:rPr>
              <w:t>本行上限指标</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kern w:val="0"/>
                <w:sz w:val="24"/>
                <w:szCs w:val="24"/>
                <w:highlight w:val="none"/>
                <w:u w:val="none"/>
                <w:lang w:val="en-US" w:eastAsia="zh-CN" w:bidi="ar"/>
              </w:rPr>
              <w:t>(折人民币/万元)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val="0"/>
                <w:i w:val="0"/>
                <w:color w:val="auto"/>
                <w:kern w:val="0"/>
                <w:sz w:val="24"/>
                <w:szCs w:val="24"/>
                <w:highlight w:val="none"/>
                <w:u w:val="none"/>
                <w:lang w:val="en-US" w:eastAsia="zh-CN" w:bidi="ar"/>
              </w:rPr>
            </w:pPr>
            <w:r>
              <w:rPr>
                <w:rFonts w:hint="eastAsia" w:asciiTheme="minorEastAsia" w:hAnsiTheme="minorEastAsia" w:eastAsiaTheme="minorEastAsia" w:cstheme="minorEastAsia"/>
                <w:b/>
                <w:bCs w:val="0"/>
                <w:i w:val="0"/>
                <w:color w:val="auto"/>
                <w:kern w:val="0"/>
                <w:sz w:val="24"/>
                <w:szCs w:val="24"/>
                <w:highlight w:val="none"/>
                <w:u w:val="none"/>
                <w:lang w:val="en-US" w:eastAsia="zh-CN" w:bidi="ar"/>
              </w:rPr>
              <w:t>（一）风险暴露</w:t>
            </w:r>
            <w:r>
              <w:rPr>
                <w:rStyle w:val="23"/>
                <w:rFonts w:hint="eastAsia" w:asciiTheme="minorEastAsia" w:hAnsiTheme="minorEastAsia" w:eastAsiaTheme="minorEastAsia" w:cstheme="minorEastAsia"/>
                <w:b/>
                <w:bCs w:val="0"/>
                <w:i w:val="0"/>
                <w:color w:val="auto"/>
                <w:kern w:val="0"/>
                <w:sz w:val="24"/>
                <w:szCs w:val="24"/>
                <w:highlight w:val="none"/>
                <w:u w:val="none"/>
                <w:lang w:val="en-US" w:eastAsia="zh-CN" w:bidi="ar"/>
              </w:rPr>
              <w:footnoteReference w:id="0"/>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非同业单一客户</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3"/>
                <w:rFonts w:hint="eastAsia" w:asciiTheme="minorEastAsia" w:hAnsiTheme="minorEastAsia" w:eastAsiaTheme="minorEastAsia" w:cstheme="minorEastAsia"/>
                <w:b w:val="0"/>
                <w:bCs/>
                <w:color w:val="auto"/>
                <w:sz w:val="24"/>
                <w:szCs w:val="24"/>
                <w:highlight w:val="none"/>
                <w:lang w:val="en-US" w:eastAsia="zh-CN" w:bidi="ar"/>
              </w:rPr>
              <w:t>贷款</w:t>
            </w:r>
            <w:r>
              <w:rPr>
                <w:rStyle w:val="34"/>
                <w:rFonts w:hint="eastAsia" w:asciiTheme="minorEastAsia" w:hAnsiTheme="minorEastAsia" w:eastAsiaTheme="minorEastAsia" w:cstheme="minorEastAsia"/>
                <w:b w:val="0"/>
                <w:bCs/>
                <w:color w:val="auto"/>
                <w:sz w:val="24"/>
                <w:szCs w:val="24"/>
                <w:highlight w:val="none"/>
                <w:lang w:val="en-US" w:eastAsia="zh-CN" w:bidi="ar"/>
              </w:rPr>
              <w:t>余额</w:t>
            </w:r>
          </w:p>
        </w:tc>
        <w:tc>
          <w:tcPr>
            <w:tcW w:w="162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≤资本净额10%</w:t>
            </w:r>
          </w:p>
        </w:tc>
        <w:tc>
          <w:tcPr>
            <w:tcW w:w="10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298,756.75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非同业单一客户</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风险暴露</w:t>
            </w:r>
          </w:p>
        </w:tc>
        <w:tc>
          <w:tcPr>
            <w:tcW w:w="162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5"/>
                <w:rFonts w:hint="eastAsia" w:asciiTheme="minorEastAsia" w:hAnsiTheme="minorEastAsia" w:eastAsiaTheme="minorEastAsia" w:cstheme="minorEastAsia"/>
                <w:b w:val="0"/>
                <w:bCs/>
                <w:color w:val="auto"/>
                <w:sz w:val="24"/>
                <w:szCs w:val="24"/>
                <w:highlight w:val="none"/>
                <w:lang w:val="en-US" w:eastAsia="zh-CN" w:bidi="ar"/>
              </w:rPr>
              <w:t>≤</w:t>
            </w:r>
            <w:r>
              <w:rPr>
                <w:rStyle w:val="34"/>
                <w:rFonts w:hint="eastAsia" w:asciiTheme="minorEastAsia" w:hAnsiTheme="minorEastAsia" w:eastAsiaTheme="minorEastAsia" w:cstheme="minorEastAsia"/>
                <w:b w:val="0"/>
                <w:bCs/>
                <w:color w:val="auto"/>
                <w:sz w:val="24"/>
                <w:szCs w:val="24"/>
                <w:highlight w:val="none"/>
                <w:lang w:val="en-US" w:eastAsia="zh-CN" w:bidi="ar"/>
              </w:rPr>
              <w:t>一级</w:t>
            </w:r>
            <w:r>
              <w:rPr>
                <w:rStyle w:val="35"/>
                <w:rFonts w:hint="eastAsia" w:asciiTheme="minorEastAsia" w:hAnsiTheme="minorEastAsia" w:eastAsiaTheme="minorEastAsia" w:cstheme="minorEastAsia"/>
                <w:b w:val="0"/>
                <w:bCs/>
                <w:color w:val="auto"/>
                <w:sz w:val="24"/>
                <w:szCs w:val="24"/>
                <w:highlight w:val="none"/>
                <w:lang w:val="en-US" w:eastAsia="zh-CN" w:bidi="ar"/>
              </w:rPr>
              <w:t>资本净额15%</w:t>
            </w:r>
          </w:p>
        </w:tc>
        <w:tc>
          <w:tcPr>
            <w:tcW w:w="10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342,265.96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516" w:type="pc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一组非同业关联客户</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风险暴露</w:t>
            </w:r>
          </w:p>
        </w:tc>
        <w:tc>
          <w:tcPr>
            <w:tcW w:w="1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5"/>
                <w:rFonts w:hint="eastAsia" w:asciiTheme="minorEastAsia" w:hAnsiTheme="minorEastAsia" w:eastAsiaTheme="minorEastAsia" w:cstheme="minorEastAsia"/>
                <w:b w:val="0"/>
                <w:bCs/>
                <w:color w:val="auto"/>
                <w:sz w:val="24"/>
                <w:szCs w:val="24"/>
                <w:highlight w:val="none"/>
                <w:lang w:val="en-US" w:eastAsia="zh-CN" w:bidi="ar"/>
              </w:rPr>
              <w:t>≤</w:t>
            </w:r>
            <w:r>
              <w:rPr>
                <w:rStyle w:val="34"/>
                <w:rFonts w:hint="eastAsia" w:asciiTheme="minorEastAsia" w:hAnsiTheme="minorEastAsia" w:eastAsiaTheme="minorEastAsia" w:cstheme="minorEastAsia"/>
                <w:b w:val="0"/>
                <w:bCs/>
                <w:color w:val="auto"/>
                <w:sz w:val="24"/>
                <w:szCs w:val="24"/>
                <w:highlight w:val="none"/>
                <w:lang w:val="en-US" w:eastAsia="zh-CN" w:bidi="ar"/>
              </w:rPr>
              <w:t>一级</w:t>
            </w:r>
            <w:r>
              <w:rPr>
                <w:rStyle w:val="35"/>
                <w:rFonts w:hint="eastAsia" w:asciiTheme="minorEastAsia" w:hAnsiTheme="minorEastAsia" w:eastAsiaTheme="minorEastAsia" w:cstheme="minorEastAsia"/>
                <w:b w:val="0"/>
                <w:bCs/>
                <w:color w:val="auto"/>
                <w:sz w:val="24"/>
                <w:szCs w:val="24"/>
                <w:highlight w:val="none"/>
                <w:lang w:val="en-US" w:eastAsia="zh-CN" w:bidi="ar"/>
              </w:rPr>
              <w:t>资本净额20%</w:t>
            </w:r>
          </w:p>
        </w:tc>
        <w:tc>
          <w:tcPr>
            <w:tcW w:w="351"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i w:val="0"/>
                <w:color w:val="auto"/>
                <w:sz w:val="24"/>
                <w:szCs w:val="24"/>
                <w:highlight w:val="none"/>
                <w:u w:val="none"/>
                <w:lang w:eastAsia="zh-CN"/>
              </w:rPr>
              <w:t>取孰低</w:t>
            </w:r>
          </w:p>
        </w:tc>
        <w:tc>
          <w:tcPr>
            <w:tcW w:w="1021"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448,135.13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516" w:type="pc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非同业单一集团客户</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kern w:val="2"/>
                <w:sz w:val="24"/>
                <w:szCs w:val="24"/>
                <w:highlight w:val="none"/>
                <w:u w:val="none"/>
                <w:lang w:val="en-US" w:eastAsia="zh-CN" w:bidi="ar"/>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风险暴露</w:t>
            </w:r>
          </w:p>
        </w:tc>
        <w:tc>
          <w:tcPr>
            <w:tcW w:w="1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5"/>
                <w:rFonts w:hint="eastAsia" w:asciiTheme="minorEastAsia" w:hAnsiTheme="minorEastAsia" w:eastAsiaTheme="minorEastAsia" w:cstheme="minorEastAsia"/>
                <w:b w:val="0"/>
                <w:bCs/>
                <w:color w:val="auto"/>
                <w:sz w:val="24"/>
                <w:szCs w:val="24"/>
                <w:highlight w:val="none"/>
                <w:lang w:val="en-US" w:eastAsia="zh-CN" w:bidi="ar"/>
              </w:rPr>
              <w:t>≤资本净额15%</w:t>
            </w:r>
          </w:p>
        </w:tc>
        <w:tc>
          <w:tcPr>
            <w:tcW w:w="351"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p>
        </w:tc>
        <w:tc>
          <w:tcPr>
            <w:tcW w:w="1021"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同业单一客户或集团客户</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风险暴露</w:t>
            </w:r>
          </w:p>
        </w:tc>
        <w:tc>
          <w:tcPr>
            <w:tcW w:w="162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5"/>
                <w:rFonts w:hint="eastAsia" w:asciiTheme="minorEastAsia" w:hAnsiTheme="minorEastAsia" w:eastAsiaTheme="minorEastAsia" w:cstheme="minorEastAsia"/>
                <w:b w:val="0"/>
                <w:bCs/>
                <w:color w:val="auto"/>
                <w:sz w:val="24"/>
                <w:szCs w:val="24"/>
                <w:highlight w:val="none"/>
                <w:lang w:val="en-US" w:eastAsia="zh-CN" w:bidi="ar"/>
              </w:rPr>
              <w:t>≤</w:t>
            </w:r>
            <w:r>
              <w:rPr>
                <w:rStyle w:val="34"/>
                <w:rFonts w:hint="eastAsia" w:asciiTheme="minorEastAsia" w:hAnsiTheme="minorEastAsia" w:eastAsiaTheme="minorEastAsia" w:cstheme="minorEastAsia"/>
                <w:b w:val="0"/>
                <w:bCs/>
                <w:color w:val="auto"/>
                <w:sz w:val="24"/>
                <w:szCs w:val="24"/>
                <w:highlight w:val="none"/>
                <w:lang w:val="en-US" w:eastAsia="zh-CN" w:bidi="ar"/>
              </w:rPr>
              <w:t>一级</w:t>
            </w:r>
            <w:r>
              <w:rPr>
                <w:rStyle w:val="35"/>
                <w:rFonts w:hint="eastAsia" w:asciiTheme="minorEastAsia" w:hAnsiTheme="minorEastAsia" w:eastAsiaTheme="minorEastAsia" w:cstheme="minorEastAsia"/>
                <w:b w:val="0"/>
                <w:bCs/>
                <w:color w:val="auto"/>
                <w:sz w:val="24"/>
                <w:szCs w:val="24"/>
                <w:highlight w:val="none"/>
                <w:lang w:val="en-US" w:eastAsia="zh-CN" w:bidi="ar"/>
              </w:rPr>
              <w:t>资本净额25%</w:t>
            </w:r>
          </w:p>
        </w:tc>
        <w:tc>
          <w:tcPr>
            <w:tcW w:w="10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570,443.27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val="0"/>
                <w:i w:val="0"/>
                <w:color w:val="auto"/>
                <w:kern w:val="0"/>
                <w:sz w:val="24"/>
                <w:szCs w:val="24"/>
                <w:highlight w:val="none"/>
                <w:u w:val="none"/>
                <w:lang w:val="en-US" w:eastAsia="zh-CN" w:bidi="ar"/>
              </w:rPr>
            </w:pPr>
            <w:r>
              <w:rPr>
                <w:rFonts w:hint="eastAsia" w:asciiTheme="minorEastAsia" w:hAnsiTheme="minorEastAsia" w:eastAsiaTheme="minorEastAsia" w:cstheme="minorEastAsia"/>
                <w:b/>
                <w:bCs w:val="0"/>
                <w:i w:val="0"/>
                <w:color w:val="auto"/>
                <w:kern w:val="0"/>
                <w:sz w:val="24"/>
                <w:szCs w:val="24"/>
                <w:highlight w:val="none"/>
                <w:u w:val="none"/>
                <w:lang w:val="en-US" w:eastAsia="zh-CN" w:bidi="ar"/>
              </w:rPr>
              <w:t>（二）关联交易</w:t>
            </w:r>
            <w:r>
              <w:rPr>
                <w:rStyle w:val="23"/>
                <w:rFonts w:hint="eastAsia" w:asciiTheme="minorEastAsia" w:hAnsiTheme="minorEastAsia" w:eastAsiaTheme="minorEastAsia" w:cstheme="minorEastAsia"/>
                <w:b/>
                <w:bCs w:val="0"/>
                <w:i w:val="0"/>
                <w:color w:val="auto"/>
                <w:kern w:val="0"/>
                <w:sz w:val="24"/>
                <w:szCs w:val="24"/>
                <w:highlight w:val="none"/>
                <w:u w:val="none"/>
                <w:lang w:val="en-US" w:eastAsia="zh-CN" w:bidi="ar"/>
              </w:rPr>
              <w:footnoteReference w:id="1"/>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单一关联方</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3"/>
                <w:rFonts w:hint="eastAsia" w:asciiTheme="minorEastAsia" w:hAnsiTheme="minorEastAsia" w:eastAsiaTheme="minorEastAsia" w:cstheme="minorEastAsia"/>
                <w:b w:val="0"/>
                <w:bCs/>
                <w:color w:val="auto"/>
                <w:sz w:val="24"/>
                <w:szCs w:val="24"/>
                <w:highlight w:val="none"/>
                <w:lang w:val="en-US" w:eastAsia="zh-CN" w:bidi="ar"/>
              </w:rPr>
              <w:t>授信</w:t>
            </w:r>
            <w:r>
              <w:rPr>
                <w:rStyle w:val="34"/>
                <w:rFonts w:hint="eastAsia" w:asciiTheme="minorEastAsia" w:hAnsiTheme="minorEastAsia" w:eastAsiaTheme="minorEastAsia" w:cstheme="minorEastAsia"/>
                <w:b w:val="0"/>
                <w:bCs/>
                <w:color w:val="auto"/>
                <w:sz w:val="24"/>
                <w:szCs w:val="24"/>
                <w:highlight w:val="none"/>
                <w:lang w:val="en-US" w:eastAsia="zh-CN" w:bidi="ar"/>
              </w:rPr>
              <w:t>余额敞口</w:t>
            </w:r>
          </w:p>
        </w:tc>
        <w:tc>
          <w:tcPr>
            <w:tcW w:w="162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≤资本净额10%</w:t>
            </w:r>
          </w:p>
        </w:tc>
        <w:tc>
          <w:tcPr>
            <w:tcW w:w="10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298,756.75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关联方所在集团</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3"/>
                <w:rFonts w:hint="eastAsia" w:asciiTheme="minorEastAsia" w:hAnsiTheme="minorEastAsia" w:eastAsiaTheme="minorEastAsia" w:cstheme="minorEastAsia"/>
                <w:b w:val="0"/>
                <w:bCs/>
                <w:color w:val="auto"/>
                <w:sz w:val="24"/>
                <w:szCs w:val="24"/>
                <w:highlight w:val="none"/>
                <w:lang w:val="en-US" w:eastAsia="zh-CN" w:bidi="ar"/>
              </w:rPr>
              <w:t>授信</w:t>
            </w:r>
            <w:r>
              <w:rPr>
                <w:rStyle w:val="34"/>
                <w:rFonts w:hint="eastAsia" w:asciiTheme="minorEastAsia" w:hAnsiTheme="minorEastAsia" w:eastAsiaTheme="minorEastAsia" w:cstheme="minorEastAsia"/>
                <w:b w:val="0"/>
                <w:bCs/>
                <w:color w:val="auto"/>
                <w:sz w:val="24"/>
                <w:szCs w:val="24"/>
                <w:highlight w:val="none"/>
                <w:lang w:val="en-US" w:eastAsia="zh-CN" w:bidi="ar"/>
              </w:rPr>
              <w:t>余额敞口</w:t>
            </w:r>
          </w:p>
        </w:tc>
        <w:tc>
          <w:tcPr>
            <w:tcW w:w="162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≤资本净额15%</w:t>
            </w:r>
          </w:p>
        </w:tc>
        <w:tc>
          <w:tcPr>
            <w:tcW w:w="10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448,135.13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全部关联方</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Style w:val="33"/>
                <w:rFonts w:hint="eastAsia" w:asciiTheme="minorEastAsia" w:hAnsiTheme="minorEastAsia" w:eastAsiaTheme="minorEastAsia" w:cstheme="minorEastAsia"/>
                <w:b w:val="0"/>
                <w:bCs/>
                <w:color w:val="auto"/>
                <w:sz w:val="24"/>
                <w:szCs w:val="24"/>
                <w:highlight w:val="none"/>
                <w:lang w:val="en-US" w:eastAsia="zh-CN" w:bidi="ar"/>
              </w:rPr>
              <w:t>授信</w:t>
            </w:r>
            <w:r>
              <w:rPr>
                <w:rStyle w:val="34"/>
                <w:rFonts w:hint="eastAsia" w:asciiTheme="minorEastAsia" w:hAnsiTheme="minorEastAsia" w:eastAsiaTheme="minorEastAsia" w:cstheme="minorEastAsia"/>
                <w:b w:val="0"/>
                <w:bCs/>
                <w:color w:val="auto"/>
                <w:sz w:val="24"/>
                <w:szCs w:val="24"/>
                <w:highlight w:val="none"/>
                <w:lang w:val="en-US" w:eastAsia="zh-CN" w:bidi="ar"/>
              </w:rPr>
              <w:t>余额敞口</w:t>
            </w:r>
          </w:p>
        </w:tc>
        <w:tc>
          <w:tcPr>
            <w:tcW w:w="162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auto"/>
                <w:sz w:val="24"/>
                <w:szCs w:val="24"/>
                <w:highlight w:val="none"/>
                <w:u w:val="non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≤资本净额50%</w:t>
            </w:r>
          </w:p>
        </w:tc>
        <w:tc>
          <w:tcPr>
            <w:tcW w:w="10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1,493,783.76</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outlineLvl w:val="1"/>
        <w:rPr>
          <w:rFonts w:hint="eastAsia" w:asciiTheme="minorEastAsia" w:hAnsiTheme="minorEastAsia" w:eastAsiaTheme="minorEastAsia" w:cstheme="minorEastAsia"/>
          <w:b w:val="0"/>
          <w:bCs w:val="0"/>
          <w:sz w:val="24"/>
          <w:szCs w:val="24"/>
          <w:highlight w:val="none"/>
          <w:lang w:val="en-US" w:eastAsia="zh-CN"/>
        </w:rPr>
      </w:pPr>
    </w:p>
    <w:p>
      <w:pPr>
        <w:numPr>
          <w:ilvl w:val="0"/>
          <w:numId w:val="7"/>
        </w:numPr>
        <w:adjustRightInd w:val="0"/>
        <w:snapToGrid w:val="0"/>
        <w:spacing w:line="360" w:lineRule="auto"/>
        <w:ind w:firstLine="482" w:firstLineChars="200"/>
        <w:rPr>
          <w:rFonts w:hint="eastAsia" w:asciiTheme="minorEastAsia" w:hAnsiTheme="minorEastAsia" w:eastAsiaTheme="minorEastAsia" w:cstheme="minorEastAsia"/>
          <w:b/>
          <w:bCs/>
          <w:color w:val="FF0000"/>
          <w:sz w:val="24"/>
          <w:highlight w:val="none"/>
        </w:rPr>
      </w:pPr>
      <w:r>
        <w:rPr>
          <w:rFonts w:hint="eastAsia" w:asciiTheme="minorEastAsia" w:hAnsiTheme="minorEastAsia" w:eastAsiaTheme="minorEastAsia" w:cstheme="minorEastAsia"/>
          <w:b/>
          <w:bCs/>
          <w:sz w:val="24"/>
          <w:highlight w:val="none"/>
        </w:rPr>
        <w:t>前次日常关联交易的预计和执行情况</w:t>
      </w:r>
    </w:p>
    <w:p>
      <w:pPr>
        <w:numPr>
          <w:ilvl w:val="-1"/>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日，本行2021年度股东大会审议通过《厦门银行股份有限公司关于20</w:t>
      </w:r>
      <w:r>
        <w:rPr>
          <w:rFonts w:hint="eastAsia" w:asciiTheme="minorEastAsia" w:hAnsiTheme="minorEastAsia" w:eastAsiaTheme="minorEastAsia" w:cstheme="minorEastAsia"/>
          <w:sz w:val="24"/>
          <w:highlight w:val="none"/>
          <w:lang w:val="en-US" w:eastAsia="zh-CN"/>
        </w:rPr>
        <w:t>22</w:t>
      </w:r>
      <w:r>
        <w:rPr>
          <w:rFonts w:hint="eastAsia" w:asciiTheme="minorEastAsia" w:hAnsiTheme="minorEastAsia" w:eastAsiaTheme="minorEastAsia" w:cstheme="minorEastAsia"/>
          <w:sz w:val="24"/>
          <w:highlight w:val="none"/>
        </w:rPr>
        <w:t>年度日常关联交易预计额度的议案》，批准20</w:t>
      </w:r>
      <w:r>
        <w:rPr>
          <w:rFonts w:hint="eastAsia" w:asciiTheme="minorEastAsia" w:hAnsiTheme="minorEastAsia" w:eastAsiaTheme="minorEastAsia" w:cstheme="minorEastAsia"/>
          <w:sz w:val="24"/>
          <w:highlight w:val="none"/>
          <w:lang w:val="en-US" w:eastAsia="zh-CN"/>
        </w:rPr>
        <w:t>22</w:t>
      </w:r>
      <w:r>
        <w:rPr>
          <w:rFonts w:hint="eastAsia" w:asciiTheme="minorEastAsia" w:hAnsiTheme="minorEastAsia" w:eastAsiaTheme="minorEastAsia" w:cstheme="minorEastAsia"/>
          <w:sz w:val="24"/>
          <w:highlight w:val="none"/>
        </w:rPr>
        <w:t>年度预计日常关联交易额度。截至20</w:t>
      </w:r>
      <w:r>
        <w:rPr>
          <w:rFonts w:hint="eastAsia" w:asciiTheme="minorEastAsia" w:hAnsiTheme="minorEastAsia" w:eastAsiaTheme="minorEastAsia" w:cstheme="minorEastAsia"/>
          <w:sz w:val="24"/>
          <w:highlight w:val="none"/>
          <w:lang w:val="en-US" w:eastAsia="zh-CN"/>
        </w:rPr>
        <w:t>22</w:t>
      </w:r>
      <w:r>
        <w:rPr>
          <w:rFonts w:hint="eastAsia" w:asciiTheme="minorEastAsia" w:hAnsiTheme="minorEastAsia" w:eastAsiaTheme="minorEastAsia" w:cstheme="minorEastAsia"/>
          <w:sz w:val="24"/>
          <w:highlight w:val="none"/>
        </w:rPr>
        <w:t>年12月31日，前次预计日常关联交易执行情况见下表。</w:t>
      </w:r>
    </w:p>
    <w:p>
      <w:pPr>
        <w:numPr>
          <w:ilvl w:val="-1"/>
          <w:numId w:val="0"/>
        </w:numPr>
        <w:adjustRightInd w:val="0"/>
        <w:snapToGrid w:val="0"/>
        <w:spacing w:line="360" w:lineRule="auto"/>
        <w:ind w:firstLine="480" w:firstLineChars="200"/>
        <w:jc w:val="righ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币种：人民币</w:t>
      </w:r>
    </w:p>
    <w:tbl>
      <w:tblPr>
        <w:tblStyle w:val="17"/>
        <w:tblW w:w="4997" w:type="pct"/>
        <w:tblInd w:w="0" w:type="dxa"/>
        <w:tblLayout w:type="autofit"/>
        <w:tblCellMar>
          <w:top w:w="0" w:type="dxa"/>
          <w:left w:w="0" w:type="dxa"/>
          <w:bottom w:w="0" w:type="dxa"/>
          <w:right w:w="0" w:type="dxa"/>
        </w:tblCellMar>
      </w:tblPr>
      <w:tblGrid>
        <w:gridCol w:w="501"/>
        <w:gridCol w:w="900"/>
        <w:gridCol w:w="1314"/>
        <w:gridCol w:w="1508"/>
        <w:gridCol w:w="1645"/>
        <w:gridCol w:w="1334"/>
        <w:gridCol w:w="1464"/>
      </w:tblGrid>
      <w:tr>
        <w:tblPrEx>
          <w:tblCellMar>
            <w:top w:w="0" w:type="dxa"/>
            <w:left w:w="0" w:type="dxa"/>
            <w:bottom w:w="0" w:type="dxa"/>
            <w:right w:w="0" w:type="dxa"/>
          </w:tblCellMar>
        </w:tblPrEx>
        <w:trPr>
          <w:trHeight w:val="470" w:hRule="atLeast"/>
        </w:trPr>
        <w:tc>
          <w:tcPr>
            <w:tcW w:w="28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kern w:val="0"/>
                <w:sz w:val="24"/>
                <w:szCs w:val="24"/>
                <w:highlight w:val="none"/>
                <w:lang w:bidi="ar"/>
              </w:rPr>
              <w:t>序号</w:t>
            </w:r>
          </w:p>
        </w:tc>
        <w:tc>
          <w:tcPr>
            <w:tcW w:w="1277" w:type="pct"/>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kern w:val="0"/>
                <w:sz w:val="24"/>
                <w:szCs w:val="24"/>
                <w:highlight w:val="none"/>
                <w:lang w:bidi="ar"/>
              </w:rPr>
              <w:t>关联方</w:t>
            </w:r>
          </w:p>
        </w:tc>
        <w:tc>
          <w:tcPr>
            <w:tcW w:w="870"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4"/>
                <w:szCs w:val="24"/>
                <w:highlight w:val="none"/>
                <w:lang w:bidi="ar"/>
              </w:rPr>
            </w:pPr>
            <w:r>
              <w:rPr>
                <w:rFonts w:hint="eastAsia" w:asciiTheme="minorEastAsia" w:hAnsiTheme="minorEastAsia" w:eastAsiaTheme="minorEastAsia" w:cstheme="minorEastAsia"/>
                <w:b/>
                <w:color w:val="000000"/>
                <w:kern w:val="0"/>
                <w:sz w:val="24"/>
                <w:szCs w:val="24"/>
                <w:highlight w:val="none"/>
                <w:lang w:bidi="ar"/>
              </w:rPr>
              <w:t>2022年</w:t>
            </w:r>
          </w:p>
          <w:p>
            <w:pPr>
              <w:widowControl/>
              <w:jc w:val="center"/>
              <w:textAlignment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kern w:val="0"/>
                <w:sz w:val="24"/>
                <w:szCs w:val="24"/>
                <w:highlight w:val="none"/>
                <w:lang w:bidi="ar"/>
              </w:rPr>
              <w:t>预计额度</w:t>
            </w:r>
          </w:p>
        </w:tc>
        <w:tc>
          <w:tcPr>
            <w:tcW w:w="94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4"/>
                <w:szCs w:val="24"/>
                <w:highlight w:val="none"/>
                <w:lang w:bidi="ar"/>
              </w:rPr>
            </w:pPr>
            <w:r>
              <w:rPr>
                <w:rFonts w:hint="eastAsia" w:asciiTheme="minorEastAsia" w:hAnsiTheme="minorEastAsia" w:eastAsiaTheme="minorEastAsia" w:cstheme="minorEastAsia"/>
                <w:b/>
                <w:color w:val="000000"/>
                <w:kern w:val="0"/>
                <w:sz w:val="24"/>
                <w:szCs w:val="24"/>
                <w:highlight w:val="none"/>
                <w:lang w:bidi="ar"/>
              </w:rPr>
              <w:t>2022年</w:t>
            </w:r>
          </w:p>
          <w:p>
            <w:pPr>
              <w:widowControl/>
              <w:jc w:val="center"/>
              <w:textAlignment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kern w:val="0"/>
                <w:sz w:val="24"/>
                <w:szCs w:val="24"/>
                <w:highlight w:val="none"/>
                <w:lang w:bidi="ar"/>
              </w:rPr>
              <w:t>预计额度的业务品种</w:t>
            </w:r>
          </w:p>
        </w:tc>
        <w:tc>
          <w:tcPr>
            <w:tcW w:w="161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4"/>
                <w:szCs w:val="24"/>
                <w:highlight w:val="none"/>
                <w:lang w:bidi="ar"/>
              </w:rPr>
            </w:pPr>
            <w:r>
              <w:rPr>
                <w:rFonts w:hint="eastAsia" w:asciiTheme="minorEastAsia" w:hAnsiTheme="minorEastAsia" w:eastAsiaTheme="minorEastAsia" w:cstheme="minorEastAsia"/>
                <w:b/>
                <w:color w:val="000000"/>
                <w:kern w:val="0"/>
                <w:sz w:val="24"/>
                <w:szCs w:val="24"/>
                <w:highlight w:val="none"/>
                <w:lang w:bidi="ar"/>
              </w:rPr>
              <w:t>截止</w:t>
            </w:r>
            <w:r>
              <w:rPr>
                <w:rStyle w:val="36"/>
                <w:rFonts w:hint="eastAsia" w:asciiTheme="minorEastAsia" w:hAnsiTheme="minorEastAsia" w:eastAsiaTheme="minorEastAsia" w:cstheme="minorEastAsia"/>
                <w:sz w:val="24"/>
                <w:szCs w:val="24"/>
                <w:highlight w:val="none"/>
                <w:lang w:bidi="ar"/>
              </w:rPr>
              <w:t>202</w:t>
            </w:r>
            <w:r>
              <w:rPr>
                <w:rStyle w:val="36"/>
                <w:rFonts w:hint="eastAsia" w:asciiTheme="minorEastAsia" w:hAnsiTheme="minorEastAsia" w:eastAsiaTheme="minorEastAsia" w:cstheme="minorEastAsia"/>
                <w:sz w:val="24"/>
                <w:szCs w:val="24"/>
                <w:highlight w:val="none"/>
                <w:lang w:val="en-US" w:eastAsia="zh-CN" w:bidi="ar"/>
              </w:rPr>
              <w:t>2</w:t>
            </w:r>
            <w:r>
              <w:rPr>
                <w:rFonts w:hint="eastAsia" w:asciiTheme="minorEastAsia" w:hAnsiTheme="minorEastAsia" w:eastAsiaTheme="minorEastAsia" w:cstheme="minorEastAsia"/>
                <w:b/>
                <w:color w:val="000000"/>
                <w:kern w:val="0"/>
                <w:sz w:val="24"/>
                <w:szCs w:val="24"/>
                <w:highlight w:val="none"/>
                <w:lang w:bidi="ar"/>
              </w:rPr>
              <w:t>年12月末关联交易情况</w:t>
            </w:r>
          </w:p>
        </w:tc>
      </w:tr>
      <w:tr>
        <w:tblPrEx>
          <w:tblCellMar>
            <w:top w:w="0" w:type="dxa"/>
            <w:left w:w="0" w:type="dxa"/>
            <w:bottom w:w="0" w:type="dxa"/>
            <w:right w:w="0" w:type="dxa"/>
          </w:tblCellMar>
        </w:tblPrEx>
        <w:trPr>
          <w:trHeight w:val="470" w:hRule="atLeast"/>
        </w:trPr>
        <w:tc>
          <w:tcPr>
            <w:tcW w:w="28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4"/>
                <w:szCs w:val="24"/>
                <w:highlight w:val="none"/>
              </w:rPr>
            </w:pPr>
          </w:p>
        </w:tc>
        <w:tc>
          <w:tcPr>
            <w:tcW w:w="1277" w:type="pct"/>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4"/>
                <w:szCs w:val="24"/>
                <w:highlight w:val="none"/>
              </w:rPr>
            </w:pPr>
          </w:p>
        </w:tc>
        <w:tc>
          <w:tcPr>
            <w:tcW w:w="870"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4"/>
                <w:szCs w:val="24"/>
                <w:highlight w:val="none"/>
              </w:rPr>
            </w:pPr>
          </w:p>
        </w:tc>
        <w:tc>
          <w:tcPr>
            <w:tcW w:w="94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4"/>
                <w:szCs w:val="24"/>
                <w:highlight w:val="none"/>
              </w:rPr>
            </w:pP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4"/>
                <w:szCs w:val="24"/>
                <w:highlight w:val="none"/>
                <w:lang w:val="en-US" w:eastAsia="zh-CN" w:bidi="ar"/>
              </w:rPr>
            </w:pPr>
            <w:r>
              <w:rPr>
                <w:rFonts w:hint="eastAsia" w:asciiTheme="minorEastAsia" w:hAnsiTheme="minorEastAsia" w:eastAsiaTheme="minorEastAsia" w:cstheme="minorEastAsia"/>
                <w:b/>
                <w:color w:val="000000"/>
                <w:kern w:val="0"/>
                <w:sz w:val="24"/>
                <w:szCs w:val="24"/>
                <w:highlight w:val="none"/>
                <w:lang w:val="en-US" w:eastAsia="zh-CN" w:bidi="ar"/>
              </w:rPr>
              <w:t>获批情况</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4"/>
                <w:szCs w:val="24"/>
                <w:highlight w:val="none"/>
                <w:lang w:val="en-US" w:eastAsia="zh-CN" w:bidi="ar"/>
              </w:rPr>
            </w:pPr>
            <w:r>
              <w:rPr>
                <w:rFonts w:hint="eastAsia" w:asciiTheme="minorEastAsia" w:hAnsiTheme="minorEastAsia" w:eastAsiaTheme="minorEastAsia" w:cstheme="minorEastAsia"/>
                <w:b/>
                <w:color w:val="000000"/>
                <w:kern w:val="0"/>
                <w:sz w:val="24"/>
                <w:szCs w:val="24"/>
                <w:highlight w:val="none"/>
                <w:lang w:val="en-US" w:eastAsia="zh-CN" w:bidi="ar"/>
              </w:rPr>
              <w:t>额度使用情况</w:t>
            </w:r>
          </w:p>
        </w:tc>
      </w:tr>
      <w:tr>
        <w:tblPrEx>
          <w:tblCellMar>
            <w:top w:w="0" w:type="dxa"/>
            <w:left w:w="0" w:type="dxa"/>
            <w:bottom w:w="0" w:type="dxa"/>
            <w:right w:w="0" w:type="dxa"/>
          </w:tblCellMar>
        </w:tblPrEx>
        <w:trPr>
          <w:trHeight w:val="540" w:hRule="atLeast"/>
        </w:trPr>
        <w:tc>
          <w:tcPr>
            <w:tcW w:w="28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w:t>
            </w:r>
          </w:p>
        </w:tc>
        <w:tc>
          <w:tcPr>
            <w:tcW w:w="51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富邦金融控股股份有限公司及其关联方</w:t>
            </w:r>
            <w:r>
              <w:rPr>
                <w:rStyle w:val="23"/>
                <w:rFonts w:hint="eastAsia" w:asciiTheme="minorEastAsia" w:hAnsiTheme="minorEastAsia" w:eastAsiaTheme="minorEastAsia" w:cstheme="minorEastAsia"/>
                <w:color w:val="000000"/>
                <w:kern w:val="0"/>
                <w:sz w:val="24"/>
                <w:szCs w:val="24"/>
                <w:highlight w:val="none"/>
                <w:lang w:bidi="ar"/>
              </w:rPr>
              <w:footnoteReference w:id="2"/>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富邦华一银行有限公司</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同业授信额度2</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主要用于同业授信、同业交易等业务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eastAsia="zh-CN" w:bidi="ar"/>
              </w:rPr>
              <w:t>同业授信额度</w:t>
            </w:r>
            <w:r>
              <w:rPr>
                <w:rFonts w:hint="eastAsia" w:asciiTheme="minorEastAsia" w:hAnsiTheme="minorEastAsia" w:eastAsiaTheme="minorEastAsia" w:cstheme="minorEastAsia"/>
                <w:color w:val="000000"/>
                <w:kern w:val="0"/>
                <w:sz w:val="24"/>
                <w:szCs w:val="24"/>
                <w:highlight w:val="none"/>
                <w:lang w:val="en-US" w:eastAsia="zh-CN" w:bidi="ar"/>
              </w:rPr>
              <w:t>20亿元（敞口9亿元）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授信</w:t>
            </w:r>
            <w:r>
              <w:rPr>
                <w:rFonts w:hint="eastAsia" w:asciiTheme="minorEastAsia" w:hAnsiTheme="minorEastAsia" w:eastAsiaTheme="minorEastAsia" w:cstheme="minorEastAsia"/>
                <w:color w:val="000000"/>
                <w:kern w:val="0"/>
                <w:sz w:val="24"/>
                <w:szCs w:val="24"/>
                <w:highlight w:val="none"/>
                <w:lang w:eastAsia="zh-CN" w:bidi="ar"/>
              </w:rPr>
              <w:t>余额</w:t>
            </w:r>
            <w:r>
              <w:rPr>
                <w:rFonts w:hint="eastAsia" w:asciiTheme="minorEastAsia" w:hAnsiTheme="minorEastAsia" w:eastAsiaTheme="minorEastAsia" w:cstheme="minorEastAsia"/>
                <w:color w:val="000000"/>
                <w:kern w:val="0"/>
                <w:sz w:val="24"/>
                <w:szCs w:val="24"/>
                <w:highlight w:val="none"/>
                <w:lang w:val="en-US" w:eastAsia="zh-CN" w:bidi="ar"/>
              </w:rPr>
              <w:t>为0</w:t>
            </w:r>
          </w:p>
        </w:tc>
      </w:tr>
      <w:tr>
        <w:tblPrEx>
          <w:tblCellMar>
            <w:top w:w="0" w:type="dxa"/>
            <w:left w:w="0" w:type="dxa"/>
            <w:bottom w:w="0" w:type="dxa"/>
            <w:right w:w="0" w:type="dxa"/>
          </w:tblCellMar>
        </w:tblPrEx>
        <w:trPr>
          <w:trHeight w:val="540" w:hRule="atLeast"/>
        </w:trPr>
        <w:tc>
          <w:tcPr>
            <w:tcW w:w="28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highlight w:val="none"/>
              </w:rPr>
            </w:pPr>
          </w:p>
        </w:tc>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highlight w:val="none"/>
              </w:rPr>
            </w:pP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台北富邦商业银行股份有限公司</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同业授信额度2</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主要用于同业授信、同业交易等业务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eastAsia="zh-CN" w:bidi="ar"/>
              </w:rPr>
              <w:t>同业授信额度</w:t>
            </w:r>
            <w:r>
              <w:rPr>
                <w:rFonts w:hint="eastAsia" w:asciiTheme="minorEastAsia" w:hAnsiTheme="minorEastAsia" w:eastAsiaTheme="minorEastAsia" w:cstheme="minorEastAsia"/>
                <w:color w:val="000000"/>
                <w:kern w:val="0"/>
                <w:sz w:val="24"/>
                <w:szCs w:val="24"/>
                <w:highlight w:val="none"/>
                <w:lang w:val="en-US" w:eastAsia="zh-CN" w:bidi="ar"/>
              </w:rPr>
              <w:t>20亿元（敞口10亿元）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授信</w:t>
            </w:r>
            <w:r>
              <w:rPr>
                <w:rFonts w:hint="eastAsia" w:asciiTheme="minorEastAsia" w:hAnsiTheme="minorEastAsia" w:eastAsiaTheme="minorEastAsia" w:cstheme="minorEastAsia"/>
                <w:color w:val="000000"/>
                <w:kern w:val="0"/>
                <w:sz w:val="24"/>
                <w:szCs w:val="24"/>
                <w:highlight w:val="none"/>
                <w:lang w:eastAsia="zh-CN" w:bidi="ar"/>
              </w:rPr>
              <w:t>余额</w:t>
            </w:r>
            <w:r>
              <w:rPr>
                <w:rFonts w:hint="eastAsia" w:asciiTheme="minorEastAsia" w:hAnsiTheme="minorEastAsia" w:eastAsiaTheme="minorEastAsia" w:cstheme="minorEastAsia"/>
                <w:color w:val="000000"/>
                <w:kern w:val="0"/>
                <w:sz w:val="24"/>
                <w:szCs w:val="24"/>
                <w:highlight w:val="none"/>
                <w:lang w:val="en-US" w:eastAsia="zh-CN" w:bidi="ar"/>
              </w:rPr>
              <w:t>为0</w:t>
            </w:r>
          </w:p>
        </w:tc>
      </w:tr>
      <w:tr>
        <w:tblPrEx>
          <w:tblCellMar>
            <w:top w:w="0" w:type="dxa"/>
            <w:left w:w="0" w:type="dxa"/>
            <w:bottom w:w="0" w:type="dxa"/>
            <w:right w:w="0" w:type="dxa"/>
          </w:tblCellMar>
        </w:tblPrEx>
        <w:trPr>
          <w:trHeight w:val="540" w:hRule="atLeast"/>
        </w:trPr>
        <w:tc>
          <w:tcPr>
            <w:tcW w:w="28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highlight w:val="none"/>
              </w:rPr>
            </w:pPr>
          </w:p>
        </w:tc>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highlight w:val="none"/>
              </w:rPr>
            </w:pP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富邦银行（香港）有限公司</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同业授信额度20亿元（敞口10亿元）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主要用于同业授信、同业交易等业务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eastAsia="zh-CN" w:bidi="ar"/>
              </w:rPr>
              <w:t>同业授信额度</w:t>
            </w:r>
            <w:r>
              <w:rPr>
                <w:rFonts w:hint="eastAsia" w:asciiTheme="minorEastAsia" w:hAnsiTheme="minorEastAsia" w:eastAsiaTheme="minorEastAsia" w:cstheme="minorEastAsia"/>
                <w:color w:val="000000"/>
                <w:kern w:val="0"/>
                <w:sz w:val="24"/>
                <w:szCs w:val="24"/>
                <w:highlight w:val="none"/>
                <w:lang w:val="en-US" w:eastAsia="zh-CN" w:bidi="ar"/>
              </w:rPr>
              <w:t>20亿元（敞口10亿元）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授信</w:t>
            </w:r>
            <w:r>
              <w:rPr>
                <w:rFonts w:hint="eastAsia" w:asciiTheme="minorEastAsia" w:hAnsiTheme="minorEastAsia" w:eastAsiaTheme="minorEastAsia" w:cstheme="minorEastAsia"/>
                <w:color w:val="000000"/>
                <w:kern w:val="0"/>
                <w:sz w:val="24"/>
                <w:szCs w:val="24"/>
                <w:highlight w:val="none"/>
                <w:lang w:eastAsia="zh-CN" w:bidi="ar"/>
              </w:rPr>
              <w:t>余额</w:t>
            </w:r>
            <w:r>
              <w:rPr>
                <w:rFonts w:hint="eastAsia" w:asciiTheme="minorEastAsia" w:hAnsiTheme="minorEastAsia" w:eastAsiaTheme="minorEastAsia" w:cstheme="minorEastAsia"/>
                <w:color w:val="000000"/>
                <w:kern w:val="0"/>
                <w:sz w:val="24"/>
                <w:szCs w:val="24"/>
                <w:highlight w:val="none"/>
                <w:lang w:val="en-US" w:eastAsia="zh-CN" w:bidi="ar"/>
              </w:rPr>
              <w:t>为0</w:t>
            </w:r>
          </w:p>
        </w:tc>
      </w:tr>
      <w:tr>
        <w:tblPrEx>
          <w:tblCellMar>
            <w:top w:w="0" w:type="dxa"/>
            <w:left w:w="0" w:type="dxa"/>
            <w:bottom w:w="0" w:type="dxa"/>
            <w:right w:w="0" w:type="dxa"/>
          </w:tblCellMar>
        </w:tblPrEx>
        <w:trPr>
          <w:trHeight w:val="540" w:hRule="atLeast"/>
        </w:trPr>
        <w:tc>
          <w:tcPr>
            <w:tcW w:w="28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highlight w:val="none"/>
              </w:rPr>
            </w:pPr>
          </w:p>
        </w:tc>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highlight w:val="none"/>
              </w:rPr>
            </w:pP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日盛国际商业银行股份有限公司</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同业授信额度</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亿元（敞口</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主要用于同业授信、同业交易等业务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eastAsia="zh-CN" w:bidi="ar"/>
              </w:rPr>
              <w:t>同业授信额度</w:t>
            </w:r>
            <w:r>
              <w:rPr>
                <w:rFonts w:hint="eastAsia" w:asciiTheme="minorEastAsia" w:hAnsiTheme="minorEastAsia" w:eastAsiaTheme="minorEastAsia" w:cstheme="minorEastAsia"/>
                <w:color w:val="000000"/>
                <w:kern w:val="0"/>
                <w:sz w:val="24"/>
                <w:szCs w:val="24"/>
                <w:highlight w:val="none"/>
                <w:lang w:val="en-US" w:eastAsia="zh-CN" w:bidi="ar"/>
              </w:rPr>
              <w:t>5亿元（敞口5亿元）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授信</w:t>
            </w:r>
            <w:r>
              <w:rPr>
                <w:rFonts w:hint="eastAsia" w:asciiTheme="minorEastAsia" w:hAnsiTheme="minorEastAsia" w:eastAsiaTheme="minorEastAsia" w:cstheme="minorEastAsia"/>
                <w:color w:val="000000"/>
                <w:kern w:val="0"/>
                <w:sz w:val="24"/>
                <w:szCs w:val="24"/>
                <w:highlight w:val="none"/>
                <w:lang w:eastAsia="zh-CN" w:bidi="ar"/>
              </w:rPr>
              <w:t>余额</w:t>
            </w:r>
            <w:r>
              <w:rPr>
                <w:rFonts w:hint="eastAsia" w:asciiTheme="minorEastAsia" w:hAnsiTheme="minorEastAsia" w:eastAsiaTheme="minorEastAsia" w:cstheme="minorEastAsia"/>
                <w:color w:val="000000"/>
                <w:kern w:val="0"/>
                <w:sz w:val="24"/>
                <w:szCs w:val="24"/>
                <w:highlight w:val="none"/>
                <w:lang w:val="en-US" w:eastAsia="zh-CN" w:bidi="ar"/>
              </w:rPr>
              <w:t>为0</w:t>
            </w:r>
          </w:p>
        </w:tc>
      </w:tr>
      <w:tr>
        <w:tblPrEx>
          <w:tblCellMar>
            <w:top w:w="0" w:type="dxa"/>
            <w:left w:w="0" w:type="dxa"/>
            <w:bottom w:w="0" w:type="dxa"/>
            <w:right w:w="0" w:type="dxa"/>
          </w:tblCellMar>
        </w:tblPrEx>
        <w:trPr>
          <w:trHeight w:val="27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2</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平顶山银行股份有限公司</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同业授信额度13亿元（敞口3亿元）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主要用于同业授信、同业交易等业务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eastAsia="zh-CN" w:bidi="ar"/>
              </w:rPr>
              <w:t>同业授信额度</w:t>
            </w:r>
            <w:r>
              <w:rPr>
                <w:rFonts w:hint="eastAsia" w:asciiTheme="minorEastAsia" w:hAnsiTheme="minorEastAsia" w:eastAsiaTheme="minorEastAsia" w:cstheme="minorEastAsia"/>
                <w:color w:val="000000"/>
                <w:kern w:val="0"/>
                <w:sz w:val="24"/>
                <w:szCs w:val="24"/>
                <w:highlight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授信</w:t>
            </w:r>
            <w:r>
              <w:rPr>
                <w:rFonts w:hint="eastAsia" w:asciiTheme="minorEastAsia" w:hAnsiTheme="minorEastAsia" w:eastAsiaTheme="minorEastAsia" w:cstheme="minorEastAsia"/>
                <w:color w:val="000000"/>
                <w:kern w:val="0"/>
                <w:sz w:val="24"/>
                <w:szCs w:val="24"/>
                <w:highlight w:val="none"/>
                <w:lang w:eastAsia="zh-CN" w:bidi="ar"/>
              </w:rPr>
              <w:t>余额</w:t>
            </w:r>
            <w:r>
              <w:rPr>
                <w:rFonts w:hint="eastAsia" w:asciiTheme="minorEastAsia" w:hAnsiTheme="minorEastAsia" w:eastAsiaTheme="minorEastAsia" w:cstheme="minorEastAsia"/>
                <w:color w:val="000000"/>
                <w:kern w:val="0"/>
                <w:sz w:val="24"/>
                <w:szCs w:val="24"/>
                <w:highlight w:val="none"/>
                <w:lang w:val="en-US" w:eastAsia="zh-CN" w:bidi="ar"/>
              </w:rPr>
              <w:t>为0</w:t>
            </w:r>
          </w:p>
        </w:tc>
      </w:tr>
      <w:tr>
        <w:tblPrEx>
          <w:tblCellMar>
            <w:top w:w="0" w:type="dxa"/>
            <w:left w:w="0" w:type="dxa"/>
            <w:bottom w:w="0" w:type="dxa"/>
            <w:right w:w="0" w:type="dxa"/>
          </w:tblCellMar>
        </w:tblPrEx>
        <w:trPr>
          <w:trHeight w:val="51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3</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福建七匹狼集团有限公司及其关联方</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授信额度</w:t>
            </w:r>
            <w:r>
              <w:rPr>
                <w:rFonts w:hint="eastAsia" w:asciiTheme="minorEastAsia" w:hAnsiTheme="minorEastAsia" w:eastAsiaTheme="minorEastAsia" w:cstheme="minorEastAsia"/>
                <w:color w:val="000000"/>
                <w:kern w:val="0"/>
                <w:sz w:val="24"/>
                <w:szCs w:val="24"/>
                <w:highlight w:val="none"/>
                <w:lang w:val="en-US" w:eastAsia="zh-CN" w:bidi="ar"/>
              </w:rPr>
              <w:t>12.4</w:t>
            </w:r>
            <w:r>
              <w:rPr>
                <w:rFonts w:hint="eastAsia" w:asciiTheme="minorEastAsia" w:hAnsiTheme="minorEastAsia" w:eastAsiaTheme="minorEastAsia" w:cstheme="minorEastAsia"/>
                <w:color w:val="000000"/>
                <w:kern w:val="0"/>
                <w:sz w:val="24"/>
                <w:szCs w:val="24"/>
                <w:highlight w:val="none"/>
                <w:lang w:bidi="ar"/>
              </w:rPr>
              <w:t>亿（敞口</w:t>
            </w:r>
            <w:r>
              <w:rPr>
                <w:rFonts w:hint="eastAsia" w:asciiTheme="minorEastAsia" w:hAnsiTheme="minorEastAsia" w:eastAsiaTheme="minorEastAsia" w:cstheme="minorEastAsia"/>
                <w:color w:val="000000"/>
                <w:kern w:val="0"/>
                <w:sz w:val="24"/>
                <w:szCs w:val="24"/>
                <w:highlight w:val="none"/>
                <w:lang w:val="en-US" w:eastAsia="zh-CN" w:bidi="ar"/>
              </w:rPr>
              <w:t>8.5</w:t>
            </w:r>
            <w:r>
              <w:rPr>
                <w:rFonts w:hint="eastAsia" w:asciiTheme="minorEastAsia" w:hAnsiTheme="minorEastAsia" w:eastAsiaTheme="minorEastAsia" w:cstheme="minorEastAsia"/>
                <w:color w:val="000000"/>
                <w:kern w:val="0"/>
                <w:sz w:val="24"/>
                <w:szCs w:val="24"/>
                <w:highlight w:val="none"/>
                <w:lang w:bidi="ar"/>
              </w:rPr>
              <w:t>亿</w:t>
            </w:r>
            <w:r>
              <w:rPr>
                <w:rFonts w:hint="eastAsia" w:asciiTheme="minorEastAsia" w:hAnsiTheme="minorEastAsia" w:eastAsiaTheme="minorEastAsia" w:cstheme="minorEastAsia"/>
                <w:color w:val="000000"/>
                <w:kern w:val="0"/>
                <w:sz w:val="24"/>
                <w:szCs w:val="24"/>
                <w:highlight w:val="none"/>
                <w:lang w:val="en-US" w:eastAsia="zh-CN" w:bidi="ar"/>
              </w:rPr>
              <w:t>元</w:t>
            </w:r>
            <w:r>
              <w:rPr>
                <w:rFonts w:hint="eastAsia" w:asciiTheme="minorEastAsia" w:hAnsiTheme="minorEastAsia" w:eastAsiaTheme="minorEastAsia" w:cstheme="minorEastAsia"/>
                <w:color w:val="000000"/>
                <w:kern w:val="0"/>
                <w:sz w:val="24"/>
                <w:szCs w:val="24"/>
                <w:highlight w:val="none"/>
                <w:lang w:bidi="ar"/>
              </w:rPr>
              <w:t>）</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主要用于同业授信、债券投资、传统授信业务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综合授信额度8亿元（敞口5.59亿元）+低风险授信额度2亿元（敞口0.09亿元））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债券投资余额1亿元（敞口1亿元），传统授信余额3.30亿元（敞口3.30亿元）</w:t>
            </w:r>
          </w:p>
        </w:tc>
      </w:tr>
      <w:tr>
        <w:tblPrEx>
          <w:tblCellMar>
            <w:top w:w="0" w:type="dxa"/>
            <w:left w:w="0" w:type="dxa"/>
            <w:bottom w:w="0" w:type="dxa"/>
            <w:right w:w="0" w:type="dxa"/>
          </w:tblCellMar>
        </w:tblPrEx>
        <w:trPr>
          <w:trHeight w:val="51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4</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大洲控股集团有限公司及其关联方</w:t>
            </w:r>
          </w:p>
        </w:tc>
        <w:tc>
          <w:tcPr>
            <w:tcW w:w="870"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授信额度</w:t>
            </w:r>
            <w:r>
              <w:rPr>
                <w:rFonts w:hint="eastAsia" w:asciiTheme="minorEastAsia" w:hAnsiTheme="minorEastAsia" w:eastAsiaTheme="minorEastAsia" w:cstheme="minorEastAsia"/>
                <w:color w:val="000000"/>
                <w:kern w:val="0"/>
                <w:sz w:val="24"/>
                <w:szCs w:val="24"/>
                <w:highlight w:val="none"/>
                <w:lang w:val="en-US" w:eastAsia="zh-CN" w:bidi="ar"/>
              </w:rPr>
              <w:t>8</w:t>
            </w:r>
            <w:r>
              <w:rPr>
                <w:rFonts w:hint="eastAsia" w:asciiTheme="minorEastAsia" w:hAnsiTheme="minorEastAsia" w:eastAsiaTheme="minorEastAsia" w:cstheme="minorEastAsia"/>
                <w:color w:val="000000"/>
                <w:kern w:val="0"/>
                <w:sz w:val="24"/>
                <w:szCs w:val="24"/>
                <w:highlight w:val="none"/>
                <w:lang w:bidi="ar"/>
              </w:rPr>
              <w:t>亿元（敞口额度</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主要用于传统授信业务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val="en-US" w:bidi="ar"/>
              </w:rPr>
            </w:pPr>
            <w:r>
              <w:rPr>
                <w:rFonts w:hint="eastAsia" w:asciiTheme="minorEastAsia" w:hAnsiTheme="minorEastAsia" w:eastAsiaTheme="minorEastAsia" w:cstheme="minorEastAsia"/>
                <w:color w:val="auto"/>
                <w:kern w:val="0"/>
                <w:sz w:val="24"/>
                <w:szCs w:val="24"/>
                <w:highlight w:val="none"/>
                <w:lang w:val="en-US" w:eastAsia="zh-CN" w:bidi="ar"/>
              </w:rPr>
              <w:t>综合授信额度4亿元（敞口4亿元）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授信余额2.18亿元（敞口2.15亿元）</w:t>
            </w:r>
          </w:p>
        </w:tc>
      </w:tr>
      <w:tr>
        <w:tblPrEx>
          <w:tblCellMar>
            <w:top w:w="0" w:type="dxa"/>
            <w:left w:w="0" w:type="dxa"/>
            <w:bottom w:w="0" w:type="dxa"/>
            <w:right w:w="0" w:type="dxa"/>
          </w:tblCellMar>
        </w:tblPrEx>
        <w:trPr>
          <w:trHeight w:val="765"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5</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厦门金圆投资集团有限公司及其关联方</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授信额度4</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亿元+他用担保额度20亿元（敞口3</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主要用于传统授信、他用担保额度、同业授信、同业交易、债券投资等业务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授信额度4</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亿元（敞口3</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亿元）+他用担保额度20亿元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val="en-US" w:eastAsia="zh-CN" w:bidi="ar"/>
              </w:rPr>
              <w:t>传统</w:t>
            </w:r>
            <w:r>
              <w:rPr>
                <w:rFonts w:hint="eastAsia" w:asciiTheme="minorEastAsia" w:hAnsiTheme="minorEastAsia" w:eastAsiaTheme="minorEastAsia" w:cstheme="minorEastAsia"/>
                <w:color w:val="auto"/>
                <w:kern w:val="0"/>
                <w:sz w:val="24"/>
                <w:szCs w:val="24"/>
                <w:highlight w:val="none"/>
                <w:lang w:bidi="ar"/>
              </w:rPr>
              <w:t>授信余额</w:t>
            </w:r>
            <w:r>
              <w:rPr>
                <w:rFonts w:hint="eastAsia" w:asciiTheme="minorEastAsia" w:hAnsiTheme="minorEastAsia" w:eastAsiaTheme="minorEastAsia" w:cstheme="minorEastAsia"/>
                <w:color w:val="auto"/>
                <w:kern w:val="0"/>
                <w:sz w:val="24"/>
                <w:szCs w:val="24"/>
                <w:highlight w:val="none"/>
                <w:lang w:val="en-US" w:eastAsia="zh-CN" w:bidi="ar"/>
              </w:rPr>
              <w:t>0</w:t>
            </w:r>
            <w:r>
              <w:rPr>
                <w:rFonts w:hint="eastAsia" w:asciiTheme="minorEastAsia" w:hAnsiTheme="minorEastAsia" w:eastAsiaTheme="minorEastAsia" w:cstheme="minorEastAsia"/>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val="en-US" w:eastAsia="zh-CN" w:bidi="ar"/>
              </w:rPr>
              <w:t>26</w:t>
            </w:r>
            <w:r>
              <w:rPr>
                <w:rFonts w:hint="eastAsia" w:asciiTheme="minorEastAsia" w:hAnsiTheme="minorEastAsia" w:eastAsiaTheme="minorEastAsia" w:cstheme="minorEastAsia"/>
                <w:color w:val="auto"/>
                <w:kern w:val="0"/>
                <w:sz w:val="24"/>
                <w:szCs w:val="24"/>
                <w:highlight w:val="none"/>
                <w:lang w:bidi="ar"/>
              </w:rPr>
              <w:t>亿元</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bidi="ar"/>
              </w:rPr>
              <w:t>债券投资余额</w:t>
            </w:r>
            <w:r>
              <w:rPr>
                <w:rFonts w:hint="eastAsia" w:asciiTheme="minorEastAsia" w:hAnsiTheme="minorEastAsia" w:eastAsiaTheme="minorEastAsia" w:cstheme="minorEastAsia"/>
                <w:color w:val="auto"/>
                <w:kern w:val="0"/>
                <w:sz w:val="24"/>
                <w:szCs w:val="24"/>
                <w:highlight w:val="none"/>
                <w:lang w:val="en-US" w:eastAsia="zh-CN" w:bidi="ar"/>
              </w:rPr>
              <w:t>2.7</w:t>
            </w:r>
            <w:r>
              <w:rPr>
                <w:rFonts w:hint="eastAsia" w:asciiTheme="minorEastAsia" w:hAnsiTheme="minorEastAsia" w:eastAsiaTheme="minorEastAsia" w:cstheme="minorEastAsia"/>
                <w:color w:val="auto"/>
                <w:kern w:val="0"/>
                <w:sz w:val="24"/>
                <w:szCs w:val="24"/>
                <w:highlight w:val="none"/>
                <w:lang w:bidi="ar"/>
              </w:rPr>
              <w:t>亿元</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bidi="ar"/>
              </w:rPr>
              <w:t>分离式保函余额1.</w:t>
            </w:r>
            <w:r>
              <w:rPr>
                <w:rFonts w:hint="eastAsia" w:asciiTheme="minorEastAsia" w:hAnsiTheme="minorEastAsia" w:eastAsiaTheme="minorEastAsia" w:cstheme="minorEastAsia"/>
                <w:color w:val="auto"/>
                <w:kern w:val="0"/>
                <w:sz w:val="24"/>
                <w:szCs w:val="24"/>
                <w:highlight w:val="none"/>
                <w:lang w:val="en-US" w:eastAsia="zh-CN" w:bidi="ar"/>
              </w:rPr>
              <w:t>52</w:t>
            </w:r>
            <w:r>
              <w:rPr>
                <w:rFonts w:hint="eastAsia" w:asciiTheme="minorEastAsia" w:hAnsiTheme="minorEastAsia" w:eastAsiaTheme="minorEastAsia" w:cstheme="minorEastAsia"/>
                <w:color w:val="auto"/>
                <w:kern w:val="0"/>
                <w:sz w:val="24"/>
                <w:szCs w:val="24"/>
                <w:highlight w:val="none"/>
                <w:lang w:bidi="ar"/>
              </w:rPr>
              <w:t>亿</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bidi="ar"/>
              </w:rPr>
              <w:t>他用担保敞口余额</w:t>
            </w:r>
            <w:r>
              <w:rPr>
                <w:rFonts w:hint="eastAsia" w:asciiTheme="minorEastAsia" w:hAnsiTheme="minorEastAsia" w:eastAsiaTheme="minorEastAsia" w:cstheme="minorEastAsia"/>
                <w:color w:val="auto"/>
                <w:kern w:val="0"/>
                <w:sz w:val="24"/>
                <w:szCs w:val="24"/>
                <w:highlight w:val="none"/>
                <w:lang w:val="en-US" w:eastAsia="zh-CN" w:bidi="ar"/>
              </w:rPr>
              <w:t>5.67</w:t>
            </w:r>
            <w:r>
              <w:rPr>
                <w:rFonts w:hint="eastAsia" w:asciiTheme="minorEastAsia" w:hAnsiTheme="minorEastAsia" w:eastAsiaTheme="minorEastAsia" w:cstheme="minorEastAsia"/>
                <w:color w:val="auto"/>
                <w:kern w:val="0"/>
                <w:sz w:val="24"/>
                <w:szCs w:val="24"/>
                <w:highlight w:val="none"/>
                <w:lang w:bidi="ar"/>
              </w:rPr>
              <w:t>亿</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000000"/>
                <w:kern w:val="0"/>
                <w:sz w:val="24"/>
                <w:szCs w:val="24"/>
                <w:highlight w:val="none"/>
                <w:lang w:val="en-US" w:eastAsia="zh-CN" w:bidi="ar"/>
              </w:rPr>
              <w:t>同业</w:t>
            </w:r>
            <w:r>
              <w:rPr>
                <w:rFonts w:hint="eastAsia" w:asciiTheme="minorEastAsia" w:hAnsiTheme="minorEastAsia" w:eastAsiaTheme="minorEastAsia" w:cstheme="minorEastAsia"/>
                <w:color w:val="000000"/>
                <w:kern w:val="0"/>
                <w:sz w:val="24"/>
                <w:szCs w:val="24"/>
                <w:highlight w:val="none"/>
                <w:lang w:val="en-US" w:eastAsia="zh-CN" w:bidi="ar"/>
              </w:rPr>
              <w:t>授信</w:t>
            </w:r>
            <w:r>
              <w:rPr>
                <w:rFonts w:hint="eastAsia" w:asciiTheme="minorEastAsia" w:hAnsiTheme="minorEastAsia" w:eastAsiaTheme="minorEastAsia" w:cstheme="minorEastAsia"/>
                <w:color w:val="000000"/>
                <w:kern w:val="0"/>
                <w:sz w:val="24"/>
                <w:szCs w:val="24"/>
                <w:highlight w:val="none"/>
                <w:lang w:eastAsia="zh-CN" w:bidi="ar"/>
              </w:rPr>
              <w:t>余额</w:t>
            </w:r>
            <w:r>
              <w:rPr>
                <w:rFonts w:hint="eastAsia" w:asciiTheme="minorEastAsia" w:hAnsiTheme="minorEastAsia" w:eastAsiaTheme="minorEastAsia" w:cstheme="minorEastAsia"/>
                <w:color w:val="000000"/>
                <w:kern w:val="0"/>
                <w:sz w:val="24"/>
                <w:szCs w:val="24"/>
                <w:highlight w:val="none"/>
                <w:lang w:val="en-US" w:eastAsia="zh-CN" w:bidi="ar"/>
              </w:rPr>
              <w:t>为4亿元+</w:t>
            </w:r>
            <w:r>
              <w:rPr>
                <w:rFonts w:hint="eastAsia" w:asciiTheme="minorEastAsia" w:hAnsiTheme="minorEastAsia" w:eastAsiaTheme="minorEastAsia" w:cstheme="minorEastAsia"/>
                <w:color w:val="auto"/>
                <w:kern w:val="0"/>
                <w:sz w:val="24"/>
                <w:szCs w:val="24"/>
                <w:highlight w:val="none"/>
                <w:lang w:val="en-US" w:eastAsia="zh-CN" w:bidi="ar"/>
              </w:rPr>
              <w:t>代客理财余额0.4亿元</w:t>
            </w:r>
          </w:p>
        </w:tc>
      </w:tr>
      <w:tr>
        <w:tblPrEx>
          <w:tblCellMar>
            <w:top w:w="0" w:type="dxa"/>
            <w:left w:w="0" w:type="dxa"/>
            <w:bottom w:w="0" w:type="dxa"/>
            <w:right w:w="0" w:type="dxa"/>
          </w:tblCellMar>
        </w:tblPrEx>
        <w:trPr>
          <w:trHeight w:val="108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6</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泉舜集团有限公司及其关联方</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授信额度1</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.23亿元（敞口</w:t>
            </w:r>
            <w:r>
              <w:rPr>
                <w:rFonts w:hint="eastAsia" w:asciiTheme="minorEastAsia" w:hAnsiTheme="minorEastAsia" w:eastAsiaTheme="minorEastAsia" w:cstheme="minorEastAsia"/>
                <w:color w:val="000000"/>
                <w:kern w:val="0"/>
                <w:sz w:val="24"/>
                <w:szCs w:val="24"/>
                <w:highlight w:val="none"/>
                <w:lang w:val="en-US" w:eastAsia="zh-CN" w:bidi="ar"/>
              </w:rPr>
              <w:t>8</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主要用于传统授信业务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val="en-US" w:eastAsia="zh-CN" w:bidi="ar"/>
              </w:rPr>
              <w:t>综合授信额度人民币8亿元（总敞口人民币8亿元）+2.6亿元低风险额度(敞口0)+3亿元他用按揭额度</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授信余额合计8.58亿元（敞口余额6.68亿元），包含一般授信余额7.08亿元（敞口余额6.68亿元）+低风险授信余额1.9亿元（敞口0）</w:t>
            </w:r>
          </w:p>
        </w:tc>
      </w:tr>
      <w:tr>
        <w:tblPrEx>
          <w:tblCellMar>
            <w:top w:w="0" w:type="dxa"/>
            <w:left w:w="0" w:type="dxa"/>
            <w:bottom w:w="0" w:type="dxa"/>
            <w:right w:w="0" w:type="dxa"/>
          </w:tblCellMar>
        </w:tblPrEx>
        <w:trPr>
          <w:trHeight w:val="27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7</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东江环保股份有限公司</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授信额度</w:t>
            </w:r>
            <w:r>
              <w:rPr>
                <w:rFonts w:hint="eastAsia" w:asciiTheme="minorEastAsia" w:hAnsiTheme="minorEastAsia" w:eastAsiaTheme="minorEastAsia" w:cstheme="minorEastAsia"/>
                <w:color w:val="000000"/>
                <w:kern w:val="0"/>
                <w:sz w:val="24"/>
                <w:szCs w:val="24"/>
                <w:highlight w:val="none"/>
                <w:lang w:val="en-US" w:eastAsia="zh-CN" w:bidi="ar"/>
              </w:rPr>
              <w:t>2</w:t>
            </w:r>
            <w:r>
              <w:rPr>
                <w:rFonts w:hint="eastAsia" w:asciiTheme="minorEastAsia" w:hAnsiTheme="minorEastAsia" w:eastAsiaTheme="minorEastAsia" w:cstheme="minorEastAsia"/>
                <w:color w:val="000000"/>
                <w:kern w:val="0"/>
                <w:sz w:val="24"/>
                <w:szCs w:val="24"/>
                <w:highlight w:val="none"/>
                <w:lang w:bidi="ar"/>
              </w:rPr>
              <w:t>亿元（敞口</w:t>
            </w:r>
            <w:r>
              <w:rPr>
                <w:rFonts w:hint="eastAsia" w:asciiTheme="minorEastAsia" w:hAnsiTheme="minorEastAsia" w:eastAsiaTheme="minorEastAsia" w:cstheme="minorEastAsia"/>
                <w:color w:val="000000"/>
                <w:kern w:val="0"/>
                <w:sz w:val="24"/>
                <w:szCs w:val="24"/>
                <w:highlight w:val="none"/>
                <w:lang w:val="en-US" w:eastAsia="zh-CN" w:bidi="ar"/>
              </w:rPr>
              <w:t>2</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主要用于传统授信、债券投资业务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综合授信额度</w:t>
            </w:r>
            <w:r>
              <w:rPr>
                <w:rFonts w:hint="eastAsia" w:asciiTheme="minorEastAsia" w:hAnsiTheme="minorEastAsia" w:eastAsiaTheme="minorEastAsia" w:cstheme="minorEastAsia"/>
                <w:color w:val="000000"/>
                <w:kern w:val="0"/>
                <w:sz w:val="24"/>
                <w:szCs w:val="24"/>
                <w:highlight w:val="none"/>
                <w:lang w:val="en-US" w:eastAsia="zh-CN" w:bidi="ar"/>
              </w:rPr>
              <w:t>0.99亿</w:t>
            </w:r>
            <w:r>
              <w:rPr>
                <w:rFonts w:hint="eastAsia" w:asciiTheme="minorEastAsia" w:hAnsiTheme="minorEastAsia" w:eastAsiaTheme="minorEastAsia" w:cstheme="minorEastAsia"/>
                <w:color w:val="000000"/>
                <w:kern w:val="0"/>
                <w:sz w:val="24"/>
                <w:szCs w:val="24"/>
                <w:highlight w:val="none"/>
                <w:lang w:bidi="ar"/>
              </w:rPr>
              <w:t>元</w:t>
            </w:r>
            <w:r>
              <w:rPr>
                <w:rFonts w:hint="eastAsia" w:asciiTheme="minorEastAsia" w:hAnsiTheme="minorEastAsia" w:eastAsiaTheme="minorEastAsia" w:cstheme="minorEastAsia"/>
                <w:color w:val="000000"/>
                <w:kern w:val="0"/>
                <w:sz w:val="24"/>
                <w:szCs w:val="24"/>
                <w:highlight w:val="none"/>
                <w:lang w:eastAsia="zh-CN" w:bidi="ar"/>
              </w:rPr>
              <w:t>（</w:t>
            </w:r>
            <w:r>
              <w:rPr>
                <w:rFonts w:hint="eastAsia" w:asciiTheme="minorEastAsia" w:hAnsiTheme="minorEastAsia" w:eastAsiaTheme="minorEastAsia" w:cstheme="minorEastAsia"/>
                <w:color w:val="000000"/>
                <w:kern w:val="0"/>
                <w:sz w:val="24"/>
                <w:szCs w:val="24"/>
                <w:highlight w:val="none"/>
                <w:lang w:val="en-US" w:eastAsia="zh-CN" w:bidi="ar"/>
              </w:rPr>
              <w:t>敞口0.99亿元）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授信余额</w:t>
            </w:r>
            <w:r>
              <w:rPr>
                <w:rFonts w:hint="eastAsia" w:asciiTheme="minorEastAsia" w:hAnsiTheme="minorEastAsia" w:eastAsiaTheme="minorEastAsia" w:cstheme="minorEastAsia"/>
                <w:color w:val="000000"/>
                <w:kern w:val="0"/>
                <w:sz w:val="24"/>
                <w:szCs w:val="24"/>
                <w:highlight w:val="none"/>
                <w:lang w:val="en-US" w:eastAsia="zh-CN" w:bidi="ar"/>
              </w:rPr>
              <w:t>0.89亿</w:t>
            </w:r>
            <w:r>
              <w:rPr>
                <w:rFonts w:hint="eastAsia" w:asciiTheme="minorEastAsia" w:hAnsiTheme="minorEastAsia" w:eastAsiaTheme="minorEastAsia" w:cstheme="minorEastAsia"/>
                <w:color w:val="000000"/>
                <w:kern w:val="0"/>
                <w:sz w:val="24"/>
                <w:szCs w:val="24"/>
                <w:highlight w:val="none"/>
                <w:lang w:bidi="ar"/>
              </w:rPr>
              <w:t>元</w:t>
            </w:r>
            <w:r>
              <w:rPr>
                <w:rFonts w:hint="eastAsia" w:asciiTheme="minorEastAsia" w:hAnsiTheme="minorEastAsia" w:eastAsiaTheme="minorEastAsia" w:cstheme="minorEastAsia"/>
                <w:color w:val="000000"/>
                <w:kern w:val="0"/>
                <w:sz w:val="24"/>
                <w:szCs w:val="24"/>
                <w:highlight w:val="none"/>
                <w:lang w:eastAsia="zh-CN" w:bidi="ar"/>
              </w:rPr>
              <w:t>（</w:t>
            </w:r>
            <w:r>
              <w:rPr>
                <w:rFonts w:hint="eastAsia" w:asciiTheme="minorEastAsia" w:hAnsiTheme="minorEastAsia" w:eastAsiaTheme="minorEastAsia" w:cstheme="minorEastAsia"/>
                <w:color w:val="000000"/>
                <w:kern w:val="0"/>
                <w:sz w:val="24"/>
                <w:szCs w:val="24"/>
                <w:highlight w:val="none"/>
                <w:lang w:val="en-US" w:eastAsia="zh-CN" w:bidi="ar"/>
              </w:rPr>
              <w:t>敞口0.89亿元）</w:t>
            </w:r>
          </w:p>
        </w:tc>
      </w:tr>
      <w:tr>
        <w:tblPrEx>
          <w:tblCellMar>
            <w:top w:w="0" w:type="dxa"/>
            <w:left w:w="0" w:type="dxa"/>
            <w:bottom w:w="0" w:type="dxa"/>
            <w:right w:w="0" w:type="dxa"/>
          </w:tblCellMar>
        </w:tblPrEx>
        <w:trPr>
          <w:trHeight w:val="27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福建海西金融租赁有限责任公司</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授信额度3</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亿元（敞口2</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主要用于同业授信、同业交易、传统授信业务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综合授信额度敞口20亿元（含投资额度敞口20亿元，传统授信额度3.5亿元）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授信余额0.58亿元（敞口0.58亿元）+同业授信余额为4.12亿元（敞口4.12亿元）+代客理财余额0.3亿元</w:t>
            </w:r>
          </w:p>
        </w:tc>
      </w:tr>
      <w:tr>
        <w:tblPrEx>
          <w:tblCellMar>
            <w:top w:w="0" w:type="dxa"/>
            <w:left w:w="0" w:type="dxa"/>
            <w:bottom w:w="0" w:type="dxa"/>
            <w:right w:w="0" w:type="dxa"/>
          </w:tblCellMar>
        </w:tblPrEx>
        <w:trPr>
          <w:trHeight w:val="51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厦门国有资本运营有限责任公司及其关联方</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授信额度1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主要用于债券投资、传统授信业务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综合授信额度1.72亿元（敞口1.18亿元）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授信余额0.56亿元（敞口0.51亿元）</w:t>
            </w:r>
          </w:p>
        </w:tc>
      </w:tr>
      <w:tr>
        <w:tblPrEx>
          <w:tblCellMar>
            <w:top w:w="0" w:type="dxa"/>
            <w:left w:w="0" w:type="dxa"/>
            <w:bottom w:w="0" w:type="dxa"/>
            <w:right w:w="0" w:type="dxa"/>
          </w:tblCellMar>
        </w:tblPrEx>
        <w:trPr>
          <w:trHeight w:val="510" w:hRule="atLeast"/>
        </w:trPr>
        <w:tc>
          <w:tcPr>
            <w:tcW w:w="2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10</w:t>
            </w:r>
          </w:p>
        </w:tc>
        <w:tc>
          <w:tcPr>
            <w:tcW w:w="127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关联自然人</w:t>
            </w:r>
          </w:p>
        </w:tc>
        <w:tc>
          <w:tcPr>
            <w:tcW w:w="8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授信额度3亿元（敞口3亿元）</w:t>
            </w:r>
          </w:p>
        </w:tc>
        <w:tc>
          <w:tcPr>
            <w:tcW w:w="9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主要用于信用卡、贷款等业务</w:t>
            </w:r>
          </w:p>
        </w:tc>
        <w:tc>
          <w:tcPr>
            <w:tcW w:w="7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授信额度2.49亿元</w:t>
            </w:r>
            <w:r>
              <w:rPr>
                <w:rFonts w:hint="eastAsia" w:asciiTheme="minorEastAsia" w:hAnsiTheme="minorEastAsia" w:eastAsiaTheme="minorEastAsia" w:cstheme="minorEastAsia"/>
                <w:i w:val="0"/>
                <w:color w:val="auto"/>
                <w:kern w:val="0"/>
                <w:sz w:val="24"/>
                <w:szCs w:val="24"/>
                <w:highlight w:val="none"/>
                <w:u w:val="none"/>
                <w:lang w:val="en-US" w:eastAsia="zh-CN" w:bidi="ar"/>
              </w:rPr>
              <w:t>（授信敞口2.49亿元）</w:t>
            </w:r>
          </w:p>
        </w:tc>
        <w:tc>
          <w:tcPr>
            <w:tcW w:w="8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授信余额</w:t>
            </w:r>
            <w:r>
              <w:rPr>
                <w:rStyle w:val="37"/>
                <w:rFonts w:hint="eastAsia" w:asciiTheme="minorEastAsia" w:hAnsiTheme="minorEastAsia" w:eastAsiaTheme="minorEastAsia" w:cstheme="minorEastAsia"/>
                <w:color w:val="auto"/>
                <w:sz w:val="24"/>
                <w:szCs w:val="24"/>
                <w:highlight w:val="none"/>
                <w:lang w:val="en-US" w:eastAsia="zh-CN" w:bidi="ar"/>
              </w:rPr>
              <w:t>1.66</w:t>
            </w:r>
            <w:r>
              <w:rPr>
                <w:rFonts w:hint="eastAsia" w:asciiTheme="minorEastAsia" w:hAnsiTheme="minorEastAsia" w:eastAsiaTheme="minorEastAsia" w:cstheme="minorEastAsia"/>
                <w:i w:val="0"/>
                <w:color w:val="auto"/>
                <w:kern w:val="0"/>
                <w:sz w:val="24"/>
                <w:szCs w:val="24"/>
                <w:highlight w:val="none"/>
                <w:u w:val="none"/>
                <w:lang w:val="en-US" w:eastAsia="zh-CN" w:bidi="ar"/>
              </w:rPr>
              <w:t>亿元（敞口余额</w:t>
            </w:r>
            <w:r>
              <w:rPr>
                <w:rStyle w:val="37"/>
                <w:rFonts w:hint="eastAsia" w:asciiTheme="minorEastAsia" w:hAnsiTheme="minorEastAsia" w:eastAsiaTheme="minorEastAsia" w:cstheme="minorEastAsia"/>
                <w:color w:val="auto"/>
                <w:sz w:val="24"/>
                <w:szCs w:val="24"/>
                <w:highlight w:val="none"/>
                <w:lang w:val="en-US" w:eastAsia="zh-CN" w:bidi="ar"/>
              </w:rPr>
              <w:t>1.66</w:t>
            </w:r>
            <w:r>
              <w:rPr>
                <w:rFonts w:hint="eastAsia" w:asciiTheme="minorEastAsia" w:hAnsiTheme="minorEastAsia" w:eastAsiaTheme="minorEastAsia" w:cstheme="minorEastAsia"/>
                <w:i w:val="0"/>
                <w:color w:val="auto"/>
                <w:kern w:val="0"/>
                <w:sz w:val="24"/>
                <w:szCs w:val="24"/>
                <w:highlight w:val="none"/>
                <w:u w:val="none"/>
                <w:lang w:val="en-US" w:eastAsia="zh-CN" w:bidi="ar"/>
              </w:rPr>
              <w:t>亿元）</w:t>
            </w:r>
          </w:p>
        </w:tc>
      </w:tr>
    </w:tbl>
    <w:p>
      <w:pPr>
        <w:adjustRightInd w:val="0"/>
        <w:snapToGrid w:val="0"/>
        <w:spacing w:line="360" w:lineRule="auto"/>
        <w:rPr>
          <w:rFonts w:hint="eastAsia" w:asciiTheme="minorEastAsia" w:hAnsiTheme="minorEastAsia" w:eastAsiaTheme="minorEastAsia" w:cstheme="minorEastAsia"/>
          <w:b/>
          <w:bCs/>
          <w:color w:val="FF000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w:t>
      </w:r>
      <w:r>
        <w:rPr>
          <w:rFonts w:hint="eastAsia" w:asciiTheme="minorEastAsia" w:hAnsiTheme="minorEastAsia" w:eastAsiaTheme="minorEastAsia" w:cstheme="minorEastAsia"/>
          <w:sz w:val="21"/>
          <w:szCs w:val="21"/>
          <w:highlight w:val="none"/>
        </w:rPr>
        <w:t>本行与平顶山银行股份有限公司、福建七匹狼集团有限公司及其关联方、厦门国有资本运营有限责任公司及其关联方年末关联交易实际执行情况与年初预计额度存在一定偏离，该情况系</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平顶山银行股份有限公司</w:t>
      </w:r>
      <w:r>
        <w:rPr>
          <w:rFonts w:hint="eastAsia" w:asciiTheme="minorEastAsia" w:hAnsiTheme="minorEastAsia" w:eastAsiaTheme="minorEastAsia" w:cstheme="minorEastAsia"/>
          <w:i w:val="0"/>
          <w:color w:val="000000"/>
          <w:sz w:val="21"/>
          <w:szCs w:val="21"/>
          <w:highlight w:val="none"/>
          <w:u w:val="none"/>
          <w:lang w:val="en-US" w:eastAsia="zh-CN"/>
        </w:rPr>
        <w:t>2022年</w:t>
      </w:r>
      <w:r>
        <w:rPr>
          <w:rFonts w:hint="eastAsia" w:asciiTheme="minorEastAsia" w:hAnsiTheme="minorEastAsia" w:eastAsiaTheme="minorEastAsia" w:cstheme="minorEastAsia"/>
          <w:i w:val="0"/>
          <w:color w:val="000000"/>
          <w:sz w:val="21"/>
          <w:szCs w:val="21"/>
          <w:highlight w:val="none"/>
          <w:u w:val="none"/>
          <w:lang w:eastAsia="zh-CN"/>
        </w:rPr>
        <w:t>已合并入中原银行，不再是单一法人机构，</w:t>
      </w:r>
      <w:r>
        <w:rPr>
          <w:rFonts w:hint="eastAsia" w:asciiTheme="minorEastAsia" w:hAnsiTheme="minorEastAsia" w:eastAsiaTheme="minorEastAsia" w:cstheme="minorEastAsia"/>
          <w:i w:val="0"/>
          <w:color w:val="000000"/>
          <w:sz w:val="21"/>
          <w:szCs w:val="21"/>
          <w:highlight w:val="none"/>
          <w:u w:val="none"/>
          <w:lang w:val="en-US" w:eastAsia="zh-CN"/>
        </w:rPr>
        <w:t>故本行对平顶山银行的同业授信额度调整为0亿元；（2）</w:t>
      </w:r>
      <w:r>
        <w:rPr>
          <w:rFonts w:hint="eastAsia" w:asciiTheme="minorEastAsia" w:hAnsiTheme="minorEastAsia" w:eastAsiaTheme="minorEastAsia" w:cstheme="minorEastAsia"/>
          <w:sz w:val="21"/>
          <w:szCs w:val="21"/>
          <w:highlight w:val="none"/>
        </w:rPr>
        <w:t>厦门国有资本运营有限责任公司2022年在</w:t>
      </w:r>
      <w:r>
        <w:rPr>
          <w:rFonts w:hint="eastAsia" w:asciiTheme="minorEastAsia" w:hAnsiTheme="minorEastAsia" w:eastAsiaTheme="minorEastAsia" w:cstheme="minorEastAsia"/>
          <w:sz w:val="21"/>
          <w:szCs w:val="21"/>
          <w:highlight w:val="none"/>
          <w:lang w:eastAsia="zh-CN"/>
        </w:rPr>
        <w:t>本行</w:t>
      </w:r>
      <w:r>
        <w:rPr>
          <w:rFonts w:hint="eastAsia" w:asciiTheme="minorEastAsia" w:hAnsiTheme="minorEastAsia" w:eastAsiaTheme="minorEastAsia" w:cstheme="minorEastAsia"/>
          <w:sz w:val="21"/>
          <w:szCs w:val="21"/>
          <w:highlight w:val="none"/>
        </w:rPr>
        <w:t>的授信额度，因</w:t>
      </w:r>
      <w:r>
        <w:rPr>
          <w:rFonts w:hint="eastAsia" w:asciiTheme="minorEastAsia" w:hAnsiTheme="minorEastAsia" w:eastAsiaTheme="minorEastAsia" w:cstheme="minorEastAsia"/>
          <w:sz w:val="21"/>
          <w:szCs w:val="21"/>
          <w:highlight w:val="none"/>
          <w:lang w:val="en-US" w:eastAsia="zh-CN"/>
        </w:rPr>
        <w:t>融资方案调整</w:t>
      </w:r>
      <w:r>
        <w:rPr>
          <w:rFonts w:hint="eastAsia" w:asciiTheme="minorEastAsia" w:hAnsiTheme="minorEastAsia" w:eastAsiaTheme="minorEastAsia" w:cstheme="minorEastAsia"/>
          <w:sz w:val="21"/>
          <w:szCs w:val="21"/>
          <w:highlight w:val="none"/>
        </w:rPr>
        <w:t>，导致实际审批授信额度与</w:t>
      </w:r>
      <w:r>
        <w:rPr>
          <w:rFonts w:hint="eastAsia" w:asciiTheme="minorEastAsia" w:hAnsiTheme="minorEastAsia" w:eastAsiaTheme="minorEastAsia" w:cstheme="minorEastAsia"/>
          <w:sz w:val="21"/>
          <w:szCs w:val="21"/>
          <w:highlight w:val="none"/>
          <w:lang w:val="en-US" w:eastAsia="zh-CN"/>
        </w:rPr>
        <w:t>预计</w:t>
      </w:r>
      <w:r>
        <w:rPr>
          <w:rFonts w:hint="eastAsia" w:asciiTheme="minorEastAsia" w:hAnsiTheme="minorEastAsia" w:eastAsiaTheme="minorEastAsia" w:cstheme="minorEastAsia"/>
          <w:sz w:val="21"/>
          <w:szCs w:val="21"/>
          <w:highlight w:val="none"/>
        </w:rPr>
        <w:t>额度偏差较大</w:t>
      </w:r>
      <w:r>
        <w:rPr>
          <w:rFonts w:hint="eastAsia" w:asciiTheme="minorEastAsia" w:hAnsiTheme="minorEastAsia" w:eastAsiaTheme="minorEastAsia" w:cstheme="minorEastAsia"/>
          <w:i w:val="0"/>
          <w:color w:val="000000"/>
          <w:sz w:val="21"/>
          <w:szCs w:val="21"/>
          <w:highlight w:val="none"/>
          <w:u w:val="none"/>
          <w:lang w:val="en-US" w:eastAsia="zh-CN"/>
        </w:rPr>
        <w:t>；（3）</w:t>
      </w:r>
      <w:r>
        <w:rPr>
          <w:rFonts w:hint="eastAsia" w:asciiTheme="minorEastAsia" w:hAnsiTheme="minorEastAsia" w:eastAsiaTheme="minorEastAsia" w:cstheme="minorEastAsia"/>
          <w:sz w:val="21"/>
          <w:szCs w:val="21"/>
          <w:highlight w:val="none"/>
        </w:rPr>
        <w:t>福建七匹狼集团有限公司及其关联方</w:t>
      </w:r>
      <w:r>
        <w:rPr>
          <w:rFonts w:hint="eastAsia" w:asciiTheme="minorEastAsia" w:hAnsiTheme="minorEastAsia" w:eastAsiaTheme="minorEastAsia" w:cstheme="minorEastAsia"/>
          <w:sz w:val="21"/>
          <w:szCs w:val="21"/>
          <w:highlight w:val="none"/>
          <w:lang w:val="en-US" w:eastAsia="zh-CN"/>
        </w:rPr>
        <w:t>2022年在本行的</w:t>
      </w:r>
      <w:r>
        <w:rPr>
          <w:rFonts w:hint="eastAsia" w:asciiTheme="minorEastAsia" w:hAnsiTheme="minorEastAsia" w:eastAsiaTheme="minorEastAsia" w:cstheme="minorEastAsia"/>
          <w:sz w:val="21"/>
          <w:szCs w:val="21"/>
          <w:highlight w:val="none"/>
        </w:rPr>
        <w:t>授信额度</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为</w:t>
      </w:r>
      <w:r>
        <w:rPr>
          <w:rFonts w:hint="eastAsia" w:asciiTheme="minorEastAsia" w:hAnsiTheme="minorEastAsia" w:eastAsiaTheme="minorEastAsia" w:cstheme="minorEastAsia"/>
          <w:sz w:val="21"/>
          <w:szCs w:val="21"/>
          <w:highlight w:val="none"/>
        </w:rPr>
        <w:t>上报时根据</w:t>
      </w:r>
      <w:r>
        <w:rPr>
          <w:rFonts w:hint="eastAsia" w:asciiTheme="minorEastAsia" w:hAnsiTheme="minorEastAsia" w:eastAsiaTheme="minorEastAsia" w:cstheme="minorEastAsia"/>
          <w:sz w:val="21"/>
          <w:szCs w:val="21"/>
          <w:highlight w:val="none"/>
          <w:lang w:val="en-US" w:eastAsia="zh-CN"/>
        </w:rPr>
        <w:t>其</w:t>
      </w:r>
      <w:r>
        <w:rPr>
          <w:rFonts w:hint="eastAsia" w:asciiTheme="minorEastAsia" w:hAnsiTheme="minorEastAsia" w:eastAsiaTheme="minorEastAsia" w:cstheme="minorEastAsia"/>
          <w:sz w:val="21"/>
          <w:szCs w:val="21"/>
          <w:highlight w:val="none"/>
        </w:rPr>
        <w:t>实际</w:t>
      </w:r>
      <w:r>
        <w:rPr>
          <w:rFonts w:hint="eastAsia" w:asciiTheme="minorEastAsia" w:hAnsiTheme="minorEastAsia" w:eastAsiaTheme="minorEastAsia" w:cstheme="minorEastAsia"/>
          <w:sz w:val="21"/>
          <w:szCs w:val="21"/>
          <w:highlight w:val="none"/>
          <w:lang w:val="en-US" w:eastAsia="zh-CN"/>
        </w:rPr>
        <w:t>资金</w:t>
      </w:r>
      <w:r>
        <w:rPr>
          <w:rFonts w:hint="eastAsia" w:asciiTheme="minorEastAsia" w:hAnsiTheme="minorEastAsia" w:eastAsiaTheme="minorEastAsia" w:cstheme="minorEastAsia"/>
          <w:sz w:val="21"/>
          <w:szCs w:val="21"/>
          <w:highlight w:val="none"/>
        </w:rPr>
        <w:t>需求对额度做出相应调整导致</w:t>
      </w:r>
      <w:r>
        <w:rPr>
          <w:rFonts w:hint="eastAsia" w:asciiTheme="minorEastAsia" w:hAnsiTheme="minorEastAsia" w:eastAsiaTheme="minorEastAsia" w:cstheme="minorEastAsia"/>
          <w:sz w:val="21"/>
          <w:szCs w:val="21"/>
          <w:highlight w:val="none"/>
          <w:lang w:val="en-US" w:eastAsia="zh-CN"/>
        </w:rPr>
        <w:t>。</w:t>
      </w:r>
    </w:p>
    <w:p>
      <w:pPr>
        <w:numPr>
          <w:ilvl w:val="0"/>
          <w:numId w:val="0"/>
        </w:numPr>
        <w:adjustRightInd w:val="0"/>
        <w:snapToGrid w:val="0"/>
        <w:spacing w:line="360" w:lineRule="auto"/>
        <w:rPr>
          <w:rFonts w:hint="eastAsia" w:asciiTheme="minorEastAsia" w:hAnsiTheme="minorEastAsia" w:eastAsiaTheme="minorEastAsia" w:cstheme="minorEastAsia"/>
          <w:b/>
          <w:bCs/>
          <w:sz w:val="24"/>
          <w:highlight w:val="none"/>
        </w:rPr>
      </w:pPr>
    </w:p>
    <w:p>
      <w:pPr>
        <w:adjustRightInd w:val="0"/>
        <w:snapToGrid w:val="0"/>
        <w:spacing w:line="360" w:lineRule="auto"/>
        <w:ind w:firstLine="482" w:firstLineChars="200"/>
        <w:rPr>
          <w:rFonts w:hint="eastAsia" w:asciiTheme="minorEastAsia" w:hAnsiTheme="minorEastAsia" w:eastAsiaTheme="minorEastAsia" w:cstheme="minorEastAsia"/>
          <w:b/>
          <w:bCs/>
          <w:color w:val="FF0000"/>
          <w:sz w:val="24"/>
          <w:highlight w:val="none"/>
          <w:lang w:val="en-US" w:eastAsia="zh-CN"/>
        </w:rPr>
      </w:pPr>
      <w:r>
        <w:rPr>
          <w:rFonts w:hint="eastAsia" w:asciiTheme="minorEastAsia" w:hAnsiTheme="minorEastAsia" w:eastAsiaTheme="minorEastAsia" w:cstheme="minorEastAsia"/>
          <w:b/>
          <w:bCs/>
          <w:sz w:val="24"/>
          <w:highlight w:val="none"/>
        </w:rPr>
        <w:t>（三）20</w:t>
      </w:r>
      <w:r>
        <w:rPr>
          <w:rFonts w:hint="eastAsia" w:asciiTheme="minorEastAsia" w:hAnsiTheme="minorEastAsia" w:eastAsiaTheme="minorEastAsia" w:cstheme="minorEastAsia"/>
          <w:b/>
          <w:bCs/>
          <w:sz w:val="24"/>
          <w:highlight w:val="none"/>
          <w:lang w:val="en-US" w:eastAsia="zh-CN"/>
        </w:rPr>
        <w:t>23</w:t>
      </w:r>
      <w:r>
        <w:rPr>
          <w:rFonts w:hint="eastAsia" w:asciiTheme="minorEastAsia" w:hAnsiTheme="minorEastAsia" w:eastAsiaTheme="minorEastAsia" w:cstheme="minorEastAsia"/>
          <w:b/>
          <w:bCs/>
          <w:sz w:val="24"/>
          <w:highlight w:val="none"/>
        </w:rPr>
        <w:t>年度日常关联交易预计额度和类别</w:t>
      </w:r>
    </w:p>
    <w:p>
      <w:pPr>
        <w:adjustRightInd w:val="0"/>
        <w:snapToGrid w:val="0"/>
        <w:spacing w:line="360" w:lineRule="auto"/>
        <w:ind w:firstLine="480" w:firstLineChars="20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币种：人民币</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7"/>
        <w:gridCol w:w="945"/>
        <w:gridCol w:w="1377"/>
        <w:gridCol w:w="1951"/>
        <w:gridCol w:w="1916"/>
        <w:gridCol w:w="2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18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highlight w:val="none"/>
                <w:u w:val="none"/>
              </w:rPr>
            </w:pPr>
            <w:r>
              <w:rPr>
                <w:rFonts w:hint="eastAsia" w:asciiTheme="minorEastAsia" w:hAnsiTheme="minorEastAsia" w:eastAsiaTheme="minorEastAsia" w:cstheme="minorEastAsia"/>
                <w:b/>
                <w:i w:val="0"/>
                <w:color w:val="000000"/>
                <w:kern w:val="0"/>
                <w:sz w:val="24"/>
                <w:szCs w:val="24"/>
                <w:highlight w:val="none"/>
                <w:u w:val="none"/>
                <w:lang w:val="en-US" w:eastAsia="zh-CN" w:bidi="ar"/>
              </w:rPr>
              <w:t>序号</w:t>
            </w:r>
          </w:p>
        </w:tc>
        <w:tc>
          <w:tcPr>
            <w:tcW w:w="1339" w:type="pct"/>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highlight w:val="none"/>
                <w:u w:val="none"/>
              </w:rPr>
            </w:pPr>
            <w:r>
              <w:rPr>
                <w:rFonts w:hint="eastAsia" w:asciiTheme="minorEastAsia" w:hAnsiTheme="minorEastAsia" w:eastAsiaTheme="minorEastAsia" w:cstheme="minorEastAsia"/>
                <w:b/>
                <w:i w:val="0"/>
                <w:color w:val="000000"/>
                <w:kern w:val="0"/>
                <w:sz w:val="24"/>
                <w:szCs w:val="24"/>
                <w:highlight w:val="none"/>
                <w:u w:val="none"/>
                <w:lang w:val="en-US" w:eastAsia="zh-CN" w:bidi="ar"/>
              </w:rPr>
              <w:t>关联方</w:t>
            </w:r>
          </w:p>
        </w:tc>
        <w:tc>
          <w:tcPr>
            <w:tcW w:w="112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4"/>
                <w:szCs w:val="24"/>
                <w:highlight w:val="none"/>
                <w:lang w:val="en-US" w:eastAsia="zh-CN" w:bidi="ar"/>
              </w:rPr>
            </w:pPr>
            <w:r>
              <w:rPr>
                <w:rFonts w:hint="eastAsia" w:asciiTheme="minorEastAsia" w:hAnsiTheme="minorEastAsia" w:eastAsiaTheme="minorEastAsia" w:cstheme="minorEastAsia"/>
                <w:b/>
                <w:color w:val="000000"/>
                <w:kern w:val="0"/>
                <w:sz w:val="24"/>
                <w:szCs w:val="24"/>
                <w:highlight w:val="none"/>
                <w:lang w:bidi="ar"/>
              </w:rPr>
              <w:t>2022年</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highlight w:val="none"/>
                <w:u w:val="none"/>
                <w:lang w:val="en-US" w:eastAsia="zh-CN" w:bidi="ar"/>
              </w:rPr>
            </w:pPr>
            <w:r>
              <w:rPr>
                <w:rFonts w:hint="eastAsia" w:asciiTheme="minorEastAsia" w:hAnsiTheme="minorEastAsia" w:eastAsiaTheme="minorEastAsia" w:cstheme="minorEastAsia"/>
                <w:b/>
                <w:color w:val="000000"/>
                <w:kern w:val="0"/>
                <w:sz w:val="24"/>
                <w:szCs w:val="24"/>
                <w:highlight w:val="none"/>
                <w:lang w:bidi="ar"/>
              </w:rPr>
              <w:t>预计额度</w:t>
            </w:r>
          </w:p>
        </w:tc>
        <w:tc>
          <w:tcPr>
            <w:tcW w:w="110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highlight w:val="none"/>
                <w:u w:val="none"/>
                <w:lang w:val="en-US" w:eastAsia="zh-CN" w:bidi="ar"/>
              </w:rPr>
            </w:pPr>
            <w:r>
              <w:rPr>
                <w:rFonts w:hint="eastAsia" w:asciiTheme="minorEastAsia" w:hAnsiTheme="minorEastAsia" w:eastAsiaTheme="minorEastAsia" w:cstheme="minorEastAsia"/>
                <w:b/>
                <w:i w:val="0"/>
                <w:color w:val="000000"/>
                <w:kern w:val="0"/>
                <w:sz w:val="24"/>
                <w:szCs w:val="24"/>
                <w:highlight w:val="none"/>
                <w:u w:val="none"/>
                <w:lang w:val="en-US" w:eastAsia="zh-CN" w:bidi="ar"/>
              </w:rPr>
              <w:t>2023年</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highlight w:val="none"/>
                <w:u w:val="none"/>
                <w:lang w:val="en-US" w:eastAsia="zh-CN" w:bidi="ar"/>
              </w:rPr>
            </w:pPr>
            <w:r>
              <w:rPr>
                <w:rFonts w:hint="eastAsia" w:asciiTheme="minorEastAsia" w:hAnsiTheme="minorEastAsia" w:eastAsiaTheme="minorEastAsia" w:cstheme="minorEastAsia"/>
                <w:b/>
                <w:i w:val="0"/>
                <w:color w:val="000000"/>
                <w:kern w:val="0"/>
                <w:sz w:val="24"/>
                <w:szCs w:val="24"/>
                <w:highlight w:val="none"/>
                <w:u w:val="none"/>
                <w:lang w:val="en-US" w:eastAsia="zh-CN" w:bidi="ar"/>
              </w:rPr>
              <w:t>预计额度</w:t>
            </w:r>
          </w:p>
        </w:tc>
        <w:tc>
          <w:tcPr>
            <w:tcW w:w="124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highlight w:val="none"/>
                <w:u w:val="none"/>
                <w:lang w:val="en-US" w:eastAsia="zh-CN" w:bidi="ar"/>
              </w:rPr>
            </w:pPr>
            <w:r>
              <w:rPr>
                <w:rFonts w:hint="eastAsia" w:asciiTheme="minorEastAsia" w:hAnsiTheme="minorEastAsia" w:eastAsiaTheme="minorEastAsia" w:cstheme="minorEastAsia"/>
                <w:b/>
                <w:i w:val="0"/>
                <w:color w:val="000000"/>
                <w:kern w:val="0"/>
                <w:sz w:val="24"/>
                <w:szCs w:val="24"/>
                <w:highlight w:val="none"/>
                <w:u w:val="none"/>
                <w:lang w:val="en-US" w:eastAsia="zh-CN" w:bidi="ar"/>
              </w:rPr>
              <w:t>预计额度的业务品种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8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p>
        </w:tc>
        <w:tc>
          <w:tcPr>
            <w:tcW w:w="1339" w:type="pct"/>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p>
        </w:tc>
        <w:tc>
          <w:tcPr>
            <w:tcW w:w="112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p>
        </w:tc>
        <w:tc>
          <w:tcPr>
            <w:tcW w:w="110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highlight w:val="none"/>
                <w:u w:val="none"/>
                <w:lang w:val="en-US" w:eastAsia="zh-CN" w:bidi="ar"/>
              </w:rPr>
            </w:pPr>
          </w:p>
        </w:tc>
        <w:tc>
          <w:tcPr>
            <w:tcW w:w="124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1339"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厦门金圆投资集团有限公司及其关联方</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授信额度4</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亿元（敞口3</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亿元）+他用担保额度20亿元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授信额度45亿元（敞口35亿元）+他用担保额度20亿元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主要用于传统授信、他用担保额度、同业授信、同业交易、债券投资等业务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54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富邦金融控股股份有限公司及其关联方</w:t>
            </w:r>
            <w:r>
              <w:rPr>
                <w:rStyle w:val="23"/>
                <w:rFonts w:hint="eastAsia" w:asciiTheme="minorEastAsia" w:hAnsiTheme="minorEastAsia" w:eastAsiaTheme="minorEastAsia" w:cstheme="minorEastAsia"/>
                <w:i w:val="0"/>
                <w:color w:val="000000"/>
                <w:kern w:val="0"/>
                <w:sz w:val="24"/>
                <w:szCs w:val="24"/>
                <w:highlight w:val="none"/>
                <w:u w:val="none"/>
                <w:lang w:val="en-US" w:eastAsia="zh-CN" w:bidi="ar"/>
              </w:rPr>
              <w:footnoteReference w:id="3"/>
            </w:r>
          </w:p>
        </w:tc>
        <w:tc>
          <w:tcPr>
            <w:tcW w:w="7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富邦华一银行有限公司</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同业授信额度2</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同业授信额度20亿元（敞口10亿元）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主要用于同业授信、同业交易等业务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54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台北富邦商业银行股份有限公司</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同业授信额度2</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同业授信额度20亿元（敞口10亿元）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主要用于同业授信、同业交易等业务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54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富邦银行（香港）有限公司</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同业授信额度20亿元（敞口10亿元）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同业授信额度20亿元（敞口10亿元）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主要用于同业授信、同业交易等业务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福建七匹狼集团有限公司及其关联方</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w:t>
            </w:r>
            <w:r>
              <w:rPr>
                <w:rFonts w:hint="eastAsia" w:asciiTheme="minorEastAsia" w:hAnsiTheme="minorEastAsia" w:eastAsiaTheme="minorEastAsia" w:cstheme="minorEastAsia"/>
                <w:color w:val="000000"/>
                <w:kern w:val="0"/>
                <w:sz w:val="24"/>
                <w:szCs w:val="24"/>
                <w:highlight w:val="none"/>
                <w:lang w:val="en-US" w:eastAsia="zh-CN" w:bidi="ar"/>
              </w:rPr>
              <w:t>12.4</w:t>
            </w:r>
            <w:r>
              <w:rPr>
                <w:rFonts w:hint="eastAsia" w:asciiTheme="minorEastAsia" w:hAnsiTheme="minorEastAsia" w:eastAsiaTheme="minorEastAsia" w:cstheme="minorEastAsia"/>
                <w:color w:val="000000"/>
                <w:kern w:val="0"/>
                <w:sz w:val="24"/>
                <w:szCs w:val="24"/>
                <w:highlight w:val="none"/>
                <w:lang w:bidi="ar"/>
              </w:rPr>
              <w:t>亿（敞口</w:t>
            </w:r>
            <w:r>
              <w:rPr>
                <w:rFonts w:hint="eastAsia" w:asciiTheme="minorEastAsia" w:hAnsiTheme="minorEastAsia" w:eastAsiaTheme="minorEastAsia" w:cstheme="minorEastAsia"/>
                <w:color w:val="000000"/>
                <w:kern w:val="0"/>
                <w:sz w:val="24"/>
                <w:szCs w:val="24"/>
                <w:highlight w:val="none"/>
                <w:lang w:val="en-US" w:eastAsia="zh-CN" w:bidi="ar"/>
              </w:rPr>
              <w:t>8.5</w:t>
            </w:r>
            <w:r>
              <w:rPr>
                <w:rFonts w:hint="eastAsia" w:asciiTheme="minorEastAsia" w:hAnsiTheme="minorEastAsia" w:eastAsiaTheme="minorEastAsia" w:cstheme="minorEastAsia"/>
                <w:color w:val="000000"/>
                <w:kern w:val="0"/>
                <w:sz w:val="24"/>
                <w:szCs w:val="24"/>
                <w:highlight w:val="none"/>
                <w:lang w:bidi="ar"/>
              </w:rPr>
              <w:t>亿</w:t>
            </w:r>
            <w:r>
              <w:rPr>
                <w:rFonts w:hint="eastAsia" w:asciiTheme="minorEastAsia" w:hAnsiTheme="minorEastAsia" w:eastAsiaTheme="minorEastAsia" w:cstheme="minorEastAsia"/>
                <w:color w:val="000000"/>
                <w:kern w:val="0"/>
                <w:sz w:val="24"/>
                <w:szCs w:val="24"/>
                <w:highlight w:val="none"/>
                <w:lang w:val="en-US" w:eastAsia="zh-CN" w:bidi="ar"/>
              </w:rPr>
              <w:t>元</w:t>
            </w:r>
            <w:r>
              <w:rPr>
                <w:rFonts w:hint="eastAsia" w:asciiTheme="minorEastAsia" w:hAnsiTheme="minorEastAsia" w:eastAsiaTheme="minorEastAsia" w:cstheme="minorEastAsia"/>
                <w:color w:val="000000"/>
                <w:kern w:val="0"/>
                <w:sz w:val="24"/>
                <w:szCs w:val="24"/>
                <w:highlight w:val="none"/>
                <w:lang w:bidi="ar"/>
              </w:rPr>
              <w:t>）</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授信额度12.4亿元（敞口8.5亿元）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主要用于传统授信业务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sz w:val="24"/>
                <w:szCs w:val="24"/>
                <w:highlight w:val="none"/>
                <w:u w:val="none"/>
                <w:lang w:val="en-US" w:eastAsia="zh-CN"/>
              </w:rPr>
              <w:t>4</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厦门国有资本运营有限责任公司及其关联方</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亿元（敞口1</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授信额度8亿元（敞口8亿元）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主要用于传统授信、</w:t>
            </w:r>
            <w:r>
              <w:rPr>
                <w:rFonts w:hint="eastAsia" w:asciiTheme="minorEastAsia" w:hAnsiTheme="minorEastAsia" w:eastAsiaTheme="minorEastAsia" w:cstheme="minorEastAsia"/>
                <w:color w:val="000000"/>
                <w:kern w:val="0"/>
                <w:sz w:val="24"/>
                <w:highlight w:val="none"/>
                <w:u w:val="none"/>
                <w:lang w:bidi="ar"/>
              </w:rPr>
              <w:t>债券投资</w:t>
            </w:r>
            <w:r>
              <w:rPr>
                <w:rFonts w:hint="eastAsia" w:asciiTheme="minorEastAsia" w:hAnsiTheme="minorEastAsia" w:eastAsiaTheme="minorEastAsia" w:cstheme="minorEastAsia"/>
                <w:color w:val="000000"/>
                <w:kern w:val="0"/>
                <w:sz w:val="24"/>
                <w:highlight w:val="none"/>
                <w:u w:val="none"/>
                <w:lang w:val="en-US" w:eastAsia="zh-CN" w:bidi="ar"/>
              </w:rPr>
              <w:t>等</w:t>
            </w:r>
            <w:r>
              <w:rPr>
                <w:rFonts w:hint="eastAsia" w:asciiTheme="minorEastAsia" w:hAnsiTheme="minorEastAsia" w:eastAsiaTheme="minorEastAsia" w:cstheme="minorEastAsia"/>
                <w:color w:val="000000"/>
                <w:kern w:val="0"/>
                <w:sz w:val="24"/>
                <w:highlight w:val="none"/>
                <w:u w:val="none"/>
                <w:lang w:bidi="ar"/>
              </w:rPr>
              <w:t>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泉舜集团有限公司及其关联方</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授信额度1</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.23亿元（敞口</w:t>
            </w:r>
            <w:r>
              <w:rPr>
                <w:rFonts w:hint="eastAsia" w:asciiTheme="minorEastAsia" w:hAnsiTheme="minorEastAsia" w:eastAsiaTheme="minorEastAsia" w:cstheme="minorEastAsia"/>
                <w:color w:val="000000"/>
                <w:kern w:val="0"/>
                <w:sz w:val="24"/>
                <w:szCs w:val="24"/>
                <w:highlight w:val="none"/>
                <w:lang w:val="en-US" w:eastAsia="zh-CN" w:bidi="ar"/>
              </w:rPr>
              <w:t>8</w:t>
            </w:r>
            <w:r>
              <w:rPr>
                <w:rFonts w:hint="eastAsia" w:asciiTheme="minorEastAsia" w:hAnsiTheme="minorEastAsia" w:eastAsiaTheme="minorEastAsia" w:cstheme="minorEastAsia"/>
                <w:color w:val="000000"/>
                <w:kern w:val="0"/>
                <w:sz w:val="24"/>
                <w:szCs w:val="24"/>
                <w:highlight w:val="none"/>
                <w:lang w:bidi="ar"/>
              </w:rPr>
              <w:t>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授信额度12亿元（敞口8亿元）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主要用于传统授信业务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东江环保股份有限公司</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w:t>
            </w:r>
            <w:r>
              <w:rPr>
                <w:rFonts w:hint="eastAsia" w:asciiTheme="minorEastAsia" w:hAnsiTheme="minorEastAsia" w:eastAsiaTheme="minorEastAsia" w:cstheme="minorEastAsia"/>
                <w:color w:val="000000"/>
                <w:kern w:val="0"/>
                <w:sz w:val="24"/>
                <w:szCs w:val="24"/>
                <w:highlight w:val="none"/>
                <w:lang w:val="en-US" w:eastAsia="zh-CN" w:bidi="ar"/>
              </w:rPr>
              <w:t>2</w:t>
            </w:r>
            <w:r>
              <w:rPr>
                <w:rFonts w:hint="eastAsia" w:asciiTheme="minorEastAsia" w:hAnsiTheme="minorEastAsia" w:eastAsiaTheme="minorEastAsia" w:cstheme="minorEastAsia"/>
                <w:color w:val="000000"/>
                <w:kern w:val="0"/>
                <w:sz w:val="24"/>
                <w:szCs w:val="24"/>
                <w:highlight w:val="none"/>
                <w:lang w:bidi="ar"/>
              </w:rPr>
              <w:t>亿元（敞口</w:t>
            </w:r>
            <w:r>
              <w:rPr>
                <w:rFonts w:hint="eastAsia" w:asciiTheme="minorEastAsia" w:hAnsiTheme="minorEastAsia" w:eastAsiaTheme="minorEastAsia" w:cstheme="minorEastAsia"/>
                <w:color w:val="000000"/>
                <w:kern w:val="0"/>
                <w:sz w:val="24"/>
                <w:szCs w:val="24"/>
                <w:highlight w:val="none"/>
                <w:lang w:val="en-US" w:eastAsia="zh-CN" w:bidi="ar"/>
              </w:rPr>
              <w:t>2</w:t>
            </w:r>
            <w:r>
              <w:rPr>
                <w:rFonts w:hint="eastAsia" w:asciiTheme="minorEastAsia" w:hAnsiTheme="minorEastAsia" w:eastAsiaTheme="minorEastAsia" w:cstheme="minorEastAsia"/>
                <w:color w:val="000000"/>
                <w:kern w:val="0"/>
                <w:sz w:val="24"/>
                <w:szCs w:val="24"/>
                <w:highlight w:val="none"/>
                <w:lang w:bidi="ar"/>
              </w:rPr>
              <w:t>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授信额度2亿元（敞口2亿元）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主要用于传统授信业务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大洲控股集团有限公司及其关联方</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w:t>
            </w:r>
            <w:r>
              <w:rPr>
                <w:rFonts w:hint="eastAsia" w:asciiTheme="minorEastAsia" w:hAnsiTheme="minorEastAsia" w:eastAsiaTheme="minorEastAsia" w:cstheme="minorEastAsia"/>
                <w:color w:val="000000"/>
                <w:kern w:val="0"/>
                <w:sz w:val="24"/>
                <w:szCs w:val="24"/>
                <w:highlight w:val="none"/>
                <w:lang w:val="en-US" w:eastAsia="zh-CN" w:bidi="ar"/>
              </w:rPr>
              <w:t>8</w:t>
            </w:r>
            <w:r>
              <w:rPr>
                <w:rFonts w:hint="eastAsia" w:asciiTheme="minorEastAsia" w:hAnsiTheme="minorEastAsia" w:eastAsiaTheme="minorEastAsia" w:cstheme="minorEastAsia"/>
                <w:color w:val="000000"/>
                <w:kern w:val="0"/>
                <w:sz w:val="24"/>
                <w:szCs w:val="24"/>
                <w:highlight w:val="none"/>
                <w:lang w:bidi="ar"/>
              </w:rPr>
              <w:t>亿元（敞口额度</w:t>
            </w:r>
            <w:r>
              <w:rPr>
                <w:rFonts w:hint="eastAsia" w:asciiTheme="minorEastAsia" w:hAnsiTheme="minorEastAsia" w:eastAsia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bidi="ar"/>
              </w:rPr>
              <w:t>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授信额度4亿元（敞口4亿元）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主要用于传统授信业务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8</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福建海西金融租赁有限责任公司</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授信额度3</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亿元（敞口2</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highlight w:val="none"/>
                <w:lang w:bidi="ar"/>
              </w:rPr>
              <w:t>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授信额度35亿元（敞口25亿元）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主要用于同业授信、同业交易、传统授信业务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关联自然人</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授信额度3亿元（敞口3亿元）</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授信额度3.2亿元（敞口3.2亿元）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主要用于信用卡、贷款等业务</w:t>
            </w:r>
          </w:p>
        </w:tc>
      </w:tr>
    </w:tbl>
    <w:p>
      <w:p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注：1.上述关联法人、关联自然人包括中国银保监会定义的关联方和中国证监会定义的关联方；</w:t>
      </w:r>
    </w:p>
    <w:p>
      <w:p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2.以上预计额度不构成本行对客户的承诺。预计额度内的关联交易实际发生时，将按本行授权制度履行业务风险及关联交易审批程序，实际交易方案以本行有权审批机构出具的书面批复为准；</w:t>
      </w:r>
    </w:p>
    <w:p>
      <w:p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3.上述授信类日常关联交易可以滚动发生，任一时点的余额不超过上述预计额度；</w:t>
      </w:r>
    </w:p>
    <w:p>
      <w:p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4.本次预计额度的有效期自本行20</w:t>
      </w:r>
      <w:r>
        <w:rPr>
          <w:rFonts w:hint="eastAsia" w:asciiTheme="minorEastAsia" w:hAnsiTheme="minorEastAsia" w:eastAsiaTheme="minorEastAsia" w:cstheme="minorEastAsia"/>
          <w:sz w:val="21"/>
          <w:szCs w:val="21"/>
          <w:highlight w:val="none"/>
          <w:lang w:val="en-US" w:eastAsia="zh-CN"/>
        </w:rPr>
        <w:t>22</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度</w:t>
      </w:r>
      <w:r>
        <w:rPr>
          <w:rFonts w:hint="eastAsia" w:asciiTheme="minorEastAsia" w:hAnsiTheme="minorEastAsia" w:eastAsiaTheme="minorEastAsia" w:cstheme="minorEastAsia"/>
          <w:sz w:val="21"/>
          <w:szCs w:val="21"/>
          <w:highlight w:val="none"/>
        </w:rPr>
        <w:t>股东大会审议通过之日起至20</w:t>
      </w:r>
      <w:r>
        <w:rPr>
          <w:rFonts w:hint="eastAsia" w:asciiTheme="minorEastAsia" w:hAnsiTheme="minorEastAsia" w:eastAsiaTheme="minorEastAsia" w:cstheme="minorEastAsia"/>
          <w:sz w:val="21"/>
          <w:szCs w:val="21"/>
          <w:highlight w:val="none"/>
          <w:lang w:val="en-US" w:eastAsia="zh-CN"/>
        </w:rPr>
        <w:t>23</w:t>
      </w:r>
      <w:r>
        <w:rPr>
          <w:rFonts w:hint="eastAsia" w:asciiTheme="minorEastAsia" w:hAnsiTheme="minorEastAsia" w:eastAsiaTheme="minorEastAsia" w:cstheme="minorEastAsia"/>
          <w:sz w:val="21"/>
          <w:szCs w:val="21"/>
          <w:highlight w:val="none"/>
        </w:rPr>
        <w:t>年度股东大会审议通过20</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年度日常关联交易预计额度之日止；</w:t>
      </w:r>
    </w:p>
    <w:p>
      <w:p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上述关联方的预计额度余额合计不超过大额风险暴露制度要求；传统授信包括但不限于贷款、银行承兑汇票、国内信用证等业务；同业交易额度项下仅限于承做由利率债质押的同业业务、深沪证券交易所债券逆回购、银行间市场债券逆回购、利率债债券借贷业务、外汇交易中心即期外汇交易等非敞口业务。</w:t>
      </w:r>
    </w:p>
    <w:p>
      <w:p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本行</w:t>
      </w:r>
      <w:r>
        <w:rPr>
          <w:rFonts w:hint="eastAsia" w:asciiTheme="minorEastAsia" w:hAnsiTheme="minorEastAsia" w:eastAsiaTheme="minorEastAsia" w:cstheme="minorEastAsia"/>
          <w:sz w:val="21"/>
          <w:szCs w:val="21"/>
          <w:highlight w:val="none"/>
          <w:lang w:val="en-US" w:eastAsia="zh-CN"/>
        </w:rPr>
        <w:t>2023年</w:t>
      </w:r>
      <w:r>
        <w:rPr>
          <w:rFonts w:hint="eastAsia" w:asciiTheme="minorEastAsia" w:hAnsiTheme="minorEastAsia" w:eastAsiaTheme="minorEastAsia" w:cstheme="minorEastAsia"/>
          <w:sz w:val="21"/>
          <w:szCs w:val="21"/>
          <w:highlight w:val="none"/>
        </w:rPr>
        <w:t>与福建七匹狼集团有限公司及其关联方、厦门国有资本运营有限责任公司及其关联方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i w:val="0"/>
          <w:color w:val="000000"/>
          <w:kern w:val="0"/>
          <w:sz w:val="21"/>
          <w:szCs w:val="21"/>
          <w:highlight w:val="none"/>
          <w:u w:val="none"/>
          <w:lang w:val="en-US" w:eastAsia="zh-CN" w:bidi="ar"/>
        </w:rPr>
        <w:t>福建海西金融租赁有限责任公司的</w:t>
      </w:r>
      <w:r>
        <w:rPr>
          <w:rFonts w:hint="eastAsia" w:asciiTheme="minorEastAsia" w:hAnsiTheme="minorEastAsia" w:eastAsiaTheme="minorEastAsia" w:cstheme="minorEastAsia"/>
          <w:sz w:val="21"/>
          <w:szCs w:val="21"/>
          <w:highlight w:val="none"/>
        </w:rPr>
        <w:t>预计额度</w:t>
      </w:r>
      <w:r>
        <w:rPr>
          <w:rFonts w:hint="eastAsia" w:asciiTheme="minorEastAsia" w:hAnsiTheme="minorEastAsia" w:eastAsiaTheme="minorEastAsia" w:cstheme="minorEastAsia"/>
          <w:sz w:val="21"/>
          <w:szCs w:val="21"/>
          <w:highlight w:val="none"/>
          <w:lang w:val="en-US" w:eastAsia="zh-CN"/>
        </w:rPr>
        <w:t>与上年度执行情况</w:t>
      </w:r>
      <w:r>
        <w:rPr>
          <w:rFonts w:hint="eastAsia" w:asciiTheme="minorEastAsia" w:hAnsiTheme="minorEastAsia" w:eastAsiaTheme="minorEastAsia" w:cstheme="minorEastAsia"/>
          <w:sz w:val="21"/>
          <w:szCs w:val="21"/>
          <w:highlight w:val="none"/>
        </w:rPr>
        <w:t>存在一定偏离，该情况系</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1）基于客户业务发展需求，本行拟继续与</w:t>
      </w:r>
      <w:r>
        <w:rPr>
          <w:rFonts w:hint="eastAsia" w:asciiTheme="minorEastAsia" w:hAnsiTheme="minorEastAsia" w:eastAsiaTheme="minorEastAsia" w:cstheme="minorEastAsia"/>
          <w:sz w:val="21"/>
          <w:szCs w:val="21"/>
          <w:highlight w:val="none"/>
        </w:rPr>
        <w:t>福建七匹狼集团有限公司及其关联方</w:t>
      </w:r>
      <w:r>
        <w:rPr>
          <w:rFonts w:hint="eastAsia" w:asciiTheme="minorEastAsia" w:hAnsiTheme="minorEastAsia" w:eastAsiaTheme="minorEastAsia" w:cstheme="minorEastAsia"/>
          <w:sz w:val="21"/>
          <w:szCs w:val="21"/>
          <w:highlight w:val="none"/>
          <w:lang w:val="en-US" w:eastAsia="zh-CN"/>
        </w:rPr>
        <w:t>建立业务合作、提供融资服务</w:t>
      </w:r>
      <w:r>
        <w:rPr>
          <w:rFonts w:hint="eastAsia" w:asciiTheme="minorEastAsia" w:hAnsiTheme="minorEastAsia" w:eastAsiaTheme="minorEastAsia" w:cstheme="minorEastAsia"/>
          <w:i w:val="0"/>
          <w:color w:val="000000"/>
          <w:sz w:val="21"/>
          <w:szCs w:val="21"/>
          <w:highlight w:val="none"/>
          <w:u w:val="none"/>
          <w:lang w:val="en-US" w:eastAsia="zh-CN"/>
        </w:rPr>
        <w:t>；（2）</w:t>
      </w:r>
      <w:r>
        <w:rPr>
          <w:rFonts w:hint="eastAsia" w:asciiTheme="minorEastAsia" w:hAnsiTheme="minorEastAsia" w:eastAsiaTheme="minorEastAsia" w:cstheme="minorEastAsia"/>
          <w:sz w:val="21"/>
          <w:szCs w:val="21"/>
          <w:highlight w:val="none"/>
        </w:rPr>
        <w:t>厦门国有资本运营有限责任公司</w:t>
      </w:r>
      <w:r>
        <w:rPr>
          <w:rFonts w:hint="eastAsia" w:asciiTheme="minorEastAsia" w:hAnsiTheme="minorEastAsia" w:eastAsiaTheme="minorEastAsia" w:cstheme="minorEastAsia"/>
          <w:sz w:val="21"/>
          <w:szCs w:val="21"/>
          <w:highlight w:val="none"/>
          <w:lang w:val="en-US" w:eastAsia="zh-CN"/>
        </w:rPr>
        <w:t>明确融资方案后，本行拟给予其不超过人民币8亿元的授信额度；</w:t>
      </w:r>
      <w:r>
        <w:rPr>
          <w:rFonts w:hint="eastAsia" w:asciiTheme="minorEastAsia" w:hAnsiTheme="minorEastAsia" w:eastAsiaTheme="minorEastAsia" w:cstheme="minorEastAsia"/>
          <w:i w:val="0"/>
          <w:color w:val="000000"/>
          <w:sz w:val="21"/>
          <w:szCs w:val="21"/>
          <w:highlight w:val="none"/>
          <w:u w:val="none"/>
          <w:lang w:val="en-US" w:eastAsia="zh-CN"/>
        </w:rPr>
        <w:t>（3）</w:t>
      </w:r>
      <w:r>
        <w:rPr>
          <w:rFonts w:hint="eastAsia" w:asciiTheme="minorEastAsia" w:hAnsiTheme="minorEastAsia" w:eastAsiaTheme="minorEastAsia" w:cstheme="minorEastAsia"/>
          <w:i w:val="0"/>
          <w:color w:val="000000"/>
          <w:kern w:val="0"/>
          <w:sz w:val="21"/>
          <w:szCs w:val="21"/>
          <w:highlight w:val="none"/>
          <w:u w:val="none"/>
          <w:lang w:val="en-US" w:eastAsia="zh-CN" w:bidi="ar"/>
        </w:rPr>
        <w:t>福建海西金融租赁有限责任公司资产规模逐渐扩大，并对</w:t>
      </w:r>
      <w:r>
        <w:rPr>
          <w:rFonts w:hint="eastAsia" w:asciiTheme="minorEastAsia" w:hAnsiTheme="minorEastAsia" w:eastAsiaTheme="minorEastAsia" w:cstheme="minorEastAsia"/>
          <w:sz w:val="21"/>
          <w:szCs w:val="21"/>
          <w:highlight w:val="none"/>
        </w:rPr>
        <w:t>业务增量需求</w:t>
      </w:r>
      <w:r>
        <w:rPr>
          <w:rFonts w:hint="eastAsia" w:asciiTheme="minorEastAsia" w:hAnsiTheme="minorEastAsia" w:eastAsiaTheme="minorEastAsia" w:cstheme="minorEastAsia"/>
          <w:sz w:val="21"/>
          <w:szCs w:val="21"/>
          <w:highlight w:val="none"/>
          <w:lang w:val="en-US" w:eastAsia="zh-CN"/>
        </w:rPr>
        <w:t>有</w:t>
      </w:r>
      <w:r>
        <w:rPr>
          <w:rFonts w:hint="eastAsia" w:asciiTheme="minorEastAsia" w:hAnsiTheme="minorEastAsia" w:eastAsiaTheme="minorEastAsia" w:cstheme="minorEastAsia"/>
          <w:sz w:val="21"/>
          <w:szCs w:val="21"/>
          <w:highlight w:val="none"/>
        </w:rPr>
        <w:t>意向</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因此今年预计额度拟调增5亿元。</w:t>
      </w:r>
    </w:p>
    <w:p>
      <w:pPr>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pPr>
        <w:adjustRightInd w:val="0"/>
        <w:snapToGrid w:val="0"/>
        <w:spacing w:line="360" w:lineRule="auto"/>
        <w:ind w:firstLine="482" w:firstLineChars="200"/>
        <w:rPr>
          <w:rFonts w:hint="eastAsia" w:asciiTheme="minorEastAsia" w:hAnsiTheme="minorEastAsia" w:eastAsiaTheme="minorEastAsia" w:cstheme="minorEastAsia"/>
          <w:b/>
          <w:bCs/>
          <w:color w:val="FF0000"/>
          <w:sz w:val="24"/>
          <w:highlight w:val="none"/>
          <w:lang w:val="en-US" w:eastAsia="zh-CN"/>
        </w:rPr>
      </w:pPr>
      <w:r>
        <w:rPr>
          <w:rFonts w:hint="eastAsia" w:asciiTheme="minorEastAsia" w:hAnsiTheme="minorEastAsia" w:eastAsiaTheme="minorEastAsia" w:cstheme="minorEastAsia"/>
          <w:b/>
          <w:bCs/>
          <w:sz w:val="24"/>
          <w:highlight w:val="none"/>
        </w:rPr>
        <w:t>二、关联方介绍和关联关系</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一</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厦门金圆投资集团有限公司及其关联方</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厦门金圆投资集团有限公司（统一社会信用代码：9135020057503085XG）</w:t>
      </w:r>
      <w:r>
        <w:rPr>
          <w:rFonts w:hint="eastAsia" w:asciiTheme="minorEastAsia" w:hAnsiTheme="minorEastAsia" w:eastAsiaTheme="minorEastAsia" w:cstheme="minorEastAsia"/>
          <w:sz w:val="24"/>
          <w:highlight w:val="none"/>
          <w:lang w:val="en-US" w:eastAsia="zh-CN"/>
        </w:rPr>
        <w:t>为</w:t>
      </w:r>
      <w:r>
        <w:rPr>
          <w:rFonts w:hint="eastAsia" w:asciiTheme="minorEastAsia" w:hAnsiTheme="minorEastAsia" w:eastAsiaTheme="minorEastAsia" w:cstheme="minorEastAsia"/>
          <w:sz w:val="24"/>
          <w:highlight w:val="none"/>
        </w:rPr>
        <w:t>国有企业，</w:t>
      </w:r>
      <w:r>
        <w:rPr>
          <w:rFonts w:hint="eastAsia" w:asciiTheme="minorEastAsia" w:hAnsiTheme="minorEastAsia" w:eastAsiaTheme="minorEastAsia" w:cstheme="minorEastAsia"/>
          <w:sz w:val="24"/>
          <w:highlight w:val="none"/>
          <w:lang w:eastAsia="zh-CN"/>
        </w:rPr>
        <w:t>成立于</w:t>
      </w:r>
      <w:r>
        <w:rPr>
          <w:rFonts w:hint="eastAsia" w:asciiTheme="minorEastAsia" w:hAnsiTheme="minorEastAsia" w:eastAsiaTheme="minorEastAsia" w:cstheme="minorEastAsia"/>
          <w:sz w:val="24"/>
          <w:highlight w:val="none"/>
          <w:lang w:val="en-US" w:eastAsia="zh-CN"/>
        </w:rPr>
        <w:t>2011年7月13日，</w:t>
      </w:r>
      <w:r>
        <w:rPr>
          <w:rFonts w:hint="eastAsia" w:asciiTheme="minorEastAsia" w:hAnsiTheme="minorEastAsia" w:eastAsiaTheme="minorEastAsia" w:cstheme="minorEastAsia"/>
          <w:sz w:val="24"/>
          <w:highlight w:val="none"/>
        </w:rPr>
        <w:t>控股股东为厦门市财政局，</w:t>
      </w:r>
      <w:r>
        <w:rPr>
          <w:rFonts w:hint="eastAsia" w:asciiTheme="minorEastAsia" w:hAnsiTheme="minorEastAsia" w:eastAsiaTheme="minorEastAsia" w:cstheme="minorEastAsia"/>
          <w:sz w:val="24"/>
          <w:highlight w:val="none"/>
          <w:lang w:eastAsia="zh-CN"/>
        </w:rPr>
        <w:t>注册地址为思明区展鸿路</w:t>
      </w:r>
      <w:r>
        <w:rPr>
          <w:rFonts w:hint="eastAsia" w:asciiTheme="minorEastAsia" w:hAnsiTheme="minorEastAsia" w:eastAsiaTheme="minorEastAsia" w:cstheme="minorEastAsia"/>
          <w:sz w:val="24"/>
          <w:highlight w:val="none"/>
          <w:lang w:val="en-US" w:eastAsia="zh-CN"/>
        </w:rPr>
        <w:t>82号厦门国际金融中心46层4610-4620单元，</w:t>
      </w:r>
      <w:r>
        <w:rPr>
          <w:rFonts w:hint="eastAsia" w:asciiTheme="minorEastAsia" w:hAnsiTheme="minorEastAsia" w:eastAsiaTheme="minorEastAsia" w:cstheme="minorEastAsia"/>
          <w:sz w:val="24"/>
          <w:highlight w:val="none"/>
        </w:rPr>
        <w:t>法定代表人檀庄龙，注册资本</w:t>
      </w:r>
      <w:r>
        <w:rPr>
          <w:rFonts w:hint="eastAsia" w:asciiTheme="minorEastAsia" w:hAnsiTheme="minorEastAsia" w:eastAsiaTheme="minorEastAsia" w:cstheme="minorEastAsia"/>
          <w:sz w:val="24"/>
          <w:highlight w:val="none"/>
          <w:lang w:val="en-US" w:eastAsia="zh-CN"/>
        </w:rPr>
        <w:t>226.16</w:t>
      </w:r>
      <w:r>
        <w:rPr>
          <w:rFonts w:hint="eastAsia" w:asciiTheme="minorEastAsia" w:hAnsiTheme="minorEastAsia" w:eastAsiaTheme="minorEastAsia" w:cstheme="minorEastAsia"/>
          <w:sz w:val="24"/>
          <w:highlight w:val="none"/>
        </w:rPr>
        <w:t>亿元，主营业务包括产业投资和股权投资的管理与运营、土地综合开发与运营、以及对金融、工业、文化、服务、信息等行业的投资与运营等。截至202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年9月末，厦门金圆投资集团有限公司资产总额</w:t>
      </w:r>
      <w:r>
        <w:rPr>
          <w:rFonts w:hint="eastAsia" w:asciiTheme="minorEastAsia" w:hAnsiTheme="minorEastAsia" w:eastAsiaTheme="minorEastAsia" w:cstheme="minorEastAsia"/>
          <w:sz w:val="24"/>
          <w:highlight w:val="none"/>
          <w:lang w:val="en-US" w:eastAsia="zh-CN"/>
        </w:rPr>
        <w:t>603.64</w:t>
      </w:r>
      <w:r>
        <w:rPr>
          <w:rFonts w:hint="eastAsia" w:asciiTheme="minorEastAsia" w:hAnsiTheme="minorEastAsia" w:eastAsiaTheme="minorEastAsia" w:cstheme="minorEastAsia"/>
          <w:sz w:val="24"/>
          <w:highlight w:val="none"/>
        </w:rPr>
        <w:t>亿元，净资产</w:t>
      </w:r>
      <w:r>
        <w:rPr>
          <w:rFonts w:hint="eastAsia" w:asciiTheme="minorEastAsia" w:hAnsiTheme="minorEastAsia" w:eastAsiaTheme="minorEastAsia" w:cstheme="minorEastAsia"/>
          <w:sz w:val="24"/>
          <w:highlight w:val="none"/>
          <w:lang w:val="en-US" w:eastAsia="zh-CN"/>
        </w:rPr>
        <w:t>282.27</w:t>
      </w:r>
      <w:r>
        <w:rPr>
          <w:rFonts w:hint="eastAsia" w:asciiTheme="minorEastAsia" w:hAnsiTheme="minorEastAsia" w:eastAsiaTheme="minorEastAsia" w:cstheme="minorEastAsia"/>
          <w:sz w:val="24"/>
          <w:highlight w:val="none"/>
        </w:rPr>
        <w:t>亿元，实现营业收入</w:t>
      </w:r>
      <w:r>
        <w:rPr>
          <w:rFonts w:hint="eastAsia" w:asciiTheme="minorEastAsia" w:hAnsiTheme="minorEastAsia" w:eastAsiaTheme="minorEastAsia" w:cstheme="minorEastAsia"/>
          <w:sz w:val="24"/>
          <w:highlight w:val="none"/>
          <w:lang w:val="en-US" w:eastAsia="zh-CN"/>
        </w:rPr>
        <w:t>67.52</w:t>
      </w:r>
      <w:r>
        <w:rPr>
          <w:rFonts w:hint="eastAsia" w:asciiTheme="minorEastAsia" w:hAnsiTheme="minorEastAsia" w:eastAsiaTheme="minorEastAsia" w:cstheme="minorEastAsia"/>
          <w:sz w:val="24"/>
          <w:highlight w:val="none"/>
        </w:rPr>
        <w:t>亿元，净利润</w:t>
      </w:r>
      <w:r>
        <w:rPr>
          <w:rFonts w:hint="eastAsia" w:asciiTheme="minorEastAsia" w:hAnsiTheme="minorEastAsia" w:eastAsiaTheme="minorEastAsia" w:cstheme="minorEastAsia"/>
          <w:sz w:val="24"/>
          <w:highlight w:val="none"/>
          <w:lang w:val="en-US" w:eastAsia="zh-CN"/>
        </w:rPr>
        <w:t>15.78</w:t>
      </w:r>
      <w:r>
        <w:rPr>
          <w:rFonts w:hint="eastAsia" w:asciiTheme="minorEastAsia" w:hAnsiTheme="minorEastAsia" w:eastAsiaTheme="minorEastAsia" w:cstheme="minorEastAsia"/>
          <w:sz w:val="24"/>
          <w:highlight w:val="none"/>
        </w:rPr>
        <w:t>亿元。</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b/>
          <w:bCs/>
          <w:color w:val="FF0000"/>
          <w:sz w:val="24"/>
          <w:highlight w:val="none"/>
          <w:lang w:val="en-US" w:eastAsia="zh-CN"/>
        </w:rPr>
      </w:pPr>
      <w:r>
        <w:rPr>
          <w:rFonts w:hint="eastAsia" w:asciiTheme="minorEastAsia" w:hAnsiTheme="minorEastAsia" w:eastAsiaTheme="minorEastAsia" w:cstheme="minorEastAsia"/>
          <w:sz w:val="24"/>
          <w:highlight w:val="none"/>
        </w:rPr>
        <w:t>厦门金圆投资集团有限公司为本行董事檀庄龙先生</w:t>
      </w:r>
      <w:r>
        <w:rPr>
          <w:rFonts w:hint="eastAsia" w:asciiTheme="minorEastAsia" w:hAnsiTheme="minorEastAsia" w:eastAsiaTheme="minorEastAsia" w:cstheme="minorEastAsia"/>
          <w:sz w:val="24"/>
          <w:highlight w:val="none"/>
          <w:lang w:val="en-US" w:eastAsia="zh-CN"/>
        </w:rPr>
        <w:t>担任</w:t>
      </w:r>
      <w:r>
        <w:rPr>
          <w:rFonts w:hint="eastAsia" w:asciiTheme="minorEastAsia" w:hAnsiTheme="minorEastAsia" w:eastAsiaTheme="minorEastAsia" w:cstheme="minorEastAsia"/>
          <w:sz w:val="24"/>
          <w:highlight w:val="none"/>
        </w:rPr>
        <w:t>董事长</w:t>
      </w:r>
      <w:r>
        <w:rPr>
          <w:rFonts w:hint="eastAsia" w:asciiTheme="minorEastAsia" w:hAnsiTheme="minorEastAsia" w:eastAsiaTheme="minorEastAsia" w:cstheme="minorEastAsia"/>
          <w:sz w:val="24"/>
          <w:highlight w:val="none"/>
          <w:lang w:val="en-US" w:eastAsia="zh-CN"/>
        </w:rPr>
        <w:t>的企业</w:t>
      </w:r>
      <w:r>
        <w:rPr>
          <w:rFonts w:hint="eastAsia" w:asciiTheme="minorEastAsia" w:hAnsiTheme="minorEastAsia" w:eastAsiaTheme="minorEastAsia" w:cstheme="minorEastAsia"/>
          <w:sz w:val="24"/>
          <w:highlight w:val="none"/>
        </w:rPr>
        <w:t>，且持有本行</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以上</w:t>
      </w:r>
      <w:r>
        <w:rPr>
          <w:rFonts w:hint="eastAsia" w:asciiTheme="minorEastAsia" w:hAnsiTheme="minorEastAsia" w:eastAsiaTheme="minorEastAsia" w:cstheme="minorEastAsia"/>
          <w:sz w:val="24"/>
          <w:highlight w:val="none"/>
        </w:rPr>
        <w:t>股份，符合《上海证券交易所股票上市规则》第6.3.3条第二款第三项、第四项中规定的关联关系情形</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符合</w:t>
      </w:r>
      <w:r>
        <w:rPr>
          <w:rFonts w:hint="eastAsia" w:asciiTheme="minorEastAsia" w:hAnsiTheme="minorEastAsia" w:eastAsiaTheme="minorEastAsia" w:cstheme="minorEastAsia"/>
          <w:sz w:val="24"/>
          <w:highlight w:val="none"/>
        </w:rPr>
        <w:t>《银行保险机构关联交易管理办法》第七条第</w:t>
      </w:r>
      <w:r>
        <w:rPr>
          <w:rFonts w:hint="eastAsia" w:asciiTheme="minorEastAsia" w:hAnsiTheme="minorEastAsia" w:eastAsiaTheme="minorEastAsia" w:cstheme="minorEastAsia"/>
          <w:sz w:val="24"/>
          <w:highlight w:val="none"/>
          <w:lang w:val="en-US" w:eastAsia="zh-CN"/>
        </w:rPr>
        <w:t>二</w:t>
      </w:r>
      <w:r>
        <w:rPr>
          <w:rFonts w:hint="eastAsia" w:asciiTheme="minorEastAsia" w:hAnsiTheme="minorEastAsia" w:eastAsiaTheme="minorEastAsia" w:cstheme="minorEastAsia"/>
          <w:sz w:val="24"/>
          <w:highlight w:val="none"/>
        </w:rPr>
        <w:t>项中规定的关联关系情形。</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b/>
          <w:bCs/>
          <w:color w:val="FF0000"/>
          <w:sz w:val="24"/>
          <w:highlight w:val="none"/>
          <w:lang w:val="en-US" w:eastAsia="zh-CN"/>
        </w:rPr>
      </w:pPr>
      <w:r>
        <w:rPr>
          <w:rFonts w:hint="eastAsia" w:asciiTheme="minorEastAsia" w:hAnsiTheme="minorEastAsia" w:eastAsiaTheme="minorEastAsia" w:cstheme="minorEastAsia"/>
          <w:b/>
          <w:bCs/>
          <w:sz w:val="24"/>
          <w:highlight w:val="none"/>
          <w:lang w:val="en-US" w:eastAsia="zh-CN"/>
        </w:rPr>
        <w:t>（二）富邦金融控股股份有限公司</w:t>
      </w:r>
      <w:r>
        <w:rPr>
          <w:rFonts w:hint="eastAsia" w:asciiTheme="minorEastAsia" w:hAnsiTheme="minorEastAsia" w:eastAsiaTheme="minorEastAsia" w:cstheme="minorEastAsia"/>
          <w:b/>
          <w:bCs/>
          <w:sz w:val="24"/>
          <w:highlight w:val="none"/>
        </w:rPr>
        <w:t>（下称“富邦</w:t>
      </w:r>
      <w:r>
        <w:rPr>
          <w:rFonts w:hint="eastAsia" w:asciiTheme="minorEastAsia" w:hAnsiTheme="minorEastAsia" w:eastAsiaTheme="minorEastAsia" w:cstheme="minorEastAsia"/>
          <w:b/>
          <w:bCs/>
          <w:sz w:val="24"/>
          <w:highlight w:val="none"/>
          <w:lang w:val="en-US" w:eastAsia="zh-CN"/>
        </w:rPr>
        <w:t>金控</w:t>
      </w:r>
      <w:r>
        <w:rPr>
          <w:rFonts w:hint="eastAsia" w:asciiTheme="minorEastAsia" w:hAnsiTheme="minorEastAsia" w:eastAsiaTheme="minorEastAsia" w:cstheme="minorEastAsia"/>
          <w:b/>
          <w:bCs/>
          <w:sz w:val="24"/>
          <w:highlight w:val="none"/>
        </w:rPr>
        <w:t>”）</w:t>
      </w:r>
      <w:r>
        <w:rPr>
          <w:rFonts w:hint="eastAsia" w:asciiTheme="minorEastAsia" w:hAnsiTheme="minorEastAsia" w:eastAsiaTheme="minorEastAsia" w:cstheme="minorEastAsia"/>
          <w:b/>
          <w:bCs/>
          <w:sz w:val="24"/>
          <w:highlight w:val="none"/>
          <w:lang w:val="en-US" w:eastAsia="zh-CN"/>
        </w:rPr>
        <w:t>及其关联方</w:t>
      </w:r>
    </w:p>
    <w:p>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1.</w:t>
      </w:r>
      <w:r>
        <w:rPr>
          <w:rFonts w:hint="eastAsia" w:asciiTheme="minorEastAsia" w:hAnsiTheme="minorEastAsia" w:eastAsiaTheme="minorEastAsia" w:cstheme="minorEastAsia"/>
          <w:b/>
          <w:bCs/>
          <w:sz w:val="24"/>
          <w:highlight w:val="none"/>
        </w:rPr>
        <w:t>富邦华一银行有限公司（下称“富邦华一银行”）</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富邦华一银行（统一社会信用代码：913100006073684694）成立于1997年3月20日，公司类型为有限责任公司（台港澳合资），法定代表人为马立新，注册地址为中国（上海）自由贸易试验区世纪大道1168号A座101室、18楼、19楼及20楼，经营范围为在下列范围内经营对各类客户的外汇业务和人民币业务：吸收公众存款；发放短期、中期和长期贷款；办理票据承兑与贴现；买卖政府债券、金融债券，买卖股票以外的其他外币有价证券；提供信用证服务及担保；办理国内外结算；买卖、代理买卖外汇；代理保险；从事同业拆借；从事银行卡业务；提供保管箱服务；提供资信调查和咨询服务；经中国银行业监督管理委员会批准的其他业务。富邦华一银行注册资本为人民币2</w:t>
      </w:r>
      <w:r>
        <w:rPr>
          <w:rFonts w:hint="eastAsia" w:asciiTheme="minorEastAsia" w:hAnsiTheme="minorEastAsia" w:eastAsiaTheme="minorEastAsia" w:cstheme="minorEastAsia"/>
          <w:sz w:val="24"/>
          <w:highlight w:val="none"/>
          <w:lang w:val="en-US" w:eastAsia="zh-CN"/>
        </w:rPr>
        <w:t>4.45</w:t>
      </w:r>
      <w:r>
        <w:rPr>
          <w:rFonts w:hint="eastAsia" w:asciiTheme="minorEastAsia" w:hAnsiTheme="minorEastAsia" w:eastAsiaTheme="minorEastAsia" w:cstheme="minorEastAsia"/>
          <w:sz w:val="24"/>
          <w:highlight w:val="none"/>
        </w:rPr>
        <w:t>亿元，其中富邦金控持股4</w:t>
      </w:r>
      <w:r>
        <w:rPr>
          <w:rFonts w:hint="eastAsia" w:asciiTheme="minorEastAsia" w:hAnsiTheme="minorEastAsia" w:eastAsiaTheme="minorEastAsia" w:cstheme="minorEastAsia"/>
          <w:sz w:val="24"/>
          <w:highlight w:val="none"/>
          <w:lang w:val="en-US" w:eastAsia="zh-CN"/>
        </w:rPr>
        <w:t>2.09</w:t>
      </w:r>
      <w:r>
        <w:rPr>
          <w:rFonts w:hint="eastAsia" w:asciiTheme="minorEastAsia" w:hAnsiTheme="minorEastAsia" w:eastAsiaTheme="minorEastAsia" w:cstheme="minorEastAsia"/>
          <w:sz w:val="24"/>
          <w:highlight w:val="none"/>
        </w:rPr>
        <w:t>%、台北富邦商业银行股份有限公司（下称“台北富邦银行”）持股</w:t>
      </w:r>
      <w:r>
        <w:rPr>
          <w:rFonts w:hint="eastAsia" w:asciiTheme="minorEastAsia" w:hAnsiTheme="minorEastAsia" w:eastAsiaTheme="minorEastAsia" w:cstheme="minorEastAsia"/>
          <w:sz w:val="24"/>
          <w:highlight w:val="none"/>
          <w:lang w:val="en-US" w:eastAsia="zh-CN"/>
        </w:rPr>
        <w:t>57.91</w:t>
      </w:r>
      <w:r>
        <w:rPr>
          <w:rFonts w:hint="eastAsia" w:asciiTheme="minorEastAsia" w:hAnsiTheme="minorEastAsia" w:eastAsiaTheme="minorEastAsia" w:cstheme="minorEastAsia"/>
          <w:sz w:val="24"/>
          <w:highlight w:val="none"/>
        </w:rPr>
        <w:t>%，台北富邦银行为富邦金控全资子公司。截至202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年9月末，富邦华一银行资产总额</w:t>
      </w:r>
      <w:r>
        <w:rPr>
          <w:rFonts w:hint="eastAsia" w:asciiTheme="minorEastAsia" w:hAnsiTheme="minorEastAsia" w:eastAsiaTheme="minorEastAsia" w:cstheme="minorEastAsia"/>
          <w:sz w:val="24"/>
          <w:highlight w:val="none"/>
          <w:lang w:val="en-US" w:eastAsia="zh-CN"/>
        </w:rPr>
        <w:t>1346.44</w:t>
      </w:r>
      <w:r>
        <w:rPr>
          <w:rFonts w:hint="eastAsia" w:asciiTheme="minorEastAsia" w:hAnsiTheme="minorEastAsia" w:eastAsiaTheme="minorEastAsia" w:cstheme="minorEastAsia"/>
          <w:sz w:val="24"/>
          <w:highlight w:val="none"/>
        </w:rPr>
        <w:t>亿元，净资产</w:t>
      </w:r>
      <w:r>
        <w:rPr>
          <w:rFonts w:hint="eastAsia" w:asciiTheme="minorEastAsia" w:hAnsiTheme="minorEastAsia" w:eastAsiaTheme="minorEastAsia" w:cstheme="minorEastAsia"/>
          <w:sz w:val="24"/>
          <w:highlight w:val="none"/>
          <w:lang w:val="en-US" w:eastAsia="zh-CN"/>
        </w:rPr>
        <w:t>85.67</w:t>
      </w:r>
      <w:r>
        <w:rPr>
          <w:rFonts w:hint="eastAsia" w:asciiTheme="minorEastAsia" w:hAnsiTheme="minorEastAsia" w:eastAsiaTheme="minorEastAsia" w:cstheme="minorEastAsia"/>
          <w:sz w:val="24"/>
          <w:highlight w:val="none"/>
        </w:rPr>
        <w:t>亿元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年1-9月实现</w:t>
      </w:r>
      <w:r>
        <w:rPr>
          <w:rFonts w:hint="eastAsia" w:asciiTheme="minorEastAsia" w:hAnsiTheme="minorEastAsia" w:eastAsiaTheme="minorEastAsia" w:cstheme="minorEastAsia"/>
          <w:sz w:val="24"/>
          <w:highlight w:val="none"/>
          <w:lang w:val="en-US" w:eastAsia="zh-CN"/>
        </w:rPr>
        <w:t>营业收入39.61亿元，净利润3.84亿元</w:t>
      </w:r>
      <w:r>
        <w:rPr>
          <w:rFonts w:hint="eastAsia" w:asciiTheme="minorEastAsia" w:hAnsiTheme="minorEastAsia" w:eastAsiaTheme="minorEastAsia" w:cstheme="minorEastAsia"/>
          <w:sz w:val="24"/>
          <w:highlight w:val="none"/>
        </w:rPr>
        <w:t>。</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富邦华一银行为持有本行5%以上股份的股东富邦金控的关联方，符合《上海证券交易所股票上市规则》第6.3.3条</w:t>
      </w:r>
      <w:r>
        <w:rPr>
          <w:rFonts w:hint="eastAsia" w:asciiTheme="minorEastAsia" w:hAnsiTheme="minorEastAsia" w:eastAsiaTheme="minorEastAsia" w:cstheme="minorEastAsia"/>
          <w:sz w:val="24"/>
          <w:highlight w:val="none"/>
          <w:lang w:val="en-US" w:eastAsia="zh-CN"/>
        </w:rPr>
        <w:t>第二款</w:t>
      </w:r>
      <w:r>
        <w:rPr>
          <w:rFonts w:hint="eastAsia" w:asciiTheme="minorEastAsia" w:hAnsiTheme="minorEastAsia" w:eastAsiaTheme="minorEastAsia" w:cstheme="minorEastAsia"/>
          <w:sz w:val="24"/>
          <w:highlight w:val="none"/>
        </w:rPr>
        <w:t>第四项中规定的关联关系情形、符合《银行保险机构关联交易管理办法》第七条第三项中规定的关联关系情形。</w:t>
      </w:r>
    </w:p>
    <w:p>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2.</w:t>
      </w:r>
      <w:r>
        <w:rPr>
          <w:rFonts w:hint="eastAsia" w:asciiTheme="minorEastAsia" w:hAnsiTheme="minorEastAsia" w:eastAsiaTheme="minorEastAsia" w:cstheme="minorEastAsia"/>
          <w:b/>
          <w:bCs/>
          <w:sz w:val="24"/>
          <w:highlight w:val="none"/>
        </w:rPr>
        <w:t>台北富邦商业银行股份有限公司</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台北富邦银行为富邦金控全资子公司，由台北银行与富邦银行于2005年1月1日正式整并而成，董事长为陈圣德，地址为台北市中山区中山北路2段50号，主要提供各地法人、个人客户所需之存款、放款、外汇、财富管理、信托、信用卡及电子商务等金融服务。</w:t>
      </w:r>
      <w:r>
        <w:rPr>
          <w:rFonts w:hint="eastAsia" w:asciiTheme="minorEastAsia" w:hAnsiTheme="minorEastAsia" w:eastAsiaTheme="minorEastAsia" w:cstheme="minorEastAsia"/>
          <w:color w:val="auto"/>
          <w:sz w:val="24"/>
          <w:highlight w:val="none"/>
        </w:rPr>
        <w:t>截至202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年9月末，台北富邦银行资产总额（折合人民币</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下同）</w:t>
      </w:r>
      <w:r>
        <w:rPr>
          <w:rFonts w:hint="eastAsia" w:asciiTheme="minorEastAsia" w:hAnsiTheme="minorEastAsia" w:eastAsiaTheme="minorEastAsia" w:cstheme="minorEastAsia"/>
          <w:color w:val="auto"/>
          <w:sz w:val="24"/>
          <w:highlight w:val="none"/>
          <w:lang w:val="en-US" w:eastAsia="zh-CN"/>
        </w:rPr>
        <w:t>7574.27</w:t>
      </w:r>
      <w:r>
        <w:rPr>
          <w:rFonts w:hint="eastAsia" w:asciiTheme="minorEastAsia" w:hAnsiTheme="minorEastAsia" w:eastAsiaTheme="minorEastAsia" w:cstheme="minorEastAsia"/>
          <w:color w:val="auto"/>
          <w:sz w:val="24"/>
          <w:highlight w:val="none"/>
        </w:rPr>
        <w:t>亿元，净资产</w:t>
      </w:r>
      <w:r>
        <w:rPr>
          <w:rFonts w:hint="eastAsia" w:asciiTheme="minorEastAsia" w:hAnsiTheme="minorEastAsia" w:eastAsiaTheme="minorEastAsia" w:cstheme="minorEastAsia"/>
          <w:color w:val="auto"/>
          <w:sz w:val="24"/>
          <w:highlight w:val="none"/>
          <w:lang w:val="en-US" w:eastAsia="zh-CN"/>
        </w:rPr>
        <w:t>514.91</w:t>
      </w:r>
      <w:r>
        <w:rPr>
          <w:rFonts w:hint="eastAsia" w:asciiTheme="minorEastAsia" w:hAnsiTheme="minorEastAsia" w:eastAsiaTheme="minorEastAsia" w:cstheme="minorEastAsia"/>
          <w:color w:val="auto"/>
          <w:sz w:val="24"/>
          <w:highlight w:val="none"/>
        </w:rPr>
        <w:t>亿元</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年1-9月实现营业收入</w:t>
      </w:r>
      <w:r>
        <w:rPr>
          <w:rFonts w:hint="eastAsia" w:asciiTheme="minorEastAsia" w:hAnsiTheme="minorEastAsia" w:eastAsiaTheme="minorEastAsia" w:cstheme="minorEastAsia"/>
          <w:sz w:val="24"/>
          <w:highlight w:val="none"/>
          <w:lang w:val="en-US" w:eastAsia="zh-CN"/>
        </w:rPr>
        <w:t>87.77</w:t>
      </w:r>
      <w:r>
        <w:rPr>
          <w:rFonts w:hint="eastAsia" w:asciiTheme="minorEastAsia" w:hAnsiTheme="minorEastAsia" w:eastAsiaTheme="minorEastAsia" w:cstheme="minorEastAsia"/>
          <w:sz w:val="24"/>
          <w:highlight w:val="none"/>
        </w:rPr>
        <w:t>亿元，净利润</w:t>
      </w:r>
      <w:r>
        <w:rPr>
          <w:rFonts w:hint="eastAsia" w:asciiTheme="minorEastAsia" w:hAnsiTheme="minorEastAsia" w:eastAsiaTheme="minorEastAsia" w:cstheme="minorEastAsia"/>
          <w:sz w:val="24"/>
          <w:highlight w:val="none"/>
          <w:lang w:val="en-US" w:eastAsia="zh-CN"/>
        </w:rPr>
        <w:t>41.98</w:t>
      </w:r>
      <w:r>
        <w:rPr>
          <w:rFonts w:hint="eastAsia" w:asciiTheme="minorEastAsia" w:hAnsiTheme="minorEastAsia" w:eastAsiaTheme="minorEastAsia" w:cstheme="minorEastAsia"/>
          <w:sz w:val="24"/>
          <w:highlight w:val="none"/>
        </w:rPr>
        <w:t>亿元。</w:t>
      </w:r>
      <w:r>
        <w:rPr>
          <w:rStyle w:val="23"/>
          <w:rFonts w:hint="eastAsia" w:asciiTheme="minorEastAsia" w:hAnsiTheme="minorEastAsia" w:eastAsiaTheme="minorEastAsia" w:cstheme="minorEastAsia"/>
          <w:color w:val="auto"/>
          <w:sz w:val="24"/>
          <w:highlight w:val="none"/>
        </w:rPr>
        <w:footnoteReference w:id="4"/>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台北富邦银行为持有本行5%以上股份的股东富邦金控的关联方，符合《上海证券交易所股票上市规则》第6.3.3条</w:t>
      </w:r>
      <w:r>
        <w:rPr>
          <w:rFonts w:hint="eastAsia" w:asciiTheme="minorEastAsia" w:hAnsiTheme="minorEastAsia" w:eastAsiaTheme="minorEastAsia" w:cstheme="minorEastAsia"/>
          <w:sz w:val="24"/>
          <w:highlight w:val="none"/>
          <w:lang w:val="en-US" w:eastAsia="zh-CN"/>
        </w:rPr>
        <w:t>第二款</w:t>
      </w:r>
      <w:r>
        <w:rPr>
          <w:rFonts w:hint="eastAsia" w:asciiTheme="minorEastAsia" w:hAnsiTheme="minorEastAsia" w:eastAsiaTheme="minorEastAsia" w:cstheme="minorEastAsia"/>
          <w:sz w:val="24"/>
          <w:highlight w:val="none"/>
        </w:rPr>
        <w:t>第四项中规定的关联关系情形、符合《银行保险机构关联交易管理办法》第七条第三项中规定的关联关系情形。</w:t>
      </w:r>
    </w:p>
    <w:p>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3.</w:t>
      </w:r>
      <w:r>
        <w:rPr>
          <w:rFonts w:hint="eastAsia" w:asciiTheme="minorEastAsia" w:hAnsiTheme="minorEastAsia" w:eastAsiaTheme="minorEastAsia" w:cstheme="minorEastAsia"/>
          <w:b/>
          <w:bCs/>
          <w:sz w:val="24"/>
          <w:highlight w:val="none"/>
        </w:rPr>
        <w:t>富邦银行（香港）有限公司</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富邦银行（香港）有限公司是富邦金控的全资子公司，董事长为蔡明忠，地址为香港中环德辅道中38号富邦银行大厦，为客户提供全面的优质银行服务，包括零售及商业银行、财富管理、金融市场、证券及投资服务</w:t>
      </w:r>
      <w:r>
        <w:rPr>
          <w:rFonts w:hint="eastAsia" w:asciiTheme="minorEastAsia" w:hAnsiTheme="minorEastAsia" w:eastAsiaTheme="minorEastAsia" w:cstheme="minorEastAsia"/>
          <w:color w:val="auto"/>
          <w:sz w:val="24"/>
          <w:highlight w:val="none"/>
        </w:rPr>
        <w:t>。截至202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年6月末，富邦银行（香港）有限公司总资产（折合人民币，下同）</w:t>
      </w:r>
      <w:r>
        <w:rPr>
          <w:rFonts w:hint="eastAsia" w:asciiTheme="minorEastAsia" w:hAnsiTheme="minorEastAsia" w:eastAsiaTheme="minorEastAsia" w:cstheme="minorEastAsia"/>
          <w:color w:val="auto"/>
          <w:sz w:val="24"/>
          <w:highlight w:val="none"/>
          <w:lang w:val="en-US" w:eastAsia="zh-CN"/>
        </w:rPr>
        <w:t>1059.86</w:t>
      </w:r>
      <w:r>
        <w:rPr>
          <w:rFonts w:hint="eastAsia" w:asciiTheme="minorEastAsia" w:hAnsiTheme="minorEastAsia" w:eastAsiaTheme="minorEastAsia" w:cstheme="minorEastAsia"/>
          <w:color w:val="auto"/>
          <w:sz w:val="24"/>
          <w:highlight w:val="none"/>
        </w:rPr>
        <w:t>亿元，净资产</w:t>
      </w:r>
      <w:r>
        <w:rPr>
          <w:rFonts w:hint="eastAsia" w:asciiTheme="minorEastAsia" w:hAnsiTheme="minorEastAsia" w:eastAsiaTheme="minorEastAsia" w:cstheme="minorEastAsia"/>
          <w:color w:val="auto"/>
          <w:sz w:val="24"/>
          <w:highlight w:val="none"/>
          <w:lang w:val="en-US" w:eastAsia="zh-CN"/>
        </w:rPr>
        <w:t>128.59</w:t>
      </w:r>
      <w:r>
        <w:rPr>
          <w:rFonts w:hint="eastAsia" w:asciiTheme="minorEastAsia" w:hAnsiTheme="minorEastAsia" w:eastAsiaTheme="minorEastAsia" w:cstheme="minorEastAsia"/>
          <w:color w:val="auto"/>
          <w:sz w:val="24"/>
          <w:highlight w:val="none"/>
        </w:rPr>
        <w:t>亿元</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年1-6月实现营业收入</w:t>
      </w:r>
      <w:r>
        <w:rPr>
          <w:rFonts w:hint="eastAsia" w:asciiTheme="minorEastAsia" w:hAnsiTheme="minorEastAsia" w:eastAsiaTheme="minorEastAsia" w:cstheme="minorEastAsia"/>
          <w:sz w:val="24"/>
          <w:highlight w:val="none"/>
          <w:lang w:val="en-US" w:eastAsia="zh-CN"/>
        </w:rPr>
        <w:t>7.90</w:t>
      </w:r>
      <w:r>
        <w:rPr>
          <w:rFonts w:hint="eastAsia" w:asciiTheme="minorEastAsia" w:hAnsiTheme="minorEastAsia" w:eastAsiaTheme="minorEastAsia" w:cstheme="minorEastAsia"/>
          <w:sz w:val="24"/>
          <w:highlight w:val="none"/>
        </w:rPr>
        <w:t>亿元，净利润1.</w:t>
      </w:r>
      <w:r>
        <w:rPr>
          <w:rFonts w:hint="eastAsia" w:asciiTheme="minorEastAsia" w:hAnsiTheme="minorEastAsia" w:eastAsiaTheme="minorEastAsia" w:cstheme="minorEastAsia"/>
          <w:sz w:val="24"/>
          <w:highlight w:val="none"/>
          <w:lang w:val="en-US" w:eastAsia="zh-CN"/>
        </w:rPr>
        <w:t>74</w:t>
      </w:r>
      <w:r>
        <w:rPr>
          <w:rFonts w:hint="eastAsia" w:asciiTheme="minorEastAsia" w:hAnsiTheme="minorEastAsia" w:eastAsiaTheme="minorEastAsia" w:cstheme="minorEastAsia"/>
          <w:sz w:val="24"/>
          <w:highlight w:val="none"/>
        </w:rPr>
        <w:t>亿元</w:t>
      </w:r>
      <w:r>
        <w:rPr>
          <w:rFonts w:hint="eastAsia" w:asciiTheme="minorEastAsia" w:hAnsiTheme="minorEastAsia" w:eastAsiaTheme="minorEastAsia" w:cstheme="minorEastAsia"/>
          <w:color w:val="auto"/>
          <w:sz w:val="24"/>
          <w:highlight w:val="none"/>
        </w:rPr>
        <w:t>。</w:t>
      </w:r>
      <w:r>
        <w:rPr>
          <w:rStyle w:val="23"/>
          <w:rFonts w:hint="eastAsia" w:asciiTheme="minorEastAsia" w:hAnsiTheme="minorEastAsia" w:eastAsiaTheme="minorEastAsia" w:cstheme="minorEastAsia"/>
          <w:color w:val="auto"/>
          <w:sz w:val="24"/>
          <w:highlight w:val="none"/>
        </w:rPr>
        <w:footnoteReference w:id="5"/>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富邦银行（香港）有限公司为持有本行5%以上股份的股东富邦金控的关联方，符合《上海证券交易所股票上市规则》第6.3.3条</w:t>
      </w:r>
      <w:r>
        <w:rPr>
          <w:rFonts w:hint="eastAsia" w:asciiTheme="minorEastAsia" w:hAnsiTheme="minorEastAsia" w:eastAsiaTheme="minorEastAsia" w:cstheme="minorEastAsia"/>
          <w:sz w:val="24"/>
          <w:highlight w:val="none"/>
          <w:lang w:val="en-US" w:eastAsia="zh-CN"/>
        </w:rPr>
        <w:t>第二款</w:t>
      </w:r>
      <w:r>
        <w:rPr>
          <w:rFonts w:hint="eastAsia" w:asciiTheme="minorEastAsia" w:hAnsiTheme="minorEastAsia" w:eastAsiaTheme="minorEastAsia" w:cstheme="minorEastAsia"/>
          <w:sz w:val="24"/>
          <w:highlight w:val="none"/>
        </w:rPr>
        <w:t>第四项中规定的关联关系情形、符合《银行保险机构关联交易管理办法》第七条第三项中规定的关联关系情形。</w:t>
      </w:r>
    </w:p>
    <w:p>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color w:val="FF0000"/>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三</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福建七匹狼集团有限公司及其关联方</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福建七匹狼集团有限公司（统一社会信用代码：91350582156463765M）成立于2002年1月18日，公司类型为有限责任公司（自然人投资或控股）</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法定代表人周永伟，注册资本15.00亿元，其中周永伟持股37.82%、周少雄持股31.09%、周少明持股31.09%。注册地址位于福建省晋江市金井中兴南路655号。福建七匹狼集团有限公司业务经营涉及服装、房地产、类金融投资等多个领域。其中，服装生产与销售是公司收入的主要来源。截至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年9月末，福建七匹狼集团有限公司资产总额</w:t>
      </w:r>
      <w:r>
        <w:rPr>
          <w:rFonts w:hint="eastAsia" w:asciiTheme="minorEastAsia" w:hAnsiTheme="minorEastAsia" w:eastAsiaTheme="minorEastAsia" w:cstheme="minorEastAsia"/>
          <w:sz w:val="24"/>
          <w:highlight w:val="none"/>
          <w:lang w:val="en-US" w:eastAsia="zh-CN"/>
        </w:rPr>
        <w:t>302.09</w:t>
      </w:r>
      <w:r>
        <w:rPr>
          <w:rFonts w:hint="eastAsia" w:asciiTheme="minorEastAsia" w:hAnsiTheme="minorEastAsia" w:eastAsiaTheme="minorEastAsia" w:cstheme="minorEastAsia"/>
          <w:sz w:val="24"/>
          <w:highlight w:val="none"/>
        </w:rPr>
        <w:t>亿元，净资产</w:t>
      </w:r>
      <w:r>
        <w:rPr>
          <w:rFonts w:hint="eastAsia" w:asciiTheme="minorEastAsia" w:hAnsiTheme="minorEastAsia" w:eastAsiaTheme="minorEastAsia" w:cstheme="minorEastAsia"/>
          <w:sz w:val="24"/>
          <w:highlight w:val="none"/>
          <w:lang w:val="en-US" w:eastAsia="zh-CN"/>
        </w:rPr>
        <w:t>80.29</w:t>
      </w:r>
      <w:r>
        <w:rPr>
          <w:rFonts w:hint="eastAsia" w:asciiTheme="minorEastAsia" w:hAnsiTheme="minorEastAsia" w:eastAsiaTheme="minorEastAsia" w:cstheme="minorEastAsia"/>
          <w:sz w:val="24"/>
          <w:highlight w:val="none"/>
        </w:rPr>
        <w:t>亿元，实现营业收入</w:t>
      </w:r>
      <w:r>
        <w:rPr>
          <w:rFonts w:hint="eastAsia" w:asciiTheme="minorEastAsia" w:hAnsiTheme="minorEastAsia" w:eastAsiaTheme="minorEastAsia" w:cstheme="minorEastAsia"/>
          <w:sz w:val="24"/>
          <w:highlight w:val="none"/>
          <w:lang w:val="en-US" w:eastAsia="zh-CN"/>
        </w:rPr>
        <w:t>44.41</w:t>
      </w:r>
      <w:r>
        <w:rPr>
          <w:rFonts w:hint="eastAsia" w:asciiTheme="minorEastAsia" w:hAnsiTheme="minorEastAsia" w:eastAsiaTheme="minorEastAsia" w:cstheme="minorEastAsia"/>
          <w:sz w:val="24"/>
          <w:highlight w:val="none"/>
        </w:rPr>
        <w:t>亿元，净利润</w:t>
      </w:r>
      <w:r>
        <w:rPr>
          <w:rFonts w:hint="eastAsia" w:asciiTheme="minorEastAsia" w:hAnsiTheme="minorEastAsia" w:eastAsiaTheme="minorEastAsia" w:cstheme="minorEastAsia"/>
          <w:sz w:val="24"/>
          <w:highlight w:val="none"/>
          <w:lang w:val="en-US" w:eastAsia="zh-CN"/>
        </w:rPr>
        <w:t>1.92</w:t>
      </w:r>
      <w:r>
        <w:rPr>
          <w:rFonts w:hint="eastAsia" w:asciiTheme="minorEastAsia" w:hAnsiTheme="minorEastAsia" w:eastAsiaTheme="minorEastAsia" w:cstheme="minorEastAsia"/>
          <w:sz w:val="24"/>
          <w:highlight w:val="none"/>
        </w:rPr>
        <w:t>亿元。</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福建七匹狼集团有限公司为持有本行5%以上股份的股东，本行董事周永伟先生为该集团董事长，符合《上海证券交易所股票上市规则》第6.3.3条第二款第三项、第四项中规定的关联关系情形</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符合</w:t>
      </w:r>
      <w:r>
        <w:rPr>
          <w:rFonts w:hint="eastAsia" w:asciiTheme="minorEastAsia" w:hAnsiTheme="minorEastAsia" w:eastAsiaTheme="minorEastAsia" w:cstheme="minorEastAsia"/>
          <w:sz w:val="24"/>
          <w:highlight w:val="none"/>
        </w:rPr>
        <w:t>《银行保险机构关联交易管理办法》第七条第</w:t>
      </w:r>
      <w:r>
        <w:rPr>
          <w:rFonts w:hint="eastAsia" w:asciiTheme="minorEastAsia" w:hAnsiTheme="minorEastAsia" w:eastAsiaTheme="minorEastAsia" w:cstheme="minorEastAsia"/>
          <w:sz w:val="24"/>
          <w:highlight w:val="none"/>
          <w:lang w:val="en-US" w:eastAsia="zh-CN"/>
        </w:rPr>
        <w:t>二</w:t>
      </w:r>
      <w:r>
        <w:rPr>
          <w:rFonts w:hint="eastAsia" w:asciiTheme="minorEastAsia" w:hAnsiTheme="minorEastAsia" w:eastAsiaTheme="minorEastAsia" w:cstheme="minorEastAsia"/>
          <w:sz w:val="24"/>
          <w:highlight w:val="none"/>
        </w:rPr>
        <w:t>项</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第五项</w:t>
      </w:r>
      <w:r>
        <w:rPr>
          <w:rFonts w:hint="eastAsia" w:asciiTheme="minorEastAsia" w:hAnsiTheme="minorEastAsia" w:eastAsiaTheme="minorEastAsia" w:cstheme="minorEastAsia"/>
          <w:sz w:val="24"/>
          <w:highlight w:val="none"/>
        </w:rPr>
        <w:t>中规定的关联关系情形。</w:t>
      </w:r>
    </w:p>
    <w:p>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四</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厦门国有</w:t>
      </w:r>
      <w:r>
        <w:rPr>
          <w:rFonts w:hint="eastAsia" w:asciiTheme="minorEastAsia" w:hAnsiTheme="minorEastAsia" w:eastAsiaTheme="minorEastAsia" w:cstheme="minorEastAsia"/>
          <w:b/>
          <w:bCs/>
          <w:sz w:val="24"/>
          <w:highlight w:val="none"/>
          <w:lang w:val="en-US" w:eastAsia="zh-CN"/>
        </w:rPr>
        <w:t>资本</w:t>
      </w:r>
      <w:r>
        <w:rPr>
          <w:rFonts w:hint="eastAsia" w:asciiTheme="minorEastAsia" w:hAnsiTheme="minorEastAsia" w:eastAsiaTheme="minorEastAsia" w:cstheme="minorEastAsia"/>
          <w:b/>
          <w:bCs/>
          <w:sz w:val="24"/>
          <w:highlight w:val="none"/>
        </w:rPr>
        <w:t>运营有限责任公司及其关联方</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厦门国有</w:t>
      </w:r>
      <w:r>
        <w:rPr>
          <w:rFonts w:hint="eastAsia" w:asciiTheme="minorEastAsia" w:hAnsiTheme="minorEastAsia" w:eastAsiaTheme="minorEastAsia" w:cstheme="minorEastAsia"/>
          <w:sz w:val="24"/>
          <w:highlight w:val="none"/>
          <w:lang w:val="en-US" w:eastAsia="zh-CN"/>
        </w:rPr>
        <w:t>资本</w:t>
      </w:r>
      <w:r>
        <w:rPr>
          <w:rFonts w:hint="eastAsia" w:asciiTheme="minorEastAsia" w:hAnsiTheme="minorEastAsia" w:eastAsiaTheme="minorEastAsia" w:cstheme="minorEastAsia"/>
          <w:sz w:val="24"/>
          <w:highlight w:val="none"/>
        </w:rPr>
        <w:t>运营有限责任公司（统一社会信用代码：91350200MA32BXP11Y）成立于2018年12月，</w:t>
      </w:r>
      <w:r>
        <w:rPr>
          <w:rFonts w:hint="eastAsia" w:asciiTheme="minorEastAsia" w:hAnsiTheme="minorEastAsia" w:eastAsiaTheme="minorEastAsia" w:cstheme="minorEastAsia"/>
          <w:sz w:val="24"/>
          <w:highlight w:val="none"/>
          <w:lang w:val="en-US" w:eastAsia="zh-CN"/>
        </w:rPr>
        <w:t>公司类型为其他有限责任公司，</w:t>
      </w:r>
      <w:r>
        <w:rPr>
          <w:rFonts w:hint="eastAsia" w:asciiTheme="minorEastAsia" w:hAnsiTheme="minorEastAsia" w:eastAsiaTheme="minorEastAsia" w:cstheme="minorEastAsia"/>
          <w:sz w:val="24"/>
          <w:highlight w:val="none"/>
        </w:rPr>
        <w:t>法定代表人为</w:t>
      </w:r>
      <w:r>
        <w:rPr>
          <w:rFonts w:hint="eastAsia" w:asciiTheme="minorEastAsia" w:hAnsiTheme="minorEastAsia" w:eastAsiaTheme="minorEastAsia" w:cstheme="minorEastAsia"/>
          <w:sz w:val="24"/>
          <w:highlight w:val="none"/>
          <w:lang w:val="en-US" w:eastAsia="zh-CN"/>
        </w:rPr>
        <w:t>张立勇</w:t>
      </w:r>
      <w:r>
        <w:rPr>
          <w:rFonts w:hint="eastAsia" w:asciiTheme="minorEastAsia" w:hAnsiTheme="minorEastAsia" w:eastAsiaTheme="minorEastAsia" w:cstheme="minorEastAsia"/>
          <w:sz w:val="24"/>
          <w:highlight w:val="none"/>
        </w:rPr>
        <w:t>，注册资本</w:t>
      </w:r>
      <w:r>
        <w:rPr>
          <w:rFonts w:hint="eastAsia" w:asciiTheme="minorEastAsia" w:hAnsiTheme="minorEastAsia" w:eastAsiaTheme="minorEastAsia" w:cstheme="minorEastAsia"/>
          <w:sz w:val="24"/>
          <w:highlight w:val="none"/>
          <w:lang w:val="en-US" w:eastAsia="zh-CN"/>
        </w:rPr>
        <w:t>50</w:t>
      </w:r>
      <w:r>
        <w:rPr>
          <w:rFonts w:hint="eastAsia" w:asciiTheme="minorEastAsia" w:hAnsiTheme="minorEastAsia" w:eastAsiaTheme="minorEastAsia" w:cstheme="minorEastAsia"/>
          <w:sz w:val="24"/>
          <w:highlight w:val="none"/>
        </w:rPr>
        <w:t>亿元，注册地址为中国(福建)自由贸易试验区厦门片区同益路9号地产大厦第6层。厦门国有运营有限责任公司经营范围主要为对第一产业、第二产业、第三产业的投资（法律、法规另有规定除外）；依法从事对非公开交易的企业股权进行投资以及相关咨询服务；投资管理（法律、法规另有规定除外）。截至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eastAsia="zh-CN"/>
        </w:rPr>
        <w:t>9</w:t>
      </w:r>
      <w:r>
        <w:rPr>
          <w:rFonts w:hint="eastAsia" w:asciiTheme="minorEastAsia" w:hAnsiTheme="minorEastAsia" w:eastAsiaTheme="minorEastAsia" w:cstheme="minorEastAsia"/>
          <w:sz w:val="24"/>
          <w:highlight w:val="none"/>
          <w:lang w:val="en-US" w:eastAsia="zh-CN"/>
        </w:rPr>
        <w:t>月</w:t>
      </w:r>
      <w:r>
        <w:rPr>
          <w:rFonts w:hint="eastAsia" w:asciiTheme="minorEastAsia" w:hAnsiTheme="minorEastAsia" w:eastAsiaTheme="minorEastAsia" w:cstheme="minorEastAsia"/>
          <w:sz w:val="24"/>
          <w:highlight w:val="none"/>
        </w:rPr>
        <w:t>末合并数据，厦门国有资本运营有限责任公司资产总额</w:t>
      </w:r>
      <w:r>
        <w:rPr>
          <w:rFonts w:hint="eastAsia" w:asciiTheme="minorEastAsia" w:hAnsiTheme="minorEastAsia" w:eastAsiaTheme="minorEastAsia" w:cstheme="minorEastAsia"/>
          <w:sz w:val="24"/>
          <w:highlight w:val="none"/>
          <w:lang w:val="en-US" w:eastAsia="zh-CN"/>
        </w:rPr>
        <w:t>22.33</w:t>
      </w:r>
      <w:r>
        <w:rPr>
          <w:rFonts w:hint="eastAsia" w:asciiTheme="minorEastAsia" w:hAnsiTheme="minorEastAsia" w:eastAsiaTheme="minorEastAsia" w:cstheme="minorEastAsia"/>
          <w:sz w:val="24"/>
          <w:highlight w:val="none"/>
        </w:rPr>
        <w:t>亿元，净资产</w:t>
      </w:r>
      <w:r>
        <w:rPr>
          <w:rFonts w:hint="eastAsia" w:asciiTheme="minorEastAsia" w:hAnsiTheme="minorEastAsia" w:eastAsiaTheme="minorEastAsia" w:cstheme="minorEastAsia"/>
          <w:sz w:val="24"/>
          <w:highlight w:val="none"/>
          <w:lang w:val="en-US" w:eastAsia="zh-CN"/>
        </w:rPr>
        <w:t>21.64</w:t>
      </w:r>
      <w:r>
        <w:rPr>
          <w:rFonts w:hint="eastAsia" w:asciiTheme="minorEastAsia" w:hAnsiTheme="minorEastAsia" w:eastAsiaTheme="minorEastAsia" w:cstheme="minorEastAsia"/>
          <w:sz w:val="24"/>
          <w:highlight w:val="none"/>
        </w:rPr>
        <w:t>亿元，实现营业收入</w:t>
      </w:r>
      <w:r>
        <w:rPr>
          <w:rFonts w:hint="eastAsia" w:asciiTheme="minorEastAsia" w:hAnsiTheme="minorEastAsia" w:eastAsiaTheme="minorEastAsia" w:cstheme="minorEastAsia"/>
          <w:sz w:val="24"/>
          <w:highlight w:val="none"/>
          <w:lang w:val="en-US" w:eastAsia="zh-CN"/>
        </w:rPr>
        <w:t>2369万</w:t>
      </w:r>
      <w:r>
        <w:rPr>
          <w:rFonts w:hint="eastAsia" w:asciiTheme="minorEastAsia" w:hAnsiTheme="minorEastAsia" w:eastAsiaTheme="minorEastAsia" w:cstheme="minorEastAsia"/>
          <w:sz w:val="24"/>
          <w:highlight w:val="none"/>
        </w:rPr>
        <w:t>元，净利润</w:t>
      </w:r>
      <w:r>
        <w:rPr>
          <w:rFonts w:hint="eastAsia" w:asciiTheme="minorEastAsia" w:hAnsiTheme="minorEastAsia" w:eastAsiaTheme="minorEastAsia" w:cstheme="minorEastAsia"/>
          <w:sz w:val="24"/>
          <w:highlight w:val="none"/>
          <w:lang w:val="en-US" w:eastAsia="zh-CN"/>
        </w:rPr>
        <w:t>877万</w:t>
      </w:r>
      <w:r>
        <w:rPr>
          <w:rFonts w:hint="eastAsia" w:asciiTheme="minorEastAsia" w:hAnsiTheme="minorEastAsia" w:eastAsiaTheme="minorEastAsia" w:cstheme="minorEastAsia"/>
          <w:sz w:val="24"/>
          <w:highlight w:val="none"/>
        </w:rPr>
        <w:t>元。</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厦门国有资本运营有限责任公司为</w:t>
      </w:r>
      <w:r>
        <w:rPr>
          <w:rFonts w:hint="eastAsia" w:asciiTheme="minorEastAsia" w:hAnsiTheme="minorEastAsia" w:eastAsiaTheme="minorEastAsia" w:cstheme="minorEastAsia"/>
          <w:sz w:val="24"/>
          <w:highlight w:val="none"/>
          <w:lang w:val="en-US" w:eastAsia="zh-CN"/>
        </w:rPr>
        <w:t>本行</w:t>
      </w:r>
      <w:r>
        <w:rPr>
          <w:rFonts w:hint="eastAsia" w:asciiTheme="minorEastAsia" w:hAnsiTheme="minorEastAsia" w:eastAsiaTheme="minorEastAsia" w:cstheme="minorEastAsia"/>
          <w:sz w:val="24"/>
          <w:highlight w:val="none"/>
        </w:rPr>
        <w:t>主要股东厦门国有资本资产管理有限公司</w:t>
      </w:r>
      <w:r>
        <w:rPr>
          <w:rFonts w:hint="eastAsia" w:asciiTheme="minorEastAsia" w:hAnsiTheme="minorEastAsia" w:eastAsiaTheme="minorEastAsia" w:cstheme="minorEastAsia"/>
          <w:sz w:val="24"/>
          <w:highlight w:val="none"/>
          <w:lang w:val="en-US" w:eastAsia="zh-CN"/>
        </w:rPr>
        <w:t>的控股股东</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符合《银行保险机构关联交易管理办法》第七条第</w:t>
      </w:r>
      <w:r>
        <w:rPr>
          <w:rFonts w:hint="eastAsia" w:asciiTheme="minorEastAsia" w:hAnsiTheme="minorEastAsia" w:eastAsiaTheme="minorEastAsia" w:cstheme="minorEastAsia"/>
          <w:sz w:val="24"/>
          <w:highlight w:val="none"/>
          <w:lang w:val="en-US" w:eastAsia="zh-CN"/>
        </w:rPr>
        <w:t>二</w:t>
      </w:r>
      <w:r>
        <w:rPr>
          <w:rFonts w:hint="eastAsia" w:asciiTheme="minorEastAsia" w:hAnsiTheme="minorEastAsia" w:eastAsiaTheme="minorEastAsia" w:cstheme="minorEastAsia"/>
          <w:sz w:val="24"/>
          <w:highlight w:val="none"/>
        </w:rPr>
        <w:t>项中规定的关联关系情形。</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五</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泉舜集团有限公司及其关联方</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泉舜集团有限公司（统一社会信用代码：91350200612294767L）成立于1998年3月6日，法定代表人吴泉水，注册资本为人民币5,600.00万元，是泉舜集团（香港）控股有限公司全资子公司，企业类型为有限责任公司（港澳台法人独资），经营住所位于厦门市湖里区枋湖北二路1521号泉舜大厦8-9层。泉舜集团以房地产开发为主营业务，集科技研发、教育与健康产业、工业制造和工程承包为一体。截至202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年9月，泉舜集团总资产7</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亿元，净资产</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亿元，实现营业收入</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亿元，净利润</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亿元。</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泉舜集团有限公司</w:t>
      </w:r>
      <w:r>
        <w:rPr>
          <w:rFonts w:hint="eastAsia" w:asciiTheme="minorEastAsia" w:hAnsiTheme="minorEastAsia" w:eastAsiaTheme="minorEastAsia" w:cstheme="minorEastAsia"/>
          <w:sz w:val="24"/>
          <w:highlight w:val="none"/>
          <w:lang w:val="en-US" w:eastAsia="zh-CN"/>
        </w:rPr>
        <w:t>为</w:t>
      </w:r>
      <w:r>
        <w:rPr>
          <w:rFonts w:hint="eastAsia" w:asciiTheme="minorEastAsia" w:hAnsiTheme="minorEastAsia" w:eastAsiaTheme="minorEastAsia" w:cstheme="minorEastAsia"/>
          <w:sz w:val="24"/>
          <w:highlight w:val="none"/>
        </w:rPr>
        <w:t>本行监事吴泉水先生</w:t>
      </w:r>
      <w:r>
        <w:rPr>
          <w:rFonts w:hint="eastAsia" w:asciiTheme="minorEastAsia" w:hAnsiTheme="minorEastAsia" w:eastAsiaTheme="minorEastAsia" w:cstheme="minorEastAsia"/>
          <w:sz w:val="24"/>
          <w:highlight w:val="none"/>
          <w:lang w:val="en-US" w:eastAsia="zh-CN"/>
        </w:rPr>
        <w:t>担任</w:t>
      </w:r>
      <w:r>
        <w:rPr>
          <w:rFonts w:hint="eastAsia" w:asciiTheme="minorEastAsia" w:hAnsiTheme="minorEastAsia" w:eastAsiaTheme="minorEastAsia" w:cstheme="minorEastAsia"/>
          <w:sz w:val="24"/>
          <w:highlight w:val="none"/>
        </w:rPr>
        <w:t>董事长兼总经理</w:t>
      </w:r>
      <w:r>
        <w:rPr>
          <w:rFonts w:hint="eastAsia" w:asciiTheme="minorEastAsia" w:hAnsiTheme="minorEastAsia" w:eastAsiaTheme="minorEastAsia" w:cstheme="minorEastAsia"/>
          <w:sz w:val="24"/>
          <w:highlight w:val="none"/>
          <w:lang w:val="en-US" w:eastAsia="zh-CN"/>
        </w:rPr>
        <w:t>的企业</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且截至</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1日，</w:t>
      </w:r>
      <w:r>
        <w:rPr>
          <w:rFonts w:hint="eastAsia" w:asciiTheme="minorEastAsia" w:hAnsiTheme="minorEastAsia" w:eastAsiaTheme="minorEastAsia" w:cstheme="minorEastAsia"/>
          <w:sz w:val="24"/>
          <w:highlight w:val="none"/>
          <w:lang w:val="en-US" w:eastAsia="zh-CN"/>
        </w:rPr>
        <w:t>该</w:t>
      </w:r>
      <w:r>
        <w:rPr>
          <w:rFonts w:hint="eastAsia" w:asciiTheme="minorEastAsia" w:hAnsiTheme="minorEastAsia" w:eastAsiaTheme="minorEastAsia" w:cstheme="minorEastAsia"/>
          <w:sz w:val="24"/>
          <w:highlight w:val="none"/>
        </w:rPr>
        <w:t>公司持有本行</w:t>
      </w:r>
      <w:r>
        <w:rPr>
          <w:rFonts w:hint="eastAsia" w:asciiTheme="minorEastAsia" w:hAnsiTheme="minorEastAsia" w:eastAsiaTheme="minorEastAsia" w:cstheme="minorEastAsia"/>
          <w:sz w:val="24"/>
          <w:highlight w:val="none"/>
          <w:lang w:val="en-US" w:eastAsia="zh-CN"/>
        </w:rPr>
        <w:t>3.51</w:t>
      </w:r>
      <w:r>
        <w:rPr>
          <w:rFonts w:hint="eastAsia" w:asciiTheme="minorEastAsia" w:hAnsiTheme="minorEastAsia" w:eastAsiaTheme="minorEastAsia" w:cstheme="minorEastAsia"/>
          <w:sz w:val="24"/>
          <w:highlight w:val="none"/>
        </w:rPr>
        <w:t>%股份，符合《上海证券交易所股票上市规则》第6.3.3条第二款第三项中规定的关联关系情形</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符合</w:t>
      </w:r>
      <w:r>
        <w:rPr>
          <w:rFonts w:hint="eastAsia" w:asciiTheme="minorEastAsia" w:hAnsiTheme="minorEastAsia" w:eastAsiaTheme="minorEastAsia" w:cstheme="minorEastAsia"/>
          <w:sz w:val="24"/>
          <w:highlight w:val="none"/>
        </w:rPr>
        <w:t>《银行保险机构关联交易管理办法》第七条第</w:t>
      </w:r>
      <w:r>
        <w:rPr>
          <w:rFonts w:hint="eastAsia" w:asciiTheme="minorEastAsia" w:hAnsiTheme="minorEastAsia" w:eastAsiaTheme="minorEastAsia" w:cstheme="minorEastAsia"/>
          <w:sz w:val="24"/>
          <w:highlight w:val="none"/>
          <w:lang w:val="en-US" w:eastAsia="zh-CN"/>
        </w:rPr>
        <w:t>二</w:t>
      </w:r>
      <w:r>
        <w:rPr>
          <w:rFonts w:hint="eastAsia" w:asciiTheme="minorEastAsia" w:hAnsiTheme="minorEastAsia" w:eastAsiaTheme="minorEastAsia" w:cstheme="minorEastAsia"/>
          <w:sz w:val="24"/>
          <w:highlight w:val="none"/>
        </w:rPr>
        <w:t>项、第五项中规定的关联关系情形。</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六</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东江环保股份有限公司</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东江环保股份有限公司（统一社会信用代码:91440300715234767U）为深交所</w:t>
      </w:r>
      <w:r>
        <w:rPr>
          <w:rFonts w:hint="eastAsia" w:asciiTheme="minorEastAsia" w:hAnsiTheme="minorEastAsia" w:eastAsiaTheme="minorEastAsia" w:cstheme="minorEastAsia"/>
          <w:sz w:val="24"/>
          <w:highlight w:val="none"/>
          <w:lang w:val="en-US" w:eastAsia="zh-CN"/>
        </w:rPr>
        <w:t>主</w:t>
      </w:r>
      <w:r>
        <w:rPr>
          <w:rFonts w:hint="eastAsia" w:asciiTheme="minorEastAsia" w:hAnsiTheme="minorEastAsia" w:eastAsiaTheme="minorEastAsia" w:cstheme="minorEastAsia"/>
          <w:sz w:val="24"/>
          <w:highlight w:val="none"/>
        </w:rPr>
        <w:t>板上市公司，成立于1999年9月16日，</w:t>
      </w:r>
      <w:r>
        <w:rPr>
          <w:rFonts w:hint="eastAsia" w:asciiTheme="minorEastAsia" w:hAnsiTheme="minorEastAsia" w:eastAsiaTheme="minorEastAsia" w:cstheme="minorEastAsia"/>
          <w:sz w:val="24"/>
          <w:highlight w:val="none"/>
          <w:lang w:val="en-US" w:eastAsia="zh-CN"/>
        </w:rPr>
        <w:t>公司类型为股份有限公司，</w:t>
      </w:r>
      <w:r>
        <w:rPr>
          <w:rFonts w:hint="eastAsia" w:asciiTheme="minorEastAsia" w:hAnsiTheme="minorEastAsia" w:eastAsiaTheme="minorEastAsia" w:cstheme="minorEastAsia"/>
          <w:sz w:val="24"/>
          <w:highlight w:val="none"/>
        </w:rPr>
        <w:t>法定代表人谭侃，注册资本8.79亿元，注册地址为广东省深圳市南山区高新区北区朗山路9号东江环保大楼1楼、3楼、8楼北面、9-12楼。东江环保股份有限公司经营范围主要为危险废物治理、水和二氧化碳等矿产地质勘查、固体矿产地质勘查、能源矿产地质勘查、废弃电器电子产品的回收与处理等。截至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年9月末，东江环保股份有限公司资产总额</w:t>
      </w:r>
      <w:r>
        <w:rPr>
          <w:rFonts w:hint="eastAsia" w:asciiTheme="minorEastAsia" w:hAnsiTheme="minorEastAsia" w:eastAsiaTheme="minorEastAsia" w:cstheme="minorEastAsia"/>
          <w:sz w:val="24"/>
          <w:highlight w:val="none"/>
          <w:lang w:val="en-US" w:eastAsia="zh-CN"/>
        </w:rPr>
        <w:t>124.92</w:t>
      </w:r>
      <w:r>
        <w:rPr>
          <w:rFonts w:hint="eastAsia" w:asciiTheme="minorEastAsia" w:hAnsiTheme="minorEastAsia" w:eastAsiaTheme="minorEastAsia" w:cstheme="minorEastAsia"/>
          <w:sz w:val="24"/>
          <w:highlight w:val="none"/>
        </w:rPr>
        <w:t>亿元，净资产</w:t>
      </w:r>
      <w:r>
        <w:rPr>
          <w:rFonts w:hint="eastAsia" w:asciiTheme="minorEastAsia" w:hAnsiTheme="minorEastAsia" w:eastAsiaTheme="minorEastAsia" w:cstheme="minorEastAsia"/>
          <w:sz w:val="24"/>
          <w:highlight w:val="none"/>
          <w:lang w:val="en-US" w:eastAsia="zh-CN"/>
        </w:rPr>
        <w:t>52.29</w:t>
      </w:r>
      <w:r>
        <w:rPr>
          <w:rFonts w:hint="eastAsia" w:asciiTheme="minorEastAsia" w:hAnsiTheme="minorEastAsia" w:eastAsiaTheme="minorEastAsia" w:cstheme="minorEastAsia"/>
          <w:sz w:val="24"/>
          <w:highlight w:val="none"/>
        </w:rPr>
        <w:t>亿元；实现营业收入</w:t>
      </w:r>
      <w:r>
        <w:rPr>
          <w:rFonts w:hint="eastAsia" w:asciiTheme="minorEastAsia" w:hAnsiTheme="minorEastAsia" w:eastAsiaTheme="minorEastAsia" w:cstheme="minorEastAsia"/>
          <w:sz w:val="24"/>
          <w:highlight w:val="none"/>
          <w:lang w:val="en-US" w:eastAsia="zh-CN"/>
        </w:rPr>
        <w:t>28.48</w:t>
      </w:r>
      <w:r>
        <w:rPr>
          <w:rFonts w:hint="eastAsia" w:asciiTheme="minorEastAsia" w:hAnsiTheme="minorEastAsia" w:eastAsiaTheme="minorEastAsia" w:cstheme="minorEastAsia"/>
          <w:sz w:val="24"/>
          <w:highlight w:val="none"/>
        </w:rPr>
        <w:t>亿元，净利润</w:t>
      </w:r>
      <w:r>
        <w:rPr>
          <w:rFonts w:hint="eastAsia" w:asciiTheme="minorEastAsia" w:hAnsiTheme="minorEastAsia" w:eastAsiaTheme="minorEastAsia" w:cstheme="minorEastAsia"/>
          <w:sz w:val="24"/>
          <w:highlight w:val="none"/>
          <w:lang w:val="en-US" w:eastAsia="zh-CN"/>
        </w:rPr>
        <w:t>-0.9</w:t>
      </w:r>
      <w:r>
        <w:rPr>
          <w:rFonts w:hint="eastAsia" w:asciiTheme="minorEastAsia" w:hAnsiTheme="minorEastAsia" w:eastAsiaTheme="minorEastAsia" w:cstheme="minorEastAsia"/>
          <w:sz w:val="24"/>
          <w:highlight w:val="none"/>
        </w:rPr>
        <w:t>亿元。</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东江环保股份有限公司为</w:t>
      </w:r>
      <w:r>
        <w:rPr>
          <w:rFonts w:hint="eastAsia" w:asciiTheme="minorEastAsia" w:hAnsiTheme="minorEastAsia" w:eastAsiaTheme="minorEastAsia" w:cstheme="minorEastAsia"/>
          <w:sz w:val="24"/>
          <w:highlight w:val="none"/>
          <w:lang w:val="en-US" w:eastAsia="zh-CN"/>
        </w:rPr>
        <w:t>本行</w:t>
      </w:r>
      <w:r>
        <w:rPr>
          <w:rFonts w:hint="eastAsia" w:asciiTheme="minorEastAsia" w:hAnsiTheme="minorEastAsia" w:eastAsiaTheme="minorEastAsia" w:cstheme="minorEastAsia"/>
          <w:sz w:val="24"/>
          <w:highlight w:val="none"/>
        </w:rPr>
        <w:t>主要股东佛山电器照明股份有限公司的</w:t>
      </w:r>
      <w:r>
        <w:rPr>
          <w:rFonts w:hint="eastAsia" w:asciiTheme="minorEastAsia" w:hAnsiTheme="minorEastAsia" w:eastAsiaTheme="minorEastAsia" w:cstheme="minorEastAsia"/>
          <w:sz w:val="24"/>
          <w:highlight w:val="none"/>
          <w:lang w:val="en-US" w:eastAsia="zh-CN"/>
        </w:rPr>
        <w:t>控股股东控制的其他企业</w:t>
      </w:r>
      <w:r>
        <w:rPr>
          <w:rFonts w:hint="eastAsia" w:asciiTheme="minorEastAsia" w:hAnsiTheme="minorEastAsia" w:eastAsiaTheme="minorEastAsia" w:cstheme="minorEastAsia"/>
          <w:sz w:val="24"/>
          <w:highlight w:val="none"/>
        </w:rPr>
        <w:t>，符合《银行保险机构关联交易管理办法》第七条第三项中规定的关联关系情形。</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七</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大洲控股集团有限公司及其关联方</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numPr>
          <w:ilvl w:val="0"/>
          <w:numId w:val="0"/>
        </w:numPr>
        <w:adjustRightInd w:val="0"/>
        <w:snapToGrid w:val="0"/>
        <w:spacing w:line="360" w:lineRule="auto"/>
        <w:ind w:left="0" w:leftChars="0" w:firstLine="420" w:firstLineChars="17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大洲控股集团有限公司（统一社会信用代码：913502006122842357）成立于1997年3月10日，</w:t>
      </w:r>
      <w:r>
        <w:rPr>
          <w:rFonts w:hint="eastAsia" w:asciiTheme="minorEastAsia" w:hAnsiTheme="minorEastAsia" w:eastAsiaTheme="minorEastAsia" w:cstheme="minorEastAsia"/>
          <w:sz w:val="24"/>
          <w:highlight w:val="none"/>
          <w:lang w:val="en-US" w:eastAsia="zh-CN"/>
        </w:rPr>
        <w:t>公司类型为有限责任公司（自然人投资或控股），</w:t>
      </w:r>
      <w:r>
        <w:rPr>
          <w:rFonts w:hint="eastAsia" w:asciiTheme="minorEastAsia" w:hAnsiTheme="minorEastAsia" w:eastAsiaTheme="minorEastAsia" w:cstheme="minorEastAsia"/>
          <w:sz w:val="24"/>
          <w:highlight w:val="none"/>
        </w:rPr>
        <w:t>法定代表人为陈铁铭，注册地址位于厦门市思明区鹭江道2号厦门第一广场28层01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注册及实收资本11.80亿元</w:t>
      </w:r>
      <w:r>
        <w:rPr>
          <w:rFonts w:hint="eastAsia" w:asciiTheme="minorEastAsia" w:hAnsiTheme="minorEastAsia" w:eastAsiaTheme="minorEastAsia" w:cstheme="minorEastAsia"/>
          <w:sz w:val="24"/>
          <w:highlight w:val="none"/>
          <w:lang w:eastAsia="zh-CN"/>
        </w:rPr>
        <w:t>，其中厦门港润投资管理有限公司持股53.14%、陈铁铭持股46.86%</w:t>
      </w:r>
      <w:r>
        <w:rPr>
          <w:rFonts w:hint="eastAsia" w:asciiTheme="minorEastAsia" w:hAnsiTheme="minorEastAsia" w:eastAsiaTheme="minorEastAsia" w:cstheme="minorEastAsia"/>
          <w:sz w:val="24"/>
          <w:highlight w:val="none"/>
        </w:rPr>
        <w:t>。集团目前主营文化娱乐、金融证券、房地产开发三个领域，目前大洲控股集团的子公司中仅厦门滨江资产管理有限公司和厦门润江建筑工程有限公司在本行有授信余额。</w:t>
      </w:r>
      <w:r>
        <w:rPr>
          <w:rFonts w:hint="eastAsia" w:asciiTheme="minorEastAsia" w:hAnsiTheme="minorEastAsia" w:eastAsiaTheme="minorEastAsia" w:cstheme="minorEastAsia"/>
          <w:sz w:val="24"/>
          <w:highlight w:val="none"/>
          <w:lang w:val="zh-CN"/>
        </w:rPr>
        <w:t>截至</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年9月末</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rPr>
        <w:t>大洲控股集团有限公司</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本部）</w:t>
      </w:r>
      <w:r>
        <w:rPr>
          <w:rFonts w:hint="eastAsia" w:asciiTheme="minorEastAsia" w:hAnsiTheme="minorEastAsia" w:eastAsiaTheme="minorEastAsia" w:cstheme="minorEastAsia"/>
          <w:sz w:val="24"/>
          <w:highlight w:val="none"/>
          <w:lang w:val="zh-CN"/>
        </w:rPr>
        <w:t>总资产</w:t>
      </w:r>
      <w:r>
        <w:rPr>
          <w:rFonts w:hint="eastAsia" w:asciiTheme="minorEastAsia" w:hAnsiTheme="minorEastAsia" w:eastAsiaTheme="minorEastAsia" w:cstheme="minorEastAsia"/>
          <w:sz w:val="24"/>
          <w:highlight w:val="none"/>
          <w:lang w:val="en-US" w:eastAsia="zh-CN"/>
        </w:rPr>
        <w:t>15.14</w:t>
      </w:r>
      <w:r>
        <w:rPr>
          <w:rFonts w:hint="eastAsia" w:asciiTheme="minorEastAsia" w:hAnsiTheme="minorEastAsia" w:eastAsiaTheme="minorEastAsia" w:cstheme="minorEastAsia"/>
          <w:sz w:val="24"/>
          <w:highlight w:val="none"/>
          <w:lang w:val="zh-CN"/>
        </w:rPr>
        <w:t>亿元，净资产</w:t>
      </w:r>
      <w:r>
        <w:rPr>
          <w:rFonts w:hint="eastAsia" w:asciiTheme="minorEastAsia" w:hAnsiTheme="minorEastAsia" w:eastAsiaTheme="minorEastAsia" w:cstheme="minorEastAsia"/>
          <w:sz w:val="24"/>
          <w:highlight w:val="none"/>
          <w:lang w:val="en-US" w:eastAsia="zh-CN"/>
        </w:rPr>
        <w:t>13.46</w:t>
      </w:r>
      <w:r>
        <w:rPr>
          <w:rFonts w:hint="eastAsia" w:asciiTheme="minorEastAsia" w:hAnsiTheme="minorEastAsia" w:eastAsiaTheme="minorEastAsia" w:cstheme="minorEastAsia"/>
          <w:sz w:val="24"/>
          <w:highlight w:val="none"/>
          <w:lang w:val="zh-CN"/>
        </w:rPr>
        <w:t>亿元，实现营业收入</w:t>
      </w:r>
      <w:r>
        <w:rPr>
          <w:rFonts w:hint="eastAsia" w:asciiTheme="minorEastAsia" w:hAnsiTheme="minorEastAsia" w:eastAsiaTheme="minorEastAsia" w:cstheme="minorEastAsia"/>
          <w:sz w:val="24"/>
          <w:highlight w:val="none"/>
          <w:lang w:val="en-US" w:eastAsia="zh-CN"/>
        </w:rPr>
        <w:t>0.0001</w:t>
      </w:r>
      <w:r>
        <w:rPr>
          <w:rFonts w:hint="eastAsia" w:asciiTheme="minorEastAsia" w:hAnsiTheme="minorEastAsia" w:eastAsiaTheme="minorEastAsia" w:cstheme="minorEastAsia"/>
          <w:sz w:val="24"/>
          <w:highlight w:val="none"/>
          <w:lang w:val="zh-CN"/>
        </w:rPr>
        <w:t>亿元，净利润</w:t>
      </w:r>
      <w:r>
        <w:rPr>
          <w:rFonts w:hint="eastAsia" w:asciiTheme="minorEastAsia" w:hAnsiTheme="minorEastAsia" w:eastAsiaTheme="minorEastAsia" w:cstheme="minorEastAsia"/>
          <w:sz w:val="24"/>
          <w:highlight w:val="none"/>
          <w:lang w:val="en-US" w:eastAsia="zh-CN"/>
        </w:rPr>
        <w:t>0.3822</w:t>
      </w:r>
      <w:r>
        <w:rPr>
          <w:rFonts w:hint="eastAsia" w:asciiTheme="minorEastAsia" w:hAnsiTheme="minorEastAsia" w:eastAsiaTheme="minorEastAsia" w:cstheme="minorEastAsia"/>
          <w:sz w:val="24"/>
          <w:highlight w:val="none"/>
          <w:lang w:val="zh-CN"/>
        </w:rPr>
        <w:t>亿元。</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大洲控股集团有限公司为本行监事陈铁铭先生实际控制的企业，且截至202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1日，该公司持有本行</w:t>
      </w:r>
      <w:r>
        <w:rPr>
          <w:rFonts w:hint="eastAsia" w:asciiTheme="minorEastAsia" w:hAnsiTheme="minorEastAsia" w:eastAsiaTheme="minorEastAsia" w:cstheme="minorEastAsia"/>
          <w:sz w:val="24"/>
          <w:highlight w:val="none"/>
          <w:lang w:eastAsia="zh-CN"/>
        </w:rPr>
        <w:t>2</w:t>
      </w:r>
      <w:r>
        <w:rPr>
          <w:rFonts w:hint="eastAsia" w:asciiTheme="minorEastAsia" w:hAnsiTheme="minorEastAsia" w:eastAsiaTheme="minorEastAsia" w:cstheme="minorEastAsia"/>
          <w:sz w:val="24"/>
          <w:highlight w:val="none"/>
        </w:rPr>
        <w:t>%股份，符合《上海证券交易所股票上市规则》第6.3.3条第二款第三项中规定的关联关系情形</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符合</w:t>
      </w:r>
      <w:r>
        <w:rPr>
          <w:rFonts w:hint="eastAsia" w:asciiTheme="minorEastAsia" w:hAnsiTheme="minorEastAsia" w:eastAsiaTheme="minorEastAsia" w:cstheme="minorEastAsia"/>
          <w:sz w:val="24"/>
          <w:highlight w:val="none"/>
        </w:rPr>
        <w:t>《银行保险机构关联交易管理办法》第七条第</w:t>
      </w:r>
      <w:r>
        <w:rPr>
          <w:rFonts w:hint="eastAsia" w:asciiTheme="minorEastAsia" w:hAnsiTheme="minorEastAsia" w:eastAsiaTheme="minorEastAsia" w:cstheme="minorEastAsia"/>
          <w:sz w:val="24"/>
          <w:highlight w:val="none"/>
          <w:lang w:val="en-US" w:eastAsia="zh-CN"/>
        </w:rPr>
        <w:t>二</w:t>
      </w:r>
      <w:r>
        <w:rPr>
          <w:rFonts w:hint="eastAsia" w:asciiTheme="minorEastAsia" w:hAnsiTheme="minorEastAsia" w:eastAsiaTheme="minorEastAsia" w:cstheme="minorEastAsia"/>
          <w:sz w:val="24"/>
          <w:highlight w:val="none"/>
        </w:rPr>
        <w:t>项、第五项中规定的关联关系情形。</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八</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福建海西金融租赁有限责任公司</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基本情况</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福建海西金融租赁有限责任公司（统一社会信用代码：91350500MA2XNL6NXX）成立于2016年9月9日，</w:t>
      </w:r>
      <w:r>
        <w:rPr>
          <w:rFonts w:hint="eastAsia" w:asciiTheme="minorEastAsia" w:hAnsiTheme="minorEastAsia" w:eastAsiaTheme="minorEastAsia" w:cstheme="minorEastAsia"/>
          <w:sz w:val="24"/>
          <w:highlight w:val="none"/>
          <w:lang w:val="en-US" w:eastAsia="zh-CN"/>
        </w:rPr>
        <w:t>公司类型为其他有限责任公司，</w:t>
      </w:r>
      <w:r>
        <w:rPr>
          <w:rFonts w:hint="eastAsia" w:asciiTheme="minorEastAsia" w:hAnsiTheme="minorEastAsia" w:eastAsiaTheme="minorEastAsia" w:cstheme="minorEastAsia"/>
          <w:sz w:val="24"/>
          <w:highlight w:val="none"/>
        </w:rPr>
        <w:t>法定代表人为潘青松，注册地址为福建省泉州市丰泽区湖心街474号5楼</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注册资本为人民币</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.00亿元，其中本行持股</w:t>
      </w:r>
      <w:r>
        <w:rPr>
          <w:rFonts w:hint="eastAsia" w:asciiTheme="minorEastAsia" w:hAnsiTheme="minorEastAsia" w:eastAsiaTheme="minorEastAsia" w:cstheme="minorEastAsia"/>
          <w:sz w:val="24"/>
          <w:highlight w:val="none"/>
          <w:lang w:val="en-US" w:eastAsia="zh-CN"/>
        </w:rPr>
        <w:t>69.75</w:t>
      </w:r>
      <w:r>
        <w:rPr>
          <w:rFonts w:hint="eastAsia" w:asciiTheme="minorEastAsia" w:hAnsiTheme="minorEastAsia" w:eastAsiaTheme="minorEastAsia" w:cstheme="minorEastAsia"/>
          <w:sz w:val="24"/>
          <w:highlight w:val="none"/>
        </w:rPr>
        <w:t>%、石狮市城市建设有限公司持股</w:t>
      </w:r>
      <w:r>
        <w:rPr>
          <w:rFonts w:hint="eastAsia" w:asciiTheme="minorEastAsia" w:hAnsiTheme="minorEastAsia" w:eastAsiaTheme="minorEastAsia" w:cstheme="minorEastAsia"/>
          <w:sz w:val="24"/>
          <w:highlight w:val="none"/>
          <w:lang w:val="en-US" w:eastAsia="zh-CN"/>
        </w:rPr>
        <w:t>23.25</w:t>
      </w:r>
      <w:r>
        <w:rPr>
          <w:rFonts w:hint="eastAsia" w:asciiTheme="minorEastAsia" w:hAnsiTheme="minorEastAsia" w:eastAsiaTheme="minorEastAsia" w:cstheme="minorEastAsia"/>
          <w:sz w:val="24"/>
          <w:highlight w:val="none"/>
        </w:rPr>
        <w:t>%、福建晋工机械有限公司持股</w:t>
      </w:r>
      <w:r>
        <w:rPr>
          <w:rFonts w:hint="eastAsia" w:asciiTheme="minorEastAsia" w:hAnsiTheme="minorEastAsia" w:eastAsiaTheme="minorEastAsia" w:cstheme="minorEastAsia"/>
          <w:sz w:val="24"/>
          <w:highlight w:val="none"/>
          <w:lang w:val="en-US" w:eastAsia="zh-CN"/>
        </w:rPr>
        <w:t>4.0833</w:t>
      </w:r>
      <w:r>
        <w:rPr>
          <w:rFonts w:hint="eastAsia" w:asciiTheme="minorEastAsia" w:hAnsiTheme="minorEastAsia" w:eastAsiaTheme="minorEastAsia" w:cstheme="minorEastAsia"/>
          <w:sz w:val="24"/>
          <w:highlight w:val="none"/>
        </w:rPr>
        <w:t>%、福建省铁拓机械股份有限公司持股</w:t>
      </w:r>
      <w:r>
        <w:rPr>
          <w:rFonts w:hint="eastAsia" w:asciiTheme="minorEastAsia" w:hAnsiTheme="minorEastAsia" w:eastAsiaTheme="minorEastAsia" w:cstheme="minorEastAsia"/>
          <w:sz w:val="24"/>
          <w:highlight w:val="none"/>
          <w:lang w:val="en-US" w:eastAsia="zh-CN"/>
        </w:rPr>
        <w:t>2.9167</w:t>
      </w:r>
      <w:r>
        <w:rPr>
          <w:rFonts w:hint="eastAsia" w:asciiTheme="minorEastAsia" w:hAnsiTheme="minorEastAsia" w:eastAsiaTheme="minorEastAsia" w:cstheme="minorEastAsia"/>
          <w:sz w:val="24"/>
          <w:highlight w:val="none"/>
        </w:rPr>
        <w:t>%。福建海西金融租赁有限责任公司</w:t>
      </w:r>
      <w:r>
        <w:rPr>
          <w:rFonts w:hint="eastAsia" w:asciiTheme="minorEastAsia" w:hAnsiTheme="minorEastAsia" w:eastAsiaTheme="minorEastAsia" w:cstheme="minorEastAsia"/>
          <w:sz w:val="24"/>
          <w:highlight w:val="none"/>
          <w:lang w:val="en-US" w:eastAsia="zh-CN"/>
        </w:rPr>
        <w:t>经营范围为融资租赁业务；转让和受让融资租赁资产；固定收益类证券投资业务；接受承租人的租赁保证金；吸收非银行股东3个月（含）以上定期存款；同业拆借；向金融机构借款；境外借款；租赁物变卖及处理业务；经济咨询；经银监会批准的其他业务。（依法须经批准的项目，经相关部门批准后方可开展经营活动）。</w:t>
      </w:r>
      <w:r>
        <w:rPr>
          <w:rFonts w:hint="eastAsia" w:asciiTheme="minorEastAsia" w:hAnsiTheme="minorEastAsia" w:eastAsiaTheme="minorEastAsia" w:cstheme="minorEastAsia"/>
          <w:sz w:val="24"/>
          <w:highlight w:val="none"/>
        </w:rPr>
        <w:t>截至202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12月</w:t>
      </w:r>
      <w:r>
        <w:rPr>
          <w:rFonts w:hint="eastAsia" w:asciiTheme="minorEastAsia" w:hAnsiTheme="minorEastAsia" w:eastAsiaTheme="minorEastAsia" w:cstheme="minorEastAsia"/>
          <w:sz w:val="24"/>
          <w:highlight w:val="none"/>
        </w:rPr>
        <w:t>末，福建海西金融租赁有限责任公司资产总额</w:t>
      </w:r>
      <w:r>
        <w:rPr>
          <w:rFonts w:hint="eastAsia" w:asciiTheme="minorEastAsia" w:hAnsiTheme="minorEastAsia" w:eastAsiaTheme="minorEastAsia" w:cstheme="minorEastAsia"/>
          <w:sz w:val="24"/>
          <w:highlight w:val="none"/>
          <w:lang w:val="en-US" w:eastAsia="zh-CN"/>
        </w:rPr>
        <w:t>131.65</w:t>
      </w:r>
      <w:r>
        <w:rPr>
          <w:rFonts w:hint="eastAsia" w:asciiTheme="minorEastAsia" w:hAnsiTheme="minorEastAsia" w:eastAsiaTheme="minorEastAsia" w:cstheme="minorEastAsia"/>
          <w:sz w:val="24"/>
          <w:highlight w:val="none"/>
        </w:rPr>
        <w:t>亿元，净资产</w:t>
      </w:r>
      <w:r>
        <w:rPr>
          <w:rFonts w:hint="eastAsia" w:asciiTheme="minorEastAsia" w:hAnsiTheme="minorEastAsia" w:eastAsiaTheme="minorEastAsia" w:cstheme="minorEastAsia"/>
          <w:sz w:val="24"/>
          <w:highlight w:val="none"/>
          <w:lang w:val="en-US" w:eastAsia="zh-CN"/>
        </w:rPr>
        <w:t>18.25</w:t>
      </w:r>
      <w:r>
        <w:rPr>
          <w:rFonts w:hint="eastAsia" w:asciiTheme="minorEastAsia" w:hAnsiTheme="minorEastAsia" w:eastAsiaTheme="minorEastAsia" w:cstheme="minorEastAsia"/>
          <w:sz w:val="24"/>
          <w:highlight w:val="none"/>
        </w:rPr>
        <w:t>亿元，实现营业收入</w:t>
      </w:r>
      <w:r>
        <w:rPr>
          <w:rFonts w:hint="eastAsia" w:asciiTheme="minorEastAsia" w:hAnsiTheme="minorEastAsia" w:eastAsiaTheme="minorEastAsia" w:cstheme="minorEastAsia"/>
          <w:sz w:val="24"/>
          <w:highlight w:val="none"/>
          <w:lang w:val="en-US" w:eastAsia="zh-CN"/>
        </w:rPr>
        <w:t>5.01</w:t>
      </w:r>
      <w:r>
        <w:rPr>
          <w:rFonts w:hint="eastAsia" w:asciiTheme="minorEastAsia" w:hAnsiTheme="minorEastAsia" w:eastAsiaTheme="minorEastAsia" w:cstheme="minorEastAsia"/>
          <w:sz w:val="24"/>
          <w:highlight w:val="none"/>
        </w:rPr>
        <w:t>亿元，净利润</w:t>
      </w:r>
      <w:r>
        <w:rPr>
          <w:rFonts w:hint="eastAsia" w:asciiTheme="minorEastAsia" w:hAnsiTheme="minorEastAsia" w:eastAsiaTheme="minorEastAsia" w:cstheme="minorEastAsia"/>
          <w:sz w:val="24"/>
          <w:highlight w:val="none"/>
          <w:lang w:val="en-US" w:eastAsia="zh-CN"/>
        </w:rPr>
        <w:t>2.17</w:t>
      </w:r>
      <w:r>
        <w:rPr>
          <w:rFonts w:hint="eastAsia" w:asciiTheme="minorEastAsia" w:hAnsiTheme="minorEastAsia" w:eastAsiaTheme="minorEastAsia" w:cstheme="minorEastAsia"/>
          <w:sz w:val="24"/>
          <w:highlight w:val="none"/>
        </w:rPr>
        <w:t>亿元。</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关联关系</w:t>
      </w:r>
    </w:p>
    <w:p>
      <w:pPr>
        <w:numPr>
          <w:ilvl w:val="-1"/>
          <w:numId w:val="0"/>
        </w:numPr>
        <w:adjustRightInd w:val="0"/>
        <w:snapToGrid w:val="0"/>
        <w:spacing w:line="360" w:lineRule="auto"/>
        <w:ind w:left="0" w:leftChars="0" w:firstLine="42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福建海西金融租赁有限责任公司为本行持有</w:t>
      </w:r>
      <w:r>
        <w:rPr>
          <w:rFonts w:hint="eastAsia" w:asciiTheme="minorEastAsia" w:hAnsiTheme="minorEastAsia" w:eastAsiaTheme="minorEastAsia" w:cstheme="minorEastAsia"/>
          <w:sz w:val="24"/>
          <w:highlight w:val="none"/>
          <w:lang w:val="en-US" w:eastAsia="zh-CN"/>
        </w:rPr>
        <w:t>69.75</w:t>
      </w:r>
      <w:r>
        <w:rPr>
          <w:rFonts w:hint="eastAsia" w:asciiTheme="minorEastAsia" w:hAnsiTheme="minorEastAsia" w:eastAsiaTheme="minorEastAsia" w:cstheme="minorEastAsia"/>
          <w:sz w:val="24"/>
          <w:highlight w:val="none"/>
        </w:rPr>
        <w:t>%股份的控股子公司，符合《银行保险机构关联交易管理办法》第七条第四项中规定的关联关系情形。</w:t>
      </w:r>
    </w:p>
    <w:p>
      <w:pPr>
        <w:numPr>
          <w:ilvl w:val="0"/>
          <w:numId w:val="0"/>
        </w:numPr>
        <w:adjustRightInd w:val="0"/>
        <w:snapToGrid w:val="0"/>
        <w:spacing w:line="360" w:lineRule="auto"/>
        <w:ind w:left="420" w:left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九</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关联自然人</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本行关联自然人包括中国银保监会定义的关联自然人和中国证监会定义的关联自然人，具体如下：</w:t>
      </w:r>
    </w:p>
    <w:p>
      <w:pPr>
        <w:adjustRightInd w:val="0"/>
        <w:snapToGrid w:val="0"/>
        <w:spacing w:line="360" w:lineRule="auto"/>
        <w:ind w:firstLine="482" w:firstLineChars="200"/>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rPr>
        <w:t>《</w:t>
      </w:r>
      <w:r>
        <w:rPr>
          <w:rFonts w:hint="eastAsia" w:asciiTheme="minorEastAsia" w:hAnsiTheme="minorEastAsia" w:eastAsiaTheme="minorEastAsia" w:cstheme="minorEastAsia"/>
          <w:b/>
          <w:bCs/>
          <w:sz w:val="24"/>
          <w:highlight w:val="none"/>
          <w:lang w:val="en-US" w:eastAsia="zh-CN"/>
        </w:rPr>
        <w:t>银行保险机构关联交易管理办法》定义的关联自然人：</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银行保险机构的自然人控股股东、实际控制人，及其一致行动人、最终受益人；</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持有或控制银行保险机构5%以上股权的，或持股不足5%但对银行保险机构经营管理有重大影响的自然人；</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银行保险机构的董事、监事、总行（总公司）和重要分行（分公司）的高级管理人员，以及具有大额授信、资产转移、保险资金运用等核心业务审批或决策权的人员；</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上述第1项、第2项和第3项所列关联方的配偶、父母、成年子女及兄弟姐妹；</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5.以下</w:t>
      </w:r>
      <w:r>
        <w:rPr>
          <w:rFonts w:hint="eastAsia" w:asciiTheme="minorEastAsia" w:hAnsiTheme="minorEastAsia" w:eastAsiaTheme="minorEastAsia" w:cstheme="minorEastAsia"/>
          <w:sz w:val="24"/>
          <w:highlight w:val="none"/>
        </w:rPr>
        <w:t>关联方的董事、监事、高级管理人员</w:t>
      </w:r>
      <w:r>
        <w:rPr>
          <w:rFonts w:hint="eastAsia" w:asciiTheme="minorEastAsia" w:hAnsiTheme="minorEastAsia" w:eastAsiaTheme="minorEastAsia" w:cstheme="minorEastAsia"/>
          <w:sz w:val="24"/>
          <w:highlight w:val="none"/>
          <w:lang w:eastAsia="zh-CN"/>
        </w:rPr>
        <w:t>：</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）银行保险机构的法人控股股东、实际控制人，及其一致行动人、最终受益人；</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）持有或控制银行保险机构5%以上股权的，或者持股不足5%但对银行保险机构经营管理有重大影响的法人或非法人组织，及其控股股东、实际控制人、一致行动人、最终受益人。</w:t>
      </w:r>
    </w:p>
    <w:p>
      <w:pPr>
        <w:numPr>
          <w:ilvl w:val="-1"/>
          <w:numId w:val="0"/>
        </w:numPr>
        <w:adjustRightInd w:val="0"/>
        <w:snapToGrid w:val="0"/>
        <w:spacing w:line="360" w:lineRule="auto"/>
        <w:ind w:left="0" w:firstLine="482" w:firstLineChars="200"/>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rPr>
        <w:t>《上海证券交易所股票上市规则</w:t>
      </w:r>
      <w:r>
        <w:rPr>
          <w:rFonts w:hint="eastAsia" w:asciiTheme="minorEastAsia" w:hAnsiTheme="minorEastAsia" w:eastAsiaTheme="minorEastAsia" w:cstheme="minorEastAsia"/>
          <w:b/>
          <w:bCs/>
          <w:sz w:val="24"/>
          <w:highlight w:val="none"/>
          <w:lang w:val="en-US" w:eastAsia="zh-CN"/>
        </w:rPr>
        <w:t>》定义的关联自然人：</w:t>
      </w:r>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lang w:val="zh-CN" w:eastAsia="zh-CN"/>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val="zh-CN" w:eastAsia="zh-CN"/>
        </w:rPr>
        <w:t>直接或者间接持有上市公司5%以上股份的自然人；</w:t>
      </w:r>
      <w:bookmarkStart w:id="18" w:name="No641_D2"/>
      <w:bookmarkEnd w:id="18"/>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lang w:val="zh-CN"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val="zh-CN" w:eastAsia="zh-CN"/>
        </w:rPr>
        <w:t>上市公司董事、监事和高级管理人员；</w:t>
      </w:r>
      <w:bookmarkStart w:id="19" w:name="No642_D3"/>
      <w:bookmarkEnd w:id="19"/>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lang w:val="zh-CN" w:eastAsia="zh-CN"/>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lang w:val="zh-CN" w:eastAsia="zh-CN"/>
        </w:rPr>
        <w:t>直接或者间接地控制上市公司的法人（或者其他组织）的董事、监事和高级管理人员；</w:t>
      </w:r>
      <w:bookmarkStart w:id="20" w:name="No643_D4"/>
      <w:bookmarkEnd w:id="20"/>
    </w:p>
    <w:p>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sz w:val="24"/>
          <w:highlight w:val="none"/>
          <w:lang w:val="zh-CN" w:eastAsia="zh-CN"/>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val="zh-CN" w:eastAsia="zh-CN"/>
        </w:rPr>
        <w:t>本款</w:t>
      </w:r>
      <w:r>
        <w:rPr>
          <w:rFonts w:hint="eastAsia" w:asciiTheme="minorEastAsia" w:hAnsiTheme="minorEastAsia" w:eastAsiaTheme="minorEastAsia" w:cstheme="minorEastAsia"/>
          <w:sz w:val="24"/>
          <w:highlight w:val="none"/>
          <w:lang w:val="en-US" w:eastAsia="zh-CN"/>
        </w:rPr>
        <w:t>第1</w:t>
      </w:r>
      <w:r>
        <w:rPr>
          <w:rFonts w:hint="eastAsia" w:asciiTheme="minorEastAsia" w:hAnsiTheme="minorEastAsia" w:eastAsiaTheme="minorEastAsia" w:cstheme="minorEastAsia"/>
          <w:sz w:val="24"/>
          <w:highlight w:val="none"/>
          <w:lang w:val="zh-CN" w:eastAsia="zh-CN"/>
        </w:rPr>
        <w:t>项、第</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val="zh-CN" w:eastAsia="zh-CN"/>
        </w:rPr>
        <w:t>项所述人士的关系密切的家庭成员。</w:t>
      </w:r>
    </w:p>
    <w:p>
      <w:pPr>
        <w:numPr>
          <w:ilvl w:val="-1"/>
          <w:numId w:val="0"/>
        </w:numPr>
        <w:adjustRightInd w:val="0"/>
        <w:snapToGrid w:val="0"/>
        <w:spacing w:line="360" w:lineRule="auto"/>
        <w:ind w:left="0" w:firstLine="480" w:firstLineChars="200"/>
        <w:rPr>
          <w:rFonts w:hint="eastAsia" w:asciiTheme="minorEastAsia" w:hAnsiTheme="minorEastAsia" w:eastAsiaTheme="minorEastAsia" w:cstheme="minorEastAsia"/>
          <w:sz w:val="24"/>
          <w:highlight w:val="none"/>
          <w:lang w:val="en-US" w:eastAsia="zh-CN"/>
        </w:rPr>
      </w:pPr>
      <w:bookmarkStart w:id="21" w:name="No644"/>
      <w:bookmarkEnd w:id="21"/>
      <w:r>
        <w:rPr>
          <w:rFonts w:hint="eastAsia" w:asciiTheme="minorEastAsia" w:hAnsiTheme="minorEastAsia" w:eastAsiaTheme="minorEastAsia" w:cstheme="minorEastAsia"/>
          <w:sz w:val="24"/>
          <w:highlight w:val="none"/>
          <w:lang w:val="zh-CN" w:eastAsia="zh-CN"/>
        </w:rPr>
        <w:t>在过去12个月内或者相关协议或者安排生效后的12个月内，存在</w:t>
      </w:r>
      <w:r>
        <w:rPr>
          <w:rFonts w:hint="eastAsia" w:asciiTheme="minorEastAsia" w:hAnsiTheme="minorEastAsia" w:eastAsiaTheme="minorEastAsia" w:cstheme="minorEastAsia"/>
          <w:sz w:val="24"/>
          <w:highlight w:val="none"/>
          <w:lang w:val="en-US" w:eastAsia="zh-CN"/>
        </w:rPr>
        <w:t>上述</w:t>
      </w:r>
      <w:r>
        <w:rPr>
          <w:rFonts w:hint="eastAsia" w:asciiTheme="minorEastAsia" w:hAnsiTheme="minorEastAsia" w:eastAsiaTheme="minorEastAsia" w:cstheme="minorEastAsia"/>
          <w:sz w:val="24"/>
          <w:highlight w:val="none"/>
          <w:lang w:val="zh-CN" w:eastAsia="zh-CN"/>
        </w:rPr>
        <w:t>所述情形之一的自然人，为上市公司的关联人。</w:t>
      </w:r>
    </w:p>
    <w:p>
      <w:pPr>
        <w:adjustRightInd w:val="0"/>
        <w:snapToGrid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三、关联交易主要内容和定价政策</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本行预计的20</w:t>
      </w:r>
      <w:r>
        <w:rPr>
          <w:rFonts w:hint="eastAsia" w:asciiTheme="minorEastAsia" w:hAnsiTheme="minorEastAsia" w:eastAsiaTheme="minorEastAsia" w:cstheme="minorEastAsia"/>
          <w:sz w:val="24"/>
          <w:highlight w:val="none"/>
          <w:lang w:val="en-US" w:eastAsia="zh-CN"/>
        </w:rPr>
        <w:t>23</w:t>
      </w:r>
      <w:r>
        <w:rPr>
          <w:rFonts w:hint="eastAsia" w:asciiTheme="minorEastAsia" w:hAnsiTheme="minorEastAsia" w:eastAsiaTheme="minorEastAsia" w:cstheme="minorEastAsia"/>
          <w:sz w:val="24"/>
          <w:highlight w:val="none"/>
        </w:rPr>
        <w:t>年度日常关联交易属于正常经营范围内的常规业务。本行实际发生关联交易时按照等价有偿、公允市值的原则定价，以不优于对非关联方同类交易的条件进行，不存在损害本行及中小股东利益的情况。</w:t>
      </w:r>
    </w:p>
    <w:p>
      <w:pPr>
        <w:adjustRightInd w:val="0"/>
        <w:snapToGrid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四、关联交易目的和对本行的影响</w:t>
      </w:r>
    </w:p>
    <w:p>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上述日常关联交易属于本行正常经营范围内的常规业务，有利于充分发挥优质关联方客户资源优势，积极稳妥拓展本行业务。</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highlight w:val="none"/>
        </w:rPr>
        <w:t>本行与关联方之间的交易按照等价有偿、公允市价的原则定价，以不优于对非关联方同类交易的条件进行，不存在利益输送及价格操纵行为，没有损害本行和股东的利益，符合交易管理要求的公允性原则，不会对本行的持续经营能力、损益及资产状况构成不利影响，不影响本公司独立性，不会对关联方形成较大依赖。</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本议案已经第八届董事会第</w:t>
      </w:r>
      <w:r>
        <w:rPr>
          <w:rFonts w:hint="eastAsia" w:asciiTheme="minorEastAsia" w:hAnsiTheme="minorEastAsia" w:eastAsiaTheme="minorEastAsia" w:cstheme="minorEastAsia"/>
          <w:sz w:val="24"/>
          <w:lang w:val="en-US" w:eastAsia="zh-CN"/>
        </w:rPr>
        <w:t>三十一</w:t>
      </w:r>
      <w:r>
        <w:rPr>
          <w:rFonts w:hint="eastAsia" w:asciiTheme="minorEastAsia" w:hAnsiTheme="minorEastAsia" w:eastAsiaTheme="minorEastAsia" w:cstheme="minorEastAsia"/>
          <w:sz w:val="24"/>
        </w:rPr>
        <w:t>次会议审议通过，请各位股东审议。</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0"/>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pPr>
        <w:rPr>
          <w:rFonts w:hint="default"/>
          <w:lang w:val="en-US" w:eastAsia="zh-CN"/>
        </w:rPr>
      </w:pPr>
      <w:r>
        <w:rPr>
          <w:rFonts w:hint="default"/>
          <w:lang w:val="en-US" w:eastAsia="zh-CN"/>
        </w:rP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12"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报告1</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68480;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BjtXvcVAgAARQ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报告1</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厦门银行股份有限公司2022年度独立董事述职报告</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 w:val="24"/>
        </w:rPr>
      </w:pPr>
      <w:r>
        <w:rPr>
          <w:rFonts w:hint="eastAsia" w:ascii="宋体" w:hAnsi="宋体" w:eastAsia="宋体" w:cs="宋体"/>
          <w:bCs/>
          <w:color w:val="000000"/>
          <w:kern w:val="36"/>
          <w:sz w:val="24"/>
        </w:rPr>
        <w:t>尊敬的各位</w:t>
      </w:r>
      <w:r>
        <w:rPr>
          <w:rFonts w:hint="eastAsia" w:ascii="宋体" w:hAnsi="宋体" w:eastAsia="宋体" w:cs="宋体"/>
          <w:sz w:val="24"/>
        </w:rPr>
        <w:t>股东</w:t>
      </w:r>
      <w:r>
        <w:rPr>
          <w:rFonts w:hint="eastAsia" w:ascii="宋体" w:hAnsi="宋体" w:eastAsia="宋体" w:cs="宋体"/>
          <w:bCs/>
          <w:color w:val="000000"/>
          <w:kern w:val="36"/>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bCs/>
          <w:i w:val="0"/>
          <w:caps w:val="0"/>
          <w:spacing w:val="0"/>
          <w:sz w:val="24"/>
          <w:szCs w:val="24"/>
          <w:shd w:val="clear" w:color="auto" w:fill="FFFFFF"/>
          <w:lang w:val="en-US" w:eastAsia="zh-CN"/>
        </w:rPr>
      </w:pPr>
      <w:r>
        <w:rPr>
          <w:rFonts w:hint="eastAsia" w:ascii="宋体" w:hAnsi="宋体" w:eastAsia="宋体" w:cs="宋体"/>
          <w:i w:val="0"/>
          <w:caps w:val="0"/>
          <w:spacing w:val="0"/>
          <w:sz w:val="24"/>
          <w:szCs w:val="24"/>
          <w:shd w:val="clear" w:color="auto" w:fill="FFFFFF"/>
        </w:rPr>
        <w:t>20</w:t>
      </w:r>
      <w:r>
        <w:rPr>
          <w:rFonts w:hint="eastAsia" w:ascii="宋体" w:hAnsi="宋体" w:cs="宋体"/>
          <w:i w:val="0"/>
          <w:caps w:val="0"/>
          <w:spacing w:val="0"/>
          <w:sz w:val="24"/>
          <w:szCs w:val="24"/>
          <w:shd w:val="clear" w:color="auto" w:fill="FFFFFF"/>
          <w:lang w:val="en-US" w:eastAsia="zh-CN"/>
        </w:rPr>
        <w:t>22</w:t>
      </w:r>
      <w:r>
        <w:rPr>
          <w:rFonts w:hint="eastAsia" w:ascii="宋体" w:hAnsi="宋体" w:eastAsia="宋体" w:cs="宋体"/>
          <w:i w:val="0"/>
          <w:caps w:val="0"/>
          <w:spacing w:val="0"/>
          <w:sz w:val="24"/>
          <w:szCs w:val="24"/>
          <w:shd w:val="clear" w:color="auto" w:fill="FFFFFF"/>
        </w:rPr>
        <w:t>年度</w:t>
      </w:r>
      <w:r>
        <w:rPr>
          <w:rFonts w:hint="eastAsia" w:ascii="宋体" w:hAnsi="宋体" w:cs="宋体"/>
          <w:i w:val="0"/>
          <w:caps w:val="0"/>
          <w:spacing w:val="0"/>
          <w:sz w:val="24"/>
          <w:szCs w:val="24"/>
          <w:shd w:val="clear" w:color="auto" w:fill="FFFFFF"/>
          <w:lang w:eastAsia="zh-CN"/>
        </w:rPr>
        <w:t>，</w:t>
      </w:r>
      <w:r>
        <w:rPr>
          <w:rFonts w:hint="eastAsia" w:ascii="宋体" w:hAnsi="宋体" w:eastAsia="宋体" w:cs="宋体"/>
          <w:i w:val="0"/>
          <w:caps w:val="0"/>
          <w:spacing w:val="0"/>
          <w:sz w:val="24"/>
          <w:szCs w:val="24"/>
          <w:shd w:val="clear" w:color="auto" w:fill="FFFFFF"/>
          <w:lang w:eastAsia="zh-CN"/>
        </w:rPr>
        <w:t>厦门银行</w:t>
      </w:r>
      <w:r>
        <w:rPr>
          <w:rFonts w:hint="eastAsia" w:ascii="宋体" w:hAnsi="宋体" w:eastAsia="宋体" w:cs="宋体"/>
          <w:i w:val="0"/>
          <w:caps w:val="0"/>
          <w:spacing w:val="0"/>
          <w:sz w:val="24"/>
          <w:szCs w:val="24"/>
          <w:shd w:val="clear" w:color="auto" w:fill="FFFFFF"/>
        </w:rPr>
        <w:t>股份有限公司（以下简称“</w:t>
      </w:r>
      <w:r>
        <w:rPr>
          <w:rFonts w:hint="eastAsia" w:ascii="宋体" w:hAnsi="宋体" w:cs="宋体"/>
          <w:i w:val="0"/>
          <w:caps w:val="0"/>
          <w:spacing w:val="0"/>
          <w:sz w:val="24"/>
          <w:szCs w:val="24"/>
          <w:shd w:val="clear" w:color="auto" w:fill="FFFFFF"/>
          <w:lang w:val="en-US" w:eastAsia="zh-CN"/>
        </w:rPr>
        <w:t>公司</w:t>
      </w:r>
      <w:r>
        <w:rPr>
          <w:rFonts w:hint="eastAsia" w:ascii="宋体" w:hAnsi="宋体" w:eastAsia="宋体" w:cs="宋体"/>
          <w:i w:val="0"/>
          <w:caps w:val="0"/>
          <w:spacing w:val="0"/>
          <w:sz w:val="24"/>
          <w:szCs w:val="24"/>
          <w:shd w:val="clear" w:color="auto" w:fill="FFFFFF"/>
        </w:rPr>
        <w:t>”）独立董事严格按</w:t>
      </w:r>
      <w:r>
        <w:rPr>
          <w:rFonts w:hint="eastAsia" w:ascii="宋体" w:hAnsi="宋体" w:eastAsia="宋体" w:cs="宋体"/>
          <w:i w:val="0"/>
          <w:caps w:val="0"/>
          <w:spacing w:val="0"/>
          <w:sz w:val="24"/>
          <w:szCs w:val="24"/>
          <w:highlight w:val="none"/>
          <w:shd w:val="clear" w:color="auto" w:fill="FFFFFF"/>
        </w:rPr>
        <w:t>照《中华人民共和国公司法》《上海证券交易所股票上市规则》</w:t>
      </w:r>
      <w:r>
        <w:rPr>
          <w:rFonts w:hint="eastAsia" w:ascii="宋体" w:hAnsi="宋体" w:eastAsia="宋体" w:cs="宋体"/>
          <w:i w:val="0"/>
          <w:caps w:val="0"/>
          <w:spacing w:val="0"/>
          <w:sz w:val="24"/>
          <w:szCs w:val="24"/>
          <w:highlight w:val="none"/>
          <w:shd w:val="clear" w:color="auto" w:fill="FFFFFF"/>
          <w:lang w:eastAsia="zh-CN"/>
        </w:rPr>
        <w:t>《上</w:t>
      </w:r>
      <w:r>
        <w:rPr>
          <w:rFonts w:hint="eastAsia" w:ascii="宋体" w:hAnsi="宋体" w:eastAsia="宋体" w:cs="宋体"/>
          <w:i w:val="0"/>
          <w:caps w:val="0"/>
          <w:spacing w:val="0"/>
          <w:sz w:val="24"/>
          <w:szCs w:val="24"/>
          <w:highlight w:val="none"/>
          <w:shd w:val="clear" w:color="auto" w:fill="FFFFFF"/>
        </w:rPr>
        <w:t>市公司治理准则》《</w:t>
      </w:r>
      <w:r>
        <w:rPr>
          <w:rFonts w:hint="eastAsia" w:ascii="宋体" w:hAnsi="宋体" w:cs="宋体"/>
          <w:i w:val="0"/>
          <w:caps w:val="0"/>
          <w:spacing w:val="0"/>
          <w:sz w:val="24"/>
          <w:szCs w:val="24"/>
          <w:highlight w:val="none"/>
          <w:shd w:val="clear" w:color="auto" w:fill="FFFFFF"/>
          <w:lang w:eastAsia="zh-CN"/>
        </w:rPr>
        <w:t>上市公司独立董事规则</w:t>
      </w:r>
      <w:r>
        <w:rPr>
          <w:rFonts w:hint="eastAsia" w:ascii="宋体" w:hAnsi="宋体" w:eastAsia="宋体" w:cs="宋体"/>
          <w:i w:val="0"/>
          <w:caps w:val="0"/>
          <w:spacing w:val="0"/>
          <w:sz w:val="24"/>
          <w:szCs w:val="24"/>
          <w:highlight w:val="none"/>
          <w:shd w:val="clear" w:color="auto" w:fill="FFFFFF"/>
        </w:rPr>
        <w:t>》</w:t>
      </w:r>
      <w:r>
        <w:rPr>
          <w:rFonts w:hint="eastAsia" w:ascii="宋体" w:hAnsi="宋体" w:eastAsia="宋体" w:cs="宋体"/>
          <w:i w:val="0"/>
          <w:caps w:val="0"/>
          <w:spacing w:val="0"/>
          <w:sz w:val="24"/>
          <w:szCs w:val="24"/>
          <w:shd w:val="clear" w:color="auto" w:fill="FFFFFF"/>
        </w:rPr>
        <w:t>等</w:t>
      </w:r>
      <w:r>
        <w:rPr>
          <w:rFonts w:hint="eastAsia" w:ascii="宋体" w:hAnsi="宋体" w:cs="宋体"/>
          <w:i w:val="0"/>
          <w:caps w:val="0"/>
          <w:spacing w:val="0"/>
          <w:sz w:val="24"/>
          <w:szCs w:val="24"/>
          <w:shd w:val="clear" w:color="auto" w:fill="FFFFFF"/>
          <w:lang w:val="en-US" w:eastAsia="zh-CN"/>
        </w:rPr>
        <w:t>相关</w:t>
      </w:r>
      <w:r>
        <w:rPr>
          <w:rFonts w:hint="eastAsia" w:ascii="宋体" w:hAnsi="宋体" w:eastAsia="宋体" w:cs="宋体"/>
          <w:i w:val="0"/>
          <w:caps w:val="0"/>
          <w:spacing w:val="0"/>
          <w:sz w:val="24"/>
          <w:szCs w:val="24"/>
          <w:shd w:val="clear" w:color="auto" w:fill="FFFFFF"/>
        </w:rPr>
        <w:t>法律法规</w:t>
      </w:r>
      <w:r>
        <w:rPr>
          <w:rFonts w:hint="eastAsia" w:ascii="宋体" w:hAnsi="宋体" w:cs="宋体"/>
          <w:i w:val="0"/>
          <w:caps w:val="0"/>
          <w:spacing w:val="0"/>
          <w:sz w:val="24"/>
          <w:szCs w:val="24"/>
          <w:shd w:val="clear" w:color="auto" w:fill="FFFFFF"/>
          <w:lang w:eastAsia="zh-CN"/>
        </w:rPr>
        <w:t>以及</w:t>
      </w:r>
      <w:r>
        <w:rPr>
          <w:rFonts w:hint="eastAsia" w:ascii="宋体" w:hAnsi="宋体" w:eastAsia="宋体" w:cs="宋体"/>
          <w:i w:val="0"/>
          <w:caps w:val="0"/>
          <w:spacing w:val="0"/>
          <w:sz w:val="24"/>
          <w:szCs w:val="24"/>
          <w:highlight w:val="none"/>
          <w:shd w:val="clear" w:color="auto" w:fill="FFFFFF"/>
        </w:rPr>
        <w:t>《</w:t>
      </w:r>
      <w:r>
        <w:rPr>
          <w:rFonts w:hint="eastAsia" w:ascii="宋体" w:hAnsi="宋体" w:cs="宋体"/>
          <w:i w:val="0"/>
          <w:caps w:val="0"/>
          <w:spacing w:val="0"/>
          <w:sz w:val="24"/>
          <w:szCs w:val="24"/>
          <w:highlight w:val="none"/>
          <w:shd w:val="clear" w:color="auto" w:fill="FFFFFF"/>
          <w:lang w:eastAsia="zh-CN"/>
        </w:rPr>
        <w:t>厦门银行股份有限</w:t>
      </w:r>
      <w:r>
        <w:rPr>
          <w:rFonts w:hint="eastAsia" w:ascii="宋体" w:hAnsi="宋体" w:eastAsia="宋体" w:cs="宋体"/>
          <w:i w:val="0"/>
          <w:caps w:val="0"/>
          <w:spacing w:val="0"/>
          <w:sz w:val="24"/>
          <w:szCs w:val="24"/>
          <w:highlight w:val="none"/>
          <w:shd w:val="clear" w:color="auto" w:fill="FFFFFF"/>
        </w:rPr>
        <w:t>公司章程》</w:t>
      </w:r>
      <w:r>
        <w:rPr>
          <w:rFonts w:hint="eastAsia" w:ascii="宋体" w:hAnsi="宋体" w:eastAsia="宋体" w:cs="宋体"/>
          <w:i w:val="0"/>
          <w:caps w:val="0"/>
          <w:spacing w:val="0"/>
          <w:sz w:val="24"/>
          <w:szCs w:val="24"/>
          <w:shd w:val="clear" w:color="auto" w:fill="FFFFFF"/>
        </w:rPr>
        <w:t>（以下简称“</w:t>
      </w:r>
      <w:r>
        <w:rPr>
          <w:rFonts w:hint="eastAsia" w:ascii="宋体" w:hAnsi="宋体" w:cs="宋体"/>
          <w:i w:val="0"/>
          <w:caps w:val="0"/>
          <w:spacing w:val="0"/>
          <w:sz w:val="24"/>
          <w:szCs w:val="24"/>
          <w:shd w:val="clear" w:color="auto" w:fill="FFFFFF"/>
          <w:lang w:eastAsia="zh-CN"/>
        </w:rPr>
        <w:t>公司</w:t>
      </w:r>
      <w:r>
        <w:rPr>
          <w:rFonts w:hint="eastAsia" w:ascii="宋体" w:hAnsi="宋体" w:eastAsia="宋体" w:cs="宋体"/>
          <w:i w:val="0"/>
          <w:caps w:val="0"/>
          <w:spacing w:val="0"/>
          <w:sz w:val="24"/>
          <w:szCs w:val="24"/>
          <w:shd w:val="clear" w:color="auto" w:fill="FFFFFF"/>
        </w:rPr>
        <w:t>章程”）的有关规定，</w:t>
      </w:r>
      <w:r>
        <w:rPr>
          <w:rFonts w:hint="eastAsia" w:ascii="宋体" w:hAnsi="宋体" w:eastAsia="宋体" w:cs="宋体"/>
          <w:i w:val="0"/>
          <w:caps w:val="0"/>
          <w:spacing w:val="0"/>
          <w:sz w:val="24"/>
          <w:szCs w:val="24"/>
          <w:shd w:val="clear" w:color="auto" w:fill="FFFFFF"/>
          <w:lang w:eastAsia="zh-CN"/>
        </w:rPr>
        <w:t>基于独立客观的立场，本着审慎负责的态度</w:t>
      </w:r>
      <w:r>
        <w:rPr>
          <w:rFonts w:hint="eastAsia" w:ascii="宋体" w:hAnsi="宋体" w:cs="宋体"/>
          <w:i w:val="0"/>
          <w:caps w:val="0"/>
          <w:spacing w:val="0"/>
          <w:sz w:val="24"/>
          <w:szCs w:val="24"/>
          <w:shd w:val="clear" w:color="auto" w:fill="FFFFFF"/>
          <w:lang w:eastAsia="zh-CN"/>
        </w:rPr>
        <w:t>，</w:t>
      </w:r>
      <w:r>
        <w:rPr>
          <w:rFonts w:hint="eastAsia" w:ascii="宋体" w:hAnsi="宋体" w:eastAsia="宋体" w:cs="宋体"/>
          <w:i w:val="0"/>
          <w:caps w:val="0"/>
          <w:spacing w:val="0"/>
          <w:sz w:val="24"/>
          <w:szCs w:val="24"/>
          <w:shd w:val="clear" w:color="auto" w:fill="FFFFFF"/>
        </w:rPr>
        <w:t>充分发挥独立董事作用，切实维护</w:t>
      </w:r>
      <w:r>
        <w:rPr>
          <w:rFonts w:hint="eastAsia" w:ascii="宋体" w:hAnsi="宋体" w:cs="宋体"/>
          <w:i w:val="0"/>
          <w:caps w:val="0"/>
          <w:spacing w:val="0"/>
          <w:sz w:val="24"/>
          <w:szCs w:val="24"/>
          <w:shd w:val="clear" w:color="auto" w:fill="FFFFFF"/>
          <w:lang w:val="en-US" w:eastAsia="zh-CN"/>
        </w:rPr>
        <w:t>公司</w:t>
      </w:r>
      <w:r>
        <w:rPr>
          <w:rFonts w:hint="eastAsia" w:ascii="宋体" w:hAnsi="宋体" w:eastAsia="宋体" w:cs="宋体"/>
          <w:i w:val="0"/>
          <w:caps w:val="0"/>
          <w:spacing w:val="0"/>
          <w:sz w:val="24"/>
          <w:szCs w:val="24"/>
          <w:shd w:val="clear" w:color="auto" w:fill="FFFFFF"/>
        </w:rPr>
        <w:t>的整体利益和中小股东的合法权益。</w:t>
      </w:r>
      <w:r>
        <w:rPr>
          <w:rFonts w:hint="eastAsia" w:ascii="宋体" w:hAnsi="宋体" w:eastAsia="宋体" w:cs="宋体"/>
          <w:i w:val="0"/>
          <w:caps w:val="0"/>
          <w:spacing w:val="0"/>
          <w:sz w:val="24"/>
          <w:szCs w:val="24"/>
          <w:shd w:val="clear" w:color="auto" w:fill="FFFFFF"/>
          <w:lang w:eastAsia="zh-CN"/>
        </w:rPr>
        <w:t>现将</w:t>
      </w:r>
      <w:r>
        <w:rPr>
          <w:rFonts w:hint="eastAsia" w:ascii="宋体" w:hAnsi="宋体" w:eastAsia="宋体" w:cs="宋体"/>
          <w:i w:val="0"/>
          <w:caps w:val="0"/>
          <w:spacing w:val="0"/>
          <w:sz w:val="24"/>
          <w:szCs w:val="24"/>
          <w:shd w:val="clear" w:color="auto" w:fill="FFFFFF"/>
          <w:lang w:val="en-US" w:eastAsia="zh-CN"/>
        </w:rPr>
        <w:t>202</w:t>
      </w:r>
      <w:r>
        <w:rPr>
          <w:rFonts w:hint="eastAsia" w:ascii="宋体" w:hAnsi="宋体" w:cs="宋体"/>
          <w:i w:val="0"/>
          <w:caps w:val="0"/>
          <w:spacing w:val="0"/>
          <w:sz w:val="24"/>
          <w:szCs w:val="24"/>
          <w:shd w:val="clear" w:color="auto" w:fill="FFFFFF"/>
          <w:lang w:val="en-US" w:eastAsia="zh-CN"/>
        </w:rPr>
        <w:t>2</w:t>
      </w:r>
      <w:r>
        <w:rPr>
          <w:rFonts w:hint="eastAsia" w:ascii="宋体" w:hAnsi="宋体" w:eastAsia="宋体" w:cs="宋体"/>
          <w:i w:val="0"/>
          <w:caps w:val="0"/>
          <w:spacing w:val="0"/>
          <w:sz w:val="24"/>
          <w:szCs w:val="24"/>
          <w:shd w:val="clear" w:color="auto" w:fill="FFFFFF"/>
          <w:lang w:val="en-US" w:eastAsia="zh-CN"/>
        </w:rPr>
        <w:t>年度</w:t>
      </w:r>
      <w:r>
        <w:rPr>
          <w:rFonts w:hint="eastAsia" w:ascii="宋体" w:hAnsi="宋体" w:cs="宋体"/>
          <w:i w:val="0"/>
          <w:caps w:val="0"/>
          <w:spacing w:val="0"/>
          <w:sz w:val="24"/>
          <w:szCs w:val="24"/>
          <w:shd w:val="clear" w:color="auto" w:fill="FFFFFF"/>
          <w:lang w:val="en-US" w:eastAsia="zh-CN"/>
        </w:rPr>
        <w:t>独立董事</w:t>
      </w:r>
      <w:r>
        <w:rPr>
          <w:rFonts w:hint="eastAsia" w:ascii="宋体" w:hAnsi="宋体" w:eastAsia="宋体" w:cs="宋体"/>
          <w:i w:val="0"/>
          <w:caps w:val="0"/>
          <w:spacing w:val="0"/>
          <w:sz w:val="24"/>
          <w:szCs w:val="24"/>
          <w:shd w:val="clear" w:color="auto" w:fill="FFFFFF"/>
          <w:lang w:val="en-US" w:eastAsia="zh-CN"/>
        </w:rPr>
        <w:t>履职情况报告如下：</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2" w:leftChars="0" w:firstLine="422" w:firstLineChars="0"/>
        <w:textAlignment w:val="auto"/>
        <w:rPr>
          <w:rFonts w:hint="eastAsia" w:ascii="宋体" w:hAnsi="宋体" w:cs="宋体"/>
          <w:b/>
          <w:bCs/>
          <w:i w:val="0"/>
          <w:caps w:val="0"/>
          <w:spacing w:val="0"/>
          <w:sz w:val="24"/>
          <w:szCs w:val="24"/>
          <w:shd w:val="clear" w:color="auto" w:fill="FFFFFF"/>
          <w:lang w:val="en-US" w:eastAsia="zh-CN"/>
        </w:rPr>
      </w:pPr>
      <w:r>
        <w:rPr>
          <w:rFonts w:hint="eastAsia" w:ascii="宋体" w:hAnsi="宋体" w:cs="宋体"/>
          <w:b/>
          <w:bCs/>
          <w:i w:val="0"/>
          <w:caps w:val="0"/>
          <w:spacing w:val="0"/>
          <w:sz w:val="24"/>
          <w:szCs w:val="24"/>
          <w:shd w:val="clear" w:color="auto" w:fill="FFFFFF"/>
          <w:lang w:val="en-US" w:eastAsia="zh-CN"/>
        </w:rPr>
        <w:t>独立董事基本情况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i w:val="0"/>
          <w:caps w:val="0"/>
          <w:spacing w:val="0"/>
          <w:sz w:val="24"/>
          <w:szCs w:val="24"/>
          <w:shd w:val="clear" w:color="auto" w:fill="FFFFFF"/>
          <w:lang w:val="en-US" w:eastAsia="zh-CN"/>
        </w:rPr>
      </w:pPr>
      <w:r>
        <w:rPr>
          <w:rFonts w:hint="eastAsia" w:ascii="宋体" w:hAnsi="宋体" w:cs="宋体"/>
          <w:i w:val="0"/>
          <w:caps w:val="0"/>
          <w:spacing w:val="0"/>
          <w:sz w:val="24"/>
          <w:szCs w:val="24"/>
          <w:shd w:val="clear" w:color="auto" w:fill="FFFFFF"/>
          <w:lang w:val="en-US" w:eastAsia="zh-CN"/>
        </w:rPr>
        <w:t>截至2022年12月31日，公司第</w:t>
      </w:r>
      <w:r>
        <w:rPr>
          <w:rFonts w:hint="eastAsia" w:ascii="宋体" w:hAnsi="宋体" w:cs="宋体"/>
          <w:i w:val="0"/>
          <w:caps w:val="0"/>
          <w:spacing w:val="0"/>
          <w:sz w:val="24"/>
          <w:szCs w:val="24"/>
          <w:highlight w:val="none"/>
          <w:shd w:val="clear" w:color="auto" w:fill="FFFFFF"/>
          <w:lang w:val="en-US" w:eastAsia="zh-CN"/>
        </w:rPr>
        <w:t>八</w:t>
      </w:r>
      <w:r>
        <w:rPr>
          <w:rFonts w:hint="eastAsia" w:ascii="宋体" w:hAnsi="宋体" w:cs="宋体"/>
          <w:i w:val="0"/>
          <w:caps w:val="0"/>
          <w:spacing w:val="0"/>
          <w:sz w:val="24"/>
          <w:szCs w:val="24"/>
          <w:shd w:val="clear" w:color="auto" w:fill="FFFFFF"/>
          <w:lang w:val="en-US" w:eastAsia="zh-CN"/>
        </w:rPr>
        <w:t>届董事会由</w:t>
      </w:r>
      <w:r>
        <w:rPr>
          <w:rFonts w:hint="eastAsia" w:ascii="宋体" w:hAnsi="宋体" w:cs="宋体"/>
          <w:i w:val="0"/>
          <w:caps w:val="0"/>
          <w:spacing w:val="0"/>
          <w:sz w:val="24"/>
          <w:szCs w:val="24"/>
          <w:highlight w:val="none"/>
          <w:shd w:val="clear" w:color="auto" w:fill="FFFFFF"/>
          <w:lang w:val="en-US" w:eastAsia="zh-CN"/>
        </w:rPr>
        <w:t>13</w:t>
      </w:r>
      <w:r>
        <w:rPr>
          <w:rFonts w:hint="eastAsia" w:ascii="宋体" w:hAnsi="宋体" w:cs="宋体"/>
          <w:i w:val="0"/>
          <w:caps w:val="0"/>
          <w:spacing w:val="0"/>
          <w:sz w:val="24"/>
          <w:szCs w:val="24"/>
          <w:shd w:val="clear" w:color="auto" w:fill="FFFFFF"/>
          <w:lang w:val="en-US" w:eastAsia="zh-CN"/>
        </w:rPr>
        <w:t>名成员组成，其中独立董事</w:t>
      </w:r>
      <w:r>
        <w:rPr>
          <w:rFonts w:hint="eastAsia" w:ascii="宋体" w:hAnsi="宋体" w:cs="宋体"/>
          <w:i w:val="0"/>
          <w:caps w:val="0"/>
          <w:spacing w:val="0"/>
          <w:sz w:val="24"/>
          <w:szCs w:val="24"/>
          <w:highlight w:val="none"/>
          <w:shd w:val="clear" w:color="auto" w:fill="FFFFFF"/>
          <w:lang w:val="en-US" w:eastAsia="zh-CN"/>
        </w:rPr>
        <w:t>5</w:t>
      </w:r>
      <w:r>
        <w:rPr>
          <w:rFonts w:hint="eastAsia" w:ascii="宋体" w:hAnsi="宋体" w:cs="宋体"/>
          <w:i w:val="0"/>
          <w:caps w:val="0"/>
          <w:spacing w:val="0"/>
          <w:sz w:val="24"/>
          <w:szCs w:val="24"/>
          <w:shd w:val="clear" w:color="auto" w:fill="FFFFFF"/>
          <w:lang w:val="en-US" w:eastAsia="zh-CN"/>
        </w:rPr>
        <w:t>名，在</w:t>
      </w:r>
      <w:r>
        <w:rPr>
          <w:rFonts w:hint="default" w:ascii="宋体" w:hAnsi="宋体" w:cs="宋体"/>
          <w:i w:val="0"/>
          <w:caps w:val="0"/>
          <w:spacing w:val="0"/>
          <w:sz w:val="24"/>
          <w:szCs w:val="24"/>
          <w:shd w:val="clear" w:color="auto" w:fill="FFFFFF"/>
          <w:lang w:val="en-US" w:eastAsia="zh-CN"/>
        </w:rPr>
        <w:t>董事会成员中占比超过三分之一，</w:t>
      </w:r>
      <w:r>
        <w:rPr>
          <w:rFonts w:hint="eastAsia" w:ascii="宋体" w:hAnsi="宋体" w:cs="宋体"/>
          <w:i w:val="0"/>
          <w:caps w:val="0"/>
          <w:spacing w:val="0"/>
          <w:sz w:val="24"/>
          <w:szCs w:val="24"/>
          <w:shd w:val="clear" w:color="auto" w:fill="FFFFFF"/>
          <w:lang w:val="en-US" w:eastAsia="zh-CN"/>
        </w:rPr>
        <w:t>独立董事的资格、人数和比例符合相关法律法规及公司章程的规定。</w:t>
      </w:r>
      <w:r>
        <w:rPr>
          <w:rFonts w:hint="eastAsia" w:ascii="宋体" w:hAnsi="宋体" w:cs="宋体"/>
          <w:i w:val="0"/>
          <w:caps w:val="0"/>
          <w:spacing w:val="0"/>
          <w:sz w:val="24"/>
          <w:szCs w:val="24"/>
          <w:highlight w:val="none"/>
          <w:shd w:val="clear" w:color="auto" w:fill="FFFFFF"/>
          <w:lang w:val="en-US" w:eastAsia="zh-CN"/>
        </w:rPr>
        <w:t>公司提名委员会、薪酬委员会、审计与消费者权益保护委员会、风险控制与关联交易管理委员会均由独立董事担任主任委员。</w:t>
      </w:r>
      <w:r>
        <w:rPr>
          <w:rFonts w:hint="eastAsia" w:ascii="宋体" w:hAnsi="宋体" w:cs="宋体"/>
          <w:i w:val="0"/>
          <w:caps w:val="0"/>
          <w:spacing w:val="0"/>
          <w:sz w:val="24"/>
          <w:szCs w:val="24"/>
          <w:shd w:val="clear" w:color="auto" w:fill="FFFFFF"/>
          <w:lang w:val="en-US" w:eastAsia="zh-CN"/>
        </w:rPr>
        <w:t>公司独立董事具备与其行使职权相适应的任职条件，具备行政法规及其他有关规定担任上市公司董事的资格，具备上市公司运作的基本知识，熟悉相关法律、行政法规、规章及规则。公司独立董事在公司及公司子公司不拥有任何业务或财务利益，也不担任公司的任何管理职务，独立性符合有关监管要求。公司独立董事的主要工作经历和在其他单位任职或兼职情况如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i w:val="0"/>
          <w:caps w:val="0"/>
          <w:spacing w:val="0"/>
          <w:sz w:val="24"/>
          <w:szCs w:val="24"/>
          <w:shd w:val="clear" w:color="auto" w:fill="FFFFFF"/>
          <w:lang w:val="en-US" w:eastAsia="zh-CN"/>
        </w:rPr>
        <w:t>宁向东，</w:t>
      </w:r>
      <w:r>
        <w:rPr>
          <w:rFonts w:hint="eastAsia" w:ascii="宋体" w:hAnsi="宋体" w:cs="宋体"/>
          <w:i w:val="0"/>
          <w:caps w:val="0"/>
          <w:spacing w:val="0"/>
          <w:sz w:val="24"/>
          <w:szCs w:val="24"/>
          <w:shd w:val="clear" w:color="auto" w:fill="FFFFFF"/>
          <w:lang w:val="en-US" w:eastAsia="zh-Hans"/>
        </w:rPr>
        <w:t>1965年5月出生，中国国籍，研究生学历，</w:t>
      </w:r>
      <w:r>
        <w:rPr>
          <w:rFonts w:hint="eastAsia" w:ascii="宋体" w:hAnsi="宋体" w:eastAsia="宋体" w:cs="宋体"/>
          <w:sz w:val="24"/>
          <w:szCs w:val="24"/>
          <w:lang w:val="en-US" w:eastAsia="zh-Hans"/>
        </w:rPr>
        <w:t>博士学位。历任清华大学助教、讲师、副教授，清华大学中国经济研究中心常务副主任，哈佛商学院、伊利诺大学、新南威尔士大学、悉尼大学、香港中文大学访问学者。</w:t>
      </w:r>
      <w:r>
        <w:rPr>
          <w:rFonts w:hint="eastAsia" w:ascii="宋体" w:hAnsi="宋体" w:cs="宋体"/>
          <w:sz w:val="24"/>
          <w:szCs w:val="24"/>
          <w:lang w:val="en-US" w:eastAsia="zh-CN"/>
        </w:rPr>
        <w:t>现</w:t>
      </w:r>
      <w:r>
        <w:rPr>
          <w:rFonts w:hint="eastAsia" w:ascii="宋体" w:hAnsi="宋体" w:eastAsia="宋体" w:cs="宋体"/>
          <w:sz w:val="24"/>
          <w:szCs w:val="24"/>
          <w:lang w:val="en-US" w:eastAsia="zh-Hans"/>
        </w:rPr>
        <w:t>任清华大学经济管理学院教授、博士生导师，兼任深圳光峰科技股份有限公司独立董事、中国石化销售股份有限公司独立董事、山东重工集团有限公司独立董事等职务。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戴亦一</w:t>
      </w:r>
      <w:r>
        <w:rPr>
          <w:rFonts w:hint="eastAsia" w:ascii="宋体" w:hAnsi="宋体" w:eastAsia="宋体" w:cs="宋体"/>
          <w:sz w:val="24"/>
          <w:szCs w:val="24"/>
          <w:lang w:val="en-US" w:eastAsia="zh-CN"/>
        </w:rPr>
        <w:t>，196</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月出生，中国国籍，研究生学历，博士学位。历任厦门大学EMBA中心主任、管理学院副院长。</w:t>
      </w:r>
      <w:r>
        <w:rPr>
          <w:rFonts w:hint="eastAsia" w:ascii="宋体" w:hAnsi="宋体" w:cs="宋体"/>
          <w:sz w:val="24"/>
          <w:szCs w:val="24"/>
          <w:lang w:val="en-US" w:eastAsia="zh-CN"/>
        </w:rPr>
        <w:t>现</w:t>
      </w:r>
      <w:r>
        <w:rPr>
          <w:rFonts w:hint="eastAsia" w:ascii="宋体" w:hAnsi="宋体" w:eastAsia="宋体" w:cs="宋体"/>
          <w:sz w:val="24"/>
          <w:szCs w:val="24"/>
          <w:lang w:val="en-US" w:eastAsia="zh-CN"/>
        </w:rPr>
        <w:t>任厦门大学管理学院经济学与金融学教授、博士生导师，兼任厦门国贸集团股份有限公司独立董事等职务。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谢德仁，1972年1月出生，中国国籍，研究生学历，博士学位。历任清华大学讲师、副教授。现任清华大学经济管理学院教授、博士生导师，兼任财政部第三届企业会计准则咨询委员会委员、恒泰证券股份有限公司独立董事、北京经纬恒润科技股份有限公司独立董事等职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cs="宋体"/>
          <w:sz w:val="24"/>
          <w:szCs w:val="24"/>
          <w:lang w:val="en-US" w:eastAsia="zh-CN"/>
        </w:rPr>
        <w:t>聂秀峰</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196</w:t>
      </w:r>
      <w:r>
        <w:rPr>
          <w:rFonts w:hint="eastAsia" w:ascii="宋体" w:hAnsi="宋体" w:cs="宋体"/>
          <w:sz w:val="24"/>
          <w:szCs w:val="24"/>
          <w:lang w:val="en-US" w:eastAsia="zh-CN"/>
        </w:rPr>
        <w:t>0</w:t>
      </w:r>
      <w:r>
        <w:rPr>
          <w:rFonts w:hint="eastAsia" w:ascii="宋体" w:hAnsi="宋体" w:eastAsia="宋体" w:cs="宋体"/>
          <w:sz w:val="24"/>
          <w:szCs w:val="24"/>
          <w:lang w:val="en-US" w:eastAsia="zh-Hans"/>
        </w:rPr>
        <w:t>年</w:t>
      </w:r>
      <w:r>
        <w:rPr>
          <w:rFonts w:hint="eastAsia" w:ascii="宋体" w:hAnsi="宋体" w:cs="宋体"/>
          <w:sz w:val="24"/>
          <w:szCs w:val="24"/>
          <w:lang w:val="en-US" w:eastAsia="zh-CN"/>
        </w:rPr>
        <w:t>11</w:t>
      </w:r>
      <w:r>
        <w:rPr>
          <w:rFonts w:hint="eastAsia" w:ascii="宋体" w:hAnsi="宋体" w:eastAsia="宋体" w:cs="宋体"/>
          <w:sz w:val="24"/>
          <w:szCs w:val="24"/>
          <w:lang w:val="en-US" w:eastAsia="zh-Hans"/>
        </w:rPr>
        <w:t>月出生，中国国籍，</w:t>
      </w:r>
      <w:r>
        <w:rPr>
          <w:rFonts w:hint="eastAsia" w:ascii="宋体" w:hAnsi="宋体" w:cs="宋体"/>
          <w:sz w:val="24"/>
          <w:szCs w:val="24"/>
          <w:lang w:val="en-US" w:eastAsia="zh-CN"/>
        </w:rPr>
        <w:t>本科</w:t>
      </w:r>
      <w:r>
        <w:rPr>
          <w:rFonts w:hint="eastAsia" w:ascii="宋体" w:hAnsi="宋体" w:eastAsia="宋体" w:cs="宋体"/>
          <w:sz w:val="24"/>
          <w:szCs w:val="24"/>
          <w:lang w:val="en-US" w:eastAsia="zh-Hans"/>
        </w:rPr>
        <w:t>学历，</w:t>
      </w:r>
      <w:r>
        <w:rPr>
          <w:rFonts w:hint="eastAsia" w:ascii="宋体" w:hAnsi="宋体" w:cs="宋体"/>
          <w:sz w:val="24"/>
          <w:szCs w:val="24"/>
          <w:lang w:val="en-US" w:eastAsia="zh-CN"/>
        </w:rPr>
        <w:t>高级会计师</w:t>
      </w:r>
      <w:r>
        <w:rPr>
          <w:rFonts w:hint="eastAsia" w:ascii="宋体" w:hAnsi="宋体" w:eastAsia="宋体" w:cs="宋体"/>
          <w:sz w:val="24"/>
          <w:szCs w:val="24"/>
          <w:lang w:val="en-US" w:eastAsia="zh-Hans"/>
        </w:rPr>
        <w:t>。历任首钢集团有限公司计财部会计处、资金处主任科员、首钢集团有限公司计财部财务管理处副处长、首钢集团有限公司计财部资金处副处长、处长、通化钢铁股份有限公司总会计师、首钢集团财务有限公司董事总经理、首钢金融党委副书记、纪委书记、首钢基金副总经理，现任</w:t>
      </w:r>
      <w:r>
        <w:rPr>
          <w:rFonts w:hint="eastAsia" w:ascii="宋体" w:hAnsi="宋体" w:cs="宋体"/>
          <w:sz w:val="24"/>
          <w:szCs w:val="24"/>
          <w:lang w:val="en-US" w:eastAsia="zh-CN"/>
        </w:rPr>
        <w:t>公司</w:t>
      </w:r>
      <w:r>
        <w:rPr>
          <w:rFonts w:hint="eastAsia" w:ascii="宋体" w:hAnsi="宋体" w:eastAsia="宋体" w:cs="宋体"/>
          <w:sz w:val="24"/>
          <w:szCs w:val="24"/>
          <w:lang w:val="en-US" w:eastAsia="zh-Hans"/>
        </w:rPr>
        <w:t>第八届董事会独立董事。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sz w:val="24"/>
          <w:szCs w:val="24"/>
          <w:lang w:val="en-US" w:eastAsia="zh-CN"/>
        </w:rPr>
      </w:pPr>
      <w:r>
        <w:rPr>
          <w:rFonts w:hint="eastAsia" w:ascii="宋体" w:hAnsi="宋体" w:cs="宋体"/>
          <w:sz w:val="24"/>
          <w:szCs w:val="24"/>
          <w:lang w:val="en-US" w:eastAsia="zh-CN"/>
        </w:rPr>
        <w:t>陈欣</w:t>
      </w:r>
      <w:r>
        <w:rPr>
          <w:rFonts w:hint="eastAsia" w:ascii="宋体" w:hAnsi="宋体" w:eastAsia="宋体" w:cs="宋体"/>
          <w:sz w:val="24"/>
          <w:szCs w:val="24"/>
          <w:lang w:val="en-US" w:eastAsia="zh-CN"/>
        </w:rPr>
        <w:t>，19</w:t>
      </w:r>
      <w:r>
        <w:rPr>
          <w:rFonts w:hint="eastAsia" w:ascii="宋体" w:hAnsi="宋体" w:cs="宋体"/>
          <w:sz w:val="24"/>
          <w:szCs w:val="24"/>
          <w:lang w:val="en-US" w:eastAsia="zh-CN"/>
        </w:rPr>
        <w:t>75</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月出生，中国国籍，</w:t>
      </w:r>
      <w:r>
        <w:rPr>
          <w:rFonts w:hint="eastAsia" w:ascii="宋体" w:hAnsi="宋体" w:eastAsia="宋体" w:cs="宋体"/>
          <w:sz w:val="24"/>
          <w:szCs w:val="24"/>
        </w:rPr>
        <w:t>研究生学历，</w:t>
      </w:r>
      <w:r>
        <w:rPr>
          <w:rFonts w:hint="eastAsia" w:ascii="宋体" w:hAnsi="宋体" w:eastAsia="宋体" w:cs="宋体"/>
          <w:kern w:val="0"/>
          <w:sz w:val="24"/>
          <w:szCs w:val="24"/>
        </w:rPr>
        <w:t>博士</w:t>
      </w:r>
      <w:r>
        <w:rPr>
          <w:rFonts w:hint="eastAsia" w:ascii="宋体" w:hAnsi="宋体" w:cs="宋体"/>
          <w:kern w:val="0"/>
          <w:sz w:val="24"/>
          <w:szCs w:val="24"/>
          <w:lang w:val="en-US" w:eastAsia="zh-CN"/>
        </w:rPr>
        <w:t>学位</w:t>
      </w:r>
      <w:r>
        <w:rPr>
          <w:rFonts w:hint="eastAsia" w:ascii="宋体" w:hAnsi="宋体" w:cs="宋体"/>
          <w:sz w:val="24"/>
          <w:szCs w:val="24"/>
          <w:lang w:val="en-US" w:eastAsia="zh-CN"/>
        </w:rPr>
        <w:t>。历任中国人民大学商学院助理教授、上海交通大学安泰经管学院副教授、云南省发展改革委员会主任助理（挂职）。现任上海交通大学上海高级金融学院教授，兼任浙江中控技术股份有限公司独立董事、云南省投资控股集团有限公司董事、江西金融租赁股份有限公司董事等职务。</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2" w:leftChars="0" w:firstLine="422" w:firstLineChars="0"/>
        <w:textAlignment w:val="auto"/>
        <w:rPr>
          <w:rFonts w:hint="eastAsia" w:ascii="宋体" w:hAnsi="宋体" w:cs="宋体"/>
          <w:b/>
          <w:bCs/>
          <w:i w:val="0"/>
          <w:caps w:val="0"/>
          <w:spacing w:val="0"/>
          <w:sz w:val="24"/>
          <w:szCs w:val="24"/>
          <w:shd w:val="clear" w:color="auto" w:fill="FFFFFF"/>
          <w:lang w:val="en-US" w:eastAsia="zh-CN"/>
        </w:rPr>
      </w:pPr>
      <w:r>
        <w:rPr>
          <w:rFonts w:hint="eastAsia" w:ascii="宋体" w:hAnsi="宋体" w:cs="宋体"/>
          <w:b/>
          <w:bCs/>
          <w:i w:val="0"/>
          <w:caps w:val="0"/>
          <w:spacing w:val="0"/>
          <w:sz w:val="24"/>
          <w:szCs w:val="24"/>
          <w:shd w:val="clear" w:color="auto" w:fill="FFFFFF"/>
          <w:lang w:val="en-US" w:eastAsia="zh-CN"/>
        </w:rPr>
        <w:t>独立董事2022年度履职概况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highlight w:val="none"/>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（一）出席会议情况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highlight w:val="none"/>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报告期内，公司共召开2次股东大会，其中年度股东大会</w:t>
      </w:r>
      <w:r>
        <w:rPr>
          <w:rFonts w:hint="default" w:ascii="宋体" w:hAnsi="宋体" w:cs="宋体"/>
          <w:b w:val="0"/>
          <w:bCs w:val="0"/>
          <w:i w:val="0"/>
          <w:caps w:val="0"/>
          <w:spacing w:val="0"/>
          <w:sz w:val="24"/>
          <w:szCs w:val="24"/>
          <w:highlight w:val="none"/>
          <w:shd w:val="clear" w:color="auto" w:fill="FFFFFF"/>
          <w:lang w:val="en-US" w:eastAsia="zh-CN"/>
        </w:rPr>
        <w:t>1次，临时股东大会</w:t>
      </w:r>
      <w:r>
        <w:rPr>
          <w:rFonts w:hint="eastAsia" w:ascii="宋体" w:hAnsi="宋体" w:cs="宋体"/>
          <w:b w:val="0"/>
          <w:bCs w:val="0"/>
          <w:i w:val="0"/>
          <w:caps w:val="0"/>
          <w:spacing w:val="0"/>
          <w:sz w:val="24"/>
          <w:szCs w:val="24"/>
          <w:highlight w:val="none"/>
          <w:shd w:val="clear" w:color="auto" w:fill="FFFFFF"/>
          <w:lang w:val="en-US" w:eastAsia="zh-CN"/>
        </w:rPr>
        <w:t>1</w:t>
      </w:r>
      <w:r>
        <w:rPr>
          <w:rFonts w:hint="default" w:ascii="宋体" w:hAnsi="宋体" w:cs="宋体"/>
          <w:b w:val="0"/>
          <w:bCs w:val="0"/>
          <w:i w:val="0"/>
          <w:caps w:val="0"/>
          <w:spacing w:val="0"/>
          <w:sz w:val="24"/>
          <w:szCs w:val="24"/>
          <w:highlight w:val="none"/>
          <w:shd w:val="clear" w:color="auto" w:fill="FFFFFF"/>
          <w:lang w:val="en-US" w:eastAsia="zh-CN"/>
        </w:rPr>
        <w:t>次，共审议听取各类议案报告</w:t>
      </w:r>
      <w:r>
        <w:rPr>
          <w:rFonts w:hint="eastAsia" w:ascii="宋体" w:hAnsi="宋体" w:cs="宋体"/>
          <w:b w:val="0"/>
          <w:bCs w:val="0"/>
          <w:i w:val="0"/>
          <w:caps w:val="0"/>
          <w:spacing w:val="0"/>
          <w:sz w:val="24"/>
          <w:szCs w:val="24"/>
          <w:highlight w:val="none"/>
          <w:shd w:val="clear" w:color="auto" w:fill="FFFFFF"/>
          <w:lang w:val="en-US" w:eastAsia="zh-CN"/>
        </w:rPr>
        <w:t>23</w:t>
      </w:r>
      <w:r>
        <w:rPr>
          <w:rFonts w:hint="default" w:ascii="宋体" w:hAnsi="宋体" w:cs="宋体"/>
          <w:b w:val="0"/>
          <w:bCs w:val="0"/>
          <w:i w:val="0"/>
          <w:caps w:val="0"/>
          <w:spacing w:val="0"/>
          <w:sz w:val="24"/>
          <w:szCs w:val="24"/>
          <w:highlight w:val="none"/>
          <w:shd w:val="clear" w:color="auto" w:fill="FFFFFF"/>
          <w:lang w:val="en-US" w:eastAsia="zh-CN"/>
        </w:rPr>
        <w:t>项</w:t>
      </w:r>
      <w:r>
        <w:rPr>
          <w:rFonts w:hint="eastAsia" w:ascii="宋体" w:hAnsi="宋体" w:cs="宋体"/>
          <w:b w:val="0"/>
          <w:bCs w:val="0"/>
          <w:i w:val="0"/>
          <w:caps w:val="0"/>
          <w:spacing w:val="0"/>
          <w:sz w:val="24"/>
          <w:szCs w:val="24"/>
          <w:highlight w:val="none"/>
          <w:shd w:val="clear" w:color="auto" w:fill="FFFFFF"/>
          <w:lang w:val="en-US" w:eastAsia="zh-CN"/>
        </w:rPr>
        <w:t>；董事会14</w:t>
      </w:r>
      <w:r>
        <w:rPr>
          <w:rFonts w:hint="default" w:ascii="宋体" w:hAnsi="宋体" w:cs="宋体"/>
          <w:b w:val="0"/>
          <w:bCs w:val="0"/>
          <w:i w:val="0"/>
          <w:caps w:val="0"/>
          <w:spacing w:val="0"/>
          <w:sz w:val="24"/>
          <w:szCs w:val="24"/>
          <w:highlight w:val="none"/>
          <w:shd w:val="clear" w:color="auto" w:fill="FFFFFF"/>
          <w:lang w:val="en-US" w:eastAsia="zh-CN"/>
        </w:rPr>
        <w:t>次，其中现场会议</w:t>
      </w:r>
      <w:r>
        <w:rPr>
          <w:rFonts w:hint="eastAsia" w:ascii="宋体" w:hAnsi="宋体" w:cs="宋体"/>
          <w:b w:val="0"/>
          <w:bCs w:val="0"/>
          <w:i w:val="0"/>
          <w:caps w:val="0"/>
          <w:spacing w:val="0"/>
          <w:sz w:val="24"/>
          <w:szCs w:val="24"/>
          <w:highlight w:val="none"/>
          <w:shd w:val="clear" w:color="auto" w:fill="FFFFFF"/>
          <w:lang w:val="en-US" w:eastAsia="zh-CN"/>
        </w:rPr>
        <w:t>9</w:t>
      </w:r>
      <w:r>
        <w:rPr>
          <w:rFonts w:hint="default" w:ascii="宋体" w:hAnsi="宋体" w:cs="宋体"/>
          <w:b w:val="0"/>
          <w:bCs w:val="0"/>
          <w:i w:val="0"/>
          <w:caps w:val="0"/>
          <w:spacing w:val="0"/>
          <w:sz w:val="24"/>
          <w:szCs w:val="24"/>
          <w:highlight w:val="none"/>
          <w:shd w:val="clear" w:color="auto" w:fill="FFFFFF"/>
          <w:lang w:val="en-US" w:eastAsia="zh-CN"/>
        </w:rPr>
        <w:t>次，通讯表决会议</w:t>
      </w:r>
      <w:r>
        <w:rPr>
          <w:rFonts w:hint="eastAsia" w:ascii="宋体" w:hAnsi="宋体" w:cs="宋体"/>
          <w:b w:val="0"/>
          <w:bCs w:val="0"/>
          <w:i w:val="0"/>
          <w:caps w:val="0"/>
          <w:spacing w:val="0"/>
          <w:sz w:val="24"/>
          <w:szCs w:val="24"/>
          <w:highlight w:val="none"/>
          <w:shd w:val="clear" w:color="auto" w:fill="FFFFFF"/>
          <w:lang w:val="en-US" w:eastAsia="zh-CN"/>
        </w:rPr>
        <w:t>5</w:t>
      </w:r>
      <w:r>
        <w:rPr>
          <w:rFonts w:hint="default" w:ascii="宋体" w:hAnsi="宋体" w:cs="宋体"/>
          <w:b w:val="0"/>
          <w:bCs w:val="0"/>
          <w:i w:val="0"/>
          <w:caps w:val="0"/>
          <w:spacing w:val="0"/>
          <w:sz w:val="24"/>
          <w:szCs w:val="24"/>
          <w:highlight w:val="none"/>
          <w:shd w:val="clear" w:color="auto" w:fill="FFFFFF"/>
          <w:lang w:val="en-US" w:eastAsia="zh-CN"/>
        </w:rPr>
        <w:t>次，共审议听取各类议案报告</w:t>
      </w:r>
      <w:r>
        <w:rPr>
          <w:rFonts w:hint="eastAsia" w:ascii="宋体" w:hAnsi="宋体" w:cs="宋体"/>
          <w:b w:val="0"/>
          <w:bCs w:val="0"/>
          <w:i w:val="0"/>
          <w:caps w:val="0"/>
          <w:spacing w:val="0"/>
          <w:sz w:val="24"/>
          <w:szCs w:val="24"/>
          <w:highlight w:val="none"/>
          <w:shd w:val="clear" w:color="auto" w:fill="FFFFFF"/>
          <w:lang w:val="en-US" w:eastAsia="zh-CN"/>
        </w:rPr>
        <w:t>98</w:t>
      </w:r>
      <w:r>
        <w:rPr>
          <w:rFonts w:hint="default" w:ascii="宋体" w:hAnsi="宋体" w:cs="宋体"/>
          <w:b w:val="0"/>
          <w:bCs w:val="0"/>
          <w:i w:val="0"/>
          <w:caps w:val="0"/>
          <w:spacing w:val="0"/>
          <w:sz w:val="24"/>
          <w:szCs w:val="24"/>
          <w:highlight w:val="none"/>
          <w:shd w:val="clear" w:color="auto" w:fill="FFFFFF"/>
          <w:lang w:val="en-US" w:eastAsia="zh-CN"/>
        </w:rPr>
        <w:t>项；董事会专门委员会会议</w:t>
      </w:r>
      <w:r>
        <w:rPr>
          <w:rFonts w:hint="eastAsia" w:ascii="宋体" w:hAnsi="宋体" w:cs="宋体"/>
          <w:b w:val="0"/>
          <w:bCs w:val="0"/>
          <w:i w:val="0"/>
          <w:caps w:val="0"/>
          <w:spacing w:val="0"/>
          <w:sz w:val="24"/>
          <w:szCs w:val="24"/>
          <w:highlight w:val="none"/>
          <w:shd w:val="clear" w:color="auto" w:fill="FFFFFF"/>
          <w:lang w:val="en-US" w:eastAsia="zh-CN"/>
        </w:rPr>
        <w:t>27</w:t>
      </w:r>
      <w:r>
        <w:rPr>
          <w:rFonts w:hint="default" w:ascii="宋体" w:hAnsi="宋体" w:cs="宋体"/>
          <w:b w:val="0"/>
          <w:bCs w:val="0"/>
          <w:i w:val="0"/>
          <w:caps w:val="0"/>
          <w:spacing w:val="0"/>
          <w:sz w:val="24"/>
          <w:szCs w:val="24"/>
          <w:highlight w:val="none"/>
          <w:shd w:val="clear" w:color="auto" w:fill="FFFFFF"/>
          <w:lang w:val="en-US" w:eastAsia="zh-CN"/>
        </w:rPr>
        <w:t>次</w:t>
      </w:r>
      <w:r>
        <w:rPr>
          <w:rFonts w:hint="eastAsia" w:ascii="宋体" w:hAnsi="宋体" w:cs="宋体"/>
          <w:b w:val="0"/>
          <w:bCs w:val="0"/>
          <w:i w:val="0"/>
          <w:caps w:val="0"/>
          <w:spacing w:val="0"/>
          <w:sz w:val="24"/>
          <w:szCs w:val="24"/>
          <w:highlight w:val="none"/>
          <w:shd w:val="clear" w:color="auto" w:fill="FFFFFF"/>
          <w:lang w:val="en-US" w:eastAsia="zh-CN"/>
        </w:rPr>
        <w:t>，审议听取各类议案报告61项。公司独立董事在报告期内出席会议（包括通讯表决会议）的情况如下：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944"/>
        <w:gridCol w:w="1064"/>
        <w:gridCol w:w="1064"/>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独立董事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姓名</w:t>
            </w:r>
          </w:p>
        </w:tc>
        <w:tc>
          <w:tcPr>
            <w:tcW w:w="9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股东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大会</w:t>
            </w:r>
          </w:p>
        </w:tc>
        <w:tc>
          <w:tcPr>
            <w:tcW w:w="106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董事会</w:t>
            </w:r>
          </w:p>
        </w:tc>
        <w:tc>
          <w:tcPr>
            <w:tcW w:w="532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董事会下设专业委员会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p>
        </w:tc>
        <w:tc>
          <w:tcPr>
            <w:tcW w:w="944"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p>
        </w:tc>
        <w:tc>
          <w:tcPr>
            <w:tcW w:w="1064"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战略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委员会</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提名</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委员会</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薪酬</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委员会</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zh-CN" w:eastAsia="zh-CN"/>
              </w:rPr>
              <w:t>审计与消费者权益保护委员会</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zh-CN" w:eastAsia="zh-CN"/>
              </w:rPr>
              <w:t>风险控制与关联交易管理委员会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宁向东</w:t>
            </w:r>
          </w:p>
        </w:tc>
        <w:tc>
          <w:tcPr>
            <w:tcW w:w="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1/2</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14/14</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3/3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4/4</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戴亦一</w:t>
            </w:r>
          </w:p>
        </w:tc>
        <w:tc>
          <w:tcPr>
            <w:tcW w:w="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2/2</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14/14</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4/4</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3/3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谢德仁</w:t>
            </w:r>
          </w:p>
        </w:tc>
        <w:tc>
          <w:tcPr>
            <w:tcW w:w="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1/2</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13/14</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3/3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7/7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聂秀峰</w:t>
            </w:r>
          </w:p>
        </w:tc>
        <w:tc>
          <w:tcPr>
            <w:tcW w:w="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1/2</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13/14</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4/4</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6/7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陈  欣</w:t>
            </w:r>
          </w:p>
        </w:tc>
        <w:tc>
          <w:tcPr>
            <w:tcW w:w="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1/2</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14/14</w:t>
            </w:r>
          </w:p>
        </w:tc>
        <w:tc>
          <w:tcPr>
            <w:tcW w:w="10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3/3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7/7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 w:val="0"/>
          <w:bCs w:val="0"/>
          <w:i w:val="0"/>
          <w:caps w:val="0"/>
          <w:spacing w:val="0"/>
          <w:sz w:val="24"/>
          <w:szCs w:val="24"/>
          <w:highlight w:val="none"/>
          <w:shd w:val="clear" w:color="auto" w:fill="FFFFFF"/>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vertAlign w:val="baseline"/>
          <w:lang w:val="en-US" w:eastAsia="zh-CN"/>
        </w:rPr>
        <w:t>注：</w:t>
      </w:r>
      <w:r>
        <w:rPr>
          <w:rFonts w:hint="eastAsia" w:ascii="宋体" w:hAnsi="宋体" w:cs="宋体"/>
          <w:b w:val="0"/>
          <w:bCs w:val="0"/>
          <w:i w:val="0"/>
          <w:caps w:val="0"/>
          <w:spacing w:val="0"/>
          <w:sz w:val="24"/>
          <w:szCs w:val="24"/>
          <w:shd w:val="clear" w:color="auto" w:fill="FFFFFF"/>
          <w:lang w:val="en-US" w:eastAsia="zh-CN"/>
        </w:rPr>
        <w:t>（1）上述数字为亲自出席数/应出席会议次数；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cs="宋体"/>
          <w:b w:val="0"/>
          <w:bCs w:val="0"/>
          <w:i w:val="0"/>
          <w:caps w:val="0"/>
          <w:spacing w:val="0"/>
          <w:sz w:val="24"/>
          <w:szCs w:val="24"/>
          <w:highlight w:val="none"/>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（2）</w:t>
      </w:r>
      <w:r>
        <w:rPr>
          <w:rFonts w:hint="default" w:ascii="宋体" w:hAnsi="宋体" w:cs="宋体"/>
          <w:b w:val="0"/>
          <w:bCs w:val="0"/>
          <w:i w:val="0"/>
          <w:caps w:val="0"/>
          <w:spacing w:val="0"/>
          <w:sz w:val="24"/>
          <w:szCs w:val="24"/>
          <w:highlight w:val="none"/>
          <w:shd w:val="clear" w:color="auto" w:fill="FFFFFF"/>
          <w:lang w:val="en-US" w:eastAsia="zh-CN"/>
        </w:rPr>
        <w:t>会议“亲自出席次数”包括现场出席和</w:t>
      </w:r>
      <w:r>
        <w:rPr>
          <w:rFonts w:hint="eastAsia" w:ascii="宋体" w:hAnsi="宋体" w:cs="宋体"/>
          <w:b w:val="0"/>
          <w:bCs w:val="0"/>
          <w:i w:val="0"/>
          <w:caps w:val="0"/>
          <w:spacing w:val="0"/>
          <w:sz w:val="24"/>
          <w:szCs w:val="24"/>
          <w:highlight w:val="none"/>
          <w:shd w:val="clear" w:color="auto" w:fill="FFFFFF"/>
          <w:lang w:val="en-US" w:eastAsia="zh-CN"/>
        </w:rPr>
        <w:t>通过视频方式出席的会议次数；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cs="宋体"/>
          <w:b w:val="0"/>
          <w:bCs w:val="0"/>
          <w:i w:val="0"/>
          <w:caps w:val="0"/>
          <w:spacing w:val="0"/>
          <w:sz w:val="24"/>
          <w:szCs w:val="24"/>
          <w:highlight w:val="none"/>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（3）除公务冲突和特殊原因外，</w:t>
      </w:r>
      <w:r>
        <w:rPr>
          <w:rFonts w:ascii="宋体" w:hAnsi="宋体" w:eastAsia="宋体" w:cs="宋体"/>
          <w:sz w:val="24"/>
          <w:szCs w:val="24"/>
        </w:rPr>
        <w:t>独立董事均能参加股东大会、董事会及董事会专门委员会会议；部分因故无法亲自出席董事会会议的独立董事，均能在会前认真审阅议案、表达审议意见，并按照公司章程规定，委托其他独立董事代为出席会议并行</w:t>
      </w:r>
      <w:r>
        <w:rPr>
          <w:rFonts w:hint="eastAsia" w:ascii="宋体" w:hAnsi="宋体" w:cs="宋体"/>
          <w:sz w:val="24"/>
          <w:szCs w:val="24"/>
          <w:lang w:val="en-US" w:eastAsia="zh-CN"/>
        </w:rPr>
        <w:t>使</w:t>
      </w:r>
      <w:r>
        <w:rPr>
          <w:rFonts w:ascii="宋体" w:hAnsi="宋体" w:eastAsia="宋体" w:cs="宋体"/>
          <w:sz w:val="24"/>
          <w:szCs w:val="24"/>
        </w:rPr>
        <w:t>表决权。</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报告期内，公司独立董事严格按照相关法律法规及公司章程的规定，会前认真审阅各项议案，按时出席会议，</w:t>
      </w:r>
      <w:r>
        <w:rPr>
          <w:rFonts w:ascii="宋体" w:hAnsi="宋体" w:eastAsia="宋体" w:cs="宋体"/>
          <w:sz w:val="24"/>
          <w:szCs w:val="24"/>
        </w:rPr>
        <w:t>客观审慎决策</w:t>
      </w:r>
      <w:r>
        <w:rPr>
          <w:rFonts w:hint="eastAsia" w:ascii="宋体" w:hAnsi="宋体" w:cs="宋体"/>
          <w:sz w:val="24"/>
          <w:szCs w:val="24"/>
          <w:lang w:eastAsia="zh-CN"/>
        </w:rPr>
        <w:t>，</w:t>
      </w:r>
      <w:r>
        <w:rPr>
          <w:rFonts w:hint="eastAsia" w:ascii="宋体" w:hAnsi="宋体" w:cs="宋体"/>
          <w:b w:val="0"/>
          <w:bCs w:val="0"/>
          <w:i w:val="0"/>
          <w:caps w:val="0"/>
          <w:spacing w:val="0"/>
          <w:sz w:val="24"/>
          <w:szCs w:val="24"/>
          <w:shd w:val="clear" w:color="auto" w:fill="FFFFFF"/>
          <w:lang w:val="en-US" w:eastAsia="zh-CN"/>
        </w:rPr>
        <w:t>确保自己的意见能够在董事会上得到体现</w:t>
      </w:r>
      <w:r>
        <w:rPr>
          <w:rFonts w:ascii="宋体" w:hAnsi="宋体" w:eastAsia="宋体" w:cs="宋体"/>
          <w:sz w:val="24"/>
          <w:szCs w:val="24"/>
        </w:rPr>
        <w:t>，对审议事项均投票同意，未出现投弃权票或反对票的情形，也未遇到无法发表意见的情况</w:t>
      </w:r>
      <w:r>
        <w:rPr>
          <w:rFonts w:hint="eastAsia" w:ascii="宋体" w:hAnsi="宋体" w:cs="宋体"/>
          <w:b w:val="0"/>
          <w:bCs w:val="0"/>
          <w:i w:val="0"/>
          <w:caps w:val="0"/>
          <w:spacing w:val="0"/>
          <w:sz w:val="24"/>
          <w:szCs w:val="24"/>
          <w:shd w:val="clear" w:color="auto" w:fill="FFFFFF"/>
          <w:lang w:val="en-US" w:eastAsia="zh-CN"/>
        </w:rPr>
        <w:t>。独立董事关心公司战略部署执行情况，深入研究重大问题，对公司</w:t>
      </w:r>
      <w:r>
        <w:rPr>
          <w:rFonts w:hint="eastAsia" w:ascii="宋体" w:hAnsi="宋体" w:eastAsia="宋体" w:cs="Arial Unicode MS"/>
          <w:b w:val="0"/>
          <w:bCs/>
          <w:kern w:val="0"/>
          <w:sz w:val="24"/>
          <w:lang w:val="en-US" w:eastAsia="zh-CN"/>
        </w:rPr>
        <w:t>第一大股东股权划转、董事长选举、发行A股可转换公司债券等重大事项</w:t>
      </w:r>
      <w:r>
        <w:rPr>
          <w:rFonts w:hint="eastAsia" w:ascii="宋体" w:hAnsi="宋体" w:cs="宋体"/>
          <w:b w:val="0"/>
          <w:bCs w:val="0"/>
          <w:i w:val="0"/>
          <w:caps w:val="0"/>
          <w:spacing w:val="0"/>
          <w:sz w:val="24"/>
          <w:szCs w:val="24"/>
          <w:shd w:val="clear" w:color="auto" w:fill="FFFFFF"/>
          <w:lang w:val="en-US" w:eastAsia="zh-CN"/>
        </w:rPr>
        <w:t>提出有针对性的意见和建议，为公司的科学决策起到了积极的作用。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highlight w:val="none"/>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（二）参加培训情况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公司董事会注重独立董事持续专业发展，关注并积极</w:t>
      </w:r>
      <w:r>
        <w:rPr>
          <w:rFonts w:hint="default" w:ascii="宋体" w:hAnsi="宋体" w:cs="宋体"/>
          <w:b w:val="0"/>
          <w:bCs w:val="0"/>
          <w:i w:val="0"/>
          <w:caps w:val="0"/>
          <w:spacing w:val="0"/>
          <w:sz w:val="24"/>
          <w:szCs w:val="24"/>
          <w:shd w:val="clear" w:color="auto" w:fill="FFFFFF"/>
          <w:lang w:val="en-US" w:eastAsia="zh-CN"/>
        </w:rPr>
        <w:t>组织</w:t>
      </w:r>
      <w:r>
        <w:rPr>
          <w:rFonts w:hint="eastAsia" w:ascii="宋体" w:hAnsi="宋体" w:cs="宋体"/>
          <w:b w:val="0"/>
          <w:bCs w:val="0"/>
          <w:i w:val="0"/>
          <w:caps w:val="0"/>
          <w:spacing w:val="0"/>
          <w:sz w:val="24"/>
          <w:szCs w:val="24"/>
          <w:shd w:val="clear" w:color="auto" w:fill="FFFFFF"/>
          <w:lang w:val="en-US" w:eastAsia="zh-CN"/>
        </w:rPr>
        <w:t>独立</w:t>
      </w:r>
      <w:r>
        <w:rPr>
          <w:rFonts w:hint="default" w:ascii="宋体" w:hAnsi="宋体" w:cs="宋体"/>
          <w:b w:val="0"/>
          <w:bCs w:val="0"/>
          <w:i w:val="0"/>
          <w:caps w:val="0"/>
          <w:spacing w:val="0"/>
          <w:sz w:val="24"/>
          <w:szCs w:val="24"/>
          <w:shd w:val="clear" w:color="auto" w:fill="FFFFFF"/>
          <w:lang w:val="en-US" w:eastAsia="zh-CN"/>
        </w:rPr>
        <w:t>董事参加培训。</w:t>
      </w:r>
      <w:r>
        <w:rPr>
          <w:rFonts w:hint="eastAsia" w:ascii="宋体" w:hAnsi="宋体" w:cs="宋体"/>
          <w:b w:val="0"/>
          <w:bCs w:val="0"/>
          <w:i w:val="0"/>
          <w:caps w:val="0"/>
          <w:spacing w:val="0"/>
          <w:sz w:val="24"/>
          <w:szCs w:val="24"/>
          <w:shd w:val="clear" w:color="auto" w:fill="FFFFFF"/>
          <w:lang w:val="en-US" w:eastAsia="zh-CN"/>
        </w:rPr>
        <w:t>公司</w:t>
      </w:r>
      <w:r>
        <w:rPr>
          <w:rFonts w:hint="default" w:ascii="宋体" w:hAnsi="宋体" w:cs="宋体"/>
          <w:b w:val="0"/>
          <w:bCs w:val="0"/>
          <w:i w:val="0"/>
          <w:caps w:val="0"/>
          <w:spacing w:val="0"/>
          <w:sz w:val="24"/>
          <w:szCs w:val="24"/>
          <w:shd w:val="clear" w:color="auto" w:fill="FFFFFF"/>
          <w:lang w:val="en-US" w:eastAsia="zh-CN"/>
        </w:rPr>
        <w:t>就公司治理规范</w:t>
      </w:r>
      <w:r>
        <w:rPr>
          <w:rFonts w:hint="eastAsia" w:ascii="宋体" w:hAnsi="宋体" w:cs="宋体"/>
          <w:b w:val="0"/>
          <w:bCs w:val="0"/>
          <w:i w:val="0"/>
          <w:caps w:val="0"/>
          <w:spacing w:val="0"/>
          <w:sz w:val="24"/>
          <w:szCs w:val="24"/>
          <w:shd w:val="clear" w:color="auto" w:fill="FFFFFF"/>
          <w:lang w:val="en-US" w:eastAsia="zh-CN"/>
        </w:rPr>
        <w:t>、投资者关系管理工作及独立董事履职尽责</w:t>
      </w:r>
      <w:r>
        <w:rPr>
          <w:rFonts w:hint="default" w:ascii="宋体" w:hAnsi="宋体" w:cs="宋体"/>
          <w:b w:val="0"/>
          <w:bCs w:val="0"/>
          <w:i w:val="0"/>
          <w:caps w:val="0"/>
          <w:spacing w:val="0"/>
          <w:sz w:val="24"/>
          <w:szCs w:val="24"/>
          <w:shd w:val="clear" w:color="auto" w:fill="FFFFFF"/>
          <w:lang w:val="en-US" w:eastAsia="zh-CN"/>
        </w:rPr>
        <w:t>等</w:t>
      </w:r>
      <w:r>
        <w:rPr>
          <w:rFonts w:hint="eastAsia" w:ascii="宋体" w:hAnsi="宋体" w:cs="宋体"/>
          <w:b w:val="0"/>
          <w:bCs w:val="0"/>
          <w:i w:val="0"/>
          <w:caps w:val="0"/>
          <w:spacing w:val="0"/>
          <w:sz w:val="24"/>
          <w:szCs w:val="24"/>
          <w:shd w:val="clear" w:color="auto" w:fill="FFFFFF"/>
          <w:lang w:val="en-US" w:eastAsia="zh-CN"/>
        </w:rPr>
        <w:t>向独立董事</w:t>
      </w:r>
      <w:r>
        <w:rPr>
          <w:rFonts w:hint="default" w:ascii="宋体" w:hAnsi="宋体" w:cs="宋体"/>
          <w:b w:val="0"/>
          <w:bCs w:val="0"/>
          <w:i w:val="0"/>
          <w:caps w:val="0"/>
          <w:spacing w:val="0"/>
          <w:sz w:val="24"/>
          <w:szCs w:val="24"/>
          <w:shd w:val="clear" w:color="auto" w:fill="FFFFFF"/>
          <w:lang w:val="en-US" w:eastAsia="zh-CN"/>
        </w:rPr>
        <w:t>进行了专题介绍及培训</w:t>
      </w:r>
      <w:r>
        <w:rPr>
          <w:rFonts w:hint="eastAsia" w:ascii="宋体" w:hAnsi="宋体" w:cs="宋体"/>
          <w:b w:val="0"/>
          <w:bCs w:val="0"/>
          <w:i w:val="0"/>
          <w:caps w:val="0"/>
          <w:spacing w:val="0"/>
          <w:sz w:val="24"/>
          <w:szCs w:val="24"/>
          <w:shd w:val="clear" w:color="auto" w:fill="FFFFFF"/>
          <w:lang w:val="en-US" w:eastAsia="zh-CN"/>
        </w:rPr>
        <w:t>，公司高管层定期向独立董事发送银行业监管新规及资本市场情况报告</w:t>
      </w:r>
      <w:r>
        <w:rPr>
          <w:rFonts w:hint="default" w:ascii="宋体" w:hAnsi="宋体" w:cs="宋体"/>
          <w:b w:val="0"/>
          <w:bCs w:val="0"/>
          <w:i w:val="0"/>
          <w:caps w:val="0"/>
          <w:spacing w:val="0"/>
          <w:sz w:val="24"/>
          <w:szCs w:val="24"/>
          <w:shd w:val="clear" w:color="auto" w:fill="FFFFFF"/>
          <w:lang w:val="en-US" w:eastAsia="zh-CN"/>
        </w:rPr>
        <w:t>。此外，</w:t>
      </w:r>
      <w:r>
        <w:rPr>
          <w:rFonts w:hint="eastAsia" w:ascii="宋体" w:hAnsi="宋体" w:cs="宋体"/>
          <w:b w:val="0"/>
          <w:bCs w:val="0"/>
          <w:i w:val="0"/>
          <w:caps w:val="0"/>
          <w:spacing w:val="0"/>
          <w:sz w:val="24"/>
          <w:szCs w:val="24"/>
          <w:shd w:val="clear" w:color="auto" w:fill="FFFFFF"/>
          <w:lang w:val="en-US" w:eastAsia="zh-CN"/>
        </w:rPr>
        <w:t>公司独立</w:t>
      </w:r>
      <w:r>
        <w:rPr>
          <w:rFonts w:hint="default" w:ascii="宋体" w:hAnsi="宋体" w:cs="宋体"/>
          <w:b w:val="0"/>
          <w:bCs w:val="0"/>
          <w:i w:val="0"/>
          <w:caps w:val="0"/>
          <w:spacing w:val="0"/>
          <w:sz w:val="24"/>
          <w:szCs w:val="24"/>
          <w:shd w:val="clear" w:color="auto" w:fill="FFFFFF"/>
          <w:lang w:val="en-US" w:eastAsia="zh-CN"/>
        </w:rPr>
        <w:t>董事还</w:t>
      </w:r>
      <w:r>
        <w:rPr>
          <w:rFonts w:hint="eastAsia" w:ascii="宋体" w:hAnsi="宋体" w:cs="宋体"/>
          <w:b w:val="0"/>
          <w:bCs w:val="0"/>
          <w:i w:val="0"/>
          <w:caps w:val="0"/>
          <w:spacing w:val="0"/>
          <w:sz w:val="24"/>
          <w:szCs w:val="24"/>
          <w:shd w:val="clear" w:color="auto" w:fill="FFFFFF"/>
          <w:lang w:val="en-US" w:eastAsia="zh-CN"/>
        </w:rPr>
        <w:t>积极参加监管机构组织的相关培训，不断提高履职能力。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b w:val="0"/>
          <w:bCs w:val="0"/>
          <w:i w:val="0"/>
          <w:caps w:val="0"/>
          <w:spacing w:val="0"/>
          <w:sz w:val="24"/>
          <w:szCs w:val="24"/>
          <w:shd w:val="clear" w:color="auto" w:fill="FFFFFF"/>
          <w:lang w:val="en-US" w:eastAsia="zh-CN"/>
        </w:rPr>
      </w:pPr>
      <w:r>
        <w:rPr>
          <w:rFonts w:hint="default" w:ascii="宋体" w:hAnsi="宋体" w:cs="宋体"/>
          <w:b w:val="0"/>
          <w:bCs w:val="0"/>
          <w:i w:val="0"/>
          <w:caps w:val="0"/>
          <w:spacing w:val="0"/>
          <w:sz w:val="24"/>
          <w:szCs w:val="24"/>
          <w:shd w:val="clear" w:color="auto" w:fill="FFFFFF"/>
          <w:lang w:val="en-US" w:eastAsia="zh-CN"/>
        </w:rPr>
        <w:t>（三）发表独立意见情况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b w:val="0"/>
          <w:bCs w:val="0"/>
          <w:i w:val="0"/>
          <w:caps w:val="0"/>
          <w:spacing w:val="0"/>
          <w:sz w:val="24"/>
          <w:szCs w:val="24"/>
          <w:shd w:val="clear" w:color="auto" w:fill="FFFFFF"/>
          <w:lang w:val="en-US" w:eastAsia="zh-CN"/>
        </w:rPr>
      </w:pPr>
      <w:r>
        <w:rPr>
          <w:rFonts w:hint="default" w:ascii="宋体" w:hAnsi="宋体" w:cs="宋体"/>
          <w:b w:val="0"/>
          <w:bCs w:val="0"/>
          <w:i w:val="0"/>
          <w:caps w:val="0"/>
          <w:spacing w:val="0"/>
          <w:sz w:val="24"/>
          <w:szCs w:val="24"/>
          <w:shd w:val="clear" w:color="auto" w:fill="FFFFFF"/>
          <w:lang w:val="en-US" w:eastAsia="zh-CN"/>
        </w:rPr>
        <w:t>根据</w:t>
      </w:r>
      <w:r>
        <w:rPr>
          <w:rFonts w:hint="eastAsia" w:ascii="宋体" w:hAnsi="宋体" w:eastAsia="宋体" w:cs="宋体"/>
          <w:i w:val="0"/>
          <w:caps w:val="0"/>
          <w:spacing w:val="0"/>
          <w:sz w:val="24"/>
          <w:szCs w:val="24"/>
          <w:highlight w:val="none"/>
          <w:shd w:val="clear" w:color="auto" w:fill="FFFFFF"/>
        </w:rPr>
        <w:t>《中华人民共和国公司法》《上海证券交易所股票上市规则》《</w:t>
      </w:r>
      <w:r>
        <w:rPr>
          <w:rFonts w:hint="eastAsia" w:ascii="宋体" w:hAnsi="宋体" w:cs="宋体"/>
          <w:i w:val="0"/>
          <w:caps w:val="0"/>
          <w:spacing w:val="0"/>
          <w:sz w:val="24"/>
          <w:szCs w:val="24"/>
          <w:highlight w:val="none"/>
          <w:shd w:val="clear" w:color="auto" w:fill="FFFFFF"/>
          <w:lang w:eastAsia="zh-CN"/>
        </w:rPr>
        <w:t>上市公司独立董事规则</w:t>
      </w:r>
      <w:r>
        <w:rPr>
          <w:rFonts w:hint="eastAsia" w:ascii="宋体" w:hAnsi="宋体" w:eastAsia="宋体" w:cs="宋体"/>
          <w:i w:val="0"/>
          <w:caps w:val="0"/>
          <w:spacing w:val="0"/>
          <w:sz w:val="24"/>
          <w:szCs w:val="24"/>
          <w:highlight w:val="none"/>
          <w:shd w:val="clear" w:color="auto" w:fill="FFFFFF"/>
          <w:lang w:eastAsia="zh-CN"/>
        </w:rPr>
        <w:t>》《上</w:t>
      </w:r>
      <w:r>
        <w:rPr>
          <w:rFonts w:hint="eastAsia" w:ascii="宋体" w:hAnsi="宋体" w:eastAsia="宋体" w:cs="宋体"/>
          <w:i w:val="0"/>
          <w:caps w:val="0"/>
          <w:spacing w:val="0"/>
          <w:sz w:val="24"/>
          <w:szCs w:val="24"/>
          <w:highlight w:val="none"/>
          <w:shd w:val="clear" w:color="auto" w:fill="FFFFFF"/>
        </w:rPr>
        <w:t>市公司治理准则》《厦门银行股份有限公司独立董事工作制度》</w:t>
      </w:r>
      <w:r>
        <w:rPr>
          <w:rFonts w:hint="default" w:ascii="宋体" w:hAnsi="宋体" w:cs="宋体"/>
          <w:b w:val="0"/>
          <w:bCs w:val="0"/>
          <w:i w:val="0"/>
          <w:caps w:val="0"/>
          <w:spacing w:val="0"/>
          <w:sz w:val="24"/>
          <w:szCs w:val="24"/>
          <w:shd w:val="clear" w:color="auto" w:fill="FFFFFF"/>
          <w:lang w:val="en-US" w:eastAsia="zh-CN"/>
        </w:rPr>
        <w:t>等相关法律法规</w:t>
      </w:r>
      <w:r>
        <w:rPr>
          <w:rFonts w:hint="eastAsia" w:ascii="宋体" w:hAnsi="宋体" w:cs="宋体"/>
          <w:b w:val="0"/>
          <w:bCs w:val="0"/>
          <w:i w:val="0"/>
          <w:caps w:val="0"/>
          <w:spacing w:val="0"/>
          <w:sz w:val="24"/>
          <w:szCs w:val="24"/>
          <w:shd w:val="clear" w:color="auto" w:fill="FFFFFF"/>
          <w:lang w:val="en-US" w:eastAsia="zh-CN"/>
        </w:rPr>
        <w:t>及公司章程的</w:t>
      </w:r>
      <w:r>
        <w:rPr>
          <w:rFonts w:hint="default" w:ascii="宋体" w:hAnsi="宋体" w:cs="宋体"/>
          <w:b w:val="0"/>
          <w:bCs w:val="0"/>
          <w:i w:val="0"/>
          <w:caps w:val="0"/>
          <w:spacing w:val="0"/>
          <w:sz w:val="24"/>
          <w:szCs w:val="24"/>
          <w:shd w:val="clear" w:color="auto" w:fill="FFFFFF"/>
          <w:lang w:val="en-US" w:eastAsia="zh-CN"/>
        </w:rPr>
        <w:t>规定，独立董事认真审议了公司</w:t>
      </w:r>
      <w:r>
        <w:rPr>
          <w:rFonts w:hint="eastAsia" w:ascii="宋体" w:hAnsi="宋体" w:cs="宋体"/>
          <w:b w:val="0"/>
          <w:bCs w:val="0"/>
          <w:i w:val="0"/>
          <w:caps w:val="0"/>
          <w:spacing w:val="0"/>
          <w:sz w:val="24"/>
          <w:szCs w:val="24"/>
          <w:shd w:val="clear" w:color="auto" w:fill="FFFFFF"/>
          <w:lang w:val="en-US" w:eastAsia="zh-CN"/>
        </w:rPr>
        <w:t>2022</w:t>
      </w:r>
      <w:r>
        <w:rPr>
          <w:rFonts w:hint="default" w:ascii="宋体" w:hAnsi="宋体" w:cs="宋体"/>
          <w:b w:val="0"/>
          <w:bCs w:val="0"/>
          <w:i w:val="0"/>
          <w:caps w:val="0"/>
          <w:spacing w:val="0"/>
          <w:sz w:val="24"/>
          <w:szCs w:val="24"/>
          <w:shd w:val="clear" w:color="auto" w:fill="FFFFFF"/>
          <w:lang w:val="en-US" w:eastAsia="zh-CN"/>
        </w:rPr>
        <w:t>年董事会和相关专门委员会的议案，对董事选举</w:t>
      </w:r>
      <w:r>
        <w:rPr>
          <w:rFonts w:hint="eastAsia" w:ascii="宋体" w:hAnsi="宋体" w:cs="宋体"/>
          <w:b w:val="0"/>
          <w:bCs w:val="0"/>
          <w:i w:val="0"/>
          <w:caps w:val="0"/>
          <w:spacing w:val="0"/>
          <w:sz w:val="24"/>
          <w:szCs w:val="24"/>
          <w:shd w:val="clear" w:color="auto" w:fill="FFFFFF"/>
          <w:lang w:val="en-US" w:eastAsia="zh-CN"/>
        </w:rPr>
        <w:t>、</w:t>
      </w:r>
      <w:r>
        <w:rPr>
          <w:rFonts w:hint="default" w:ascii="宋体" w:hAnsi="宋体" w:cs="宋体"/>
          <w:b w:val="0"/>
          <w:bCs w:val="0"/>
          <w:i w:val="0"/>
          <w:caps w:val="0"/>
          <w:spacing w:val="0"/>
          <w:sz w:val="24"/>
          <w:szCs w:val="24"/>
          <w:shd w:val="clear" w:color="auto" w:fill="FFFFFF"/>
          <w:lang w:val="en-US" w:eastAsia="zh-CN"/>
        </w:rPr>
        <w:t>会计师事务所选聘、</w:t>
      </w:r>
      <w:r>
        <w:rPr>
          <w:rFonts w:hint="eastAsia" w:ascii="宋体" w:hAnsi="宋体" w:cs="宋体"/>
          <w:b w:val="0"/>
          <w:bCs w:val="0"/>
          <w:i w:val="0"/>
          <w:caps w:val="0"/>
          <w:spacing w:val="0"/>
          <w:sz w:val="24"/>
          <w:szCs w:val="24"/>
          <w:shd w:val="clear" w:color="auto" w:fill="FFFFFF"/>
          <w:lang w:val="en-US" w:eastAsia="zh-CN"/>
        </w:rPr>
        <w:t>风险控制、内控评价等相关</w:t>
      </w:r>
      <w:r>
        <w:rPr>
          <w:rFonts w:hint="default" w:ascii="宋体" w:hAnsi="宋体" w:cs="宋体"/>
          <w:b w:val="0"/>
          <w:bCs w:val="0"/>
          <w:i w:val="0"/>
          <w:caps w:val="0"/>
          <w:spacing w:val="0"/>
          <w:sz w:val="24"/>
          <w:szCs w:val="24"/>
          <w:shd w:val="clear" w:color="auto" w:fill="FFFFFF"/>
          <w:lang w:val="en-US" w:eastAsia="zh-CN"/>
        </w:rPr>
        <w:t>事项发表了独立意见。20</w:t>
      </w:r>
      <w:r>
        <w:rPr>
          <w:rFonts w:hint="eastAsia" w:ascii="宋体" w:hAnsi="宋体" w:cs="宋体"/>
          <w:b w:val="0"/>
          <w:bCs w:val="0"/>
          <w:i w:val="0"/>
          <w:caps w:val="0"/>
          <w:spacing w:val="0"/>
          <w:sz w:val="24"/>
          <w:szCs w:val="24"/>
          <w:shd w:val="clear" w:color="auto" w:fill="FFFFFF"/>
          <w:lang w:val="en-US" w:eastAsia="zh-CN"/>
        </w:rPr>
        <w:t>22</w:t>
      </w:r>
      <w:r>
        <w:rPr>
          <w:rFonts w:hint="default" w:ascii="宋体" w:hAnsi="宋体" w:cs="宋体"/>
          <w:b w:val="0"/>
          <w:bCs w:val="0"/>
          <w:i w:val="0"/>
          <w:caps w:val="0"/>
          <w:spacing w:val="0"/>
          <w:sz w:val="24"/>
          <w:szCs w:val="24"/>
          <w:shd w:val="clear" w:color="auto" w:fill="FFFFFF"/>
          <w:lang w:val="en-US" w:eastAsia="zh-CN"/>
        </w:rPr>
        <w:t>年度，总计签署独立意见</w:t>
      </w:r>
      <w:r>
        <w:rPr>
          <w:rFonts w:hint="eastAsia" w:ascii="宋体" w:hAnsi="宋体" w:cs="宋体"/>
          <w:b w:val="0"/>
          <w:bCs w:val="0"/>
          <w:i w:val="0"/>
          <w:caps w:val="0"/>
          <w:spacing w:val="0"/>
          <w:sz w:val="24"/>
          <w:szCs w:val="24"/>
          <w:shd w:val="clear" w:color="auto" w:fill="FFFFFF"/>
          <w:lang w:val="en-US" w:eastAsia="zh-CN"/>
        </w:rPr>
        <w:t>14</w:t>
      </w:r>
      <w:r>
        <w:rPr>
          <w:rFonts w:hint="default" w:ascii="宋体" w:hAnsi="宋体" w:cs="宋体"/>
          <w:b w:val="0"/>
          <w:bCs w:val="0"/>
          <w:i w:val="0"/>
          <w:caps w:val="0"/>
          <w:spacing w:val="0"/>
          <w:sz w:val="24"/>
          <w:szCs w:val="24"/>
          <w:shd w:val="clear" w:color="auto" w:fill="FFFFFF"/>
          <w:lang w:val="en-US" w:eastAsia="zh-CN"/>
        </w:rPr>
        <w:t>项。</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2" w:leftChars="0" w:firstLine="422" w:firstLineChars="0"/>
        <w:textAlignment w:val="auto"/>
        <w:rPr>
          <w:rFonts w:hint="eastAsia" w:ascii="宋体" w:hAnsi="宋体" w:cs="宋体"/>
          <w:b/>
          <w:bCs/>
          <w:i w:val="0"/>
          <w:caps w:val="0"/>
          <w:spacing w:val="0"/>
          <w:sz w:val="24"/>
          <w:szCs w:val="24"/>
          <w:shd w:val="clear" w:color="auto" w:fill="FFFFFF"/>
          <w:lang w:val="en-US" w:eastAsia="zh-CN"/>
        </w:rPr>
      </w:pPr>
      <w:r>
        <w:rPr>
          <w:rFonts w:hint="eastAsia" w:ascii="宋体" w:hAnsi="宋体" w:cs="宋体"/>
          <w:b/>
          <w:bCs/>
          <w:i w:val="0"/>
          <w:caps w:val="0"/>
          <w:spacing w:val="0"/>
          <w:sz w:val="24"/>
          <w:szCs w:val="24"/>
          <w:shd w:val="clear" w:color="auto" w:fill="FFFFFF"/>
          <w:lang w:val="en-US" w:eastAsia="zh-CN"/>
        </w:rPr>
        <w:t>年度履职重点关注事项的情况</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关联交易管理情况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2022年，公司独立董事高度重视关联交易控制与管理工作，依据《</w:t>
      </w:r>
      <w:r>
        <w:rPr>
          <w:rFonts w:hint="default" w:ascii="宋体" w:hAnsi="宋体" w:cs="宋体"/>
          <w:b w:val="0"/>
          <w:bCs w:val="0"/>
          <w:i w:val="0"/>
          <w:caps w:val="0"/>
          <w:spacing w:val="0"/>
          <w:sz w:val="24"/>
          <w:szCs w:val="24"/>
          <w:shd w:val="clear" w:color="auto" w:fill="FFFFFF"/>
          <w:lang w:val="en-US" w:eastAsia="zh-CN"/>
        </w:rPr>
        <w:t>中华人民共和国</w:t>
      </w:r>
      <w:r>
        <w:rPr>
          <w:rFonts w:hint="eastAsia" w:ascii="宋体" w:hAnsi="宋体" w:cs="宋体"/>
          <w:b w:val="0"/>
          <w:bCs w:val="0"/>
          <w:i w:val="0"/>
          <w:caps w:val="0"/>
          <w:spacing w:val="0"/>
          <w:sz w:val="24"/>
          <w:szCs w:val="24"/>
          <w:shd w:val="clear" w:color="auto" w:fill="FFFFFF"/>
          <w:lang w:val="en-US" w:eastAsia="zh-CN"/>
        </w:rPr>
        <w:t>公司法》《</w:t>
      </w:r>
      <w:r>
        <w:rPr>
          <w:rFonts w:hint="default" w:ascii="宋体" w:hAnsi="宋体" w:cs="宋体"/>
          <w:b w:val="0"/>
          <w:bCs w:val="0"/>
          <w:i w:val="0"/>
          <w:caps w:val="0"/>
          <w:spacing w:val="0"/>
          <w:sz w:val="24"/>
          <w:szCs w:val="24"/>
          <w:shd w:val="clear" w:color="auto" w:fill="FFFFFF"/>
          <w:lang w:val="en-US" w:eastAsia="zh-CN"/>
        </w:rPr>
        <w:t>中华人民共和国</w:t>
      </w:r>
      <w:r>
        <w:rPr>
          <w:rFonts w:hint="eastAsia" w:ascii="宋体" w:hAnsi="宋体" w:cs="宋体"/>
          <w:b w:val="0"/>
          <w:bCs w:val="0"/>
          <w:i w:val="0"/>
          <w:caps w:val="0"/>
          <w:spacing w:val="0"/>
          <w:sz w:val="24"/>
          <w:szCs w:val="24"/>
          <w:shd w:val="clear" w:color="auto" w:fill="FFFFFF"/>
          <w:lang w:val="en-US" w:eastAsia="zh-CN"/>
        </w:rPr>
        <w:t>证券法》《上海证券交易所股票上市规则》《上市公司独立董事规则》《上市公司治理准则》《银行保险机构关联交易管理办法》等相关法律法规及公司章程等有关规定，定期审议日常关联交易预计议案、重大关联交易议案、年度关联交易专项报告等关联交易相关报告，加强对关联交易的审核监督，同时对重大关联交易事项发表事前认可声明及独立意见，指导规范关联交易行为。重大关联交易议案涉及的事项遵循公平、公正、公开的原则，具有合法性、公允性，符合公司和全体股东的利益，未对其他股东合法利益造成损害。</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对外担保情况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b w:val="0"/>
          <w:bCs w:val="0"/>
          <w:i w:val="0"/>
          <w:caps w:val="0"/>
          <w:spacing w:val="0"/>
          <w:sz w:val="24"/>
          <w:szCs w:val="24"/>
          <w:shd w:val="clear" w:color="auto" w:fill="FFFFFF"/>
          <w:lang w:val="en-US" w:eastAsia="zh-CN"/>
        </w:rPr>
      </w:pPr>
      <w:r>
        <w:rPr>
          <w:rFonts w:hint="default" w:ascii="宋体" w:hAnsi="宋体" w:cs="宋体"/>
          <w:b w:val="0"/>
          <w:bCs w:val="0"/>
          <w:i w:val="0"/>
          <w:caps w:val="0"/>
          <w:spacing w:val="0"/>
          <w:sz w:val="24"/>
          <w:szCs w:val="24"/>
          <w:shd w:val="clear" w:color="auto" w:fill="FFFFFF"/>
          <w:lang w:val="en-US" w:eastAsia="zh-CN"/>
        </w:rPr>
        <w:t>报告期内</w:t>
      </w:r>
      <w:r>
        <w:rPr>
          <w:rFonts w:hint="eastAsia" w:ascii="宋体" w:hAnsi="宋体" w:cs="宋体"/>
          <w:b w:val="0"/>
          <w:bCs w:val="0"/>
          <w:i w:val="0"/>
          <w:caps w:val="0"/>
          <w:spacing w:val="0"/>
          <w:sz w:val="24"/>
          <w:szCs w:val="24"/>
          <w:shd w:val="clear" w:color="auto" w:fill="FFFFFF"/>
          <w:lang w:val="en-US" w:eastAsia="zh-CN"/>
        </w:rPr>
        <w:t>，公司严格执行对外担保的相关规定，不存在除中国人民银行和中国银行保险监督管理委员会批准的正常业务以外违规提供对外担保的情况。</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现金分红及其他投资者回报情况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报告期内，公司按照每股0.25元（税前）进行2021年度现金股利分红，现金分红率为30.42%。公司在现金分红的过程中严格遵循相关法律法规关于利润分配和现金分红的相关规定，符合公司章程的规定及股东大会决议的要求，分红标准和比例清晰明确，决策程序和机制完备。拟定利润分配的方案的过程中，充分听取各方面意见和诉求，及时答复广大投资者关心的问题。分配方案既有利于保障内源性资本的持续补充以支持银行业务的持续健康发展，又同时兼顾投资者的合理投资回报要求，不存在损害全体股东特别是中小股东利益的情形。独立董事在利润分配方案的决策过程中履职尽责并发挥了应有的作用。</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聘任或更换会计事务所情况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报告期内，独立董事根据年报工作的相关要求，与公司外部审计师保持充分沟通，切实履行相关责任和义务。独立董事认为公司所聘任的会计师事务所具备应有的专业胜任能力、投资者保护能力、独立性及良好的诚信状况，在审计过程中保持独立、客观、公正的执业准则，认真履行审计职责，较好地完成了各项工作，同意续聘安永华明会计师事务所（特殊普通合伙）为公司202</w:t>
      </w:r>
      <w:r>
        <w:rPr>
          <w:rFonts w:hint="default" w:ascii="宋体" w:hAnsi="宋体" w:cs="宋体"/>
          <w:b w:val="0"/>
          <w:bCs w:val="0"/>
          <w:i w:val="0"/>
          <w:caps w:val="0"/>
          <w:spacing w:val="0"/>
          <w:sz w:val="24"/>
          <w:szCs w:val="24"/>
          <w:highlight w:val="none"/>
          <w:shd w:val="clear" w:color="auto" w:fill="FFFFFF"/>
          <w:lang w:val="en-US" w:eastAsia="zh-CN"/>
        </w:rPr>
        <w:t>2</w:t>
      </w:r>
      <w:r>
        <w:rPr>
          <w:rFonts w:hint="eastAsia" w:ascii="宋体" w:hAnsi="宋体" w:cs="宋体"/>
          <w:b w:val="0"/>
          <w:bCs w:val="0"/>
          <w:i w:val="0"/>
          <w:caps w:val="0"/>
          <w:spacing w:val="0"/>
          <w:sz w:val="24"/>
          <w:szCs w:val="24"/>
          <w:highlight w:val="none"/>
          <w:shd w:val="clear" w:color="auto" w:fill="FFFFFF"/>
          <w:lang w:val="en-US" w:eastAsia="zh-CN"/>
        </w:rPr>
        <w:t>年度财务报告及内部控制审计机构。</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董事提名选举情况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2022年，公司董事会及董事会下设提名委员会认真审阅并通过了《厦门银行股份有限公司关于提名姚志萍为公司第八届董事会董事候选人的议案》《厦门银行股份有限公司关于提名黄金典为公司第八届董事会董事候选人的议案》，公司独立董事对董事选举均发表了同意的独立意见。</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业绩公告情况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报告期内</w:t>
      </w:r>
      <w:r>
        <w:rPr>
          <w:rFonts w:hint="eastAsia" w:ascii="宋体" w:hAnsi="宋体" w:cs="宋体"/>
          <w:b w:val="0"/>
          <w:bCs w:val="0"/>
          <w:i w:val="0"/>
          <w:caps w:val="0"/>
          <w:spacing w:val="0"/>
          <w:sz w:val="24"/>
          <w:szCs w:val="24"/>
          <w:shd w:val="clear" w:color="auto" w:fill="FFFFFF"/>
          <w:lang w:val="en-US" w:eastAsia="zh-CN"/>
        </w:rPr>
        <w:t>，公司独立董事认真审议有关业绩报告，确保报告的真实性、准确性和完整性，业绩报告不存在虚假记载、误导性陈述或重大遗漏。</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公司及股东承诺履行情况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highlight w:val="none"/>
          <w:shd w:val="clear" w:color="auto" w:fill="FFFFFF"/>
          <w:lang w:val="en-US" w:eastAsia="zh-CN"/>
        </w:rPr>
        <w:t>报告期内</w:t>
      </w:r>
      <w:r>
        <w:rPr>
          <w:rFonts w:hint="eastAsia" w:ascii="宋体" w:hAnsi="宋体" w:cs="宋体"/>
          <w:b w:val="0"/>
          <w:bCs w:val="0"/>
          <w:i w:val="0"/>
          <w:caps w:val="0"/>
          <w:spacing w:val="0"/>
          <w:sz w:val="24"/>
          <w:szCs w:val="24"/>
          <w:shd w:val="clear" w:color="auto" w:fill="FFFFFF"/>
          <w:lang w:val="en-US" w:eastAsia="zh-CN"/>
        </w:rPr>
        <w:t>，公司独立董事高度关注公司及公司股东承诺履行情况，所有承诺履行事项均按约定有效履行。</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信息披露执行情况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报告期内，公司所有信息披露的内容不存在虚假记载、误导性陈述或重大遗漏，严格按照相关法律法规及公司章程、各项信息披露管理制度等相关要求执行披露。独立董事积极履行年报编制和披露方面的职责，与外部审计师就年度审计工作进行了充分沟通和讨论，确保信息披露内容的准确、真实与完整。</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内部控制执行情况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报告期内，独立董事高度重视内部控制评价工作，对公司内部控制规范建设和实施起到关键作用。2022年的内部控制情况的评估过程中，未发现公司内部控制体系存在重大缺陷。</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董事会及其专门委员会的运作情况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公司董事会</w:t>
      </w:r>
      <w:r>
        <w:rPr>
          <w:rFonts w:hint="default" w:ascii="宋体" w:hAnsi="宋体" w:cs="宋体"/>
          <w:b w:val="0"/>
          <w:bCs w:val="0"/>
          <w:i w:val="0"/>
          <w:caps w:val="0"/>
          <w:spacing w:val="0"/>
          <w:sz w:val="24"/>
          <w:szCs w:val="24"/>
          <w:shd w:val="clear" w:color="auto" w:fill="FFFFFF"/>
          <w:lang w:val="en-US" w:eastAsia="zh-CN"/>
        </w:rPr>
        <w:t>下设</w:t>
      </w:r>
      <w:r>
        <w:rPr>
          <w:rFonts w:hint="eastAsia" w:ascii="宋体" w:hAnsi="宋体" w:cs="宋体"/>
          <w:b w:val="0"/>
          <w:bCs w:val="0"/>
          <w:i w:val="0"/>
          <w:caps w:val="0"/>
          <w:spacing w:val="0"/>
          <w:sz w:val="24"/>
          <w:szCs w:val="24"/>
          <w:highlight w:val="none"/>
          <w:shd w:val="clear" w:color="auto" w:fill="FFFFFF"/>
          <w:lang w:val="zh-CN" w:eastAsia="zh-CN"/>
        </w:rPr>
        <w:t>战略委员会</w:t>
      </w:r>
      <w:r>
        <w:rPr>
          <w:rFonts w:hint="default" w:ascii="宋体" w:hAnsi="宋体" w:cs="宋体"/>
          <w:b w:val="0"/>
          <w:bCs w:val="0"/>
          <w:i w:val="0"/>
          <w:caps w:val="0"/>
          <w:spacing w:val="0"/>
          <w:sz w:val="24"/>
          <w:szCs w:val="24"/>
          <w:shd w:val="clear" w:color="auto" w:fill="FFFFFF"/>
          <w:lang w:val="en-US" w:eastAsia="zh-CN"/>
        </w:rPr>
        <w:t>、提名委员会、薪酬委员会</w:t>
      </w:r>
      <w:r>
        <w:rPr>
          <w:rFonts w:hint="eastAsia" w:ascii="宋体" w:hAnsi="宋体" w:cs="宋体"/>
          <w:b w:val="0"/>
          <w:bCs w:val="0"/>
          <w:i w:val="0"/>
          <w:caps w:val="0"/>
          <w:spacing w:val="0"/>
          <w:sz w:val="24"/>
          <w:szCs w:val="24"/>
          <w:shd w:val="clear" w:color="auto" w:fill="FFFFFF"/>
          <w:lang w:val="en-US" w:eastAsia="zh-CN"/>
        </w:rPr>
        <w:t>、</w:t>
      </w:r>
      <w:r>
        <w:rPr>
          <w:rFonts w:hint="eastAsia" w:ascii="宋体" w:hAnsi="宋体" w:cs="宋体"/>
          <w:b w:val="0"/>
          <w:bCs w:val="0"/>
          <w:i w:val="0"/>
          <w:caps w:val="0"/>
          <w:spacing w:val="0"/>
          <w:sz w:val="24"/>
          <w:szCs w:val="24"/>
          <w:highlight w:val="none"/>
          <w:shd w:val="clear" w:color="auto" w:fill="FFFFFF"/>
          <w:lang w:val="zh-CN" w:eastAsia="zh-CN"/>
        </w:rPr>
        <w:t>审计与消费者权益保护委员</w:t>
      </w:r>
      <w:r>
        <w:rPr>
          <w:rFonts w:hint="eastAsia" w:ascii="宋体" w:hAnsi="宋体" w:cs="宋体"/>
          <w:b w:val="0"/>
          <w:bCs w:val="0"/>
          <w:i w:val="0"/>
          <w:caps w:val="0"/>
          <w:spacing w:val="0"/>
          <w:sz w:val="24"/>
          <w:szCs w:val="24"/>
          <w:highlight w:val="none"/>
          <w:shd w:val="clear" w:color="auto" w:fill="FFFFFF"/>
          <w:lang w:val="en-US" w:eastAsia="zh-CN"/>
        </w:rPr>
        <w:t>会</w:t>
      </w:r>
      <w:r>
        <w:rPr>
          <w:rFonts w:hint="default" w:ascii="宋体" w:hAnsi="宋体" w:cs="宋体"/>
          <w:b w:val="0"/>
          <w:bCs w:val="0"/>
          <w:i w:val="0"/>
          <w:caps w:val="0"/>
          <w:spacing w:val="0"/>
          <w:sz w:val="24"/>
          <w:szCs w:val="24"/>
          <w:shd w:val="clear" w:color="auto" w:fill="FFFFFF"/>
          <w:lang w:val="en-US" w:eastAsia="zh-CN"/>
        </w:rPr>
        <w:t>、</w:t>
      </w:r>
      <w:r>
        <w:rPr>
          <w:rFonts w:hint="eastAsia" w:ascii="宋体" w:hAnsi="宋体" w:cs="宋体"/>
          <w:b w:val="0"/>
          <w:bCs w:val="0"/>
          <w:i w:val="0"/>
          <w:caps w:val="0"/>
          <w:spacing w:val="0"/>
          <w:sz w:val="24"/>
          <w:szCs w:val="24"/>
          <w:highlight w:val="none"/>
          <w:shd w:val="clear" w:color="auto" w:fill="FFFFFF"/>
          <w:lang w:val="zh-CN" w:eastAsia="zh-CN"/>
        </w:rPr>
        <w:t>风险控制与关联交易管理委员会</w:t>
      </w:r>
      <w:r>
        <w:rPr>
          <w:rFonts w:hint="eastAsia" w:ascii="宋体" w:hAnsi="宋体" w:cs="宋体"/>
          <w:b w:val="0"/>
          <w:bCs w:val="0"/>
          <w:i w:val="0"/>
          <w:caps w:val="0"/>
          <w:spacing w:val="0"/>
          <w:sz w:val="24"/>
          <w:szCs w:val="24"/>
          <w:highlight w:val="none"/>
          <w:shd w:val="clear" w:color="auto" w:fill="FFFFFF"/>
          <w:lang w:val="en-US" w:eastAsia="zh-CN"/>
        </w:rPr>
        <w:t>共5个专业委员会</w:t>
      </w:r>
      <w:r>
        <w:rPr>
          <w:rFonts w:hint="default" w:ascii="宋体" w:hAnsi="宋体" w:cs="宋体"/>
          <w:b w:val="0"/>
          <w:bCs w:val="0"/>
          <w:i w:val="0"/>
          <w:caps w:val="0"/>
          <w:spacing w:val="0"/>
          <w:sz w:val="24"/>
          <w:szCs w:val="24"/>
          <w:shd w:val="clear" w:color="auto" w:fill="FFFFFF"/>
          <w:lang w:val="en-US" w:eastAsia="zh-CN"/>
        </w:rPr>
        <w:t>。独立董事认真履职，积极发表意见，密切关注公司经营发展情况，利用自身专业知识和丰富经验，</w:t>
      </w:r>
      <w:r>
        <w:rPr>
          <w:rFonts w:hint="default" w:ascii="宋体" w:hAnsi="宋体" w:cs="宋体"/>
          <w:sz w:val="24"/>
          <w:shd w:val="clear" w:color="auto" w:fill="FFFFFF"/>
        </w:rPr>
        <w:t>认真研究审议职责范围内的相关事项，促进了公司董事会及其专门委员会决策的科学性和有效性</w:t>
      </w:r>
      <w:r>
        <w:rPr>
          <w:rFonts w:hint="default" w:ascii="宋体" w:hAnsi="宋体" w:cs="宋体"/>
          <w:b w:val="0"/>
          <w:bCs w:val="0"/>
          <w:i w:val="0"/>
          <w:caps w:val="0"/>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en-US" w:eastAsia="zh-CN"/>
        </w:rPr>
      </w:pPr>
      <w:r>
        <w:rPr>
          <w:rFonts w:hint="eastAsia" w:ascii="宋体" w:hAnsi="宋体" w:cs="宋体"/>
          <w:b w:val="0"/>
          <w:bCs w:val="0"/>
          <w:i w:val="0"/>
          <w:caps w:val="0"/>
          <w:spacing w:val="0"/>
          <w:sz w:val="24"/>
          <w:szCs w:val="24"/>
          <w:shd w:val="clear" w:color="auto" w:fill="FFFFFF"/>
          <w:lang w:val="en-US" w:eastAsia="zh-CN"/>
        </w:rPr>
        <w:t>报告期内</w:t>
      </w:r>
      <w:r>
        <w:rPr>
          <w:rFonts w:hint="default" w:ascii="宋体" w:hAnsi="宋体" w:cs="宋体"/>
          <w:b w:val="0"/>
          <w:bCs w:val="0"/>
          <w:i w:val="0"/>
          <w:caps w:val="0"/>
          <w:spacing w:val="0"/>
          <w:sz w:val="24"/>
          <w:szCs w:val="24"/>
          <w:shd w:val="clear" w:color="auto" w:fill="FFFFFF"/>
          <w:lang w:val="en-US" w:eastAsia="zh-CN"/>
        </w:rPr>
        <w:t>，</w:t>
      </w:r>
      <w:r>
        <w:rPr>
          <w:rFonts w:hint="eastAsia" w:ascii="宋体" w:hAnsi="宋体" w:cs="宋体"/>
          <w:b w:val="0"/>
          <w:bCs w:val="0"/>
          <w:i w:val="0"/>
          <w:caps w:val="0"/>
          <w:spacing w:val="0"/>
          <w:sz w:val="24"/>
          <w:szCs w:val="24"/>
          <w:shd w:val="clear" w:color="auto" w:fill="FFFFFF"/>
          <w:lang w:val="en-US" w:eastAsia="zh-CN"/>
        </w:rPr>
        <w:t>公司</w:t>
      </w:r>
      <w:r>
        <w:rPr>
          <w:rFonts w:hint="default" w:ascii="宋体" w:hAnsi="宋体" w:cs="宋体"/>
          <w:b w:val="0"/>
          <w:bCs w:val="0"/>
          <w:i w:val="0"/>
          <w:caps w:val="0"/>
          <w:spacing w:val="0"/>
          <w:sz w:val="24"/>
          <w:szCs w:val="24"/>
          <w:shd w:val="clear" w:color="auto" w:fill="FFFFFF"/>
          <w:lang w:val="en-US" w:eastAsia="zh-CN"/>
        </w:rPr>
        <w:t>董事会共召开</w:t>
      </w:r>
      <w:r>
        <w:rPr>
          <w:rFonts w:hint="eastAsia" w:ascii="宋体" w:hAnsi="宋体" w:cs="宋体"/>
          <w:b w:val="0"/>
          <w:bCs w:val="0"/>
          <w:i w:val="0"/>
          <w:caps w:val="0"/>
          <w:spacing w:val="0"/>
          <w:sz w:val="24"/>
          <w:szCs w:val="24"/>
          <w:shd w:val="clear" w:color="auto" w:fill="FFFFFF"/>
          <w:lang w:val="en-US" w:eastAsia="zh-CN"/>
        </w:rPr>
        <w:t>14</w:t>
      </w:r>
      <w:r>
        <w:rPr>
          <w:rFonts w:hint="default" w:ascii="宋体" w:hAnsi="宋体" w:cs="宋体"/>
          <w:b w:val="0"/>
          <w:bCs w:val="0"/>
          <w:i w:val="0"/>
          <w:caps w:val="0"/>
          <w:spacing w:val="0"/>
          <w:sz w:val="24"/>
          <w:szCs w:val="24"/>
          <w:shd w:val="clear" w:color="auto" w:fill="FFFFFF"/>
          <w:lang w:val="en-US" w:eastAsia="zh-CN"/>
        </w:rPr>
        <w:t>次会议</w:t>
      </w:r>
      <w:r>
        <w:rPr>
          <w:rFonts w:hint="eastAsia" w:ascii="宋体" w:hAnsi="宋体" w:cs="宋体"/>
          <w:b w:val="0"/>
          <w:bCs w:val="0"/>
          <w:i w:val="0"/>
          <w:caps w:val="0"/>
          <w:spacing w:val="0"/>
          <w:sz w:val="24"/>
          <w:szCs w:val="24"/>
          <w:shd w:val="clear" w:color="auto" w:fill="FFFFFF"/>
          <w:lang w:val="en-US" w:eastAsia="zh-CN"/>
        </w:rPr>
        <w:t>，内容涉及经营情况、风险控制、内控报告、战略执行情况、会计师事务所选聘、董事长选举、经营情况、风险控制、制定董事会授权书、不良资产转让等。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zh-CN" w:eastAsia="zh-CN"/>
        </w:rPr>
      </w:pPr>
      <w:r>
        <w:rPr>
          <w:rFonts w:hint="eastAsia" w:ascii="宋体" w:hAnsi="宋体" w:cs="宋体"/>
          <w:b w:val="0"/>
          <w:bCs w:val="0"/>
          <w:i w:val="0"/>
          <w:caps w:val="0"/>
          <w:spacing w:val="0"/>
          <w:sz w:val="24"/>
          <w:szCs w:val="24"/>
          <w:shd w:val="clear" w:color="auto" w:fill="FFFFFF"/>
          <w:lang w:val="zh-CN" w:eastAsia="zh-CN"/>
        </w:rPr>
        <w:t>董事会战略委员会召开会议</w:t>
      </w:r>
      <w:r>
        <w:rPr>
          <w:rFonts w:hint="eastAsia" w:ascii="宋体" w:hAnsi="宋体" w:cs="宋体"/>
          <w:b w:val="0"/>
          <w:bCs w:val="0"/>
          <w:i w:val="0"/>
          <w:caps w:val="0"/>
          <w:spacing w:val="0"/>
          <w:sz w:val="24"/>
          <w:szCs w:val="24"/>
          <w:shd w:val="clear" w:color="auto" w:fill="FFFFFF"/>
          <w:lang w:val="en-US" w:eastAsia="zh-CN"/>
        </w:rPr>
        <w:t>3</w:t>
      </w:r>
      <w:r>
        <w:rPr>
          <w:rFonts w:hint="eastAsia" w:ascii="宋体" w:hAnsi="宋体" w:cs="宋体"/>
          <w:b w:val="0"/>
          <w:bCs w:val="0"/>
          <w:i w:val="0"/>
          <w:caps w:val="0"/>
          <w:spacing w:val="0"/>
          <w:sz w:val="24"/>
          <w:szCs w:val="24"/>
          <w:shd w:val="clear" w:color="auto" w:fill="FFFFFF"/>
          <w:lang w:val="zh-CN" w:eastAsia="zh-CN"/>
        </w:rPr>
        <w:t>次，审议</w:t>
      </w:r>
      <w:r>
        <w:rPr>
          <w:rFonts w:hint="eastAsia" w:ascii="宋体" w:hAnsi="宋体" w:cs="宋体"/>
          <w:b w:val="0"/>
          <w:bCs w:val="0"/>
          <w:i w:val="0"/>
          <w:caps w:val="0"/>
          <w:spacing w:val="0"/>
          <w:sz w:val="24"/>
          <w:szCs w:val="24"/>
          <w:shd w:val="clear" w:color="auto" w:fill="FFFFFF"/>
          <w:lang w:val="en-US" w:eastAsia="zh-CN"/>
        </w:rPr>
        <w:t>5</w:t>
      </w:r>
      <w:r>
        <w:rPr>
          <w:rFonts w:hint="default" w:ascii="宋体" w:hAnsi="宋体" w:cs="宋体"/>
          <w:b w:val="0"/>
          <w:bCs w:val="0"/>
          <w:i w:val="0"/>
          <w:caps w:val="0"/>
          <w:spacing w:val="0"/>
          <w:sz w:val="24"/>
          <w:szCs w:val="24"/>
          <w:shd w:val="clear" w:color="auto" w:fill="FFFFFF"/>
          <w:lang w:val="zh-CN" w:eastAsia="zh-CN"/>
        </w:rPr>
        <w:t>项议案，</w:t>
      </w:r>
      <w:r>
        <w:rPr>
          <w:rFonts w:hint="eastAsia" w:ascii="宋体" w:hAnsi="宋体" w:cs="宋体"/>
          <w:b w:val="0"/>
          <w:bCs w:val="0"/>
          <w:i w:val="0"/>
          <w:caps w:val="0"/>
          <w:spacing w:val="0"/>
          <w:sz w:val="24"/>
          <w:szCs w:val="24"/>
          <w:shd w:val="clear" w:color="auto" w:fill="FFFFFF"/>
          <w:lang w:val="zh-CN" w:eastAsia="zh-CN"/>
        </w:rPr>
        <w:t>内容涉及集团工作情况、战略执行情况、数字科技发展规划等；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zh-CN" w:eastAsia="zh-CN"/>
        </w:rPr>
      </w:pPr>
      <w:r>
        <w:rPr>
          <w:rFonts w:hint="eastAsia" w:ascii="宋体" w:hAnsi="宋体" w:cs="宋体"/>
          <w:b w:val="0"/>
          <w:bCs w:val="0"/>
          <w:i w:val="0"/>
          <w:caps w:val="0"/>
          <w:spacing w:val="0"/>
          <w:sz w:val="24"/>
          <w:szCs w:val="24"/>
          <w:shd w:val="clear" w:color="auto" w:fill="FFFFFF"/>
          <w:lang w:val="zh-CN" w:eastAsia="zh-CN"/>
        </w:rPr>
        <w:t>董事会提名委员会召开会议</w:t>
      </w:r>
      <w:r>
        <w:rPr>
          <w:rFonts w:hint="eastAsia" w:ascii="宋体" w:hAnsi="宋体" w:cs="宋体"/>
          <w:b w:val="0"/>
          <w:bCs w:val="0"/>
          <w:i w:val="0"/>
          <w:caps w:val="0"/>
          <w:spacing w:val="0"/>
          <w:sz w:val="24"/>
          <w:szCs w:val="24"/>
          <w:shd w:val="clear" w:color="auto" w:fill="FFFFFF"/>
          <w:lang w:val="en-US" w:eastAsia="zh-CN"/>
        </w:rPr>
        <w:t>4</w:t>
      </w:r>
      <w:r>
        <w:rPr>
          <w:rFonts w:hint="eastAsia" w:ascii="宋体" w:hAnsi="宋体" w:cs="宋体"/>
          <w:b w:val="0"/>
          <w:bCs w:val="0"/>
          <w:i w:val="0"/>
          <w:caps w:val="0"/>
          <w:spacing w:val="0"/>
          <w:sz w:val="24"/>
          <w:szCs w:val="24"/>
          <w:shd w:val="clear" w:color="auto" w:fill="FFFFFF"/>
          <w:lang w:val="zh-CN" w:eastAsia="zh-CN"/>
        </w:rPr>
        <w:t>次，审议</w:t>
      </w:r>
      <w:r>
        <w:rPr>
          <w:rFonts w:hint="eastAsia" w:ascii="宋体" w:hAnsi="宋体" w:cs="宋体"/>
          <w:b w:val="0"/>
          <w:bCs w:val="0"/>
          <w:i w:val="0"/>
          <w:caps w:val="0"/>
          <w:spacing w:val="0"/>
          <w:sz w:val="24"/>
          <w:szCs w:val="24"/>
          <w:shd w:val="clear" w:color="auto" w:fill="FFFFFF"/>
          <w:lang w:val="en-US" w:eastAsia="zh-CN"/>
        </w:rPr>
        <w:t>7</w:t>
      </w:r>
      <w:r>
        <w:rPr>
          <w:rFonts w:hint="default" w:ascii="宋体" w:hAnsi="宋体" w:cs="宋体"/>
          <w:b w:val="0"/>
          <w:bCs w:val="0"/>
          <w:i w:val="0"/>
          <w:caps w:val="0"/>
          <w:spacing w:val="0"/>
          <w:sz w:val="24"/>
          <w:szCs w:val="24"/>
          <w:shd w:val="clear" w:color="auto" w:fill="FFFFFF"/>
          <w:lang w:val="zh-CN" w:eastAsia="zh-CN"/>
        </w:rPr>
        <w:t>项议案，</w:t>
      </w:r>
      <w:r>
        <w:rPr>
          <w:rFonts w:hint="eastAsia" w:ascii="宋体" w:hAnsi="宋体" w:cs="宋体"/>
          <w:b w:val="0"/>
          <w:bCs w:val="0"/>
          <w:i w:val="0"/>
          <w:caps w:val="0"/>
          <w:spacing w:val="0"/>
          <w:sz w:val="24"/>
          <w:szCs w:val="24"/>
          <w:shd w:val="clear" w:color="auto" w:fill="FFFFFF"/>
          <w:lang w:val="zh-CN" w:eastAsia="zh-CN"/>
        </w:rPr>
        <w:t>内容</w:t>
      </w:r>
      <w:r>
        <w:rPr>
          <w:rFonts w:hint="eastAsia" w:ascii="宋体" w:hAnsi="宋体" w:cs="宋体"/>
          <w:b w:val="0"/>
          <w:bCs w:val="0"/>
          <w:i w:val="0"/>
          <w:caps w:val="0"/>
          <w:spacing w:val="0"/>
          <w:sz w:val="24"/>
          <w:szCs w:val="24"/>
          <w:shd w:val="clear" w:color="auto" w:fill="FFFFFF"/>
          <w:lang w:val="en-US" w:eastAsia="zh-CN"/>
        </w:rPr>
        <w:t>涉及</w:t>
      </w:r>
      <w:r>
        <w:rPr>
          <w:rFonts w:hint="eastAsia" w:ascii="宋体" w:hAnsi="宋体" w:cs="宋体"/>
          <w:b w:val="0"/>
          <w:bCs w:val="0"/>
          <w:i w:val="0"/>
          <w:caps w:val="0"/>
          <w:spacing w:val="0"/>
          <w:sz w:val="24"/>
          <w:szCs w:val="24"/>
          <w:shd w:val="clear" w:color="auto" w:fill="FFFFFF"/>
          <w:lang w:val="zh-CN" w:eastAsia="zh-CN"/>
        </w:rPr>
        <w:t>选举第八届董事会董事、选举董事会战略委员会、提名委员会委员及审计与消费者权益保护委员会委员等；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zh-CN" w:eastAsia="zh-CN"/>
        </w:rPr>
      </w:pPr>
      <w:r>
        <w:rPr>
          <w:rFonts w:hint="eastAsia" w:ascii="宋体" w:hAnsi="宋体" w:cs="宋体"/>
          <w:b w:val="0"/>
          <w:bCs w:val="0"/>
          <w:i w:val="0"/>
          <w:caps w:val="0"/>
          <w:spacing w:val="0"/>
          <w:sz w:val="24"/>
          <w:szCs w:val="24"/>
          <w:shd w:val="clear" w:color="auto" w:fill="FFFFFF"/>
          <w:lang w:val="zh-CN" w:eastAsia="zh-CN"/>
        </w:rPr>
        <w:t>董事会薪酬委员会召开会议</w:t>
      </w:r>
      <w:r>
        <w:rPr>
          <w:rFonts w:hint="eastAsia" w:ascii="宋体" w:hAnsi="宋体" w:cs="宋体"/>
          <w:b w:val="0"/>
          <w:bCs w:val="0"/>
          <w:i w:val="0"/>
          <w:caps w:val="0"/>
          <w:spacing w:val="0"/>
          <w:sz w:val="24"/>
          <w:szCs w:val="24"/>
          <w:shd w:val="clear" w:color="auto" w:fill="FFFFFF"/>
          <w:lang w:val="en-US" w:eastAsia="zh-CN"/>
        </w:rPr>
        <w:t>3</w:t>
      </w:r>
      <w:r>
        <w:rPr>
          <w:rFonts w:hint="eastAsia" w:ascii="宋体" w:hAnsi="宋体" w:cs="宋体"/>
          <w:b w:val="0"/>
          <w:bCs w:val="0"/>
          <w:i w:val="0"/>
          <w:caps w:val="0"/>
          <w:spacing w:val="0"/>
          <w:sz w:val="24"/>
          <w:szCs w:val="24"/>
          <w:shd w:val="clear" w:color="auto" w:fill="FFFFFF"/>
          <w:lang w:val="zh-CN" w:eastAsia="zh-CN"/>
        </w:rPr>
        <w:t>次，审议</w:t>
      </w:r>
      <w:r>
        <w:rPr>
          <w:rFonts w:hint="eastAsia" w:ascii="宋体" w:hAnsi="宋体" w:cs="宋体"/>
          <w:b w:val="0"/>
          <w:bCs w:val="0"/>
          <w:i w:val="0"/>
          <w:caps w:val="0"/>
          <w:spacing w:val="0"/>
          <w:sz w:val="24"/>
          <w:szCs w:val="24"/>
          <w:shd w:val="clear" w:color="auto" w:fill="FFFFFF"/>
          <w:lang w:val="en-US" w:eastAsia="zh-CN"/>
        </w:rPr>
        <w:t>4</w:t>
      </w:r>
      <w:r>
        <w:rPr>
          <w:rFonts w:hint="default" w:ascii="宋体" w:hAnsi="宋体" w:cs="宋体"/>
          <w:b w:val="0"/>
          <w:bCs w:val="0"/>
          <w:i w:val="0"/>
          <w:caps w:val="0"/>
          <w:spacing w:val="0"/>
          <w:sz w:val="24"/>
          <w:szCs w:val="24"/>
          <w:shd w:val="clear" w:color="auto" w:fill="FFFFFF"/>
          <w:lang w:val="zh-CN" w:eastAsia="zh-CN"/>
        </w:rPr>
        <w:t>项议案，</w:t>
      </w:r>
      <w:r>
        <w:rPr>
          <w:rFonts w:hint="eastAsia" w:ascii="宋体" w:hAnsi="宋体" w:cs="宋体"/>
          <w:b w:val="0"/>
          <w:bCs w:val="0"/>
          <w:i w:val="0"/>
          <w:caps w:val="0"/>
          <w:spacing w:val="0"/>
          <w:sz w:val="24"/>
          <w:szCs w:val="24"/>
          <w:shd w:val="clear" w:color="auto" w:fill="FFFFFF"/>
          <w:lang w:val="zh-CN" w:eastAsia="zh-CN"/>
        </w:rPr>
        <w:t>内容涉及行领导薪酬分配方案、制定董事薪酬管理办法、制定2022年绩效任务书等；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zh-CN" w:eastAsia="zh-CN"/>
        </w:rPr>
      </w:pPr>
      <w:r>
        <w:rPr>
          <w:rFonts w:hint="eastAsia" w:ascii="宋体" w:hAnsi="宋体" w:cs="宋体"/>
          <w:b w:val="0"/>
          <w:bCs w:val="0"/>
          <w:i w:val="0"/>
          <w:caps w:val="0"/>
          <w:spacing w:val="0"/>
          <w:sz w:val="24"/>
          <w:szCs w:val="24"/>
          <w:shd w:val="clear" w:color="auto" w:fill="FFFFFF"/>
          <w:lang w:val="zh-CN" w:eastAsia="zh-CN"/>
        </w:rPr>
        <w:t>董事会审计与消费者权益保护委员会召开会议</w:t>
      </w:r>
      <w:r>
        <w:rPr>
          <w:rFonts w:hint="eastAsia" w:ascii="宋体" w:hAnsi="宋体" w:cs="宋体"/>
          <w:b w:val="0"/>
          <w:bCs w:val="0"/>
          <w:i w:val="0"/>
          <w:caps w:val="0"/>
          <w:spacing w:val="0"/>
          <w:sz w:val="24"/>
          <w:szCs w:val="24"/>
          <w:shd w:val="clear" w:color="auto" w:fill="FFFFFF"/>
          <w:lang w:val="en-US" w:eastAsia="zh-CN"/>
        </w:rPr>
        <w:t>7</w:t>
      </w:r>
      <w:r>
        <w:rPr>
          <w:rFonts w:hint="default" w:ascii="宋体" w:hAnsi="宋体" w:cs="宋体"/>
          <w:b w:val="0"/>
          <w:bCs w:val="0"/>
          <w:i w:val="0"/>
          <w:caps w:val="0"/>
          <w:spacing w:val="0"/>
          <w:sz w:val="24"/>
          <w:szCs w:val="24"/>
          <w:shd w:val="clear" w:color="auto" w:fill="FFFFFF"/>
          <w:lang w:val="zh-CN" w:eastAsia="zh-CN"/>
        </w:rPr>
        <w:t>次，审议</w:t>
      </w:r>
      <w:r>
        <w:rPr>
          <w:rFonts w:hint="eastAsia" w:ascii="宋体" w:hAnsi="宋体" w:cs="宋体"/>
          <w:b w:val="0"/>
          <w:bCs w:val="0"/>
          <w:i w:val="0"/>
          <w:caps w:val="0"/>
          <w:spacing w:val="0"/>
          <w:sz w:val="24"/>
          <w:szCs w:val="24"/>
          <w:shd w:val="clear" w:color="auto" w:fill="FFFFFF"/>
          <w:lang w:val="en-US" w:eastAsia="zh-CN"/>
        </w:rPr>
        <w:t>12</w:t>
      </w:r>
      <w:r>
        <w:rPr>
          <w:rFonts w:hint="eastAsia" w:ascii="宋体" w:hAnsi="宋体" w:cs="宋体"/>
          <w:b w:val="0"/>
          <w:bCs w:val="0"/>
          <w:i w:val="0"/>
          <w:caps w:val="0"/>
          <w:spacing w:val="0"/>
          <w:sz w:val="24"/>
          <w:szCs w:val="24"/>
          <w:shd w:val="clear" w:color="auto" w:fill="FFFFFF"/>
          <w:lang w:val="zh-CN" w:eastAsia="zh-CN"/>
        </w:rPr>
        <w:t>项议案，</w:t>
      </w:r>
      <w:r>
        <w:rPr>
          <w:rFonts w:hint="default" w:ascii="宋体" w:hAnsi="宋体" w:cs="宋体"/>
          <w:b w:val="0"/>
          <w:bCs w:val="0"/>
          <w:i w:val="0"/>
          <w:caps w:val="0"/>
          <w:spacing w:val="0"/>
          <w:sz w:val="24"/>
          <w:szCs w:val="24"/>
          <w:shd w:val="clear" w:color="auto" w:fill="FFFFFF"/>
          <w:lang w:val="zh-CN" w:eastAsia="zh-CN"/>
        </w:rPr>
        <w:t>听取</w:t>
      </w:r>
      <w:r>
        <w:rPr>
          <w:rFonts w:hint="eastAsia" w:ascii="宋体" w:hAnsi="宋体" w:cs="宋体"/>
          <w:b w:val="0"/>
          <w:bCs w:val="0"/>
          <w:i w:val="0"/>
          <w:caps w:val="0"/>
          <w:spacing w:val="0"/>
          <w:sz w:val="24"/>
          <w:szCs w:val="24"/>
          <w:shd w:val="clear" w:color="auto" w:fill="FFFFFF"/>
          <w:lang w:val="en-US" w:eastAsia="zh-CN"/>
        </w:rPr>
        <w:t>1</w:t>
      </w:r>
      <w:r>
        <w:rPr>
          <w:rFonts w:hint="default" w:ascii="宋体" w:hAnsi="宋体" w:cs="宋体"/>
          <w:b w:val="0"/>
          <w:bCs w:val="0"/>
          <w:i w:val="0"/>
          <w:caps w:val="0"/>
          <w:spacing w:val="0"/>
          <w:sz w:val="24"/>
          <w:szCs w:val="24"/>
          <w:shd w:val="clear" w:color="auto" w:fill="FFFFFF"/>
          <w:lang w:val="zh-CN" w:eastAsia="zh-CN"/>
        </w:rPr>
        <w:t>项报告</w:t>
      </w:r>
      <w:r>
        <w:rPr>
          <w:rFonts w:hint="eastAsia" w:ascii="宋体" w:hAnsi="宋体" w:cs="宋体"/>
          <w:b w:val="0"/>
          <w:bCs w:val="0"/>
          <w:i w:val="0"/>
          <w:caps w:val="0"/>
          <w:spacing w:val="0"/>
          <w:sz w:val="24"/>
          <w:szCs w:val="24"/>
          <w:shd w:val="clear" w:color="auto" w:fill="FFFFFF"/>
          <w:lang w:val="zh-CN" w:eastAsia="zh-CN"/>
        </w:rPr>
        <w:t>，内容涉及年度报告、季度报告、内控报告、委员会履职评价报告、会计师事务所选聘、年度管理建议书制定等；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i w:val="0"/>
          <w:caps w:val="0"/>
          <w:spacing w:val="0"/>
          <w:sz w:val="24"/>
          <w:szCs w:val="24"/>
          <w:shd w:val="clear" w:color="auto" w:fill="FFFFFF"/>
          <w:lang w:val="zh-CN" w:eastAsia="zh-CN"/>
        </w:rPr>
      </w:pPr>
      <w:r>
        <w:rPr>
          <w:rFonts w:hint="eastAsia" w:ascii="宋体" w:hAnsi="宋体" w:cs="宋体"/>
          <w:b w:val="0"/>
          <w:bCs w:val="0"/>
          <w:i w:val="0"/>
          <w:caps w:val="0"/>
          <w:spacing w:val="0"/>
          <w:sz w:val="24"/>
          <w:szCs w:val="24"/>
          <w:shd w:val="clear" w:color="auto" w:fill="FFFFFF"/>
          <w:lang w:val="zh-CN" w:eastAsia="zh-CN"/>
        </w:rPr>
        <w:t>董事会风险控制与关联交易管理委员会召开会议</w:t>
      </w:r>
      <w:r>
        <w:rPr>
          <w:rFonts w:hint="eastAsia" w:ascii="宋体" w:hAnsi="宋体" w:cs="宋体"/>
          <w:b w:val="0"/>
          <w:bCs w:val="0"/>
          <w:i w:val="0"/>
          <w:caps w:val="0"/>
          <w:spacing w:val="0"/>
          <w:sz w:val="24"/>
          <w:szCs w:val="24"/>
          <w:shd w:val="clear" w:color="auto" w:fill="FFFFFF"/>
          <w:lang w:val="en-US" w:eastAsia="zh-CN"/>
        </w:rPr>
        <w:t>10</w:t>
      </w:r>
      <w:r>
        <w:rPr>
          <w:rFonts w:hint="eastAsia" w:ascii="宋体" w:hAnsi="宋体" w:cs="宋体"/>
          <w:b w:val="0"/>
          <w:bCs w:val="0"/>
          <w:i w:val="0"/>
          <w:caps w:val="0"/>
          <w:spacing w:val="0"/>
          <w:sz w:val="24"/>
          <w:szCs w:val="24"/>
          <w:shd w:val="clear" w:color="auto" w:fill="FFFFFF"/>
          <w:lang w:val="zh-CN" w:eastAsia="zh-CN"/>
        </w:rPr>
        <w:t>次，审议</w:t>
      </w:r>
      <w:r>
        <w:rPr>
          <w:rFonts w:hint="eastAsia" w:ascii="宋体" w:hAnsi="宋体" w:cs="宋体"/>
          <w:b w:val="0"/>
          <w:bCs w:val="0"/>
          <w:i w:val="0"/>
          <w:caps w:val="0"/>
          <w:spacing w:val="0"/>
          <w:sz w:val="24"/>
          <w:szCs w:val="24"/>
          <w:shd w:val="clear" w:color="auto" w:fill="FFFFFF"/>
          <w:lang w:val="en-US" w:eastAsia="zh-CN"/>
        </w:rPr>
        <w:t>32</w:t>
      </w:r>
      <w:r>
        <w:rPr>
          <w:rFonts w:hint="eastAsia" w:ascii="宋体" w:hAnsi="宋体" w:cs="宋体"/>
          <w:b w:val="0"/>
          <w:bCs w:val="0"/>
          <w:i w:val="0"/>
          <w:caps w:val="0"/>
          <w:spacing w:val="0"/>
          <w:sz w:val="24"/>
          <w:szCs w:val="24"/>
          <w:shd w:val="clear" w:color="auto" w:fill="FFFFFF"/>
          <w:lang w:val="zh-CN" w:eastAsia="zh-CN"/>
        </w:rPr>
        <w:t>项议案，内容涉及风险报告、年度关联交易管理情况报告、关联方名单制定、日常关联交易预计额度制定、全面风险管理政策的修订、不良资产转让、授信议案等。</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2" w:leftChars="0" w:firstLine="422" w:firstLineChars="0"/>
        <w:textAlignment w:val="auto"/>
        <w:rPr>
          <w:rFonts w:hint="eastAsia" w:ascii="宋体" w:hAnsi="宋体" w:cs="宋体"/>
          <w:i w:val="0"/>
          <w:caps w:val="0"/>
          <w:spacing w:val="0"/>
          <w:sz w:val="24"/>
          <w:szCs w:val="24"/>
          <w:shd w:val="clear" w:color="auto" w:fill="FFFFFF"/>
          <w:lang w:val="en-US" w:eastAsia="zh-CN"/>
        </w:rPr>
      </w:pPr>
      <w:r>
        <w:rPr>
          <w:rFonts w:hint="eastAsia" w:ascii="宋体" w:hAnsi="宋体" w:cs="宋体"/>
          <w:b/>
          <w:bCs/>
          <w:i w:val="0"/>
          <w:caps w:val="0"/>
          <w:spacing w:val="0"/>
          <w:sz w:val="24"/>
          <w:szCs w:val="24"/>
          <w:shd w:val="clear" w:color="auto" w:fill="FFFFFF"/>
          <w:lang w:val="en-US" w:eastAsia="zh-CN"/>
        </w:rPr>
        <w:t>总体评价和建议</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i w:val="0"/>
          <w:caps w:val="0"/>
          <w:spacing w:val="0"/>
          <w:sz w:val="24"/>
          <w:szCs w:val="24"/>
          <w:shd w:val="clear" w:color="auto" w:fill="FFFFFF"/>
          <w:lang w:val="en-US" w:eastAsia="zh-CN"/>
        </w:rPr>
      </w:pPr>
      <w:r>
        <w:rPr>
          <w:rFonts w:hint="eastAsia" w:ascii="宋体" w:hAnsi="宋体" w:cs="宋体"/>
          <w:i w:val="0"/>
          <w:caps w:val="0"/>
          <w:spacing w:val="0"/>
          <w:sz w:val="24"/>
          <w:szCs w:val="24"/>
          <w:shd w:val="clear" w:color="auto" w:fill="FFFFFF"/>
          <w:lang w:val="en-US" w:eastAsia="zh-CN"/>
        </w:rPr>
        <w:t>2022年，公司独立董事均能严格按照相关法律法规及公司章程的要求，</w:t>
      </w:r>
      <w:r>
        <w:rPr>
          <w:rFonts w:ascii="sans-serif" w:hAnsi="sans-serif" w:eastAsia="sans-serif" w:cs="sans-serif"/>
          <w:i w:val="0"/>
          <w:caps w:val="0"/>
          <w:spacing w:val="0"/>
          <w:sz w:val="25"/>
          <w:szCs w:val="25"/>
          <w:shd w:val="clear" w:color="auto" w:fill="FFFFFF"/>
        </w:rPr>
        <w:t>忠实勤勉</w:t>
      </w:r>
      <w:r>
        <w:rPr>
          <w:rFonts w:hint="eastAsia" w:ascii="宋体" w:hAnsi="宋体" w:cs="宋体"/>
          <w:i w:val="0"/>
          <w:caps w:val="0"/>
          <w:spacing w:val="0"/>
          <w:sz w:val="24"/>
          <w:szCs w:val="24"/>
          <w:shd w:val="clear" w:color="auto" w:fill="FFFFFF"/>
          <w:lang w:val="en-US" w:eastAsia="zh-CN"/>
        </w:rPr>
        <w:t>，</w:t>
      </w:r>
      <w:r>
        <w:rPr>
          <w:rFonts w:ascii="sans-serif" w:hAnsi="sans-serif" w:eastAsia="sans-serif" w:cs="sans-serif"/>
          <w:i w:val="0"/>
          <w:caps w:val="0"/>
          <w:spacing w:val="0"/>
          <w:sz w:val="25"/>
          <w:szCs w:val="25"/>
          <w:shd w:val="clear" w:color="auto" w:fill="FFFFFF"/>
        </w:rPr>
        <w:t>积极履职</w:t>
      </w:r>
      <w:r>
        <w:rPr>
          <w:rFonts w:hint="eastAsia" w:ascii="sans-serif" w:hAnsi="sans-serif" w:eastAsia="宋体" w:cs="sans-serif"/>
          <w:i w:val="0"/>
          <w:caps w:val="0"/>
          <w:spacing w:val="0"/>
          <w:sz w:val="25"/>
          <w:szCs w:val="25"/>
          <w:shd w:val="clear" w:color="auto" w:fill="FFFFFF"/>
          <w:lang w:eastAsia="zh-CN"/>
        </w:rPr>
        <w:t>，</w:t>
      </w:r>
      <w:r>
        <w:rPr>
          <w:rFonts w:hint="eastAsia" w:ascii="sans-serif" w:hAnsi="sans-serif" w:cs="sans-serif"/>
          <w:i w:val="0"/>
          <w:caps w:val="0"/>
          <w:spacing w:val="0"/>
          <w:sz w:val="25"/>
          <w:szCs w:val="25"/>
          <w:shd w:val="clear" w:color="auto" w:fill="FFFFFF"/>
          <w:lang w:val="en-US" w:eastAsia="zh-CN"/>
        </w:rPr>
        <w:t>积极</w:t>
      </w:r>
      <w:r>
        <w:rPr>
          <w:rFonts w:ascii="宋体" w:hAnsi="宋体" w:eastAsia="宋体" w:cs="宋体"/>
          <w:sz w:val="24"/>
          <w:szCs w:val="24"/>
        </w:rPr>
        <w:t>与董事会其他成员、监事会、高级管理人员和股东各方的沟通</w:t>
      </w:r>
      <w:r>
        <w:rPr>
          <w:rFonts w:hint="eastAsia" w:ascii="宋体" w:hAnsi="宋体" w:cs="宋体"/>
          <w:i w:val="0"/>
          <w:caps w:val="0"/>
          <w:spacing w:val="0"/>
          <w:sz w:val="24"/>
          <w:szCs w:val="24"/>
          <w:shd w:val="clear" w:color="auto" w:fill="FFFFFF"/>
          <w:lang w:val="en-US" w:eastAsia="zh-CN"/>
        </w:rPr>
        <w:t>，以自身专业知识和工作经验对利润分配、董事选举、会计师事务所选聘、关联交易管理、风险管理等相关重大事项发表独立意见并作出指示，监督公司各项业务发展及重大事项的合规情况，进一步提升董事会的科学决策水平和专门委员会的运作效率。2023年，公司独立董事将根据监管要求进一步履行独立董事的职责，围绕董事会重点工作，独立客观审慎发表意见，为公司实现稳健发展以及维护全体股东特别是中小股东的合法权益做出更大贡献。</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i w:val="0"/>
          <w:caps w:val="0"/>
          <w:spacing w:val="0"/>
          <w:sz w:val="24"/>
          <w:szCs w:val="24"/>
          <w:shd w:val="clear" w:color="auto" w:fill="FFFFFF"/>
          <w:lang w:val="en-US" w:eastAsia="zh-CN"/>
        </w:rPr>
      </w:pPr>
      <w:r>
        <w:rPr>
          <w:rFonts w:hint="eastAsia" w:ascii="宋体" w:hAnsi="宋体" w:cs="宋体"/>
          <w:i w:val="0"/>
          <w:caps w:val="0"/>
          <w:spacing w:val="0"/>
          <w:sz w:val="24"/>
          <w:szCs w:val="24"/>
          <w:shd w:val="clear" w:color="auto" w:fill="FFFFFF"/>
          <w:lang w:val="en-US" w:eastAsia="zh-CN"/>
        </w:rPr>
        <w:t>特此报告。</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i w:val="0"/>
          <w:caps w:val="0"/>
          <w:spacing w:val="0"/>
          <w:sz w:val="24"/>
          <w:szCs w:val="24"/>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hAnsi="宋体" w:eastAsia="宋体" w:cs="宋体"/>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hAnsi="宋体" w:eastAsia="宋体" w:cs="宋体"/>
          <w:sz w:val="24"/>
          <w:szCs w:val="24"/>
        </w:rPr>
        <w:t>独立董事：宁向东、戴亦一、谢德仁、聂秀峰、陈欣</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hAnsi="宋体" w:eastAsia="宋体" w:cs="宋体"/>
          <w:sz w:val="24"/>
          <w:szCs w:val="24"/>
        </w:rPr>
        <w:t>202</w:t>
      </w:r>
      <w:r>
        <w:rPr>
          <w:rFonts w:hint="eastAsia" w:hAnsi="宋体" w:eastAsia="宋体" w:cs="宋体"/>
          <w:sz w:val="24"/>
          <w:szCs w:val="24"/>
          <w:lang w:val="en-US" w:eastAsia="zh-CN"/>
        </w:rPr>
        <w:t>3</w:t>
      </w:r>
      <w:r>
        <w:rPr>
          <w:rFonts w:hint="eastAsia" w:hAnsi="宋体" w:eastAsia="宋体" w:cs="宋体"/>
          <w:sz w:val="24"/>
          <w:szCs w:val="24"/>
        </w:rPr>
        <w:t>年</w:t>
      </w:r>
      <w:r>
        <w:rPr>
          <w:rFonts w:hint="eastAsia" w:hAnsi="宋体" w:eastAsia="宋体" w:cs="宋体"/>
          <w:sz w:val="24"/>
          <w:szCs w:val="24"/>
          <w:lang w:val="en-US" w:eastAsia="zh-CN"/>
        </w:rPr>
        <w:t>5</w:t>
      </w:r>
      <w:r>
        <w:rPr>
          <w:rFonts w:hint="eastAsia" w:hAnsi="宋体" w:eastAsia="宋体" w:cs="宋体"/>
          <w:sz w:val="24"/>
          <w:szCs w:val="24"/>
        </w:rPr>
        <w:t>月</w:t>
      </w:r>
      <w:r>
        <w:rPr>
          <w:rFonts w:hint="eastAsia" w:hAnsi="宋体" w:eastAsia="宋体" w:cs="宋体"/>
          <w:sz w:val="24"/>
          <w:szCs w:val="24"/>
          <w:lang w:val="en-US" w:eastAsia="zh-CN"/>
        </w:rPr>
        <w:t>18</w:t>
      </w:r>
      <w:r>
        <w:rPr>
          <w:rFonts w:hint="eastAsia" w:hAnsi="宋体" w:eastAsia="宋体" w:cs="宋体"/>
          <w:sz w:val="24"/>
          <w:szCs w:val="24"/>
        </w:rPr>
        <w:t>日</w:t>
      </w:r>
    </w:p>
    <w:p>
      <w:pPr>
        <w:rPr>
          <w:rFonts w:hint="default"/>
          <w:lang w:val="en-US" w:eastAsia="zh-CN"/>
        </w:rPr>
      </w:pPr>
      <w:r>
        <w:rPr>
          <w:rFonts w:hint="default"/>
          <w:lang w:val="en-US" w:eastAsia="zh-CN"/>
        </w:rP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13"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报告2</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69504;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ohXBbWAAAABQEAAA8AAAAA&#10;AAAAAQAgAAAAIgAAAGRycy9kb3ducmV2LnhtbFBLAQIUABQAAAAIAIdO4kC4EPJ6FgIAAEUEAAAO&#10;AAAAAAAAAAEAIAAAACUBAABkcnMvZTJvRG9jLnhtbFBLBQYAAAAABgAGAFkBAACtBQ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报告2</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厦门银行股份有限公司2022年度关联交易管理情况报告</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 w:val="24"/>
        </w:rPr>
      </w:pPr>
      <w:r>
        <w:rPr>
          <w:rFonts w:hint="eastAsia" w:ascii="宋体" w:hAnsi="宋体" w:eastAsia="宋体" w:cs="宋体"/>
          <w:bCs/>
          <w:color w:val="000000"/>
          <w:kern w:val="36"/>
          <w:sz w:val="24"/>
        </w:rPr>
        <w:t>尊敬的各位</w:t>
      </w:r>
      <w:r>
        <w:rPr>
          <w:rFonts w:hint="eastAsia" w:ascii="宋体" w:hAnsi="宋体" w:eastAsia="宋体" w:cs="宋体"/>
          <w:sz w:val="24"/>
        </w:rPr>
        <w:t>股东</w:t>
      </w:r>
      <w:r>
        <w:rPr>
          <w:rFonts w:hint="eastAsia" w:ascii="宋体" w:hAnsi="宋体" w:eastAsia="宋体" w:cs="宋体"/>
          <w:bCs/>
          <w:color w:val="000000"/>
          <w:kern w:val="36"/>
          <w:sz w:val="24"/>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b/>
          <w:bCs/>
          <w:sz w:val="24"/>
          <w:szCs w:val="24"/>
          <w:highlight w:val="none"/>
          <w:shd w:val="clear" w:color="auto" w:fill="FFFFFF"/>
        </w:rPr>
      </w:pPr>
      <w:r>
        <w:rPr>
          <w:rFonts w:hint="eastAsia" w:asciiTheme="minorEastAsia" w:hAnsiTheme="minorEastAsia" w:eastAsiaTheme="minorEastAsia" w:cstheme="minorEastAsia"/>
          <w:sz w:val="24"/>
          <w:szCs w:val="24"/>
          <w:lang w:val="en-US" w:eastAsia="zh-CN"/>
        </w:rPr>
        <w:t>2022年，厦门银行股份有限公司（下称“本行”）</w:t>
      </w:r>
      <w:r>
        <w:rPr>
          <w:rFonts w:hint="eastAsia" w:asciiTheme="minorEastAsia" w:hAnsiTheme="minorEastAsia" w:eastAsiaTheme="minorEastAsia" w:cstheme="minorEastAsia"/>
          <w:sz w:val="24"/>
          <w:szCs w:val="24"/>
        </w:rPr>
        <w:t>根据中国银行保险监督管理委员会（以下简称“银保监会”）、中国证券监督管理委员会（以下简称“证监会”）、上海证券交易所（以下简称“上交所”）等监管机构要</w:t>
      </w:r>
      <w:r>
        <w:rPr>
          <w:rFonts w:hint="eastAsia" w:asciiTheme="minorEastAsia" w:hAnsiTheme="minorEastAsia" w:eastAsiaTheme="minorEastAsia" w:cstheme="minorEastAsia"/>
          <w:sz w:val="24"/>
          <w:szCs w:val="24"/>
          <w:lang w:val="en-US" w:eastAsia="zh-CN"/>
        </w:rPr>
        <w:t>求，</w:t>
      </w:r>
      <w:r>
        <w:rPr>
          <w:rFonts w:hint="eastAsia" w:asciiTheme="minorEastAsia" w:hAnsiTheme="minorEastAsia" w:eastAsiaTheme="minorEastAsia" w:cstheme="minorEastAsia"/>
          <w:sz w:val="24"/>
          <w:szCs w:val="24"/>
        </w:rPr>
        <w:t>坚守合规原则，全面深化关联交易管理，持续完善制度机制，加快推进关联交易管理信息化与精细化水平提升，尽职履行关联交易审批、披露、报备等义务，切实防范与关联方发生利益输送风险，确保关联交易管理机制有效运行。</w:t>
      </w:r>
      <w:r>
        <w:rPr>
          <w:rFonts w:hint="eastAsia" w:asciiTheme="minorEastAsia" w:hAnsiTheme="minorEastAsia" w:eastAsiaTheme="minorEastAsia" w:cstheme="minorEastAsia"/>
          <w:sz w:val="24"/>
          <w:szCs w:val="24"/>
          <w:lang w:val="en-US" w:eastAsia="zh-CN"/>
        </w:rPr>
        <w:t>根据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银行保险机构关联交易管理办法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（以下简称“新规”）、</w:t>
      </w:r>
      <w:r>
        <w:rPr>
          <w:rFonts w:hint="eastAsia" w:asciiTheme="minorEastAsia" w:hAnsiTheme="minorEastAsia" w:eastAsiaTheme="minorEastAsia" w:cstheme="minorEastAsia"/>
          <w:sz w:val="24"/>
          <w:szCs w:val="24"/>
        </w:rPr>
        <w:t>《公开发行证券的公司信息披露编报规则第26号－商业银行信息披露特别规定》</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《上海证券交易所股票上市规则》</w:t>
      </w:r>
      <w:r>
        <w:rPr>
          <w:rFonts w:hint="eastAsia" w:asciiTheme="minorEastAsia" w:hAnsiTheme="minorEastAsia" w:eastAsiaTheme="minorEastAsia" w:cstheme="minorEastAsia"/>
          <w:sz w:val="24"/>
          <w:szCs w:val="24"/>
          <w:lang w:val="en-US" w:eastAsia="zh-CN"/>
        </w:rPr>
        <w:t>等要</w:t>
      </w:r>
      <w:r>
        <w:rPr>
          <w:rFonts w:hint="eastAsia" w:asciiTheme="minorEastAsia" w:hAnsiTheme="minorEastAsia" w:eastAsiaTheme="minorEastAsia" w:cstheme="minorEastAsia"/>
          <w:b w:val="0"/>
          <w:bCs w:val="0"/>
          <w:sz w:val="24"/>
          <w:szCs w:val="24"/>
          <w:lang w:val="en-US" w:eastAsia="zh-CN"/>
        </w:rPr>
        <w:t>求</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现</w:t>
      </w:r>
      <w:r>
        <w:rPr>
          <w:rFonts w:hint="eastAsia" w:asciiTheme="minorEastAsia" w:hAnsiTheme="minorEastAsia" w:eastAsiaTheme="minorEastAsia" w:cstheme="minorEastAsia"/>
          <w:b w:val="0"/>
          <w:bCs w:val="0"/>
          <w:sz w:val="24"/>
          <w:szCs w:val="24"/>
        </w:rPr>
        <w:t>将</w:t>
      </w:r>
      <w:r>
        <w:rPr>
          <w:rFonts w:hint="eastAsia" w:asciiTheme="minorEastAsia" w:hAnsiTheme="minorEastAsia" w:eastAsiaTheme="minorEastAsia" w:cstheme="minorEastAsia"/>
          <w:b w:val="0"/>
          <w:bCs w:val="0"/>
          <w:sz w:val="24"/>
          <w:szCs w:val="24"/>
          <w:lang w:val="en-US" w:eastAsia="zh-CN"/>
        </w:rPr>
        <w:t>本行</w:t>
      </w: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年度关联交易情况报告如下：</w:t>
      </w:r>
    </w:p>
    <w:p>
      <w:pPr>
        <w:keepNext w:val="0"/>
        <w:keepLines w:val="0"/>
        <w:pageBreakBefore w:val="0"/>
        <w:widowControl w:val="0"/>
        <w:numPr>
          <w:ilvl w:val="0"/>
          <w:numId w:val="10"/>
        </w:numPr>
        <w:kinsoku/>
        <w:wordWrap/>
        <w:overflowPunct/>
        <w:topLinePunct w:val="0"/>
        <w:autoSpaceDE/>
        <w:autoSpaceDN/>
        <w:bidi w:val="0"/>
        <w:adjustRightInd/>
        <w:snapToGrid w:val="0"/>
        <w:spacing w:beforeAutospacing="0" w:afterAutospacing="0" w:line="360" w:lineRule="auto"/>
        <w:ind w:left="420" w:leftChars="0"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2022年度关联交易管理情况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highlight w:val="none"/>
          <w:shd w:val="clear" w:color="auto" w:fill="FFFFFF"/>
          <w:lang w:val="en-US" w:eastAsia="zh-CN"/>
        </w:rPr>
      </w:pPr>
      <w:r>
        <w:rPr>
          <w:rFonts w:hint="eastAsia" w:asciiTheme="minorEastAsia" w:hAnsiTheme="minorEastAsia" w:cstheme="minorEastAsia"/>
          <w:b/>
          <w:bCs/>
          <w:sz w:val="24"/>
          <w:szCs w:val="24"/>
          <w:highlight w:val="none"/>
          <w:shd w:val="clear" w:color="auto" w:fill="FFFFFF"/>
          <w:lang w:val="en-US" w:eastAsia="zh-CN"/>
        </w:rPr>
        <w:t>（一）</w:t>
      </w:r>
      <w:r>
        <w:rPr>
          <w:rFonts w:hint="eastAsia" w:asciiTheme="minorEastAsia" w:hAnsiTheme="minorEastAsia" w:eastAsiaTheme="minorEastAsia" w:cstheme="minorEastAsia"/>
          <w:b/>
          <w:bCs/>
          <w:sz w:val="24"/>
          <w:szCs w:val="24"/>
          <w:highlight w:val="none"/>
          <w:shd w:val="clear" w:color="auto" w:fill="FFFFFF"/>
          <w:lang w:val="en-US" w:eastAsia="zh-CN"/>
        </w:rPr>
        <w:t>开展关联交易管理监管新规自查，制定全面关联交易管理整改与提升方案，持续优化关联方及关联交易管理机制，</w:t>
      </w:r>
      <w:r>
        <w:rPr>
          <w:rFonts w:hint="eastAsia" w:asciiTheme="minorEastAsia" w:hAnsiTheme="minorEastAsia" w:eastAsiaTheme="minorEastAsia" w:cstheme="minorEastAsia"/>
          <w:b/>
          <w:bCs/>
          <w:sz w:val="24"/>
          <w:szCs w:val="24"/>
          <w:highlight w:val="none"/>
          <w:shd w:val="clear" w:color="auto" w:fill="FFFFFF"/>
        </w:rPr>
        <w:t>不断提升关联交易管理信息化水平</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2022年1月，银保监会出台</w:t>
      </w:r>
      <w:r>
        <w:rPr>
          <w:rFonts w:hint="eastAsia" w:asciiTheme="minorEastAsia" w:hAnsiTheme="minorEastAsia" w:eastAsiaTheme="minorEastAsia" w:cstheme="minorEastAsia"/>
          <w:sz w:val="24"/>
          <w:szCs w:val="24"/>
          <w:lang w:eastAsia="zh-CN"/>
        </w:rPr>
        <w:t>了</w:t>
      </w:r>
      <w:r>
        <w:rPr>
          <w:rFonts w:hint="eastAsia" w:asciiTheme="minorEastAsia" w:hAnsiTheme="minorEastAsia" w:eastAsiaTheme="minorEastAsia" w:cstheme="minorEastAsia"/>
          <w:sz w:val="24"/>
          <w:szCs w:val="24"/>
        </w:rPr>
        <w:t>《银行保险机构关联交易管理办法》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对</w:t>
      </w:r>
      <w:r>
        <w:rPr>
          <w:rFonts w:hint="eastAsia" w:asciiTheme="minorEastAsia" w:hAnsiTheme="minorEastAsia" w:eastAsiaTheme="minorEastAsia" w:cstheme="minorEastAsia"/>
          <w:sz w:val="24"/>
          <w:szCs w:val="24"/>
        </w:rPr>
        <w:t>关联方定义、关联交易口径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关联交易计算标准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审批、报告、披露程序及内部管理等</w:t>
      </w:r>
      <w:r>
        <w:rPr>
          <w:rFonts w:hint="eastAsia" w:asciiTheme="minorEastAsia" w:hAnsiTheme="minorEastAsia" w:eastAsiaTheme="minorEastAsia" w:cstheme="minorEastAsia"/>
          <w:sz w:val="24"/>
          <w:szCs w:val="24"/>
          <w:lang w:val="en-US" w:eastAsia="zh-CN"/>
        </w:rPr>
        <w:t>方面的</w:t>
      </w:r>
      <w:r>
        <w:rPr>
          <w:rFonts w:hint="eastAsia" w:asciiTheme="minorEastAsia" w:hAnsiTheme="minorEastAsia" w:eastAsiaTheme="minorEastAsia" w:cstheme="minorEastAsia"/>
          <w:sz w:val="24"/>
          <w:szCs w:val="24"/>
        </w:rPr>
        <w:t>监管要求</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重大</w:t>
      </w:r>
      <w:r>
        <w:rPr>
          <w:rFonts w:hint="eastAsia" w:asciiTheme="minorEastAsia" w:hAnsiTheme="minorEastAsia" w:eastAsiaTheme="minorEastAsia" w:cstheme="minorEastAsia"/>
          <w:sz w:val="24"/>
          <w:szCs w:val="24"/>
          <w:lang w:val="en-US" w:eastAsia="zh-CN"/>
        </w:rPr>
        <w:t>调整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本行高度重视，及时开展关联交易管理监管新规的学习与对照自查工作，并制定了关联交易管理全面整改与提升方案，按照“稳妥有序，逐步达标”的原则，实现监管新规则、新要求在过渡期内有序落实。具体情况如下：</w:t>
      </w:r>
    </w:p>
    <w:p>
      <w:pPr>
        <w:keepNext w:val="0"/>
        <w:keepLines w:val="0"/>
        <w:pageBreakBefore w:val="0"/>
        <w:widowControl w:val="0"/>
        <w:numPr>
          <w:ilvl w:val="-1"/>
          <w:numId w:val="0"/>
        </w:numPr>
        <w:kinsoku/>
        <w:wordWrap/>
        <w:overflowPunct/>
        <w:topLinePunct w:val="0"/>
        <w:autoSpaceDE/>
        <w:autoSpaceDN/>
        <w:bidi w:val="0"/>
        <w:adjustRightInd/>
        <w:snapToGrid w:val="0"/>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1.关联交易管理体制机制完善方面</w:t>
      </w:r>
      <w:r>
        <w:rPr>
          <w:rFonts w:hint="eastAsia" w:asciiTheme="minorEastAsia" w:hAnsiTheme="minorEastAsia" w:eastAsiaTheme="minorEastAsia" w:cstheme="minorEastAsia"/>
          <w:sz w:val="24"/>
          <w:szCs w:val="24"/>
          <w:lang w:val="en-US" w:eastAsia="zh-CN"/>
        </w:rPr>
        <w:t>，本行根据新规修订了《厦门银行股份有限公司关联交易管理办法（2022年修订）》（以下简称“《办法》”），明确了关联交易管理架构以及董事会、董事会风险控制与关联交易管理委员会及各职能部门的职责，在经营管理层下设关联交易管理办公室负责关联交易管理的日常事务，并设置关联交易管理专岗。2022年，关联交易管理办公室共召开4次会议，听取了《关联交易管理提升工作情况及优化整改计划报告》《关联交易的定价管理办法》《2022年半年度关联方名单及二季度关联交易季报情况》《对公条线关联交易优化情况汇报》《信息技术部关联交易提案情况汇报》《各部门优化方案总体落实情况》等16项议题，指导落实关联交易管理要求。</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2.关联交易管理流程优化与制度建设方面</w:t>
      </w:r>
      <w:r>
        <w:rPr>
          <w:rFonts w:hint="eastAsia" w:asciiTheme="minorEastAsia" w:hAnsiTheme="minorEastAsia" w:eastAsiaTheme="minorEastAsia" w:cstheme="minorEastAsia"/>
          <w:sz w:val="24"/>
          <w:szCs w:val="24"/>
          <w:lang w:val="en-US" w:eastAsia="zh-CN"/>
        </w:rPr>
        <w:t>，本行结合管理现状及新规要求梳理关联交易定价管理、各业务管理流程及相应的管理制度，在《办法》的基础上制定或修订了包括《厦门银行股份有限公司对公中间业务定价管理办法》《厦门自贸试验区资金营运中心关联交易管理细则》《理财业务关联交易管理细则》</w:t>
      </w:r>
      <w:r>
        <w:rPr>
          <w:rFonts w:hint="eastAsia" w:asciiTheme="minorEastAsia" w:hAnsiTheme="minorEastAsia" w:eastAsiaTheme="minorEastAsia" w:cstheme="minorEastAsia"/>
          <w:sz w:val="24"/>
          <w:szCs w:val="24"/>
          <w:lang w:eastAsia="zh-CN"/>
        </w:rPr>
        <w:t>《零售授信业务授信后管理办法》《涉及关联交易采购管理实施细则》</w:t>
      </w:r>
      <w:r>
        <w:rPr>
          <w:rFonts w:hint="eastAsia" w:asciiTheme="minorEastAsia" w:hAnsiTheme="minorEastAsia" w:eastAsiaTheme="minorEastAsia" w:cstheme="minorEastAsia"/>
          <w:sz w:val="24"/>
          <w:szCs w:val="24"/>
          <w:lang w:val="en-US" w:eastAsia="zh-CN"/>
        </w:rPr>
        <w:t>等16份制度，并进一步明确授信类、非授信类关联交易管理要求，自上而下、全面规范并夯实关联交易管理体系。</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关联方管理方面</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本行</w:t>
      </w:r>
      <w:r>
        <w:rPr>
          <w:rFonts w:hint="eastAsia" w:asciiTheme="minorEastAsia" w:hAnsiTheme="minorEastAsia" w:eastAsiaTheme="minorEastAsia" w:cstheme="minorEastAsia"/>
          <w:sz w:val="24"/>
          <w:szCs w:val="24"/>
        </w:rPr>
        <w:t>依据中国银保监会</w:t>
      </w:r>
      <w:r>
        <w:rPr>
          <w:rFonts w:hint="eastAsia" w:asciiTheme="minorEastAsia" w:hAnsiTheme="minorEastAsia" w:eastAsiaTheme="minorEastAsia" w:cstheme="minorEastAsia"/>
          <w:sz w:val="24"/>
          <w:szCs w:val="24"/>
          <w:lang w:val="en-US" w:eastAsia="zh-CN"/>
        </w:rPr>
        <w:t>新规以及</w:t>
      </w:r>
      <w:r>
        <w:rPr>
          <w:rFonts w:hint="eastAsia" w:asciiTheme="minorEastAsia" w:hAnsiTheme="minorEastAsia" w:eastAsiaTheme="minorEastAsia" w:cstheme="minorEastAsia"/>
          <w:sz w:val="24"/>
          <w:szCs w:val="24"/>
        </w:rPr>
        <w:t>中国证监会、上交所、财政部等监管规则</w:t>
      </w:r>
      <w:r>
        <w:rPr>
          <w:rFonts w:hint="eastAsia" w:asciiTheme="minorEastAsia" w:hAnsiTheme="minorEastAsia" w:eastAsiaTheme="minorEastAsia" w:cstheme="minorEastAsia"/>
          <w:sz w:val="24"/>
          <w:szCs w:val="24"/>
          <w:lang w:val="en-US" w:eastAsia="zh-CN"/>
        </w:rPr>
        <w:t>重新梳理关联方认定标准，调整了近亲属范围，明确要求将主要股东控股股东的董监高、主要股东控股股东控制的法人或非法人组织等纳入关联方管理范围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截至2022年12月31日，本行关联方数量为2812名，较2021年末的关联方数量增加19.8%。为进一步提高关联方名单的准确性、及时性和有效性，除</w:t>
      </w:r>
      <w:r>
        <w:rPr>
          <w:rFonts w:hint="eastAsia" w:asciiTheme="minorEastAsia" w:hAnsiTheme="minorEastAsia" w:eastAsiaTheme="minorEastAsia" w:cstheme="minorEastAsia"/>
          <w:sz w:val="24"/>
          <w:szCs w:val="24"/>
        </w:rPr>
        <w:t>每半年度</w:t>
      </w:r>
      <w:r>
        <w:rPr>
          <w:rFonts w:hint="eastAsia" w:asciiTheme="minorEastAsia" w:hAnsiTheme="minorEastAsia" w:eastAsiaTheme="minorEastAsia" w:cstheme="minorEastAsia"/>
          <w:sz w:val="24"/>
          <w:szCs w:val="24"/>
          <w:lang w:val="en-US" w:eastAsia="zh-CN"/>
        </w:rPr>
        <w:t>定期收集</w:t>
      </w:r>
      <w:r>
        <w:rPr>
          <w:rFonts w:hint="eastAsia" w:asciiTheme="minorEastAsia" w:hAnsiTheme="minorEastAsia" w:eastAsiaTheme="minorEastAsia" w:cstheme="minorEastAsia"/>
          <w:sz w:val="24"/>
          <w:szCs w:val="24"/>
        </w:rPr>
        <w:t>关联方信息</w:t>
      </w:r>
      <w:r>
        <w:rPr>
          <w:rFonts w:hint="eastAsia" w:asciiTheme="minorEastAsia" w:hAnsiTheme="minorEastAsia" w:eastAsiaTheme="minorEastAsia" w:cstheme="minorEastAsia"/>
          <w:sz w:val="24"/>
          <w:szCs w:val="24"/>
          <w:lang w:val="en-US" w:eastAsia="zh-CN"/>
        </w:rPr>
        <w:t>外</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通过</w:t>
      </w:r>
      <w:r>
        <w:rPr>
          <w:rFonts w:hint="eastAsia" w:asciiTheme="minorEastAsia" w:hAnsiTheme="minorEastAsia" w:eastAsiaTheme="minorEastAsia" w:cstheme="minorEastAsia"/>
          <w:sz w:val="24"/>
          <w:szCs w:val="24"/>
        </w:rPr>
        <w:t>每月提醒</w:t>
      </w:r>
      <w:r>
        <w:rPr>
          <w:rFonts w:hint="eastAsia" w:asciiTheme="minorEastAsia" w:hAnsiTheme="minorEastAsia" w:eastAsiaTheme="minorEastAsia" w:cstheme="minorEastAsia"/>
          <w:sz w:val="24"/>
          <w:szCs w:val="24"/>
          <w:lang w:val="en-US" w:eastAsia="zh-CN"/>
        </w:rPr>
        <w:t>股东、董监高及其他内部人员等</w:t>
      </w:r>
      <w:r>
        <w:rPr>
          <w:rFonts w:hint="eastAsia" w:asciiTheme="minorEastAsia" w:hAnsiTheme="minorEastAsia" w:eastAsiaTheme="minorEastAsia" w:cstheme="minorEastAsia"/>
          <w:sz w:val="24"/>
          <w:szCs w:val="24"/>
        </w:rPr>
        <w:t>关联方履行关联方信息报告义务</w:t>
      </w:r>
      <w:r>
        <w:rPr>
          <w:rFonts w:hint="eastAsia" w:asciiTheme="minorEastAsia" w:hAnsiTheme="minorEastAsia" w:eastAsiaTheme="minorEastAsia" w:cstheme="minorEastAsia"/>
          <w:sz w:val="24"/>
          <w:szCs w:val="24"/>
          <w:lang w:val="en-US" w:eastAsia="zh-CN"/>
        </w:rPr>
        <w:t>的方式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实现</w:t>
      </w:r>
      <w:r>
        <w:rPr>
          <w:rFonts w:hint="eastAsia" w:asciiTheme="minorEastAsia" w:hAnsiTheme="minorEastAsia" w:eastAsiaTheme="minorEastAsia" w:cstheme="minorEastAsia"/>
          <w:sz w:val="24"/>
          <w:szCs w:val="24"/>
        </w:rPr>
        <w:t>关联方信息</w:t>
      </w:r>
      <w:r>
        <w:rPr>
          <w:rFonts w:hint="eastAsia" w:asciiTheme="minorEastAsia" w:hAnsiTheme="minorEastAsia" w:eastAsiaTheme="minorEastAsia" w:cstheme="minorEastAsia"/>
          <w:sz w:val="24"/>
          <w:szCs w:val="24"/>
          <w:lang w:val="en-US" w:eastAsia="zh-CN"/>
        </w:rPr>
        <w:t>的常态化更新</w:t>
      </w:r>
      <w:r>
        <w:rPr>
          <w:rFonts w:hint="eastAsia" w:asciiTheme="minorEastAsia" w:hAnsiTheme="minorEastAsia" w:eastAsiaTheme="minorEastAsia" w:cstheme="minorEastAsia"/>
          <w:sz w:val="24"/>
          <w:szCs w:val="24"/>
        </w:rPr>
        <w:t>，并利用企查查等第三方渠道交叉核实关联方信息，提高名单更新频次</w:t>
      </w:r>
      <w:r>
        <w:rPr>
          <w:rFonts w:hint="eastAsia" w:asciiTheme="minorEastAsia" w:hAnsiTheme="minorEastAsia" w:eastAsiaTheme="minorEastAsia" w:cstheme="minorEastAsia"/>
          <w:sz w:val="24"/>
          <w:szCs w:val="24"/>
          <w:lang w:val="en-US" w:eastAsia="zh-CN"/>
        </w:rPr>
        <w:t>及准确性</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4.关联交易管理方面</w:t>
      </w:r>
      <w:r>
        <w:rPr>
          <w:rFonts w:hint="eastAsia" w:asciiTheme="minorEastAsia" w:hAnsiTheme="minorEastAsia" w:eastAsiaTheme="minorEastAsia" w:cstheme="minorEastAsia"/>
          <w:sz w:val="24"/>
          <w:szCs w:val="24"/>
          <w:lang w:val="en-US" w:eastAsia="zh-CN"/>
        </w:rPr>
        <w:t>，本行依据</w:t>
      </w:r>
      <w:r>
        <w:rPr>
          <w:rFonts w:hint="eastAsia" w:asciiTheme="minorEastAsia" w:hAnsiTheme="minorEastAsia" w:eastAsiaTheme="minorEastAsia" w:cstheme="minorEastAsia"/>
          <w:sz w:val="24"/>
          <w:szCs w:val="24"/>
        </w:rPr>
        <w:t>中国银保监会</w:t>
      </w:r>
      <w:r>
        <w:rPr>
          <w:rFonts w:hint="eastAsia" w:asciiTheme="minorEastAsia" w:hAnsiTheme="minorEastAsia" w:eastAsiaTheme="minorEastAsia" w:cstheme="minorEastAsia"/>
          <w:sz w:val="24"/>
          <w:szCs w:val="24"/>
          <w:lang w:val="en-US" w:eastAsia="zh-CN"/>
        </w:rPr>
        <w:t>新规调整了关联交易认定范围及关联交易金额计算标准，将存款、其他非授信关联交易等交易纳入管理范围，分类管理各类关联交易；针对各关联交易类型明确关联方识别、交易定价管理、交易审批流程及交易数据报告等工作流程，进一步规范关联交易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5.关联交易的报告与披露方面</w:t>
      </w:r>
      <w:r>
        <w:rPr>
          <w:rFonts w:hint="eastAsia" w:asciiTheme="minorEastAsia" w:hAnsiTheme="minorEastAsia" w:eastAsiaTheme="minorEastAsia" w:cstheme="minorEastAsia"/>
          <w:sz w:val="24"/>
          <w:szCs w:val="24"/>
          <w:lang w:val="en-US" w:eastAsia="zh-CN"/>
        </w:rPr>
        <w:t>，本行依规严格履行关联交易披露、报备程序，强化信息披露规范性与准确性，保障股东、客户、监管及公众知情权。本行根据监管机构规定，除通过关联交易监管系统不定期更新及报告关联方名单、逐笔报告重大关联交易、以及按季报告一般关联交易外，还在官网及时披露关联交易情况，报告期内，本行在官网披露了12份关联交易相关的临时公告。本行董事会向股东大会就关联交易整体情况做出专项报告，并依规在年度报告中披露关联交易总体情况。</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6.关联交易管理系统及业务系统优化方面</w:t>
      </w:r>
      <w:r>
        <w:rPr>
          <w:rFonts w:hint="eastAsia" w:asciiTheme="minorEastAsia" w:hAnsiTheme="minorEastAsia" w:eastAsiaTheme="minorEastAsia" w:cstheme="minorEastAsia"/>
          <w:sz w:val="24"/>
          <w:szCs w:val="24"/>
          <w:lang w:val="en-US" w:eastAsia="zh-CN"/>
        </w:rPr>
        <w:t>，本行</w:t>
      </w:r>
      <w:r>
        <w:rPr>
          <w:rFonts w:hint="eastAsia" w:asciiTheme="minorEastAsia" w:hAnsiTheme="minorEastAsia" w:eastAsiaTheme="minorEastAsia" w:cstheme="minorEastAsia"/>
          <w:sz w:val="24"/>
          <w:szCs w:val="24"/>
        </w:rPr>
        <w:t>针对</w:t>
      </w:r>
      <w:r>
        <w:rPr>
          <w:rFonts w:hint="eastAsia" w:asciiTheme="minorEastAsia" w:hAnsiTheme="minorEastAsia" w:eastAsiaTheme="minorEastAsia" w:cstheme="minorEastAsia"/>
          <w:sz w:val="24"/>
          <w:szCs w:val="24"/>
          <w:lang w:val="en-US" w:eastAsia="zh-CN"/>
        </w:rPr>
        <w:t>新规</w:t>
      </w:r>
      <w:r>
        <w:rPr>
          <w:rFonts w:hint="eastAsia" w:asciiTheme="minorEastAsia" w:hAnsiTheme="minorEastAsia" w:eastAsiaTheme="minorEastAsia" w:cstheme="minorEastAsia"/>
          <w:sz w:val="24"/>
          <w:szCs w:val="24"/>
        </w:rPr>
        <w:t>及</w:t>
      </w:r>
      <w:r>
        <w:rPr>
          <w:rFonts w:hint="eastAsia" w:asciiTheme="minorEastAsia" w:hAnsiTheme="minorEastAsia" w:eastAsiaTheme="minorEastAsia" w:cstheme="minorEastAsia"/>
          <w:sz w:val="24"/>
          <w:szCs w:val="24"/>
          <w:lang w:val="en-US" w:eastAsia="zh-CN"/>
        </w:rPr>
        <w:t>报送规范调整优化行内关联交易管理系统，满足线上化管理需要。此外，本行根据监管及行内关联交易管理要求，分别针对公司条线、金市条线、零售条线、中后台条线制定了10项系统改造及OA流程优化方案，包括开发关联方查验、关联交易类型识别、优化关联方业务审批环节、开发存款类关联交易自动报表等，推动实现业务系统与关联交易系统的对接，在业务系统中嵌入关联方标识，提高关联方和关联交易自动化识别水平，将关联交易管理要求落实到各业务或管理系统中，进一步提升关联交易管理、关联方及关联交易数据报送的信息化水平。截至报告日，本行已完</w:t>
      </w:r>
      <w:r>
        <w:rPr>
          <w:rFonts w:hint="eastAsia" w:asciiTheme="minorEastAsia" w:hAnsiTheme="minorEastAsia" w:eastAsiaTheme="minorEastAsia" w:cstheme="minorEastAsia"/>
          <w:sz w:val="24"/>
          <w:szCs w:val="24"/>
          <w:highlight w:val="none"/>
          <w:lang w:val="en-US" w:eastAsia="zh-CN"/>
        </w:rPr>
        <w:t>成7项</w:t>
      </w:r>
      <w:r>
        <w:rPr>
          <w:rFonts w:hint="eastAsia" w:asciiTheme="minorEastAsia" w:hAnsiTheme="minorEastAsia" w:eastAsiaTheme="minorEastAsia" w:cstheme="minorEastAsia"/>
          <w:sz w:val="24"/>
          <w:szCs w:val="24"/>
          <w:lang w:val="en-US" w:eastAsia="zh-CN"/>
        </w:rPr>
        <w:t>系统改造及流程优化。</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200"/>
        <w:textAlignment w:val="auto"/>
        <w:rPr>
          <w:rFonts w:hint="eastAsia" w:asciiTheme="minorEastAsia" w:hAnsiTheme="minorEastAsia" w:eastAsiaTheme="minorEastAsia" w:cstheme="minorEastAsia"/>
          <w:b/>
          <w:bCs/>
          <w:sz w:val="24"/>
          <w:szCs w:val="24"/>
          <w:highlight w:val="none"/>
          <w:shd w:val="clear" w:color="auto" w:fill="FFFFFF"/>
        </w:rPr>
      </w:pPr>
      <w:r>
        <w:rPr>
          <w:rFonts w:hint="eastAsia" w:asciiTheme="minorEastAsia" w:hAnsiTheme="minorEastAsia" w:cstheme="minorEastAsia"/>
          <w:b/>
          <w:bCs/>
          <w:sz w:val="24"/>
          <w:szCs w:val="24"/>
          <w:highlight w:val="none"/>
          <w:shd w:val="clear" w:color="auto" w:fill="FFFFFF"/>
          <w:lang w:val="en-US" w:eastAsia="zh-CN"/>
        </w:rPr>
        <w:t>（二）</w:t>
      </w:r>
      <w:r>
        <w:rPr>
          <w:rFonts w:hint="eastAsia" w:asciiTheme="minorEastAsia" w:hAnsiTheme="minorEastAsia" w:eastAsiaTheme="minorEastAsia" w:cstheme="minorEastAsia"/>
          <w:b/>
          <w:bCs/>
          <w:sz w:val="24"/>
          <w:szCs w:val="24"/>
          <w:highlight w:val="none"/>
          <w:shd w:val="clear" w:color="auto" w:fill="FFFFFF"/>
          <w:lang w:val="en-US" w:eastAsia="zh-CN"/>
        </w:rPr>
        <w:t>充分发挥公司治理效能，切实</w:t>
      </w:r>
      <w:r>
        <w:rPr>
          <w:rFonts w:hint="eastAsia" w:asciiTheme="minorEastAsia" w:hAnsiTheme="minorEastAsia" w:eastAsiaTheme="minorEastAsia" w:cstheme="minorEastAsia"/>
          <w:b/>
          <w:bCs/>
          <w:sz w:val="24"/>
          <w:szCs w:val="24"/>
          <w:highlight w:val="none"/>
          <w:shd w:val="clear" w:color="auto" w:fill="FFFFFF"/>
        </w:rPr>
        <w:t>防范关联交易风险</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本行董监事会持续高度重视关联交易管理工作，勤勉尽责履行关联交易相关义务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报告期内，</w:t>
      </w:r>
      <w:r>
        <w:rPr>
          <w:rFonts w:hint="eastAsia" w:asciiTheme="minorEastAsia" w:hAnsiTheme="minorEastAsia" w:eastAsiaTheme="minorEastAsia" w:cstheme="minorEastAsia"/>
          <w:b/>
          <w:bCs/>
          <w:sz w:val="24"/>
          <w:szCs w:val="24"/>
          <w:lang w:val="en-US" w:eastAsia="zh-CN"/>
        </w:rPr>
        <w:t>董事会</w:t>
      </w:r>
      <w:r>
        <w:rPr>
          <w:rFonts w:hint="eastAsia" w:asciiTheme="minorEastAsia" w:hAnsiTheme="minorEastAsia" w:eastAsiaTheme="minorEastAsia" w:cstheme="minorEastAsia"/>
          <w:sz w:val="24"/>
          <w:szCs w:val="24"/>
          <w:lang w:val="en-US" w:eastAsia="zh-CN"/>
        </w:rPr>
        <w:t>共召开8次会议</w:t>
      </w:r>
      <w:r>
        <w:rPr>
          <w:rFonts w:hint="eastAsia" w:asciiTheme="minorEastAsia" w:hAnsiTheme="minorEastAsia" w:eastAsiaTheme="minorEastAsia" w:cstheme="minorEastAsia"/>
          <w:sz w:val="24"/>
          <w:szCs w:val="24"/>
        </w:rPr>
        <w:t>审议</w:t>
      </w:r>
      <w:r>
        <w:rPr>
          <w:rFonts w:hint="eastAsia" w:asciiTheme="minorEastAsia" w:hAnsiTheme="minorEastAsia" w:eastAsiaTheme="minorEastAsia" w:cstheme="minorEastAsia"/>
          <w:sz w:val="24"/>
          <w:szCs w:val="24"/>
          <w:lang w:val="en-US" w:eastAsia="zh-CN"/>
        </w:rPr>
        <w:t>有关关联交易制度修订、日常关联交易预计、关联交易管理年度专项报告、重大关联交易等议案，</w:t>
      </w:r>
      <w:r>
        <w:rPr>
          <w:rFonts w:hint="eastAsia" w:asciiTheme="minorEastAsia" w:hAnsiTheme="minorEastAsia" w:eastAsiaTheme="minorEastAsia" w:cstheme="minorEastAsia"/>
          <w:sz w:val="24"/>
          <w:szCs w:val="24"/>
        </w:rPr>
        <w:t>充分履行了关联交易事前审核和事后监督职责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对关联交易的实质性、公允性、合规性进行严格把关</w:t>
      </w:r>
      <w:r>
        <w:rPr>
          <w:rFonts w:hint="eastAsia" w:asciiTheme="minorEastAsia" w:hAnsiTheme="minorEastAsia" w:eastAsiaTheme="minorEastAsia" w:cstheme="minorEastAsia"/>
          <w:sz w:val="24"/>
          <w:szCs w:val="24"/>
          <w:lang w:eastAsia="zh-CN"/>
        </w:rPr>
        <w:t>。董事会表决关联交易议案时，关联董事回避表决，独立董事重点围绕定价等交易条件和审批程序充分发表独立意见，为董事会客观评估、有效决策关联交易发挥积极作用。</w:t>
      </w:r>
      <w:r>
        <w:rPr>
          <w:rFonts w:hint="eastAsia" w:asciiTheme="minorEastAsia" w:hAnsiTheme="minorEastAsia" w:eastAsiaTheme="minorEastAsia" w:cstheme="minorEastAsia"/>
          <w:b/>
          <w:bCs/>
          <w:sz w:val="24"/>
          <w:szCs w:val="24"/>
          <w:lang w:eastAsia="zh-CN"/>
        </w:rPr>
        <w:t>董事会风险控制与关联交易管理委员会</w:t>
      </w:r>
      <w:r>
        <w:rPr>
          <w:rFonts w:hint="eastAsia" w:asciiTheme="minorEastAsia" w:hAnsiTheme="minorEastAsia" w:eastAsiaTheme="minorEastAsia" w:cstheme="minorEastAsia"/>
          <w:b/>
          <w:bCs/>
          <w:sz w:val="24"/>
          <w:szCs w:val="24"/>
          <w:lang w:val="en-US" w:eastAsia="zh-CN"/>
        </w:rPr>
        <w:t>共</w:t>
      </w:r>
      <w:r>
        <w:rPr>
          <w:rFonts w:hint="eastAsia" w:asciiTheme="minorEastAsia" w:hAnsiTheme="minorEastAsia" w:eastAsiaTheme="minorEastAsia" w:cstheme="minorEastAsia"/>
          <w:b w:val="0"/>
          <w:bCs w:val="0"/>
          <w:sz w:val="24"/>
          <w:szCs w:val="24"/>
          <w:lang w:val="en-US" w:eastAsia="zh-CN"/>
        </w:rPr>
        <w:t>召开6次会议</w:t>
      </w:r>
      <w:r>
        <w:rPr>
          <w:rFonts w:hint="eastAsia" w:asciiTheme="minorEastAsia" w:hAnsiTheme="minorEastAsia" w:eastAsiaTheme="minorEastAsia" w:cstheme="minorEastAsia"/>
          <w:sz w:val="24"/>
          <w:szCs w:val="24"/>
          <w:lang w:val="en-US" w:eastAsia="zh-CN"/>
        </w:rPr>
        <w:t>预审重大关联交易、日常关联交易预计、年度专项报告、制度修订等议案，对关联交易的合规性、公允性和必要性出具意见。</w:t>
      </w:r>
      <w:r>
        <w:rPr>
          <w:rFonts w:hint="eastAsia" w:asciiTheme="minorEastAsia" w:hAnsiTheme="minorEastAsia" w:eastAsiaTheme="minorEastAsia" w:cstheme="minorEastAsia"/>
          <w:b/>
          <w:bCs/>
          <w:sz w:val="24"/>
          <w:szCs w:val="24"/>
          <w:lang w:val="en-US" w:eastAsia="zh-CN"/>
        </w:rPr>
        <w:t>监事会</w:t>
      </w:r>
      <w:r>
        <w:rPr>
          <w:rFonts w:hint="eastAsia" w:asciiTheme="minorEastAsia" w:hAnsiTheme="minorEastAsia" w:eastAsiaTheme="minorEastAsia" w:cstheme="minorEastAsia"/>
          <w:sz w:val="24"/>
          <w:szCs w:val="24"/>
          <w:lang w:val="en-US" w:eastAsia="zh-CN"/>
        </w:rPr>
        <w:t>通过列席董事会会议并审阅关联交易相关议案，履行监督职责。</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报告期内，本行各治理机构</w:t>
      </w:r>
      <w:r>
        <w:rPr>
          <w:rFonts w:hint="eastAsia" w:asciiTheme="minorEastAsia" w:hAnsiTheme="minorEastAsia" w:eastAsiaTheme="minorEastAsia" w:cstheme="minorEastAsia"/>
          <w:sz w:val="24"/>
          <w:szCs w:val="24"/>
        </w:rPr>
        <w:t>严格履行关联交易审议</w:t>
      </w:r>
      <w:r>
        <w:rPr>
          <w:rFonts w:hint="eastAsia" w:asciiTheme="minorEastAsia" w:hAnsiTheme="minorEastAsia" w:eastAsiaTheme="minorEastAsia" w:cstheme="minorEastAsia"/>
          <w:sz w:val="24"/>
          <w:szCs w:val="24"/>
          <w:lang w:val="en-US" w:eastAsia="zh-CN"/>
        </w:rPr>
        <w:t>要求：针对银保监口径的关联交易，重大关联交易由风险控制与关联交易管理委员会逐笔审查后提交董事会审批，并及时向银保监会报备；表决关联交易议案时，关联董事均回避表决，独立董事积极发表独立意见。一般关联交易按内部授权程序审批后，按季向风险控制与关联交易管理委员会备案。针对证监口径的关联交易，本行于2022年6月2日召开的2021年度股东大会对2022年度关联方拟发生的关联交易额度进行了预计，审议通过了《厦门银行股份有限公司关于2022年度日常关联交易预计额度的议案》。报告期内，本行关联交易业务均在预计额度范围内开展。</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200"/>
        <w:textAlignment w:val="auto"/>
        <w:rPr>
          <w:rFonts w:hint="eastAsia" w:asciiTheme="minorEastAsia" w:hAnsiTheme="minorEastAsia" w:eastAsiaTheme="minorEastAsia" w:cstheme="minorEastAsia"/>
          <w:b/>
          <w:bCs/>
          <w:sz w:val="24"/>
          <w:szCs w:val="24"/>
          <w:highlight w:val="none"/>
          <w:shd w:val="clear" w:color="auto" w:fill="FFFFFF"/>
          <w:lang w:val="en-US" w:eastAsia="zh-CN"/>
        </w:rPr>
      </w:pPr>
      <w:r>
        <w:rPr>
          <w:rFonts w:hint="eastAsia" w:asciiTheme="minorEastAsia" w:hAnsiTheme="minorEastAsia" w:cstheme="minorEastAsia"/>
          <w:b/>
          <w:bCs/>
          <w:sz w:val="24"/>
          <w:szCs w:val="24"/>
          <w:highlight w:val="none"/>
          <w:shd w:val="clear" w:color="auto" w:fill="FFFFFF"/>
          <w:lang w:val="en-US" w:eastAsia="zh-CN"/>
        </w:rPr>
        <w:t>（三）</w:t>
      </w:r>
      <w:r>
        <w:rPr>
          <w:rFonts w:hint="eastAsia" w:asciiTheme="minorEastAsia" w:hAnsiTheme="minorEastAsia" w:eastAsiaTheme="minorEastAsia" w:cstheme="minorEastAsia"/>
          <w:b/>
          <w:bCs/>
          <w:sz w:val="24"/>
          <w:szCs w:val="24"/>
          <w:highlight w:val="none"/>
          <w:shd w:val="clear" w:color="auto" w:fill="FFFFFF"/>
          <w:lang w:val="en-US" w:eastAsia="zh-CN"/>
        </w:rPr>
        <w:t>通过关联交易管理自查与审计提高管理合规性及有效性</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联交易的合规管理方面，本行根据监管要求，围绕“公司治理评估”“关联交易新规自查”“银行保险机构股权和关联交易常态化专项整治”“关联交易数据治理自查”等专项工作要求，发现问题并按季跟踪整改情况，持续加强风险防范。同时，每年持续开展关联交易年度专项审计，并向董事会和监事会报告审计结果，及时发现日常工作中存在的问题，提高关联交易管理的有效性。</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自查及审计，本行不存在实施违规关联交易、套取资金向大股东及其关联方输送利益等关联交易管理重点问题。针对审计及自查中发现的个别关联方识别不到位、个别关联方义务人出具的信息收集表关联关系填写不完整等情况在发现后均及时完成整改，并举一反三，对关联交易管理流程进行了提升优化。</w:t>
      </w:r>
    </w:p>
    <w:p>
      <w:pPr>
        <w:keepNext w:val="0"/>
        <w:keepLines w:val="0"/>
        <w:pageBreakBefore w:val="0"/>
        <w:widowControl w:val="0"/>
        <w:numPr>
          <w:ilvl w:val="0"/>
          <w:numId w:val="10"/>
        </w:numPr>
        <w:kinsoku/>
        <w:wordWrap/>
        <w:overflowPunct/>
        <w:topLinePunct w:val="0"/>
        <w:autoSpaceDE/>
        <w:autoSpaceDN/>
        <w:bidi w:val="0"/>
        <w:adjustRightInd/>
        <w:snapToGrid w:val="0"/>
        <w:spacing w:beforeAutospacing="0" w:afterAutospacing="0" w:line="360" w:lineRule="auto"/>
        <w:ind w:left="400" w:leftChars="0"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2022年度关联方及关联交易总体情况</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200"/>
        <w:textAlignment w:val="auto"/>
        <w:rPr>
          <w:rFonts w:hint="eastAsia" w:asciiTheme="minorEastAsia" w:hAnsiTheme="minorEastAsia" w:eastAsiaTheme="minorEastAsia" w:cstheme="minorEastAsia"/>
          <w:b/>
          <w:bCs/>
          <w:sz w:val="24"/>
          <w:szCs w:val="24"/>
          <w:highlight w:val="none"/>
          <w:shd w:val="clear" w:color="auto" w:fill="FFFFFF"/>
          <w:lang w:val="en-US" w:eastAsia="zh-CN"/>
        </w:rPr>
      </w:pPr>
      <w:r>
        <w:rPr>
          <w:rFonts w:hint="eastAsia" w:asciiTheme="minorEastAsia" w:hAnsiTheme="minorEastAsia" w:cstheme="minorEastAsia"/>
          <w:b/>
          <w:bCs/>
          <w:sz w:val="24"/>
          <w:szCs w:val="24"/>
          <w:highlight w:val="none"/>
          <w:shd w:val="clear" w:color="auto" w:fill="FFFFFF"/>
          <w:lang w:val="en-US" w:eastAsia="zh-CN"/>
        </w:rPr>
        <w:t>（一）</w:t>
      </w:r>
      <w:r>
        <w:rPr>
          <w:rFonts w:hint="eastAsia" w:asciiTheme="minorEastAsia" w:hAnsiTheme="minorEastAsia" w:eastAsiaTheme="minorEastAsia" w:cstheme="minorEastAsia"/>
          <w:b/>
          <w:bCs/>
          <w:sz w:val="24"/>
          <w:szCs w:val="24"/>
          <w:highlight w:val="none"/>
          <w:shd w:val="clear" w:color="auto" w:fill="FFFFFF"/>
          <w:lang w:val="en-US" w:eastAsia="zh-CN"/>
        </w:rPr>
        <w:t>关联方年末数据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截止2022年末，本行在银保监会口径下的关联方为2812个，其中关联自然人1617名，关联法人1195家；在证监会及企业会计准则口径下的关联方为1628个，其中关联自然人490名，关联法人1138家。本行关联法人主要包括持股5%以上主要股东及其关联方，向本行派驻董监高的法人股东及其关联方，本行董监高、具有大额授信、资产转移等业务审批决策权的人员及其近亲属控制或共同控制、施加重大影响的企业。本行关联自然人主要包括本行董监高、分行高级管理人员、具有大额授信、资产转移等业务审批决策权的人员及其近亲属，本行主要股东的控股自然人股东、董监高等。</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200"/>
        <w:textAlignment w:val="auto"/>
        <w:rPr>
          <w:rFonts w:hint="eastAsia" w:asciiTheme="minorEastAsia" w:hAnsiTheme="minorEastAsia" w:eastAsiaTheme="minorEastAsia" w:cstheme="minorEastAsia"/>
          <w:b/>
          <w:bCs/>
          <w:sz w:val="24"/>
          <w:szCs w:val="24"/>
          <w:highlight w:val="none"/>
          <w:shd w:val="clear" w:color="auto" w:fill="FFFFFF"/>
          <w:lang w:val="en-US" w:eastAsia="zh-CN"/>
        </w:rPr>
      </w:pPr>
      <w:r>
        <w:rPr>
          <w:rFonts w:hint="eastAsia" w:asciiTheme="minorEastAsia" w:hAnsiTheme="minorEastAsia" w:cstheme="minorEastAsia"/>
          <w:b/>
          <w:bCs/>
          <w:sz w:val="24"/>
          <w:szCs w:val="24"/>
          <w:highlight w:val="none"/>
          <w:shd w:val="clear" w:color="auto" w:fill="FFFFFF"/>
          <w:lang w:val="en-US" w:eastAsia="zh-CN"/>
        </w:rPr>
        <w:t>（二）</w:t>
      </w:r>
      <w:r>
        <w:rPr>
          <w:rFonts w:hint="eastAsia" w:asciiTheme="minorEastAsia" w:hAnsiTheme="minorEastAsia" w:eastAsiaTheme="minorEastAsia" w:cstheme="minorEastAsia"/>
          <w:b/>
          <w:bCs/>
          <w:sz w:val="24"/>
          <w:szCs w:val="24"/>
          <w:highlight w:val="none"/>
          <w:shd w:val="clear" w:color="auto" w:fill="FFFFFF"/>
          <w:lang w:val="en-US" w:eastAsia="zh-CN"/>
        </w:rPr>
        <w:t>关联交易年末数据</w:t>
      </w:r>
    </w:p>
    <w:p>
      <w:pPr>
        <w:keepNext w:val="0"/>
        <w:keepLines w:val="0"/>
        <w:pageBreakBefore w:val="0"/>
        <w:widowControl w:val="0"/>
        <w:numPr>
          <w:ilvl w:val="0"/>
          <w:numId w:val="11"/>
        </w:numPr>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授信类关联交易</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eastAsia="zh-CN"/>
        </w:rPr>
        <w:t>截至202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年末，</w:t>
      </w:r>
      <w:r>
        <w:rPr>
          <w:rFonts w:hint="eastAsia" w:asciiTheme="minorEastAsia" w:hAnsiTheme="minorEastAsia" w:eastAsiaTheme="minorEastAsia" w:cstheme="minorEastAsia"/>
          <w:sz w:val="24"/>
          <w:szCs w:val="24"/>
          <w:lang w:val="en-US" w:eastAsia="zh-CN"/>
        </w:rPr>
        <w:t>本行关联方授信余额情况如下：</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b/>
          <w:bCs/>
          <w:sz w:val="24"/>
          <w:szCs w:val="24"/>
          <w:lang w:val="en-US" w:eastAsia="zh-CN"/>
        </w:rPr>
        <w:t>2022年度关联方授信余额情况表</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30"/>
        <w:gridCol w:w="1752"/>
        <w:gridCol w:w="1722"/>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9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bCs/>
                <w:sz w:val="24"/>
                <w:szCs w:val="24"/>
                <w:lang w:val="en-US" w:eastAsia="zh-CN"/>
              </w:rPr>
              <w:t>关联方名称</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bCs/>
                <w:sz w:val="24"/>
                <w:szCs w:val="24"/>
                <w:lang w:val="en-US" w:eastAsia="zh-CN"/>
              </w:rPr>
              <w:t>授信类型</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期末余额敞口</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bCs/>
                <w:sz w:val="24"/>
                <w:szCs w:val="24"/>
                <w:lang w:val="en-US" w:eastAsia="zh-CN"/>
              </w:rPr>
              <w:t>（万元）</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jc w:val="center"/>
              <w:textAlignment w:val="auto"/>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bCs/>
                <w:sz w:val="24"/>
                <w:szCs w:val="24"/>
                <w:lang w:val="en-US" w:eastAsia="zh-CN"/>
              </w:rPr>
              <w:t>占资本净额比例（%）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9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福建海西金融租赁有限责任公司</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同业借款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41200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公司非保本理财产品进行的授信</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3000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银行承兑汇票</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5832.2764</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9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厦门金圆投资集团有限公司及其关联企业</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流动资金贷款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2577.7777</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银行保函</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color w:val="000000"/>
                <w:kern w:val="0"/>
                <w:sz w:val="24"/>
                <w:szCs w:val="24"/>
                <w:u w:val="none"/>
                <w:lang w:bidi="ar"/>
              </w:rPr>
              <w:t>15271.0241</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债券投资</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27484.5900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同业借款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40000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非保本理财产品</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4000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9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泉舜集团（厦门）房地产股份有限公司及其关联企业</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银行承兑汇票</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项目贷款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10256</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房地产开发贷款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56525</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大洲控股集团有限公司及其关联企业</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资产管理计划</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13926</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经营性物业贷款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7550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9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佛山电器照明股份有限公司及其关联企业</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流动资金贷款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8888</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9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福建七匹狼集团有限公司及其关联企业</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债券投资</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10220.1900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流动资金贷款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33000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厦门万舜文化传播有限公司</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流动资金贷款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厦门国贸集团股份有限公司</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银行承兑汇票</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3400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非保本理财产品</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10000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厦门国际物流港有限责任公司</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银行承兑汇票</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1073.1605</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流动资金贷款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2987.437</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厦门市思明区骆世闻茶叶店</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流动资金贷款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504</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厦门通邦贸易有限公司</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流动资金贷款</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360</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关联自然人</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贷款及信用卡</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sz w:val="24"/>
                <w:szCs w:val="24"/>
              </w:rPr>
              <w:t>16612</w:t>
            </w:r>
            <w:r>
              <w:rPr>
                <w:rFonts w:hint="eastAsia" w:asciiTheme="minorEastAsia" w:hAnsiTheme="minorEastAsia" w:eastAsiaTheme="minorEastAsia" w:cstheme="minorEastAsia"/>
                <w:sz w:val="24"/>
                <w:szCs w:val="24"/>
                <w:lang w:val="en-US" w:eastAsia="zh-CN"/>
              </w:rPr>
              <w:t>.8721</w:t>
            </w:r>
          </w:p>
        </w:tc>
        <w:tc>
          <w:tcPr>
            <w:tcW w:w="10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sz w:val="24"/>
                <w:szCs w:val="24"/>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9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color w:val="000000"/>
                <w:kern w:val="0"/>
                <w:sz w:val="24"/>
                <w:szCs w:val="24"/>
                <w:u w:val="none"/>
                <w:lang w:bidi="ar"/>
              </w:rPr>
              <w:t>315668.3311</w:t>
            </w:r>
          </w:p>
        </w:tc>
        <w:tc>
          <w:tcPr>
            <w:tcW w:w="10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10.57</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eastAsia="zh-CN"/>
        </w:rPr>
        <w:t>表内外授信类关联交易净额（含表内贷款、表内投资及表外授信，扣除保证金、银行存单、国债）</w:t>
      </w:r>
      <w:r>
        <w:rPr>
          <w:rFonts w:hint="eastAsia" w:asciiTheme="minorEastAsia" w:hAnsiTheme="minorEastAsia" w:eastAsiaTheme="minorEastAsia" w:cstheme="minorEastAsia"/>
          <w:sz w:val="24"/>
          <w:szCs w:val="24"/>
          <w:lang w:val="en-US" w:eastAsia="zh-CN"/>
        </w:rPr>
        <w:t>为315668.3311万</w:t>
      </w:r>
      <w:r>
        <w:rPr>
          <w:rFonts w:hint="eastAsia" w:asciiTheme="minorEastAsia" w:hAnsiTheme="minorEastAsia" w:eastAsiaTheme="minorEastAsia" w:cstheme="minorEastAsia"/>
          <w:sz w:val="24"/>
          <w:szCs w:val="24"/>
          <w:lang w:val="zh-CN" w:eastAsia="zh-CN"/>
        </w:rPr>
        <w:t>元，占</w:t>
      </w:r>
      <w:r>
        <w:rPr>
          <w:rFonts w:hint="eastAsia" w:asciiTheme="minorEastAsia" w:hAnsiTheme="minorEastAsia" w:eastAsiaTheme="minorEastAsia" w:cstheme="minorEastAsia"/>
          <w:sz w:val="24"/>
          <w:szCs w:val="24"/>
          <w:lang w:val="en-US" w:eastAsia="zh-CN"/>
        </w:rPr>
        <w:t>本行</w:t>
      </w:r>
      <w:r>
        <w:rPr>
          <w:rFonts w:hint="eastAsia" w:asciiTheme="minorEastAsia" w:hAnsiTheme="minorEastAsia" w:eastAsiaTheme="minorEastAsia" w:cstheme="minorEastAsia"/>
          <w:sz w:val="24"/>
          <w:szCs w:val="24"/>
          <w:lang w:val="zh-CN" w:eastAsia="zh-CN"/>
        </w:rPr>
        <w:t>资本净额</w:t>
      </w:r>
      <w:r>
        <w:rPr>
          <w:rFonts w:hint="eastAsia" w:asciiTheme="minorEastAsia" w:hAnsiTheme="minorEastAsia" w:eastAsiaTheme="minorEastAsia" w:cstheme="minorEastAsia"/>
          <w:sz w:val="24"/>
          <w:szCs w:val="24"/>
          <w:lang w:val="en-US" w:eastAsia="zh-CN"/>
        </w:rPr>
        <w:t>的10.57</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占比未超过50%的监管限额要求。</w:t>
      </w:r>
    </w:p>
    <w:p>
      <w:pPr>
        <w:keepNext w:val="0"/>
        <w:keepLines w:val="0"/>
        <w:pageBreakBefore w:val="0"/>
        <w:widowControl w:val="0"/>
        <w:numPr>
          <w:ilvl w:val="0"/>
          <w:numId w:val="11"/>
        </w:numPr>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非授信关联交易</w:t>
      </w:r>
    </w:p>
    <w:tbl>
      <w:tblPr>
        <w:tblStyle w:val="17"/>
        <w:tblW w:w="8459" w:type="dxa"/>
        <w:tblCellSpacing w:w="0" w:type="dxa"/>
        <w:tblInd w:w="3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0" w:type="dxa"/>
          <w:bottom w:w="0" w:type="dxa"/>
          <w:right w:w="0" w:type="dxa"/>
        </w:tblCellMar>
      </w:tblPr>
      <w:tblGrid>
        <w:gridCol w:w="4169"/>
        <w:gridCol w:w="42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PrEx>
        <w:trPr>
          <w:trHeight w:val="23" w:hRule="atLeast"/>
          <w:tblCellSpacing w:w="0" w:type="dxa"/>
        </w:trPr>
        <w:tc>
          <w:tcPr>
            <w:tcW w:w="4169"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交易类型</w:t>
            </w:r>
          </w:p>
        </w:tc>
        <w:tc>
          <w:tcPr>
            <w:tcW w:w="4290"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交易金额/余额</w:t>
            </w:r>
            <w:r>
              <w:rPr>
                <w:rFonts w:hint="eastAsia" w:asciiTheme="minorEastAsia" w:hAnsiTheme="minorEastAsia" w:eastAsiaTheme="minorEastAsia" w:cstheme="minorEastAsia"/>
                <w:b/>
                <w:bCs/>
                <w:color w:val="auto"/>
                <w:sz w:val="24"/>
                <w:szCs w:val="24"/>
              </w:rPr>
              <w:t>（单位：万元）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3" w:hRule="atLeast"/>
          <w:tblCellSpacing w:w="0" w:type="dxa"/>
        </w:trPr>
        <w:tc>
          <w:tcPr>
            <w:tcW w:w="4169"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1</w:t>
            </w:r>
            <w:r>
              <w:rPr>
                <w:rFonts w:hint="eastAsia" w:asciiTheme="minorEastAsia" w:hAnsiTheme="minorEastAsia" w:eastAsiaTheme="minorEastAsia" w:cstheme="minorEastAsia"/>
                <w:color w:val="000000"/>
                <w:sz w:val="24"/>
                <w:szCs w:val="24"/>
              </w:rPr>
              <w:t>.资产转移类关联交易金额-转入</w:t>
            </w:r>
          </w:p>
        </w:tc>
        <w:tc>
          <w:tcPr>
            <w:tcW w:w="4290"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3" w:hRule="atLeast"/>
          <w:tblCellSpacing w:w="0" w:type="dxa"/>
        </w:trPr>
        <w:tc>
          <w:tcPr>
            <w:tcW w:w="4169"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2</w:t>
            </w:r>
            <w:r>
              <w:rPr>
                <w:rFonts w:hint="eastAsia" w:asciiTheme="minorEastAsia" w:hAnsiTheme="minorEastAsia" w:eastAsiaTheme="minorEastAsia" w:cstheme="minorEastAsia"/>
                <w:color w:val="000000"/>
                <w:sz w:val="24"/>
                <w:szCs w:val="24"/>
              </w:rPr>
              <w:t>.资产转移类关联交易金额-转出</w:t>
            </w:r>
          </w:p>
        </w:tc>
        <w:tc>
          <w:tcPr>
            <w:tcW w:w="4290"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3514.2786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PrEx>
        <w:trPr>
          <w:trHeight w:val="23" w:hRule="atLeast"/>
          <w:tblCellSpacing w:w="0" w:type="dxa"/>
        </w:trPr>
        <w:tc>
          <w:tcPr>
            <w:tcW w:w="4169"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3</w:t>
            </w:r>
            <w:r>
              <w:rPr>
                <w:rFonts w:hint="eastAsia" w:asciiTheme="minorEastAsia" w:hAnsiTheme="minorEastAsia" w:eastAsiaTheme="minorEastAsia" w:cstheme="minorEastAsia"/>
                <w:color w:val="000000"/>
                <w:sz w:val="24"/>
                <w:szCs w:val="24"/>
              </w:rPr>
              <w:t>.服务类关联交易金额-提供服务</w:t>
            </w:r>
          </w:p>
        </w:tc>
        <w:tc>
          <w:tcPr>
            <w:tcW w:w="4290"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3" w:hRule="atLeast"/>
          <w:tblCellSpacing w:w="0" w:type="dxa"/>
        </w:trPr>
        <w:tc>
          <w:tcPr>
            <w:tcW w:w="4169"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4</w:t>
            </w:r>
            <w:r>
              <w:rPr>
                <w:rFonts w:hint="eastAsia" w:asciiTheme="minorEastAsia" w:hAnsiTheme="minorEastAsia" w:eastAsiaTheme="minorEastAsia" w:cstheme="minorEastAsia"/>
                <w:color w:val="000000"/>
                <w:sz w:val="24"/>
                <w:szCs w:val="24"/>
              </w:rPr>
              <w:t>.服务类关联交易金额-接受服务</w:t>
            </w:r>
          </w:p>
        </w:tc>
        <w:tc>
          <w:tcPr>
            <w:tcW w:w="4290"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883.9800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3" w:hRule="atLeast"/>
          <w:tblCellSpacing w:w="0" w:type="dxa"/>
        </w:trPr>
        <w:tc>
          <w:tcPr>
            <w:tcW w:w="4169" w:type="dxa"/>
            <w:tcBorders>
              <w:tl2br w:val="nil"/>
              <w:tr2bl w:val="nil"/>
            </w:tcBorders>
            <w:shd w:val="clear" w:color="auto" w:fill="auto"/>
            <w:tcMar>
              <w:top w:w="72" w:type="dxa"/>
              <w:left w:w="144" w:type="dxa"/>
              <w:bottom w:w="72" w:type="dxa"/>
              <w:right w:w="144"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5</w:t>
            </w:r>
            <w:r>
              <w:rPr>
                <w:rFonts w:hint="eastAsia" w:asciiTheme="minorEastAsia" w:hAnsiTheme="minorEastAsia" w:eastAsiaTheme="minorEastAsia" w:cstheme="minorEastAsia"/>
                <w:color w:val="000000"/>
                <w:sz w:val="24"/>
                <w:szCs w:val="24"/>
              </w:rPr>
              <w:t>.存款和其他类型</w:t>
            </w:r>
          </w:p>
        </w:tc>
        <w:tc>
          <w:tcPr>
            <w:tcW w:w="4290" w:type="dxa"/>
            <w:tcBorders>
              <w:tl2br w:val="nil"/>
              <w:tr2bl w:val="nil"/>
            </w:tcBorders>
            <w:shd w:val="clear" w:color="auto" w:fill="auto"/>
            <w:tcMar>
              <w:top w:w="20" w:type="dxa"/>
              <w:left w:w="20" w:type="dxa"/>
              <w:bottom w:w="72" w:type="dxa"/>
              <w:right w:w="2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136799.9025</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p>
      <w:pPr>
        <w:keepNext w:val="0"/>
        <w:keepLines w:val="0"/>
        <w:pageBreakBefore w:val="0"/>
        <w:widowControl w:val="0"/>
        <w:numPr>
          <w:ilvl w:val="-1"/>
          <w:numId w:val="0"/>
        </w:numPr>
        <w:kinsoku/>
        <w:wordWrap/>
        <w:overflowPunct/>
        <w:topLinePunct w:val="0"/>
        <w:autoSpaceDE/>
        <w:autoSpaceDN/>
        <w:bidi w:val="0"/>
        <w:adjustRightInd/>
        <w:snapToGrid w:val="0"/>
        <w:spacing w:beforeAutospacing="0" w:afterAutospacing="0" w:line="360" w:lineRule="auto"/>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（1）非授信类关联交易数据（存款除外）不含根据《银行保险机构关联交易管理办法》第五十七条规定免予披露的相关交易金额。</w:t>
      </w:r>
    </w:p>
    <w:p>
      <w:pPr>
        <w:keepNext w:val="0"/>
        <w:keepLines w:val="0"/>
        <w:pageBreakBefore w:val="0"/>
        <w:widowControl w:val="0"/>
        <w:numPr>
          <w:ilvl w:val="-1"/>
          <w:numId w:val="0"/>
        </w:numPr>
        <w:kinsoku/>
        <w:wordWrap/>
        <w:overflowPunct/>
        <w:topLinePunct w:val="0"/>
        <w:autoSpaceDE/>
        <w:autoSpaceDN/>
        <w:bidi w:val="0"/>
        <w:adjustRightInd/>
        <w:snapToGrid w:val="0"/>
        <w:spacing w:beforeAutospacing="0" w:afterAutospacing="0" w:line="360" w:lineRule="auto"/>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（2）关于</w:t>
      </w:r>
      <w:r>
        <w:rPr>
          <w:rFonts w:hint="eastAsia" w:asciiTheme="minorEastAsia" w:hAnsiTheme="minorEastAsia" w:eastAsiaTheme="minorEastAsia" w:cstheme="minorEastAsia"/>
          <w:color w:val="000000"/>
          <w:sz w:val="24"/>
          <w:szCs w:val="24"/>
        </w:rPr>
        <w:t>资产转移类关联交易</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转出</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的说明：本行与关联方已签署《房产预约买卖合同》，约定交易价格为3514.2786万元。如因客观原因无法交易过户，交易将调整为向关联方提供租赁服务的形式进行。</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200"/>
        <w:textAlignment w:val="auto"/>
        <w:rPr>
          <w:rFonts w:hint="eastAsia" w:asciiTheme="minorEastAsia" w:hAnsiTheme="minorEastAsia" w:eastAsiaTheme="minorEastAsia" w:cstheme="minorEastAsia"/>
          <w:b/>
          <w:bCs/>
          <w:sz w:val="24"/>
          <w:szCs w:val="24"/>
          <w:highlight w:val="none"/>
          <w:shd w:val="clear" w:color="auto" w:fill="FFFFFF"/>
          <w:lang w:val="en-US" w:eastAsia="zh-CN"/>
        </w:rPr>
      </w:pPr>
      <w:r>
        <w:rPr>
          <w:rFonts w:hint="eastAsia" w:asciiTheme="minorEastAsia" w:hAnsiTheme="minorEastAsia" w:cstheme="minorEastAsia"/>
          <w:b/>
          <w:bCs/>
          <w:sz w:val="24"/>
          <w:szCs w:val="24"/>
          <w:highlight w:val="none"/>
          <w:shd w:val="clear" w:color="auto" w:fill="FFFFFF"/>
          <w:lang w:eastAsia="zh-CN"/>
        </w:rPr>
        <w:t>（</w:t>
      </w:r>
      <w:r>
        <w:rPr>
          <w:rFonts w:hint="eastAsia" w:asciiTheme="minorEastAsia" w:hAnsiTheme="minorEastAsia" w:cstheme="minorEastAsia"/>
          <w:b/>
          <w:bCs/>
          <w:sz w:val="24"/>
          <w:szCs w:val="24"/>
          <w:highlight w:val="none"/>
          <w:shd w:val="clear" w:color="auto" w:fill="FFFFFF"/>
          <w:lang w:val="en-US" w:eastAsia="zh-CN"/>
        </w:rPr>
        <w:t>三</w:t>
      </w:r>
      <w:r>
        <w:rPr>
          <w:rFonts w:hint="eastAsia" w:asciiTheme="minorEastAsia" w:hAnsiTheme="minorEastAsia" w:cstheme="minorEastAsia"/>
          <w:b/>
          <w:bCs/>
          <w:sz w:val="24"/>
          <w:szCs w:val="24"/>
          <w:highlight w:val="none"/>
          <w:shd w:val="clear" w:color="auto" w:fill="FFFFFF"/>
          <w:lang w:eastAsia="zh-CN"/>
        </w:rPr>
        <w:t>）</w:t>
      </w:r>
      <w:r>
        <w:rPr>
          <w:rFonts w:hint="eastAsia" w:asciiTheme="minorEastAsia" w:hAnsiTheme="minorEastAsia" w:eastAsiaTheme="minorEastAsia" w:cstheme="minorEastAsia"/>
          <w:b/>
          <w:bCs/>
          <w:sz w:val="24"/>
          <w:szCs w:val="24"/>
          <w:highlight w:val="none"/>
          <w:shd w:val="clear" w:color="auto" w:fill="FFFFFF"/>
        </w:rPr>
        <w:t>关联交易定价公允性说明</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2022年，本行制定了《厦门银行股份有限公司关联交易定价管理办法》，进一步完善关联交易定价机制，规范关联交易行为。本行</w:t>
      </w:r>
      <w:r>
        <w:rPr>
          <w:rFonts w:hint="eastAsia" w:asciiTheme="minorEastAsia" w:hAnsiTheme="minorEastAsia" w:eastAsiaTheme="minorEastAsia" w:cstheme="minorEastAsia"/>
          <w:sz w:val="24"/>
          <w:szCs w:val="24"/>
          <w:lang w:val="zh-CN" w:eastAsia="zh-CN"/>
        </w:rPr>
        <w:t>关联交易</w:t>
      </w:r>
      <w:r>
        <w:rPr>
          <w:rFonts w:hint="eastAsia" w:asciiTheme="minorEastAsia" w:hAnsiTheme="minorEastAsia" w:eastAsiaTheme="minorEastAsia" w:cstheme="minorEastAsia"/>
          <w:sz w:val="24"/>
          <w:szCs w:val="24"/>
          <w:lang w:val="en-US" w:eastAsia="zh-CN"/>
        </w:rPr>
        <w:t>定价均遵循市场价格原则，按照与关联交易类型的不同确定定价，并在合同协议中明确。针对授信类关联交易，本行根据授信定价管理政策确定价格；针对非授信类关联交易，本行参照同类服务市场价格进行定价。</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报告期内，本行关联交易</w:t>
      </w:r>
      <w:r>
        <w:rPr>
          <w:rFonts w:hint="eastAsia" w:asciiTheme="minorEastAsia" w:hAnsiTheme="minorEastAsia" w:eastAsiaTheme="minorEastAsia" w:cstheme="minorEastAsia"/>
          <w:sz w:val="24"/>
          <w:szCs w:val="24"/>
          <w:lang w:val="zh-CN" w:eastAsia="zh-CN"/>
        </w:rPr>
        <w:t>均</w:t>
      </w:r>
      <w:r>
        <w:rPr>
          <w:rFonts w:hint="eastAsia" w:asciiTheme="minorEastAsia" w:hAnsiTheme="minorEastAsia" w:eastAsiaTheme="minorEastAsia" w:cstheme="minorEastAsia"/>
          <w:sz w:val="24"/>
          <w:szCs w:val="24"/>
          <w:lang w:val="en-US" w:eastAsia="zh-CN"/>
        </w:rPr>
        <w:t>以不优于对非关联方同类交易的条件进行，做到公正、公平、公开，不存在给其他股东合法利益造成损害的情形，具备合法性与公允性。</w:t>
      </w:r>
    </w:p>
    <w:p>
      <w:pPr>
        <w:pStyle w:val="24"/>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本行将持续根据关联交易管理相关监管要求及指引，结合业务发展实际修订关联交易管理制度，完善关联交易管理架构体系、优化管理流程，加强关联交易管理自查的力度和深度，贯彻落实中国银保监会下发的《关于加强银行保险机构股权和关联交易数据治理工作的通知》，将关联交易数据治理工作作为2023年的重点工作实施。本行将进一步优化关联方认定标准体系，推动各业务部门梳理流程、修订制度、优化系统，全面提升本行关联交易管理水平和质效，切实控制关联交易风险，保障股东、消费者等利益相关方的利益。</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sz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本议案已经第八届董事会第</w:t>
      </w:r>
      <w:r>
        <w:rPr>
          <w:rFonts w:hint="eastAsia" w:ascii="宋体" w:hAnsi="宋体" w:eastAsia="宋体" w:cs="宋体"/>
          <w:sz w:val="24"/>
          <w:lang w:val="en-US" w:eastAsia="zh-CN"/>
        </w:rPr>
        <w:t>三十一</w:t>
      </w:r>
      <w:r>
        <w:rPr>
          <w:rFonts w:hint="eastAsia" w:ascii="宋体" w:hAnsi="宋体" w:eastAsia="宋体" w:cs="宋体"/>
          <w:sz w:val="24"/>
        </w:rPr>
        <w:t>次会议、第八届监事会第</w:t>
      </w:r>
      <w:r>
        <w:rPr>
          <w:rFonts w:hint="eastAsia" w:ascii="宋体" w:hAnsi="宋体" w:eastAsia="宋体" w:cs="宋体"/>
          <w:sz w:val="24"/>
          <w:lang w:val="en-US" w:eastAsia="zh-CN"/>
        </w:rPr>
        <w:t>二十</w:t>
      </w:r>
      <w:r>
        <w:rPr>
          <w:rFonts w:hint="eastAsia" w:ascii="宋体" w:hAnsi="宋体" w:eastAsia="宋体" w:cs="宋体"/>
          <w:sz w:val="24"/>
        </w:rPr>
        <w:t>次会议审议通过。特此报告。</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Ansi="宋体" w:eastAsia="宋体" w:cs="宋体"/>
          <w:sz w:val="24"/>
          <w:szCs w:val="24"/>
        </w:rPr>
      </w:pPr>
      <w:r>
        <w:rPr>
          <w:rFonts w:hint="eastAsia" w:hAnsi="宋体" w:eastAsia="宋体" w:cs="宋体"/>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hAnsi="宋体" w:eastAsia="宋体" w:cs="宋体"/>
          <w:sz w:val="24"/>
          <w:szCs w:val="24"/>
        </w:rPr>
        <w:t>202</w:t>
      </w:r>
      <w:r>
        <w:rPr>
          <w:rFonts w:hint="eastAsia" w:hAnsi="宋体" w:eastAsia="宋体" w:cs="宋体"/>
          <w:sz w:val="24"/>
          <w:szCs w:val="24"/>
          <w:lang w:val="en-US" w:eastAsia="zh-CN"/>
        </w:rPr>
        <w:t>3</w:t>
      </w:r>
      <w:r>
        <w:rPr>
          <w:rFonts w:hint="eastAsia" w:hAnsi="宋体" w:eastAsia="宋体" w:cs="宋体"/>
          <w:sz w:val="24"/>
          <w:szCs w:val="24"/>
        </w:rPr>
        <w:t>年</w:t>
      </w:r>
      <w:r>
        <w:rPr>
          <w:rFonts w:hint="eastAsia" w:hAnsi="宋体" w:eastAsia="宋体" w:cs="宋体"/>
          <w:sz w:val="24"/>
          <w:szCs w:val="24"/>
          <w:lang w:val="en-US" w:eastAsia="zh-CN"/>
        </w:rPr>
        <w:t>5</w:t>
      </w:r>
      <w:r>
        <w:rPr>
          <w:rFonts w:hint="eastAsia" w:hAnsi="宋体" w:eastAsia="宋体" w:cs="宋体"/>
          <w:sz w:val="24"/>
          <w:szCs w:val="24"/>
        </w:rPr>
        <w:t>月</w:t>
      </w:r>
      <w:r>
        <w:rPr>
          <w:rFonts w:hint="eastAsia" w:hAnsi="宋体" w:eastAsia="宋体" w:cs="宋体"/>
          <w:sz w:val="24"/>
          <w:szCs w:val="24"/>
          <w:lang w:val="en-US" w:eastAsia="zh-CN"/>
        </w:rPr>
        <w:t>18</w:t>
      </w:r>
      <w:r>
        <w:rPr>
          <w:rFonts w:hint="eastAsia" w:hAnsi="宋体" w:eastAsia="宋体" w:cs="宋体"/>
          <w:sz w:val="24"/>
          <w:szCs w:val="24"/>
        </w:rPr>
        <w:t>日</w:t>
      </w:r>
    </w:p>
    <w:p>
      <w:pPr>
        <w:rPr>
          <w:rFonts w:hint="default"/>
          <w:lang w:val="en-US" w:eastAsia="zh-CN"/>
        </w:rPr>
      </w:pPr>
      <w:r>
        <w:rPr>
          <w:rFonts w:hint="default"/>
          <w:lang w:val="en-US" w:eastAsia="zh-CN"/>
        </w:rP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14"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报告3</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70528;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FrsVmwVAgAARQ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报告3</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厦门银行股份有限公司2022年度董事会及董事履职评价报告</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 w:val="24"/>
        </w:rPr>
      </w:pPr>
      <w:r>
        <w:rPr>
          <w:rFonts w:hint="eastAsia" w:ascii="宋体" w:hAnsi="宋体" w:eastAsia="宋体" w:cs="宋体"/>
          <w:bCs/>
          <w:color w:val="000000"/>
          <w:kern w:val="36"/>
          <w:sz w:val="24"/>
        </w:rPr>
        <w:t>尊敬的各位</w:t>
      </w:r>
      <w:r>
        <w:rPr>
          <w:rFonts w:hint="eastAsia" w:ascii="宋体" w:hAnsi="宋体" w:eastAsia="宋体" w:cs="宋体"/>
          <w:sz w:val="24"/>
        </w:rPr>
        <w:t>股东</w:t>
      </w:r>
      <w:r>
        <w:rPr>
          <w:rFonts w:hint="eastAsia" w:ascii="宋体" w:hAnsi="宋体" w:eastAsia="宋体" w:cs="宋体"/>
          <w:bCs/>
          <w:color w:val="000000"/>
          <w:kern w:val="36"/>
          <w:sz w:val="24"/>
        </w:rPr>
        <w:t>：</w:t>
      </w:r>
    </w:p>
    <w:p>
      <w:pPr>
        <w:snapToGrid w:val="0"/>
        <w:spacing w:line="360" w:lineRule="auto"/>
        <w:ind w:firstLine="555"/>
        <w:rPr>
          <w:rFonts w:ascii="宋体" w:hAnsi="宋体"/>
          <w:sz w:val="24"/>
        </w:rPr>
      </w:pPr>
      <w:r>
        <w:rPr>
          <w:rFonts w:hint="eastAsia" w:ascii="宋体" w:hAnsi="宋体"/>
          <w:sz w:val="24"/>
        </w:rPr>
        <w:t>根据中国银保监会《银行保险机构公司治理准则》《商业银行监事会工作指引》《银行保险机构董事监事履职评价办法（试行）》以及《厦门银行股份有限公司董事会和董事履职评价办法》（</w:t>
      </w:r>
      <w:r>
        <w:rPr>
          <w:rFonts w:hint="eastAsia" w:ascii="宋体" w:hAnsi="宋体"/>
          <w:sz w:val="24"/>
          <w:lang w:val="en-US" w:eastAsia="zh-CN"/>
        </w:rPr>
        <w:t>以下简</w:t>
      </w:r>
      <w:r>
        <w:rPr>
          <w:rFonts w:hint="eastAsia" w:ascii="宋体" w:hAnsi="宋体"/>
          <w:sz w:val="24"/>
        </w:rPr>
        <w:t>称《“履职评价办法”》）的规定，厦门银行股份有限公司（</w:t>
      </w:r>
      <w:r>
        <w:rPr>
          <w:rFonts w:hint="eastAsia" w:ascii="宋体" w:hAnsi="宋体"/>
          <w:sz w:val="24"/>
          <w:lang w:val="en-US" w:eastAsia="zh-CN"/>
        </w:rPr>
        <w:t>以下简</w:t>
      </w:r>
      <w:r>
        <w:rPr>
          <w:rFonts w:hint="eastAsia" w:ascii="宋体" w:hAnsi="宋体"/>
          <w:sz w:val="24"/>
        </w:rPr>
        <w:t>称“公司”）监事会于202</w:t>
      </w:r>
      <w:r>
        <w:rPr>
          <w:rFonts w:hint="eastAsia" w:ascii="宋体" w:hAnsi="宋体"/>
          <w:sz w:val="24"/>
          <w:lang w:val="en-US" w:eastAsia="zh-CN"/>
        </w:rPr>
        <w:t>3</w:t>
      </w:r>
      <w:r>
        <w:rPr>
          <w:rFonts w:hint="eastAsia" w:ascii="宋体" w:hAnsi="宋体"/>
          <w:sz w:val="24"/>
        </w:rPr>
        <w:t>年</w:t>
      </w:r>
      <w:r>
        <w:rPr>
          <w:rFonts w:ascii="宋体" w:hAnsi="宋体"/>
          <w:sz w:val="24"/>
        </w:rPr>
        <w:t>1</w:t>
      </w:r>
      <w:r>
        <w:rPr>
          <w:rFonts w:hint="eastAsia" w:ascii="宋体" w:hAnsi="宋体"/>
          <w:sz w:val="24"/>
        </w:rPr>
        <w:t>月至</w:t>
      </w:r>
      <w:r>
        <w:rPr>
          <w:rFonts w:ascii="宋体" w:hAnsi="宋体"/>
          <w:sz w:val="24"/>
        </w:rPr>
        <w:t>4</w:t>
      </w:r>
      <w:r>
        <w:rPr>
          <w:rFonts w:hint="eastAsia" w:ascii="宋体" w:hAnsi="宋体"/>
          <w:sz w:val="24"/>
        </w:rPr>
        <w:t>月组织开展了董事会及董事202</w:t>
      </w:r>
      <w:r>
        <w:rPr>
          <w:rFonts w:hint="eastAsia" w:ascii="宋体" w:hAnsi="宋体"/>
          <w:sz w:val="24"/>
          <w:lang w:val="en-US" w:eastAsia="zh-CN"/>
        </w:rPr>
        <w:t>2</w:t>
      </w:r>
      <w:r>
        <w:rPr>
          <w:rFonts w:hint="eastAsia" w:ascii="宋体" w:hAnsi="宋体"/>
          <w:sz w:val="24"/>
        </w:rPr>
        <w:t>年度履职评价工作，现将有关情况报告如下：</w:t>
      </w:r>
    </w:p>
    <w:p>
      <w:pPr>
        <w:pStyle w:val="30"/>
        <w:snapToGrid w:val="0"/>
        <w:spacing w:line="360" w:lineRule="auto"/>
        <w:ind w:left="556" w:firstLine="0" w:firstLineChars="0"/>
        <w:rPr>
          <w:rFonts w:ascii="宋体" w:hAnsi="宋体"/>
          <w:b/>
          <w:sz w:val="24"/>
        </w:rPr>
      </w:pPr>
      <w:r>
        <w:rPr>
          <w:rFonts w:hint="eastAsia" w:ascii="宋体" w:hAnsi="宋体"/>
          <w:b/>
          <w:sz w:val="24"/>
        </w:rPr>
        <w:t>一、履职评价工作开展情况</w:t>
      </w:r>
    </w:p>
    <w:p>
      <w:pPr>
        <w:pStyle w:val="30"/>
        <w:snapToGrid w:val="0"/>
        <w:spacing w:line="360" w:lineRule="auto"/>
        <w:ind w:left="556" w:firstLine="0" w:firstLineChars="0"/>
        <w:rPr>
          <w:rFonts w:ascii="宋体" w:hAnsi="宋体"/>
          <w:b/>
          <w:sz w:val="24"/>
        </w:rPr>
      </w:pPr>
      <w:r>
        <w:rPr>
          <w:rFonts w:hint="eastAsia" w:ascii="宋体" w:hAnsi="宋体"/>
          <w:b/>
          <w:sz w:val="24"/>
        </w:rPr>
        <w:t>（一）履职评价对象及内容</w:t>
      </w:r>
    </w:p>
    <w:p>
      <w:pPr>
        <w:snapToGrid w:val="0"/>
        <w:spacing w:line="360" w:lineRule="auto"/>
        <w:ind w:firstLine="480" w:firstLineChars="200"/>
        <w:rPr>
          <w:rFonts w:ascii="宋体" w:hAnsi="宋体"/>
          <w:sz w:val="24"/>
        </w:rPr>
      </w:pPr>
      <w:r>
        <w:rPr>
          <w:rFonts w:hint="eastAsia" w:ascii="宋体" w:hAnsi="宋体"/>
          <w:sz w:val="24"/>
        </w:rPr>
        <w:t>履职评价对象为</w:t>
      </w:r>
      <w:r>
        <w:rPr>
          <w:rFonts w:hint="eastAsia" w:ascii="宋体" w:hAnsi="宋体"/>
          <w:sz w:val="24"/>
          <w:lang w:eastAsia="zh-CN"/>
        </w:rPr>
        <w:t>公司</w:t>
      </w:r>
      <w:r>
        <w:rPr>
          <w:rFonts w:hint="eastAsia" w:ascii="宋体" w:hAnsi="宋体"/>
          <w:sz w:val="24"/>
        </w:rPr>
        <w:t>第八届董事会及董事。对董事会履职评价的重点是董事会运作的规范性和有效性等方面</w:t>
      </w:r>
      <w:r>
        <w:rPr>
          <w:rFonts w:hint="eastAsia" w:ascii="宋体" w:hAnsi="宋体"/>
          <w:sz w:val="24"/>
          <w:lang w:eastAsia="zh-CN"/>
        </w:rPr>
        <w:t>。</w:t>
      </w:r>
      <w:r>
        <w:rPr>
          <w:rFonts w:hint="eastAsia" w:ascii="宋体" w:hAnsi="宋体"/>
          <w:sz w:val="24"/>
        </w:rPr>
        <w:t>对董事履职评价主要包括履行忠实义务、履行勤勉义务、履职专业性、履职独立性与道德水准、履职合规性五个维度，并结合董事类型特点以及其在董事会专门委员会中的任职情况，重点关注董事会及董事的日常履职行为。</w:t>
      </w:r>
    </w:p>
    <w:p>
      <w:pPr>
        <w:pStyle w:val="30"/>
        <w:snapToGrid w:val="0"/>
        <w:spacing w:line="360" w:lineRule="auto"/>
        <w:ind w:left="556" w:firstLine="0" w:firstLineChars="0"/>
        <w:rPr>
          <w:rFonts w:ascii="宋体" w:hAnsi="宋体"/>
          <w:b/>
          <w:sz w:val="24"/>
        </w:rPr>
      </w:pPr>
      <w:r>
        <w:rPr>
          <w:rFonts w:hint="eastAsia" w:ascii="宋体" w:hAnsi="宋体"/>
          <w:b/>
          <w:sz w:val="24"/>
        </w:rPr>
        <w:t>（二）评价程序和方法</w:t>
      </w:r>
    </w:p>
    <w:p>
      <w:pPr>
        <w:pStyle w:val="30"/>
        <w:snapToGrid w:val="0"/>
        <w:spacing w:line="360" w:lineRule="auto"/>
        <w:ind w:firstLine="480"/>
        <w:rPr>
          <w:rFonts w:ascii="宋体" w:hAnsi="宋体"/>
          <w:sz w:val="24"/>
        </w:rPr>
      </w:pPr>
      <w:r>
        <w:rPr>
          <w:rFonts w:hint="eastAsia" w:ascii="宋体" w:hAnsi="宋体"/>
          <w:sz w:val="24"/>
        </w:rPr>
        <w:t>履职评价由</w:t>
      </w:r>
      <w:r>
        <w:rPr>
          <w:rFonts w:hint="eastAsia" w:ascii="宋体" w:hAnsi="宋体"/>
          <w:sz w:val="24"/>
          <w:lang w:eastAsia="zh-CN"/>
        </w:rPr>
        <w:t>公司</w:t>
      </w:r>
      <w:r>
        <w:rPr>
          <w:rFonts w:hint="eastAsia" w:ascii="宋体" w:hAnsi="宋体"/>
          <w:sz w:val="24"/>
        </w:rPr>
        <w:t>监事会组织实施，根据《履职评价办法》等相关规定向董事会发出《关于开展202</w:t>
      </w:r>
      <w:r>
        <w:rPr>
          <w:rFonts w:hint="eastAsia" w:ascii="宋体" w:hAnsi="宋体"/>
          <w:sz w:val="24"/>
          <w:lang w:val="en-US" w:eastAsia="zh-CN"/>
        </w:rPr>
        <w:t>2</w:t>
      </w:r>
      <w:r>
        <w:rPr>
          <w:rFonts w:hint="eastAsia" w:ascii="宋体" w:hAnsi="宋体"/>
          <w:sz w:val="24"/>
        </w:rPr>
        <w:t>年度董事会及董事履职评价工作的通知》，请董事会及各位董事按照履职评价的要求及相关履职参考材料，客观、公正地做好履职评价自评工作。经过董事自评、董事会评价、监事会提名委员会评价环节，监事会结合日常监督和内外部检查情况，对董事会和董事履职情况进行综合评价，并确定总体评价得分和评价等级。</w:t>
      </w:r>
    </w:p>
    <w:p>
      <w:pPr>
        <w:pStyle w:val="30"/>
        <w:snapToGrid w:val="0"/>
        <w:spacing w:line="360" w:lineRule="auto"/>
        <w:ind w:left="556" w:firstLine="0" w:firstLineChars="0"/>
        <w:rPr>
          <w:rFonts w:ascii="宋体" w:hAnsi="宋体"/>
          <w:b/>
          <w:sz w:val="24"/>
        </w:rPr>
      </w:pPr>
      <w:r>
        <w:rPr>
          <w:rFonts w:hint="eastAsia" w:ascii="宋体" w:hAnsi="宋体"/>
          <w:b/>
          <w:sz w:val="24"/>
        </w:rPr>
        <w:t>二、对董事会202</w:t>
      </w:r>
      <w:r>
        <w:rPr>
          <w:rFonts w:hint="eastAsia" w:ascii="宋体" w:hAnsi="宋体"/>
          <w:b/>
          <w:sz w:val="24"/>
          <w:lang w:val="en-US" w:eastAsia="zh-CN"/>
        </w:rPr>
        <w:t>2</w:t>
      </w:r>
      <w:r>
        <w:rPr>
          <w:rFonts w:hint="eastAsia" w:ascii="宋体" w:hAnsi="宋体"/>
          <w:b/>
          <w:sz w:val="24"/>
        </w:rPr>
        <w:t>年度履职情况的评价</w:t>
      </w:r>
    </w:p>
    <w:p>
      <w:pPr>
        <w:snapToGrid w:val="0"/>
        <w:spacing w:line="360" w:lineRule="auto"/>
        <w:ind w:firstLine="480" w:firstLineChars="200"/>
        <w:rPr>
          <w:rFonts w:hint="eastAsia"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年，面对严峻复杂的国际国内经济形势，公司董事会始终坚持党建引领下的公司治理建设，认真贯彻落实党中央、国务院决策部署</w:t>
      </w:r>
      <w:r>
        <w:rPr>
          <w:rFonts w:hint="eastAsia" w:ascii="宋体" w:hAnsi="宋体"/>
          <w:sz w:val="24"/>
          <w:lang w:val="en-US" w:eastAsia="zh-CN"/>
        </w:rPr>
        <w:t>，</w:t>
      </w:r>
      <w:r>
        <w:rPr>
          <w:rFonts w:hint="eastAsia" w:ascii="宋体" w:hAnsi="宋体"/>
          <w:sz w:val="24"/>
        </w:rPr>
        <w:t>勤勉尽职，强化科学决策能力，进一步提升公司治理水平，始终坚持战略驱动，加速业务发展转型，着力夯实基础平台，持续提升管理效能，加强风险合规管理，完善与提升信息披露与投资者关系管理，加强企业文化建设，</w:t>
      </w:r>
      <w:r>
        <w:rPr>
          <w:rFonts w:hint="eastAsia" w:ascii="宋体" w:hAnsi="宋体" w:eastAsia="宋体" w:cs="Times New Roman"/>
          <w:sz w:val="24"/>
          <w:lang w:val="en-US" w:eastAsia="zh-CN"/>
        </w:rPr>
        <w:t>积极践社会责任，</w:t>
      </w:r>
      <w:r>
        <w:rPr>
          <w:rFonts w:hint="eastAsia" w:ascii="宋体" w:hAnsi="宋体"/>
          <w:sz w:val="24"/>
        </w:rPr>
        <w:t>在有效维护广大股东和利益相关者的合法权益的同时，指导和推动全行各项事业稳健发展。</w:t>
      </w:r>
    </w:p>
    <w:p>
      <w:pPr>
        <w:keepNext w:val="0"/>
        <w:keepLines w:val="0"/>
        <w:pageBreakBefore w:val="0"/>
        <w:widowControl w:val="0"/>
        <w:kinsoku/>
        <w:wordWrap/>
        <w:overflowPunct/>
        <w:topLinePunct w:val="0"/>
        <w:bidi w:val="0"/>
        <w:snapToGrid w:val="0"/>
        <w:spacing w:line="360" w:lineRule="auto"/>
        <w:ind w:left="0" w:firstLine="480"/>
        <w:textAlignment w:val="auto"/>
        <w:rPr>
          <w:rFonts w:ascii="宋体" w:hAnsi="宋体" w:eastAsia="宋体"/>
          <w:sz w:val="24"/>
        </w:rPr>
      </w:pPr>
      <w:r>
        <w:rPr>
          <w:rFonts w:hint="eastAsia" w:ascii="宋体" w:hAnsi="宋体"/>
          <w:sz w:val="24"/>
          <w:lang w:val="en-US" w:eastAsia="zh-CN"/>
        </w:rPr>
        <w:t>2022年，</w:t>
      </w:r>
      <w:r>
        <w:rPr>
          <w:rFonts w:hint="eastAsia" w:ascii="宋体" w:hAnsi="宋体"/>
          <w:sz w:val="24"/>
          <w:lang w:eastAsia="zh-CN"/>
        </w:rPr>
        <w:t>公司</w:t>
      </w:r>
      <w:r>
        <w:rPr>
          <w:rFonts w:hint="eastAsia" w:ascii="宋体" w:hAnsi="宋体"/>
          <w:sz w:val="24"/>
          <w:lang w:val="en-US" w:eastAsia="zh-CN"/>
        </w:rPr>
        <w:t>董事会</w:t>
      </w:r>
      <w:r>
        <w:rPr>
          <w:rFonts w:hint="eastAsia" w:ascii="宋体" w:hAnsi="宋体"/>
          <w:sz w:val="24"/>
        </w:rPr>
        <w:t>全年共召集召开</w:t>
      </w:r>
      <w:r>
        <w:rPr>
          <w:rFonts w:hint="eastAsia" w:ascii="宋体" w:hAnsi="宋体"/>
          <w:sz w:val="24"/>
          <w:lang w:val="en-US" w:eastAsia="zh-CN"/>
        </w:rPr>
        <w:t>2</w:t>
      </w:r>
      <w:r>
        <w:rPr>
          <w:rFonts w:hint="eastAsia" w:ascii="宋体" w:hAnsi="宋体"/>
          <w:sz w:val="24"/>
        </w:rPr>
        <w:t>次股东大会、</w:t>
      </w:r>
      <w:r>
        <w:rPr>
          <w:rFonts w:hint="eastAsia" w:ascii="宋体" w:hAnsi="宋体"/>
          <w:sz w:val="24"/>
          <w:lang w:val="en-US" w:eastAsia="zh-CN"/>
        </w:rPr>
        <w:t>14</w:t>
      </w:r>
      <w:r>
        <w:rPr>
          <w:rFonts w:hint="eastAsia" w:ascii="宋体" w:hAnsi="宋体"/>
          <w:sz w:val="24"/>
        </w:rPr>
        <w:t>次董事会会议、</w:t>
      </w:r>
      <w:r>
        <w:rPr>
          <w:rFonts w:hint="eastAsia" w:ascii="宋体" w:hAnsi="宋体"/>
          <w:sz w:val="24"/>
          <w:lang w:val="en-US" w:eastAsia="zh-CN"/>
        </w:rPr>
        <w:t>27</w:t>
      </w:r>
      <w:r>
        <w:rPr>
          <w:rFonts w:hint="eastAsia" w:ascii="宋体" w:hAnsi="宋体"/>
          <w:sz w:val="24"/>
        </w:rPr>
        <w:t>次董事会下设专门委员会会议。董事会审</w:t>
      </w:r>
      <w:r>
        <w:rPr>
          <w:rFonts w:hint="eastAsia" w:ascii="宋体" w:hAnsi="宋体"/>
          <w:sz w:val="24"/>
          <w:highlight w:val="none"/>
        </w:rPr>
        <w:t>议并通过了定期报告、风险管理报告、内控评价报告、董事会工作报告、利润分配方案、行领导薪酬分配方案等</w:t>
      </w:r>
      <w:r>
        <w:rPr>
          <w:rFonts w:hint="eastAsia" w:ascii="宋体" w:hAnsi="宋体" w:eastAsia="宋体"/>
          <w:sz w:val="24"/>
        </w:rPr>
        <w:t>共</w:t>
      </w:r>
      <w:r>
        <w:rPr>
          <w:rFonts w:hint="eastAsia" w:ascii="宋体" w:hAnsi="宋体" w:eastAsia="宋体"/>
          <w:sz w:val="24"/>
          <w:lang w:val="en-US" w:eastAsia="zh-CN"/>
        </w:rPr>
        <w:t>92</w:t>
      </w:r>
      <w:r>
        <w:rPr>
          <w:rFonts w:hint="eastAsia" w:ascii="宋体" w:hAnsi="宋体" w:eastAsia="宋体"/>
          <w:sz w:val="24"/>
        </w:rPr>
        <w:t>项议案，听取</w:t>
      </w:r>
      <w:r>
        <w:rPr>
          <w:rFonts w:hint="eastAsia" w:ascii="宋体" w:hAnsi="宋体" w:eastAsia="宋体"/>
          <w:sz w:val="24"/>
          <w:lang w:val="en-US" w:eastAsia="zh-CN"/>
        </w:rPr>
        <w:t>6</w:t>
      </w:r>
      <w:r>
        <w:rPr>
          <w:rFonts w:hint="eastAsia" w:ascii="宋体" w:hAnsi="宋体" w:eastAsia="宋体"/>
          <w:sz w:val="24"/>
        </w:rPr>
        <w:t>项报告，对</w:t>
      </w:r>
      <w:r>
        <w:rPr>
          <w:rFonts w:hint="eastAsia" w:ascii="宋体" w:hAnsi="宋体" w:eastAsia="宋体"/>
          <w:sz w:val="24"/>
          <w:lang w:val="zh-CN" w:eastAsia="zh-CN"/>
        </w:rPr>
        <w:t>经营情况、风险控制、内控报告、战略执行情况、会计师事务所选聘、董事</w:t>
      </w:r>
      <w:r>
        <w:rPr>
          <w:rFonts w:hint="eastAsia" w:ascii="宋体" w:hAnsi="宋体" w:eastAsia="宋体"/>
          <w:sz w:val="24"/>
          <w:lang w:val="en-US" w:eastAsia="zh-CN"/>
        </w:rPr>
        <w:t>长</w:t>
      </w:r>
      <w:r>
        <w:rPr>
          <w:rFonts w:hint="eastAsia" w:ascii="宋体" w:hAnsi="宋体" w:eastAsia="宋体"/>
          <w:sz w:val="24"/>
          <w:lang w:val="zh-CN" w:eastAsia="zh-CN"/>
        </w:rPr>
        <w:t>选举、</w:t>
      </w:r>
      <w:r>
        <w:rPr>
          <w:rFonts w:hint="eastAsia" w:ascii="宋体" w:hAnsi="宋体" w:eastAsia="宋体"/>
          <w:sz w:val="24"/>
          <w:lang w:val="en-US" w:eastAsia="zh-CN"/>
        </w:rPr>
        <w:t>制定董事会授权书、不良资产转让</w:t>
      </w:r>
      <w:r>
        <w:rPr>
          <w:rFonts w:hint="eastAsia" w:ascii="宋体" w:hAnsi="宋体" w:eastAsia="宋体"/>
          <w:sz w:val="24"/>
        </w:rPr>
        <w:t>等多个方面进行有效深入的讨论，充分体现了董事会核心决策作用。</w:t>
      </w:r>
    </w:p>
    <w:p>
      <w:pPr>
        <w:snapToGrid w:val="0"/>
        <w:spacing w:line="360" w:lineRule="auto"/>
        <w:ind w:firstLine="480" w:firstLineChars="0"/>
        <w:rPr>
          <w:rFonts w:hint="eastAsia" w:ascii="宋体" w:hAnsi="宋体"/>
          <w:sz w:val="24"/>
        </w:rPr>
      </w:pPr>
      <w:r>
        <w:rPr>
          <w:rFonts w:hint="eastAsia" w:ascii="宋体" w:hAnsi="宋体"/>
          <w:sz w:val="24"/>
          <w:lang w:val="en-US" w:eastAsia="zh-CN"/>
        </w:rPr>
        <w:t>公司董事会不断提升公司治理水平，</w:t>
      </w:r>
      <w:r>
        <w:rPr>
          <w:rFonts w:hint="eastAsia" w:ascii="宋体" w:hAnsi="宋体" w:eastAsia="宋体" w:cs="Arial Unicode MS"/>
          <w:b w:val="0"/>
          <w:bCs/>
          <w:kern w:val="0"/>
          <w:sz w:val="24"/>
          <w:lang w:val="en-US" w:eastAsia="zh-CN"/>
        </w:rPr>
        <w:t>围绕“健全公司治理三年行动方案”及公司治理评估整改工作，推动公司治理工作的完善与提升为目标，</w:t>
      </w:r>
      <w:r>
        <w:rPr>
          <w:rFonts w:hint="eastAsia" w:ascii="宋体" w:hAnsi="宋体"/>
          <w:sz w:val="24"/>
        </w:rPr>
        <w:t>持续完善公司治理机制</w:t>
      </w:r>
      <w:r>
        <w:rPr>
          <w:rFonts w:hint="eastAsia" w:ascii="宋体" w:hAnsi="宋体"/>
          <w:sz w:val="24"/>
          <w:lang w:eastAsia="zh-CN"/>
        </w:rPr>
        <w:t>，</w:t>
      </w:r>
      <w:r>
        <w:rPr>
          <w:rFonts w:hint="eastAsia" w:ascii="宋体" w:hAnsi="宋体"/>
          <w:sz w:val="24"/>
          <w:lang w:val="en-US" w:eastAsia="zh-CN"/>
        </w:rPr>
        <w:t>加强</w:t>
      </w:r>
      <w:r>
        <w:rPr>
          <w:rFonts w:hint="eastAsia" w:ascii="宋体" w:hAnsi="宋体"/>
          <w:sz w:val="24"/>
        </w:rPr>
        <w:t>党</w:t>
      </w:r>
      <w:r>
        <w:rPr>
          <w:rFonts w:hint="eastAsia" w:ascii="宋体" w:hAnsi="宋体"/>
          <w:sz w:val="24"/>
          <w:lang w:val="en-US" w:eastAsia="zh-CN"/>
        </w:rPr>
        <w:t>的领导与公司治理的有机融合</w:t>
      </w:r>
      <w:r>
        <w:rPr>
          <w:rFonts w:hint="eastAsia" w:ascii="宋体" w:hAnsi="宋体"/>
          <w:sz w:val="24"/>
          <w:lang w:eastAsia="zh-CN"/>
        </w:rPr>
        <w:t>。</w:t>
      </w:r>
      <w:r>
        <w:rPr>
          <w:rFonts w:hint="eastAsia" w:ascii="宋体" w:hAnsi="宋体" w:eastAsia="宋体" w:cs="Arial Unicode MS"/>
          <w:b w:val="0"/>
          <w:bCs/>
          <w:kern w:val="0"/>
          <w:sz w:val="24"/>
          <w:lang w:val="en-US" w:eastAsia="zh-CN"/>
        </w:rPr>
        <w:t>修订了董事会薪酬委员会议事规则、关联交易管理办法、投资者关系管理办法等制度，推进公司治理制度体系更为健全和完善。</w:t>
      </w:r>
      <w:r>
        <w:rPr>
          <w:rFonts w:hint="eastAsia" w:ascii="宋体" w:hAnsi="宋体"/>
          <w:sz w:val="24"/>
          <w:lang w:val="en-US" w:eastAsia="zh-CN"/>
        </w:rPr>
        <w:t>完成第一大股东股权划转，推动资本补充工作。平稳完成新老董事顺利交接，保证公司治理的稳定性和延续性，</w:t>
      </w:r>
      <w:r>
        <w:rPr>
          <w:rFonts w:hint="eastAsia" w:ascii="宋体" w:hAnsi="宋体"/>
          <w:sz w:val="24"/>
        </w:rPr>
        <w:t>以高质量的公司治理推动公司各项业务持续稳健发展。</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Times New Roman"/>
          <w:b w:val="0"/>
          <w:bCs w:val="0"/>
          <w:sz w:val="24"/>
          <w:szCs w:val="22"/>
          <w:highlight w:val="none"/>
          <w:lang w:val="en-US" w:eastAsia="zh-CN"/>
        </w:rPr>
      </w:pPr>
      <w:r>
        <w:rPr>
          <w:rFonts w:hint="eastAsia" w:ascii="宋体" w:hAnsi="宋体"/>
          <w:sz w:val="24"/>
        </w:rPr>
        <w:t>公司董事会始终</w:t>
      </w:r>
      <w:r>
        <w:rPr>
          <w:rFonts w:hint="eastAsia" w:ascii="宋体" w:hAnsi="宋体"/>
          <w:sz w:val="24"/>
          <w:lang w:val="en-US" w:eastAsia="zh-CN"/>
        </w:rPr>
        <w:t>坚持战略驱动，</w:t>
      </w:r>
      <w:r>
        <w:rPr>
          <w:rFonts w:hint="eastAsia" w:ascii="宋体" w:hAnsi="宋体" w:eastAsia="宋体" w:cs="Times New Roman"/>
          <w:b w:val="0"/>
          <w:bCs w:val="0"/>
          <w:sz w:val="24"/>
          <w:szCs w:val="22"/>
          <w:highlight w:val="none"/>
          <w:lang w:val="en-US" w:eastAsia="zh-CN"/>
        </w:rPr>
        <w:t>有序推进发展战略规划落地。持续发挥“客户体验、数字科技、人与机制”三大战略驱动力作用，深化落实业务战略、区域战略和综合金融三大发展战略，持续推进大零售业务发展与转型，加力提升对公综合化经营能力，将绿色金融纳入战略规划，以交易银行为重心集中落地多个数字化项目，“商行+投行”综合服务体系日益完善。数字化转型赋能降本增效进一步夯实，工作效率和精细化管理水平进一步提升，扎实推进高质量发展。</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公司董事会密切关注公司风险</w:t>
      </w:r>
      <w:r>
        <w:rPr>
          <w:rFonts w:hint="eastAsia" w:ascii="宋体" w:hAnsi="宋体" w:eastAsia="宋体" w:cs="宋体"/>
          <w:sz w:val="24"/>
          <w:lang w:val="en-US" w:eastAsia="zh-CN"/>
        </w:rPr>
        <w:t>合规</w:t>
      </w:r>
      <w:r>
        <w:rPr>
          <w:rFonts w:hint="eastAsia" w:ascii="宋体" w:hAnsi="宋体" w:eastAsia="宋体" w:cs="宋体"/>
          <w:sz w:val="24"/>
        </w:rPr>
        <w:t>和内部控制状况，秉承稳健经营的理念，不断完善内控和风</w:t>
      </w:r>
      <w:r>
        <w:rPr>
          <w:rFonts w:hint="eastAsia" w:ascii="宋体" w:hAnsi="宋体" w:eastAsia="宋体" w:cs="宋体"/>
          <w:sz w:val="24"/>
          <w:lang w:val="en-US" w:eastAsia="zh-CN"/>
        </w:rPr>
        <w:t>险合规</w:t>
      </w:r>
      <w:r>
        <w:rPr>
          <w:rFonts w:hint="eastAsia" w:ascii="宋体" w:hAnsi="宋体" w:eastAsia="宋体" w:cs="宋体"/>
          <w:sz w:val="24"/>
        </w:rPr>
        <w:t>体系</w:t>
      </w:r>
      <w:r>
        <w:rPr>
          <w:rFonts w:hint="eastAsia" w:ascii="宋体" w:hAnsi="宋体" w:eastAsia="宋体" w:cs="宋体"/>
          <w:sz w:val="24"/>
          <w:lang w:eastAsia="zh-CN"/>
        </w:rPr>
        <w:t>。</w:t>
      </w:r>
      <w:r>
        <w:rPr>
          <w:rFonts w:hint="eastAsia" w:ascii="宋体" w:hAnsi="宋体" w:eastAsia="宋体" w:cs="宋体"/>
          <w:sz w:val="24"/>
          <w:szCs w:val="24"/>
        </w:rPr>
        <w:t>立足自身风险特征，结合内外部经营形势，综合考虑发展战略、监管规定与资本规划，</w:t>
      </w:r>
      <w:r>
        <w:rPr>
          <w:rFonts w:hint="eastAsia" w:ascii="宋体" w:hAnsi="宋体" w:eastAsia="宋体" w:cs="宋体"/>
          <w:sz w:val="24"/>
          <w:szCs w:val="24"/>
          <w:lang w:val="en-US" w:eastAsia="zh-CN"/>
        </w:rPr>
        <w:t>审慎设</w:t>
      </w:r>
      <w:r>
        <w:rPr>
          <w:rFonts w:hint="eastAsia" w:ascii="宋体" w:hAnsi="宋体" w:eastAsia="宋体" w:cs="宋体"/>
          <w:sz w:val="24"/>
          <w:szCs w:val="24"/>
        </w:rPr>
        <w:t>定风险偏好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出</w:t>
      </w:r>
      <w:r>
        <w:rPr>
          <w:rFonts w:hint="eastAsia" w:ascii="宋体" w:hAnsi="宋体" w:eastAsia="宋体" w:cs="宋体"/>
          <w:sz w:val="24"/>
          <w:highlight w:val="none"/>
          <w:lang w:val="en-US" w:eastAsia="zh-CN"/>
        </w:rPr>
        <w:t>台年度重点支持行业授信风险指引，自主开发信用卡风控模型，实施反洗钱管理能力提升项目，组织落实预期信用损失法，</w:t>
      </w:r>
      <w:r>
        <w:rPr>
          <w:rFonts w:hint="eastAsia" w:ascii="宋体" w:hAnsi="宋体" w:eastAsia="宋体" w:cs="宋体"/>
          <w:sz w:val="24"/>
          <w:szCs w:val="24"/>
        </w:rPr>
        <w:t>完成关联交易管理系统的优化升级</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lang w:eastAsia="zh-CN"/>
        </w:rPr>
        <w:t>不</w:t>
      </w:r>
      <w:r>
        <w:rPr>
          <w:rFonts w:hint="eastAsia" w:ascii="宋体" w:hAnsi="宋体" w:eastAsia="宋体" w:cs="宋体"/>
          <w:sz w:val="24"/>
          <w:lang w:val="en-US" w:eastAsia="zh-CN"/>
        </w:rPr>
        <w:t>断提升</w:t>
      </w:r>
      <w:r>
        <w:rPr>
          <w:rFonts w:hint="eastAsia" w:ascii="宋体" w:hAnsi="宋体" w:eastAsia="宋体" w:cs="宋体"/>
          <w:sz w:val="24"/>
        </w:rPr>
        <w:t>风险管</w:t>
      </w:r>
      <w:r>
        <w:rPr>
          <w:rFonts w:hint="eastAsia" w:ascii="宋体" w:hAnsi="宋体" w:eastAsia="宋体" w:cs="宋体"/>
          <w:sz w:val="24"/>
          <w:lang w:val="en-US" w:eastAsia="zh-CN"/>
        </w:rPr>
        <w:t>控水平</w:t>
      </w:r>
      <w:r>
        <w:rPr>
          <w:rFonts w:hint="eastAsia" w:ascii="宋体" w:hAnsi="宋体" w:eastAsia="宋体" w:cs="宋体"/>
          <w:sz w:val="24"/>
          <w:lang w:eastAsia="zh-CN"/>
        </w:rPr>
        <w:t>。</w:t>
      </w:r>
      <w:r>
        <w:rPr>
          <w:rFonts w:hint="eastAsia" w:ascii="宋体" w:hAnsi="宋体" w:eastAsia="宋体" w:cs="宋体"/>
          <w:sz w:val="24"/>
          <w:lang w:val="en-US" w:eastAsia="zh-CN"/>
        </w:rPr>
        <w:t>积极</w:t>
      </w:r>
      <w:r>
        <w:rPr>
          <w:rFonts w:hint="eastAsia" w:ascii="宋体" w:hAnsi="宋体" w:eastAsia="宋体" w:cs="宋体"/>
          <w:sz w:val="24"/>
        </w:rPr>
        <w:t>构建大数据风控体系，</w:t>
      </w:r>
      <w:r>
        <w:rPr>
          <w:rFonts w:hint="eastAsia" w:ascii="宋体" w:hAnsi="宋体" w:eastAsia="宋体" w:cs="宋体"/>
          <w:sz w:val="24"/>
          <w:lang w:val="en-US" w:eastAsia="zh-CN"/>
        </w:rPr>
        <w:t>推进</w:t>
      </w:r>
      <w:r>
        <w:rPr>
          <w:rFonts w:hint="eastAsia" w:ascii="宋体" w:hAnsi="宋体" w:eastAsia="宋体" w:cs="宋体"/>
          <w:sz w:val="24"/>
          <w:szCs w:val="24"/>
        </w:rPr>
        <w:t>数</w:t>
      </w:r>
      <w:r>
        <w:rPr>
          <w:rFonts w:hint="eastAsia" w:ascii="宋体" w:hAnsi="宋体" w:eastAsia="宋体" w:cs="宋体"/>
          <w:sz w:val="24"/>
          <w:szCs w:val="24"/>
          <w:lang w:val="en-US" w:eastAsia="zh-CN"/>
        </w:rPr>
        <w:t>字科技应用</w:t>
      </w:r>
      <w:r>
        <w:rPr>
          <w:rFonts w:hint="eastAsia" w:ascii="宋体" w:hAnsi="宋体" w:eastAsia="宋体" w:cs="宋体"/>
          <w:sz w:val="24"/>
          <w:szCs w:val="24"/>
        </w:rPr>
        <w:t>，</w:t>
      </w:r>
      <w:r>
        <w:rPr>
          <w:rFonts w:hint="eastAsia" w:ascii="宋体" w:hAnsi="宋体" w:eastAsia="宋体" w:cs="宋体"/>
          <w:sz w:val="24"/>
        </w:rPr>
        <w:t>提高风险识别能力，拓宽风险防控能力边界，资产质量保持较好水平，持续夯实拨备基础，风险控制和抵补能力不断增强。</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公司董事会</w:t>
      </w:r>
      <w:r>
        <w:rPr>
          <w:rFonts w:hint="eastAsia" w:ascii="宋体" w:hAnsi="宋体" w:eastAsia="宋体" w:cs="宋体"/>
          <w:sz w:val="24"/>
        </w:rPr>
        <w:t>持续完善信息披露制度体系建设，在上海证券交易所网站相关媒体披露超110份文件。修订了《厦门银行股份有限公司投资者关系管理办法》，成功举办2场业绩发布会，组织6场专题投资者调研</w:t>
      </w:r>
      <w:r>
        <w:rPr>
          <w:rFonts w:hint="eastAsia" w:ascii="宋体" w:hAnsi="宋体" w:eastAsia="宋体" w:cs="宋体"/>
          <w:sz w:val="24"/>
          <w:lang w:val="en-US" w:eastAsia="zh-CN"/>
        </w:rPr>
        <w:t>等</w:t>
      </w:r>
      <w:r>
        <w:rPr>
          <w:rFonts w:hint="eastAsia" w:ascii="宋体" w:hAnsi="宋体" w:eastAsia="宋体" w:cs="宋体"/>
          <w:sz w:val="24"/>
          <w:lang w:eastAsia="zh-CN"/>
        </w:rPr>
        <w:t>，多渠道与投资者沟通交流。</w:t>
      </w:r>
      <w:r>
        <w:rPr>
          <w:rFonts w:hint="eastAsia" w:ascii="宋体" w:hAnsi="宋体" w:eastAsia="宋体" w:cs="宋体"/>
          <w:sz w:val="24"/>
          <w:lang w:val="en-US" w:eastAsia="zh-CN"/>
        </w:rPr>
        <w:t>积极践行社会责任，</w:t>
      </w:r>
      <w:r>
        <w:rPr>
          <w:rFonts w:hint="eastAsia" w:ascii="宋体" w:hAnsi="宋体" w:eastAsia="宋体" w:cs="宋体"/>
          <w:sz w:val="24"/>
        </w:rPr>
        <w:t>将社会责任意识融入到</w:t>
      </w:r>
      <w:r>
        <w:rPr>
          <w:rFonts w:hint="eastAsia" w:ascii="宋体" w:hAnsi="宋体" w:eastAsia="宋体" w:cs="宋体"/>
          <w:sz w:val="24"/>
          <w:lang w:val="en-US" w:eastAsia="zh-CN"/>
        </w:rPr>
        <w:t>公司</w:t>
      </w:r>
      <w:r>
        <w:rPr>
          <w:rFonts w:hint="eastAsia" w:ascii="宋体" w:hAnsi="宋体" w:eastAsia="宋体" w:cs="宋体"/>
          <w:sz w:val="24"/>
        </w:rPr>
        <w:t>战略规划、公司治理、业务发展</w:t>
      </w:r>
      <w:r>
        <w:rPr>
          <w:rFonts w:hint="eastAsia" w:ascii="宋体" w:hAnsi="宋体" w:eastAsia="宋体" w:cs="宋体"/>
          <w:sz w:val="24"/>
          <w:lang w:eastAsia="zh-CN"/>
        </w:rPr>
        <w:t>、</w:t>
      </w:r>
      <w:r>
        <w:rPr>
          <w:rFonts w:hint="eastAsia" w:ascii="宋体" w:hAnsi="宋体" w:eastAsia="宋体" w:cs="宋体"/>
          <w:sz w:val="24"/>
          <w:lang w:val="en-US" w:eastAsia="zh-CN"/>
        </w:rPr>
        <w:t>消费者保护</w:t>
      </w:r>
      <w:r>
        <w:rPr>
          <w:rFonts w:hint="eastAsia" w:ascii="宋体" w:hAnsi="宋体" w:eastAsia="宋体" w:cs="宋体"/>
          <w:sz w:val="24"/>
        </w:rPr>
        <w:t>和企业文化建设中</w:t>
      </w:r>
      <w:r>
        <w:rPr>
          <w:rFonts w:hint="eastAsia" w:ascii="宋体" w:hAnsi="宋体" w:eastAsia="宋体" w:cs="宋体"/>
          <w:sz w:val="24"/>
          <w:lang w:eastAsia="zh-CN"/>
        </w:rPr>
        <w:t>，</w:t>
      </w:r>
      <w:r>
        <w:rPr>
          <w:rFonts w:hint="eastAsia" w:ascii="宋体" w:hAnsi="宋体" w:eastAsia="宋体" w:cs="宋体"/>
          <w:sz w:val="24"/>
        </w:rPr>
        <w:t>实现自身与各利益相关方的共同进步和可持续发展，促进企业与社会的和谐共赢</w:t>
      </w:r>
      <w:r>
        <w:rPr>
          <w:rFonts w:hint="eastAsia" w:ascii="宋体" w:hAnsi="宋体" w:eastAsia="宋体" w:cs="宋体"/>
          <w:sz w:val="24"/>
          <w:lang w:eastAsia="zh-CN"/>
        </w:rPr>
        <w:t>。</w:t>
      </w:r>
    </w:p>
    <w:p>
      <w:pPr>
        <w:snapToGrid w:val="0"/>
        <w:spacing w:line="360" w:lineRule="auto"/>
        <w:ind w:firstLine="482" w:firstLineChars="200"/>
        <w:rPr>
          <w:rFonts w:ascii="宋体" w:hAnsi="宋体"/>
          <w:b/>
          <w:bCs/>
          <w:sz w:val="24"/>
        </w:rPr>
      </w:pPr>
      <w:r>
        <w:rPr>
          <w:rFonts w:hint="eastAsia" w:ascii="宋体" w:hAnsi="宋体"/>
          <w:b/>
          <w:bCs/>
          <w:sz w:val="24"/>
        </w:rPr>
        <w:t>监事会认为：</w:t>
      </w:r>
      <w:r>
        <w:rPr>
          <w:rFonts w:hint="eastAsia" w:ascii="宋体" w:hAnsi="宋体"/>
          <w:sz w:val="24"/>
        </w:rPr>
        <w:t>在评价期内，董事会能够根据法律法规、监管要求和《公司章程》</w:t>
      </w:r>
      <w:r>
        <w:rPr>
          <w:rFonts w:hint="eastAsia" w:ascii="宋体" w:hAnsi="宋体"/>
          <w:sz w:val="24"/>
          <w:lang w:val="en-US" w:eastAsia="zh-CN"/>
        </w:rPr>
        <w:t>等</w:t>
      </w:r>
      <w:r>
        <w:rPr>
          <w:rFonts w:hint="eastAsia" w:ascii="宋体" w:hAnsi="宋体"/>
          <w:sz w:val="24"/>
        </w:rPr>
        <w:t>规定，依法合规、勤勉尽责开展各项工作，运行平稳有序，决策审慎科学，有效落实股东大会的决议，较好地完成了股东大会设定的年度工作目标。董事会及其专门委员会的构成和设立符合相关规定并持续完善，议事程序合法合规，决策效率和水平不断提高。未发现董事会及其专门委员会在履职过程中存在违反相关法律法规及《公司章程》规定的行为。</w:t>
      </w:r>
    </w:p>
    <w:p>
      <w:pPr>
        <w:snapToGrid w:val="0"/>
        <w:spacing w:line="360" w:lineRule="auto"/>
        <w:ind w:firstLine="480" w:firstLineChars="200"/>
        <w:rPr>
          <w:rFonts w:ascii="宋体" w:hAnsi="宋体"/>
          <w:sz w:val="24"/>
        </w:rPr>
      </w:pPr>
      <w:r>
        <w:rPr>
          <w:rFonts w:hint="eastAsia" w:ascii="宋体" w:hAnsi="宋体"/>
          <w:sz w:val="24"/>
        </w:rPr>
        <w:t>对照董事会履职评价标准，公司董事会202</w:t>
      </w:r>
      <w:r>
        <w:rPr>
          <w:rFonts w:hint="eastAsia" w:ascii="宋体" w:hAnsi="宋体"/>
          <w:sz w:val="24"/>
          <w:lang w:val="en-US" w:eastAsia="zh-CN"/>
        </w:rPr>
        <w:t>2</w:t>
      </w:r>
      <w:r>
        <w:rPr>
          <w:rFonts w:hint="eastAsia" w:ascii="宋体" w:hAnsi="宋体"/>
          <w:sz w:val="24"/>
        </w:rPr>
        <w:t>年履职评价结果为：称职。</w:t>
      </w:r>
    </w:p>
    <w:p>
      <w:pPr>
        <w:pStyle w:val="30"/>
        <w:snapToGrid w:val="0"/>
        <w:spacing w:line="360" w:lineRule="auto"/>
        <w:ind w:left="556" w:firstLine="0" w:firstLineChars="0"/>
        <w:rPr>
          <w:rFonts w:ascii="宋体" w:hAnsi="宋体"/>
          <w:b/>
          <w:sz w:val="24"/>
        </w:rPr>
      </w:pPr>
      <w:r>
        <w:rPr>
          <w:rFonts w:hint="eastAsia" w:ascii="宋体" w:hAnsi="宋体"/>
          <w:b/>
          <w:sz w:val="24"/>
        </w:rPr>
        <w:t>三、对董事202</w:t>
      </w:r>
      <w:r>
        <w:rPr>
          <w:rFonts w:hint="eastAsia" w:ascii="宋体" w:hAnsi="宋体"/>
          <w:b/>
          <w:sz w:val="24"/>
          <w:lang w:val="en-US" w:eastAsia="zh-CN"/>
        </w:rPr>
        <w:t>2</w:t>
      </w:r>
      <w:r>
        <w:rPr>
          <w:rFonts w:hint="eastAsia" w:ascii="宋体" w:hAnsi="宋体"/>
          <w:b/>
          <w:sz w:val="24"/>
        </w:rPr>
        <w:t>年度履职情况的评价</w:t>
      </w:r>
    </w:p>
    <w:p>
      <w:pPr>
        <w:pStyle w:val="30"/>
        <w:snapToGrid w:val="0"/>
        <w:spacing w:line="360" w:lineRule="auto"/>
        <w:ind w:firstLine="482"/>
        <w:rPr>
          <w:rFonts w:ascii="宋体" w:hAnsi="宋体"/>
          <w:b/>
          <w:sz w:val="24"/>
        </w:rPr>
      </w:pPr>
      <w:r>
        <w:rPr>
          <w:rFonts w:hint="eastAsia" w:ascii="宋体" w:hAnsi="宋体"/>
          <w:b/>
          <w:sz w:val="24"/>
        </w:rPr>
        <w:t>（一）履行忠实义务</w:t>
      </w:r>
    </w:p>
    <w:p>
      <w:pPr>
        <w:pStyle w:val="30"/>
        <w:snapToGrid w:val="0"/>
        <w:spacing w:line="360" w:lineRule="auto"/>
        <w:ind w:firstLine="480"/>
        <w:rPr>
          <w:rFonts w:ascii="宋体" w:hAnsi="宋体"/>
          <w:sz w:val="24"/>
        </w:rPr>
      </w:pPr>
      <w:r>
        <w:rPr>
          <w:rFonts w:hint="eastAsia" w:ascii="宋体" w:hAnsi="宋体"/>
          <w:sz w:val="24"/>
        </w:rPr>
        <w:t>全体董事能够以公司的最佳利益行事，严守公司秘密，未发现董事的本</w:t>
      </w:r>
      <w:r>
        <w:rPr>
          <w:rFonts w:hint="eastAsia" w:ascii="宋体" w:hAnsi="宋体"/>
          <w:sz w:val="24"/>
          <w:lang w:val="en-US" w:eastAsia="zh-CN"/>
        </w:rPr>
        <w:t>职</w:t>
      </w:r>
      <w:r>
        <w:rPr>
          <w:rFonts w:hint="eastAsia" w:ascii="宋体" w:hAnsi="宋体"/>
          <w:sz w:val="24"/>
        </w:rPr>
        <w:t>、兼职与其在</w:t>
      </w:r>
      <w:r>
        <w:rPr>
          <w:rFonts w:hint="eastAsia" w:ascii="宋体" w:hAnsi="宋体"/>
          <w:sz w:val="24"/>
          <w:lang w:eastAsia="zh-CN"/>
        </w:rPr>
        <w:t>公司</w:t>
      </w:r>
      <w:r>
        <w:rPr>
          <w:rFonts w:hint="eastAsia" w:ascii="宋体" w:hAnsi="宋体"/>
          <w:sz w:val="24"/>
        </w:rPr>
        <w:t>的任职存在利益冲突，未发现董事有利用其在公司的地位和职权谋取私利、利用关联关系损害公司利益、接受不正当利益、泄露公司秘密或其他违反法律、法规及公司章程规定的忠实义务行为。</w:t>
      </w:r>
    </w:p>
    <w:p>
      <w:pPr>
        <w:pStyle w:val="30"/>
        <w:snapToGrid w:val="0"/>
        <w:spacing w:line="360" w:lineRule="auto"/>
        <w:ind w:firstLine="482"/>
        <w:rPr>
          <w:rFonts w:ascii="宋体" w:hAnsi="宋体"/>
          <w:b/>
          <w:sz w:val="24"/>
        </w:rPr>
      </w:pPr>
      <w:r>
        <w:rPr>
          <w:rFonts w:hint="eastAsia" w:ascii="宋体" w:hAnsi="宋体"/>
          <w:b/>
          <w:sz w:val="24"/>
        </w:rPr>
        <w:t>（二）履行勤勉义务</w:t>
      </w:r>
    </w:p>
    <w:p>
      <w:pPr>
        <w:pStyle w:val="30"/>
        <w:snapToGrid w:val="0"/>
        <w:spacing w:line="360" w:lineRule="auto"/>
        <w:ind w:firstLine="480"/>
        <w:rPr>
          <w:rFonts w:ascii="宋体" w:hAnsi="宋体"/>
          <w:sz w:val="24"/>
        </w:rPr>
      </w:pPr>
      <w:r>
        <w:rPr>
          <w:rFonts w:hint="eastAsia" w:ascii="宋体" w:hAnsi="宋体"/>
          <w:sz w:val="24"/>
        </w:rPr>
        <w:t>全体董事能够积极履行董事职责和义务，出席股东大会、董事会及其相关专门委员会会议，认真审议和听取各项议案及汇报，深入了解公司经营情况，能够对提交董事会审议的事项独立、客观地进行表决。全年董事会会议亲自出席率</w:t>
      </w:r>
      <w:r>
        <w:rPr>
          <w:rFonts w:hint="eastAsia" w:ascii="宋体" w:hAnsi="宋体"/>
          <w:sz w:val="24"/>
          <w:highlight w:val="none"/>
        </w:rPr>
        <w:t>达98.</w:t>
      </w:r>
      <w:r>
        <w:rPr>
          <w:rFonts w:hint="eastAsia" w:ascii="宋体" w:hAnsi="宋体"/>
          <w:sz w:val="24"/>
          <w:highlight w:val="none"/>
          <w:lang w:eastAsia="zh-CN"/>
        </w:rPr>
        <w:t>3</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rPr>
        <w:t>，董事会各专门委员会会议亲自出席率达</w:t>
      </w:r>
      <w:r>
        <w:rPr>
          <w:rFonts w:hint="eastAsia" w:ascii="宋体" w:hAnsi="宋体"/>
          <w:sz w:val="24"/>
          <w:highlight w:val="none"/>
        </w:rPr>
        <w:t>9</w:t>
      </w:r>
      <w:r>
        <w:rPr>
          <w:rFonts w:hint="eastAsia" w:ascii="宋体" w:hAnsi="宋体"/>
          <w:sz w:val="24"/>
          <w:highlight w:val="none"/>
          <w:lang w:eastAsia="zh-CN"/>
        </w:rPr>
        <w:t>6</w:t>
      </w:r>
      <w:r>
        <w:rPr>
          <w:rFonts w:hint="eastAsia" w:ascii="宋体" w:hAnsi="宋体"/>
          <w:sz w:val="24"/>
          <w:highlight w:val="none"/>
        </w:rPr>
        <w:t>.</w:t>
      </w:r>
      <w:r>
        <w:rPr>
          <w:rFonts w:hint="eastAsia" w:ascii="宋体" w:hAnsi="宋体"/>
          <w:sz w:val="24"/>
          <w:highlight w:val="none"/>
          <w:lang w:eastAsia="zh-CN"/>
        </w:rPr>
        <w:t>6</w:t>
      </w:r>
      <w:r>
        <w:rPr>
          <w:rFonts w:hint="eastAsia" w:ascii="宋体" w:hAnsi="宋体"/>
          <w:sz w:val="24"/>
          <w:highlight w:val="none"/>
          <w:lang w:val="en-US" w:eastAsia="zh-CN"/>
        </w:rPr>
        <w:t>7</w:t>
      </w:r>
      <w:r>
        <w:rPr>
          <w:rFonts w:hint="eastAsia" w:ascii="宋体" w:hAnsi="宋体"/>
          <w:sz w:val="24"/>
          <w:highlight w:val="none"/>
        </w:rPr>
        <w:t>%，独</w:t>
      </w:r>
      <w:r>
        <w:rPr>
          <w:rFonts w:hint="eastAsia" w:ascii="宋体" w:hAnsi="宋体"/>
          <w:sz w:val="24"/>
        </w:rPr>
        <w:t>立董事为</w:t>
      </w:r>
      <w:r>
        <w:rPr>
          <w:rFonts w:hint="eastAsia" w:ascii="宋体" w:hAnsi="宋体"/>
          <w:sz w:val="24"/>
          <w:lang w:eastAsia="zh-CN"/>
        </w:rPr>
        <w:t>公司</w:t>
      </w:r>
      <w:r>
        <w:rPr>
          <w:rFonts w:hint="eastAsia" w:ascii="宋体" w:hAnsi="宋体"/>
          <w:sz w:val="24"/>
        </w:rPr>
        <w:t>工作时间均</w:t>
      </w:r>
      <w:r>
        <w:rPr>
          <w:rFonts w:hint="eastAsia" w:ascii="宋体" w:hAnsi="宋体"/>
          <w:sz w:val="24"/>
          <w:highlight w:val="none"/>
        </w:rPr>
        <w:t>在15个</w:t>
      </w:r>
      <w:r>
        <w:rPr>
          <w:rFonts w:hint="eastAsia" w:ascii="宋体" w:hAnsi="宋体"/>
          <w:sz w:val="24"/>
        </w:rPr>
        <w:t>工作日以上，担任审计与消费者权益保护委员会、风险控制与关联交易管理委员会主任委员的董事，工作时间均在</w:t>
      </w:r>
      <w:r>
        <w:rPr>
          <w:rFonts w:hint="eastAsia" w:ascii="宋体" w:hAnsi="宋体"/>
          <w:sz w:val="24"/>
          <w:highlight w:val="none"/>
        </w:rPr>
        <w:t>2</w:t>
      </w:r>
      <w:r>
        <w:rPr>
          <w:rFonts w:ascii="宋体" w:hAnsi="宋体"/>
          <w:sz w:val="24"/>
          <w:highlight w:val="none"/>
        </w:rPr>
        <w:t>0</w:t>
      </w:r>
      <w:r>
        <w:rPr>
          <w:rFonts w:hint="eastAsia" w:ascii="宋体" w:hAnsi="宋体"/>
          <w:sz w:val="24"/>
          <w:highlight w:val="none"/>
        </w:rPr>
        <w:t>个工作日</w:t>
      </w:r>
      <w:r>
        <w:rPr>
          <w:rFonts w:hint="eastAsia" w:ascii="宋体" w:hAnsi="宋体"/>
          <w:sz w:val="24"/>
        </w:rPr>
        <w:t>以上，符合法律法规和公司章程规定的勤勉义务行为。</w:t>
      </w:r>
    </w:p>
    <w:p>
      <w:pPr>
        <w:pStyle w:val="30"/>
        <w:snapToGrid w:val="0"/>
        <w:spacing w:line="360" w:lineRule="auto"/>
        <w:ind w:firstLine="482"/>
        <w:rPr>
          <w:rFonts w:ascii="宋体" w:hAnsi="宋体"/>
          <w:b/>
          <w:sz w:val="24"/>
        </w:rPr>
      </w:pPr>
      <w:r>
        <w:rPr>
          <w:rFonts w:hint="eastAsia" w:ascii="宋体" w:hAnsi="宋体"/>
          <w:b/>
          <w:sz w:val="24"/>
        </w:rPr>
        <w:t>（三）履行专业性</w:t>
      </w:r>
    </w:p>
    <w:p>
      <w:pPr>
        <w:pStyle w:val="30"/>
        <w:snapToGrid w:val="0"/>
        <w:spacing w:line="360" w:lineRule="auto"/>
        <w:ind w:firstLine="480"/>
        <w:rPr>
          <w:rFonts w:ascii="宋体" w:hAnsi="宋体"/>
          <w:sz w:val="24"/>
        </w:rPr>
      </w:pPr>
      <w:r>
        <w:rPr>
          <w:rFonts w:hint="eastAsia" w:ascii="宋体" w:hAnsi="宋体"/>
          <w:sz w:val="24"/>
        </w:rPr>
        <w:t>全体董事均具备履职所必需的专业知识、工作经验和基本素质，能够结合自身职责，积极参加监管机构和公司组织的培训活动，不断加强对有关法律法规、银行业政策与业务及经济形势的学习；充分发挥自身专业优势，并围绕公司发展战略、薪酬管理、财务管理、利润分配、资本管理、风险管理、内控案防、关联交易、募集资金使用、消费者权益保护、信息披露等事项发表专业意见和建议，体现出高度的责任心和良好的专业素质，为董事会科学决策提供了有力支撑。</w:t>
      </w:r>
    </w:p>
    <w:p>
      <w:pPr>
        <w:pStyle w:val="30"/>
        <w:snapToGrid w:val="0"/>
        <w:spacing w:line="360" w:lineRule="auto"/>
        <w:ind w:firstLine="482"/>
        <w:rPr>
          <w:rFonts w:ascii="宋体" w:hAnsi="宋体"/>
          <w:b/>
          <w:bCs/>
          <w:sz w:val="24"/>
        </w:rPr>
      </w:pPr>
      <w:r>
        <w:rPr>
          <w:rFonts w:hint="eastAsia" w:ascii="宋体" w:hAnsi="宋体"/>
          <w:b/>
          <w:sz w:val="24"/>
        </w:rPr>
        <w:t>（四）</w:t>
      </w:r>
      <w:r>
        <w:rPr>
          <w:rFonts w:hint="eastAsia" w:ascii="宋体" w:hAnsi="宋体"/>
          <w:b/>
          <w:bCs/>
          <w:sz w:val="24"/>
        </w:rPr>
        <w:t>履职独立性与道德水准</w:t>
      </w:r>
    </w:p>
    <w:p>
      <w:pPr>
        <w:pStyle w:val="30"/>
        <w:snapToGrid w:val="0"/>
        <w:spacing w:line="360" w:lineRule="auto"/>
        <w:ind w:firstLine="480"/>
        <w:rPr>
          <w:rFonts w:ascii="宋体" w:hAnsi="宋体"/>
          <w:sz w:val="24"/>
        </w:rPr>
      </w:pPr>
      <w:r>
        <w:rPr>
          <w:rFonts w:hint="eastAsia" w:ascii="宋体" w:hAnsi="宋体"/>
          <w:sz w:val="24"/>
        </w:rPr>
        <w:t>全体董事能够坚持高标准的职业道德准则，不受主要股东和内部人控制或干预，独立自主地履行职责，公平对待全体股东、维护利益相关者的合法权益、积极履行社会责任。</w:t>
      </w:r>
    </w:p>
    <w:p>
      <w:pPr>
        <w:pStyle w:val="30"/>
        <w:snapToGrid w:val="0"/>
        <w:spacing w:line="360" w:lineRule="auto"/>
        <w:ind w:firstLine="482"/>
        <w:rPr>
          <w:rFonts w:ascii="宋体" w:hAnsi="宋体"/>
          <w:b/>
          <w:bCs/>
          <w:sz w:val="24"/>
        </w:rPr>
      </w:pPr>
      <w:r>
        <w:rPr>
          <w:rFonts w:hint="eastAsia" w:ascii="宋体" w:hAnsi="宋体"/>
          <w:b/>
          <w:bCs/>
          <w:sz w:val="24"/>
        </w:rPr>
        <w:t>（五）履职合规性</w:t>
      </w:r>
    </w:p>
    <w:p>
      <w:pPr>
        <w:pStyle w:val="30"/>
        <w:snapToGrid w:val="0"/>
        <w:spacing w:line="360" w:lineRule="auto"/>
        <w:ind w:firstLine="480"/>
        <w:rPr>
          <w:rFonts w:ascii="宋体" w:hAnsi="宋体"/>
          <w:sz w:val="24"/>
        </w:rPr>
      </w:pPr>
      <w:r>
        <w:rPr>
          <w:rFonts w:hint="eastAsia" w:ascii="宋体" w:hAnsi="宋体"/>
          <w:sz w:val="24"/>
        </w:rPr>
        <w:t>全体董事能够遵守法律法规、监管</w:t>
      </w:r>
      <w:r>
        <w:rPr>
          <w:rFonts w:hint="eastAsia" w:ascii="宋体" w:hAnsi="宋体"/>
          <w:sz w:val="24"/>
          <w:lang w:val="en-US" w:eastAsia="zh-CN"/>
        </w:rPr>
        <w:t>要求</w:t>
      </w:r>
      <w:r>
        <w:rPr>
          <w:rFonts w:hint="eastAsia" w:ascii="宋体" w:hAnsi="宋体"/>
          <w:sz w:val="24"/>
        </w:rPr>
        <w:t>及《公司章程》</w:t>
      </w:r>
      <w:r>
        <w:rPr>
          <w:rFonts w:hint="eastAsia" w:ascii="宋体" w:hAnsi="宋体"/>
          <w:sz w:val="24"/>
          <w:lang w:val="en-US" w:eastAsia="zh-CN"/>
        </w:rPr>
        <w:t>等规定</w:t>
      </w:r>
      <w:r>
        <w:rPr>
          <w:rFonts w:hint="eastAsia" w:ascii="宋体" w:hAnsi="宋体"/>
          <w:sz w:val="24"/>
        </w:rPr>
        <w:t>，持续规范自身履职行为，依法合规履行相应的职责，积极促进董事会不断提高决策的科学性和有效性，对公司推进战略规划落地、进一步完善公司治理结构、提高经营管理水平、保护投资者合法权益发挥了积极作用。</w:t>
      </w:r>
    </w:p>
    <w:p>
      <w:pPr>
        <w:snapToGrid w:val="0"/>
        <w:spacing w:line="360" w:lineRule="auto"/>
        <w:ind w:firstLine="482" w:firstLineChars="200"/>
        <w:rPr>
          <w:rFonts w:hint="eastAsia" w:ascii="宋体" w:hAnsi="宋体"/>
          <w:sz w:val="24"/>
        </w:rPr>
      </w:pPr>
      <w:r>
        <w:rPr>
          <w:rFonts w:hint="eastAsia" w:ascii="宋体" w:hAnsi="宋体"/>
          <w:b/>
          <w:bCs/>
          <w:sz w:val="24"/>
        </w:rPr>
        <w:t>监事会认为：</w:t>
      </w:r>
      <w:r>
        <w:rPr>
          <w:rFonts w:hint="eastAsia" w:ascii="宋体" w:hAnsi="宋体"/>
          <w:sz w:val="24"/>
        </w:rPr>
        <w:t>在评价期内，全体董事能够切实履行忠实与勤勉义务，具备履职专业性条件，坚持履职独立性与高标准的职业道德准则，遵守履职合规性要求。执行董事能团结带领经营班子全体成员，深入落实股东大会、董事会工作要求，完整、真实、及时地向董事会报告</w:t>
      </w:r>
      <w:r>
        <w:rPr>
          <w:rFonts w:hint="eastAsia" w:ascii="宋体" w:hAnsi="宋体"/>
          <w:sz w:val="24"/>
          <w:lang w:eastAsia="zh-CN"/>
        </w:rPr>
        <w:t>公司</w:t>
      </w:r>
      <w:r>
        <w:rPr>
          <w:rFonts w:hint="eastAsia" w:ascii="宋体" w:hAnsi="宋体"/>
          <w:sz w:val="24"/>
        </w:rPr>
        <w:t>经营情况及相关信息，保证董事会及其成员充分了解</w:t>
      </w:r>
      <w:r>
        <w:rPr>
          <w:rFonts w:hint="eastAsia" w:ascii="宋体" w:hAnsi="宋体"/>
          <w:sz w:val="24"/>
          <w:lang w:eastAsia="zh-CN"/>
        </w:rPr>
        <w:t>公司</w:t>
      </w:r>
      <w:r>
        <w:rPr>
          <w:rFonts w:hint="eastAsia" w:ascii="宋体" w:hAnsi="宋体"/>
          <w:sz w:val="24"/>
        </w:rPr>
        <w:t>运行状况，取得了好于预期的经营业绩，确保董事会制定的任务圆满完成；非执行董事能重点关注高级管理层对董事会决议的落实情况以及股东与</w:t>
      </w:r>
      <w:r>
        <w:rPr>
          <w:rFonts w:hint="eastAsia" w:ascii="宋体" w:hAnsi="宋体"/>
          <w:sz w:val="24"/>
          <w:lang w:eastAsia="zh-CN"/>
        </w:rPr>
        <w:t>公司</w:t>
      </w:r>
      <w:r>
        <w:rPr>
          <w:rFonts w:hint="eastAsia" w:ascii="宋体" w:hAnsi="宋体"/>
          <w:sz w:val="24"/>
        </w:rPr>
        <w:t>的关联交易情况，并做好</w:t>
      </w:r>
      <w:r>
        <w:rPr>
          <w:rFonts w:hint="eastAsia" w:ascii="宋体" w:hAnsi="宋体"/>
          <w:sz w:val="24"/>
          <w:lang w:eastAsia="zh-CN"/>
        </w:rPr>
        <w:t>公司</w:t>
      </w:r>
      <w:r>
        <w:rPr>
          <w:rFonts w:hint="eastAsia" w:ascii="宋体" w:hAnsi="宋体"/>
          <w:sz w:val="24"/>
        </w:rPr>
        <w:t>与股东之间的沟通工作；独立董事未受主要股东和内部人控制或干预，独立自主决策、履职，注重维护存款人和中小股东权益，并按照有关规定对重大决策事项发表独立意见，未发现独立董事存在法律法规</w:t>
      </w:r>
      <w:r>
        <w:rPr>
          <w:rFonts w:hint="eastAsia" w:ascii="宋体" w:hAnsi="宋体"/>
          <w:sz w:val="24"/>
          <w:lang w:eastAsia="zh-CN"/>
        </w:rPr>
        <w:t>、</w:t>
      </w:r>
      <w:r>
        <w:rPr>
          <w:rFonts w:hint="eastAsia" w:ascii="宋体" w:hAnsi="宋体"/>
          <w:sz w:val="24"/>
        </w:rPr>
        <w:t>监管</w:t>
      </w:r>
      <w:r>
        <w:rPr>
          <w:rFonts w:hint="eastAsia" w:ascii="宋体" w:hAnsi="宋体"/>
          <w:sz w:val="24"/>
          <w:lang w:val="en-US" w:eastAsia="zh-CN"/>
        </w:rPr>
        <w:t>要求</w:t>
      </w:r>
      <w:r>
        <w:rPr>
          <w:rFonts w:hint="eastAsia" w:ascii="宋体" w:hAnsi="宋体"/>
          <w:sz w:val="24"/>
        </w:rPr>
        <w:t>及《公司章程》</w:t>
      </w:r>
      <w:r>
        <w:rPr>
          <w:rFonts w:hint="eastAsia" w:ascii="宋体" w:hAnsi="宋体"/>
          <w:sz w:val="24"/>
          <w:lang w:val="en-US" w:eastAsia="zh-CN"/>
        </w:rPr>
        <w:t>等</w:t>
      </w:r>
      <w:r>
        <w:rPr>
          <w:rFonts w:hint="eastAsia" w:ascii="宋体" w:hAnsi="宋体"/>
          <w:sz w:val="24"/>
        </w:rPr>
        <w:t>规定的不得或不适合继续担任独立董事的情形。</w:t>
      </w:r>
    </w:p>
    <w:p>
      <w:pPr>
        <w:snapToGrid w:val="0"/>
        <w:spacing w:line="360" w:lineRule="auto"/>
        <w:ind w:firstLine="480" w:firstLineChars="200"/>
        <w:rPr>
          <w:rFonts w:ascii="宋体" w:hAnsi="宋体"/>
          <w:sz w:val="24"/>
        </w:rPr>
      </w:pPr>
      <w:r>
        <w:rPr>
          <w:rFonts w:hint="eastAsia" w:ascii="宋体" w:hAnsi="宋体"/>
          <w:sz w:val="24"/>
        </w:rPr>
        <w:t>对照董事履职评价标准，公司董事202</w:t>
      </w:r>
      <w:r>
        <w:rPr>
          <w:rFonts w:hint="eastAsia" w:ascii="宋体" w:hAnsi="宋体"/>
          <w:sz w:val="24"/>
          <w:lang w:val="en-US" w:eastAsia="zh-CN"/>
        </w:rPr>
        <w:t>2</w:t>
      </w:r>
      <w:r>
        <w:rPr>
          <w:rFonts w:hint="eastAsia" w:ascii="宋体" w:hAnsi="宋体"/>
          <w:sz w:val="24"/>
        </w:rPr>
        <w:t>年履职评价结果如下：</w:t>
      </w:r>
    </w:p>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2594"/>
        <w:gridCol w:w="1546"/>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董事姓名</w:t>
            </w:r>
          </w:p>
        </w:tc>
        <w:tc>
          <w:tcPr>
            <w:tcW w:w="2594"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履职评价结果</w:t>
            </w:r>
          </w:p>
        </w:tc>
        <w:tc>
          <w:tcPr>
            <w:tcW w:w="1546"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董事姓名</w:t>
            </w:r>
          </w:p>
        </w:tc>
        <w:tc>
          <w:tcPr>
            <w:tcW w:w="2952"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履职评价结果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吴世群</w:t>
            </w:r>
          </w:p>
        </w:tc>
        <w:tc>
          <w:tcPr>
            <w:tcW w:w="2594" w:type="dxa"/>
            <w:noWrap w:val="0"/>
            <w:vAlign w:val="center"/>
          </w:tcPr>
          <w:p>
            <w:pPr>
              <w:snapToGrid w:val="0"/>
              <w:spacing w:line="360" w:lineRule="auto"/>
              <w:jc w:val="center"/>
              <w:rPr>
                <w:rFonts w:ascii="宋体" w:hAnsi="宋体"/>
                <w:sz w:val="24"/>
              </w:rP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汤琼兰</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檀庄龙</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宁向东</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洪主民</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戴亦一</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吴昕颢</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谢德仁</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毛建忠</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聂秀峰</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周永伟</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 xml:space="preserve">陈 </w:t>
            </w:r>
            <w:r>
              <w:rPr>
                <w:rFonts w:ascii="宋体" w:hAnsi="宋体"/>
                <w:sz w:val="24"/>
              </w:rPr>
              <w:t xml:space="preserve"> </w:t>
            </w:r>
            <w:r>
              <w:rPr>
                <w:rFonts w:hint="eastAsia" w:ascii="宋体" w:hAnsi="宋体"/>
                <w:sz w:val="24"/>
              </w:rPr>
              <w:t>欣</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庄赛春</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ind w:firstLine="480" w:firstLineChars="200"/>
              <w:rPr>
                <w:rFonts w:ascii="宋体" w:hAnsi="宋体"/>
                <w:sz w:val="24"/>
              </w:rPr>
            </w:pPr>
            <w:r>
              <w:rPr>
                <w:rFonts w:hint="eastAsia" w:ascii="宋体" w:hAnsi="宋体"/>
                <w:sz w:val="24"/>
              </w:rPr>
              <w:t>—</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w:t>
            </w:r>
          </w:p>
        </w:tc>
      </w:tr>
    </w:tbl>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sz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sz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0"/>
          <w:lang w:val="en-US" w:eastAsia="zh-CN"/>
        </w:rPr>
      </w:pPr>
      <w:r>
        <w:rPr>
          <w:rFonts w:hint="eastAsia" w:ascii="宋体" w:hAnsi="宋体" w:eastAsia="宋体" w:cs="宋体"/>
          <w:sz w:val="24"/>
        </w:rPr>
        <w:t>本议案已经第八届</w:t>
      </w:r>
      <w:r>
        <w:rPr>
          <w:rFonts w:hint="eastAsia" w:ascii="宋体" w:hAnsi="宋体" w:eastAsia="宋体" w:cs="宋体"/>
          <w:sz w:val="24"/>
          <w:lang w:val="en-US" w:eastAsia="zh-CN"/>
        </w:rPr>
        <w:t>监事会</w:t>
      </w:r>
      <w:r>
        <w:rPr>
          <w:rFonts w:hint="eastAsia" w:ascii="宋体" w:hAnsi="宋体" w:eastAsia="宋体" w:cs="宋体"/>
          <w:sz w:val="24"/>
        </w:rPr>
        <w:t>第</w:t>
      </w:r>
      <w:r>
        <w:rPr>
          <w:rFonts w:hint="eastAsia" w:ascii="宋体" w:hAnsi="宋体" w:eastAsia="宋体" w:cs="宋体"/>
          <w:sz w:val="24"/>
          <w:lang w:val="en-US" w:eastAsia="zh-CN"/>
        </w:rPr>
        <w:t>二十</w:t>
      </w:r>
      <w:r>
        <w:rPr>
          <w:rFonts w:hint="eastAsia" w:ascii="宋体" w:hAnsi="宋体" w:eastAsia="宋体" w:cs="宋体"/>
          <w:sz w:val="24"/>
        </w:rPr>
        <w:t>次会议审议通过。</w:t>
      </w:r>
      <w:r>
        <w:rPr>
          <w:rFonts w:hint="eastAsia" w:ascii="宋体" w:hAnsi="宋体" w:eastAsia="宋体" w:cs="宋体"/>
          <w:sz w:val="24"/>
          <w:lang w:val="en-US" w:eastAsia="zh-CN"/>
        </w:rPr>
        <w:t>特此报告。</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sz w:val="24"/>
          <w:szCs w:val="20"/>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Ansi="宋体" w:eastAsia="宋体" w:cs="宋体"/>
          <w:sz w:val="24"/>
          <w:szCs w:val="24"/>
        </w:rPr>
      </w:pPr>
      <w:r>
        <w:rPr>
          <w:rFonts w:hint="eastAsia" w:hAnsi="宋体" w:eastAsia="宋体" w:cs="宋体"/>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hAnsi="宋体" w:eastAsia="宋体" w:cs="宋体"/>
          <w:sz w:val="24"/>
          <w:szCs w:val="24"/>
        </w:rPr>
        <w:t>202</w:t>
      </w:r>
      <w:r>
        <w:rPr>
          <w:rFonts w:hint="eastAsia" w:hAnsi="宋体" w:eastAsia="宋体" w:cs="宋体"/>
          <w:sz w:val="24"/>
          <w:szCs w:val="24"/>
          <w:lang w:val="en-US" w:eastAsia="zh-CN"/>
        </w:rPr>
        <w:t>3</w:t>
      </w:r>
      <w:r>
        <w:rPr>
          <w:rFonts w:hint="eastAsia" w:hAnsi="宋体" w:eastAsia="宋体" w:cs="宋体"/>
          <w:sz w:val="24"/>
          <w:szCs w:val="24"/>
        </w:rPr>
        <w:t>年</w:t>
      </w:r>
      <w:r>
        <w:rPr>
          <w:rFonts w:hint="eastAsia" w:hAnsi="宋体" w:eastAsia="宋体" w:cs="宋体"/>
          <w:sz w:val="24"/>
          <w:szCs w:val="24"/>
          <w:lang w:val="en-US" w:eastAsia="zh-CN"/>
        </w:rPr>
        <w:t>5</w:t>
      </w:r>
      <w:r>
        <w:rPr>
          <w:rFonts w:hint="eastAsia" w:hAnsi="宋体" w:eastAsia="宋体" w:cs="宋体"/>
          <w:sz w:val="24"/>
          <w:szCs w:val="24"/>
        </w:rPr>
        <w:t>月</w:t>
      </w:r>
      <w:r>
        <w:rPr>
          <w:rFonts w:hint="eastAsia" w:hAnsi="宋体" w:eastAsia="宋体" w:cs="宋体"/>
          <w:sz w:val="24"/>
          <w:szCs w:val="24"/>
          <w:lang w:val="en-US" w:eastAsia="zh-CN"/>
        </w:rPr>
        <w:t>18</w:t>
      </w:r>
      <w:r>
        <w:rPr>
          <w:rFonts w:hint="eastAsia" w:hAnsi="宋体" w:eastAsia="宋体" w:cs="宋体"/>
          <w:sz w:val="24"/>
          <w:szCs w:val="24"/>
        </w:rPr>
        <w:t>日</w:t>
      </w:r>
    </w:p>
    <w:p>
      <w:pPr>
        <w:rPr>
          <w:rFonts w:hint="default"/>
          <w:lang w:val="en-US" w:eastAsia="zh-CN"/>
        </w:rPr>
      </w:pPr>
      <w:r>
        <w:rPr>
          <w:rFonts w:hint="default"/>
          <w:lang w:val="en-US" w:eastAsia="zh-CN"/>
        </w:rP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15"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报告4</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71552;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IVwW1gAAAAUBAAAPAAAAAAAA&#10;AAEAIAAAACIAAABkcnMvZG93bnJldi54bWxQSwECFAAUAAAACACHTuJA+hH64RQCAABFBAAADgAA&#10;AAAAAAABACAAAAAlAQAAZHJzL2Uyb0RvYy54bWxQSwUGAAAAAAYABgBZAQAAqwU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报告4</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w:t>
      </w: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2022年度高级管理层及其成员履职评价报告</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 w:val="24"/>
        </w:rPr>
      </w:pPr>
      <w:r>
        <w:rPr>
          <w:rFonts w:hint="eastAsia" w:ascii="宋体" w:hAnsi="宋体" w:eastAsia="宋体" w:cs="宋体"/>
          <w:bCs/>
          <w:color w:val="000000"/>
          <w:kern w:val="36"/>
          <w:sz w:val="24"/>
        </w:rPr>
        <w:t>尊敬的各位</w:t>
      </w:r>
      <w:r>
        <w:rPr>
          <w:rFonts w:hint="eastAsia" w:ascii="宋体" w:hAnsi="宋体" w:eastAsia="宋体" w:cs="宋体"/>
          <w:sz w:val="24"/>
        </w:rPr>
        <w:t>股东</w:t>
      </w:r>
      <w:r>
        <w:rPr>
          <w:rFonts w:hint="eastAsia" w:ascii="宋体" w:hAnsi="宋体" w:eastAsia="宋体" w:cs="宋体"/>
          <w:bCs/>
          <w:color w:val="000000"/>
          <w:kern w:val="36"/>
          <w:sz w:val="24"/>
        </w:rPr>
        <w:t>：</w:t>
      </w:r>
    </w:p>
    <w:p>
      <w:pPr>
        <w:snapToGrid w:val="0"/>
        <w:spacing w:line="360" w:lineRule="auto"/>
        <w:ind w:firstLine="555"/>
        <w:rPr>
          <w:rFonts w:ascii="宋体" w:hAnsi="宋体"/>
          <w:sz w:val="24"/>
        </w:rPr>
      </w:pPr>
      <w:r>
        <w:rPr>
          <w:rFonts w:hint="eastAsia" w:ascii="宋体" w:hAnsi="宋体"/>
          <w:sz w:val="24"/>
        </w:rPr>
        <w:t>根据中国银保监会《银行保险机构公司治理准则》《商业银行监事会工作指引》以及《厦门银行股份有限公司高级管理层及其成员履职评价办法》（</w:t>
      </w:r>
      <w:r>
        <w:rPr>
          <w:rFonts w:hint="eastAsia" w:ascii="宋体" w:hAnsi="宋体"/>
          <w:sz w:val="24"/>
          <w:lang w:val="en-US" w:eastAsia="zh-CN"/>
        </w:rPr>
        <w:t>以下简</w:t>
      </w:r>
      <w:r>
        <w:rPr>
          <w:rFonts w:hint="eastAsia" w:ascii="宋体" w:hAnsi="宋体"/>
          <w:sz w:val="24"/>
        </w:rPr>
        <w:t>称“《履职评价办法》”）的规定，厦门银行股份有限公司（</w:t>
      </w:r>
      <w:r>
        <w:rPr>
          <w:rFonts w:hint="eastAsia" w:ascii="宋体" w:hAnsi="宋体"/>
          <w:sz w:val="24"/>
          <w:lang w:val="en-US" w:eastAsia="zh-CN"/>
        </w:rPr>
        <w:t>以下简</w:t>
      </w:r>
      <w:r>
        <w:rPr>
          <w:rFonts w:hint="eastAsia" w:ascii="宋体" w:hAnsi="宋体"/>
          <w:sz w:val="24"/>
        </w:rPr>
        <w:t>称“公司”）监事会于202</w:t>
      </w:r>
      <w:r>
        <w:rPr>
          <w:rFonts w:hint="eastAsia" w:ascii="宋体" w:hAnsi="宋体"/>
          <w:sz w:val="24"/>
          <w:lang w:val="en-US" w:eastAsia="zh-CN"/>
        </w:rPr>
        <w:t>3</w:t>
      </w:r>
      <w:r>
        <w:rPr>
          <w:rFonts w:hint="eastAsia" w:ascii="宋体" w:hAnsi="宋体"/>
          <w:sz w:val="24"/>
        </w:rPr>
        <w:t>年</w:t>
      </w:r>
      <w:r>
        <w:rPr>
          <w:rFonts w:ascii="宋体" w:hAnsi="宋体"/>
          <w:sz w:val="24"/>
        </w:rPr>
        <w:t>1</w:t>
      </w:r>
      <w:r>
        <w:rPr>
          <w:rFonts w:hint="eastAsia" w:ascii="宋体" w:hAnsi="宋体"/>
          <w:sz w:val="24"/>
        </w:rPr>
        <w:t>月至</w:t>
      </w:r>
      <w:r>
        <w:rPr>
          <w:rFonts w:ascii="宋体" w:hAnsi="宋体"/>
          <w:sz w:val="24"/>
        </w:rPr>
        <w:t>4</w:t>
      </w:r>
      <w:r>
        <w:rPr>
          <w:rFonts w:hint="eastAsia" w:ascii="宋体" w:hAnsi="宋体"/>
          <w:sz w:val="24"/>
        </w:rPr>
        <w:t>月组织开展了高级管理层及其成员202</w:t>
      </w:r>
      <w:r>
        <w:rPr>
          <w:rFonts w:hint="eastAsia" w:ascii="宋体" w:hAnsi="宋体"/>
          <w:sz w:val="24"/>
          <w:lang w:val="en-US" w:eastAsia="zh-CN"/>
        </w:rPr>
        <w:t>2</w:t>
      </w:r>
      <w:r>
        <w:rPr>
          <w:rFonts w:hint="eastAsia" w:ascii="宋体" w:hAnsi="宋体"/>
          <w:sz w:val="24"/>
        </w:rPr>
        <w:t>年度履职评价工作，现将有关情况报告如下：</w:t>
      </w:r>
    </w:p>
    <w:p>
      <w:pPr>
        <w:pStyle w:val="30"/>
        <w:snapToGrid w:val="0"/>
        <w:spacing w:line="360" w:lineRule="auto"/>
        <w:ind w:left="556" w:firstLine="0" w:firstLineChars="0"/>
        <w:rPr>
          <w:rFonts w:ascii="宋体" w:hAnsi="宋体"/>
          <w:b/>
          <w:sz w:val="24"/>
        </w:rPr>
      </w:pPr>
      <w:r>
        <w:rPr>
          <w:rFonts w:hint="eastAsia" w:ascii="宋体" w:hAnsi="宋体"/>
          <w:b/>
          <w:sz w:val="24"/>
        </w:rPr>
        <w:t>一、履职评价工作开展情况</w:t>
      </w:r>
    </w:p>
    <w:p>
      <w:pPr>
        <w:pStyle w:val="30"/>
        <w:snapToGrid w:val="0"/>
        <w:spacing w:line="360" w:lineRule="auto"/>
        <w:ind w:left="556" w:firstLine="0" w:firstLineChars="0"/>
        <w:rPr>
          <w:rFonts w:ascii="宋体" w:hAnsi="宋体"/>
          <w:b/>
          <w:sz w:val="24"/>
        </w:rPr>
      </w:pPr>
      <w:r>
        <w:rPr>
          <w:rFonts w:hint="eastAsia" w:ascii="宋体" w:hAnsi="宋体"/>
          <w:b/>
          <w:sz w:val="24"/>
        </w:rPr>
        <w:t>（一）履职评价对象及内容</w:t>
      </w:r>
    </w:p>
    <w:p>
      <w:pPr>
        <w:snapToGrid w:val="0"/>
        <w:spacing w:line="360" w:lineRule="auto"/>
        <w:ind w:firstLine="480" w:firstLineChars="200"/>
        <w:rPr>
          <w:rFonts w:ascii="宋体" w:hAnsi="宋体"/>
          <w:sz w:val="24"/>
        </w:rPr>
      </w:pPr>
      <w:r>
        <w:rPr>
          <w:rFonts w:hint="eastAsia" w:ascii="宋体" w:hAnsi="宋体"/>
          <w:sz w:val="24"/>
        </w:rPr>
        <w:t>履职评价对象为</w:t>
      </w:r>
      <w:r>
        <w:rPr>
          <w:rFonts w:hint="eastAsia" w:ascii="宋体" w:hAnsi="宋体"/>
          <w:sz w:val="24"/>
          <w:lang w:eastAsia="zh-CN"/>
        </w:rPr>
        <w:t>公司</w:t>
      </w:r>
      <w:r>
        <w:rPr>
          <w:rFonts w:hint="eastAsia" w:ascii="宋体" w:hAnsi="宋体"/>
          <w:sz w:val="24"/>
        </w:rPr>
        <w:t>第八届高级管理层及其成员。对高级管理层履职评价的重点是高管层运作的规范性和有效性以及年度经营指标达成情况等方面</w:t>
      </w:r>
      <w:r>
        <w:rPr>
          <w:rFonts w:hint="eastAsia" w:ascii="宋体" w:hAnsi="宋体"/>
          <w:sz w:val="24"/>
          <w:lang w:eastAsia="zh-CN"/>
        </w:rPr>
        <w:t>。</w:t>
      </w:r>
      <w:r>
        <w:rPr>
          <w:rFonts w:hint="eastAsia" w:ascii="宋体" w:hAnsi="宋体"/>
          <w:sz w:val="24"/>
        </w:rPr>
        <w:t>对高级管理人员履职评价主要包括履行忠实义务、履行勤勉义务、履职专业性、履职独立性与道德水准、履职合规性五个维度，重点关注高级管理人员的日常履职行为。</w:t>
      </w:r>
    </w:p>
    <w:p>
      <w:pPr>
        <w:pStyle w:val="30"/>
        <w:snapToGrid w:val="0"/>
        <w:spacing w:line="360" w:lineRule="auto"/>
        <w:ind w:left="556" w:firstLine="0" w:firstLineChars="0"/>
        <w:rPr>
          <w:rFonts w:ascii="宋体" w:hAnsi="宋体"/>
          <w:b/>
          <w:sz w:val="24"/>
        </w:rPr>
      </w:pPr>
      <w:r>
        <w:rPr>
          <w:rFonts w:hint="eastAsia" w:ascii="宋体" w:hAnsi="宋体"/>
          <w:b/>
          <w:sz w:val="24"/>
        </w:rPr>
        <w:t>（二）评价程序和方法</w:t>
      </w:r>
    </w:p>
    <w:p>
      <w:pPr>
        <w:pStyle w:val="30"/>
        <w:snapToGrid w:val="0"/>
        <w:spacing w:line="360" w:lineRule="auto"/>
        <w:ind w:firstLineChars="0"/>
        <w:rPr>
          <w:rFonts w:hint="eastAsia" w:ascii="宋体" w:hAnsi="宋体" w:eastAsia="宋体" w:cs="Times New Roman"/>
          <w:sz w:val="24"/>
        </w:rPr>
      </w:pPr>
      <w:r>
        <w:rPr>
          <w:rFonts w:hint="eastAsia" w:ascii="宋体" w:hAnsi="宋体"/>
          <w:sz w:val="24"/>
        </w:rPr>
        <w:t>履职评价由</w:t>
      </w:r>
      <w:r>
        <w:rPr>
          <w:rFonts w:hint="eastAsia" w:ascii="宋体" w:hAnsi="宋体"/>
          <w:sz w:val="24"/>
          <w:lang w:eastAsia="zh-CN"/>
        </w:rPr>
        <w:t>公司</w:t>
      </w:r>
      <w:r>
        <w:rPr>
          <w:rFonts w:hint="eastAsia" w:ascii="宋体" w:hAnsi="宋体"/>
          <w:sz w:val="24"/>
        </w:rPr>
        <w:t>监事会组织实施，根据《履职评价办法》等相关规定向高级管理层发出《关于开展202</w:t>
      </w:r>
      <w:r>
        <w:rPr>
          <w:rFonts w:hint="eastAsia" w:ascii="宋体" w:hAnsi="宋体"/>
          <w:sz w:val="24"/>
          <w:lang w:val="en-US" w:eastAsia="zh-CN"/>
        </w:rPr>
        <w:t>2</w:t>
      </w:r>
      <w:r>
        <w:rPr>
          <w:rFonts w:hint="eastAsia" w:ascii="宋体" w:hAnsi="宋体"/>
          <w:sz w:val="24"/>
        </w:rPr>
        <w:t>年度高级管理层及其成员履职评价工作的通知》，请高管层及其成员按照履职评价的要求及相关履职参考材料，客观、公正地做好履职评价自评工作。经过高管自评、高级管理层自评、董事会评价、监事会提名委员会</w:t>
      </w:r>
      <w:r>
        <w:rPr>
          <w:rFonts w:hint="eastAsia" w:ascii="宋体" w:hAnsi="宋体" w:eastAsia="宋体" w:cs="Times New Roman"/>
          <w:sz w:val="24"/>
        </w:rPr>
        <w:t>评价环节，监事会结合日常监督和内外部检查情况，对高级管理层及其成员履职情况进行综合评价，并确定总体评价得分和评价等级。</w:t>
      </w:r>
    </w:p>
    <w:p>
      <w:pPr>
        <w:pStyle w:val="30"/>
        <w:snapToGrid w:val="0"/>
        <w:spacing w:line="360" w:lineRule="auto"/>
        <w:ind w:left="0" w:firstLine="482" w:firstLineChars="200"/>
        <w:rPr>
          <w:rFonts w:hint="eastAsia" w:ascii="宋体" w:hAnsi="宋体" w:eastAsia="宋体" w:cs="Times New Roman"/>
          <w:b/>
          <w:bCs/>
          <w:sz w:val="24"/>
        </w:rPr>
      </w:pPr>
      <w:r>
        <w:rPr>
          <w:rFonts w:hint="eastAsia" w:ascii="宋体" w:hAnsi="宋体" w:eastAsia="宋体" w:cs="Times New Roman"/>
          <w:b/>
          <w:bCs/>
          <w:sz w:val="24"/>
        </w:rPr>
        <w:t>二、对高级管理层202</w:t>
      </w:r>
      <w:r>
        <w:rPr>
          <w:rFonts w:hint="eastAsia" w:ascii="宋体" w:hAnsi="宋体" w:eastAsia="宋体" w:cs="Times New Roman"/>
          <w:b/>
          <w:bCs/>
          <w:sz w:val="24"/>
          <w:lang w:val="en-US" w:eastAsia="zh-CN"/>
        </w:rPr>
        <w:t>2</w:t>
      </w:r>
      <w:r>
        <w:rPr>
          <w:rFonts w:hint="eastAsia" w:ascii="宋体" w:hAnsi="宋体" w:eastAsia="宋体" w:cs="Times New Roman"/>
          <w:b/>
          <w:bCs/>
          <w:sz w:val="24"/>
        </w:rPr>
        <w:t>年度履职情况的评价</w:t>
      </w:r>
    </w:p>
    <w:p>
      <w:pPr>
        <w:pStyle w:val="30"/>
        <w:snapToGrid w:val="0"/>
        <w:spacing w:line="360" w:lineRule="auto"/>
        <w:ind w:firstLineChars="0"/>
        <w:rPr>
          <w:rFonts w:hint="eastAsia" w:ascii="宋体" w:hAnsi="宋体" w:eastAsia="宋体" w:cs="Times New Roman"/>
          <w:sz w:val="24"/>
          <w:szCs w:val="24"/>
        </w:rPr>
      </w:pPr>
      <w:r>
        <w:rPr>
          <w:rFonts w:hint="eastAsia" w:ascii="宋体" w:hAnsi="宋体" w:eastAsia="宋体" w:cs="Times New Roman"/>
          <w:sz w:val="24"/>
        </w:rPr>
        <w:t>202</w:t>
      </w:r>
      <w:r>
        <w:rPr>
          <w:rFonts w:hint="eastAsia" w:ascii="宋体" w:hAnsi="宋体" w:eastAsia="宋体" w:cs="Times New Roman"/>
          <w:sz w:val="24"/>
          <w:lang w:val="en-US" w:eastAsia="zh-CN"/>
        </w:rPr>
        <w:t>2</w:t>
      </w:r>
      <w:r>
        <w:rPr>
          <w:rFonts w:hint="eastAsia" w:ascii="宋体" w:hAnsi="宋体" w:eastAsia="宋体" w:cs="Times New Roman"/>
          <w:sz w:val="24"/>
        </w:rPr>
        <w:t>年，公司高级管理层</w:t>
      </w:r>
      <w:r>
        <w:rPr>
          <w:rFonts w:hint="eastAsia" w:ascii="宋体" w:hAnsi="宋体" w:eastAsia="宋体" w:cs="Times New Roman"/>
          <w:sz w:val="24"/>
          <w:lang w:val="en-US" w:eastAsia="zh-CN"/>
        </w:rPr>
        <w:t>在董事会的领导和支持下，坚持党建引领，</w:t>
      </w:r>
      <w:r>
        <w:rPr>
          <w:rFonts w:hint="eastAsia" w:ascii="宋体" w:hAnsi="宋体" w:eastAsia="宋体" w:cs="Times New Roman"/>
          <w:sz w:val="24"/>
        </w:rPr>
        <w:t>认真贯彻执行国家经济金融政策和监管要求，积极落实股东大会、董事会、监事会各项决策决议，勤勉履职，</w:t>
      </w:r>
      <w:r>
        <w:rPr>
          <w:rFonts w:hint="eastAsia" w:ascii="宋体" w:hAnsi="宋体" w:eastAsia="宋体" w:cs="Times New Roman"/>
          <w:b w:val="0"/>
          <w:bCs w:val="0"/>
          <w:sz w:val="24"/>
          <w:szCs w:val="24"/>
        </w:rPr>
        <w:t>始终保持战略定力，优化升级经营管理机制。</w:t>
      </w:r>
      <w:r>
        <w:rPr>
          <w:rFonts w:hint="eastAsia" w:ascii="宋体" w:hAnsi="宋体" w:eastAsia="宋体" w:cs="Times New Roman"/>
          <w:sz w:val="24"/>
          <w:szCs w:val="24"/>
        </w:rPr>
        <w:t>坚定执行“做大零售、做强对公、做深两岸、做优资金”的业务发展战略，通过建机制、定目标</w:t>
      </w:r>
      <w:r>
        <w:rPr>
          <w:rFonts w:hint="eastAsia" w:ascii="宋体" w:hAnsi="宋体" w:eastAsia="宋体" w:cs="Times New Roman"/>
          <w:sz w:val="24"/>
          <w:szCs w:val="24"/>
          <w:lang w:eastAsia="zh-CN"/>
        </w:rPr>
        <w:t>，</w:t>
      </w:r>
      <w:r>
        <w:rPr>
          <w:rFonts w:hint="eastAsia" w:ascii="宋体" w:hAnsi="宋体" w:eastAsia="宋体" w:cs="Times New Roman"/>
          <w:sz w:val="24"/>
          <w:szCs w:val="24"/>
        </w:rPr>
        <w:t>持续丰富“公私联动”“银租协同”等综合经营管理内容，扎实推进和提升综合金融服务能力</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取得较好成绩。</w:t>
      </w:r>
      <w:r>
        <w:rPr>
          <w:rFonts w:hint="eastAsia" w:ascii="宋体" w:hAnsi="宋体" w:eastAsia="宋体" w:cs="Times New Roman"/>
          <w:sz w:val="24"/>
          <w:szCs w:val="24"/>
          <w:lang w:val="en-US"/>
        </w:rPr>
        <w:t>公司实现营业收入58.95亿元，同比增长10.90%；归属于上市公司股东的净利润25.06亿元，同比增长15.56%。截至2022年末，公司资产规模达到3712.08亿元，较上年末增长12.66%；存款总额、贷款总额“双双”突破2000亿元大关；盈利能力持续提升，净利润同比增长16.21%；资产质量保持稳定，不良贷款率0.86%，较上年末下降0.05个百分点；风险抵补能力持续增强，拨备覆盖率387.93%，较上年末上升17.29个百分点</w:t>
      </w:r>
      <w:r>
        <w:rPr>
          <w:rFonts w:hint="eastAsia" w:ascii="宋体" w:hAnsi="宋体" w:eastAsia="宋体" w:cs="Times New Roman"/>
          <w:sz w:val="24"/>
          <w:szCs w:val="24"/>
        </w:rPr>
        <w:t>。</w:t>
      </w:r>
    </w:p>
    <w:p>
      <w:pPr>
        <w:pStyle w:val="30"/>
        <w:snapToGrid w:val="0"/>
        <w:spacing w:line="360" w:lineRule="auto"/>
        <w:ind w:firstLineChars="0"/>
        <w:rPr>
          <w:rFonts w:hint="eastAsia" w:ascii="宋体" w:hAnsi="宋体" w:eastAsia="宋体" w:cs="Times New Roman"/>
          <w:sz w:val="24"/>
        </w:rPr>
      </w:pP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公司高级管理层不断提升战略执行力，逐步向“结构调整优先</w:t>
      </w:r>
      <w:r>
        <w:rPr>
          <w:rFonts w:hint="eastAsia" w:ascii="宋体" w:hAnsi="宋体" w:eastAsia="宋体" w:cs="宋体"/>
          <w:sz w:val="24"/>
          <w:szCs w:val="24"/>
        </w:rPr>
        <w:t>于规模增长”的高质量发展转变</w:t>
      </w:r>
      <w:r>
        <w:rPr>
          <w:rFonts w:hint="eastAsia" w:ascii="宋体" w:hAnsi="宋体" w:eastAsia="宋体" w:cs="宋体"/>
          <w:sz w:val="24"/>
          <w:szCs w:val="24"/>
          <w:lang w:eastAsia="zh-CN"/>
        </w:rPr>
        <w:t>。</w:t>
      </w:r>
      <w:r>
        <w:rPr>
          <w:rFonts w:hint="eastAsia" w:ascii="宋体" w:hAnsi="宋体" w:eastAsia="宋体" w:cs="宋体"/>
          <w:sz w:val="24"/>
          <w:szCs w:val="24"/>
        </w:rPr>
        <w:t>在零售业务方面，坚定推进大零售业务转型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持续扩大</w:t>
      </w:r>
      <w:r>
        <w:rPr>
          <w:rFonts w:hint="eastAsia" w:ascii="宋体" w:hAnsi="宋体" w:eastAsia="宋体" w:cs="宋体"/>
          <w:sz w:val="24"/>
          <w:szCs w:val="24"/>
        </w:rPr>
        <w:t>普惠金融服务</w:t>
      </w:r>
      <w:r>
        <w:rPr>
          <w:rFonts w:hint="eastAsia" w:ascii="宋体" w:hAnsi="宋体" w:eastAsia="宋体" w:cs="宋体"/>
          <w:sz w:val="24"/>
          <w:szCs w:val="24"/>
          <w:lang w:eastAsia="zh-CN"/>
        </w:rPr>
        <w:t>，</w:t>
      </w:r>
      <w:r>
        <w:rPr>
          <w:rFonts w:hint="eastAsia" w:ascii="宋体" w:hAnsi="宋体" w:eastAsia="宋体" w:cs="宋体"/>
          <w:sz w:val="24"/>
          <w:szCs w:val="24"/>
        </w:rPr>
        <w:t>优化消费信贷服务体系</w:t>
      </w:r>
      <w:r>
        <w:rPr>
          <w:rFonts w:hint="eastAsia" w:ascii="宋体" w:hAnsi="宋体" w:eastAsia="宋体" w:cs="宋体"/>
          <w:sz w:val="24"/>
          <w:szCs w:val="24"/>
          <w:lang w:eastAsia="zh-CN"/>
        </w:rPr>
        <w:t>，</w:t>
      </w:r>
      <w:r>
        <w:rPr>
          <w:rFonts w:hint="eastAsia" w:ascii="宋体" w:hAnsi="宋体" w:eastAsia="宋体" w:cs="宋体"/>
          <w:sz w:val="24"/>
          <w:szCs w:val="24"/>
        </w:rPr>
        <w:t>透过具体项目完善客户体验管理机制，赋能提升运营能力和服务水平</w:t>
      </w:r>
      <w:r>
        <w:rPr>
          <w:rFonts w:hint="eastAsia" w:ascii="宋体" w:hAnsi="宋体" w:eastAsia="宋体" w:cs="宋体"/>
          <w:sz w:val="24"/>
          <w:szCs w:val="24"/>
          <w:lang w:eastAsia="zh-CN"/>
        </w:rPr>
        <w:t>；</w:t>
      </w:r>
      <w:r>
        <w:rPr>
          <w:rFonts w:hint="eastAsia" w:ascii="宋体" w:hAnsi="宋体" w:eastAsia="宋体" w:cs="宋体"/>
          <w:sz w:val="24"/>
          <w:szCs w:val="24"/>
        </w:rPr>
        <w:t>完善总行创利中心工作机制，深化赋能分行专业技能和服务提升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强化零售</w:t>
      </w:r>
      <w:r>
        <w:rPr>
          <w:rFonts w:hint="eastAsia" w:ascii="宋体" w:hAnsi="宋体" w:eastAsia="宋体" w:cs="宋体"/>
          <w:sz w:val="24"/>
          <w:szCs w:val="24"/>
        </w:rPr>
        <w:t>全面风险管理机制，</w:t>
      </w:r>
      <w:r>
        <w:rPr>
          <w:rFonts w:hint="eastAsia" w:ascii="宋体" w:hAnsi="宋体" w:eastAsia="宋体" w:cs="宋体"/>
          <w:sz w:val="24"/>
          <w:szCs w:val="24"/>
          <w:u w:val="none"/>
        </w:rPr>
        <w:t>零售信贷自主风控模型和策略得以落地。</w:t>
      </w:r>
      <w:r>
        <w:rPr>
          <w:rFonts w:hint="eastAsia" w:ascii="宋体" w:hAnsi="宋体" w:eastAsia="宋体" w:cs="宋体"/>
          <w:sz w:val="24"/>
          <w:szCs w:val="24"/>
        </w:rPr>
        <w:t>在对公业务方面，</w:t>
      </w:r>
      <w:r>
        <w:rPr>
          <w:rFonts w:hint="eastAsia" w:ascii="宋体" w:hAnsi="宋体" w:eastAsia="宋体" w:cs="宋体"/>
          <w:sz w:val="24"/>
          <w:szCs w:val="24"/>
          <w:lang w:val="en-US" w:eastAsia="zh-CN"/>
        </w:rPr>
        <w:t>持续</w:t>
      </w:r>
      <w:r>
        <w:rPr>
          <w:rFonts w:hint="eastAsia" w:ascii="宋体" w:hAnsi="宋体" w:eastAsia="宋体" w:cs="宋体"/>
          <w:b w:val="0"/>
          <w:bCs w:val="0"/>
          <w:sz w:val="24"/>
          <w:szCs w:val="24"/>
        </w:rPr>
        <w:t>稳固全行发展的“压舱石”</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全力加快对公转型</w:t>
      </w:r>
      <w:r>
        <w:rPr>
          <w:rFonts w:hint="eastAsia" w:ascii="宋体" w:hAnsi="宋体" w:eastAsia="宋体" w:cs="宋体"/>
          <w:b w:val="0"/>
          <w:bCs w:val="0"/>
          <w:sz w:val="24"/>
          <w:szCs w:val="24"/>
          <w:lang w:eastAsia="zh-CN"/>
        </w:rPr>
        <w:t>，</w:t>
      </w:r>
      <w:r>
        <w:rPr>
          <w:rFonts w:hint="eastAsia" w:ascii="宋体" w:hAnsi="宋体" w:eastAsia="宋体" w:cs="宋体"/>
          <w:sz w:val="24"/>
          <w:szCs w:val="24"/>
        </w:rPr>
        <w:t>对公存款结构明显改善，存</w:t>
      </w:r>
      <w:r>
        <w:rPr>
          <w:rFonts w:hint="eastAsia" w:ascii="宋体" w:hAnsi="宋体" w:cs="宋体"/>
          <w:sz w:val="24"/>
          <w:szCs w:val="24"/>
        </w:rPr>
        <w:t>款日均保持较高增速</w:t>
      </w:r>
      <w:r>
        <w:rPr>
          <w:rFonts w:hint="eastAsia" w:ascii="宋体" w:hAnsi="宋体" w:cs="宋体"/>
          <w:sz w:val="24"/>
          <w:szCs w:val="24"/>
          <w:lang w:eastAsia="zh-CN"/>
        </w:rPr>
        <w:t>，</w:t>
      </w:r>
      <w:r>
        <w:rPr>
          <w:rFonts w:hint="eastAsia" w:ascii="宋体" w:hAnsi="宋体" w:cs="宋体"/>
          <w:sz w:val="24"/>
          <w:szCs w:val="24"/>
        </w:rPr>
        <w:t>普惠小微、绿色金融等重点信贷业务多点开花，创新推出供货贷、线上创抵贷、信贷工厂2.0抵押贷、光伏贷、PPP项目贷、碳排放权质押贷等多个产品及专案，</w:t>
      </w:r>
      <w:r>
        <w:rPr>
          <w:rFonts w:hint="eastAsia" w:ascii="宋体" w:hAnsi="宋体" w:eastAsia="宋体" w:cs="Times New Roman"/>
          <w:sz w:val="24"/>
          <w:szCs w:val="24"/>
        </w:rPr>
        <w:t>供应链转型取得阶段成果</w:t>
      </w:r>
      <w:r>
        <w:rPr>
          <w:rFonts w:hint="eastAsia" w:ascii="宋体" w:hAnsi="宋体" w:eastAsia="宋体" w:cs="Times New Roman"/>
          <w:sz w:val="24"/>
          <w:szCs w:val="24"/>
          <w:lang w:eastAsia="zh-CN"/>
        </w:rPr>
        <w:t>，</w:t>
      </w:r>
      <w:r>
        <w:rPr>
          <w:rFonts w:hint="eastAsia" w:ascii="宋体" w:hAnsi="宋体" w:eastAsia="宋体" w:cs="Times New Roman"/>
          <w:sz w:val="24"/>
          <w:szCs w:val="24"/>
        </w:rPr>
        <w:t>跨境金融的市场竞争力持续</w:t>
      </w:r>
      <w:r>
        <w:rPr>
          <w:rFonts w:hint="eastAsia" w:ascii="宋体" w:hAnsi="宋体" w:eastAsia="宋体" w:cs="Times New Roman"/>
          <w:sz w:val="24"/>
          <w:szCs w:val="24"/>
          <w:lang w:val="en-US" w:eastAsia="zh-CN"/>
        </w:rPr>
        <w:t>增强</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银</w:t>
      </w:r>
      <w:r>
        <w:rPr>
          <w:rFonts w:hint="eastAsia" w:ascii="宋体" w:hAnsi="宋体" w:eastAsia="宋体" w:cs="Times New Roman"/>
          <w:sz w:val="24"/>
          <w:szCs w:val="24"/>
          <w:u w:val="none"/>
        </w:rPr>
        <w:t>团及并购贷款显著提升</w:t>
      </w:r>
      <w:r>
        <w:rPr>
          <w:rFonts w:hint="eastAsia" w:ascii="宋体" w:hAnsi="宋体" w:eastAsia="宋体" w:cs="宋体"/>
          <w:sz w:val="24"/>
          <w:szCs w:val="24"/>
          <w:u w:val="none"/>
          <w:lang w:eastAsia="zh-CN"/>
        </w:rPr>
        <w:t>。</w:t>
      </w:r>
      <w:r>
        <w:rPr>
          <w:rFonts w:hint="eastAsia" w:ascii="宋体" w:hAnsi="宋体" w:eastAsia="宋体" w:cs="Times New Roman"/>
          <w:sz w:val="24"/>
        </w:rPr>
        <w:t>在两岸金融业务方面，</w:t>
      </w:r>
      <w:r>
        <w:rPr>
          <w:rFonts w:hint="eastAsia" w:ascii="宋体" w:hAnsi="宋体" w:eastAsia="宋体" w:cs="Times New Roman"/>
          <w:b w:val="0"/>
          <w:bCs w:val="0"/>
          <w:sz w:val="24"/>
          <w:szCs w:val="24"/>
        </w:rPr>
        <w:t>不断升级两岸金融服务，</w:t>
      </w:r>
      <w:r>
        <w:rPr>
          <w:rFonts w:hint="eastAsia" w:ascii="宋体" w:hAnsi="宋体" w:eastAsia="宋体" w:cs="Times New Roman"/>
          <w:sz w:val="24"/>
          <w:szCs w:val="24"/>
        </w:rPr>
        <w:t>对台信贷产品不断丰富，</w:t>
      </w:r>
      <w:r>
        <w:rPr>
          <w:rFonts w:hint="eastAsia" w:ascii="宋体" w:hAnsi="宋体" w:cs="宋体"/>
          <w:sz w:val="24"/>
          <w:szCs w:val="24"/>
        </w:rPr>
        <w:t>“台企快服贷”、台农授信实现省内全覆盖</w:t>
      </w:r>
      <w:r>
        <w:rPr>
          <w:rFonts w:hint="eastAsia" w:ascii="宋体" w:hAnsi="宋体" w:cs="宋体"/>
          <w:sz w:val="24"/>
          <w:szCs w:val="24"/>
          <w:lang w:eastAsia="zh-CN"/>
        </w:rPr>
        <w:t>，</w:t>
      </w:r>
      <w:r>
        <w:rPr>
          <w:rFonts w:hint="eastAsia" w:ascii="宋体" w:hAnsi="宋体" w:cs="宋体"/>
          <w:sz w:val="24"/>
          <w:szCs w:val="24"/>
        </w:rPr>
        <w:t>首创“台农贷”，融入台企台胞金融信用证书</w:t>
      </w:r>
      <w:r>
        <w:rPr>
          <w:rFonts w:hint="eastAsia" w:ascii="宋体" w:hAnsi="宋体" w:cs="宋体"/>
          <w:sz w:val="24"/>
          <w:szCs w:val="24"/>
          <w:lang w:eastAsia="zh-CN"/>
        </w:rPr>
        <w:t>，</w:t>
      </w:r>
      <w:r>
        <w:rPr>
          <w:rFonts w:hint="eastAsia" w:ascii="宋体" w:hAnsi="宋体" w:eastAsia="宋体" w:cs="Times New Roman"/>
          <w:sz w:val="24"/>
          <w:szCs w:val="24"/>
        </w:rPr>
        <w:t>台企授信户市场优势进一步凸显，</w:t>
      </w:r>
      <w:r>
        <w:rPr>
          <w:rFonts w:hint="eastAsia" w:ascii="宋体" w:hAnsi="宋体" w:eastAsia="宋体" w:cs="Times New Roman"/>
          <w:sz w:val="24"/>
          <w:szCs w:val="24"/>
          <w:lang w:val="en-US" w:eastAsia="zh-CN"/>
        </w:rPr>
        <w:t>公司</w:t>
      </w:r>
      <w:r>
        <w:rPr>
          <w:rFonts w:hint="eastAsia" w:ascii="宋体" w:hAnsi="宋体" w:eastAsia="宋体" w:cs="Times New Roman"/>
          <w:sz w:val="24"/>
          <w:szCs w:val="24"/>
        </w:rPr>
        <w:t>是福建省台企授信户数最多的金融机构</w:t>
      </w:r>
      <w:r>
        <w:rPr>
          <w:rFonts w:hint="eastAsia" w:ascii="宋体" w:hAnsi="宋体" w:cs="宋体"/>
          <w:sz w:val="24"/>
          <w:szCs w:val="24"/>
        </w:rPr>
        <w:t>，在台资同业圈的影响</w:t>
      </w:r>
      <w:r>
        <w:rPr>
          <w:rFonts w:hint="eastAsia" w:ascii="宋体" w:hAnsi="宋体" w:eastAsia="宋体" w:cs="Times New Roman"/>
          <w:sz w:val="24"/>
          <w:szCs w:val="24"/>
        </w:rPr>
        <w:t>力</w:t>
      </w:r>
      <w:r>
        <w:rPr>
          <w:rFonts w:hint="eastAsia" w:ascii="宋体" w:hAnsi="宋体" w:eastAsia="宋体" w:cs="Times New Roman"/>
          <w:sz w:val="24"/>
          <w:szCs w:val="24"/>
          <w:lang w:val="en-US" w:eastAsia="zh-CN"/>
        </w:rPr>
        <w:t>不断</w:t>
      </w:r>
      <w:r>
        <w:rPr>
          <w:rFonts w:hint="eastAsia" w:ascii="宋体" w:hAnsi="宋体" w:eastAsia="宋体" w:cs="Times New Roman"/>
          <w:sz w:val="24"/>
          <w:szCs w:val="24"/>
        </w:rPr>
        <w:t>增强。</w:t>
      </w:r>
      <w:r>
        <w:rPr>
          <w:rFonts w:hint="eastAsia" w:ascii="宋体" w:hAnsi="宋体" w:eastAsia="宋体" w:cs="Times New Roman"/>
          <w:sz w:val="24"/>
          <w:szCs w:val="24"/>
          <w:lang w:val="en-US" w:eastAsia="zh-CN"/>
        </w:rPr>
        <w:t>在资金业务方面，</w:t>
      </w:r>
      <w:r>
        <w:rPr>
          <w:rFonts w:hint="eastAsia" w:ascii="宋体" w:hAnsi="宋体" w:eastAsia="宋体" w:cs="Times New Roman"/>
          <w:b w:val="0"/>
          <w:bCs w:val="0"/>
          <w:sz w:val="24"/>
          <w:szCs w:val="24"/>
          <w:lang w:val="en-US" w:eastAsia="zh-CN"/>
        </w:rPr>
        <w:t>建立</w:t>
      </w:r>
      <w:r>
        <w:rPr>
          <w:rFonts w:hint="eastAsia" w:ascii="宋体" w:hAnsi="宋体" w:eastAsia="宋体" w:cs="Times New Roman"/>
          <w:sz w:val="24"/>
          <w:szCs w:val="24"/>
        </w:rPr>
        <w:t>高效的资产负债配置和交易策略决策机制，优化资负结构，发展量化交易</w:t>
      </w:r>
      <w:r>
        <w:rPr>
          <w:rFonts w:hint="eastAsia" w:ascii="宋体" w:hAnsi="宋体" w:eastAsia="宋体" w:cs="Times New Roman"/>
          <w:sz w:val="24"/>
          <w:szCs w:val="24"/>
          <w:lang w:eastAsia="zh-CN"/>
        </w:rPr>
        <w:t>，</w:t>
      </w:r>
      <w:r>
        <w:rPr>
          <w:rFonts w:hint="eastAsia" w:ascii="宋体" w:hAnsi="宋体" w:eastAsia="宋体" w:cs="Times New Roman"/>
          <w:sz w:val="24"/>
          <w:szCs w:val="24"/>
        </w:rPr>
        <w:t>加强交易监测，完善制度体系和管理机制。</w:t>
      </w:r>
      <w:r>
        <w:rPr>
          <w:rFonts w:hint="eastAsia" w:ascii="宋体" w:hAnsi="宋体" w:eastAsia="宋体" w:cs="Times New Roman"/>
          <w:sz w:val="24"/>
          <w:szCs w:val="24"/>
          <w:lang w:val="en-US" w:eastAsia="zh-CN"/>
        </w:rPr>
        <w:t>同时，不断</w:t>
      </w:r>
      <w:r>
        <w:rPr>
          <w:rFonts w:hint="eastAsia" w:ascii="宋体" w:hAnsi="宋体" w:eastAsia="宋体" w:cs="Times New Roman"/>
          <w:sz w:val="24"/>
          <w:szCs w:val="24"/>
        </w:rPr>
        <w:t>推进数字化转型，智能系统和平台建设不断加快</w:t>
      </w:r>
      <w:r>
        <w:rPr>
          <w:rFonts w:hint="eastAsia" w:ascii="宋体" w:hAnsi="宋体" w:eastAsia="宋体" w:cs="Times New Roman"/>
          <w:sz w:val="24"/>
          <w:szCs w:val="24"/>
          <w:lang w:eastAsia="zh-CN"/>
        </w:rPr>
        <w:t>，</w:t>
      </w:r>
      <w:r>
        <w:rPr>
          <w:rFonts w:hint="eastAsia" w:ascii="宋体" w:hAnsi="宋体" w:eastAsia="宋体" w:cs="Times New Roman"/>
          <w:b w:val="0"/>
          <w:bCs w:val="0"/>
          <w:sz w:val="24"/>
          <w:u w:val="none"/>
        </w:rPr>
        <w:t>成功上线供应链金融系统、新信贷管理系统等多个重点数字化项目和对公开户流程再造等营运智能化项目，助推工作效率和精细化管理水平提升</w:t>
      </w:r>
      <w:r>
        <w:rPr>
          <w:rFonts w:hint="eastAsia" w:ascii="宋体" w:hAnsi="宋体" w:eastAsia="宋体" w:cs="Times New Roman"/>
          <w:b w:val="0"/>
          <w:bCs w:val="0"/>
          <w:sz w:val="24"/>
          <w:u w:val="none"/>
          <w:lang w:eastAsia="zh-CN"/>
        </w:rPr>
        <w:t>。</w:t>
      </w:r>
    </w:p>
    <w:p>
      <w:pPr>
        <w:widowControl/>
        <w:shd w:val="clear" w:color="auto" w:fill="FFFFFF"/>
        <w:snapToGrid w:val="0"/>
        <w:spacing w:line="360" w:lineRule="auto"/>
        <w:ind w:firstLine="480" w:firstLineChars="200"/>
        <w:jc w:val="left"/>
        <w:rPr>
          <w:sz w:val="24"/>
        </w:rPr>
      </w:pPr>
      <w:r>
        <w:rPr>
          <w:rFonts w:hint="eastAsia" w:ascii="宋体" w:hAnsi="宋体" w:eastAsia="宋体" w:cs="Times New Roman"/>
          <w:sz w:val="24"/>
        </w:rPr>
        <w:t>公司高级管理层</w:t>
      </w:r>
      <w:r>
        <w:rPr>
          <w:rFonts w:hint="eastAsia" w:ascii="宋体" w:hAnsi="宋体" w:eastAsia="宋体" w:cs="Times New Roman"/>
          <w:sz w:val="24"/>
          <w:szCs w:val="24"/>
        </w:rPr>
        <w:t>始终坚守合规稳健的经营理念，提高全面风险管理的专业化程度，</w:t>
      </w:r>
      <w:r>
        <w:rPr>
          <w:rFonts w:hint="eastAsia" w:ascii="宋体" w:hAnsi="宋体" w:eastAsia="宋体" w:cs="Times New Roman"/>
          <w:sz w:val="24"/>
        </w:rPr>
        <w:t>不断健全风险管理机制，</w:t>
      </w:r>
      <w:r>
        <w:rPr>
          <w:rFonts w:hint="eastAsia" w:ascii="宋体" w:hAnsi="宋体" w:eastAsia="宋体" w:cs="Times New Roman"/>
          <w:sz w:val="24"/>
          <w:szCs w:val="24"/>
          <w:lang w:val="en-US" w:eastAsia="zh-CN"/>
        </w:rPr>
        <w:t>完善</w:t>
      </w:r>
      <w:r>
        <w:rPr>
          <w:rFonts w:hint="eastAsia" w:ascii="宋体" w:hAnsi="宋体" w:eastAsia="宋体" w:cs="Times New Roman"/>
          <w:sz w:val="24"/>
          <w:szCs w:val="24"/>
        </w:rPr>
        <w:t>案防管理体系</w:t>
      </w:r>
      <w:r>
        <w:rPr>
          <w:rFonts w:hint="eastAsia" w:ascii="宋体" w:hAnsi="宋体" w:eastAsia="宋体" w:cs="Times New Roman"/>
          <w:sz w:val="24"/>
          <w:szCs w:val="24"/>
          <w:lang w:eastAsia="zh-CN"/>
        </w:rPr>
        <w:t>，</w:t>
      </w:r>
      <w:r>
        <w:rPr>
          <w:rFonts w:hint="eastAsia" w:ascii="宋体" w:hAnsi="宋体" w:eastAsia="宋体" w:cs="Times New Roman"/>
          <w:sz w:val="24"/>
          <w:szCs w:val="24"/>
        </w:rPr>
        <w:t>建立健全洗钱和恐怖融资风险管理体系</w:t>
      </w:r>
      <w:r>
        <w:rPr>
          <w:rFonts w:hint="eastAsia" w:ascii="宋体" w:hAnsi="宋体" w:eastAsia="宋体" w:cs="Times New Roman"/>
          <w:sz w:val="24"/>
          <w:szCs w:val="24"/>
          <w:lang w:eastAsia="zh-CN"/>
        </w:rPr>
        <w:t>，</w:t>
      </w:r>
      <w:r>
        <w:rPr>
          <w:rFonts w:hint="eastAsia" w:ascii="宋体" w:hAnsi="宋体" w:eastAsia="宋体" w:cs="Times New Roman"/>
          <w:sz w:val="24"/>
        </w:rPr>
        <w:t>持续完善消保内控机制，</w:t>
      </w:r>
      <w:r>
        <w:rPr>
          <w:rFonts w:hint="eastAsia" w:ascii="宋体" w:hAnsi="宋体" w:eastAsia="宋体" w:cs="Times New Roman"/>
          <w:sz w:val="24"/>
          <w:szCs w:val="24"/>
        </w:rPr>
        <w:t>完善关联交易内控机制，优化关联交易管理流程</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持续</w:t>
      </w:r>
      <w:r>
        <w:rPr>
          <w:rFonts w:hint="eastAsia" w:ascii="宋体" w:hAnsi="宋体" w:eastAsia="宋体" w:cs="Times New Roman"/>
          <w:sz w:val="24"/>
          <w:szCs w:val="24"/>
        </w:rPr>
        <w:t>完善内部组织机构，</w:t>
      </w:r>
      <w:r>
        <w:rPr>
          <w:rFonts w:hint="eastAsia" w:ascii="宋体" w:hAnsi="宋体" w:eastAsia="宋体" w:cs="Times New Roman"/>
          <w:sz w:val="24"/>
          <w:szCs w:val="24"/>
          <w:lang w:val="en-US" w:eastAsia="zh-CN"/>
        </w:rPr>
        <w:t>强化风险和</w:t>
      </w:r>
      <w:r>
        <w:rPr>
          <w:rFonts w:hint="eastAsia" w:ascii="宋体" w:hAnsi="宋体" w:eastAsia="宋体" w:cs="Times New Roman"/>
          <w:sz w:val="24"/>
          <w:szCs w:val="24"/>
        </w:rPr>
        <w:t>审计体系</w:t>
      </w:r>
      <w:r>
        <w:rPr>
          <w:rFonts w:hint="eastAsia" w:ascii="宋体" w:hAnsi="宋体" w:eastAsia="宋体" w:cs="Times New Roman"/>
          <w:sz w:val="24"/>
          <w:szCs w:val="24"/>
          <w:lang w:val="en-US" w:eastAsia="zh-CN"/>
        </w:rPr>
        <w:t>建设，不断</w:t>
      </w:r>
      <w:r>
        <w:rPr>
          <w:rFonts w:hint="eastAsia" w:ascii="宋体" w:hAnsi="宋体" w:eastAsia="宋体" w:cs="Times New Roman"/>
          <w:sz w:val="24"/>
        </w:rPr>
        <w:t>推进风险管理基础建设，提高风险识别</w:t>
      </w:r>
      <w:r>
        <w:rPr>
          <w:rFonts w:hint="eastAsia" w:ascii="宋体" w:hAnsi="宋体" w:eastAsia="宋体" w:cs="Times New Roman"/>
          <w:sz w:val="24"/>
          <w:lang w:val="en-US" w:eastAsia="zh-CN"/>
        </w:rPr>
        <w:t>和防控</w:t>
      </w:r>
      <w:r>
        <w:rPr>
          <w:rFonts w:hint="eastAsia" w:ascii="宋体" w:hAnsi="宋体" w:eastAsia="宋体" w:cs="Times New Roman"/>
          <w:sz w:val="24"/>
        </w:rPr>
        <w:t>能力，</w:t>
      </w:r>
      <w:r>
        <w:rPr>
          <w:rFonts w:hint="eastAsia" w:ascii="宋体" w:hAnsi="宋体" w:eastAsia="宋体" w:cs="Times New Roman"/>
          <w:sz w:val="24"/>
          <w:szCs w:val="24"/>
        </w:rPr>
        <w:t>切实防控风险。在科技赋能上，持续完善科技派驻制度，不断提升数据治理水平，推进数字科技应用，积极赋能前端业务发展，促进科技与业务的深度融合</w:t>
      </w:r>
      <w:r>
        <w:rPr>
          <w:rFonts w:hint="eastAsia" w:ascii="宋体" w:hAnsi="宋体" w:eastAsia="宋体" w:cs="Times New Roman"/>
          <w:sz w:val="24"/>
          <w:szCs w:val="24"/>
          <w:lang w:eastAsia="zh-CN"/>
        </w:rPr>
        <w:t>，</w:t>
      </w:r>
      <w:r>
        <w:rPr>
          <w:rFonts w:hint="eastAsia" w:ascii="宋体" w:hAnsi="宋体" w:eastAsia="宋体" w:cs="Times New Roman"/>
          <w:sz w:val="24"/>
          <w:szCs w:val="24"/>
        </w:rPr>
        <w:t>促使</w:t>
      </w:r>
      <w:r>
        <w:rPr>
          <w:rFonts w:hint="eastAsia" w:ascii="宋体" w:hAnsi="宋体" w:eastAsia="宋体" w:cs="Times New Roman"/>
          <w:sz w:val="24"/>
          <w:szCs w:val="24"/>
          <w:lang w:val="en-US" w:eastAsia="zh-CN"/>
        </w:rPr>
        <w:t>公司</w:t>
      </w:r>
      <w:r>
        <w:rPr>
          <w:rFonts w:hint="eastAsia" w:ascii="宋体" w:hAnsi="宋体" w:eastAsia="宋体" w:cs="Times New Roman"/>
          <w:sz w:val="24"/>
          <w:szCs w:val="24"/>
        </w:rPr>
        <w:t>全面风险管理日趋完善，数字化转型更加坚实。</w:t>
      </w:r>
      <w:r>
        <w:rPr>
          <w:rFonts w:hint="eastAsia" w:ascii="Times New Roman" w:hAnsi="Times New Roman" w:eastAsia="宋体"/>
          <w:kern w:val="0"/>
          <w:sz w:val="24"/>
          <w:shd w:val="clear" w:color="auto" w:fill="FFFFFF"/>
          <w:lang w:val="en-US" w:eastAsia="zh-CN"/>
        </w:rPr>
        <w:t>同时，</w:t>
      </w:r>
      <w:r>
        <w:rPr>
          <w:rFonts w:hint="eastAsia" w:ascii="Times New Roman" w:hAnsi="Times New Roman" w:eastAsia="宋体"/>
          <w:kern w:val="0"/>
          <w:sz w:val="24"/>
          <w:shd w:val="clear" w:color="auto" w:fill="FFFFFF"/>
        </w:rPr>
        <w:t>公司主动适应监管政策和要求，准确把握合规方向，加强制度全生命周期管理，开展内控合规管理提升年专项行动、金融放贷领域违规违法行为等专项排查，强化基层机构合规风险管理意识，落实合规执行责任，筑牢合规经营底线。</w:t>
      </w:r>
    </w:p>
    <w:p>
      <w:pPr>
        <w:numPr>
          <w:ilvl w:val="0"/>
          <w:numId w:val="0"/>
        </w:numPr>
        <w:snapToGrid w:val="0"/>
        <w:spacing w:line="360" w:lineRule="auto"/>
        <w:ind w:firstLine="482" w:firstLineChars="200"/>
        <w:rPr>
          <w:rFonts w:hint="eastAsia" w:ascii="宋体" w:hAnsi="宋体" w:eastAsia="宋体"/>
          <w:sz w:val="24"/>
          <w:lang w:eastAsia="zh-CN"/>
        </w:rPr>
      </w:pPr>
      <w:r>
        <w:rPr>
          <w:rFonts w:hint="eastAsia" w:ascii="宋体" w:hAnsi="宋体"/>
          <w:b/>
          <w:bCs/>
          <w:sz w:val="24"/>
        </w:rPr>
        <w:t>监事会认为：</w:t>
      </w:r>
      <w:r>
        <w:rPr>
          <w:rFonts w:hint="eastAsia" w:ascii="宋体" w:hAnsi="宋体"/>
          <w:sz w:val="24"/>
        </w:rPr>
        <w:t>在评价期内，</w:t>
      </w:r>
      <w:r>
        <w:rPr>
          <w:rFonts w:hint="eastAsia" w:ascii="宋体" w:hAnsi="宋体"/>
          <w:sz w:val="24"/>
          <w:lang w:val="en-US" w:eastAsia="zh-CN"/>
        </w:rPr>
        <w:t>公司</w:t>
      </w:r>
      <w:r>
        <w:rPr>
          <w:rFonts w:hint="eastAsia" w:ascii="宋体" w:hAnsi="宋体"/>
          <w:sz w:val="24"/>
        </w:rPr>
        <w:t>高级管理层严格依照法律法规、</w:t>
      </w:r>
      <w:r>
        <w:rPr>
          <w:rFonts w:hint="eastAsia" w:ascii="宋体" w:hAnsi="宋体"/>
          <w:sz w:val="24"/>
          <w:lang w:val="en-US" w:eastAsia="zh-CN"/>
        </w:rPr>
        <w:t>监管要求和</w:t>
      </w:r>
      <w:r>
        <w:rPr>
          <w:rFonts w:hint="eastAsia" w:ascii="宋体" w:hAnsi="宋体"/>
          <w:sz w:val="24"/>
        </w:rPr>
        <w:t>公司章程</w:t>
      </w:r>
      <w:r>
        <w:rPr>
          <w:rFonts w:hint="eastAsia" w:ascii="宋体" w:hAnsi="宋体"/>
          <w:sz w:val="24"/>
          <w:lang w:val="en-US" w:eastAsia="zh-CN"/>
        </w:rPr>
        <w:t>等</w:t>
      </w:r>
      <w:r>
        <w:rPr>
          <w:rFonts w:hint="eastAsia" w:ascii="宋体" w:hAnsi="宋体"/>
          <w:sz w:val="24"/>
        </w:rPr>
        <w:t>规定，全面履行有关经营管理、财务管理、利润分配、资本管理、风险管理、内部控制、关联交易、反洗钱、消费者权益保护等职责，认真执行股东大会</w:t>
      </w:r>
      <w:r>
        <w:rPr>
          <w:rFonts w:hint="eastAsia" w:ascii="宋体" w:hAnsi="宋体"/>
          <w:sz w:val="24"/>
          <w:lang w:eastAsia="zh-CN"/>
        </w:rPr>
        <w:t>、</w:t>
      </w:r>
      <w:r>
        <w:rPr>
          <w:rFonts w:hint="eastAsia" w:ascii="宋体" w:hAnsi="宋体"/>
          <w:sz w:val="24"/>
        </w:rPr>
        <w:t>董事会</w:t>
      </w:r>
      <w:r>
        <w:rPr>
          <w:rFonts w:hint="eastAsia" w:ascii="宋体" w:hAnsi="宋体"/>
          <w:sz w:val="24"/>
          <w:lang w:val="en-US" w:eastAsia="zh-CN"/>
        </w:rPr>
        <w:t>和监事会</w:t>
      </w:r>
      <w:r>
        <w:rPr>
          <w:rFonts w:hint="eastAsia" w:ascii="宋体" w:hAnsi="宋体"/>
          <w:sz w:val="24"/>
        </w:rPr>
        <w:t>决议。面对严峻复杂的国际国内经济形势，</w:t>
      </w:r>
      <w:r>
        <w:rPr>
          <w:rFonts w:hint="eastAsia" w:ascii="宋体" w:hAnsi="宋体"/>
          <w:sz w:val="24"/>
          <w:lang w:val="en-US" w:eastAsia="zh-CN"/>
        </w:rPr>
        <w:t>以及</w:t>
      </w:r>
      <w:r>
        <w:rPr>
          <w:rFonts w:hint="eastAsia" w:ascii="宋体" w:hAnsi="宋体"/>
          <w:sz w:val="24"/>
        </w:rPr>
        <w:t>疫情影响等，高级管理层积极贯彻</w:t>
      </w:r>
      <w:r>
        <w:rPr>
          <w:rFonts w:hint="eastAsia" w:ascii="宋体" w:hAnsi="宋体"/>
          <w:sz w:val="24"/>
          <w:lang w:val="en-US" w:eastAsia="zh-CN"/>
        </w:rPr>
        <w:t>落实</w:t>
      </w:r>
      <w:r>
        <w:rPr>
          <w:rFonts w:hint="eastAsia" w:ascii="宋体" w:hAnsi="宋体"/>
          <w:sz w:val="24"/>
        </w:rPr>
        <w:t>国家政策和金融监管要求，有效应对市场变化，凝心聚力，攻坚克难，带领公司各项业务持续稳健发展，经营转型成果显著</w:t>
      </w:r>
      <w:r>
        <w:rPr>
          <w:rFonts w:hint="eastAsia" w:ascii="宋体" w:hAnsi="宋体"/>
          <w:sz w:val="24"/>
          <w:lang w:eastAsia="zh-CN"/>
        </w:rPr>
        <w:t>。</w:t>
      </w:r>
      <w:r>
        <w:rPr>
          <w:rFonts w:hint="eastAsia" w:ascii="宋体" w:hAnsi="宋体"/>
          <w:sz w:val="24"/>
        </w:rPr>
        <w:t>未发现高级管理层在重要财务决策和执行情况等方面存在问题，未发现高级管理层有违反法律、法规及《公司章程》等行为</w:t>
      </w:r>
      <w:r>
        <w:rPr>
          <w:rFonts w:hint="eastAsia" w:ascii="宋体" w:hAnsi="宋体"/>
          <w:sz w:val="24"/>
          <w:lang w:eastAsia="zh-CN"/>
        </w:rPr>
        <w:t>。</w:t>
      </w:r>
    </w:p>
    <w:p>
      <w:pPr>
        <w:snapToGrid w:val="0"/>
        <w:spacing w:line="360" w:lineRule="auto"/>
        <w:ind w:firstLine="480" w:firstLineChars="200"/>
        <w:rPr>
          <w:rFonts w:ascii="宋体" w:hAnsi="宋体"/>
          <w:sz w:val="24"/>
        </w:rPr>
      </w:pPr>
      <w:r>
        <w:rPr>
          <w:rFonts w:hint="eastAsia" w:ascii="宋体" w:hAnsi="宋体"/>
          <w:sz w:val="24"/>
        </w:rPr>
        <w:t>对照高级管理层评价标准，公司高级管理层202</w:t>
      </w:r>
      <w:r>
        <w:rPr>
          <w:rFonts w:hint="eastAsia" w:ascii="宋体" w:hAnsi="宋体"/>
          <w:sz w:val="24"/>
          <w:lang w:val="en-US" w:eastAsia="zh-CN"/>
        </w:rPr>
        <w:t>2</w:t>
      </w:r>
      <w:r>
        <w:rPr>
          <w:rFonts w:hint="eastAsia" w:ascii="宋体" w:hAnsi="宋体"/>
          <w:sz w:val="24"/>
        </w:rPr>
        <w:t>年度履职评价结果为：称职。</w:t>
      </w:r>
    </w:p>
    <w:p>
      <w:pPr>
        <w:pStyle w:val="30"/>
        <w:snapToGrid w:val="0"/>
        <w:spacing w:line="360" w:lineRule="auto"/>
        <w:ind w:left="556" w:firstLine="0" w:firstLineChars="0"/>
        <w:rPr>
          <w:rFonts w:ascii="宋体" w:hAnsi="宋体"/>
          <w:b/>
          <w:sz w:val="24"/>
        </w:rPr>
      </w:pPr>
      <w:r>
        <w:rPr>
          <w:rFonts w:hint="eastAsia" w:ascii="宋体" w:hAnsi="宋体"/>
          <w:b/>
          <w:sz w:val="24"/>
        </w:rPr>
        <w:t>三、对高级管理人员202</w:t>
      </w:r>
      <w:r>
        <w:rPr>
          <w:rFonts w:hint="eastAsia" w:ascii="宋体" w:hAnsi="宋体"/>
          <w:b/>
          <w:sz w:val="24"/>
          <w:lang w:val="en-US" w:eastAsia="zh-CN"/>
        </w:rPr>
        <w:t>2</w:t>
      </w:r>
      <w:r>
        <w:rPr>
          <w:rFonts w:hint="eastAsia" w:ascii="宋体" w:hAnsi="宋体"/>
          <w:b/>
          <w:sz w:val="24"/>
        </w:rPr>
        <w:t>年度履职情况的评价</w:t>
      </w:r>
    </w:p>
    <w:p>
      <w:pPr>
        <w:pStyle w:val="30"/>
        <w:snapToGrid w:val="0"/>
        <w:spacing w:line="360" w:lineRule="auto"/>
        <w:ind w:firstLine="482"/>
        <w:rPr>
          <w:rFonts w:ascii="宋体" w:hAnsi="宋体"/>
          <w:b/>
          <w:sz w:val="24"/>
        </w:rPr>
      </w:pPr>
      <w:r>
        <w:rPr>
          <w:rFonts w:hint="eastAsia" w:ascii="宋体" w:hAnsi="宋体"/>
          <w:b/>
          <w:sz w:val="24"/>
        </w:rPr>
        <w:t>（一）履行忠实义务</w:t>
      </w:r>
    </w:p>
    <w:p>
      <w:pPr>
        <w:pStyle w:val="30"/>
        <w:snapToGrid w:val="0"/>
        <w:spacing w:line="360" w:lineRule="auto"/>
        <w:ind w:firstLine="480"/>
        <w:rPr>
          <w:rFonts w:hint="eastAsia" w:ascii="宋体" w:hAnsi="宋体"/>
          <w:sz w:val="24"/>
        </w:rPr>
      </w:pPr>
      <w:r>
        <w:rPr>
          <w:rFonts w:hint="eastAsia" w:ascii="宋体" w:hAnsi="宋体"/>
          <w:sz w:val="24"/>
        </w:rPr>
        <w:t>全体高级管理人员能够以公司的最佳利益行事，严格遵守国家有关法律法规</w:t>
      </w:r>
      <w:r>
        <w:rPr>
          <w:rFonts w:hint="eastAsia" w:ascii="宋体" w:hAnsi="宋体"/>
          <w:sz w:val="24"/>
          <w:lang w:eastAsia="zh-CN"/>
        </w:rPr>
        <w:t>、</w:t>
      </w:r>
      <w:r>
        <w:rPr>
          <w:rFonts w:hint="eastAsia" w:ascii="宋体" w:hAnsi="宋体"/>
          <w:sz w:val="24"/>
          <w:lang w:val="en-US" w:eastAsia="zh-CN"/>
        </w:rPr>
        <w:t>监管要求</w:t>
      </w:r>
      <w:r>
        <w:rPr>
          <w:rFonts w:hint="eastAsia" w:ascii="宋体" w:hAnsi="宋体"/>
          <w:sz w:val="24"/>
        </w:rPr>
        <w:t>和《公司章程》</w:t>
      </w:r>
      <w:r>
        <w:rPr>
          <w:rFonts w:hint="eastAsia" w:ascii="宋体" w:hAnsi="宋体"/>
          <w:sz w:val="24"/>
          <w:lang w:val="en-US" w:eastAsia="zh-CN"/>
        </w:rPr>
        <w:t>等</w:t>
      </w:r>
      <w:r>
        <w:rPr>
          <w:rFonts w:hint="eastAsia" w:ascii="宋体" w:hAnsi="宋体"/>
          <w:sz w:val="24"/>
        </w:rPr>
        <w:t>规定，</w:t>
      </w:r>
      <w:r>
        <w:rPr>
          <w:rFonts w:hint="eastAsia" w:ascii="宋体" w:hAnsi="宋体"/>
          <w:sz w:val="24"/>
          <w:lang w:val="en-US" w:eastAsia="zh-CN"/>
        </w:rPr>
        <w:t>严格保守公司秘密，高度关注可能损害公司利益的事项，及时向董事会、监事会和监管部门报告并推动问题纠正等</w:t>
      </w:r>
      <w:r>
        <w:rPr>
          <w:rFonts w:hint="eastAsia" w:ascii="宋体" w:hAnsi="宋体"/>
          <w:sz w:val="24"/>
        </w:rPr>
        <w:t>；</w:t>
      </w:r>
    </w:p>
    <w:p>
      <w:pPr>
        <w:pStyle w:val="30"/>
        <w:snapToGrid w:val="0"/>
        <w:spacing w:line="360" w:lineRule="auto"/>
        <w:ind w:firstLine="480"/>
        <w:rPr>
          <w:rFonts w:hint="eastAsia" w:ascii="宋体" w:hAnsi="宋体"/>
          <w:sz w:val="24"/>
        </w:rPr>
      </w:pPr>
      <w:r>
        <w:rPr>
          <w:rFonts w:hint="eastAsia" w:ascii="宋体" w:hAnsi="宋体"/>
          <w:b/>
          <w:sz w:val="24"/>
          <w:lang w:eastAsia="zh-CN"/>
        </w:rPr>
        <w:t>（</w:t>
      </w:r>
      <w:r>
        <w:rPr>
          <w:rFonts w:hint="eastAsia" w:ascii="宋体" w:hAnsi="宋体"/>
          <w:b/>
          <w:sz w:val="24"/>
          <w:lang w:val="en-US" w:eastAsia="zh-CN"/>
        </w:rPr>
        <w:t>二</w:t>
      </w:r>
      <w:r>
        <w:rPr>
          <w:rFonts w:hint="eastAsia" w:ascii="宋体" w:hAnsi="宋体"/>
          <w:b/>
          <w:sz w:val="24"/>
          <w:lang w:eastAsia="zh-CN"/>
        </w:rPr>
        <w:t>）</w:t>
      </w:r>
      <w:r>
        <w:rPr>
          <w:rFonts w:hint="eastAsia" w:ascii="宋体" w:hAnsi="宋体"/>
          <w:b/>
          <w:sz w:val="24"/>
        </w:rPr>
        <w:t>履行勤勉义务</w:t>
      </w:r>
    </w:p>
    <w:p>
      <w:pPr>
        <w:pStyle w:val="30"/>
        <w:snapToGrid w:val="0"/>
        <w:spacing w:line="360" w:lineRule="auto"/>
        <w:ind w:firstLine="480"/>
        <w:rPr>
          <w:rFonts w:ascii="宋体" w:hAnsi="宋体"/>
          <w:sz w:val="24"/>
        </w:rPr>
      </w:pPr>
      <w:r>
        <w:rPr>
          <w:rFonts w:hint="eastAsia" w:ascii="宋体" w:hAnsi="宋体"/>
          <w:sz w:val="24"/>
        </w:rPr>
        <w:t>全体高级管理人员能依照法律法规和议事规则，按照工作分工，正确行使《公司章程》和董事会所赋予的权利，</w:t>
      </w:r>
      <w:r>
        <w:rPr>
          <w:rFonts w:hint="eastAsia" w:ascii="宋体" w:hAnsi="宋体"/>
          <w:sz w:val="24"/>
          <w:lang w:val="en-US" w:eastAsia="zh-CN"/>
        </w:rPr>
        <w:t>开展经营管理活动</w:t>
      </w:r>
      <w:r>
        <w:rPr>
          <w:rFonts w:hint="eastAsia" w:ascii="宋体" w:hAnsi="宋体"/>
          <w:sz w:val="24"/>
        </w:rPr>
        <w:t>，</w:t>
      </w:r>
      <w:r>
        <w:rPr>
          <w:rFonts w:hint="eastAsia" w:ascii="宋体" w:hAnsi="宋体"/>
          <w:sz w:val="24"/>
          <w:lang w:val="en-US" w:eastAsia="zh-CN"/>
        </w:rPr>
        <w:t>积极执行股东大会及董事会决议</w:t>
      </w:r>
      <w:r>
        <w:rPr>
          <w:rFonts w:hint="eastAsia" w:ascii="宋体" w:hAnsi="宋体"/>
          <w:sz w:val="24"/>
        </w:rPr>
        <w:t>，</w:t>
      </w:r>
      <w:r>
        <w:rPr>
          <w:rFonts w:hint="eastAsia" w:ascii="宋体" w:hAnsi="宋体"/>
          <w:sz w:val="24"/>
          <w:lang w:val="en-US" w:eastAsia="zh-CN"/>
        </w:rPr>
        <w:t>对董事会负责，同时接受监事会监督，按照</w:t>
      </w:r>
      <w:r>
        <w:rPr>
          <w:rFonts w:hint="eastAsia" w:ascii="宋体" w:hAnsi="宋体"/>
          <w:sz w:val="24"/>
        </w:rPr>
        <w:t>董事会、监事会及其专门委员会</w:t>
      </w:r>
      <w:r>
        <w:rPr>
          <w:rFonts w:hint="eastAsia" w:ascii="宋体" w:hAnsi="宋体"/>
          <w:sz w:val="24"/>
          <w:lang w:val="en-US" w:eastAsia="zh-CN"/>
        </w:rPr>
        <w:t>要求，及时</w:t>
      </w:r>
      <w:r>
        <w:rPr>
          <w:rFonts w:hint="eastAsia" w:ascii="宋体" w:hAnsi="宋体"/>
          <w:sz w:val="24"/>
        </w:rPr>
        <w:t>报送各类信息，做好工作沟通，较好地发挥了各自的工作积极性和主动性。</w:t>
      </w:r>
    </w:p>
    <w:p>
      <w:pPr>
        <w:pStyle w:val="30"/>
        <w:numPr>
          <w:ilvl w:val="0"/>
          <w:numId w:val="0"/>
        </w:numPr>
        <w:snapToGrid w:val="0"/>
        <w:spacing w:line="360" w:lineRule="auto"/>
        <w:ind w:firstLine="482" w:firstLineChars="200"/>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三</w:t>
      </w:r>
      <w:r>
        <w:rPr>
          <w:rFonts w:hint="eastAsia" w:ascii="宋体" w:hAnsi="宋体"/>
          <w:b/>
          <w:sz w:val="24"/>
          <w:lang w:eastAsia="zh-CN"/>
        </w:rPr>
        <w:t>）</w:t>
      </w:r>
      <w:r>
        <w:rPr>
          <w:rFonts w:hint="eastAsia" w:ascii="宋体" w:hAnsi="宋体"/>
          <w:b/>
          <w:sz w:val="24"/>
        </w:rPr>
        <w:t>履行专业性</w:t>
      </w:r>
    </w:p>
    <w:p>
      <w:pPr>
        <w:pStyle w:val="30"/>
        <w:snapToGrid w:val="0"/>
        <w:spacing w:line="360" w:lineRule="auto"/>
        <w:ind w:firstLine="480"/>
        <w:rPr>
          <w:rFonts w:ascii="宋体" w:hAnsi="宋体"/>
          <w:sz w:val="24"/>
        </w:rPr>
      </w:pPr>
      <w:r>
        <w:rPr>
          <w:rFonts w:hint="eastAsia" w:ascii="宋体" w:hAnsi="宋体"/>
          <w:sz w:val="24"/>
        </w:rPr>
        <w:t>全体高级管理人员具备处理复杂问题的知识、技能和经验，体现出较强的管理能力和职业素质；积极参加监管机构和公司组织的培训活动，不断加强对有关法律法规、银行业政策与业务及经济形势的学习；结合自身的专业知识、从业经历和工作经验，通过召开各类经营管理性会议，深入研讨全行重要经营管理事项，有效分析宏观经济金融形势、公司经营特点以及各类专题性问题，研究提出科学合理的意见建议，持续</w:t>
      </w:r>
      <w:r>
        <w:rPr>
          <w:rFonts w:hint="eastAsia" w:ascii="宋体" w:hAnsi="宋体"/>
          <w:sz w:val="24"/>
          <w:lang w:val="en-US" w:eastAsia="zh-CN"/>
        </w:rPr>
        <w:t>推动公司高质量发展。</w:t>
      </w:r>
    </w:p>
    <w:p>
      <w:pPr>
        <w:pStyle w:val="30"/>
        <w:snapToGrid w:val="0"/>
        <w:spacing w:line="360" w:lineRule="auto"/>
        <w:ind w:firstLine="482"/>
        <w:rPr>
          <w:rFonts w:ascii="宋体" w:hAnsi="宋体"/>
          <w:b/>
          <w:bCs/>
          <w:sz w:val="24"/>
        </w:rPr>
      </w:pPr>
      <w:r>
        <w:rPr>
          <w:rFonts w:hint="eastAsia" w:ascii="宋体" w:hAnsi="宋体"/>
          <w:b/>
          <w:sz w:val="24"/>
        </w:rPr>
        <w:t>（</w:t>
      </w:r>
      <w:r>
        <w:rPr>
          <w:rFonts w:hint="eastAsia" w:ascii="宋体" w:hAnsi="宋体"/>
          <w:b/>
          <w:sz w:val="24"/>
          <w:lang w:val="en-US" w:eastAsia="zh-CN"/>
        </w:rPr>
        <w:t>四</w:t>
      </w:r>
      <w:r>
        <w:rPr>
          <w:rFonts w:hint="eastAsia" w:ascii="宋体" w:hAnsi="宋体"/>
          <w:b/>
          <w:sz w:val="24"/>
        </w:rPr>
        <w:t>）</w:t>
      </w:r>
      <w:r>
        <w:rPr>
          <w:rFonts w:hint="eastAsia" w:ascii="宋体" w:hAnsi="宋体"/>
          <w:b/>
          <w:bCs/>
          <w:sz w:val="24"/>
        </w:rPr>
        <w:t>履职独立性与道德水准</w:t>
      </w:r>
    </w:p>
    <w:p>
      <w:pPr>
        <w:pStyle w:val="30"/>
        <w:numPr>
          <w:ilvl w:val="0"/>
          <w:numId w:val="0"/>
        </w:numPr>
        <w:snapToGrid w:val="0"/>
        <w:spacing w:line="360" w:lineRule="auto"/>
        <w:ind w:firstLine="480" w:firstLineChars="200"/>
        <w:rPr>
          <w:rFonts w:ascii="宋体" w:hAnsi="宋体"/>
          <w:sz w:val="24"/>
        </w:rPr>
      </w:pPr>
      <w:r>
        <w:rPr>
          <w:rFonts w:hint="eastAsia" w:ascii="宋体" w:hAnsi="宋体"/>
          <w:sz w:val="24"/>
        </w:rPr>
        <w:t>全体高级管理人员能够坚持高标准的职业道德准则，不受主要股东和内部人控制或干预，独立自主地履行职责，公平对待全体股东、维护利益相关者的合法权益、积极履行社会责任。</w:t>
      </w:r>
    </w:p>
    <w:p>
      <w:pPr>
        <w:pStyle w:val="30"/>
        <w:numPr>
          <w:ilvl w:val="0"/>
          <w:numId w:val="0"/>
        </w:numPr>
        <w:snapToGrid w:val="0"/>
        <w:spacing w:line="360" w:lineRule="auto"/>
        <w:ind w:firstLine="482" w:firstLineChars="200"/>
        <w:rPr>
          <w:rFonts w:ascii="宋体" w:hAnsi="宋体"/>
          <w:sz w:val="24"/>
        </w:rPr>
      </w:pPr>
      <w:r>
        <w:rPr>
          <w:rFonts w:hint="eastAsia" w:ascii="宋体" w:hAnsi="宋体"/>
          <w:b/>
          <w:sz w:val="24"/>
          <w:lang w:eastAsia="zh-CN"/>
        </w:rPr>
        <w:t>（</w:t>
      </w:r>
      <w:r>
        <w:rPr>
          <w:rFonts w:hint="eastAsia" w:ascii="宋体" w:hAnsi="宋体"/>
          <w:b/>
          <w:sz w:val="24"/>
          <w:lang w:val="en-US" w:eastAsia="zh-CN"/>
        </w:rPr>
        <w:t>五</w:t>
      </w:r>
      <w:r>
        <w:rPr>
          <w:rFonts w:hint="eastAsia" w:ascii="宋体" w:hAnsi="宋体"/>
          <w:b/>
          <w:sz w:val="24"/>
          <w:lang w:eastAsia="zh-CN"/>
        </w:rPr>
        <w:t>）</w:t>
      </w:r>
      <w:r>
        <w:rPr>
          <w:rFonts w:hint="eastAsia" w:ascii="宋体" w:hAnsi="宋体"/>
          <w:b/>
          <w:sz w:val="24"/>
          <w:lang w:val="en-US" w:eastAsia="zh-CN"/>
        </w:rPr>
        <w:t>履职</w:t>
      </w:r>
      <w:r>
        <w:rPr>
          <w:rFonts w:hint="eastAsia" w:ascii="宋体" w:hAnsi="宋体"/>
          <w:b/>
          <w:sz w:val="24"/>
        </w:rPr>
        <w:t>合规性</w:t>
      </w:r>
    </w:p>
    <w:p>
      <w:pPr>
        <w:pStyle w:val="30"/>
        <w:snapToGrid w:val="0"/>
        <w:spacing w:line="360" w:lineRule="auto"/>
        <w:ind w:firstLine="480"/>
        <w:rPr>
          <w:rFonts w:ascii="宋体" w:hAnsi="宋体"/>
          <w:sz w:val="24"/>
        </w:rPr>
      </w:pPr>
      <w:r>
        <w:rPr>
          <w:rFonts w:hint="eastAsia" w:ascii="宋体" w:hAnsi="宋体"/>
          <w:sz w:val="24"/>
        </w:rPr>
        <w:t>全体高级管理人员</w:t>
      </w:r>
      <w:r>
        <w:rPr>
          <w:rFonts w:hint="eastAsia" w:ascii="宋体" w:hAnsi="宋体"/>
          <w:sz w:val="24"/>
          <w:lang w:val="en-US" w:eastAsia="zh-CN"/>
        </w:rPr>
        <w:t>能够遵守法律法规、监管要求以及《公司章程》等规定，持续规范自身</w:t>
      </w:r>
      <w:r>
        <w:rPr>
          <w:rFonts w:hint="eastAsia" w:ascii="宋体" w:hAnsi="宋体"/>
          <w:sz w:val="24"/>
        </w:rPr>
        <w:t>履</w:t>
      </w:r>
      <w:r>
        <w:rPr>
          <w:rFonts w:hint="eastAsia" w:ascii="宋体" w:hAnsi="宋体"/>
          <w:sz w:val="24"/>
          <w:lang w:val="en-US" w:eastAsia="zh-CN"/>
        </w:rPr>
        <w:t>职行为</w:t>
      </w:r>
      <w:r>
        <w:rPr>
          <w:rFonts w:hint="eastAsia" w:ascii="宋体" w:hAnsi="宋体"/>
          <w:sz w:val="24"/>
        </w:rPr>
        <w:t>，依法合规履行经营管理职责，勤勉工作，</w:t>
      </w:r>
      <w:r>
        <w:rPr>
          <w:rFonts w:hint="eastAsia" w:ascii="宋体" w:hAnsi="宋体"/>
          <w:sz w:val="24"/>
          <w:lang w:val="en-US" w:eastAsia="zh-CN"/>
        </w:rPr>
        <w:t>认真</w:t>
      </w:r>
      <w:r>
        <w:rPr>
          <w:rFonts w:hint="eastAsia" w:ascii="宋体" w:hAnsi="宋体"/>
          <w:sz w:val="24"/>
        </w:rPr>
        <w:t>组织公司日常经营管理工作，抓好分管业务和相关事务，实现</w:t>
      </w:r>
      <w:r>
        <w:rPr>
          <w:rFonts w:hint="eastAsia" w:ascii="宋体" w:hAnsi="宋体"/>
          <w:sz w:val="24"/>
          <w:lang w:eastAsia="zh-CN"/>
        </w:rPr>
        <w:t>公司</w:t>
      </w:r>
      <w:r>
        <w:rPr>
          <w:rFonts w:hint="eastAsia" w:ascii="宋体" w:hAnsi="宋体"/>
          <w:sz w:val="24"/>
        </w:rPr>
        <w:t>守法合规经营。</w:t>
      </w:r>
    </w:p>
    <w:p>
      <w:pPr>
        <w:snapToGrid w:val="0"/>
        <w:spacing w:line="360" w:lineRule="auto"/>
        <w:ind w:firstLine="482" w:firstLineChars="200"/>
        <w:rPr>
          <w:rFonts w:hint="eastAsia" w:ascii="宋体" w:hAnsi="宋体"/>
          <w:sz w:val="24"/>
        </w:rPr>
      </w:pPr>
      <w:r>
        <w:rPr>
          <w:rFonts w:hint="eastAsia" w:ascii="宋体" w:hAnsi="宋体"/>
          <w:b/>
          <w:bCs/>
          <w:sz w:val="24"/>
        </w:rPr>
        <w:t>监事会认为：</w:t>
      </w:r>
      <w:r>
        <w:rPr>
          <w:rFonts w:ascii="宋体" w:hAnsi="宋体"/>
          <w:sz w:val="24"/>
        </w:rPr>
        <w:t xml:space="preserve"> </w:t>
      </w:r>
      <w:r>
        <w:rPr>
          <w:rFonts w:hint="eastAsia" w:ascii="宋体" w:hAnsi="宋体"/>
          <w:sz w:val="24"/>
        </w:rPr>
        <w:t>在评价期内，全体高级管理人员能够严格遵守各项法律、法规、规章及其他规范性文件，坚持诚信原则，对公司及全体股东积极履行忠实义务，较好地保护了公司、股东、存款人和其他利益相关人的合法权益。未发现高级管理人员有损害公司合法利益、为自己或他人谋取私利的行为，未发现高级管理人员有接受与公司有关交易的利益或利用其关联关系损害公司利益等行为。在经营决策和管理过程中，能够围绕董事会确定的总体工作思路和目标任务，勤勉尽职，依法合规完成法定义务以及公司“三会一层”委托授权的各项事项，各高级管理人员均完成了目标任务。</w:t>
      </w:r>
    </w:p>
    <w:p>
      <w:pPr>
        <w:snapToGrid w:val="0"/>
        <w:spacing w:line="360" w:lineRule="auto"/>
        <w:ind w:firstLine="480" w:firstLineChars="200"/>
        <w:rPr>
          <w:rFonts w:ascii="宋体" w:hAnsi="宋体"/>
          <w:sz w:val="24"/>
        </w:rPr>
      </w:pPr>
      <w:r>
        <w:rPr>
          <w:rFonts w:hint="eastAsia" w:ascii="宋体" w:hAnsi="宋体"/>
          <w:sz w:val="24"/>
        </w:rPr>
        <w:t>对照高级管理层成员履职评价标准，公司高级管理人员202</w:t>
      </w:r>
      <w:r>
        <w:rPr>
          <w:rFonts w:hint="eastAsia" w:ascii="宋体" w:hAnsi="宋体"/>
          <w:sz w:val="24"/>
          <w:lang w:val="en-US" w:eastAsia="zh-CN"/>
        </w:rPr>
        <w:t>2</w:t>
      </w:r>
      <w:r>
        <w:rPr>
          <w:rFonts w:hint="eastAsia" w:ascii="宋体" w:hAnsi="宋体"/>
          <w:sz w:val="24"/>
        </w:rPr>
        <w:t>年履职评价结果如下：</w:t>
      </w:r>
    </w:p>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594"/>
        <w:gridCol w:w="1546"/>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高管姓名</w:t>
            </w:r>
          </w:p>
        </w:tc>
        <w:tc>
          <w:tcPr>
            <w:tcW w:w="2594"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履职评价结果</w:t>
            </w:r>
          </w:p>
        </w:tc>
        <w:tc>
          <w:tcPr>
            <w:tcW w:w="1546"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高管姓名</w:t>
            </w:r>
          </w:p>
        </w:tc>
        <w:tc>
          <w:tcPr>
            <w:tcW w:w="2952"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履职评价结果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吴昕颢</w:t>
            </w:r>
          </w:p>
        </w:tc>
        <w:tc>
          <w:tcPr>
            <w:tcW w:w="2594" w:type="dxa"/>
            <w:noWrap w:val="0"/>
            <w:vAlign w:val="center"/>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称职</w:t>
            </w:r>
          </w:p>
        </w:tc>
        <w:tc>
          <w:tcPr>
            <w:tcW w:w="154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郑承满</w:t>
            </w:r>
          </w:p>
        </w:tc>
        <w:tc>
          <w:tcPr>
            <w:tcW w:w="2952" w:type="dxa"/>
            <w:noWrap w:val="0"/>
            <w:vAlign w:val="center"/>
          </w:tcPr>
          <w:p>
            <w:pPr>
              <w:snapToGrid w:val="0"/>
              <w:spacing w:line="360" w:lineRule="auto"/>
              <w:jc w:val="cente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李朝晖</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谢彤华</w:t>
            </w:r>
          </w:p>
        </w:tc>
        <w:tc>
          <w:tcPr>
            <w:tcW w:w="2952" w:type="dxa"/>
            <w:noWrap w:val="0"/>
            <w:vAlign w:val="center"/>
          </w:tcPr>
          <w:p>
            <w:pPr>
              <w:snapToGrid w:val="0"/>
              <w:spacing w:line="360" w:lineRule="auto"/>
              <w:jc w:val="cente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刘永斌</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黄俊猛</w:t>
            </w:r>
          </w:p>
        </w:tc>
        <w:tc>
          <w:tcPr>
            <w:tcW w:w="2952" w:type="dxa"/>
            <w:noWrap w:val="0"/>
            <w:vAlign w:val="center"/>
          </w:tcPr>
          <w:p>
            <w:pPr>
              <w:snapToGrid w:val="0"/>
              <w:spacing w:line="360" w:lineRule="auto"/>
              <w:jc w:val="cente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陈蓉蓉</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周迪祥</w:t>
            </w:r>
          </w:p>
        </w:tc>
        <w:tc>
          <w:tcPr>
            <w:tcW w:w="2952" w:type="dxa"/>
            <w:noWrap w:val="0"/>
            <w:vAlign w:val="center"/>
          </w:tcPr>
          <w:p>
            <w:pPr>
              <w:snapToGrid w:val="0"/>
              <w:spacing w:line="360" w:lineRule="auto"/>
              <w:jc w:val="cente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top"/>
          </w:tcPr>
          <w:p>
            <w:pPr>
              <w:autoSpaceDE w:val="0"/>
              <w:autoSpaceDN w:val="0"/>
              <w:adjustRightInd w:val="0"/>
              <w:snapToGrid w:val="0"/>
              <w:spacing w:line="360" w:lineRule="auto"/>
              <w:jc w:val="center"/>
              <w:outlineLvl w:val="0"/>
              <w:rPr>
                <w:rFonts w:ascii="宋体" w:hAnsi="宋体"/>
                <w:sz w:val="24"/>
              </w:rPr>
            </w:pPr>
            <w:r>
              <w:rPr>
                <w:rFonts w:hint="eastAsia" w:ascii="宋体" w:hAnsi="宋体"/>
                <w:sz w:val="24"/>
              </w:rPr>
              <w:t>庄海波</w:t>
            </w:r>
          </w:p>
        </w:tc>
        <w:tc>
          <w:tcPr>
            <w:tcW w:w="2594" w:type="dxa"/>
            <w:noWrap w:val="0"/>
            <w:vAlign w:val="center"/>
          </w:tcPr>
          <w:p>
            <w:pPr>
              <w:snapToGrid w:val="0"/>
              <w:spacing w:line="360" w:lineRule="auto"/>
              <w:jc w:val="center"/>
              <w:rPr>
                <w:rFonts w:ascii="宋体" w:hAnsi="宋体"/>
                <w:sz w:val="24"/>
              </w:rPr>
            </w:pPr>
            <w:r>
              <w:rPr>
                <w:rFonts w:hint="eastAsia" w:ascii="宋体" w:hAnsi="宋体"/>
                <w:sz w:val="24"/>
              </w:rPr>
              <w:t>称职</w:t>
            </w:r>
          </w:p>
        </w:tc>
        <w:tc>
          <w:tcPr>
            <w:tcW w:w="1546" w:type="dxa"/>
            <w:noWrap w:val="0"/>
            <w:vAlign w:val="top"/>
          </w:tcPr>
          <w:p>
            <w:pPr>
              <w:autoSpaceDE w:val="0"/>
              <w:autoSpaceDN w:val="0"/>
              <w:adjustRightInd w:val="0"/>
              <w:snapToGrid w:val="0"/>
              <w:spacing w:line="360" w:lineRule="auto"/>
              <w:jc w:val="center"/>
              <w:outlineLvl w:val="0"/>
              <w:rPr>
                <w:rFonts w:ascii="宋体" w:hAnsi="宋体"/>
                <w:sz w:val="24"/>
              </w:rPr>
            </w:pPr>
          </w:p>
        </w:tc>
        <w:tc>
          <w:tcPr>
            <w:tcW w:w="2952" w:type="dxa"/>
            <w:noWrap w:val="0"/>
            <w:vAlign w:val="center"/>
          </w:tcPr>
          <w:p>
            <w:pPr>
              <w:snapToGrid w:val="0"/>
              <w:spacing w:line="360" w:lineRule="auto"/>
              <w:jc w:val="center"/>
            </w:pPr>
            <w:r>
              <w:rPr>
                <w:rFonts w:hint="eastAsia"/>
              </w:rPr>
              <w:t>-</w:t>
            </w:r>
          </w:p>
        </w:tc>
      </w:tr>
    </w:tbl>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sz w:val="24"/>
          <w:szCs w:val="20"/>
        </w:rPr>
      </w:pPr>
      <w:r>
        <w:rPr>
          <w:rFonts w:hint="eastAsia" w:ascii="宋体" w:hAnsi="宋体" w:eastAsia="宋体" w:cs="宋体"/>
          <w:sz w:val="24"/>
        </w:rPr>
        <w:t>本议案已经第八届监事会第二十次会议审议通过。特此报告。</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Ansi="宋体" w:eastAsia="宋体" w:cs="宋体"/>
          <w:sz w:val="24"/>
          <w:szCs w:val="24"/>
        </w:rPr>
      </w:pPr>
      <w:r>
        <w:rPr>
          <w:rFonts w:hint="eastAsia" w:hAnsi="宋体" w:eastAsia="宋体" w:cs="宋体"/>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hAnsi="宋体" w:eastAsia="宋体" w:cs="宋体"/>
          <w:sz w:val="24"/>
          <w:szCs w:val="24"/>
        </w:rPr>
        <w:t>202</w:t>
      </w:r>
      <w:r>
        <w:rPr>
          <w:rFonts w:hint="eastAsia" w:hAnsi="宋体" w:eastAsia="宋体" w:cs="宋体"/>
          <w:sz w:val="24"/>
          <w:szCs w:val="24"/>
          <w:lang w:val="en-US" w:eastAsia="zh-CN"/>
        </w:rPr>
        <w:t>3</w:t>
      </w:r>
      <w:r>
        <w:rPr>
          <w:rFonts w:hint="eastAsia" w:hAnsi="宋体" w:eastAsia="宋体" w:cs="宋体"/>
          <w:sz w:val="24"/>
          <w:szCs w:val="24"/>
        </w:rPr>
        <w:t>年</w:t>
      </w:r>
      <w:r>
        <w:rPr>
          <w:rFonts w:hint="eastAsia" w:hAnsi="宋体" w:eastAsia="宋体" w:cs="宋体"/>
          <w:sz w:val="24"/>
          <w:szCs w:val="24"/>
          <w:lang w:val="en-US" w:eastAsia="zh-CN"/>
        </w:rPr>
        <w:t>5</w:t>
      </w:r>
      <w:r>
        <w:rPr>
          <w:rFonts w:hint="eastAsia" w:hAnsi="宋体" w:eastAsia="宋体" w:cs="宋体"/>
          <w:sz w:val="24"/>
          <w:szCs w:val="24"/>
        </w:rPr>
        <w:t>月</w:t>
      </w:r>
      <w:r>
        <w:rPr>
          <w:rFonts w:hint="eastAsia" w:hAnsi="宋体" w:eastAsia="宋体" w:cs="宋体"/>
          <w:sz w:val="24"/>
          <w:szCs w:val="24"/>
          <w:lang w:val="en-US" w:eastAsia="zh-CN"/>
        </w:rPr>
        <w:t>18</w:t>
      </w:r>
      <w:r>
        <w:rPr>
          <w:rFonts w:hint="eastAsia" w:hAnsi="宋体" w:eastAsia="宋体" w:cs="宋体"/>
          <w:sz w:val="24"/>
          <w:szCs w:val="24"/>
        </w:rPr>
        <w:t>日</w:t>
      </w:r>
    </w:p>
    <w:p>
      <w:pPr>
        <w:rPr>
          <w:rFonts w:hint="default"/>
          <w:lang w:val="en-US" w:eastAsia="zh-CN"/>
        </w:rPr>
      </w:pPr>
      <w:r>
        <w:rPr>
          <w:rFonts w:hint="default"/>
          <w:lang w:val="en-US" w:eastAsia="zh-CN"/>
        </w:rPr>
        <w:br w:type="page"/>
      </w:r>
    </w:p>
    <w:p>
      <w:pPr>
        <w:spacing w:line="360" w:lineRule="auto"/>
        <w:jc w:val="center"/>
        <w:rPr>
          <w:rFonts w:ascii="宋体" w:hAnsi="宋体" w:eastAsia="宋体" w:cs="宋体"/>
          <w:b/>
          <w:bCs/>
          <w:sz w:val="28"/>
          <w:szCs w:val="36"/>
        </w:rPr>
      </w:pPr>
      <w:r>
        <w:rPr>
          <w:rFonts w:hint="eastAsia" w:ascii="宋体" w:hAnsi="宋体" w:eastAsia="宋体" w:cs="宋体"/>
          <w:b/>
          <w:bCs/>
          <w:color w:val="000000"/>
          <w:sz w:val="30"/>
          <w:szCs w:val="30"/>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494915" cy="676275"/>
                <wp:effectExtent l="5080" t="4445" r="14605" b="5080"/>
                <wp:wrapNone/>
                <wp:docPr id="16" name="文本框 3"/>
                <wp:cNvGraphicFramePr/>
                <a:graphic xmlns:a="http://schemas.openxmlformats.org/drawingml/2006/main">
                  <a:graphicData uri="http://schemas.microsoft.com/office/word/2010/wordprocessingShape">
                    <wps:wsp>
                      <wps:cNvSpPr txBox="1"/>
                      <wps:spPr>
                        <a:xfrm>
                          <a:off x="0" y="0"/>
                          <a:ext cx="249491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报告5</w:t>
                            </w:r>
                          </w:p>
                        </w:txbxContent>
                      </wps:txbx>
                      <wps:bodyPr wrap="square" upright="1"/>
                    </wps:wsp>
                  </a:graphicData>
                </a:graphic>
              </wp:anchor>
            </w:drawing>
          </mc:Choice>
          <mc:Fallback>
            <w:pict>
              <v:shape id="文本框 3" o:spid="_x0000_s1026" o:spt="202" type="#_x0000_t202" style="position:absolute;left:0pt;margin-left:0pt;margin-top:0pt;height:53.25pt;width:196.45pt;z-index:251672576;mso-width-relative:page;mso-height-relative:page;" fillcolor="#FFFFFF" filled="t" stroked="t" coordsize="21600,21600" o:gfxdata="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iFcFtYAAAAFAQAADwAAAAAA&#10;AAABACAAAAAiAAAAZHJzL2Rvd25yZXYueG1sUEsBAhQAFAAAAAgAh07iQFsRfqwVAgAARQQAAA4A&#10;AAAAAAAAAQAgAAAAJQEAAGRycy9lMm9Eb2MueG1sUEsFBgAAAAAGAAYAWQEAAKwFAAAAAA==&#10;">
                <v:fill on="t" focussize="0,0"/>
                <v:stroke color="#000000" joinstyle="miter"/>
                <v:imagedata o:title=""/>
                <o:lock v:ext="edit" aspectratio="f"/>
                <v:textbox>
                  <w:txbxContent>
                    <w:p>
                      <w:pPr>
                        <w:jc w:val="center"/>
                        <w:rPr>
                          <w:rFonts w:ascii="宋体" w:hAnsi="宋体" w:eastAsia="宋体" w:cs="宋体"/>
                        </w:rPr>
                      </w:pPr>
                      <w:r>
                        <w:rPr>
                          <w:rFonts w:hint="eastAsia" w:ascii="宋体" w:hAnsi="宋体" w:eastAsia="宋体" w:cs="宋体"/>
                        </w:rPr>
                        <w:t>厦门银行股份有限公司</w:t>
                      </w:r>
                    </w:p>
                    <w:p>
                      <w:pPr>
                        <w:jc w:val="center"/>
                        <w:rPr>
                          <w:rFonts w:ascii="宋体" w:hAnsi="宋体" w:eastAsia="宋体" w:cs="宋体"/>
                        </w:rPr>
                      </w:pPr>
                      <w:r>
                        <w:rPr>
                          <w:rFonts w:hint="eastAsia" w:ascii="宋体" w:hAnsi="宋体" w:eastAsia="宋体" w:cs="宋体"/>
                          <w:lang w:eastAsia="zh-CN"/>
                        </w:rPr>
                        <w:t>2022年度股东大会</w:t>
                      </w:r>
                      <w:r>
                        <w:rPr>
                          <w:rFonts w:hint="eastAsia" w:ascii="宋体" w:hAnsi="宋体" w:eastAsia="宋体" w:cs="宋体"/>
                        </w:rPr>
                        <w:t>会议材料</w:t>
                      </w:r>
                    </w:p>
                    <w:p>
                      <w:pPr>
                        <w:jc w:val="center"/>
                        <w:rPr>
                          <w:rFonts w:hint="default" w:ascii="宋体" w:hAnsi="宋体" w:eastAsia="宋体" w:cs="宋体"/>
                          <w:lang w:val="en-US" w:eastAsia="zh-CN"/>
                        </w:rPr>
                      </w:pPr>
                      <w:r>
                        <w:rPr>
                          <w:rFonts w:hint="eastAsia" w:ascii="宋体" w:hAnsi="宋体" w:eastAsia="宋体" w:cs="宋体"/>
                          <w:lang w:val="en-US" w:eastAsia="zh-CN"/>
                        </w:rPr>
                        <w:t>报告5</w:t>
                      </w:r>
                    </w:p>
                  </w:txbxContent>
                </v:textbox>
              </v:shape>
            </w:pict>
          </mc:Fallback>
        </mc:AlternateContent>
      </w:r>
    </w:p>
    <w:p>
      <w:pPr>
        <w:pStyle w:val="2"/>
      </w:pPr>
    </w:p>
    <w:p>
      <w:pPr>
        <w:widowControl/>
        <w:spacing w:line="360" w:lineRule="auto"/>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厦门银行股份有限公司2022年度监事会及监事履职评价报告</w:t>
      </w:r>
    </w:p>
    <w:p>
      <w:pPr>
        <w:snapToGrid w:val="0"/>
        <w:spacing w:line="360" w:lineRule="auto"/>
        <w:rPr>
          <w:rFonts w:hint="eastAsia" w:ascii="宋体" w:hAnsi="宋体" w:eastAsia="宋体" w:cs="宋体"/>
          <w:bCs/>
          <w:color w:val="000000"/>
          <w:kern w:val="36"/>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36"/>
          <w:sz w:val="24"/>
          <w:szCs w:val="24"/>
        </w:rPr>
        <w:t>尊敬的各位</w:t>
      </w:r>
      <w:r>
        <w:rPr>
          <w:rFonts w:hint="eastAsia" w:asciiTheme="minorEastAsia" w:hAnsiTheme="minorEastAsia" w:eastAsiaTheme="minorEastAsia" w:cstheme="minorEastAsia"/>
          <w:sz w:val="24"/>
          <w:szCs w:val="24"/>
        </w:rPr>
        <w:t>股东</w:t>
      </w:r>
      <w:r>
        <w:rPr>
          <w:rFonts w:hint="eastAsia" w:asciiTheme="minorEastAsia" w:hAnsiTheme="minorEastAsia" w:eastAsiaTheme="minorEastAsia" w:cstheme="minorEastAsia"/>
          <w:bCs/>
          <w:color w:val="000000"/>
          <w:kern w:val="36"/>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根据中国银保监会《银行保险机构公司治理准则》《商业银行监事会工作指引》《银行保险机构董事监事履职评价办法（试行）》以及《厦门银行股份有限公司监事会和监事履职评价办法》（</w:t>
      </w:r>
      <w:r>
        <w:rPr>
          <w:rFonts w:hint="eastAsia" w:asciiTheme="minorEastAsia" w:hAnsiTheme="minorEastAsia" w:eastAsiaTheme="minorEastAsia" w:cstheme="minorEastAsia"/>
          <w:sz w:val="24"/>
          <w:szCs w:val="24"/>
          <w:lang w:val="en-US" w:eastAsia="zh-CN"/>
        </w:rPr>
        <w:t>以</w:t>
      </w:r>
      <w:r>
        <w:rPr>
          <w:rFonts w:hint="eastAsia" w:asciiTheme="minorEastAsia" w:hAnsiTheme="minorEastAsia" w:eastAsiaTheme="minorEastAsia" w:cstheme="minorEastAsia"/>
          <w:sz w:val="24"/>
          <w:szCs w:val="24"/>
        </w:rPr>
        <w:t>下</w:t>
      </w:r>
      <w:r>
        <w:rPr>
          <w:rFonts w:hint="eastAsia" w:asciiTheme="minorEastAsia" w:hAnsiTheme="minorEastAsia" w:eastAsiaTheme="minorEastAsia" w:cstheme="minorEastAsia"/>
          <w:sz w:val="24"/>
          <w:szCs w:val="24"/>
          <w:lang w:val="en-US" w:eastAsia="zh-CN"/>
        </w:rPr>
        <w:t>简</w:t>
      </w:r>
      <w:r>
        <w:rPr>
          <w:rFonts w:hint="eastAsia" w:asciiTheme="minorEastAsia" w:hAnsiTheme="minorEastAsia" w:eastAsiaTheme="minorEastAsia" w:cstheme="minorEastAsia"/>
          <w:sz w:val="24"/>
          <w:szCs w:val="24"/>
        </w:rPr>
        <w:t>称“《履职评价办法》”）的规定，厦门银行股份有限公司（</w:t>
      </w:r>
      <w:r>
        <w:rPr>
          <w:rFonts w:hint="eastAsia" w:asciiTheme="minorEastAsia" w:hAnsiTheme="minorEastAsia" w:eastAsiaTheme="minorEastAsia" w:cstheme="minorEastAsia"/>
          <w:sz w:val="24"/>
          <w:szCs w:val="24"/>
          <w:lang w:val="en-US" w:eastAsia="zh-CN"/>
        </w:rPr>
        <w:t>以下简</w:t>
      </w:r>
      <w:r>
        <w:rPr>
          <w:rFonts w:hint="eastAsia" w:asciiTheme="minorEastAsia" w:hAnsiTheme="minorEastAsia" w:eastAsiaTheme="minorEastAsia" w:cstheme="minorEastAsia"/>
          <w:sz w:val="24"/>
          <w:szCs w:val="24"/>
        </w:rPr>
        <w:t>称“公司”）于202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年1月至4月组织开展了监事会及监事202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年度履职评价工作，现将有关情况报告如下：</w:t>
      </w:r>
    </w:p>
    <w:p>
      <w:pPr>
        <w:pStyle w:val="30"/>
        <w:keepNext w:val="0"/>
        <w:keepLines w:val="0"/>
        <w:pageBreakBefore w:val="0"/>
        <w:widowControl w:val="0"/>
        <w:kinsoku/>
        <w:wordWrap/>
        <w:overflowPunct/>
        <w:topLinePunct w:val="0"/>
        <w:autoSpaceDE/>
        <w:autoSpaceDN/>
        <w:bidi w:val="0"/>
        <w:adjustRightInd/>
        <w:snapToGrid w:val="0"/>
        <w:spacing w:line="360" w:lineRule="auto"/>
        <w:ind w:left="556"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一、履职评价工作开展情况</w:t>
      </w:r>
    </w:p>
    <w:p>
      <w:pPr>
        <w:pStyle w:val="30"/>
        <w:keepNext w:val="0"/>
        <w:keepLines w:val="0"/>
        <w:pageBreakBefore w:val="0"/>
        <w:widowControl w:val="0"/>
        <w:kinsoku/>
        <w:wordWrap/>
        <w:overflowPunct/>
        <w:topLinePunct w:val="0"/>
        <w:autoSpaceDE/>
        <w:autoSpaceDN/>
        <w:bidi w:val="0"/>
        <w:adjustRightInd/>
        <w:snapToGrid w:val="0"/>
        <w:spacing w:line="360" w:lineRule="auto"/>
        <w:ind w:left="556"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（一）履职评价对象及内容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履职评价对象为</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第八届监事会及监事。对监事会履职评价的重点是监事会运作的规范性和有效性等方面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监事履职评价主要包括履行忠实义务、履行勤勉义务、履职专业性、履职独立性与道德水准、履职合规性五个维度，并结合监事类型特点以及其在监事会专门委员会中的任职情况，重点关注监事会及监事的日常履职行为。</w:t>
      </w:r>
    </w:p>
    <w:p>
      <w:pPr>
        <w:pStyle w:val="30"/>
        <w:keepNext w:val="0"/>
        <w:keepLines w:val="0"/>
        <w:pageBreakBefore w:val="0"/>
        <w:widowControl w:val="0"/>
        <w:kinsoku/>
        <w:wordWrap/>
        <w:overflowPunct/>
        <w:topLinePunct w:val="0"/>
        <w:autoSpaceDE/>
        <w:autoSpaceDN/>
        <w:bidi w:val="0"/>
        <w:adjustRightInd/>
        <w:snapToGrid w:val="0"/>
        <w:spacing w:line="360" w:lineRule="auto"/>
        <w:ind w:left="556"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（二）评价程序和方法</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履职评价由</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监事会组织实施，根据《履职评价办法》等相关规定向监事发出《关于开展202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年度监事会及监事履职评价工作的通知》，请各位监事按照履职评价的要求及相关履职参考材料，客观、公正地做好履职评价自评以及对监</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事会履职情况评价工作，经过监事自评、监事对监事会评价、监事会提名委员会评价环节，监事会结合日常监督和内外部检查情况，对自身和监事履职情况进行综合评价，最终确定总体评价得分和评价等级。</w:t>
      </w:r>
    </w:p>
    <w:p>
      <w:pPr>
        <w:pStyle w:val="30"/>
        <w:keepNext w:val="0"/>
        <w:keepLines w:val="0"/>
        <w:pageBreakBefore w:val="0"/>
        <w:widowControl w:val="0"/>
        <w:kinsoku/>
        <w:wordWrap/>
        <w:overflowPunct/>
        <w:topLinePunct w:val="0"/>
        <w:autoSpaceDE/>
        <w:autoSpaceDN/>
        <w:bidi w:val="0"/>
        <w:adjustRightInd/>
        <w:snapToGrid w:val="0"/>
        <w:spacing w:line="360" w:lineRule="auto"/>
        <w:ind w:left="556"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年度监事会履职监督自我评价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2022年，公司</w:t>
      </w:r>
      <w:r>
        <w:rPr>
          <w:rFonts w:hint="eastAsia" w:asciiTheme="minorEastAsia" w:hAnsiTheme="minorEastAsia" w:eastAsiaTheme="minorEastAsia" w:cstheme="minorEastAsia"/>
          <w:sz w:val="24"/>
          <w:szCs w:val="24"/>
        </w:rPr>
        <w:t>监事会</w:t>
      </w:r>
      <w:r>
        <w:rPr>
          <w:rFonts w:hint="eastAsia" w:asciiTheme="minorEastAsia" w:hAnsiTheme="minorEastAsia" w:eastAsiaTheme="minorEastAsia" w:cstheme="minorEastAsia"/>
          <w:sz w:val="24"/>
          <w:szCs w:val="24"/>
          <w:lang w:val="en-US" w:eastAsia="zh-CN"/>
        </w:rPr>
        <w:t>坚持党建引领，</w:t>
      </w:r>
      <w:r>
        <w:rPr>
          <w:rFonts w:hint="eastAsia" w:asciiTheme="minorEastAsia" w:hAnsiTheme="minorEastAsia" w:eastAsiaTheme="minorEastAsia" w:cstheme="minorEastAsia"/>
          <w:sz w:val="24"/>
          <w:szCs w:val="24"/>
        </w:rPr>
        <w:t>根据法律法规、监管要求和《公司章程》</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规定，有效发挥监事会在公司治理中的监督作用，围绕全行战略发展目标和中心工作，高质量召开监事会会议，深化履职监督，</w:t>
      </w:r>
      <w:r>
        <w:rPr>
          <w:rFonts w:hint="eastAsia" w:asciiTheme="minorEastAsia" w:hAnsiTheme="minorEastAsia" w:eastAsiaTheme="minorEastAsia" w:cstheme="minorEastAsia"/>
          <w:sz w:val="24"/>
          <w:szCs w:val="24"/>
          <w:lang w:val="en-US" w:eastAsia="zh-CN"/>
        </w:rPr>
        <w:t>加强对公司董事会、高级管理层的履职以及</w:t>
      </w:r>
      <w:r>
        <w:rPr>
          <w:rFonts w:hint="eastAsia" w:asciiTheme="minorEastAsia" w:hAnsiTheme="minorEastAsia" w:eastAsiaTheme="minorEastAsia" w:cstheme="minorEastAsia"/>
          <w:sz w:val="24"/>
          <w:szCs w:val="24"/>
        </w:rPr>
        <w:t>战略、财务、风险和内控管理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信息披露等事项的</w:t>
      </w:r>
      <w:r>
        <w:rPr>
          <w:rFonts w:hint="eastAsia" w:asciiTheme="minorEastAsia" w:hAnsiTheme="minorEastAsia" w:eastAsiaTheme="minorEastAsia" w:cstheme="minorEastAsia"/>
          <w:sz w:val="24"/>
          <w:szCs w:val="24"/>
        </w:rPr>
        <w:t>监督，</w:t>
      </w:r>
      <w:r>
        <w:rPr>
          <w:rFonts w:hint="eastAsia" w:asciiTheme="minorEastAsia" w:hAnsiTheme="minorEastAsia" w:eastAsiaTheme="minorEastAsia" w:cstheme="minorEastAsia"/>
          <w:sz w:val="24"/>
          <w:szCs w:val="24"/>
          <w:lang w:val="en-US" w:eastAsia="zh-CN"/>
        </w:rPr>
        <w:t>对职责范围内事项做出独立、专业、客观判断，</w:t>
      </w:r>
      <w:r>
        <w:rPr>
          <w:rFonts w:hint="eastAsia" w:asciiTheme="minorEastAsia" w:hAnsiTheme="minorEastAsia" w:eastAsiaTheme="minorEastAsia" w:cstheme="minorEastAsia"/>
          <w:sz w:val="24"/>
          <w:szCs w:val="24"/>
        </w:rPr>
        <w:t>持续</w:t>
      </w:r>
      <w:r>
        <w:rPr>
          <w:rFonts w:hint="eastAsia" w:asciiTheme="minorEastAsia" w:hAnsiTheme="minorEastAsia" w:eastAsiaTheme="minorEastAsia" w:cstheme="minorEastAsia"/>
          <w:sz w:val="24"/>
          <w:szCs w:val="24"/>
          <w:lang w:val="en-US" w:eastAsia="zh-CN"/>
        </w:rPr>
        <w:t>强化各治理主体责任落实，</w:t>
      </w:r>
      <w:r>
        <w:rPr>
          <w:rFonts w:hint="eastAsia" w:asciiTheme="minorEastAsia" w:hAnsiTheme="minorEastAsia" w:eastAsiaTheme="minorEastAsia" w:cstheme="minorEastAsia"/>
          <w:sz w:val="24"/>
          <w:szCs w:val="24"/>
        </w:rPr>
        <w:t>为促进</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进一步完善公司治理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实现稳健可持续发展发挥了积极作用。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sz w:val="24"/>
          <w:szCs w:val="24"/>
          <w:lang w:val="en-US" w:eastAsia="zh-CN"/>
        </w:rPr>
        <w:t>2022年</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公</w:t>
      </w:r>
      <w:r>
        <w:rPr>
          <w:rFonts w:hint="eastAsia" w:asciiTheme="minorEastAsia" w:hAnsiTheme="minorEastAsia" w:eastAsiaTheme="minorEastAsia" w:cstheme="minorEastAsia"/>
          <w:sz w:val="24"/>
          <w:szCs w:val="24"/>
          <w:lang w:val="en-US" w:eastAsia="zh-CN"/>
        </w:rPr>
        <w:t>司监事会</w:t>
      </w:r>
      <w:r>
        <w:rPr>
          <w:rFonts w:hint="eastAsia" w:asciiTheme="minorEastAsia" w:hAnsiTheme="minorEastAsia" w:eastAsiaTheme="minorEastAsia" w:cstheme="minorEastAsia"/>
          <w:sz w:val="24"/>
          <w:szCs w:val="24"/>
        </w:rPr>
        <w:t>全年共召集召开</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次监事会会议、</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次监事会下设专门委员会会议。监事会审议并通过了定期报告、风险管理报告、内控评价报告、监事会工作报告、利润分配方案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董监高履职评价</w:t>
      </w:r>
      <w:r>
        <w:rPr>
          <w:rFonts w:hint="eastAsia" w:asciiTheme="minorEastAsia" w:hAnsiTheme="minorEastAsia" w:eastAsiaTheme="minorEastAsia" w:cstheme="minorEastAsia"/>
          <w:sz w:val="24"/>
          <w:szCs w:val="24"/>
        </w:rPr>
        <w:t>等4</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项议案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听取3项工作报告。依法依规对发展战略、重大财务活动、风险管理、内控合规管理、薪酬考核、</w:t>
      </w:r>
      <w:r>
        <w:rPr>
          <w:rFonts w:hint="eastAsia" w:asciiTheme="minorEastAsia" w:hAnsiTheme="minorEastAsia" w:eastAsiaTheme="minorEastAsia" w:cstheme="minorEastAsia"/>
          <w:sz w:val="24"/>
          <w:szCs w:val="24"/>
          <w:lang w:val="en-US" w:eastAsia="zh-CN"/>
        </w:rPr>
        <w:t>案件防控、消费者权益保护、</w:t>
      </w:r>
      <w:r>
        <w:rPr>
          <w:rFonts w:hint="eastAsia" w:asciiTheme="minorEastAsia" w:hAnsiTheme="minorEastAsia" w:eastAsiaTheme="minorEastAsia" w:cstheme="minorEastAsia"/>
          <w:sz w:val="24"/>
          <w:szCs w:val="24"/>
        </w:rPr>
        <w:t>落实监管意见及问题整改问责情况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董事会、高级管理层及其成员履职情况等事项进行监督。以监督视角对</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各项重要经营管理事项进行充分研究审议，发表客观、独立的意见建议，并重点</w:t>
      </w:r>
      <w:r>
        <w:rPr>
          <w:rFonts w:hint="eastAsia" w:asciiTheme="minorEastAsia" w:hAnsiTheme="minorEastAsia" w:eastAsiaTheme="minorEastAsia" w:cstheme="minorEastAsia"/>
          <w:sz w:val="24"/>
          <w:szCs w:val="24"/>
          <w:lang w:val="en-US" w:eastAsia="zh-CN"/>
        </w:rPr>
        <w:t>对</w:t>
      </w:r>
      <w:r>
        <w:rPr>
          <w:rFonts w:hint="eastAsia" w:asciiTheme="minorEastAsia" w:hAnsiTheme="minorEastAsia" w:eastAsiaTheme="minorEastAsia" w:cstheme="minorEastAsia"/>
          <w:sz w:val="24"/>
          <w:szCs w:val="24"/>
          <w:highlight w:val="none"/>
        </w:rPr>
        <w:t>涉及公司</w:t>
      </w:r>
      <w:r>
        <w:rPr>
          <w:rFonts w:hint="eastAsia" w:asciiTheme="minorEastAsia" w:hAnsiTheme="minorEastAsia" w:eastAsiaTheme="minorEastAsia" w:cstheme="minorEastAsia"/>
          <w:sz w:val="24"/>
          <w:szCs w:val="24"/>
          <w:highlight w:val="none"/>
          <w:lang w:val="en-US" w:eastAsia="zh-CN"/>
        </w:rPr>
        <w:t>财务状况、利润分配、</w:t>
      </w:r>
      <w:r>
        <w:rPr>
          <w:rFonts w:hint="eastAsia" w:asciiTheme="minorEastAsia" w:hAnsiTheme="minorEastAsia" w:eastAsiaTheme="minorEastAsia" w:cstheme="minorEastAsia"/>
          <w:sz w:val="24"/>
          <w:szCs w:val="24"/>
          <w:highlight w:val="none"/>
        </w:rPr>
        <w:t>风险管控、</w:t>
      </w:r>
      <w:r>
        <w:rPr>
          <w:rFonts w:hint="eastAsia" w:asciiTheme="minorEastAsia" w:hAnsiTheme="minorEastAsia" w:eastAsiaTheme="minorEastAsia" w:cstheme="minorEastAsia"/>
          <w:sz w:val="24"/>
          <w:szCs w:val="24"/>
          <w:highlight w:val="none"/>
          <w:lang w:val="en-US" w:eastAsia="zh-CN"/>
        </w:rPr>
        <w:t>内控合规</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信息披露、并表管理</w:t>
      </w:r>
      <w:r>
        <w:rPr>
          <w:rFonts w:hint="eastAsia" w:asciiTheme="minorEastAsia" w:hAnsiTheme="minorEastAsia" w:eastAsiaTheme="minorEastAsia" w:cstheme="minorEastAsia"/>
          <w:sz w:val="24"/>
          <w:szCs w:val="24"/>
          <w:highlight w:val="none"/>
        </w:rPr>
        <w:t>等多个</w:t>
      </w:r>
      <w:r>
        <w:rPr>
          <w:rFonts w:hint="eastAsia" w:asciiTheme="minorEastAsia" w:hAnsiTheme="minorEastAsia" w:eastAsiaTheme="minorEastAsia" w:cstheme="minorEastAsia"/>
          <w:sz w:val="24"/>
          <w:szCs w:val="24"/>
        </w:rPr>
        <w:t>方面</w:t>
      </w:r>
      <w:r>
        <w:rPr>
          <w:rFonts w:hint="eastAsia" w:asciiTheme="minorEastAsia" w:hAnsiTheme="minorEastAsia" w:eastAsiaTheme="minorEastAsia" w:cstheme="minorEastAsia"/>
          <w:sz w:val="24"/>
          <w:szCs w:val="24"/>
          <w:lang w:val="en-US" w:eastAsia="zh-CN"/>
        </w:rPr>
        <w:t>提出</w:t>
      </w:r>
      <w:r>
        <w:rPr>
          <w:rFonts w:hint="eastAsia" w:asciiTheme="minorEastAsia" w:hAnsiTheme="minorEastAsia" w:eastAsiaTheme="minorEastAsia" w:cstheme="minorEastAsia"/>
          <w:sz w:val="24"/>
          <w:szCs w:val="24"/>
        </w:rPr>
        <w:t>建设性意见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较好地发挥了监</w:t>
      </w:r>
      <w:r>
        <w:rPr>
          <w:rFonts w:hint="eastAsia" w:asciiTheme="minorEastAsia" w:hAnsiTheme="minorEastAsia" w:eastAsiaTheme="minorEastAsia" w:cstheme="minorEastAsia"/>
          <w:sz w:val="24"/>
          <w:szCs w:val="24"/>
          <w:highlight w:val="none"/>
        </w:rPr>
        <w:t>督职能</w:t>
      </w:r>
      <w:r>
        <w:rPr>
          <w:rFonts w:hint="eastAsia" w:asciiTheme="minorEastAsia" w:hAnsiTheme="minorEastAsia" w:eastAsiaTheme="minorEastAsia" w:cstheme="minorEastAsia"/>
          <w:sz w:val="24"/>
          <w:szCs w:val="24"/>
          <w:highlight w:val="none"/>
          <w:lang w:val="en-US" w:eastAsia="zh-CN"/>
        </w:rPr>
        <w:t>作用</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sz w:val="24"/>
          <w:szCs w:val="24"/>
          <w:lang w:val="en-US" w:eastAsia="zh-CN"/>
        </w:rPr>
        <w:t>公司</w:t>
      </w:r>
      <w:r>
        <w:rPr>
          <w:rFonts w:hint="eastAsia" w:asciiTheme="minorEastAsia" w:hAnsiTheme="minorEastAsia" w:eastAsiaTheme="minorEastAsia" w:cstheme="minorEastAsia"/>
          <w:sz w:val="24"/>
          <w:szCs w:val="24"/>
        </w:rPr>
        <w:t>监事会</w:t>
      </w:r>
      <w:r>
        <w:rPr>
          <w:rFonts w:hint="eastAsia" w:asciiTheme="minorEastAsia" w:hAnsiTheme="minorEastAsia" w:eastAsiaTheme="minorEastAsia" w:cstheme="minorEastAsia"/>
          <w:b w:val="0"/>
          <w:bCs w:val="0"/>
          <w:sz w:val="24"/>
          <w:szCs w:val="24"/>
          <w:lang w:val="en-US" w:eastAsia="zh-CN"/>
        </w:rPr>
        <w:t>积极开展</w:t>
      </w:r>
      <w:r>
        <w:rPr>
          <w:rFonts w:hint="eastAsia" w:asciiTheme="minorEastAsia" w:hAnsiTheme="minorEastAsia" w:eastAsiaTheme="minorEastAsia" w:cstheme="minorEastAsia"/>
          <w:b w:val="0"/>
          <w:bCs w:val="0"/>
          <w:sz w:val="24"/>
          <w:szCs w:val="24"/>
        </w:rPr>
        <w:t>监督工作</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sz w:val="24"/>
          <w:szCs w:val="24"/>
        </w:rPr>
        <w:t>派员</w:t>
      </w:r>
      <w:r>
        <w:rPr>
          <w:rFonts w:hint="eastAsia" w:asciiTheme="minorEastAsia" w:hAnsiTheme="minorEastAsia" w:eastAsiaTheme="minorEastAsia" w:cstheme="minorEastAsia"/>
          <w:sz w:val="24"/>
          <w:szCs w:val="24"/>
          <w:lang w:val="en-US"/>
        </w:rPr>
        <w:t>出</w:t>
      </w:r>
      <w:r>
        <w:rPr>
          <w:rFonts w:hint="eastAsia" w:asciiTheme="minorEastAsia" w:hAnsiTheme="minorEastAsia" w:eastAsiaTheme="minorEastAsia" w:cstheme="minorEastAsia"/>
          <w:sz w:val="24"/>
          <w:szCs w:val="24"/>
        </w:rPr>
        <w:t>席全部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次股东大会会议，认真审阅会议议案，审查会议召集、召开程序的合法合规性，并派出监事作为监票人，对会议现场各项议案投票情况进行监督。监事会列席全部1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次董事会现场会议及部分董事会下设专门委员会会议，关注重大事项的决策过程，并对会议召集、召开程序，对各项议案是否符合全体股东和</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利益，以及决议执行情况进行监督。职工监事通过参加党委会、行务会、周例会等全行各类重要经营管理</w:t>
      </w:r>
      <w:r>
        <w:rPr>
          <w:rFonts w:hint="eastAsia" w:asciiTheme="minorEastAsia" w:hAnsiTheme="minorEastAsia" w:eastAsiaTheme="minorEastAsia" w:cstheme="minorEastAsia"/>
          <w:sz w:val="24"/>
          <w:szCs w:val="24"/>
          <w:highlight w:val="none"/>
        </w:rPr>
        <w:t>会议，全</w:t>
      </w:r>
      <w:r>
        <w:rPr>
          <w:rFonts w:hint="eastAsia" w:asciiTheme="minorEastAsia" w:hAnsiTheme="minorEastAsia" w:eastAsiaTheme="minorEastAsia" w:cstheme="minorEastAsia"/>
          <w:sz w:val="24"/>
          <w:szCs w:val="24"/>
        </w:rPr>
        <w:t>面了解经营管理层执行董监事会决议、履行财务、内控和风险管理职责等情况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在董事会、监事会闭会期间，通过认真研读公司文件、报告等信息，</w:t>
      </w:r>
      <w:r>
        <w:rPr>
          <w:rFonts w:hint="eastAsia" w:asciiTheme="minorEastAsia" w:hAnsiTheme="minorEastAsia" w:eastAsiaTheme="minorEastAsia" w:cstheme="minorEastAsia"/>
          <w:color w:val="auto"/>
          <w:sz w:val="24"/>
          <w:szCs w:val="24"/>
        </w:rPr>
        <w:t>持续关注董事会、高级管理层及其成员履职尽责情况，</w:t>
      </w:r>
      <w:r>
        <w:rPr>
          <w:rFonts w:hint="eastAsia" w:asciiTheme="minorEastAsia" w:hAnsiTheme="minorEastAsia" w:eastAsiaTheme="minorEastAsia" w:cstheme="minorEastAsia"/>
          <w:color w:val="auto"/>
          <w:sz w:val="24"/>
          <w:szCs w:val="24"/>
          <w:lang w:val="en-US" w:eastAsia="zh-CN"/>
        </w:rPr>
        <w:t>积极</w:t>
      </w:r>
      <w:r>
        <w:rPr>
          <w:rFonts w:hint="eastAsia" w:asciiTheme="minorEastAsia" w:hAnsiTheme="minorEastAsia" w:eastAsiaTheme="minorEastAsia" w:cstheme="minorEastAsia"/>
          <w:sz w:val="24"/>
          <w:szCs w:val="24"/>
        </w:rPr>
        <w:t>履行监事会的监督职责，体现了监事会对全体股东</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利益相关者的保护责任。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lang w:val="en-US" w:eastAsia="zh-CN"/>
        </w:rPr>
        <w:t>公司</w:t>
      </w:r>
      <w:r>
        <w:rPr>
          <w:rFonts w:hint="eastAsia" w:asciiTheme="minorEastAsia" w:hAnsiTheme="minorEastAsia" w:eastAsiaTheme="minorEastAsia" w:cstheme="minorEastAsia"/>
          <w:sz w:val="24"/>
          <w:szCs w:val="24"/>
        </w:rPr>
        <w:t>监事会积极</w:t>
      </w:r>
      <w:r>
        <w:rPr>
          <w:rFonts w:hint="eastAsia" w:asciiTheme="minorEastAsia" w:hAnsiTheme="minorEastAsia" w:eastAsiaTheme="minorEastAsia" w:cstheme="minorEastAsia"/>
          <w:b w:val="0"/>
          <w:bCs w:val="0"/>
          <w:sz w:val="24"/>
          <w:szCs w:val="24"/>
        </w:rPr>
        <w:t>开展调研工作</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sz w:val="24"/>
          <w:szCs w:val="24"/>
        </w:rPr>
        <w:t>由监事会审计委员会牵头，认真制定调研方案，详细收集整理背景材料，通过材料分析、现场走访、员工座谈等多种形式开展调研工作，并形成检查报告《厦门银行股份有限公司监事会审计委员会关于</w:t>
      </w:r>
      <w:r>
        <w:rPr>
          <w:rFonts w:hint="eastAsia" w:asciiTheme="minorEastAsia" w:hAnsiTheme="minorEastAsia" w:eastAsiaTheme="minorEastAsia" w:cstheme="minorEastAsia"/>
          <w:sz w:val="24"/>
          <w:szCs w:val="24"/>
          <w:lang w:val="en-US" w:eastAsia="zh-CN"/>
        </w:rPr>
        <w:t>集团并表管理</w:t>
      </w:r>
      <w:r>
        <w:rPr>
          <w:rFonts w:hint="eastAsia" w:asciiTheme="minorEastAsia" w:hAnsiTheme="minorEastAsia" w:eastAsiaTheme="minorEastAsia" w:cstheme="minorEastAsia"/>
          <w:sz w:val="24"/>
          <w:szCs w:val="24"/>
        </w:rPr>
        <w:t>专项调研报告》提交监事会审议，从</w:t>
      </w:r>
      <w:r>
        <w:rPr>
          <w:rFonts w:hint="eastAsia" w:asciiTheme="minorEastAsia" w:hAnsiTheme="minorEastAsia" w:eastAsiaTheme="minorEastAsia" w:cstheme="minorEastAsia"/>
          <w:sz w:val="24"/>
          <w:szCs w:val="24"/>
          <w:lang w:val="en-US" w:eastAsia="zh-CN"/>
        </w:rPr>
        <w:t>并表管理信息化、自动化、全面风险并表管理、集团联动</w:t>
      </w:r>
      <w:r>
        <w:rPr>
          <w:rFonts w:hint="eastAsia" w:asciiTheme="minorEastAsia" w:hAnsiTheme="minorEastAsia" w:eastAsiaTheme="minorEastAsia" w:cstheme="minorEastAsia"/>
          <w:sz w:val="24"/>
          <w:szCs w:val="24"/>
        </w:rPr>
        <w:t>等方面</w:t>
      </w:r>
      <w:r>
        <w:rPr>
          <w:rFonts w:hint="eastAsia" w:asciiTheme="minorEastAsia" w:hAnsiTheme="minorEastAsia" w:eastAsiaTheme="minorEastAsia" w:cstheme="minorEastAsia"/>
          <w:sz w:val="24"/>
          <w:szCs w:val="24"/>
          <w:lang w:val="en-US" w:eastAsia="zh-CN"/>
        </w:rPr>
        <w:t>与董事会、高级管理层交换意见</w:t>
      </w:r>
      <w:r>
        <w:rPr>
          <w:rFonts w:hint="eastAsia" w:asciiTheme="minorEastAsia" w:hAnsiTheme="minorEastAsia" w:eastAsiaTheme="minorEastAsia" w:cstheme="minorEastAsia"/>
          <w:sz w:val="24"/>
          <w:szCs w:val="24"/>
        </w:rPr>
        <w:t>，推动</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进一步</w:t>
      </w:r>
      <w:r>
        <w:rPr>
          <w:rFonts w:hint="eastAsia" w:asciiTheme="minorEastAsia" w:hAnsiTheme="minorEastAsia" w:eastAsiaTheme="minorEastAsia" w:cstheme="minorEastAsia"/>
          <w:sz w:val="24"/>
          <w:szCs w:val="24"/>
          <w:lang w:val="en-US" w:eastAsia="zh-CN"/>
        </w:rPr>
        <w:t>提升</w:t>
      </w:r>
      <w:r>
        <w:rPr>
          <w:rFonts w:hint="eastAsia" w:asciiTheme="minorEastAsia" w:hAnsiTheme="minorEastAsia" w:eastAsiaTheme="minorEastAsia" w:cstheme="minorEastAsia"/>
          <w:sz w:val="24"/>
          <w:szCs w:val="24"/>
        </w:rPr>
        <w:t>集团并表管理能力。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val="0"/>
          <w:sz w:val="24"/>
          <w:szCs w:val="24"/>
          <w:lang w:val="en-US" w:eastAsia="zh-CN"/>
        </w:rPr>
        <w:t>公司</w:t>
      </w:r>
      <w:r>
        <w:rPr>
          <w:rFonts w:hint="eastAsia" w:asciiTheme="minorEastAsia" w:hAnsiTheme="minorEastAsia" w:eastAsiaTheme="minorEastAsia" w:cstheme="minorEastAsia"/>
          <w:sz w:val="24"/>
          <w:szCs w:val="24"/>
        </w:rPr>
        <w:t>监事会</w:t>
      </w:r>
      <w:r>
        <w:rPr>
          <w:rFonts w:hint="eastAsia" w:asciiTheme="minorEastAsia" w:hAnsiTheme="minorEastAsia" w:eastAsiaTheme="minorEastAsia" w:cstheme="minorEastAsia"/>
          <w:b w:val="0"/>
          <w:bCs w:val="0"/>
          <w:sz w:val="24"/>
          <w:szCs w:val="24"/>
        </w:rPr>
        <w:t>持续</w:t>
      </w:r>
      <w:r>
        <w:rPr>
          <w:rFonts w:hint="eastAsia" w:asciiTheme="minorEastAsia" w:hAnsiTheme="minorEastAsia" w:eastAsiaTheme="minorEastAsia" w:cstheme="minorEastAsia"/>
          <w:b w:val="0"/>
          <w:bCs w:val="0"/>
          <w:sz w:val="24"/>
          <w:szCs w:val="24"/>
          <w:lang w:val="en-US" w:eastAsia="zh-CN"/>
        </w:rPr>
        <w:t>完善制度建设，</w:t>
      </w:r>
      <w:r>
        <w:rPr>
          <w:rFonts w:hint="eastAsia" w:asciiTheme="minorEastAsia" w:hAnsiTheme="minorEastAsia" w:eastAsiaTheme="minorEastAsia" w:cstheme="minorEastAsia"/>
          <w:sz w:val="24"/>
          <w:szCs w:val="24"/>
          <w:lang w:val="en-US" w:eastAsia="zh-CN"/>
        </w:rPr>
        <w:t>对标上市先进银行，开展“制度重检”，</w:t>
      </w:r>
      <w:r>
        <w:rPr>
          <w:rFonts w:hint="eastAsia" w:asciiTheme="minorEastAsia" w:hAnsiTheme="minorEastAsia" w:eastAsiaTheme="minorEastAsia" w:cstheme="minorEastAsia"/>
          <w:sz w:val="24"/>
          <w:szCs w:val="24"/>
        </w:rPr>
        <w:t>积极加强监督体系建设，确保监督工作有据可依，程序明晰，协调有序。根据监管规定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上市公司要求</w:t>
      </w:r>
      <w:r>
        <w:rPr>
          <w:rFonts w:hint="eastAsia" w:asciiTheme="minorEastAsia" w:hAnsiTheme="minorEastAsia" w:eastAsiaTheme="minorEastAsia" w:cstheme="minorEastAsia"/>
          <w:sz w:val="24"/>
          <w:szCs w:val="24"/>
        </w:rPr>
        <w:t>及实际工作需要，</w:t>
      </w:r>
      <w:r>
        <w:rPr>
          <w:rFonts w:hint="eastAsia" w:asciiTheme="minorEastAsia" w:hAnsiTheme="minorEastAsia" w:eastAsiaTheme="minorEastAsia" w:cstheme="minorEastAsia"/>
          <w:sz w:val="24"/>
          <w:szCs w:val="24"/>
          <w:lang w:val="en-US" w:eastAsia="zh-CN"/>
        </w:rPr>
        <w:t>监事会</w:t>
      </w:r>
      <w:r>
        <w:rPr>
          <w:rFonts w:hint="eastAsia" w:asciiTheme="minorEastAsia" w:hAnsiTheme="minorEastAsia" w:eastAsiaTheme="minorEastAsia" w:cstheme="minorEastAsia"/>
          <w:sz w:val="24"/>
          <w:szCs w:val="24"/>
        </w:rPr>
        <w:t>对监事会议事规则和</w:t>
      </w:r>
      <w:r>
        <w:rPr>
          <w:rFonts w:hint="eastAsia" w:asciiTheme="minorEastAsia" w:hAnsiTheme="minorEastAsia" w:eastAsiaTheme="minorEastAsia" w:cstheme="minorEastAsia"/>
          <w:sz w:val="24"/>
          <w:szCs w:val="24"/>
          <w:highlight w:val="none"/>
          <w:lang w:val="en-US" w:eastAsia="zh-CN"/>
        </w:rPr>
        <w:t>监事薪酬管理办法</w:t>
      </w:r>
      <w:r>
        <w:rPr>
          <w:rFonts w:hint="eastAsia" w:asciiTheme="minorEastAsia" w:hAnsiTheme="minorEastAsia" w:eastAsiaTheme="minorEastAsia" w:cstheme="minorEastAsia"/>
          <w:sz w:val="24"/>
          <w:szCs w:val="24"/>
        </w:rPr>
        <w:t>进行修订，修订内容包括完善监事会职责权限，对公司治理中信息披露、权利行使、监事会召开等事宜的程序进行规范</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监事会认为：</w:t>
      </w:r>
      <w:r>
        <w:rPr>
          <w:rFonts w:hint="eastAsia" w:asciiTheme="minorEastAsia" w:hAnsiTheme="minorEastAsia" w:eastAsiaTheme="minorEastAsia" w:cstheme="minorEastAsia"/>
          <w:sz w:val="24"/>
          <w:szCs w:val="24"/>
        </w:rPr>
        <w:t>在评价期内，</w:t>
      </w:r>
      <w:r>
        <w:rPr>
          <w:rFonts w:hint="eastAsia" w:asciiTheme="minorEastAsia" w:hAnsiTheme="minorEastAsia" w:eastAsiaTheme="minorEastAsia" w:cstheme="minorEastAsia"/>
          <w:sz w:val="24"/>
          <w:szCs w:val="24"/>
          <w:lang w:val="en-US" w:eastAsia="zh-CN"/>
        </w:rPr>
        <w:t>公司监事会能够</w:t>
      </w:r>
      <w:r>
        <w:rPr>
          <w:rFonts w:hint="eastAsia" w:asciiTheme="minorEastAsia" w:hAnsiTheme="minorEastAsia" w:eastAsiaTheme="minorEastAsia" w:cstheme="minorEastAsia"/>
          <w:sz w:val="24"/>
          <w:szCs w:val="24"/>
        </w:rPr>
        <w:t>根据法律法规、监管要求和《公司章程》</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规定，紧紧围绕</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战略发展目标和年度中心工作，全面对接上市公司要求，积极探索创新监督方式方法，持续完善监督机制，规范开展监督工作，深入了解</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经营状况，稳步提升监督效能。通过出席股东大会、列席董事会和高管层重要会议、开展专题调研</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，对董事会和高管层的履职、财务活动、风险管理、内部控制和战略发展等情况进行重点监督，监事会及</w:t>
      </w:r>
      <w:r>
        <w:rPr>
          <w:rFonts w:hint="eastAsia" w:asciiTheme="minorEastAsia" w:hAnsiTheme="minorEastAsia" w:eastAsiaTheme="minorEastAsia" w:cstheme="minorEastAsia"/>
          <w:sz w:val="24"/>
          <w:szCs w:val="24"/>
          <w:lang w:val="en-US" w:eastAsia="zh-CN"/>
        </w:rPr>
        <w:t>其</w:t>
      </w:r>
      <w:r>
        <w:rPr>
          <w:rFonts w:hint="eastAsia" w:asciiTheme="minorEastAsia" w:hAnsiTheme="minorEastAsia" w:eastAsiaTheme="minorEastAsia" w:cstheme="minorEastAsia"/>
          <w:sz w:val="24"/>
          <w:szCs w:val="24"/>
        </w:rPr>
        <w:t>专门委员会勤勉履职，助力</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稳健</w:t>
      </w:r>
      <w:r>
        <w:rPr>
          <w:rFonts w:hint="eastAsia" w:asciiTheme="minorEastAsia" w:hAnsiTheme="minorEastAsia" w:eastAsiaTheme="minorEastAsia" w:cstheme="minorEastAsia"/>
          <w:sz w:val="24"/>
          <w:szCs w:val="24"/>
          <w:lang w:val="en-US" w:eastAsia="zh-CN"/>
        </w:rPr>
        <w:t>持续</w:t>
      </w:r>
      <w:r>
        <w:rPr>
          <w:rFonts w:hint="eastAsia" w:asciiTheme="minorEastAsia" w:hAnsiTheme="minorEastAsia" w:eastAsiaTheme="minorEastAsia" w:cstheme="minorEastAsia"/>
          <w:sz w:val="24"/>
          <w:szCs w:val="24"/>
        </w:rPr>
        <w:t>发展</w:t>
      </w:r>
      <w:r>
        <w:rPr>
          <w:rFonts w:hint="eastAsia" w:asciiTheme="minorEastAsia" w:hAnsiTheme="minorEastAsia" w:eastAsiaTheme="minorEastAsia" w:cstheme="minorEastAsia"/>
          <w:sz w:val="24"/>
          <w:szCs w:val="24"/>
          <w:lang w:eastAsia="zh-CN"/>
        </w:rPr>
        <w:t>。未发现监事会及其专门委员会在履职过程中存在违反相关法律法规及《公司章程》规定的行为。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对照监事会履职评价标准，公司监事会202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年履职评价结果为：称职。</w:t>
      </w:r>
    </w:p>
    <w:p>
      <w:pPr>
        <w:pStyle w:val="30"/>
        <w:keepNext w:val="0"/>
        <w:keepLines w:val="0"/>
        <w:pageBreakBefore w:val="0"/>
        <w:widowControl w:val="0"/>
        <w:kinsoku/>
        <w:wordWrap/>
        <w:overflowPunct/>
        <w:topLinePunct w:val="0"/>
        <w:autoSpaceDE/>
        <w:autoSpaceDN/>
        <w:bidi w:val="0"/>
        <w:adjustRightInd/>
        <w:snapToGrid w:val="0"/>
        <w:spacing w:line="360" w:lineRule="auto"/>
        <w:ind w:left="556"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三、对监事202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年度履职情况的评价</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（一）履行忠实义务</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全体监事能够以公司的最佳利益行事，严守公司秘密，未发现监事的本</w:t>
      </w:r>
      <w:r>
        <w:rPr>
          <w:rFonts w:hint="eastAsia" w:asciiTheme="minorEastAsia" w:hAnsiTheme="minorEastAsia" w:eastAsiaTheme="minorEastAsia" w:cstheme="minorEastAsia"/>
          <w:sz w:val="24"/>
          <w:szCs w:val="24"/>
          <w:lang w:val="en-US" w:eastAsia="zh-CN"/>
        </w:rPr>
        <w:t>职</w:t>
      </w:r>
      <w:r>
        <w:rPr>
          <w:rFonts w:hint="eastAsia" w:asciiTheme="minorEastAsia" w:hAnsiTheme="minorEastAsia" w:eastAsiaTheme="minorEastAsia" w:cstheme="minorEastAsia"/>
          <w:sz w:val="24"/>
          <w:szCs w:val="24"/>
        </w:rPr>
        <w:t>、兼职与其在</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的任职存在利益冲突，未发现监事有利用其在公司的地位和职权谋取私利、利用关联关系损害公司利益、接受不正当利益、泄露公司秘密或其他违反法律、法规及公司章程规定的忠实义务行为。</w:t>
      </w:r>
      <w:r>
        <w:rPr>
          <w:rFonts w:hint="eastAsia" w:asciiTheme="minorEastAsia" w:hAnsiTheme="minorEastAsia" w:eastAsiaTheme="minorEastAsia" w:cstheme="minorEastAsia"/>
          <w:sz w:val="24"/>
          <w:szCs w:val="24"/>
        </w:rPr>
        <w:cr/>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（二）履行勤勉义务</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体监事能够积极履行监事职责和义务，出席股东大会、监事会及其相关专门委员会会议，认真审议和听取各项议案及汇报，深入了解公司经营情况，能够对提交监事会审议的事项独立、客观地进行表决。全年监事会会议亲自出席率达</w:t>
      </w:r>
      <w:r>
        <w:rPr>
          <w:rFonts w:hint="eastAsia" w:asciiTheme="minorEastAsia" w:hAnsiTheme="minorEastAsia" w:eastAsiaTheme="minorEastAsia" w:cstheme="minorEastAsia"/>
          <w:sz w:val="24"/>
          <w:szCs w:val="24"/>
          <w:lang w:val="en-US" w:eastAsia="zh-CN"/>
        </w:rPr>
        <w:t>98.14</w:t>
      </w:r>
      <w:r>
        <w:rPr>
          <w:rFonts w:hint="eastAsia" w:asciiTheme="minorEastAsia" w:hAnsiTheme="minorEastAsia" w:eastAsiaTheme="minorEastAsia" w:cstheme="minorEastAsia"/>
          <w:sz w:val="24"/>
          <w:szCs w:val="24"/>
        </w:rPr>
        <w:t>%，监事会各专门委员会会议亲自出席率达</w:t>
      </w:r>
      <w:r>
        <w:rPr>
          <w:rFonts w:hint="eastAsia" w:asciiTheme="minorEastAsia" w:hAnsiTheme="minorEastAsia" w:eastAsiaTheme="minorEastAsia" w:cstheme="minorEastAsia"/>
          <w:sz w:val="24"/>
          <w:szCs w:val="24"/>
          <w:lang w:val="en-US" w:eastAsia="zh-CN"/>
        </w:rPr>
        <w:t>92.59</w:t>
      </w:r>
      <w:r>
        <w:rPr>
          <w:rFonts w:hint="eastAsia" w:asciiTheme="minorEastAsia" w:hAnsiTheme="minorEastAsia" w:eastAsiaTheme="minorEastAsia" w:cstheme="minorEastAsia"/>
          <w:sz w:val="24"/>
          <w:szCs w:val="24"/>
        </w:rPr>
        <w:t>%，外部监事为</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工作时间均在15个工作日以上，符合法律法规和公司章程规定的勤勉义务行为。</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（三）履行专业性</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体监事均具备履职所必需的专业知识、工作经验和基本素质，能够结合自身职责，积极参加监管机构和公司组织的培训活动，不断加强对有关法律法规、银行业政策与业务及经济形势的学习；充分发挥自身专业优势，研究提出科学合理的意见建议，为</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持续稳健经营发挥了监督保障作用。</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（四）</w:t>
      </w:r>
      <w:r>
        <w:rPr>
          <w:rFonts w:hint="eastAsia" w:asciiTheme="minorEastAsia" w:hAnsiTheme="minorEastAsia" w:eastAsiaTheme="minorEastAsia" w:cstheme="minorEastAsia"/>
          <w:b/>
          <w:bCs/>
          <w:sz w:val="24"/>
          <w:szCs w:val="24"/>
        </w:rPr>
        <w:t>履职独立性与道德水准</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全体监事能够坚持高标准的职业道德准则，不受主要股东和内部人控制或干预，独立自主地履行职责，公平对待全体股东、维护利益相关者的合法权益、积极履行社会责任。</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（五）履职合规性</w:t>
      </w:r>
    </w:p>
    <w:p>
      <w:pPr>
        <w:pStyle w:val="30"/>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全体监事能够遵守法律法规、监管</w:t>
      </w:r>
      <w:r>
        <w:rPr>
          <w:rFonts w:hint="eastAsia" w:asciiTheme="minorEastAsia" w:hAnsiTheme="minorEastAsia" w:eastAsiaTheme="minorEastAsia" w:cstheme="minorEastAsia"/>
          <w:sz w:val="24"/>
          <w:szCs w:val="24"/>
          <w:lang w:val="en-US" w:eastAsia="zh-CN"/>
        </w:rPr>
        <w:t>要求</w:t>
      </w:r>
      <w:r>
        <w:rPr>
          <w:rFonts w:hint="eastAsia" w:asciiTheme="minorEastAsia" w:hAnsiTheme="minorEastAsia" w:eastAsiaTheme="minorEastAsia" w:cstheme="minorEastAsia"/>
          <w:sz w:val="24"/>
          <w:szCs w:val="24"/>
        </w:rPr>
        <w:t>及《公司章程》</w:t>
      </w:r>
      <w:r>
        <w:rPr>
          <w:rFonts w:hint="eastAsia" w:asciiTheme="minorEastAsia" w:hAnsiTheme="minorEastAsia" w:eastAsiaTheme="minorEastAsia" w:cstheme="minorEastAsia"/>
          <w:sz w:val="24"/>
          <w:szCs w:val="24"/>
          <w:lang w:val="en-US" w:eastAsia="zh-CN"/>
        </w:rPr>
        <w:t>等规定</w:t>
      </w:r>
      <w:r>
        <w:rPr>
          <w:rFonts w:hint="eastAsia" w:asciiTheme="minorEastAsia" w:hAnsiTheme="minorEastAsia" w:eastAsiaTheme="minorEastAsia" w:cstheme="minorEastAsia"/>
          <w:sz w:val="24"/>
          <w:szCs w:val="24"/>
        </w:rPr>
        <w:t>，持续规范自身履职行为，依法合规履行相应的职责，积极促进监事会不断提高履职监督的科学性和有效性，对公司推进战略规划落地、进一步完善公司治理结构、提高经营管理水平、保护投资者合法权益发挥了积极作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监事会认为：</w:t>
      </w:r>
      <w:r>
        <w:rPr>
          <w:rFonts w:hint="eastAsia" w:asciiTheme="minorEastAsia" w:hAnsiTheme="minorEastAsia" w:eastAsiaTheme="minorEastAsia" w:cstheme="minorEastAsia"/>
          <w:sz w:val="24"/>
          <w:szCs w:val="24"/>
        </w:rPr>
        <w:t>在评价期内，全体监事能够切实履行忠实与勤勉义务，具备履职专业性条件，坚持履职独立性与高标准的职业道德准则，遵守履职合规性要求。公司股东监事能够从公司全局和长远发展的角度出发，积极做好</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与股东之间的沟通工作，监督</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重大事项的审议和实施，切实保障公司和股东的合法权益；外部监事本着客观、独立、审慎的原则，充分发挥专业特长，为</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稳健经营建言献策，作为监事会提名委员会、审计委员会主任委员，能够根据监事会授权职责，有效开展专门委员会的各项工作；职工监事能够立足本职工作，发挥自身对经营管理较为熟悉的优势，注重全面了解</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经营和业务发展情况，关注股东大会、董事会等重大事项决策程序，努力维护</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 xml:space="preserve">和职工的合法权益。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对照监事履职评价标准，公司监事202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年履职评价结果如下：</w:t>
      </w:r>
    </w:p>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2594"/>
        <w:gridCol w:w="1546"/>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监事姓名</w:t>
            </w:r>
          </w:p>
        </w:tc>
        <w:tc>
          <w:tcPr>
            <w:tcW w:w="2594"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履职评价结果</w:t>
            </w:r>
          </w:p>
        </w:tc>
        <w:tc>
          <w:tcPr>
            <w:tcW w:w="1546"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监事姓名</w:t>
            </w:r>
          </w:p>
        </w:tc>
        <w:tc>
          <w:tcPr>
            <w:tcW w:w="2952" w:type="dxa"/>
            <w:shd w:val="clear" w:color="auto" w:fill="C0C0C0"/>
            <w:noWrap w:val="0"/>
            <w:vAlign w:val="top"/>
          </w:tcPr>
          <w:p>
            <w:pPr>
              <w:autoSpaceDE w:val="0"/>
              <w:autoSpaceDN w:val="0"/>
              <w:adjustRightInd w:val="0"/>
              <w:snapToGrid w:val="0"/>
              <w:spacing w:line="360" w:lineRule="auto"/>
              <w:jc w:val="center"/>
              <w:outlineLvl w:val="0"/>
              <w:rPr>
                <w:rFonts w:ascii="宋体" w:hAnsi="宋体"/>
                <w:b/>
                <w:sz w:val="24"/>
              </w:rPr>
            </w:pPr>
            <w:r>
              <w:rPr>
                <w:rFonts w:hint="eastAsia" w:ascii="宋体" w:hAnsi="宋体"/>
                <w:b/>
                <w:sz w:val="24"/>
              </w:rPr>
              <w:t>履职评价结果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张永欢</w:t>
            </w:r>
          </w:p>
        </w:tc>
        <w:tc>
          <w:tcPr>
            <w:tcW w:w="2594" w:type="dxa"/>
            <w:noWrap w:val="0"/>
            <w:vAlign w:val="center"/>
          </w:tcPr>
          <w:p>
            <w:pPr>
              <w:snapToGrid w:val="0"/>
              <w:spacing w:line="360" w:lineRule="auto"/>
              <w:jc w:val="center"/>
              <w:rPr>
                <w:rFonts w:ascii="宋体" w:hAnsi="宋体"/>
                <w:sz w:val="24"/>
              </w:rP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 xml:space="preserve">袁 </w:t>
            </w:r>
            <w:r>
              <w:rPr>
                <w:rFonts w:ascii="宋体" w:hAnsi="宋体"/>
                <w:sz w:val="24"/>
              </w:rPr>
              <w:t xml:space="preserve"> </w:t>
            </w:r>
            <w:r>
              <w:rPr>
                <w:rFonts w:hint="eastAsia" w:ascii="宋体" w:hAnsi="宋体"/>
                <w:sz w:val="24"/>
              </w:rPr>
              <w:t>东</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center"/>
          </w:tcPr>
          <w:p>
            <w:pPr>
              <w:snapToGrid w:val="0"/>
              <w:spacing w:line="360" w:lineRule="auto"/>
              <w:jc w:val="center"/>
              <w:rPr>
                <w:rFonts w:hint="eastAsia" w:ascii="宋体" w:hAnsi="宋体"/>
                <w:sz w:val="24"/>
              </w:rPr>
            </w:pPr>
            <w:r>
              <w:rPr>
                <w:rFonts w:hint="eastAsia" w:ascii="宋体" w:hAnsi="宋体"/>
                <w:sz w:val="24"/>
              </w:rPr>
              <w:t>陈铁铭</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方燕玲</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noWrap w:val="0"/>
            <w:vAlign w:val="center"/>
          </w:tcPr>
          <w:p>
            <w:pPr>
              <w:snapToGrid w:val="0"/>
              <w:spacing w:line="360" w:lineRule="auto"/>
              <w:jc w:val="center"/>
              <w:rPr>
                <w:rFonts w:ascii="宋体" w:hAnsi="宋体"/>
                <w:sz w:val="24"/>
              </w:rPr>
            </w:pPr>
            <w:r>
              <w:rPr>
                <w:rFonts w:hint="eastAsia" w:ascii="宋体" w:hAnsi="宋体"/>
                <w:sz w:val="24"/>
              </w:rPr>
              <w:t>吴泉水</w:t>
            </w:r>
          </w:p>
        </w:tc>
        <w:tc>
          <w:tcPr>
            <w:tcW w:w="2594" w:type="dxa"/>
            <w:noWrap w:val="0"/>
            <w:vAlign w:val="center"/>
          </w:tcPr>
          <w:p>
            <w:pPr>
              <w:snapToGrid w:val="0"/>
              <w:spacing w:line="360" w:lineRule="auto"/>
              <w:jc w:val="center"/>
            </w:pPr>
            <w:r>
              <w:rPr>
                <w:rFonts w:hint="eastAsia" w:ascii="宋体" w:hAnsi="宋体"/>
                <w:sz w:val="24"/>
              </w:rPr>
              <w:t>称职</w:t>
            </w:r>
          </w:p>
        </w:tc>
        <w:tc>
          <w:tcPr>
            <w:tcW w:w="1546" w:type="dxa"/>
            <w:noWrap w:val="0"/>
            <w:vAlign w:val="center"/>
          </w:tcPr>
          <w:p>
            <w:pPr>
              <w:snapToGrid w:val="0"/>
              <w:spacing w:line="360" w:lineRule="auto"/>
              <w:jc w:val="center"/>
              <w:rPr>
                <w:rFonts w:ascii="宋体" w:hAnsi="宋体"/>
                <w:sz w:val="24"/>
              </w:rPr>
            </w:pPr>
            <w:r>
              <w:rPr>
                <w:rFonts w:hint="eastAsia" w:ascii="宋体" w:hAnsi="宋体"/>
                <w:sz w:val="24"/>
              </w:rPr>
              <w:t>朱聿聿</w:t>
            </w:r>
          </w:p>
        </w:tc>
        <w:tc>
          <w:tcPr>
            <w:tcW w:w="2952" w:type="dxa"/>
            <w:noWrap w:val="0"/>
            <w:vAlign w:val="center"/>
          </w:tcPr>
          <w:p>
            <w:pPr>
              <w:snapToGrid w:val="0"/>
              <w:spacing w:line="360" w:lineRule="auto"/>
              <w:jc w:val="center"/>
              <w:rPr>
                <w:rFonts w:ascii="宋体" w:hAnsi="宋体"/>
                <w:sz w:val="24"/>
              </w:rPr>
            </w:pPr>
            <w:r>
              <w:rPr>
                <w:rFonts w:hint="eastAsia" w:ascii="宋体" w:hAnsi="宋体"/>
                <w:sz w:val="24"/>
              </w:rPr>
              <w:t>称职</w:t>
            </w:r>
          </w:p>
        </w:tc>
      </w:tr>
    </w:tbl>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sz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sz w:val="24"/>
          <w:lang w:val="en-US" w:eastAsia="zh-CN"/>
        </w:rPr>
      </w:pP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sz w:val="24"/>
          <w:szCs w:val="20"/>
        </w:rPr>
      </w:pPr>
      <w:r>
        <w:rPr>
          <w:rFonts w:hint="eastAsia" w:ascii="宋体" w:hAnsi="宋体" w:eastAsia="宋体" w:cs="宋体"/>
          <w:sz w:val="24"/>
        </w:rPr>
        <w:t>本议案已经第八届监事会第二十次会议审议通过。特此报告。</w:t>
      </w:r>
    </w:p>
    <w:p>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sz w:val="24"/>
          <w:szCs w:val="20"/>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Ansi="宋体" w:eastAsia="宋体" w:cs="宋体"/>
          <w:sz w:val="24"/>
          <w:szCs w:val="24"/>
        </w:rPr>
      </w:pPr>
      <w:r>
        <w:rPr>
          <w:rFonts w:hint="eastAsia" w:hAnsi="宋体" w:eastAsia="宋体" w:cs="宋体"/>
          <w:sz w:val="24"/>
          <w:szCs w:val="24"/>
        </w:rPr>
        <w:t>厦门银行股份有限公司</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hAnsi="宋体" w:eastAsia="宋体" w:cs="宋体"/>
          <w:sz w:val="24"/>
          <w:szCs w:val="24"/>
        </w:rPr>
      </w:pPr>
      <w:r>
        <w:rPr>
          <w:rFonts w:hint="eastAsia" w:hAnsi="宋体" w:eastAsia="宋体" w:cs="宋体"/>
          <w:sz w:val="24"/>
          <w:szCs w:val="24"/>
        </w:rPr>
        <w:t>202</w:t>
      </w:r>
      <w:r>
        <w:rPr>
          <w:rFonts w:hint="eastAsia" w:hAnsi="宋体" w:eastAsia="宋体" w:cs="宋体"/>
          <w:sz w:val="24"/>
          <w:szCs w:val="24"/>
          <w:lang w:val="en-US" w:eastAsia="zh-CN"/>
        </w:rPr>
        <w:t>3</w:t>
      </w:r>
      <w:r>
        <w:rPr>
          <w:rFonts w:hint="eastAsia" w:hAnsi="宋体" w:eastAsia="宋体" w:cs="宋体"/>
          <w:sz w:val="24"/>
          <w:szCs w:val="24"/>
        </w:rPr>
        <w:t>年</w:t>
      </w:r>
      <w:r>
        <w:rPr>
          <w:rFonts w:hint="eastAsia" w:hAnsi="宋体" w:eastAsia="宋体" w:cs="宋体"/>
          <w:sz w:val="24"/>
          <w:szCs w:val="24"/>
          <w:lang w:val="en-US" w:eastAsia="zh-CN"/>
        </w:rPr>
        <w:t>5</w:t>
      </w:r>
      <w:r>
        <w:rPr>
          <w:rFonts w:hint="eastAsia" w:hAnsi="宋体" w:eastAsia="宋体" w:cs="宋体"/>
          <w:sz w:val="24"/>
          <w:szCs w:val="24"/>
        </w:rPr>
        <w:t>月</w:t>
      </w:r>
      <w:r>
        <w:rPr>
          <w:rFonts w:hint="eastAsia" w:hAnsi="宋体" w:eastAsia="宋体" w:cs="宋体"/>
          <w:sz w:val="24"/>
          <w:szCs w:val="24"/>
          <w:lang w:val="en-US" w:eastAsia="zh-CN"/>
        </w:rPr>
        <w:t>18</w:t>
      </w:r>
      <w:r>
        <w:rPr>
          <w:rFonts w:hint="eastAsia" w:hAnsi="宋体" w:eastAsia="宋体" w:cs="宋体"/>
          <w:sz w:val="24"/>
          <w:szCs w:val="24"/>
        </w:rPr>
        <w:t>日</w:t>
      </w:r>
    </w:p>
    <w:p>
      <w:pPr>
        <w:pStyle w:val="2"/>
        <w:rPr>
          <w:rFonts w:hint="default"/>
          <w:lang w:val="en-US" w:eastAsia="zh-CN"/>
        </w:rPr>
      </w:pPr>
    </w:p>
    <w:sectPr>
      <w:headerReference r:id="rId4" w:type="default"/>
      <w:footerReference r:id="rId5" w:type="default"/>
      <w:pgSz w:w="11906" w:h="16838"/>
      <w:pgMar w:top="1440" w:right="1468"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_GB2312">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26695"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266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7.85pt;mso-position-horizontal:center;mso-position-horizontal-relative:margin;z-index:251663360;mso-width-relative:page;mso-height-relative:page;" filled="f" stroked="f" coordsize="21600,21600" o:gfxdata="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vVIHUAAAABAEAAA8AAAAAAAAAAQAgAAAAIgAAAGRycy9kb3ducmV2LnhtbFBL&#10;AQIUABQAAAAIAIdO4kCQrmHUMwIAAFgEAAAOAAAAAAAAAAEAIAAAACMBAABkcnMvZTJvRG9jLnht&#10;bFBLBQYAAAAABgAGAFkBAADI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14"/>
        <w:snapToGrid w:val="0"/>
        <w:rPr>
          <w:rFonts w:hint="eastAsia" w:asciiTheme="minorEastAsia" w:hAnsiTheme="minorEastAsia" w:eastAsiaTheme="minorEastAsia" w:cstheme="minorEastAsia"/>
          <w:lang w:eastAsia="zh-CN"/>
        </w:rPr>
      </w:pPr>
      <w:r>
        <w:rPr>
          <w:rStyle w:val="23"/>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具体详见《商业银行集团客户授信业务风险管理指引》（中国银行业监督管理委员会令 2010年第4号）、《厦门银行股份有限公司大额风险暴露管理办法》（厦门银行授管〔2019〕1号）。相关文件如有更新，以最新发文为准。</w:t>
      </w:r>
    </w:p>
  </w:footnote>
  <w:footnote w:id="1">
    <w:p>
      <w:pPr>
        <w:pStyle w:val="14"/>
        <w:snapToGrid w:val="0"/>
        <w:rPr>
          <w:rFonts w:hint="eastAsia" w:asciiTheme="minorEastAsia" w:hAnsiTheme="minorEastAsia" w:eastAsiaTheme="minorEastAsia" w:cstheme="minorEastAsia"/>
          <w:lang w:eastAsia="zh-CN"/>
        </w:rPr>
      </w:pPr>
      <w:r>
        <w:rPr>
          <w:rStyle w:val="23"/>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具体详见《厦门银行股份有限公司关联交易管理办法》（厦门银行董〔2022〕7号）。相关文件如有更新，以最新发文为准。</w:t>
      </w:r>
    </w:p>
  </w:footnote>
  <w:footnote w:id="2">
    <w:p>
      <w:pPr>
        <w:pStyle w:val="14"/>
        <w:rPr>
          <w:rFonts w:hint="eastAsia" w:asciiTheme="minorEastAsia" w:hAnsiTheme="minorEastAsia" w:eastAsiaTheme="minorEastAsia" w:cstheme="minorEastAsia"/>
          <w:szCs w:val="18"/>
        </w:rPr>
      </w:pPr>
      <w:r>
        <w:rPr>
          <w:rStyle w:val="23"/>
          <w:rFonts w:hint="eastAsia" w:asciiTheme="minorEastAsia" w:hAnsiTheme="minorEastAsia" w:eastAsiaTheme="minorEastAsia" w:cstheme="minorEastAsia"/>
          <w:szCs w:val="18"/>
        </w:rPr>
        <w:footnoteRef/>
      </w:r>
      <w:r>
        <w:rPr>
          <w:rFonts w:hint="eastAsia" w:asciiTheme="minorEastAsia" w:hAnsiTheme="minorEastAsia" w:eastAsiaTheme="minorEastAsia" w:cstheme="minorEastAsia"/>
          <w:szCs w:val="18"/>
        </w:rPr>
        <w:t xml:space="preserve"> 由于富邦金融控股股份有限公司关联方的预计额度间不可共用，故单独列示。</w:t>
      </w:r>
    </w:p>
  </w:footnote>
  <w:footnote w:id="3">
    <w:p>
      <w:pPr>
        <w:pStyle w:val="14"/>
        <w:snapToGrid w:val="0"/>
        <w:rPr>
          <w:rFonts w:hint="default" w:eastAsiaTheme="minorEastAsia"/>
          <w:szCs w:val="18"/>
          <w:lang w:val="en-US" w:eastAsia="zh-CN"/>
        </w:rPr>
      </w:pPr>
      <w:r>
        <w:rPr>
          <w:rStyle w:val="23"/>
          <w:szCs w:val="18"/>
        </w:rPr>
        <w:footnoteRef/>
      </w:r>
      <w:r>
        <w:rPr>
          <w:szCs w:val="18"/>
        </w:rPr>
        <w:t xml:space="preserve"> </w:t>
      </w:r>
      <w:r>
        <w:rPr>
          <w:rFonts w:hint="eastAsia"/>
          <w:szCs w:val="18"/>
          <w:lang w:val="en-US" w:eastAsia="zh-CN"/>
        </w:rPr>
        <w:t>由于富邦金融控股股份有限公司关联方的预计额度间不可共用，故单独列示。</w:t>
      </w:r>
    </w:p>
  </w:footnote>
  <w:footnote w:id="4">
    <w:p>
      <w:pPr>
        <w:pStyle w:val="14"/>
        <w:snapToGrid w:val="0"/>
        <w:rPr>
          <w:rFonts w:hint="eastAsia" w:asciiTheme="minorEastAsia" w:hAnsiTheme="minorEastAsia" w:eastAsiaTheme="minorEastAsia" w:cstheme="minorEastAsia"/>
        </w:rPr>
      </w:pPr>
      <w:r>
        <w:rPr>
          <w:rStyle w:val="23"/>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2022年9月末台北富邦银行财务数据以2022年9月30日新台币兑人民币中间价进行折算，2022年9月30日1台币=0.2239元人民币</w:t>
      </w:r>
    </w:p>
  </w:footnote>
  <w:footnote w:id="5">
    <w:p>
      <w:pPr>
        <w:pStyle w:val="14"/>
        <w:snapToGrid w:val="0"/>
        <w:rPr>
          <w:rFonts w:hint="eastAsia" w:asciiTheme="minorEastAsia" w:hAnsiTheme="minorEastAsia" w:eastAsiaTheme="minorEastAsia" w:cstheme="minorEastAsia"/>
        </w:rPr>
      </w:pPr>
      <w:r>
        <w:rPr>
          <w:rStyle w:val="23"/>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2022年6月末富邦银行（香港）财务数据以2022年6月30日港币兑人民币中间价进行折算，2022年6月30日1港币=0.85519元人民币。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spacing w:before="120" w:after="1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99E2D"/>
    <w:multiLevelType w:val="singleLevel"/>
    <w:tmpl w:val="91199E2D"/>
    <w:lvl w:ilvl="0" w:tentative="0">
      <w:start w:val="1"/>
      <w:numFmt w:val="chineseCounting"/>
      <w:suff w:val="nothing"/>
      <w:lvlText w:val="（%1）"/>
      <w:lvlJc w:val="left"/>
      <w:pPr>
        <w:ind w:left="0" w:firstLine="420"/>
      </w:pPr>
      <w:rPr>
        <w:rFonts w:hint="eastAsia"/>
        <w:b w:val="0"/>
        <w:bCs w:val="0"/>
      </w:rPr>
    </w:lvl>
  </w:abstractNum>
  <w:abstractNum w:abstractNumId="1">
    <w:nsid w:val="B538EB4C"/>
    <w:multiLevelType w:val="singleLevel"/>
    <w:tmpl w:val="B538EB4C"/>
    <w:lvl w:ilvl="0" w:tentative="0">
      <w:start w:val="1"/>
      <w:numFmt w:val="decimal"/>
      <w:suff w:val="space"/>
      <w:lvlText w:val="%1."/>
      <w:lvlJc w:val="left"/>
    </w:lvl>
  </w:abstractNum>
  <w:abstractNum w:abstractNumId="2">
    <w:nsid w:val="BE7B49B1"/>
    <w:multiLevelType w:val="singleLevel"/>
    <w:tmpl w:val="BE7B49B1"/>
    <w:lvl w:ilvl="0" w:tentative="0">
      <w:start w:val="2"/>
      <w:numFmt w:val="chineseCounting"/>
      <w:suff w:val="nothing"/>
      <w:lvlText w:val="（%1）"/>
      <w:lvlJc w:val="left"/>
      <w:rPr>
        <w:rFonts w:hint="eastAsia"/>
        <w:color w:val="auto"/>
      </w:rPr>
    </w:lvl>
  </w:abstractNum>
  <w:abstractNum w:abstractNumId="3">
    <w:nsid w:val="FBA59A5E"/>
    <w:multiLevelType w:val="singleLevel"/>
    <w:tmpl w:val="FBA59A5E"/>
    <w:lvl w:ilvl="0" w:tentative="0">
      <w:start w:val="1"/>
      <w:numFmt w:val="chineseCounting"/>
      <w:suff w:val="nothing"/>
      <w:lvlText w:val="%1、"/>
      <w:lvlJc w:val="left"/>
      <w:pPr>
        <w:ind w:left="481" w:leftChars="0" w:firstLine="0" w:firstLineChars="0"/>
      </w:pPr>
      <w:rPr>
        <w:rFonts w:hint="eastAsia"/>
      </w:rPr>
    </w:lvl>
  </w:abstractNum>
  <w:abstractNum w:abstractNumId="4">
    <w:nsid w:val="01BB596C"/>
    <w:multiLevelType w:val="singleLevel"/>
    <w:tmpl w:val="01BB596C"/>
    <w:lvl w:ilvl="0" w:tentative="0">
      <w:start w:val="1"/>
      <w:numFmt w:val="chineseCounting"/>
      <w:suff w:val="nothing"/>
      <w:lvlText w:val="（%1）"/>
      <w:lvlJc w:val="left"/>
      <w:rPr>
        <w:rFonts w:hint="eastAsia"/>
      </w:rPr>
    </w:lvl>
  </w:abstractNum>
  <w:abstractNum w:abstractNumId="5">
    <w:nsid w:val="2237C7F0"/>
    <w:multiLevelType w:val="singleLevel"/>
    <w:tmpl w:val="2237C7F0"/>
    <w:lvl w:ilvl="0" w:tentative="0">
      <w:start w:val="1"/>
      <w:numFmt w:val="chineseCounting"/>
      <w:suff w:val="nothing"/>
      <w:lvlText w:val="%1、"/>
      <w:lvlJc w:val="left"/>
      <w:rPr>
        <w:rFonts w:hint="eastAsia"/>
      </w:rPr>
    </w:lvl>
  </w:abstractNum>
  <w:abstractNum w:abstractNumId="6">
    <w:nsid w:val="2591C06F"/>
    <w:multiLevelType w:val="singleLevel"/>
    <w:tmpl w:val="2591C06F"/>
    <w:lvl w:ilvl="0" w:tentative="0">
      <w:start w:val="1"/>
      <w:numFmt w:val="chineseCounting"/>
      <w:suff w:val="space"/>
      <w:lvlText w:val="%1、"/>
      <w:lvlJc w:val="left"/>
      <w:pPr>
        <w:ind w:left="-2"/>
      </w:pPr>
      <w:rPr>
        <w:rFonts w:hint="eastAsia" w:ascii="宋体" w:hAnsi="宋体" w:eastAsia="宋体" w:cs="宋体"/>
        <w:b/>
        <w:bCs/>
      </w:rPr>
    </w:lvl>
  </w:abstractNum>
  <w:abstractNum w:abstractNumId="7">
    <w:nsid w:val="4D5A1C17"/>
    <w:multiLevelType w:val="singleLevel"/>
    <w:tmpl w:val="4D5A1C17"/>
    <w:lvl w:ilvl="0" w:tentative="0">
      <w:start w:val="1"/>
      <w:numFmt w:val="chineseCounting"/>
      <w:suff w:val="nothing"/>
      <w:lvlText w:val="（%1）"/>
      <w:lvlJc w:val="left"/>
      <w:rPr>
        <w:rFonts w:hint="eastAsia"/>
      </w:rPr>
    </w:lvl>
  </w:abstractNum>
  <w:abstractNum w:abstractNumId="8">
    <w:nsid w:val="57C791F4"/>
    <w:multiLevelType w:val="singleLevel"/>
    <w:tmpl w:val="57C791F4"/>
    <w:lvl w:ilvl="0" w:tentative="0">
      <w:start w:val="1"/>
      <w:numFmt w:val="chineseCounting"/>
      <w:suff w:val="nothing"/>
      <w:lvlText w:val="（%1）"/>
      <w:lvlJc w:val="left"/>
      <w:pPr>
        <w:ind w:left="-62"/>
      </w:pPr>
      <w:rPr>
        <w:rFonts w:hint="eastAsia"/>
      </w:rPr>
    </w:lvl>
  </w:abstractNum>
  <w:abstractNum w:abstractNumId="9">
    <w:nsid w:val="63A0E99C"/>
    <w:multiLevelType w:val="singleLevel"/>
    <w:tmpl w:val="63A0E99C"/>
    <w:lvl w:ilvl="0" w:tentative="0">
      <w:start w:val="1"/>
      <w:numFmt w:val="chineseCounting"/>
      <w:suff w:val="nothing"/>
      <w:lvlText w:val="%1、"/>
      <w:lvlJc w:val="left"/>
      <w:pPr>
        <w:ind w:left="20" w:firstLine="420"/>
      </w:pPr>
      <w:rPr>
        <w:rFonts w:hint="eastAsia"/>
      </w:rPr>
    </w:lvl>
  </w:abstractNum>
  <w:abstractNum w:abstractNumId="10">
    <w:nsid w:val="6493A904"/>
    <w:multiLevelType w:val="singleLevel"/>
    <w:tmpl w:val="6493A904"/>
    <w:lvl w:ilvl="0" w:tentative="0">
      <w:start w:val="1"/>
      <w:numFmt w:val="chineseCounting"/>
      <w:suff w:val="nothing"/>
      <w:lvlText w:val="（%1）"/>
      <w:lvlJc w:val="left"/>
      <w:pPr>
        <w:ind w:left="420" w:firstLine="0"/>
      </w:pPr>
      <w:rPr>
        <w:rFonts w:hint="eastAsia"/>
      </w:rPr>
    </w:lvl>
  </w:abstractNum>
  <w:num w:numId="1">
    <w:abstractNumId w:val="5"/>
  </w:num>
  <w:num w:numId="2">
    <w:abstractNumId w:val="7"/>
  </w:num>
  <w:num w:numId="3">
    <w:abstractNumId w:val="8"/>
  </w:num>
  <w:num w:numId="4">
    <w:abstractNumId w:val="3"/>
  </w:num>
  <w:num w:numId="5">
    <w:abstractNumId w:val="10"/>
  </w:num>
  <w:num w:numId="6">
    <w:abstractNumId w:val="4"/>
  </w:num>
  <w:num w:numId="7">
    <w:abstractNumId w:val="2"/>
  </w:num>
  <w:num w:numId="8">
    <w:abstractNumId w:val="6"/>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60"/>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A4D60"/>
    <w:rsid w:val="001E0AC7"/>
    <w:rsid w:val="002805DD"/>
    <w:rsid w:val="004832FD"/>
    <w:rsid w:val="00B96712"/>
    <w:rsid w:val="016562ED"/>
    <w:rsid w:val="02002BE8"/>
    <w:rsid w:val="029F4F8B"/>
    <w:rsid w:val="02A35711"/>
    <w:rsid w:val="02DA1E5E"/>
    <w:rsid w:val="03B12B8C"/>
    <w:rsid w:val="04886EC4"/>
    <w:rsid w:val="0558269F"/>
    <w:rsid w:val="056A37B2"/>
    <w:rsid w:val="056D354C"/>
    <w:rsid w:val="067E7510"/>
    <w:rsid w:val="06F26682"/>
    <w:rsid w:val="091A6A7E"/>
    <w:rsid w:val="0A706234"/>
    <w:rsid w:val="0B4407CD"/>
    <w:rsid w:val="0B7E54BF"/>
    <w:rsid w:val="0BC066DA"/>
    <w:rsid w:val="0C933B9F"/>
    <w:rsid w:val="0CC472C5"/>
    <w:rsid w:val="0CD62969"/>
    <w:rsid w:val="0D1152B2"/>
    <w:rsid w:val="0DC30BD2"/>
    <w:rsid w:val="0E2C78C7"/>
    <w:rsid w:val="0E6645CB"/>
    <w:rsid w:val="0EE86DF0"/>
    <w:rsid w:val="0F421F89"/>
    <w:rsid w:val="0FA263C6"/>
    <w:rsid w:val="112835C9"/>
    <w:rsid w:val="1150117B"/>
    <w:rsid w:val="11637E6A"/>
    <w:rsid w:val="11A338F4"/>
    <w:rsid w:val="13E341C1"/>
    <w:rsid w:val="14280BED"/>
    <w:rsid w:val="142C0A27"/>
    <w:rsid w:val="14DA19A6"/>
    <w:rsid w:val="152A7CA2"/>
    <w:rsid w:val="15CD1F0B"/>
    <w:rsid w:val="15CD70A6"/>
    <w:rsid w:val="17FC6B37"/>
    <w:rsid w:val="183303B7"/>
    <w:rsid w:val="1BAC45C1"/>
    <w:rsid w:val="1C910B9D"/>
    <w:rsid w:val="1C951CD3"/>
    <w:rsid w:val="1CF131C3"/>
    <w:rsid w:val="1D0A3DE5"/>
    <w:rsid w:val="1EAC25D1"/>
    <w:rsid w:val="1F1112CC"/>
    <w:rsid w:val="1F587982"/>
    <w:rsid w:val="21A27435"/>
    <w:rsid w:val="21C43680"/>
    <w:rsid w:val="224039C6"/>
    <w:rsid w:val="22E17F85"/>
    <w:rsid w:val="23520A11"/>
    <w:rsid w:val="23815155"/>
    <w:rsid w:val="24570B56"/>
    <w:rsid w:val="25BD2F34"/>
    <w:rsid w:val="25E04128"/>
    <w:rsid w:val="25EE729C"/>
    <w:rsid w:val="265D4726"/>
    <w:rsid w:val="26BC7A2B"/>
    <w:rsid w:val="27CD4978"/>
    <w:rsid w:val="29474EB8"/>
    <w:rsid w:val="2968245C"/>
    <w:rsid w:val="2A5574D6"/>
    <w:rsid w:val="2A602A13"/>
    <w:rsid w:val="2B380CB8"/>
    <w:rsid w:val="2B394F60"/>
    <w:rsid w:val="2B570E26"/>
    <w:rsid w:val="2B877F99"/>
    <w:rsid w:val="2BD131AB"/>
    <w:rsid w:val="2BFF6424"/>
    <w:rsid w:val="2CBA07E9"/>
    <w:rsid w:val="2D7271BC"/>
    <w:rsid w:val="2DB00C6F"/>
    <w:rsid w:val="2F6F0E77"/>
    <w:rsid w:val="2FDA4B5F"/>
    <w:rsid w:val="30A52E44"/>
    <w:rsid w:val="31546B4C"/>
    <w:rsid w:val="3165143E"/>
    <w:rsid w:val="31ED4884"/>
    <w:rsid w:val="31FE5BC6"/>
    <w:rsid w:val="320B2980"/>
    <w:rsid w:val="332748FB"/>
    <w:rsid w:val="3345141D"/>
    <w:rsid w:val="336A5F7A"/>
    <w:rsid w:val="356925B2"/>
    <w:rsid w:val="3808103B"/>
    <w:rsid w:val="38262EBB"/>
    <w:rsid w:val="39892272"/>
    <w:rsid w:val="3A110F4C"/>
    <w:rsid w:val="3AA01037"/>
    <w:rsid w:val="3AE17DAD"/>
    <w:rsid w:val="3B093426"/>
    <w:rsid w:val="3B376703"/>
    <w:rsid w:val="3B611BAC"/>
    <w:rsid w:val="3CDB6B72"/>
    <w:rsid w:val="3DEA4D60"/>
    <w:rsid w:val="3E0734CF"/>
    <w:rsid w:val="3EDF7B97"/>
    <w:rsid w:val="3EEF6AF0"/>
    <w:rsid w:val="3F14325D"/>
    <w:rsid w:val="3F321BE3"/>
    <w:rsid w:val="3F6925B3"/>
    <w:rsid w:val="3FAE31A5"/>
    <w:rsid w:val="40627E71"/>
    <w:rsid w:val="40AA7560"/>
    <w:rsid w:val="40AD1122"/>
    <w:rsid w:val="40B93CB2"/>
    <w:rsid w:val="42054B32"/>
    <w:rsid w:val="42E72D76"/>
    <w:rsid w:val="43AE449F"/>
    <w:rsid w:val="43FA0AD4"/>
    <w:rsid w:val="43FC762B"/>
    <w:rsid w:val="443F0B35"/>
    <w:rsid w:val="44B06E17"/>
    <w:rsid w:val="44DC45F7"/>
    <w:rsid w:val="45842432"/>
    <w:rsid w:val="46295012"/>
    <w:rsid w:val="462A7FCD"/>
    <w:rsid w:val="471A520F"/>
    <w:rsid w:val="4792560D"/>
    <w:rsid w:val="47C135F6"/>
    <w:rsid w:val="48424D1C"/>
    <w:rsid w:val="48D06BF6"/>
    <w:rsid w:val="495A4998"/>
    <w:rsid w:val="49DA33DF"/>
    <w:rsid w:val="4A295CEB"/>
    <w:rsid w:val="4A346CA4"/>
    <w:rsid w:val="4B1053AE"/>
    <w:rsid w:val="4B2C48A2"/>
    <w:rsid w:val="4CA7678A"/>
    <w:rsid w:val="4D9A7B28"/>
    <w:rsid w:val="4D9B452F"/>
    <w:rsid w:val="4DC60F87"/>
    <w:rsid w:val="4F370594"/>
    <w:rsid w:val="50561446"/>
    <w:rsid w:val="50AF2E3A"/>
    <w:rsid w:val="50F379FD"/>
    <w:rsid w:val="51DB38FF"/>
    <w:rsid w:val="51E12755"/>
    <w:rsid w:val="51F32D87"/>
    <w:rsid w:val="52493918"/>
    <w:rsid w:val="52BB6DD1"/>
    <w:rsid w:val="52CF235A"/>
    <w:rsid w:val="52D72DE4"/>
    <w:rsid w:val="537E191A"/>
    <w:rsid w:val="53DF183D"/>
    <w:rsid w:val="53F01A7B"/>
    <w:rsid w:val="541B51FC"/>
    <w:rsid w:val="54630011"/>
    <w:rsid w:val="54C047E4"/>
    <w:rsid w:val="55E7634E"/>
    <w:rsid w:val="562D611E"/>
    <w:rsid w:val="57283385"/>
    <w:rsid w:val="574D5267"/>
    <w:rsid w:val="57520BE5"/>
    <w:rsid w:val="58677AB1"/>
    <w:rsid w:val="592173C7"/>
    <w:rsid w:val="594A7DEA"/>
    <w:rsid w:val="597D7685"/>
    <w:rsid w:val="5AD06919"/>
    <w:rsid w:val="5B862B24"/>
    <w:rsid w:val="5BC03629"/>
    <w:rsid w:val="5C681883"/>
    <w:rsid w:val="5EC72CCE"/>
    <w:rsid w:val="5EF200AA"/>
    <w:rsid w:val="5F722413"/>
    <w:rsid w:val="5FC87A22"/>
    <w:rsid w:val="60190BA1"/>
    <w:rsid w:val="60471438"/>
    <w:rsid w:val="626040DA"/>
    <w:rsid w:val="62626504"/>
    <w:rsid w:val="62ED359D"/>
    <w:rsid w:val="64A80611"/>
    <w:rsid w:val="64C739C1"/>
    <w:rsid w:val="64FF3DFA"/>
    <w:rsid w:val="650C0470"/>
    <w:rsid w:val="67A3335F"/>
    <w:rsid w:val="67CE7995"/>
    <w:rsid w:val="68995BCB"/>
    <w:rsid w:val="68DB2A97"/>
    <w:rsid w:val="6B234A86"/>
    <w:rsid w:val="6C4F044A"/>
    <w:rsid w:val="6CB47E64"/>
    <w:rsid w:val="6D6A5A8A"/>
    <w:rsid w:val="6D703FDA"/>
    <w:rsid w:val="6D733FEB"/>
    <w:rsid w:val="6EC81C50"/>
    <w:rsid w:val="6EC8747D"/>
    <w:rsid w:val="6ED60D74"/>
    <w:rsid w:val="6F180619"/>
    <w:rsid w:val="70352121"/>
    <w:rsid w:val="712752A0"/>
    <w:rsid w:val="71EC71E1"/>
    <w:rsid w:val="72A41BA1"/>
    <w:rsid w:val="73BC2281"/>
    <w:rsid w:val="742B1F63"/>
    <w:rsid w:val="74CB63A0"/>
    <w:rsid w:val="7675264F"/>
    <w:rsid w:val="767E38BB"/>
    <w:rsid w:val="77382D44"/>
    <w:rsid w:val="77732431"/>
    <w:rsid w:val="779C3B40"/>
    <w:rsid w:val="77B32587"/>
    <w:rsid w:val="79AB5D9A"/>
    <w:rsid w:val="79B77A34"/>
    <w:rsid w:val="7A4E4A2D"/>
    <w:rsid w:val="7A64312A"/>
    <w:rsid w:val="7A7C13EF"/>
    <w:rsid w:val="7AB95DED"/>
    <w:rsid w:val="7AD94418"/>
    <w:rsid w:val="7B32643F"/>
    <w:rsid w:val="7B4710FF"/>
    <w:rsid w:val="7BD430B4"/>
    <w:rsid w:val="7D084B66"/>
    <w:rsid w:val="7D400514"/>
    <w:rsid w:val="7E625927"/>
    <w:rsid w:val="7F041F7A"/>
    <w:rsid w:val="7FA3400C"/>
    <w:rsid w:val="7FC7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rPr>
      <w:rFonts w:ascii="Calibri" w:hAnsi="Calibri" w:eastAsia="楷体_GB2312"/>
      <w:b/>
      <w:bCs/>
      <w:sz w:val="32"/>
      <w:szCs w:val="32"/>
      <w:lang w:bidi="en-US"/>
    </w:rPr>
  </w:style>
  <w:style w:type="paragraph" w:styleId="6">
    <w:name w:val="annotation text"/>
    <w:basedOn w:val="1"/>
    <w:semiHidden/>
    <w:unhideWhenUsed/>
    <w:qFormat/>
    <w:uiPriority w:val="99"/>
    <w:pPr>
      <w:jc w:val="left"/>
    </w:pPr>
  </w:style>
  <w:style w:type="paragraph" w:styleId="7">
    <w:name w:val="Salutation"/>
    <w:basedOn w:val="1"/>
    <w:next w:val="1"/>
    <w:qFormat/>
    <w:uiPriority w:val="0"/>
    <w:pPr>
      <w:adjustRightInd w:val="0"/>
      <w:spacing w:line="360" w:lineRule="atLeast"/>
      <w:textAlignment w:val="baseline"/>
    </w:pPr>
    <w:rPr>
      <w:rFonts w:ascii="宋体" w:hAnsi="宋体"/>
      <w:kern w:val="0"/>
      <w:sz w:val="28"/>
    </w:rPr>
  </w:style>
  <w:style w:type="paragraph" w:styleId="8">
    <w:name w:val="Body Text Indent"/>
    <w:basedOn w:val="1"/>
    <w:qFormat/>
    <w:uiPriority w:val="0"/>
    <w:pPr>
      <w:ind w:firstLine="480"/>
    </w:pPr>
    <w:rPr>
      <w:rFonts w:eastAsia="华文楷体"/>
    </w:rPr>
  </w:style>
  <w:style w:type="paragraph" w:styleId="9">
    <w:name w:val="Plain Text"/>
    <w:basedOn w:val="1"/>
    <w:qFormat/>
    <w:uiPriority w:val="0"/>
    <w:rPr>
      <w:rFonts w:ascii="宋体" w:hAnsi="Courier New"/>
      <w:szCs w:val="20"/>
    </w:rPr>
  </w:style>
  <w:style w:type="paragraph" w:styleId="10">
    <w:name w:val="Balloon Text"/>
    <w:basedOn w:val="1"/>
    <w:link w:val="3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styleId="23">
    <w:name w:val="footnote reference"/>
    <w:basedOn w:val="19"/>
    <w:qFormat/>
    <w:uiPriority w:val="0"/>
    <w:rPr>
      <w:vertAlign w:val="superscript"/>
    </w:rPr>
  </w:style>
  <w:style w:type="paragraph" w:customStyle="1" w:styleId="24">
    <w:name w:val="1.正文"/>
    <w:basedOn w:val="1"/>
    <w:qFormat/>
    <w:uiPriority w:val="99"/>
    <w:rPr>
      <w:rFonts w:ascii="Calibri"/>
      <w:szCs w:val="22"/>
    </w:rPr>
  </w:style>
  <w:style w:type="character" w:customStyle="1" w:styleId="25">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26">
    <w:name w:val="PageNumber"/>
    <w:basedOn w:val="25"/>
    <w:qFormat/>
    <w:uiPriority w:val="0"/>
    <w:rPr>
      <w:rFonts w:asciiTheme="minorHAnsi" w:hAnsiTheme="minorHAnsi" w:eastAsiaTheme="minorEastAsia" w:cstheme="minorBidi"/>
      <w:kern w:val="2"/>
      <w:sz w:val="21"/>
      <w:szCs w:val="24"/>
      <w:lang w:val="en-US" w:eastAsia="zh-CN" w:bidi="ar-SA"/>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styleId="28">
    <w:name w:val="List Paragraph"/>
    <w:basedOn w:val="1"/>
    <w:qFormat/>
    <w:uiPriority w:val="99"/>
    <w:pPr>
      <w:ind w:firstLine="420" w:firstLineChars="200"/>
    </w:pPr>
  </w:style>
  <w:style w:type="paragraph" w:customStyle="1" w:styleId="2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30">
    <w:name w:val="列表段落1"/>
    <w:basedOn w:val="1"/>
    <w:qFormat/>
    <w:uiPriority w:val="0"/>
    <w:pPr>
      <w:ind w:firstLine="420" w:firstLineChars="200"/>
    </w:pPr>
  </w:style>
  <w:style w:type="paragraph" w:customStyle="1" w:styleId="31">
    <w:name w:val="List Paragraph1"/>
    <w:basedOn w:val="1"/>
    <w:qFormat/>
    <w:uiPriority w:val="0"/>
    <w:pPr>
      <w:ind w:firstLine="420" w:firstLineChars="200"/>
    </w:pPr>
  </w:style>
  <w:style w:type="character" w:customStyle="1" w:styleId="32">
    <w:name w:val="批注框文本 Char"/>
    <w:basedOn w:val="19"/>
    <w:link w:val="10"/>
    <w:qFormat/>
    <w:uiPriority w:val="0"/>
    <w:rPr>
      <w:kern w:val="2"/>
      <w:sz w:val="18"/>
      <w:szCs w:val="18"/>
    </w:rPr>
  </w:style>
  <w:style w:type="character" w:customStyle="1" w:styleId="33">
    <w:name w:val="font31"/>
    <w:basedOn w:val="19"/>
    <w:qFormat/>
    <w:uiPriority w:val="0"/>
    <w:rPr>
      <w:rFonts w:hint="eastAsia" w:ascii="宋体" w:hAnsi="宋体" w:eastAsia="宋体" w:cs="宋体"/>
      <w:color w:val="000000"/>
      <w:sz w:val="21"/>
      <w:szCs w:val="21"/>
      <w:u w:val="none"/>
    </w:rPr>
  </w:style>
  <w:style w:type="character" w:customStyle="1" w:styleId="34">
    <w:name w:val="font11"/>
    <w:basedOn w:val="19"/>
    <w:qFormat/>
    <w:uiPriority w:val="0"/>
    <w:rPr>
      <w:rFonts w:hint="eastAsia" w:ascii="宋体" w:hAnsi="宋体" w:eastAsia="宋体" w:cs="宋体"/>
      <w:color w:val="000000"/>
      <w:sz w:val="22"/>
      <w:szCs w:val="22"/>
      <w:u w:val="none"/>
    </w:rPr>
  </w:style>
  <w:style w:type="character" w:customStyle="1" w:styleId="35">
    <w:name w:val="font21"/>
    <w:basedOn w:val="19"/>
    <w:qFormat/>
    <w:uiPriority w:val="0"/>
    <w:rPr>
      <w:rFonts w:hint="eastAsia" w:ascii="宋体" w:hAnsi="宋体" w:eastAsia="宋体" w:cs="宋体"/>
      <w:b/>
      <w:color w:val="000000"/>
      <w:sz w:val="22"/>
      <w:szCs w:val="22"/>
      <w:u w:val="none"/>
    </w:rPr>
  </w:style>
  <w:style w:type="character" w:customStyle="1" w:styleId="36">
    <w:name w:val="font71"/>
    <w:basedOn w:val="19"/>
    <w:qFormat/>
    <w:uiPriority w:val="0"/>
    <w:rPr>
      <w:rFonts w:hint="default" w:ascii="Times New Roman" w:hAnsi="Times New Roman" w:cs="Times New Roman"/>
      <w:b/>
      <w:color w:val="000000"/>
      <w:sz w:val="22"/>
      <w:szCs w:val="22"/>
      <w:u w:val="none"/>
    </w:rPr>
  </w:style>
  <w:style w:type="character" w:customStyle="1" w:styleId="37">
    <w:name w:val="font61"/>
    <w:basedOn w:val="19"/>
    <w:qFormat/>
    <w:uiPriority w:val="0"/>
    <w:rPr>
      <w:rFonts w:hint="default" w:ascii="Times New Roman" w:hAnsi="Times New Roman" w:cs="Times New Roman"/>
      <w:color w:val="000000"/>
      <w:sz w:val="22"/>
      <w:szCs w:val="22"/>
      <w:u w:val="none"/>
    </w:rPr>
  </w:style>
  <w:style w:type="paragraph" w:customStyle="1" w:styleId="38">
    <w:name w:val="zhang"/>
    <w:basedOn w:val="1"/>
    <w:qFormat/>
    <w:uiPriority w:val="0"/>
    <w:pPr>
      <w:widowControl/>
      <w:spacing w:before="100" w:beforeAutospacing="1" w:after="100" w:afterAutospacing="1"/>
      <w:jc w:val="left"/>
    </w:pPr>
    <w:rPr>
      <w:rFonts w:ascii="̥_GB2312" w:hAnsi="̥_GB2312"/>
      <w:b/>
      <w:bCs/>
      <w:smallCaps/>
      <w:color w:val="000000"/>
      <w:kern w:val="0"/>
      <w:sz w:val="22"/>
      <w:szCs w:val="22"/>
    </w:rPr>
  </w:style>
  <w:style w:type="paragraph" w:customStyle="1" w:styleId="39">
    <w:name w:val="CM8"/>
    <w:basedOn w:val="1"/>
    <w:next w:val="1"/>
    <w:qFormat/>
    <w:uiPriority w:val="99"/>
    <w:pPr>
      <w:autoSpaceDE w:val="0"/>
      <w:autoSpaceDN w:val="0"/>
      <w:adjustRightInd w:val="0"/>
      <w:spacing w:line="360" w:lineRule="atLeast"/>
      <w:jc w:val="left"/>
    </w:pPr>
    <w:rPr>
      <w:rFonts w:ascii="宋体" w:hAnsi="Cambria" w:cs="宋体"/>
      <w:sz w:val="24"/>
      <w:szCs w:val="24"/>
    </w:rPr>
  </w:style>
  <w:style w:type="paragraph" w:customStyle="1" w:styleId="40">
    <w:name w:val="CM7"/>
    <w:basedOn w:val="1"/>
    <w:next w:val="1"/>
    <w:qFormat/>
    <w:uiPriority w:val="99"/>
    <w:pPr>
      <w:autoSpaceDE w:val="0"/>
      <w:autoSpaceDN w:val="0"/>
      <w:adjustRightInd w:val="0"/>
      <w:spacing w:line="360" w:lineRule="atLeast"/>
      <w:jc w:val="left"/>
    </w:pPr>
    <w:rPr>
      <w:rFonts w:ascii="宋体" w:hAnsi="Cambria" w:cs="宋体"/>
      <w:sz w:val="24"/>
      <w:szCs w:val="24"/>
    </w:rPr>
  </w:style>
  <w:style w:type="paragraph" w:customStyle="1" w:styleId="41">
    <w:name w:val="001一级标题"/>
    <w:qFormat/>
    <w:uiPriority w:val="0"/>
    <w:pPr>
      <w:keepNext/>
      <w:keepLines/>
      <w:pageBreakBefore/>
      <w:widowControl w:val="0"/>
      <w:spacing w:before="100" w:beforeLines="100" w:after="100" w:afterLines="100" w:line="360" w:lineRule="auto"/>
      <w:jc w:val="center"/>
      <w:outlineLvl w:val="0"/>
    </w:pPr>
    <w:rPr>
      <w:rFonts w:ascii="Times New Roman" w:hAnsi="Times New Roman" w:eastAsia="黑体" w:cs="等线"/>
      <w:b/>
      <w:bCs/>
      <w:kern w:val="2"/>
      <w:sz w:val="36"/>
      <w:szCs w:val="28"/>
      <w:lang w:val="en-US" w:eastAsia="zh-CN" w:bidi="ar-SA"/>
    </w:rPr>
  </w:style>
  <w:style w:type="paragraph" w:customStyle="1" w:styleId="42">
    <w:name w:val="005正文"/>
    <w:basedOn w:val="1"/>
    <w:qFormat/>
    <w:uiPriority w:val="0"/>
    <w:pPr>
      <w:adjustRightInd w:val="0"/>
      <w:snapToGrid w:val="0"/>
      <w:spacing w:beforeLines="50" w:line="360" w:lineRule="auto"/>
      <w:ind w:firstLine="20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cafbf-0c45-44b5-9482-a0c71a6f12fd}"/>
        <w:style w:val=""/>
        <w:category>
          <w:name w:val="常规"/>
          <w:gallery w:val="placeholder"/>
        </w:category>
        <w:types>
          <w:type w:val="bbPlcHdr"/>
        </w:types>
        <w:behaviors>
          <w:behavior w:val="content"/>
        </w:behaviors>
        <w:description w:val=""/>
        <w:guid w:val="{428CAFBF-0C45-44B5-9482-A0C71A6F12FD}"/>
      </w:docPartPr>
      <w:docPartBody>
        <w:p>
          <w:r>
            <w:rPr>
              <w:color w:val="808080"/>
            </w:rPr>
            <w:t>单击此处输入文字。</w:t>
          </w:r>
        </w:p>
      </w:docPartBody>
    </w:docPart>
    <w:docPart>
      <w:docPartPr>
        <w:name w:val="{3390bca2-9f08-4b9e-b0f7-e9dea686b0f4}"/>
        <w:style w:val=""/>
        <w:category>
          <w:name w:val="常规"/>
          <w:gallery w:val="placeholder"/>
        </w:category>
        <w:types>
          <w:type w:val="bbPlcHdr"/>
        </w:types>
        <w:behaviors>
          <w:behavior w:val="content"/>
        </w:behaviors>
        <w:description w:val=""/>
        <w:guid w:val="{3390BCA2-9F08-4B9E-B0F7-E9DEA686B0F4}"/>
      </w:docPartPr>
      <w:docPartBody>
        <w:p>
          <w:r>
            <w:rPr>
              <w:color w:val="808080"/>
            </w:rPr>
            <w:t>单击此处输入文字。</w:t>
          </w:r>
        </w:p>
      </w:docPartBody>
    </w:docPart>
    <w:docPart>
      <w:docPartPr>
        <w:name w:val="{9649a124-272f-4fa2-8e5e-7b16b071e390}"/>
        <w:style w:val=""/>
        <w:category>
          <w:name w:val="常规"/>
          <w:gallery w:val="placeholder"/>
        </w:category>
        <w:types>
          <w:type w:val="bbPlcHdr"/>
        </w:types>
        <w:behaviors>
          <w:behavior w:val="content"/>
        </w:behaviors>
        <w:description w:val=""/>
        <w:guid w:val="{9649A124-272F-4FA2-8E5E-7B16B071E390}"/>
      </w:docPartPr>
      <w:docPartBody>
        <w:p>
          <w:r>
            <w:rPr>
              <w:color w:val="808080"/>
            </w:rPr>
            <w:t>单击此处输入文字。</w:t>
          </w:r>
        </w:p>
      </w:docPartBody>
    </w:docPart>
    <w:docPart>
      <w:docPartPr>
        <w:name w:val="{3103aea9-14b4-441b-ad48-d2ce8aadb0ac}"/>
        <w:style w:val=""/>
        <w:category>
          <w:name w:val="常规"/>
          <w:gallery w:val="placeholder"/>
        </w:category>
        <w:types>
          <w:type w:val="bbPlcHdr"/>
        </w:types>
        <w:behaviors>
          <w:behavior w:val="content"/>
        </w:behaviors>
        <w:description w:val=""/>
        <w:guid w:val="{3103AEA9-14B4-441B-AD48-D2CE8AADB0AC}"/>
      </w:docPartPr>
      <w:docPartBody>
        <w:p>
          <w:r>
            <w:rPr>
              <w:color w:val="808080"/>
            </w:rPr>
            <w:t>单击此处输入文字。</w:t>
          </w:r>
        </w:p>
      </w:docPartBody>
    </w:docPart>
    <w:docPart>
      <w:docPartPr>
        <w:name w:val="{8628c024-a370-4ff2-a2c8-c02efeb9c6dd}"/>
        <w:style w:val=""/>
        <w:category>
          <w:name w:val="常规"/>
          <w:gallery w:val="placeholder"/>
        </w:category>
        <w:types>
          <w:type w:val="bbPlcHdr"/>
        </w:types>
        <w:behaviors>
          <w:behavior w:val="content"/>
        </w:behaviors>
        <w:description w:val=""/>
        <w:guid w:val="{8628C024-A370-4FF2-A2C8-C02EFEB9C6DD}"/>
      </w:docPartPr>
      <w:docPartBody>
        <w:p>
          <w:r>
            <w:rPr>
              <w:color w:val="808080"/>
            </w:rPr>
            <w:t>单击此处输入文字。</w:t>
          </w:r>
        </w:p>
      </w:docPartBody>
    </w:docPart>
    <w:docPart>
      <w:docPartPr>
        <w:name w:val="{0321a32d-d2fb-4311-844d-a736ca41f652}"/>
        <w:style w:val=""/>
        <w:category>
          <w:name w:val="常规"/>
          <w:gallery w:val="placeholder"/>
        </w:category>
        <w:types>
          <w:type w:val="bbPlcHdr"/>
        </w:types>
        <w:behaviors>
          <w:behavior w:val="content"/>
        </w:behaviors>
        <w:description w:val=""/>
        <w:guid w:val="{0321A32D-D2FB-4311-844D-A736CA41F652}"/>
      </w:docPartPr>
      <w:docPartBody>
        <w:p>
          <w:r>
            <w:rPr>
              <w:color w:val="808080"/>
            </w:rPr>
            <w:t>单击此处输入文字。</w:t>
          </w:r>
        </w:p>
      </w:docPartBody>
    </w:docPart>
    <w:docPart>
      <w:docPartPr>
        <w:name w:val="{d80bb59c-4ca3-44dd-ac11-77ca711d4dbb}"/>
        <w:style w:val=""/>
        <w:category>
          <w:name w:val="常规"/>
          <w:gallery w:val="placeholder"/>
        </w:category>
        <w:types>
          <w:type w:val="bbPlcHdr"/>
        </w:types>
        <w:behaviors>
          <w:behavior w:val="content"/>
        </w:behaviors>
        <w:description w:val=""/>
        <w:guid w:val="{D80BB59C-4CA3-44DD-AC11-77CA711D4DBB}"/>
      </w:docPartPr>
      <w:docPartBody>
        <w:p>
          <w:r>
            <w:rPr>
              <w:color w:val="808080"/>
            </w:rPr>
            <w:t>单击此处输入文字。</w:t>
          </w:r>
        </w:p>
      </w:docPartBody>
    </w:docPart>
    <w:docPart>
      <w:docPartPr>
        <w:name w:val="{6f4d0943-4f0e-488c-ac86-b98137e677b0}"/>
        <w:style w:val=""/>
        <w:category>
          <w:name w:val="常规"/>
          <w:gallery w:val="placeholder"/>
        </w:category>
        <w:types>
          <w:type w:val="bbPlcHdr"/>
        </w:types>
        <w:behaviors>
          <w:behavior w:val="content"/>
        </w:behaviors>
        <w:description w:val=""/>
        <w:guid w:val="{6f4d0943-4f0e-488c-ac86-b98137e677b0}"/>
      </w:docPartPr>
      <w:docPartBody>
        <w:p>
          <w:r>
            <w:rPr>
              <w:color w:val="808080"/>
            </w:rPr>
            <w:t>单击此处输入文字。</w:t>
          </w:r>
        </w:p>
      </w:docPartBody>
    </w:docPart>
    <w:docPart>
      <w:docPartPr>
        <w:name w:val="{5223d8cb-fe5e-442e-a733-c428eea4f83b}"/>
        <w:style w:val=""/>
        <w:category>
          <w:name w:val="常规"/>
          <w:gallery w:val="placeholder"/>
        </w:category>
        <w:types>
          <w:type w:val="bbPlcHdr"/>
        </w:types>
        <w:behaviors>
          <w:behavior w:val="content"/>
        </w:behaviors>
        <w:description w:val=""/>
        <w:guid w:val="{5223d8cb-fe5e-442e-a733-c428eea4f83b}"/>
      </w:docPartPr>
      <w:docPartBody>
        <w:p>
          <w:r>
            <w:rPr>
              <w:color w:val="808080"/>
            </w:rPr>
            <w:t>单击此处输入文字。</w:t>
          </w:r>
        </w:p>
      </w:docPartBody>
    </w:docPart>
    <w:docPart>
      <w:docPartPr>
        <w:name w:val="{65487b67-2785-4dd5-b42a-9cfb19a25ceb}"/>
        <w:style w:val=""/>
        <w:category>
          <w:name w:val="常规"/>
          <w:gallery w:val="placeholder"/>
        </w:category>
        <w:types>
          <w:type w:val="bbPlcHdr"/>
        </w:types>
        <w:behaviors>
          <w:behavior w:val="content"/>
        </w:behaviors>
        <w:description w:val=""/>
        <w:guid w:val="{65487b67-2785-4dd5-b42a-9cfb19a25ceb}"/>
      </w:docPartPr>
      <w:docPartBody>
        <w:p>
          <w:r>
            <w:rPr>
              <w:color w:val="808080"/>
            </w:rPr>
            <w:t>单击此处输入文字。</w:t>
          </w:r>
        </w:p>
      </w:docPartBody>
    </w:docPart>
    <w:docPart>
      <w:docPartPr>
        <w:name w:val="{594b564b-b7c3-4e20-a303-4ce95a95a6eb}"/>
        <w:style w:val=""/>
        <w:category>
          <w:name w:val="常规"/>
          <w:gallery w:val="placeholder"/>
        </w:category>
        <w:types>
          <w:type w:val="bbPlcHdr"/>
        </w:types>
        <w:behaviors>
          <w:behavior w:val="content"/>
        </w:behaviors>
        <w:description w:val=""/>
        <w:guid w:val="{594b564b-b7c3-4e20-a303-4ce95a95a6eb}"/>
      </w:docPartPr>
      <w:docPartBody>
        <w:p>
          <w:r>
            <w:rPr>
              <w:color w:val="808080"/>
            </w:rPr>
            <w:t>单击此处输入文字。</w:t>
          </w:r>
        </w:p>
      </w:docPartBody>
    </w:docPart>
    <w:docPart>
      <w:docPartPr>
        <w:name w:val="{0319545c-f25b-440c-abc7-d1de39efb957}"/>
        <w:style w:val=""/>
        <w:category>
          <w:name w:val="常规"/>
          <w:gallery w:val="placeholder"/>
        </w:category>
        <w:types>
          <w:type w:val="bbPlcHdr"/>
        </w:types>
        <w:behaviors>
          <w:behavior w:val="content"/>
        </w:behaviors>
        <w:description w:val=""/>
        <w:guid w:val="{0319545c-f25b-440c-abc7-d1de39efb957}"/>
      </w:docPartPr>
      <w:docPartBody>
        <w:p>
          <w:r>
            <w:rPr>
              <w:color w:val="808080"/>
            </w:rPr>
            <w:t>单击此处输入文字。</w:t>
          </w:r>
        </w:p>
      </w:docPartBody>
    </w:docPart>
    <w:docPart>
      <w:docPartPr>
        <w:name w:val="{b40b983c-bc69-4dc6-8bc1-0320e0d6a942}"/>
        <w:style w:val=""/>
        <w:category>
          <w:name w:val="常规"/>
          <w:gallery w:val="placeholder"/>
        </w:category>
        <w:types>
          <w:type w:val="bbPlcHdr"/>
        </w:types>
        <w:behaviors>
          <w:behavior w:val="content"/>
        </w:behaviors>
        <w:description w:val=""/>
        <w:guid w:val="{b40b983c-bc69-4dc6-8bc1-0320e0d6a942}"/>
      </w:docPartPr>
      <w:docPartBody>
        <w:p>
          <w:r>
            <w:rPr>
              <w:color w:val="808080"/>
            </w:rPr>
            <w:t>单击此处输入文字。</w:t>
          </w:r>
        </w:p>
      </w:docPartBody>
    </w:docPart>
    <w:docPart>
      <w:docPartPr>
        <w:name w:val="{633e0d42-bdc0-40f4-aa16-ee82b94f519c}"/>
        <w:style w:val=""/>
        <w:category>
          <w:name w:val="常规"/>
          <w:gallery w:val="placeholder"/>
        </w:category>
        <w:types>
          <w:type w:val="bbPlcHdr"/>
        </w:types>
        <w:behaviors>
          <w:behavior w:val="content"/>
        </w:behaviors>
        <w:description w:val=""/>
        <w:guid w:val="{633e0d42-bdc0-40f4-aa16-ee82b94f519c}"/>
      </w:docPartPr>
      <w:docPartBody>
        <w:p>
          <w:r>
            <w:rPr>
              <w:color w:val="808080"/>
            </w:rPr>
            <w:t>单击此处输入文字。</w:t>
          </w:r>
        </w:p>
      </w:docPartBody>
    </w:docPart>
    <w:docPart>
      <w:docPartPr>
        <w:name w:val="{0305f2b6-8d98-486c-818e-c186a8eb0127}"/>
        <w:style w:val=""/>
        <w:category>
          <w:name w:val="常规"/>
          <w:gallery w:val="placeholder"/>
        </w:category>
        <w:types>
          <w:type w:val="bbPlcHdr"/>
        </w:types>
        <w:behaviors>
          <w:behavior w:val="content"/>
        </w:behaviors>
        <w:description w:val=""/>
        <w:guid w:val="{0305f2b6-8d98-486c-818e-c186a8eb0127}"/>
      </w:docPartPr>
      <w:docPartBody>
        <w:p>
          <w:r>
            <w:rPr>
              <w:color w:val="808080"/>
            </w:rPr>
            <w:t>单击此处输入文字。</w:t>
          </w:r>
        </w:p>
      </w:docPartBody>
    </w:docPart>
    <w:docPart>
      <w:docPartPr>
        <w:name w:val="{60825baf-83cd-4bf3-974b-d8dad41587c1}"/>
        <w:style w:val=""/>
        <w:category>
          <w:name w:val="常规"/>
          <w:gallery w:val="placeholder"/>
        </w:category>
        <w:types>
          <w:type w:val="bbPlcHdr"/>
        </w:types>
        <w:behaviors>
          <w:behavior w:val="content"/>
        </w:behaviors>
        <w:description w:val=""/>
        <w:guid w:val="{60825baf-83cd-4bf3-974b-d8dad41587c1}"/>
      </w:docPartPr>
      <w:docPartBody>
        <w:p>
          <w:r>
            <w:rPr>
              <w:color w:val="808080"/>
            </w:rPr>
            <w:t>单击此处输入文字。</w:t>
          </w:r>
        </w:p>
      </w:docPartBody>
    </w:docPart>
    <w:docPart>
      <w:docPartPr>
        <w:name w:val="{7ff11da7-9d76-4bfe-b333-c3a492783161}"/>
        <w:style w:val=""/>
        <w:category>
          <w:name w:val="常规"/>
          <w:gallery w:val="placeholder"/>
        </w:category>
        <w:types>
          <w:type w:val="bbPlcHdr"/>
        </w:types>
        <w:behaviors>
          <w:behavior w:val="content"/>
        </w:behaviors>
        <w:description w:val=""/>
        <w:guid w:val="{7ff11da7-9d76-4bfe-b333-c3a492783161}"/>
      </w:docPartPr>
      <w:docPartBody>
        <w:p>
          <w:r>
            <w:rPr>
              <w:color w:val="808080"/>
            </w:rPr>
            <w:t>单击此处输入文字。</w:t>
          </w:r>
        </w:p>
      </w:docPartBody>
    </w:docPart>
    <w:docPart>
      <w:docPartPr>
        <w:name w:val="{052ee845-d880-46d4-8a00-fa7b380cb6f3}"/>
        <w:style w:val=""/>
        <w:category>
          <w:name w:val="常规"/>
          <w:gallery w:val="placeholder"/>
        </w:category>
        <w:types>
          <w:type w:val="bbPlcHdr"/>
        </w:types>
        <w:behaviors>
          <w:behavior w:val="content"/>
        </w:behaviors>
        <w:description w:val=""/>
        <w:guid w:val="{052ee845-d880-46d4-8a00-fa7b380cb6f3}"/>
      </w:docPartPr>
      <w:docPartBody>
        <w:p>
          <w:r>
            <w:rPr>
              <w:color w:val="808080"/>
            </w:rPr>
            <w:t>单击此处输入文字。</w:t>
          </w:r>
        </w:p>
      </w:docPartBody>
    </w:docPart>
    <w:docPart>
      <w:docPartPr>
        <w:name w:val="{15282cb0-2f5d-4289-9b37-81b55745a598}"/>
        <w:style w:val=""/>
        <w:category>
          <w:name w:val="常规"/>
          <w:gallery w:val="placeholder"/>
        </w:category>
        <w:types>
          <w:type w:val="bbPlcHdr"/>
        </w:types>
        <w:behaviors>
          <w:behavior w:val="content"/>
        </w:behaviors>
        <w:description w:val=""/>
        <w:guid w:val="{15282cb0-2f5d-4289-9b37-81b55745a59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34365B"/>
    <w:rsid w:val="0034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XMB</Company>
  <Pages>40</Pages>
  <Words>4189</Words>
  <Characters>23883</Characters>
  <Lines>199</Lines>
  <Paragraphs>56</Paragraphs>
  <TotalTime>48</TotalTime>
  <ScaleCrop>false</ScaleCrop>
  <LinksUpToDate>false</LinksUpToDate>
  <CharactersWithSpaces>28016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2020-12-20T07:15:00Z</dcterms:created>
  <dc:creator>陈德贵</dc:creator>
  <cp:lastModifiedBy>Administrator</cp:lastModifiedBy>
  <cp:lastPrinted>2023-05-05T07:12:14Z</cp:lastPrinted>
  <dcterms:modified xsi:type="dcterms:W3CDTF">2023-05-05T07:43:47Z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