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宋体" w:hAnsi="宋体" w:eastAsia="宋体"/>
          <w:b/>
          <w:szCs w:val="21"/>
        </w:rPr>
        <w:alias w:val="模块:证券代码、简称"/>
        <w:tag w:val="_SEC_cac4d83d41894224a66fa3faf38e51a6"/>
        <w:id w:val="-2066252903"/>
        <w:lock w:val="sdtLocked"/>
        <w:placeholder>
          <w:docPart w:val="GBC22222222222222222222222222222"/>
        </w:placeholder>
      </w:sdtPr>
      <w:sdtEndPr>
        <w:rPr>
          <w:rFonts w:hint="eastAsia" w:ascii="宋体" w:hAnsi="宋体" w:eastAsia="宋体"/>
          <w:b/>
          <w:szCs w:val="21"/>
        </w:rPr>
      </w:sdtEndPr>
      <w:sdtContent>
        <w:p>
          <w:pPr>
            <w:jc w:val="left"/>
            <w:rPr>
              <w:rFonts w:ascii="宋体" w:hAnsi="宋体" w:eastAsia="宋体"/>
              <w:b/>
              <w:szCs w:val="21"/>
            </w:rPr>
          </w:pPr>
          <w:r>
            <w:rPr>
              <w:rFonts w:hint="eastAsia" w:ascii="宋体" w:hAnsi="宋体" w:eastAsia="宋体"/>
              <w:b/>
              <w:szCs w:val="21"/>
            </w:rPr>
            <w:t>公司代码：</w:t>
          </w:r>
          <w:sdt>
            <w:sdtPr>
              <w:rPr>
                <w:rFonts w:hint="eastAsia" w:ascii="宋体" w:hAnsi="宋体" w:eastAsia="宋体"/>
                <w:b/>
                <w:szCs w:val="21"/>
              </w:rPr>
              <w:alias w:val="公司代码"/>
              <w:tag w:val="_GBC_aa007ebafb254bdab24f302b7f71451d"/>
              <w:id w:val="17937838"/>
              <w:lock w:val="sdtLocked"/>
              <w:placeholder>
                <w:docPart w:val="GBC22222222222222222222222222222"/>
              </w:placeholder>
            </w:sdtPr>
            <w:sdtEndPr>
              <w:rPr>
                <w:rFonts w:hint="eastAsia" w:ascii="宋体" w:hAnsi="宋体" w:eastAsia="宋体"/>
                <w:b/>
                <w:szCs w:val="21"/>
              </w:rPr>
            </w:sdtEndPr>
            <w:sdtContent>
              <w:r>
                <w:rPr>
                  <w:rFonts w:hint="eastAsia" w:ascii="宋体" w:hAnsi="宋体" w:eastAsia="宋体"/>
                  <w:b/>
                  <w:szCs w:val="21"/>
                </w:rPr>
                <w:t>601187</w:t>
              </w:r>
            </w:sdtContent>
          </w:sdt>
          <w:r>
            <w:rPr>
              <w:rFonts w:hint="eastAsia" w:ascii="宋体" w:hAnsi="宋体" w:eastAsia="宋体"/>
              <w:b/>
              <w:szCs w:val="21"/>
            </w:rPr>
            <w:t xml:space="preserve">                                              公司简称：</w:t>
          </w:r>
          <w:sdt>
            <w:sdtPr>
              <w:rPr>
                <w:rFonts w:hint="eastAsia" w:ascii="宋体" w:hAnsi="宋体" w:eastAsia="宋体"/>
                <w:b/>
                <w:szCs w:val="21"/>
              </w:rPr>
              <w:alias w:val="公司简称"/>
              <w:tag w:val="_GBC_2d26df47c4054d8696ace1cbd5cf6b28"/>
              <w:id w:val="17937840"/>
              <w:lock w:val="sdtLocked"/>
              <w:placeholder>
                <w:docPart w:val="GBC22222222222222222222222222222"/>
              </w:placeholder>
            </w:sdtPr>
            <w:sdtEndPr>
              <w:rPr>
                <w:rFonts w:hint="eastAsia" w:ascii="宋体" w:hAnsi="宋体" w:eastAsia="宋体"/>
                <w:b/>
                <w:szCs w:val="21"/>
              </w:rPr>
            </w:sdtEndPr>
            <w:sdtContent>
              <w:sdt>
                <w:sdtPr>
                  <w:rPr>
                    <w:rFonts w:hint="eastAsia" w:ascii="宋体" w:hAnsi="宋体" w:eastAsia="宋体"/>
                    <w:b/>
                    <w:szCs w:val="21"/>
                  </w:rPr>
                  <w:alias w:val="公司简称"/>
                  <w:tag w:val="_GBC_2d26df47c4054d8696ace1cbd5cf6b28"/>
                  <w:id w:val="17937840"/>
                  <w:lock w:val="sdtLocked"/>
                  <w:placeholder>
                    <w:docPart w:val="{37af386c-5288-4612-8d71-a0f65d3440cd}"/>
                  </w:placeholder>
                </w:sdtPr>
                <w:sdtEndPr>
                  <w:rPr>
                    <w:rFonts w:hint="eastAsia" w:ascii="宋体" w:hAnsi="宋体" w:eastAsia="宋体"/>
                    <w:b/>
                    <w:szCs w:val="21"/>
                  </w:rPr>
                </w:sdtEndPr>
                <w:sdtContent>
                  <w:r>
                    <w:rPr>
                      <w:rFonts w:hint="eastAsia" w:ascii="宋体" w:hAnsi="宋体" w:eastAsia="宋体"/>
                      <w:b/>
                      <w:szCs w:val="21"/>
                    </w:rPr>
                    <w:t>厦门银行</w:t>
                  </w:r>
                </w:sdtContent>
              </w:sdt>
            </w:sdtContent>
          </w:sdt>
        </w:p>
        <w:p>
          <w:pPr>
            <w:jc w:val="left"/>
            <w:rPr>
              <w:rFonts w:ascii="宋体" w:hAnsi="宋体" w:eastAsia="宋体"/>
              <w:b/>
              <w:szCs w:val="21"/>
            </w:rPr>
          </w:pPr>
        </w:p>
      </w:sdtContent>
    </w:sdt>
    <w:sdt>
      <w:sdtPr>
        <w:rPr>
          <w:rFonts w:hint="eastAsia" w:ascii="黑体" w:hAnsi="黑体" w:eastAsia="黑体"/>
          <w:b/>
          <w:color w:val="FF0000"/>
          <w:sz w:val="36"/>
          <w:szCs w:val="36"/>
        </w:rPr>
        <w:alias w:val="模块:股份有限公司年度内部控制评价报告"/>
        <w:tag w:val="_SEC_c4b9f5e7c69c47358410aa2f114bc083"/>
        <w:id w:val="45799642"/>
        <w:lock w:val="sdtLocked"/>
        <w:placeholder>
          <w:docPart w:val="GBC22222222222222222222222222222"/>
        </w:placeholder>
      </w:sdtPr>
      <w:sdtEndPr>
        <w:rPr>
          <w:rFonts w:hint="eastAsia" w:ascii="黑体" w:hAnsi="黑体" w:eastAsia="黑体"/>
          <w:b/>
          <w:color w:val="FF0000"/>
          <w:sz w:val="36"/>
          <w:szCs w:val="36"/>
        </w:rPr>
      </w:sdtEndPr>
      <w:sdtContent>
        <w:sdt>
          <w:sdtPr>
            <w:rPr>
              <w:rFonts w:hint="eastAsia" w:ascii="黑体" w:hAnsi="黑体" w:eastAsia="黑体"/>
              <w:b/>
              <w:color w:val="FF0000"/>
              <w:sz w:val="36"/>
              <w:szCs w:val="36"/>
            </w:rPr>
            <w:alias w:val="公司法定中文名称"/>
            <w:tag w:val="_GBC_ca832f6ab5c74ccfb2f75dfd08169d9b"/>
            <w:id w:val="-310481065"/>
            <w:lock w:val="sdtLocked"/>
            <w:placeholder>
              <w:docPart w:val="GBC22222222222222222222222222222"/>
            </w:placeholder>
          </w:sdtPr>
          <w:sdtEndPr>
            <w:rPr>
              <w:rFonts w:hint="eastAsia" w:ascii="黑体" w:hAnsi="黑体" w:eastAsia="黑体"/>
              <w:b/>
              <w:color w:val="FF0000"/>
              <w:sz w:val="36"/>
              <w:szCs w:val="36"/>
            </w:rPr>
          </w:sdtEndPr>
          <w:sdtContent>
            <w:p>
              <w:pPr>
                <w:jc w:val="center"/>
                <w:rPr>
                  <w:rFonts w:ascii="黑体" w:hAnsi="黑体" w:eastAsia="黑体"/>
                  <w:b/>
                  <w:color w:val="FF0000"/>
                  <w:sz w:val="36"/>
                  <w:szCs w:val="36"/>
                </w:rPr>
              </w:pPr>
              <w:r>
                <w:rPr>
                  <w:rFonts w:hint="eastAsia" w:ascii="黑体" w:hAnsi="黑体" w:eastAsia="黑体"/>
                  <w:b/>
                  <w:color w:val="FF0000"/>
                  <w:sz w:val="36"/>
                  <w:szCs w:val="36"/>
                </w:rPr>
                <w:t>厦门银行股份有限公司</w:t>
              </w:r>
            </w:p>
          </w:sdtContent>
        </w:sdt>
        <w:p>
          <w:pPr>
            <w:jc w:val="center"/>
            <w:rPr>
              <w:rFonts w:ascii="黑体" w:hAnsi="黑体" w:eastAsia="黑体"/>
              <w:b/>
              <w:color w:val="FF0000"/>
              <w:sz w:val="36"/>
              <w:szCs w:val="36"/>
            </w:rPr>
          </w:pPr>
          <w:sdt>
            <w:sdtPr>
              <w:rPr>
                <w:rFonts w:hint="eastAsia" w:ascii="黑体" w:hAnsi="黑体" w:eastAsia="黑体"/>
                <w:b/>
                <w:color w:val="FF0000"/>
                <w:sz w:val="36"/>
                <w:szCs w:val="36"/>
              </w:rPr>
              <w:alias w:val="内部控制评价报告年度"/>
              <w:tag w:val="_GBC_72803761648a423bb5d47dd26a1777dd"/>
              <w:id w:val="-385565782"/>
              <w:lock w:val="sdtLocked"/>
              <w:placeholder>
                <w:docPart w:val="GBC22222222222222222222222222222"/>
              </w:placeholder>
            </w:sdtPr>
            <w:sdtEndPr>
              <w:rPr>
                <w:rFonts w:hint="eastAsia" w:ascii="黑体" w:hAnsi="黑体" w:eastAsia="黑体"/>
                <w:b/>
                <w:color w:val="FF0000"/>
                <w:sz w:val="36"/>
                <w:szCs w:val="36"/>
              </w:rPr>
            </w:sdtEndPr>
            <w:sdtContent>
              <w:r>
                <w:rPr>
                  <w:rFonts w:hint="eastAsia" w:ascii="黑体" w:hAnsi="黑体" w:eastAsia="黑体"/>
                  <w:b/>
                  <w:color w:val="FF0000"/>
                  <w:sz w:val="36"/>
                  <w:szCs w:val="36"/>
                  <w:lang w:eastAsia="zh-CN"/>
                </w:rPr>
                <w:t>2</w:t>
              </w:r>
              <w:r>
                <w:rPr>
                  <w:rFonts w:hint="eastAsia" w:ascii="黑体" w:hAnsi="黑体" w:eastAsia="黑体"/>
                  <w:b/>
                  <w:color w:val="FF0000"/>
                  <w:sz w:val="36"/>
                  <w:szCs w:val="36"/>
                  <w:lang w:val="en-US" w:eastAsia="zh-CN"/>
                </w:rPr>
                <w:t>022</w:t>
              </w:r>
            </w:sdtContent>
          </w:sdt>
          <w:r>
            <w:rPr>
              <w:rFonts w:hint="eastAsia" w:ascii="黑体" w:hAnsi="黑体" w:eastAsia="黑体"/>
              <w:b/>
              <w:color w:val="FF0000"/>
              <w:sz w:val="36"/>
              <w:szCs w:val="36"/>
            </w:rPr>
            <w:t>年度内部控制评价报告</w:t>
          </w:r>
        </w:p>
      </w:sdtContent>
    </w:sdt>
    <w:p>
      <w:pPr>
        <w:jc w:val="center"/>
        <w:rPr>
          <w:rFonts w:ascii="黑体" w:hAnsi="黑体" w:eastAsia="黑体" w:cs="Times New Roman"/>
          <w:b/>
          <w:color w:val="000000"/>
          <w:sz w:val="36"/>
        </w:rPr>
      </w:pPr>
    </w:p>
    <w:sdt>
      <w:sdtPr>
        <w:rPr>
          <w:rFonts w:hint="eastAsia" w:ascii="宋体" w:hAnsi="宋体"/>
          <w:b/>
          <w:color w:val="333399"/>
        </w:rPr>
        <w:alias w:val="模块:全体股东"/>
        <w:tag w:val="_SEC_3d785f1c073d45a193eb349053fa386e"/>
        <w:id w:val="46264988"/>
        <w:lock w:val="sdtLocked"/>
        <w:placeholder>
          <w:docPart w:val="GBC22222222222222222222222222222"/>
        </w:placeholder>
      </w:sdtPr>
      <w:sdtEndPr>
        <w:rPr>
          <w:rFonts w:hint="eastAsia" w:ascii="宋体" w:hAnsi="宋体" w:eastAsia="宋体"/>
          <w:b w:val="0"/>
          <w:color w:val="000000"/>
          <w:szCs w:val="21"/>
        </w:rPr>
      </w:sdtEndPr>
      <w:sdtContent>
        <w:p>
          <w:pPr>
            <w:autoSpaceDE w:val="0"/>
            <w:autoSpaceDN w:val="0"/>
            <w:textAlignment w:val="baseline"/>
            <w:rPr>
              <w:rFonts w:ascii="仿宋_GB2312" w:hAnsi="仿宋_GB2312" w:eastAsia="仿宋_GB2312"/>
              <w:b/>
              <w:color w:val="000000"/>
              <w:sz w:val="30"/>
            </w:rPr>
          </w:pPr>
          <w:sdt>
            <w:sdtPr>
              <w:rPr>
                <w:rFonts w:hint="eastAsia" w:ascii="宋体" w:hAnsi="宋体"/>
                <w:b/>
              </w:rPr>
              <w:alias w:val="公司法定中文名称"/>
              <w:tag w:val="_GBC_e2504fafcd4b42419f5460ccf079b9b6"/>
              <w:id w:val="17937851"/>
              <w:lock w:val="sdtLocked"/>
              <w:placeholder>
                <w:docPart w:val="GBC22222222222222222222222222222"/>
              </w:placeholder>
            </w:sdtPr>
            <w:sdtEndPr>
              <w:rPr>
                <w:rFonts w:hint="eastAsia" w:ascii="宋体" w:hAnsi="宋体" w:eastAsia="宋体"/>
                <w:b/>
                <w:szCs w:val="21"/>
              </w:rPr>
            </w:sdtEndPr>
            <w:sdtContent>
              <w:r>
                <w:rPr>
                  <w:rFonts w:hint="eastAsia" w:ascii="宋体" w:hAnsi="宋体"/>
                  <w:b/>
                </w:rPr>
                <w:t>厦门银行股份有限公司</w:t>
              </w:r>
            </w:sdtContent>
          </w:sdt>
          <w:r>
            <w:rPr>
              <w:rFonts w:hint="eastAsia" w:ascii="宋体" w:hAnsi="宋体" w:eastAsia="宋体"/>
              <w:b/>
              <w:color w:val="000000"/>
              <w:szCs w:val="21"/>
            </w:rPr>
            <w:t>全体股东：</w:t>
          </w:r>
        </w:p>
        <w:p>
          <w:pPr>
            <w:autoSpaceDE w:val="0"/>
            <w:autoSpaceDN w:val="0"/>
            <w:ind w:firstLine="420" w:firstLineChars="200"/>
            <w:jc w:val="left"/>
            <w:textAlignment w:val="baseline"/>
            <w:rPr>
              <w:rFonts w:ascii="宋体" w:hAnsi="宋体" w:eastAsia="宋体"/>
              <w:color w:val="000000"/>
              <w:szCs w:val="21"/>
            </w:rPr>
          </w:pPr>
          <w:r>
            <w:rPr>
              <w:rFonts w:hint="eastAsia" w:ascii="宋体" w:hAnsi="宋体" w:eastAsia="宋体"/>
              <w:color w:val="000000"/>
              <w:szCs w:val="21"/>
            </w:rPr>
            <w:t>根据《企业内部控制基本规范》及其配套指引的规定和其他内部控制监管要求（以下简称企业内部控制规范体系），结合</w:t>
          </w:r>
          <w:r>
            <w:rPr>
              <w:rFonts w:hint="eastAsia" w:ascii="宋体" w:hAnsi="宋体" w:eastAsia="宋体"/>
              <w:color w:val="000000"/>
              <w:szCs w:val="21"/>
              <w:lang w:val="en-US" w:eastAsia="zh-CN"/>
            </w:rPr>
            <w:t>厦门银行股份有限公司</w:t>
          </w:r>
          <w:r>
            <w:rPr>
              <w:rFonts w:hint="eastAsia" w:ascii="宋体" w:hAnsi="宋体" w:eastAsia="宋体"/>
              <w:color w:val="000000"/>
              <w:szCs w:val="21"/>
            </w:rPr>
            <w:t>（以下简称公司）内部控制制度和评价办法，在内部控制日常监督和专项监督的基础上，我们对公司</w:t>
          </w:r>
          <w:sdt>
            <w:sdtPr>
              <w:rPr>
                <w:rFonts w:hint="eastAsia" w:ascii="宋体" w:hAnsi="宋体" w:eastAsia="宋体"/>
                <w:color w:val="000000"/>
                <w:szCs w:val="21"/>
              </w:rPr>
              <w:alias w:val="内部控制评价报告基准日"/>
              <w:tag w:val="_GBC_c7c134bd6b30491a9c57fcac4432beae"/>
              <w:id w:val="824013737"/>
              <w:lock w:val="sdtLocked"/>
              <w:placeholder>
                <w:docPart w:val="GBC22222222222222222222222222222"/>
              </w:placeholder>
              <w:date w:fullDate="2023-04-07T00:00:00Z">
                <w:dateFormat w:val="yyyy'年'M'月'd'日'"/>
                <w:lid w:val="zh-CN"/>
                <w:storeMappedDataAs w:val="datetime"/>
                <w:calendar w:val="gregorian"/>
              </w:date>
            </w:sdtPr>
            <w:sdtEndPr>
              <w:rPr>
                <w:rFonts w:hint="eastAsia" w:ascii="宋体" w:hAnsi="宋体" w:eastAsia="宋体"/>
                <w:color w:val="000000"/>
                <w:szCs w:val="21"/>
              </w:rPr>
            </w:sdtEndPr>
            <w:sdtContent>
              <w:r>
                <w:rPr>
                  <w:rFonts w:hint="eastAsia" w:ascii="宋体" w:hAnsi="宋体" w:eastAsia="宋体"/>
                  <w:color w:val="000000"/>
                  <w:szCs w:val="21"/>
                </w:rPr>
                <w:t>202</w:t>
              </w:r>
              <w:r>
                <w:rPr>
                  <w:rFonts w:ascii="宋体" w:hAnsi="宋体" w:eastAsia="宋体"/>
                  <w:color w:val="000000"/>
                  <w:szCs w:val="21"/>
                </w:rPr>
                <w:t>2</w:t>
              </w:r>
              <w:r>
                <w:rPr>
                  <w:rFonts w:hint="eastAsia" w:ascii="宋体" w:hAnsi="宋体" w:eastAsia="宋体"/>
                  <w:color w:val="000000"/>
                  <w:szCs w:val="21"/>
                </w:rPr>
                <w:t>年12月31日</w:t>
              </w:r>
            </w:sdtContent>
          </w:sdt>
          <w:r>
            <w:rPr>
              <w:rFonts w:hint="eastAsia" w:ascii="宋体" w:hAnsi="宋体" w:eastAsia="宋体"/>
              <w:color w:val="000000"/>
              <w:szCs w:val="21"/>
            </w:rPr>
            <w:t>（内部控制评价报告基准日）的内部控制有效性进行了评价。</w:t>
          </w:r>
        </w:p>
      </w:sdtContent>
    </w:sdt>
    <w:sdt>
      <w:sdtPr>
        <w:rPr>
          <w:rFonts w:hint="eastAsia"/>
          <w:b w:val="0"/>
          <w:bCs w:val="0"/>
          <w:kern w:val="2"/>
          <w:sz w:val="21"/>
          <w:szCs w:val="22"/>
        </w:rPr>
        <w:alias w:val="模块:重要声明"/>
        <w:tag w:val="_SEC_444c6e3104894ea7bc898100ff2e0edd"/>
        <w:id w:val="-234173407"/>
        <w:lock w:val="sdtLocked"/>
        <w:placeholder>
          <w:docPart w:val="GBC22222222222222222222222222222"/>
        </w:placeholder>
      </w:sdtPr>
      <w:sdtEndPr>
        <w:rPr>
          <w:rFonts w:hint="default" w:ascii="宋体" w:hAnsi="宋体" w:eastAsia="宋体"/>
          <w:b w:val="0"/>
          <w:bCs w:val="0"/>
          <w:color w:val="000000"/>
          <w:kern w:val="2"/>
          <w:sz w:val="21"/>
          <w:szCs w:val="21"/>
        </w:rPr>
      </w:sdtEndPr>
      <w:sdtContent>
        <w:p>
          <w:pPr>
            <w:pStyle w:val="2"/>
          </w:pPr>
          <w:r>
            <w:rPr>
              <w:rFonts w:hint="eastAsia"/>
            </w:rPr>
            <w:t>重要声明</w:t>
          </w:r>
        </w:p>
        <w:p>
          <w:pPr>
            <w:autoSpaceDE w:val="0"/>
            <w:autoSpaceDN w:val="0"/>
            <w:ind w:firstLine="420" w:firstLineChars="200"/>
            <w:jc w:val="left"/>
            <w:textAlignment w:val="baseline"/>
            <w:rPr>
              <w:rFonts w:ascii="宋体" w:hAnsi="宋体" w:eastAsia="宋体"/>
              <w:color w:val="000000"/>
              <w:szCs w:val="21"/>
            </w:rPr>
          </w:pPr>
          <w:r>
            <w:rPr>
              <w:rFonts w:hint="eastAsia" w:ascii="宋体" w:hAnsi="宋体" w:eastAsia="宋体"/>
              <w:color w:val="000000"/>
              <w:szCs w:val="21"/>
            </w:rPr>
            <w:t>按照企业内部控制规范体系的规定，建立健全和有效实施内部控制，评价其有效性，并如实披露内部控制评价报告是公司董事会的责任。监事会对董事会建立和实施内部控制进行监督。经理层负责组织领导企业内部控制的日常运行。公司董事会、监事会及董事、监事、高级管理人员保证本报告内容不存在任何虚假记载、误导性陈述或重大遗漏，并对报告内容的真实性、准确性和完整性承担个别及连带法律责任。</w:t>
          </w:r>
        </w:p>
        <w:p>
          <w:pPr>
            <w:autoSpaceDE w:val="0"/>
            <w:autoSpaceDN w:val="0"/>
            <w:ind w:firstLine="420" w:firstLineChars="200"/>
            <w:jc w:val="left"/>
            <w:textAlignment w:val="baseline"/>
            <w:rPr>
              <w:rFonts w:ascii="宋体" w:hAnsi="宋体" w:eastAsia="宋体"/>
              <w:color w:val="000000"/>
              <w:szCs w:val="21"/>
            </w:rPr>
          </w:pPr>
          <w:r>
            <w:rPr>
              <w:rFonts w:hint="eastAsia" w:ascii="宋体" w:hAnsi="宋体" w:eastAsia="宋体"/>
              <w:color w:val="000000"/>
              <w:szCs w:val="21"/>
            </w:rPr>
            <w:t>公司内部控制的目标是合理保证经营管理合法合规、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pPr>
            <w:autoSpaceDE w:val="0"/>
            <w:autoSpaceDN w:val="0"/>
            <w:jc w:val="left"/>
            <w:textAlignment w:val="baseline"/>
            <w:rPr>
              <w:rFonts w:ascii="宋体" w:hAnsi="宋体" w:eastAsia="宋体"/>
              <w:color w:val="000000"/>
              <w:szCs w:val="21"/>
            </w:rPr>
          </w:pPr>
        </w:p>
      </w:sdtContent>
    </w:sdt>
    <w:sdt>
      <w:sdtPr>
        <w:rPr>
          <w:rFonts w:hint="eastAsia"/>
          <w:b w:val="0"/>
          <w:bCs w:val="0"/>
          <w:kern w:val="2"/>
          <w:sz w:val="21"/>
          <w:szCs w:val="22"/>
        </w:rPr>
        <w:alias w:val="模块:公司于内部控制评价报告基准日，是否存在财务报告内部控制重大缺陷"/>
        <w:tag w:val="_SEC_bd8a46087e6e4367a0fd65aa6ca5ab80"/>
        <w:id w:val="1189332620"/>
        <w:placeholder>
          <w:docPart w:val="GBC22222222222222222222222222222"/>
        </w:placeholder>
      </w:sdtPr>
      <w:sdtEndPr>
        <w:rPr>
          <w:rFonts w:hint="default" w:ascii="宋体" w:hAnsi="宋体" w:eastAsia="宋体"/>
          <w:b w:val="0"/>
          <w:bCs w:val="0"/>
          <w:color w:val="000000"/>
          <w:kern w:val="2"/>
          <w:sz w:val="21"/>
          <w:szCs w:val="21"/>
        </w:rPr>
      </w:sdtEndPr>
      <w:sdtContent>
        <w:p>
          <w:pPr>
            <w:pStyle w:val="2"/>
          </w:pPr>
          <w:r>
            <w:rPr>
              <w:rFonts w:hint="eastAsia"/>
            </w:rPr>
            <w:t>内部控制评价结论</w:t>
          </w:r>
        </w:p>
        <w:p>
          <w:pPr>
            <w:pStyle w:val="3"/>
            <w:numPr>
              <w:ilvl w:val="0"/>
              <w:numId w:val="2"/>
            </w:numPr>
            <w:spacing w:line="240" w:lineRule="auto"/>
            <w:ind w:left="426" w:hanging="426" w:hangingChars="202"/>
            <w:rPr>
              <w:rFonts w:ascii="黑体" w:hAnsi="黑体" w:eastAsia="黑体"/>
              <w:color w:val="000000"/>
            </w:rPr>
          </w:pPr>
          <w:r>
            <w:rPr>
              <w:rFonts w:hint="eastAsia"/>
            </w:rPr>
            <w:t>公司于内部控制评价报告基准日，是否</w:t>
          </w:r>
          <w:r>
            <w:t>存在财务报告内部控制重大缺陷</w:t>
          </w:r>
        </w:p>
        <w:sdt>
          <w:sdtPr>
            <w:rPr>
              <w:rFonts w:ascii="仿宋_GB2312" w:hAnsi="仿宋_GB2312" w:eastAsia="仿宋_GB2312"/>
              <w:color w:val="000000"/>
              <w:sz w:val="30"/>
            </w:rPr>
            <w:alias w:val="于内部控制评价报告基准日，是否存在财务报告内部控制重大缺陷[双击切换]"/>
            <w:tag w:val="_GBC_29f0d2acfe6345eb85a7663da4850c39"/>
            <w:id w:val="17940654"/>
            <w:placeholder>
              <w:docPart w:val="GBC22222222222222222222222222222"/>
            </w:placeholder>
          </w:sdtPr>
          <w:sdtEndPr>
            <w:rPr>
              <w:rFonts w:ascii="宋体" w:hAnsi="宋体" w:eastAsia="宋体"/>
              <w:color w:val="000000"/>
              <w:sz w:val="21"/>
              <w:szCs w:val="21"/>
            </w:rPr>
          </w:sdtEndPr>
          <w:sdtContent>
            <w:p>
              <w:pPr>
                <w:autoSpaceDE w:val="0"/>
                <w:autoSpaceDN w:val="0"/>
                <w:ind w:firstLine="450" w:firstLineChars="150"/>
                <w:jc w:val="left"/>
                <w:textAlignment w:val="baseline"/>
                <w:rPr>
                  <w:rFonts w:ascii="宋体" w:hAnsi="宋体" w:eastAsia="宋体"/>
                  <w:color w:val="000000"/>
                  <w:szCs w:val="21"/>
                </w:rPr>
              </w:pPr>
              <w:r>
                <w:rPr>
                  <w:rFonts w:ascii="宋体" w:hAnsi="宋体" w:eastAsia="宋体"/>
                  <w:color w:val="000000"/>
                  <w:szCs w:val="21"/>
                </w:rPr>
                <w:fldChar w:fldCharType="begin"/>
              </w:r>
              <w:r>
                <w:rPr>
                  <w:rFonts w:hint="eastAsia" w:ascii="宋体" w:hAnsi="宋体" w:eastAsia="宋体"/>
                  <w:color w:val="000000"/>
                  <w:szCs w:val="21"/>
                  <w:lang w:eastAsia="zh-CN"/>
                </w:rPr>
                <w:instrText xml:space="preserve"> MACROBUTTON  SnrToggleCheckbox □是 </w:instrText>
              </w:r>
              <w:r>
                <w:rPr>
                  <w:rFonts w:ascii="宋体" w:hAnsi="宋体" w:eastAsia="宋体"/>
                  <w:color w:val="000000"/>
                  <w:szCs w:val="21"/>
                </w:rPr>
                <w:fldChar w:fldCharType="end"/>
              </w:r>
              <w:r>
                <w:rPr>
                  <w:rFonts w:ascii="宋体" w:hAnsi="宋体" w:eastAsia="宋体"/>
                  <w:color w:val="000000"/>
                  <w:szCs w:val="21"/>
                </w:rPr>
                <w:fldChar w:fldCharType="begin"/>
              </w:r>
              <w:r>
                <w:rPr>
                  <w:rFonts w:hint="eastAsia" w:ascii="宋体" w:hAnsi="宋体" w:eastAsia="宋体"/>
                  <w:color w:val="000000"/>
                  <w:szCs w:val="21"/>
                  <w:lang w:eastAsia="zh-CN"/>
                </w:rPr>
                <w:instrText xml:space="preserve"> MACROBUTTON  SnrToggleCheckbox √否 </w:instrText>
              </w:r>
              <w:r>
                <w:rPr>
                  <w:rFonts w:ascii="宋体" w:hAnsi="宋体" w:eastAsia="宋体"/>
                  <w:color w:val="000000"/>
                  <w:szCs w:val="21"/>
                </w:rPr>
                <w:fldChar w:fldCharType="end"/>
              </w:r>
            </w:p>
          </w:sdtContent>
        </w:sdt>
      </w:sdtContent>
    </w:sdt>
    <w:sdt>
      <w:sdtPr>
        <w:rPr>
          <w:rFonts w:ascii="宋体" w:hAnsi="宋体"/>
          <w:color w:val="000000"/>
          <w:szCs w:val="21"/>
        </w:rPr>
        <w:alias w:val="模块:财务报告内部控制评价结论标题"/>
        <w:tag w:val="_SEC_3518f5b0146b4d329d34828211e4ea36"/>
        <w:id w:val="-546069825"/>
        <w:lock w:val="sdtLocked"/>
        <w:placeholder>
          <w:docPart w:val="GBC22222222222222222222222222222"/>
        </w:placeholder>
      </w:sdtPr>
      <w:sdtEndPr>
        <w:rPr>
          <w:rFonts w:ascii="宋体" w:hAnsi="宋体"/>
          <w:color w:val="000000"/>
          <w:szCs w:val="21"/>
        </w:rPr>
      </w:sdtEndPr>
      <w:sdtContent>
        <w:p>
          <w:pPr>
            <w:pStyle w:val="3"/>
            <w:numPr>
              <w:ilvl w:val="0"/>
              <w:numId w:val="2"/>
            </w:numPr>
            <w:spacing w:line="240" w:lineRule="auto"/>
            <w:ind w:left="426" w:hanging="426" w:hangingChars="202"/>
            <w:rPr>
              <w:rFonts w:ascii="宋体" w:hAnsi="宋体"/>
              <w:color w:val="000000"/>
              <w:szCs w:val="21"/>
            </w:rPr>
          </w:pPr>
          <w:r>
            <w:rPr>
              <w:rFonts w:hint="eastAsia" w:ascii="宋体" w:hAnsi="宋体"/>
              <w:color w:val="000000"/>
              <w:szCs w:val="21"/>
            </w:rPr>
            <w:t>财务报告内部控制</w:t>
          </w:r>
          <w:r>
            <w:rPr>
              <w:rFonts w:hint="eastAsia"/>
            </w:rPr>
            <w:t>评价</w:t>
          </w:r>
          <w:r>
            <w:rPr>
              <w:rFonts w:hint="eastAsia" w:ascii="宋体" w:hAnsi="宋体"/>
              <w:color w:val="000000"/>
              <w:szCs w:val="21"/>
            </w:rPr>
            <w:t>结论</w:t>
          </w:r>
        </w:p>
      </w:sdtContent>
    </w:sdt>
    <w:sdt>
      <w:sdtPr>
        <w:rPr>
          <w:rFonts w:hint="eastAsia"/>
          <w:b/>
          <w:bCs/>
        </w:rPr>
        <w:alias w:val="模块:财务报告内部控制评价结论"/>
        <w:tag w:val="_SEC_27e244efa9974030bbc8f0f40bd88949"/>
        <w:id w:val="457757775"/>
        <w:placeholder>
          <w:docPart w:val="GBC22222222222222222222222222222"/>
        </w:placeholder>
      </w:sdtPr>
      <w:sdtEndPr>
        <w:rPr>
          <w:rFonts w:hint="default" w:ascii="宋体" w:hAnsi="宋体"/>
          <w:b w:val="0"/>
          <w:bCs w:val="0"/>
          <w:color w:val="000000"/>
          <w:szCs w:val="21"/>
        </w:rPr>
      </w:sdtEndPr>
      <w:sdtContent>
        <w:sdt>
          <w:sdtPr>
            <w:alias w:val="是否有效：财务报告内部控制评价结论"/>
            <w:tag w:val="_GBC_2ac2afdf66b145848a69d7f1a2c27ee9"/>
            <w:id w:val="1207220433"/>
            <w:placeholder>
              <w:docPart w:val="GBC22222222222222222222222222222"/>
            </w:placeholder>
          </w:sdtPr>
          <w:sdtContent>
            <w:p>
              <w:pPr>
                <w:ind w:firstLine="422" w:firstLineChars="200"/>
              </w:pPr>
              <w:r>
                <w:rPr>
                  <w:rFonts w:ascii="宋体" w:hAnsi="宋体" w:eastAsia="宋体"/>
                </w:rPr>
                <w:fldChar w:fldCharType="begin"/>
              </w:r>
              <w:r>
                <w:rPr>
                  <w:rFonts w:hint="eastAsia" w:ascii="宋体" w:hAnsi="宋体" w:eastAsia="宋体"/>
                  <w:lang w:eastAsia="zh-CN"/>
                </w:rPr>
                <w:instrText xml:space="preserve"> MACROBUTTON  SnrToggleCheckbox √有效 </w:instrText>
              </w:r>
              <w:r>
                <w:rPr>
                  <w:rFonts w:ascii="宋体" w:hAnsi="宋体" w:eastAsia="宋体"/>
                </w:rPr>
                <w:fldChar w:fldCharType="end"/>
              </w:r>
              <w:r>
                <w:rPr>
                  <w:rFonts w:ascii="宋体" w:hAnsi="宋体" w:eastAsia="宋体"/>
                </w:rPr>
                <w:fldChar w:fldCharType="begin"/>
              </w:r>
              <w:r>
                <w:rPr>
                  <w:rFonts w:hint="eastAsia" w:ascii="宋体" w:hAnsi="宋体" w:eastAsia="宋体"/>
                  <w:lang w:eastAsia="zh-CN"/>
                </w:rPr>
                <w:instrText xml:space="preserve"> MACROBUTTON  SnrToggleCheckbox □无效 </w:instrText>
              </w:r>
              <w:r>
                <w:rPr>
                  <w:rFonts w:ascii="宋体" w:hAnsi="宋体" w:eastAsia="宋体"/>
                </w:rPr>
                <w:fldChar w:fldCharType="end"/>
              </w:r>
            </w:p>
          </w:sdtContent>
        </w:sdt>
        <w:sdt>
          <w:sdtPr>
            <w:rPr>
              <w:rFonts w:hint="eastAsia" w:ascii="宋体" w:hAnsi="宋体" w:eastAsia="宋体"/>
              <w:color w:val="000000"/>
              <w:szCs w:val="21"/>
            </w:rPr>
            <w:tag w:val="_SEC_4e58ccbfa6c241ed857d838849ef37de"/>
            <w:id w:val="-226921691"/>
            <w:placeholder>
              <w:docPart w:val="GBC22222222222222222222222222222"/>
            </w:placeholder>
          </w:sdtPr>
          <w:sdtEndPr>
            <w:rPr>
              <w:rFonts w:hint="eastAsia" w:ascii="宋体" w:hAnsi="宋体" w:eastAsia="宋体"/>
              <w:color w:val="000000"/>
              <w:szCs w:val="21"/>
              <w:u w:val="single"/>
            </w:rPr>
          </w:sdtEndPr>
          <w:sdtContent>
            <w:p>
              <w:pPr>
                <w:autoSpaceDE w:val="0"/>
                <w:autoSpaceDN w:val="0"/>
                <w:ind w:firstLine="420" w:firstLineChars="200"/>
                <w:textAlignment w:val="baseline"/>
                <w:rPr>
                  <w:rFonts w:ascii="宋体" w:hAnsi="宋体" w:eastAsia="宋体"/>
                  <w:color w:val="000000"/>
                  <w:szCs w:val="21"/>
                  <w:u w:val="single"/>
                </w:rPr>
              </w:pPr>
              <w:r>
                <w:rPr>
                  <w:rFonts w:hint="eastAsia" w:ascii="宋体" w:hAnsi="宋体" w:eastAsia="宋体"/>
                  <w:color w:val="000000"/>
                  <w:szCs w:val="21"/>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sdtContent>
        </w:sdt>
        <w:p>
          <w:bookmarkStart w:id="0" w:name="_SEC_2ad5f56e8c65420084ce80c45c9f918e"/>
          <w:bookmarkEnd w:id="0"/>
        </w:p>
      </w:sdtContent>
    </w:sdt>
    <w:p>
      <w:bookmarkStart w:id="1" w:name="_SEC_f6eb923251034c75af564206580ff42b"/>
      <w:bookmarkEnd w:id="1"/>
    </w:p>
    <w:sdt>
      <w:sdtPr>
        <w:rPr>
          <w:rFonts w:hint="eastAsia" w:asciiTheme="minorHAnsi" w:hAnsiTheme="minorHAnsi" w:eastAsiaTheme="minorEastAsia" w:cstheme="minorBidi"/>
          <w:b w:val="0"/>
          <w:bCs w:val="0"/>
          <w:szCs w:val="22"/>
        </w:rPr>
        <w:alias w:val="模块:非财务报告内部控制重大缺陷"/>
        <w:tag w:val="_SEC_4b0cbbe9d925436eb6862dd766f820b7"/>
        <w:id w:val="-1032803686"/>
        <w:placeholder>
          <w:docPart w:val="GBC22222222222222222222222222222"/>
        </w:placeholder>
      </w:sdtPr>
      <w:sdtEndPr>
        <w:rPr>
          <w:rFonts w:hint="default" w:ascii="宋体" w:hAnsi="宋体" w:eastAsiaTheme="minorEastAsia" w:cstheme="minorBidi"/>
          <w:b w:val="0"/>
          <w:bCs w:val="0"/>
          <w:color w:val="000000"/>
          <w:szCs w:val="21"/>
        </w:rPr>
      </w:sdtEndPr>
      <w:sdtContent>
        <w:p>
          <w:pPr>
            <w:pStyle w:val="3"/>
            <w:numPr>
              <w:ilvl w:val="0"/>
              <w:numId w:val="2"/>
            </w:numPr>
            <w:spacing w:line="240" w:lineRule="auto"/>
            <w:ind w:left="424" w:hanging="424" w:hangingChars="202"/>
          </w:pPr>
          <w:r>
            <w:rPr>
              <w:rFonts w:hint="eastAsia"/>
            </w:rPr>
            <w:t>是否发现</w:t>
          </w:r>
          <w:r>
            <w:t>非财务报告内部控制重大缺陷</w:t>
          </w:r>
        </w:p>
        <w:sdt>
          <w:sdtPr>
            <w:rPr>
              <w:rFonts w:ascii="仿宋_GB2312" w:hAnsi="仿宋_GB2312" w:eastAsia="仿宋_GB2312"/>
              <w:color w:val="000000"/>
              <w:sz w:val="30"/>
            </w:rPr>
            <w:alias w:val="于内部控制评价报告基准日，是否存在非财务报告内部控制重大缺陷[双击切换]"/>
            <w:tag w:val="_GBC_56e2c7cb40a945649a49b834a5ff4119"/>
            <w:id w:val="17940567"/>
            <w:placeholder>
              <w:docPart w:val="GBC22222222222222222222222222222"/>
            </w:placeholder>
          </w:sdtPr>
          <w:sdtEndPr>
            <w:rPr>
              <w:rFonts w:ascii="宋体" w:hAnsi="宋体" w:eastAsia="宋体"/>
              <w:color w:val="000000"/>
              <w:sz w:val="21"/>
              <w:szCs w:val="21"/>
            </w:rPr>
          </w:sdtEndPr>
          <w:sdtContent>
            <w:p>
              <w:pPr>
                <w:autoSpaceDE w:val="0"/>
                <w:autoSpaceDN w:val="0"/>
                <w:ind w:left="420" w:leftChars="200"/>
                <w:jc w:val="left"/>
                <w:textAlignment w:val="baseline"/>
                <w:rPr>
                  <w:rFonts w:ascii="宋体" w:hAnsi="宋体" w:eastAsia="宋体"/>
                  <w:color w:val="000000"/>
                  <w:szCs w:val="21"/>
                </w:rPr>
              </w:pPr>
              <w:r>
                <w:rPr>
                  <w:rFonts w:ascii="宋体" w:hAnsi="宋体" w:eastAsia="宋体"/>
                  <w:color w:val="000000"/>
                  <w:szCs w:val="21"/>
                </w:rPr>
                <w:fldChar w:fldCharType="begin"/>
              </w:r>
              <w:r>
                <w:rPr>
                  <w:rFonts w:hint="eastAsia" w:ascii="宋体" w:hAnsi="宋体" w:eastAsia="宋体"/>
                  <w:color w:val="000000"/>
                  <w:szCs w:val="21"/>
                  <w:lang w:eastAsia="zh-CN"/>
                </w:rPr>
                <w:instrText xml:space="preserve"> MACROBUTTON  SnrToggleCheckbox □是 </w:instrText>
              </w:r>
              <w:r>
                <w:rPr>
                  <w:rFonts w:ascii="宋体" w:hAnsi="宋体" w:eastAsia="宋体"/>
                  <w:color w:val="000000"/>
                  <w:szCs w:val="21"/>
                </w:rPr>
                <w:fldChar w:fldCharType="end"/>
              </w:r>
              <w:r>
                <w:rPr>
                  <w:rFonts w:ascii="宋体" w:hAnsi="宋体" w:eastAsia="宋体"/>
                  <w:color w:val="000000"/>
                  <w:szCs w:val="21"/>
                </w:rPr>
                <w:fldChar w:fldCharType="begin"/>
              </w:r>
              <w:r>
                <w:rPr>
                  <w:rFonts w:hint="eastAsia" w:ascii="宋体" w:hAnsi="宋体" w:eastAsia="宋体"/>
                  <w:color w:val="000000"/>
                  <w:szCs w:val="21"/>
                  <w:lang w:eastAsia="zh-CN"/>
                </w:rPr>
                <w:instrText xml:space="preserve"> MACROBUTTON  SnrToggleCheckbox √否 </w:instrText>
              </w:r>
              <w:r>
                <w:rPr>
                  <w:rFonts w:ascii="宋体" w:hAnsi="宋体" w:eastAsia="宋体"/>
                  <w:color w:val="000000"/>
                  <w:szCs w:val="21"/>
                </w:rPr>
                <w:fldChar w:fldCharType="end"/>
              </w:r>
            </w:p>
          </w:sdtContent>
        </w:sdt>
        <w:sdt>
          <w:sdtPr>
            <w:rPr>
              <w:rFonts w:hint="eastAsia" w:ascii="宋体" w:hAnsi="宋体" w:eastAsia="宋体"/>
              <w:color w:val="000000"/>
              <w:szCs w:val="21"/>
            </w:rPr>
            <w:tag w:val="_SEC_741f8c65739143af9be9d37cf39c67e8"/>
            <w:id w:val="17940472"/>
            <w:placeholder>
              <w:docPart w:val="GBC22222222222222222222222222222"/>
            </w:placeholder>
          </w:sdtPr>
          <w:sdtEndPr>
            <w:rPr>
              <w:rFonts w:hint="eastAsia" w:ascii="宋体" w:hAnsi="宋体" w:eastAsia="宋体"/>
              <w:color w:val="000000"/>
              <w:szCs w:val="21"/>
            </w:rPr>
          </w:sdtEndPr>
          <w:sdtContent>
            <w:p>
              <w:pPr>
                <w:autoSpaceDE w:val="0"/>
                <w:autoSpaceDN w:val="0"/>
                <w:ind w:firstLine="420" w:firstLineChars="200"/>
                <w:jc w:val="left"/>
                <w:textAlignment w:val="baseline"/>
                <w:rPr>
                  <w:rFonts w:ascii="宋体" w:hAnsi="宋体" w:eastAsia="宋体"/>
                  <w:color w:val="000000"/>
                  <w:szCs w:val="21"/>
                </w:rPr>
              </w:pPr>
              <w:r>
                <w:rPr>
                  <w:rFonts w:hint="eastAsia" w:ascii="宋体" w:hAnsi="宋体" w:eastAsia="宋体"/>
                  <w:color w:val="000000"/>
                  <w:szCs w:val="21"/>
                </w:rPr>
                <w:t>根据公司非财务报告内部控制重大缺陷认定情况，于内部控制评价报告基准日，公司未发现非财务报告内部控制重大缺陷。</w:t>
              </w:r>
            </w:p>
          </w:sdtContent>
        </w:sdt>
        <w:p>
          <w:bookmarkStart w:id="2" w:name="_SEC_65b2fd41248744d19cbb5b8815f421f4"/>
          <w:bookmarkEnd w:id="2"/>
        </w:p>
      </w:sdtContent>
    </w:sdt>
    <w:sdt>
      <w:sdtPr>
        <w:rPr>
          <w:rFonts w:hint="eastAsia" w:asciiTheme="minorHAnsi" w:hAnsiTheme="minorHAnsi" w:eastAsiaTheme="minorEastAsia" w:cstheme="minorBidi"/>
          <w:b w:val="0"/>
          <w:bCs w:val="0"/>
          <w:szCs w:val="22"/>
        </w:rPr>
        <w:alias w:val="模块:自内部控制评价报告基准日至内部控制评价报告发出日之间影响内部控制有效性评价结论的因素"/>
        <w:tag w:val="_SEC_b4078b370b4c4f5da084304d4188ca3e"/>
        <w:id w:val="667063577"/>
        <w:placeholder>
          <w:docPart w:val="GBC22222222222222222222222222222"/>
        </w:placeholder>
      </w:sdtPr>
      <w:sdtEndPr>
        <w:rPr>
          <w:rFonts w:hint="eastAsia" w:ascii="宋体" w:hAnsi="宋体" w:eastAsiaTheme="minorEastAsia" w:cstheme="minorBidi"/>
          <w:b w:val="0"/>
          <w:bCs w:val="0"/>
          <w:color w:val="000000"/>
          <w:szCs w:val="21"/>
        </w:rPr>
      </w:sdtEndPr>
      <w:sdtContent>
        <w:p>
          <w:pPr>
            <w:pStyle w:val="3"/>
            <w:numPr>
              <w:ilvl w:val="0"/>
              <w:numId w:val="2"/>
            </w:numPr>
            <w:spacing w:line="240" w:lineRule="auto"/>
            <w:ind w:left="424" w:hanging="424" w:hangingChars="202"/>
          </w:pPr>
          <w:r>
            <w:rPr>
              <w:rFonts w:hint="eastAsia"/>
            </w:rPr>
            <w:t>自内部控制评价报告基准日至内部控制评价报告发出日之间影响内部控制有效性评价结论的因素</w:t>
          </w:r>
        </w:p>
        <w:p>
          <w:pPr>
            <w:autoSpaceDE w:val="0"/>
            <w:autoSpaceDN w:val="0"/>
            <w:ind w:left="420" w:leftChars="200"/>
            <w:jc w:val="left"/>
            <w:textAlignment w:val="baseline"/>
          </w:pPr>
          <w:sdt>
            <w:sdtPr>
              <w:rPr>
                <w:rFonts w:hint="eastAsia" w:ascii="仿宋_GB2312" w:hAnsi="仿宋_GB2312" w:eastAsia="仿宋_GB2312"/>
                <w:color w:val="000000"/>
                <w:sz w:val="30"/>
              </w:rPr>
              <w:alias w:val="是否适用：自内部控制评价报告基准日至内部控制评价报告发出日之间影响内部控制有效性评价结论的因素[双击切换]"/>
              <w:tag w:val="_GBC_ba0bf6ad0eed4271afae0831bb571e8b"/>
              <w:id w:val="17940863"/>
              <w:placeholder>
                <w:docPart w:val="GBC22222222222222222222222222222"/>
              </w:placeholder>
            </w:sdtPr>
            <w:sdtEndPr>
              <w:rPr>
                <w:rFonts w:hint="eastAsia" w:ascii="宋体" w:hAnsi="宋体" w:eastAsia="宋体"/>
                <w:color w:val="000000"/>
                <w:sz w:val="21"/>
                <w:szCs w:val="21"/>
              </w:rPr>
            </w:sdtEndPr>
            <w:sdtContent>
              <w:r>
                <w:rPr>
                  <w:rFonts w:ascii="宋体" w:hAnsi="宋体" w:eastAsia="宋体"/>
                  <w:color w:val="000000"/>
                  <w:szCs w:val="21"/>
                </w:rPr>
                <w:fldChar w:fldCharType="begin"/>
              </w:r>
              <w:r>
                <w:rPr>
                  <w:rFonts w:hint="eastAsia" w:ascii="宋体" w:hAnsi="宋体" w:eastAsia="宋体"/>
                  <w:color w:val="000000"/>
                  <w:szCs w:val="21"/>
                  <w:lang w:eastAsia="zh-CN"/>
                </w:rPr>
                <w:instrText xml:space="preserve"> MACROBUTTON  SnrToggleCheckbox □适用 </w:instrText>
              </w:r>
              <w:r>
                <w:rPr>
                  <w:rFonts w:ascii="宋体" w:hAnsi="宋体" w:eastAsia="宋体"/>
                  <w:color w:val="000000"/>
                  <w:szCs w:val="21"/>
                </w:rPr>
                <w:fldChar w:fldCharType="end"/>
              </w:r>
              <w:r>
                <w:rPr>
                  <w:rFonts w:ascii="宋体" w:hAnsi="宋体" w:eastAsia="宋体"/>
                  <w:color w:val="000000"/>
                  <w:szCs w:val="21"/>
                </w:rPr>
                <w:fldChar w:fldCharType="begin"/>
              </w:r>
              <w:r>
                <w:rPr>
                  <w:rFonts w:hint="eastAsia" w:ascii="宋体" w:hAnsi="宋体" w:eastAsia="宋体"/>
                  <w:color w:val="000000"/>
                  <w:szCs w:val="21"/>
                  <w:lang w:eastAsia="zh-CN"/>
                </w:rPr>
                <w:instrText xml:space="preserve"> MACROBUTTON  SnrToggleCheckbox √不适用 </w:instrText>
              </w:r>
              <w:r>
                <w:rPr>
                  <w:rFonts w:ascii="宋体" w:hAnsi="宋体" w:eastAsia="宋体"/>
                  <w:color w:val="000000"/>
                  <w:szCs w:val="21"/>
                </w:rPr>
                <w:fldChar w:fldCharType="end"/>
              </w:r>
            </w:sdtContent>
          </w:sdt>
          <w:r>
            <w:rPr>
              <w:rFonts w:hint="eastAsia" w:ascii="宋体" w:hAnsi="宋体" w:eastAsia="宋体"/>
              <w:color w:val="000000"/>
              <w:szCs w:val="21"/>
            </w:rPr>
            <w:t xml:space="preserve"> </w:t>
          </w:r>
          <w:bookmarkStart w:id="3" w:name="_SEC_249346c03cf5437d8a03f39bb1c86cf0"/>
          <w:bookmarkEnd w:id="3"/>
        </w:p>
        <w:sdt>
          <w:sdtPr>
            <w:rPr>
              <w:rFonts w:hint="eastAsia" w:ascii="宋体" w:hAnsi="宋体" w:eastAsia="宋体"/>
              <w:color w:val="000000"/>
              <w:szCs w:val="21"/>
            </w:rPr>
            <w:tag w:val="_SEC_0863ab331a614ec080242c3d6576033b"/>
            <w:id w:val="17940877"/>
            <w:placeholder>
              <w:docPart w:val="GBC22222222222222222222222222222"/>
            </w:placeholder>
          </w:sdtPr>
          <w:sdtEndPr>
            <w:rPr>
              <w:rFonts w:hint="eastAsia" w:ascii="宋体" w:hAnsi="宋体" w:eastAsia="宋体"/>
              <w:color w:val="000000"/>
              <w:szCs w:val="21"/>
            </w:rPr>
          </w:sdtEndPr>
          <w:sdtContent>
            <w:p>
              <w:pPr>
                <w:autoSpaceDE w:val="0"/>
                <w:autoSpaceDN w:val="0"/>
                <w:ind w:firstLine="420" w:firstLineChars="200"/>
                <w:jc w:val="left"/>
                <w:textAlignment w:val="baseline"/>
                <w:rPr>
                  <w:rFonts w:ascii="宋体" w:hAnsi="宋体" w:eastAsia="宋体"/>
                  <w:color w:val="000000"/>
                  <w:szCs w:val="21"/>
                </w:rPr>
              </w:pPr>
              <w:r>
                <w:rPr>
                  <w:rFonts w:hint="eastAsia" w:ascii="宋体" w:hAnsi="宋体" w:eastAsia="宋体"/>
                  <w:color w:val="000000"/>
                  <w:szCs w:val="21"/>
                </w:rPr>
                <w:t>自内部控制评价报告基准日至内部控制评价报告发出日之间未发生影响内部控制有效性评价结论的因素。</w:t>
              </w:r>
            </w:p>
          </w:sdtContent>
        </w:sdt>
      </w:sdtContent>
    </w:sdt>
    <w:sdt>
      <w:sdtPr>
        <w:rPr>
          <w:rFonts w:hint="eastAsia" w:asciiTheme="minorHAnsi" w:hAnsiTheme="minorHAnsi" w:eastAsiaTheme="minorEastAsia" w:cstheme="minorBidi"/>
          <w:b w:val="0"/>
          <w:bCs w:val="0"/>
          <w:szCs w:val="22"/>
        </w:rPr>
        <w:alias w:val="模块:内部控制审计意见是否与公司对财务报告内部控制有效性的评价结"/>
        <w:tag w:val="_SEC_bf48daa647df4ad3b803dcfb0097c1e2"/>
        <w:id w:val="-736160813"/>
        <w:placeholder>
          <w:docPart w:val="GBC22222222222222222222222222222"/>
        </w:placeholder>
      </w:sdtPr>
      <w:sdtEndPr>
        <w:rPr>
          <w:rFonts w:hint="default" w:ascii="宋体" w:hAnsi="宋体" w:eastAsiaTheme="minorEastAsia" w:cstheme="minorBidi"/>
          <w:b w:val="0"/>
          <w:bCs w:val="0"/>
          <w:color w:val="000000"/>
          <w:szCs w:val="21"/>
        </w:rPr>
      </w:sdtEndPr>
      <w:sdtContent>
        <w:p>
          <w:pPr>
            <w:pStyle w:val="3"/>
            <w:numPr>
              <w:ilvl w:val="0"/>
              <w:numId w:val="2"/>
            </w:numPr>
            <w:spacing w:line="240" w:lineRule="auto"/>
            <w:ind w:left="424" w:hanging="424" w:hangingChars="202"/>
          </w:pPr>
          <w:r>
            <w:rPr>
              <w:rFonts w:hint="eastAsia"/>
            </w:rPr>
            <w:t>内部控制审计意见是否与公司对财务报告内部控制有效性的评价结论一致</w:t>
          </w:r>
        </w:p>
        <w:sdt>
          <w:sdtPr>
            <w:rPr>
              <w:rFonts w:ascii="仿宋_GB2312" w:hAnsi="仿宋_GB2312" w:eastAsia="仿宋_GB2312"/>
              <w:color w:val="000000"/>
              <w:sz w:val="30"/>
            </w:rPr>
            <w:alias w:val="内控审计意见是否与财务报告内控自我评价结论一致若不一致是否在年度报告中解释差异原因[双击切换]"/>
            <w:tag w:val="_GBC_32036e232a68475c8d5aa85b55c6c17f"/>
            <w:id w:val="17940486"/>
            <w:placeholder>
              <w:docPart w:val="GBC22222222222222222222222222222"/>
            </w:placeholder>
          </w:sdtPr>
          <w:sdtEndPr>
            <w:rPr>
              <w:rFonts w:ascii="宋体" w:hAnsi="宋体" w:eastAsia="宋体"/>
              <w:color w:val="000000"/>
              <w:sz w:val="21"/>
              <w:szCs w:val="21"/>
            </w:rPr>
          </w:sdtEndPr>
          <w:sdtContent>
            <w:p>
              <w:pPr>
                <w:autoSpaceDE w:val="0"/>
                <w:autoSpaceDN w:val="0"/>
                <w:ind w:left="420" w:leftChars="200"/>
                <w:jc w:val="left"/>
                <w:textAlignment w:val="baseline"/>
                <w:rPr>
                  <w:rFonts w:ascii="宋体" w:hAnsi="宋体" w:eastAsia="宋体"/>
                  <w:color w:val="000000"/>
                  <w:szCs w:val="21"/>
                </w:rPr>
              </w:pPr>
              <w:r>
                <w:rPr>
                  <w:rFonts w:ascii="宋体" w:hAnsi="宋体" w:eastAsia="宋体"/>
                  <w:color w:val="000000"/>
                  <w:szCs w:val="21"/>
                </w:rPr>
                <w:fldChar w:fldCharType="begin"/>
              </w:r>
              <w:r>
                <w:rPr>
                  <w:rFonts w:hint="eastAsia" w:ascii="宋体" w:hAnsi="宋体" w:eastAsia="宋体"/>
                  <w:color w:val="000000"/>
                  <w:szCs w:val="21"/>
                  <w:lang w:eastAsia="zh-CN"/>
                </w:rPr>
                <w:instrText xml:space="preserve"> MACROBUTTON  SnrToggleCheckbox √是 </w:instrText>
              </w:r>
              <w:r>
                <w:rPr>
                  <w:rFonts w:ascii="宋体" w:hAnsi="宋体" w:eastAsia="宋体"/>
                  <w:color w:val="000000"/>
                  <w:szCs w:val="21"/>
                </w:rPr>
                <w:fldChar w:fldCharType="end"/>
              </w:r>
              <w:r>
                <w:rPr>
                  <w:rFonts w:ascii="宋体" w:hAnsi="宋体" w:eastAsia="宋体"/>
                  <w:color w:val="000000"/>
                  <w:szCs w:val="21"/>
                </w:rPr>
                <w:fldChar w:fldCharType="begin"/>
              </w:r>
              <w:r>
                <w:rPr>
                  <w:rFonts w:hint="eastAsia" w:ascii="宋体" w:hAnsi="宋体" w:eastAsia="宋体"/>
                  <w:color w:val="000000"/>
                  <w:szCs w:val="21"/>
                  <w:lang w:eastAsia="zh-CN"/>
                </w:rPr>
                <w:instrText xml:space="preserve"> MACROBUTTON  SnrToggleCheckbox □否 </w:instrText>
              </w:r>
              <w:r>
                <w:rPr>
                  <w:rFonts w:ascii="宋体" w:hAnsi="宋体" w:eastAsia="宋体"/>
                  <w:color w:val="000000"/>
                  <w:szCs w:val="21"/>
                </w:rPr>
                <w:fldChar w:fldCharType="end"/>
              </w:r>
            </w:p>
          </w:sdtContent>
        </w:sdt>
        <w:p>
          <w:bookmarkStart w:id="4" w:name="_SEC_5054c145ae9f43858a7f87fffa276689"/>
          <w:bookmarkEnd w:id="4"/>
        </w:p>
      </w:sdtContent>
    </w:sdt>
    <w:sdt>
      <w:sdtPr>
        <w:rPr>
          <w:rFonts w:hint="eastAsia" w:asciiTheme="minorHAnsi" w:hAnsiTheme="minorHAnsi" w:eastAsiaTheme="minorEastAsia" w:cstheme="minorBidi"/>
          <w:b w:val="0"/>
          <w:bCs w:val="0"/>
          <w:szCs w:val="21"/>
        </w:rPr>
        <w:alias w:val="模块:内部控制审计报告对非财务报告内部控制重大缺陷的披露是否与公司内部控制评价报告披露一致"/>
        <w:tag w:val="_SEC_f49cac19fbb74a399a64cdf78b0c9a85"/>
        <w:id w:val="-1285649584"/>
        <w:placeholder>
          <w:docPart w:val="GBC22222222222222222222222222222"/>
        </w:placeholder>
      </w:sdtPr>
      <w:sdtEndPr>
        <w:rPr>
          <w:rFonts w:hint="default" w:ascii="宋体" w:hAnsi="宋体" w:eastAsiaTheme="minorEastAsia" w:cstheme="minorBidi"/>
          <w:b w:val="0"/>
          <w:bCs w:val="0"/>
          <w:color w:val="000000"/>
          <w:szCs w:val="21"/>
        </w:rPr>
      </w:sdtEndPr>
      <w:sdtContent>
        <w:p>
          <w:pPr>
            <w:pStyle w:val="3"/>
            <w:numPr>
              <w:ilvl w:val="0"/>
              <w:numId w:val="2"/>
            </w:numPr>
            <w:spacing w:line="240" w:lineRule="auto"/>
            <w:rPr>
              <w:szCs w:val="21"/>
            </w:rPr>
          </w:pPr>
          <w:r>
            <w:rPr>
              <w:rFonts w:hint="eastAsia"/>
              <w:szCs w:val="21"/>
            </w:rPr>
            <w:t>内部控制审计报告对非财务报告内部控制重大缺陷的披露是否与公司内部控制评价报告披露一致</w:t>
          </w:r>
        </w:p>
        <w:p>
          <w:pPr>
            <w:autoSpaceDE w:val="0"/>
            <w:autoSpaceDN w:val="0"/>
            <w:ind w:left="420" w:leftChars="200"/>
            <w:jc w:val="left"/>
            <w:textAlignment w:val="baseline"/>
            <w:rPr>
              <w:rFonts w:ascii="宋体" w:hAnsi="宋体" w:eastAsia="宋体"/>
              <w:color w:val="000000"/>
              <w:szCs w:val="21"/>
            </w:rPr>
          </w:pPr>
          <w:sdt>
            <w:sdtPr>
              <w:rPr>
                <w:rFonts w:hint="eastAsia" w:ascii="仿宋_GB2312" w:hAnsi="仿宋_GB2312" w:eastAsia="仿宋_GB2312"/>
                <w:color w:val="000000"/>
                <w:szCs w:val="21"/>
              </w:rPr>
              <w:alias w:val="内控审计报告对非财务报告内控重大缺陷的披露是否与内控自我评价报告披露一致若不一致是否在年度报告中解释差异原因[双击切换]"/>
              <w:tag w:val="_GBC_7a278613dd974177b870348ddb47bc3c"/>
              <w:id w:val="17940484"/>
              <w:placeholder>
                <w:docPart w:val="GBC22222222222222222222222222222"/>
              </w:placeholder>
            </w:sdtPr>
            <w:sdtEndPr>
              <w:rPr>
                <w:rFonts w:hint="eastAsia" w:ascii="宋体" w:hAnsi="宋体" w:eastAsia="宋体"/>
                <w:color w:val="000000"/>
                <w:szCs w:val="21"/>
              </w:rPr>
            </w:sdtEndPr>
            <w:sdtContent>
              <w:r>
                <w:rPr>
                  <w:rFonts w:ascii="宋体" w:hAnsi="宋体" w:eastAsia="宋体"/>
                  <w:color w:val="000000"/>
                  <w:szCs w:val="21"/>
                </w:rPr>
                <w:fldChar w:fldCharType="begin"/>
              </w:r>
              <w:r>
                <w:rPr>
                  <w:rFonts w:hint="eastAsia" w:ascii="宋体" w:hAnsi="宋体" w:eastAsia="宋体"/>
                  <w:color w:val="000000"/>
                  <w:szCs w:val="21"/>
                  <w:lang w:eastAsia="zh-CN"/>
                </w:rPr>
                <w:instrText xml:space="preserve"> MACROBUTTON  SnrToggleCheckbox √是 </w:instrText>
              </w:r>
              <w:r>
                <w:rPr>
                  <w:rFonts w:ascii="宋体" w:hAnsi="宋体" w:eastAsia="宋体"/>
                  <w:color w:val="000000"/>
                  <w:szCs w:val="21"/>
                </w:rPr>
                <w:fldChar w:fldCharType="end"/>
              </w:r>
              <w:r>
                <w:rPr>
                  <w:rFonts w:ascii="宋体" w:hAnsi="宋体" w:eastAsia="宋体"/>
                  <w:color w:val="000000"/>
                  <w:szCs w:val="21"/>
                </w:rPr>
                <w:fldChar w:fldCharType="begin"/>
              </w:r>
              <w:r>
                <w:rPr>
                  <w:rFonts w:hint="eastAsia" w:ascii="宋体" w:hAnsi="宋体" w:eastAsia="宋体"/>
                  <w:color w:val="000000"/>
                  <w:szCs w:val="21"/>
                  <w:lang w:eastAsia="zh-CN"/>
                </w:rPr>
                <w:instrText xml:space="preserve"> MACROBUTTON  SnrToggleCheckbox □否 </w:instrText>
              </w:r>
              <w:r>
                <w:rPr>
                  <w:rFonts w:ascii="宋体" w:hAnsi="宋体" w:eastAsia="宋体"/>
                  <w:color w:val="000000"/>
                  <w:szCs w:val="21"/>
                </w:rPr>
                <w:fldChar w:fldCharType="end"/>
              </w:r>
            </w:sdtContent>
          </w:sdt>
        </w:p>
        <w:p>
          <w:bookmarkStart w:id="5" w:name="_SEC_9136693a44bd4873a96583c2fb3fb526"/>
          <w:bookmarkEnd w:id="5"/>
        </w:p>
      </w:sdtContent>
    </w:sdt>
    <w:sdt>
      <w:sdtPr>
        <w:rPr>
          <w:rFonts w:hint="eastAsia"/>
          <w:b w:val="0"/>
          <w:bCs w:val="0"/>
          <w:kern w:val="2"/>
          <w:sz w:val="21"/>
          <w:szCs w:val="22"/>
        </w:rPr>
        <w:alias w:val="模块:纳入评价范围的主要单位"/>
        <w:tag w:val="_SEC_3d3a68b60d594a77bbd9fdad987e2de2"/>
        <w:id w:val="-1393967332"/>
        <w:lock w:val="sdtLocked"/>
        <w:placeholder>
          <w:docPart w:val="GBC22222222222222222222222222222"/>
        </w:placeholder>
      </w:sdtPr>
      <w:sdtEndPr>
        <w:rPr>
          <w:rFonts w:hint="eastAsia"/>
          <w:b w:val="0"/>
          <w:bCs w:val="0"/>
          <w:kern w:val="2"/>
          <w:sz w:val="21"/>
          <w:szCs w:val="22"/>
        </w:rPr>
      </w:sdtEndPr>
      <w:sdtContent>
        <w:p>
          <w:pPr>
            <w:pStyle w:val="2"/>
          </w:pPr>
          <w:r>
            <w:rPr>
              <w:rFonts w:hint="eastAsia"/>
            </w:rPr>
            <w:t>内部控制评价工作情况</w:t>
          </w:r>
        </w:p>
        <w:p>
          <w:pPr>
            <w:pStyle w:val="3"/>
            <w:numPr>
              <w:ilvl w:val="0"/>
              <w:numId w:val="3"/>
            </w:numPr>
            <w:spacing w:line="240" w:lineRule="auto"/>
          </w:pPr>
          <w:r>
            <w:rPr>
              <w:rFonts w:hint="eastAsia"/>
            </w:rPr>
            <w:t>内部控制评价范围</w:t>
          </w:r>
        </w:p>
        <w:p>
          <w:pPr>
            <w:autoSpaceDE w:val="0"/>
            <w:autoSpaceDN w:val="0"/>
            <w:ind w:firstLine="420" w:firstLineChars="200"/>
            <w:jc w:val="left"/>
            <w:textAlignment w:val="baseline"/>
            <w:rPr>
              <w:rFonts w:ascii="宋体" w:hAnsi="宋体" w:eastAsia="宋体"/>
              <w:color w:val="000000"/>
              <w:szCs w:val="21"/>
            </w:rPr>
          </w:pPr>
          <w:r>
            <w:rPr>
              <w:rFonts w:hint="eastAsia" w:ascii="宋体" w:hAnsi="宋体" w:eastAsia="宋体"/>
              <w:color w:val="000000"/>
              <w:szCs w:val="21"/>
            </w:rPr>
            <w:t>公司按照风险导向原则确定纳入评价范围的主要单位、业务和事项以及高风险领域。</w:t>
          </w:r>
        </w:p>
        <w:sdt>
          <w:sdtPr>
            <w:rPr>
              <w:rFonts w:hint="eastAsia"/>
              <w:shd w:val="solid" w:color="FFFFFF" w:fill="auto"/>
            </w:rPr>
            <w:tag w:val="_SEC_e8f2b42c247c4950b122cae0f6aaa592"/>
            <w:id w:val="-1797746852"/>
            <w:lock w:val="sdtLocked"/>
            <w:placeholder>
              <w:docPart w:val="GBC22222222222222222222222222222"/>
            </w:placeholder>
          </w:sdtPr>
          <w:sdtEndPr>
            <w:rPr>
              <w:rFonts w:hint="eastAsia"/>
              <w:shd w:val="clear" w:color="auto" w:fill="auto"/>
            </w:rPr>
          </w:sdtEndPr>
          <w:sdtContent>
            <w:p>
              <w:pPr>
                <w:pStyle w:val="4"/>
                <w:numPr>
                  <w:ilvl w:val="0"/>
                  <w:numId w:val="4"/>
                </w:numPr>
                <w:spacing w:line="240" w:lineRule="auto"/>
                <w:ind w:left="0" w:firstLine="0"/>
                <w:rPr>
                  <w:b w:val="0"/>
                </w:rPr>
              </w:pPr>
              <w:r>
                <w:rPr>
                  <w:rFonts w:hint="eastAsia"/>
                </w:rPr>
                <w:t>纳入评价范围的主要单</w:t>
              </w:r>
              <w:r>
                <w:rPr>
                  <w:rFonts w:hint="eastAsia" w:ascii="宋体" w:hAnsi="宋体"/>
                </w:rPr>
                <w:t>位包括：</w:t>
              </w:r>
              <w:sdt>
                <w:sdtPr>
                  <w:rPr>
                    <w:rFonts w:hint="eastAsia" w:ascii="宋体" w:hAnsi="宋体"/>
                    <w:b w:val="0"/>
                  </w:rPr>
                  <w:alias w:val="纳入评价范围的主要单位"/>
                  <w:tag w:val="_GBC_3d271443a17a45079abe94994da45610"/>
                  <w:id w:val="-1026250530"/>
                  <w:lock w:val="sdtLocked"/>
                  <w:placeholder>
                    <w:docPart w:val="GBC22222222222222222222222222222"/>
                  </w:placeholder>
                </w:sdtPr>
                <w:sdtEndPr>
                  <w:rPr>
                    <w:rFonts w:hint="eastAsia" w:ascii="宋体" w:hAnsi="宋体"/>
                    <w:b w:val="0"/>
                  </w:rPr>
                </w:sdtEndPr>
                <w:sdtContent>
                  <w:sdt>
                    <w:sdtPr>
                      <w:rPr>
                        <w:rFonts w:hint="eastAsia" w:ascii="宋体" w:hAnsi="宋体"/>
                        <w:b w:val="0"/>
                      </w:rPr>
                      <w:alias w:val="纳入评价范围的主要单位"/>
                      <w:tag w:val="_GBC_3d271443a17a45079abe94994da45610"/>
                      <w:id w:val="-1026250530"/>
                      <w:lock w:val="sdtLocked"/>
                      <w:placeholder>
                        <w:docPart w:val="{7d5aa4c6-7a3a-49b6-8769-3ddc7af0fd5d}"/>
                      </w:placeholder>
                    </w:sdtPr>
                    <w:sdtEndPr>
                      <w:rPr>
                        <w:rFonts w:hint="eastAsia" w:ascii="宋体" w:hAnsi="宋体"/>
                        <w:b w:val="0"/>
                      </w:rPr>
                    </w:sdtEndPr>
                    <w:sdtContent>
                      <w:r>
                        <w:rPr>
                          <w:rFonts w:hint="eastAsia" w:ascii="宋体" w:hAnsi="宋体"/>
                          <w:b w:val="0"/>
                        </w:rPr>
                        <w:t>公司所有主要业务及管理部门、各分支机构及并表附属机构。</w:t>
                      </w:r>
                    </w:sdtContent>
                  </w:sdt>
                </w:sdtContent>
              </w:sdt>
            </w:p>
          </w:sdtContent>
        </w:sdt>
        <w:p/>
      </w:sdtContent>
    </w:sdt>
    <w:sdt>
      <w:sdtPr>
        <w:rPr>
          <w:rFonts w:hint="eastAsia" w:eastAsiaTheme="minorEastAsia"/>
          <w:b w:val="0"/>
          <w:bCs w:val="0"/>
          <w:szCs w:val="22"/>
        </w:rPr>
        <w:alias w:val="模块:纳入评价范围的单位占比"/>
        <w:tag w:val="_SEC_7387372f4d884cdfa361ab83758cba5b"/>
        <w:id w:val="-1182741010"/>
        <w:lock w:val="sdtLocked"/>
        <w:placeholder>
          <w:docPart w:val="GBC22222222222222222222222222222"/>
        </w:placeholder>
      </w:sdtPr>
      <w:sdtEndPr>
        <w:rPr>
          <w:rFonts w:hint="eastAsia" w:eastAsiaTheme="minorEastAsia"/>
          <w:b w:val="0"/>
          <w:bCs w:val="0"/>
          <w:szCs w:val="22"/>
        </w:rPr>
      </w:sdtEndPr>
      <w:sdtContent>
        <w:p>
          <w:pPr>
            <w:pStyle w:val="4"/>
            <w:numPr>
              <w:ilvl w:val="0"/>
              <w:numId w:val="4"/>
            </w:numPr>
            <w:spacing w:line="240" w:lineRule="auto"/>
          </w:pPr>
          <w:r>
            <w:rPr>
              <w:rFonts w:hint="eastAsia"/>
            </w:rPr>
            <w:t>纳入评价范围的单位占比：</w:t>
          </w:r>
        </w:p>
        <w:tbl>
          <w:tblPr>
            <w:tblStyle w:val="14"/>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080"/>
            <w:gridCol w:w="24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sdt>
              <w:sdtPr>
                <w:tag w:val="_PLD_4c6d06491f11466fbaa428ef34065a88"/>
                <w:id w:val="1565442482"/>
                <w:lock w:val="sdtLocked"/>
              </w:sdtPr>
              <w:sdtContent>
                <w:tc>
                  <w:tcPr>
                    <w:tcW w:w="3699" w:type="pct"/>
                    <w:shd w:val="clear" w:color="auto" w:fill="D8D8D8" w:themeFill="background1" w:themeFillShade="D9"/>
                    <w:vAlign w:val="center"/>
                  </w:tcPr>
                  <w:p>
                    <w:pPr>
                      <w:autoSpaceDE w:val="0"/>
                      <w:autoSpaceDN w:val="0"/>
                      <w:jc w:val="center"/>
                      <w:textAlignment w:val="baseline"/>
                      <w:rPr>
                        <w:rFonts w:ascii="宋体" w:hAnsi="宋体" w:eastAsia="宋体"/>
                        <w:color w:val="000000"/>
                        <w:szCs w:val="21"/>
                      </w:rPr>
                    </w:pPr>
                    <w:r>
                      <w:rPr>
                        <w:rFonts w:hint="eastAsia" w:ascii="宋体" w:hAnsi="宋体" w:eastAsia="宋体"/>
                        <w:color w:val="000000"/>
                        <w:szCs w:val="21"/>
                      </w:rPr>
                      <w:t>指标</w:t>
                    </w:r>
                  </w:p>
                </w:tc>
              </w:sdtContent>
            </w:sdt>
            <w:sdt>
              <w:sdtPr>
                <w:tag w:val="_PLD_4746fadbb06c48c48abaf66db717ceb8"/>
                <w:id w:val="904718212"/>
                <w:lock w:val="sdtLocked"/>
              </w:sdtPr>
              <w:sdtContent>
                <w:tc>
                  <w:tcPr>
                    <w:tcW w:w="1301" w:type="pct"/>
                    <w:shd w:val="clear" w:color="auto" w:fill="D8D8D8" w:themeFill="background1" w:themeFillShade="D9"/>
                    <w:vAlign w:val="center"/>
                  </w:tcPr>
                  <w:p>
                    <w:pPr>
                      <w:autoSpaceDE w:val="0"/>
                      <w:autoSpaceDN w:val="0"/>
                      <w:jc w:val="center"/>
                      <w:textAlignment w:val="baseline"/>
                      <w:rPr>
                        <w:rFonts w:ascii="宋体" w:hAnsi="宋体" w:eastAsia="宋体"/>
                        <w:szCs w:val="21"/>
                      </w:rPr>
                    </w:pPr>
                    <w:r>
                      <w:rPr>
                        <w:rFonts w:hint="eastAsia" w:ascii="宋体" w:hAnsi="宋体" w:eastAsia="宋体"/>
                        <w:szCs w:val="21"/>
                      </w:rPr>
                      <w:t>占比（%）</w:t>
                    </w:r>
                  </w:p>
                </w:tc>
              </w:sdtContent>
            </w:sdt>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sdt>
              <w:sdtPr>
                <w:tag w:val="_PLD_cb5508a9a2d444d48e471e70dbdb62ed"/>
                <w:id w:val="539325993"/>
                <w:lock w:val="sdtLocked"/>
              </w:sdtPr>
              <w:sdtContent>
                <w:tc>
                  <w:tcPr>
                    <w:tcW w:w="3699" w:type="pct"/>
                  </w:tcPr>
                  <w:p>
                    <w:pPr>
                      <w:autoSpaceDE w:val="0"/>
                      <w:autoSpaceDN w:val="0"/>
                      <w:textAlignment w:val="baseline"/>
                      <w:rPr>
                        <w:rFonts w:ascii="宋体" w:hAnsi="宋体" w:eastAsia="宋体"/>
                        <w:color w:val="000000"/>
                        <w:szCs w:val="21"/>
                      </w:rPr>
                    </w:pPr>
                    <w:r>
                      <w:rPr>
                        <w:rFonts w:hint="eastAsia" w:ascii="宋体" w:hAnsi="宋体" w:eastAsia="宋体"/>
                        <w:color w:val="000000"/>
                        <w:szCs w:val="21"/>
                      </w:rPr>
                      <w:t>纳入评价范围单位的资产总额占公司合并财务报表资产总额之比</w:t>
                    </w:r>
                  </w:p>
                </w:tc>
              </w:sdtContent>
            </w:sdt>
            <w:tc>
              <w:tcPr>
                <w:tcW w:w="1301" w:type="pct"/>
              </w:tcPr>
              <w:p>
                <w:pPr>
                  <w:autoSpaceDE w:val="0"/>
                  <w:autoSpaceDN w:val="0"/>
                  <w:jc w:val="right"/>
                  <w:textAlignment w:val="baseline"/>
                  <w:rPr>
                    <w:rFonts w:hint="default" w:ascii="宋体" w:hAnsi="宋体" w:eastAsia="宋体"/>
                    <w:szCs w:val="21"/>
                    <w:lang w:val="en-US" w:eastAsia="zh-CN"/>
                  </w:rPr>
                </w:pPr>
                <w:r>
                  <w:rPr>
                    <w:rFonts w:hint="eastAsia" w:ascii="宋体" w:hAnsi="宋体" w:eastAsia="宋体"/>
                    <w:szCs w:val="21"/>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sdt>
              <w:sdtPr>
                <w:tag w:val="_PLD_9f08493098f849a6b694652505bc4707"/>
                <w:id w:val="1816071634"/>
                <w:lock w:val="sdtLocked"/>
              </w:sdtPr>
              <w:sdtContent>
                <w:tc>
                  <w:tcPr>
                    <w:tcW w:w="3699" w:type="pct"/>
                  </w:tcPr>
                  <w:p>
                    <w:pPr>
                      <w:autoSpaceDE w:val="0"/>
                      <w:autoSpaceDN w:val="0"/>
                      <w:textAlignment w:val="baseline"/>
                      <w:rPr>
                        <w:rFonts w:ascii="宋体" w:hAnsi="宋体" w:eastAsia="宋体"/>
                        <w:color w:val="000000"/>
                        <w:szCs w:val="21"/>
                      </w:rPr>
                    </w:pPr>
                    <w:r>
                      <w:rPr>
                        <w:rFonts w:hint="eastAsia" w:ascii="宋体" w:hAnsi="宋体" w:eastAsia="宋体"/>
                        <w:color w:val="000000"/>
                        <w:szCs w:val="21"/>
                      </w:rPr>
                      <w:t>纳入评价范围单位的营业收入合计占公司合并财务报表营业收入总额之比</w:t>
                    </w:r>
                  </w:p>
                </w:tc>
              </w:sdtContent>
            </w:sdt>
            <w:tc>
              <w:tcPr>
                <w:tcW w:w="1301" w:type="pct"/>
              </w:tcPr>
              <w:p>
                <w:pPr>
                  <w:autoSpaceDE w:val="0"/>
                  <w:autoSpaceDN w:val="0"/>
                  <w:jc w:val="right"/>
                  <w:textAlignment w:val="baseline"/>
                  <w:rPr>
                    <w:rFonts w:hint="default" w:ascii="宋体" w:hAnsi="宋体" w:eastAsia="宋体"/>
                    <w:szCs w:val="21"/>
                    <w:lang w:val="en-US" w:eastAsia="zh-CN"/>
                  </w:rPr>
                </w:pPr>
                <w:r>
                  <w:rPr>
                    <w:rFonts w:hint="eastAsia" w:ascii="宋体" w:hAnsi="宋体" w:eastAsia="宋体"/>
                    <w:szCs w:val="21"/>
                    <w:lang w:val="en-US" w:eastAsia="zh-CN"/>
                  </w:rPr>
                  <w:t>100</w:t>
                </w:r>
              </w:p>
            </w:tc>
          </w:tr>
        </w:tbl>
        <w:p/>
      </w:sdtContent>
    </w:sdt>
    <w:sdt>
      <w:sdtPr>
        <w:rPr>
          <w:rFonts w:hint="eastAsia" w:eastAsiaTheme="minorEastAsia"/>
          <w:b w:val="0"/>
          <w:bCs w:val="0"/>
          <w:szCs w:val="22"/>
        </w:rPr>
        <w:alias w:val="模块:纳入评价范围的主要业务和事项"/>
        <w:tag w:val="_SEC_b69b61b4f6af404099ea4903d8918fa0"/>
        <w:id w:val="1002320396"/>
        <w:lock w:val="sdtLocked"/>
        <w:placeholder>
          <w:docPart w:val="GBC22222222222222222222222222222"/>
        </w:placeholder>
      </w:sdtPr>
      <w:sdtEndPr>
        <w:rPr>
          <w:rFonts w:hint="eastAsia" w:eastAsiaTheme="minorEastAsia"/>
          <w:b w:val="0"/>
          <w:bCs w:val="0"/>
          <w:szCs w:val="22"/>
        </w:rPr>
      </w:sdtEndPr>
      <w:sdtContent>
        <w:p>
          <w:pPr>
            <w:pStyle w:val="4"/>
            <w:numPr>
              <w:ilvl w:val="0"/>
              <w:numId w:val="4"/>
            </w:numPr>
            <w:spacing w:line="240" w:lineRule="auto"/>
            <w:rPr>
              <w:i/>
              <w:color w:val="215968" w:themeColor="accent5" w:themeShade="80"/>
              <w:u w:val="single"/>
            </w:rPr>
          </w:pPr>
          <w:r>
            <w:rPr>
              <w:rFonts w:hint="eastAsia"/>
            </w:rPr>
            <w:t>纳入评价范围的主要业务和事项包括</w:t>
          </w:r>
          <w:r>
            <w:rPr>
              <w:rFonts w:hint="eastAsia"/>
              <w:b w:val="0"/>
            </w:rPr>
            <w:t>:</w:t>
          </w:r>
        </w:p>
        <w:sdt>
          <w:sdtPr>
            <w:alias w:val="纳入评价范围的主要业务和事项"/>
            <w:tag w:val="_GBC_44fccb025ece43a69d6ed1ea0587b81a"/>
            <w:id w:val="-1714188391"/>
            <w:lock w:val="sdtLocked"/>
            <w:placeholder>
              <w:docPart w:val="GBC22222222222222222222222222222"/>
            </w:placeholder>
          </w:sdtPr>
          <w:sdtContent>
            <w:sdt>
              <w:sdtPr>
                <w:alias w:val="纳入评价范围的主要业务和事项"/>
                <w:tag w:val="_GBC_44fccb025ece43a69d6ed1ea0587b81a"/>
                <w:id w:val="-1714188391"/>
                <w:lock w:val="sdtLocked"/>
                <w:placeholder>
                  <w:docPart w:val="{6ca814af-9fbf-43e4-8ee6-6c3035381ad0}"/>
                </w:placeholder>
              </w:sdtPr>
              <w:sdtContent>
                <w:p>
                  <w:pPr>
                    <w:ind w:firstLine="420" w:firstLineChars="200"/>
                  </w:pPr>
                  <w:r>
                    <w:rPr>
                      <w:rFonts w:hint="eastAsia"/>
                    </w:rPr>
                    <w:t>公司治理、人力资源、信息与沟通、内部监督、消费者权益保护等公司层面；信贷业务、运营管理、零售业务、国际业务、信用卡业务等业务流程层面；信息系统运行管理、信息安全管理、业务连续性管理等信息科技层面。</w:t>
                  </w:r>
                </w:p>
              </w:sdtContent>
            </w:sdt>
          </w:sdtContent>
        </w:sdt>
      </w:sdtContent>
    </w:sdt>
    <w:sdt>
      <w:sdtPr>
        <w:rPr>
          <w:rFonts w:hint="eastAsia" w:eastAsiaTheme="minorEastAsia"/>
          <w:b w:val="0"/>
          <w:bCs w:val="0"/>
          <w:szCs w:val="22"/>
        </w:rPr>
        <w:alias w:val="模块:重点关注的高风险领域"/>
        <w:tag w:val="_SEC_7fc92fc4777c4bfc877a16fdfec801e1"/>
        <w:id w:val="747319255"/>
        <w:lock w:val="sdtLocked"/>
        <w:placeholder>
          <w:docPart w:val="GBC22222222222222222222222222222"/>
        </w:placeholder>
      </w:sdtPr>
      <w:sdtEndPr>
        <w:rPr>
          <w:rFonts w:hint="eastAsia" w:eastAsiaTheme="minorEastAsia"/>
          <w:b w:val="0"/>
          <w:bCs w:val="0"/>
          <w:szCs w:val="22"/>
        </w:rPr>
      </w:sdtEndPr>
      <w:sdtContent>
        <w:p>
          <w:pPr>
            <w:pStyle w:val="4"/>
            <w:numPr>
              <w:ilvl w:val="0"/>
              <w:numId w:val="4"/>
            </w:numPr>
            <w:spacing w:line="240" w:lineRule="auto"/>
            <w:rPr>
              <w:i/>
              <w:color w:val="215968" w:themeColor="accent5" w:themeShade="80"/>
              <w:u w:val="single"/>
            </w:rPr>
          </w:pPr>
          <w:r>
            <w:rPr>
              <w:rFonts w:hint="eastAsia"/>
            </w:rPr>
            <w:t>重点关注的高风险领域主要包括：</w:t>
          </w:r>
        </w:p>
        <w:p>
          <w:pPr>
            <w:ind w:firstLine="420" w:firstLineChars="200"/>
            <w:rPr>
              <w:i/>
              <w:u w:val="single"/>
            </w:rPr>
          </w:pPr>
          <w:sdt>
            <w:sdtPr>
              <w:rPr>
                <w:rFonts w:hint="eastAsia"/>
              </w:rPr>
              <w:alias w:val="重点关注的高风险领域"/>
              <w:tag w:val="_GBC_cb02f6d61da84e36af1ed38a834255df"/>
              <w:id w:val="1350753031"/>
              <w:lock w:val="sdtLocked"/>
              <w:placeholder>
                <w:docPart w:val="GBC22222222222222222222222222222"/>
              </w:placeholder>
            </w:sdtPr>
            <w:sdtEndPr>
              <w:rPr>
                <w:rFonts w:hint="eastAsia"/>
              </w:rPr>
            </w:sdtEndPr>
            <w:sdtContent>
              <w:sdt>
                <w:sdtPr>
                  <w:rPr>
                    <w:rFonts w:hint="eastAsia"/>
                  </w:rPr>
                  <w:alias w:val="重点关注的高风险领域"/>
                  <w:tag w:val="_GBC_cb02f6d61da84e36af1ed38a834255df"/>
                  <w:id w:val="1350753031"/>
                  <w:lock w:val="sdtLocked"/>
                  <w:placeholder>
                    <w:docPart w:val="{c5ff41f7-7c55-4140-8480-2c299f780efa}"/>
                  </w:placeholder>
                </w:sdtPr>
                <w:sdtEndPr>
                  <w:rPr>
                    <w:rFonts w:hint="eastAsia"/>
                  </w:rPr>
                </w:sdtEndPr>
                <w:sdtContent>
                  <w:r>
                    <w:rPr>
                      <w:rFonts w:hint="eastAsia"/>
                    </w:rPr>
                    <w:t>信贷业务</w:t>
                  </w:r>
                  <w:r>
                    <w:rPr>
                      <w:rFonts w:hint="eastAsia"/>
                      <w:lang w:eastAsia="zh-CN"/>
                    </w:rPr>
                    <w:t>、</w:t>
                  </w:r>
                  <w:r>
                    <w:rPr>
                      <w:rFonts w:hint="eastAsia"/>
                    </w:rPr>
                    <w:t>反洗钱、消费者权益保护、信息安全管理等。</w:t>
                  </w:r>
                </w:sdtContent>
              </w:sdt>
            </w:sdtContent>
          </w:sdt>
        </w:p>
      </w:sdtContent>
    </w:sdt>
    <w:sdt>
      <w:sdtPr>
        <w:rPr>
          <w:rFonts w:hint="eastAsia"/>
        </w:rPr>
        <w:alias w:val="模块:上述纳入评价范围的单位、业务和事项以及高风险领域涵盖了公司经营管理的主要方面，是否存在重大遗漏标题"/>
        <w:tag w:val="_SEC_8f11172248dc4ce79a88e20aef2cd7ed"/>
        <w:id w:val="-2138481331"/>
        <w:lock w:val="sdtLocked"/>
        <w:placeholder>
          <w:docPart w:val="GBC22222222222222222222222222222"/>
        </w:placeholder>
      </w:sdtPr>
      <w:sdtEndPr>
        <w:rPr>
          <w:rFonts w:hint="eastAsia"/>
        </w:rPr>
      </w:sdtEndPr>
      <w:sdtContent>
        <w:p>
          <w:pPr>
            <w:pStyle w:val="4"/>
            <w:numPr>
              <w:ilvl w:val="0"/>
              <w:numId w:val="4"/>
            </w:numPr>
            <w:spacing w:line="240" w:lineRule="auto"/>
          </w:pPr>
          <w:r>
            <w:rPr>
              <w:rFonts w:hint="eastAsia"/>
            </w:rPr>
            <w:t>上述纳入评价范围的单位、业务和事项以及高风险领域涵盖了公司经营管理的主要方面，是否存在重大遗漏</w:t>
          </w:r>
        </w:p>
      </w:sdtContent>
    </w:sdt>
    <w:p>
      <w:pPr>
        <w:autoSpaceDE w:val="0"/>
        <w:autoSpaceDN w:val="0"/>
        <w:ind w:firstLine="420" w:firstLineChars="200"/>
        <w:textAlignment w:val="baseline"/>
        <w:outlineLvl w:val="9"/>
        <w:rPr>
          <w:rFonts w:ascii="宋体" w:hAnsi="宋体" w:eastAsia="宋体"/>
          <w:color w:val="000000"/>
          <w:szCs w:val="21"/>
        </w:rPr>
      </w:pPr>
      <w:sdt>
        <w:sdtPr>
          <w:rPr>
            <w:rFonts w:hint="eastAsia"/>
          </w:rPr>
          <w:alias w:val="评价范围是否存在重大遗漏[双击切换]"/>
          <w:tag w:val="_GBC_fd3aa79183944e5e8a7f5da7a54314ea"/>
          <w:id w:val="17940488"/>
          <w:lock w:val="sdtLocked"/>
          <w:placeholder>
            <w:docPart w:val="GBC22222222222222222222222222222"/>
          </w:placeholder>
        </w:sdtPr>
        <w:sdtEndPr>
          <w:rPr>
            <w:rFonts w:hint="eastAsia"/>
            <w:b/>
          </w:rPr>
        </w:sdtEndPr>
        <w:sdtContent>
          <w:r>
            <w:rPr>
              <w:rFonts w:ascii="宋体" w:hAnsi="宋体" w:eastAsia="宋体"/>
            </w:rPr>
            <w:fldChar w:fldCharType="begin"/>
          </w:r>
          <w:r>
            <w:rPr>
              <w:rFonts w:hint="eastAsia" w:ascii="宋体" w:hAnsi="宋体" w:eastAsia="宋体"/>
              <w:lang w:eastAsia="zh-CN"/>
            </w:rPr>
            <w:instrText xml:space="preserve"> MACROBUTTON  SnrToggleCheckbox □是 </w:instrText>
          </w:r>
          <w:r>
            <w:rPr>
              <w:rFonts w:ascii="宋体" w:hAnsi="宋体" w:eastAsia="宋体"/>
            </w:rPr>
            <w:fldChar w:fldCharType="end"/>
          </w:r>
          <w:r>
            <w:rPr>
              <w:rFonts w:ascii="宋体" w:hAnsi="宋体" w:eastAsia="宋体"/>
            </w:rPr>
            <w:fldChar w:fldCharType="begin"/>
          </w:r>
          <w:r>
            <w:rPr>
              <w:rFonts w:hint="eastAsia" w:ascii="宋体" w:hAnsi="宋体" w:eastAsia="宋体"/>
              <w:lang w:eastAsia="zh-CN"/>
            </w:rPr>
            <w:instrText xml:space="preserve"> MACROBUTTON  SnrToggleCheckbox √否 </w:instrText>
          </w:r>
          <w:r>
            <w:rPr>
              <w:rFonts w:ascii="宋体" w:hAnsi="宋体" w:eastAsia="宋体"/>
            </w:rPr>
            <w:fldChar w:fldCharType="end"/>
          </w:r>
        </w:sdtContent>
      </w:sdt>
    </w:p>
    <w:sdt>
      <w:sdtPr>
        <w:rPr>
          <w:rFonts w:hint="eastAsia" w:ascii="宋体" w:hAnsi="宋体" w:eastAsiaTheme="minorEastAsia"/>
          <w:b w:val="0"/>
          <w:bCs w:val="0"/>
          <w:color w:val="000000"/>
          <w:szCs w:val="21"/>
        </w:rPr>
        <w:alias w:val="模块:法定豁免"/>
        <w:tag w:val="_SEC_0934c372948c47c092c8070e3f049c7b"/>
        <w:id w:val="791101504"/>
        <w:placeholder>
          <w:docPart w:val="GBC22222222222222222222222222222"/>
        </w:placeholder>
      </w:sdtPr>
      <w:sdtEndPr>
        <w:rPr>
          <w:rFonts w:hint="eastAsia" w:ascii="宋体" w:hAnsi="宋体" w:eastAsiaTheme="minorEastAsia"/>
          <w:b w:val="0"/>
          <w:bCs w:val="0"/>
          <w:color w:val="000000"/>
          <w:szCs w:val="21"/>
        </w:rPr>
      </w:sdtEndPr>
      <w:sdtContent>
        <w:p>
          <w:pPr>
            <w:pStyle w:val="4"/>
            <w:numPr>
              <w:ilvl w:val="0"/>
              <w:numId w:val="4"/>
            </w:numPr>
            <w:spacing w:line="240" w:lineRule="auto"/>
            <w:rPr>
              <w:rFonts w:ascii="宋体" w:hAnsi="宋体"/>
              <w:b w:val="0"/>
              <w:color w:val="000000"/>
              <w:szCs w:val="21"/>
            </w:rPr>
          </w:pPr>
          <w:r>
            <w:rPr>
              <w:rFonts w:hint="eastAsia" w:ascii="宋体" w:hAnsi="宋体"/>
              <w:color w:val="000000"/>
              <w:szCs w:val="21"/>
            </w:rPr>
            <w:t>是否存在法定豁免</w:t>
          </w:r>
        </w:p>
        <w:sdt>
          <w:sdtPr>
            <w:rPr>
              <w:rFonts w:ascii="仿宋_GB2312" w:hAnsi="仿宋_GB2312" w:eastAsia="仿宋_GB2312"/>
              <w:color w:val="000000"/>
              <w:sz w:val="30"/>
            </w:rPr>
            <w:alias w:val="评价范围是否存在法定豁免[双击切换]"/>
            <w:tag w:val="_GBC_b8b633fb8c6e42068375344630558909"/>
            <w:id w:val="17940612"/>
            <w:placeholder>
              <w:docPart w:val="GBC22222222222222222222222222222"/>
            </w:placeholder>
          </w:sdtPr>
          <w:sdtEndPr>
            <w:rPr>
              <w:rFonts w:ascii="宋体" w:hAnsi="宋体" w:eastAsia="宋体"/>
              <w:color w:val="000000"/>
              <w:sz w:val="21"/>
              <w:szCs w:val="21"/>
            </w:rPr>
          </w:sdtEndPr>
          <w:sdtContent>
            <w:p>
              <w:pPr>
                <w:autoSpaceDE w:val="0"/>
                <w:autoSpaceDN w:val="0"/>
                <w:ind w:left="420" w:leftChars="200"/>
                <w:textAlignment w:val="baseline"/>
                <w:rPr>
                  <w:rFonts w:ascii="宋体" w:hAnsi="宋体" w:eastAsia="宋体"/>
                  <w:color w:val="000000"/>
                  <w:szCs w:val="21"/>
                </w:rPr>
              </w:pPr>
              <w:r>
                <w:rPr>
                  <w:rFonts w:ascii="宋体" w:hAnsi="宋体" w:eastAsia="宋体"/>
                  <w:color w:val="000000"/>
                  <w:szCs w:val="21"/>
                </w:rPr>
                <w:fldChar w:fldCharType="begin"/>
              </w:r>
              <w:r>
                <w:rPr>
                  <w:rFonts w:hint="eastAsia" w:ascii="宋体" w:hAnsi="宋体" w:eastAsia="宋体"/>
                  <w:color w:val="000000"/>
                  <w:szCs w:val="21"/>
                  <w:lang w:eastAsia="zh-CN"/>
                </w:rPr>
                <w:instrText xml:space="preserve"> MACROBUTTON  SnrToggleCheckbox □是 </w:instrText>
              </w:r>
              <w:r>
                <w:rPr>
                  <w:rFonts w:ascii="宋体" w:hAnsi="宋体" w:eastAsia="宋体"/>
                  <w:color w:val="000000"/>
                  <w:szCs w:val="21"/>
                </w:rPr>
                <w:fldChar w:fldCharType="end"/>
              </w:r>
              <w:r>
                <w:rPr>
                  <w:rFonts w:ascii="宋体" w:hAnsi="宋体" w:eastAsia="宋体"/>
                  <w:color w:val="000000"/>
                  <w:szCs w:val="21"/>
                </w:rPr>
                <w:fldChar w:fldCharType="begin"/>
              </w:r>
              <w:r>
                <w:rPr>
                  <w:rFonts w:hint="eastAsia" w:ascii="宋体" w:hAnsi="宋体" w:eastAsia="宋体"/>
                  <w:color w:val="000000"/>
                  <w:szCs w:val="21"/>
                  <w:lang w:eastAsia="zh-CN"/>
                </w:rPr>
                <w:instrText xml:space="preserve"> MACROBUTTON  SnrToggleCheckbox √否 </w:instrText>
              </w:r>
              <w:r>
                <w:rPr>
                  <w:rFonts w:ascii="宋体" w:hAnsi="宋体" w:eastAsia="宋体"/>
                  <w:color w:val="000000"/>
                  <w:szCs w:val="21"/>
                </w:rPr>
                <w:fldChar w:fldCharType="end"/>
              </w:r>
            </w:p>
          </w:sdtContent>
        </w:sdt>
        <w:p>
          <w:bookmarkStart w:id="6" w:name="_SEC_144283d54c234708b9bb42bb0cbaa0d3"/>
          <w:bookmarkEnd w:id="6"/>
        </w:p>
      </w:sdtContent>
    </w:sdt>
    <w:sdt>
      <w:sdtPr>
        <w:rPr>
          <w:rFonts w:hint="eastAsia" w:ascii="宋体" w:hAnsi="宋体" w:eastAsiaTheme="minorEastAsia"/>
          <w:b w:val="0"/>
          <w:bCs w:val="0"/>
          <w:color w:val="000000"/>
          <w:szCs w:val="21"/>
        </w:rPr>
        <w:alias w:val="模块:其他说明事项"/>
        <w:tag w:val="_SEC_506bb75e76e6481db06bce14cafe5c29"/>
        <w:id w:val="1930542291"/>
        <w:lock w:val="sdtLocked"/>
        <w:placeholder>
          <w:docPart w:val="GBC22222222222222222222222222222"/>
        </w:placeholder>
      </w:sdtPr>
      <w:sdtEndPr>
        <w:rPr>
          <w:rFonts w:hint="default" w:asciiTheme="minorHAnsi" w:hAnsiTheme="minorHAnsi" w:eastAsiaTheme="minorEastAsia"/>
          <w:b w:val="0"/>
          <w:bCs w:val="0"/>
          <w:color w:val="auto"/>
          <w:szCs w:val="22"/>
        </w:rPr>
      </w:sdtEndPr>
      <w:sdtContent>
        <w:p>
          <w:pPr>
            <w:pStyle w:val="4"/>
            <w:numPr>
              <w:ilvl w:val="0"/>
              <w:numId w:val="4"/>
            </w:numPr>
            <w:spacing w:line="240" w:lineRule="auto"/>
            <w:rPr>
              <w:rFonts w:ascii="宋体" w:hAnsi="宋体"/>
              <w:color w:val="000000"/>
              <w:szCs w:val="21"/>
            </w:rPr>
          </w:pPr>
          <w:r>
            <w:rPr>
              <w:rFonts w:hint="eastAsia" w:ascii="宋体" w:hAnsi="宋体"/>
              <w:color w:val="000000"/>
              <w:szCs w:val="21"/>
            </w:rPr>
            <w:t>其他</w:t>
          </w:r>
          <w:r>
            <w:rPr>
              <w:rFonts w:hint="eastAsia" w:ascii="宋体" w:hAnsi="宋体"/>
              <w:szCs w:val="21"/>
            </w:rPr>
            <w:t>说明</w:t>
          </w:r>
          <w:r>
            <w:rPr>
              <w:rFonts w:hint="eastAsia" w:ascii="宋体" w:hAnsi="宋体"/>
              <w:color w:val="000000"/>
              <w:szCs w:val="21"/>
            </w:rPr>
            <w:t>事项</w:t>
          </w:r>
        </w:p>
        <w:sdt>
          <w:sdtPr>
            <w:alias w:val="内部控制评价范围的其他事项"/>
            <w:tag w:val="_GBC_5187395bd9ef4091a17aa284b5b66f2c"/>
            <w:id w:val="-1550913250"/>
            <w:lock w:val="sdtLocked"/>
            <w:placeholder>
              <w:docPart w:val="GBC22222222222222222222222222222"/>
            </w:placeholder>
          </w:sdtPr>
          <w:sdtContent>
            <w:p>
              <w:pPr>
                <w:ind w:firstLine="420" w:firstLineChars="200"/>
              </w:pPr>
              <w:r>
                <w:rPr>
                  <w:rFonts w:hint="eastAsia"/>
                  <w:lang w:val="en-US" w:eastAsia="zh-CN"/>
                </w:rPr>
                <w:t>无</w:t>
              </w:r>
            </w:p>
          </w:sdtContent>
        </w:sdt>
      </w:sdtContent>
    </w:sdt>
    <w:sdt>
      <w:sdtPr>
        <w:rPr>
          <w:rFonts w:hint="eastAsia" w:asciiTheme="minorHAnsi" w:hAnsiTheme="minorHAnsi" w:eastAsiaTheme="minorEastAsia" w:cstheme="minorBidi"/>
          <w:b w:val="0"/>
          <w:bCs w:val="0"/>
          <w:szCs w:val="22"/>
        </w:rPr>
        <w:alias w:val="模块:内部控制评价工作依据及内部控制缺陷认定标准"/>
        <w:tag w:val="_SEC_82827dc9fa9c4954b79ddcc58d3d5d5b"/>
        <w:id w:val="1667975117"/>
        <w:lock w:val="sdtLocked"/>
        <w:placeholder>
          <w:docPart w:val="GBC22222222222222222222222222222"/>
        </w:placeholder>
      </w:sdtPr>
      <w:sdtEndPr>
        <w:rPr>
          <w:rFonts w:hint="eastAsia" w:ascii="宋体" w:hAnsi="宋体" w:eastAsiaTheme="minorEastAsia" w:cstheme="minorBidi"/>
          <w:b w:val="0"/>
          <w:bCs w:val="0"/>
          <w:color w:val="000000"/>
          <w:szCs w:val="21"/>
        </w:rPr>
      </w:sdtEndPr>
      <w:sdtContent>
        <w:p>
          <w:pPr>
            <w:pStyle w:val="3"/>
            <w:numPr>
              <w:ilvl w:val="0"/>
              <w:numId w:val="3"/>
            </w:numPr>
            <w:spacing w:line="240" w:lineRule="auto"/>
          </w:pPr>
          <w:r>
            <w:rPr>
              <w:rFonts w:hint="eastAsia"/>
            </w:rPr>
            <w:t>内部控制评价工作依据及内部控制缺陷认定标准</w:t>
          </w:r>
        </w:p>
        <w:p>
          <w:pPr>
            <w:autoSpaceDE w:val="0"/>
            <w:autoSpaceDN w:val="0"/>
            <w:ind w:firstLine="420" w:firstLineChars="200"/>
            <w:textAlignment w:val="baseline"/>
            <w:rPr>
              <w:rFonts w:ascii="宋体" w:hAnsi="宋体" w:eastAsia="宋体"/>
              <w:color w:val="000000"/>
              <w:szCs w:val="21"/>
            </w:rPr>
          </w:pPr>
          <w:r>
            <w:rPr>
              <w:rFonts w:hint="eastAsia" w:ascii="宋体" w:hAnsi="宋体" w:eastAsia="宋体"/>
              <w:color w:val="000000"/>
              <w:szCs w:val="21"/>
            </w:rPr>
            <w:t>公司依据企业内部控制规范体系及</w:t>
          </w:r>
          <w:sdt>
            <w:sdtPr>
              <w:rPr>
                <w:rFonts w:hint="eastAsia" w:ascii="宋体" w:hAnsi="宋体" w:eastAsia="宋体"/>
                <w:color w:val="000000"/>
                <w:szCs w:val="21"/>
              </w:rPr>
              <w:alias w:val="除企业内部控制规范体系之外的其他内部控制评价的依据"/>
              <w:tag w:val="_GBC_38239656a6e046fb952678060424d5bf"/>
              <w:id w:val="-662087956"/>
              <w:lock w:val="sdtLocked"/>
              <w:placeholder>
                <w:docPart w:val="GBC22222222222222222222222222222"/>
              </w:placeholder>
            </w:sdtPr>
            <w:sdtEndPr>
              <w:rPr>
                <w:rFonts w:hint="eastAsia" w:ascii="宋体" w:hAnsi="宋体" w:eastAsia="宋体"/>
                <w:color w:val="000000"/>
                <w:szCs w:val="21"/>
              </w:rPr>
            </w:sdtEndPr>
            <w:sdtContent>
              <w:sdt>
                <w:sdtPr>
                  <w:rPr>
                    <w:rFonts w:hint="eastAsia" w:ascii="宋体" w:hAnsi="宋体" w:eastAsia="宋体"/>
                    <w:color w:val="000000"/>
                    <w:szCs w:val="21"/>
                  </w:rPr>
                  <w:alias w:val="除企业内部控制规范体系之外的其他内部控制评价的依据"/>
                  <w:tag w:val="_GBC_38239656a6e046fb952678060424d5bf"/>
                  <w:id w:val="-662087956"/>
                  <w:lock w:val="sdtLocked"/>
                  <w:placeholder>
                    <w:docPart w:val="{9c7b2293-b4cb-4ac5-b93c-85c44866463e}"/>
                  </w:placeholder>
                </w:sdtPr>
                <w:sdtEndPr>
                  <w:rPr>
                    <w:rFonts w:hint="eastAsia" w:ascii="宋体" w:hAnsi="宋体" w:eastAsia="宋体"/>
                    <w:color w:val="000000"/>
                    <w:szCs w:val="21"/>
                  </w:rPr>
                </w:sdtEndPr>
                <w:sdtContent>
                  <w:r>
                    <w:rPr>
                      <w:rFonts w:hint="eastAsia" w:ascii="宋体" w:hAnsi="宋体" w:eastAsia="宋体"/>
                      <w:color w:val="000000"/>
                      <w:szCs w:val="21"/>
                    </w:rPr>
                    <w:t>《商业银行内部控制指引》以及公司相关规定</w:t>
                  </w:r>
                </w:sdtContent>
              </w:sdt>
            </w:sdtContent>
          </w:sdt>
          <w:r>
            <w:rPr>
              <w:rFonts w:hint="eastAsia" w:ascii="宋体" w:hAnsi="宋体" w:eastAsia="宋体"/>
              <w:color w:val="000000"/>
              <w:szCs w:val="21"/>
            </w:rPr>
            <w:t xml:space="preserve">，组织开展内部控制评价工作。 </w:t>
          </w:r>
        </w:p>
      </w:sdtContent>
    </w:sdt>
    <w:sdt>
      <w:sdtPr>
        <w:rPr>
          <w:rFonts w:hint="eastAsia" w:eastAsiaTheme="minorEastAsia"/>
          <w:b w:val="0"/>
          <w:bCs w:val="0"/>
          <w:szCs w:val="22"/>
        </w:rPr>
        <w:alias w:val="模块:内部控制缺陷具体认定标准是否与以前年度存在调整"/>
        <w:tag w:val="_SEC_adde78c537b749b495b39d30ca68a7b7"/>
        <w:id w:val="1629051371"/>
        <w:placeholder>
          <w:docPart w:val="GBC22222222222222222222222222222"/>
        </w:placeholder>
      </w:sdtPr>
      <w:sdtEndPr>
        <w:rPr>
          <w:rFonts w:hint="eastAsia" w:ascii="宋体" w:hAnsi="宋体" w:eastAsiaTheme="minorEastAsia"/>
          <w:b w:val="0"/>
          <w:bCs w:val="0"/>
          <w:color w:val="000000"/>
          <w:szCs w:val="21"/>
        </w:rPr>
      </w:sdtEndPr>
      <w:sdtContent>
        <w:p>
          <w:pPr>
            <w:pStyle w:val="4"/>
            <w:numPr>
              <w:ilvl w:val="0"/>
              <w:numId w:val="5"/>
            </w:numPr>
            <w:spacing w:line="240" w:lineRule="auto"/>
          </w:pPr>
          <w:r>
            <w:rPr>
              <w:rFonts w:hint="eastAsia"/>
            </w:rPr>
            <w:t>内部控制缺陷具体认定标准是否与以前年度存在调整</w:t>
          </w:r>
        </w:p>
        <w:p>
          <w:pPr>
            <w:autoSpaceDE w:val="0"/>
            <w:autoSpaceDN w:val="0"/>
            <w:ind w:left="420" w:leftChars="200"/>
            <w:textAlignment w:val="baseline"/>
            <w:rPr>
              <w:rFonts w:ascii="宋体" w:hAnsi="宋体" w:eastAsia="宋体"/>
              <w:color w:val="000000"/>
              <w:szCs w:val="21"/>
            </w:rPr>
          </w:pPr>
          <w:sdt>
            <w:sdtPr>
              <w:rPr>
                <w:rFonts w:hint="eastAsia" w:ascii="仿宋_GB2312" w:hAnsi="仿宋_GB2312" w:eastAsia="仿宋_GB2312"/>
                <w:color w:val="000000"/>
                <w:sz w:val="30"/>
              </w:rPr>
              <w:alias w:val="与以前年度相比，本年度是否变更调整了内部控制缺陷认定标准[双击切换]"/>
              <w:tag w:val="_GBC_62827533c70e4e90bf2ad2a83d8fae9f"/>
              <w:id w:val="17940527"/>
              <w:placeholder>
                <w:docPart w:val="GBC22222222222222222222222222222"/>
              </w:placeholder>
            </w:sdtPr>
            <w:sdtEndPr>
              <w:rPr>
                <w:rFonts w:hint="eastAsia" w:ascii="宋体" w:hAnsi="宋体" w:eastAsia="宋体"/>
                <w:color w:val="000000"/>
                <w:sz w:val="21"/>
                <w:szCs w:val="21"/>
              </w:rPr>
            </w:sdtEndPr>
            <w:sdtContent>
              <w:r>
                <w:rPr>
                  <w:rFonts w:ascii="宋体" w:hAnsi="宋体" w:eastAsia="宋体"/>
                  <w:color w:val="000000"/>
                  <w:szCs w:val="21"/>
                </w:rPr>
                <w:fldChar w:fldCharType="begin"/>
              </w:r>
              <w:r>
                <w:rPr>
                  <w:rFonts w:hint="eastAsia" w:ascii="宋体" w:hAnsi="宋体" w:eastAsia="宋体"/>
                  <w:color w:val="000000"/>
                  <w:szCs w:val="21"/>
                  <w:lang w:eastAsia="zh-CN"/>
                </w:rPr>
                <w:instrText xml:space="preserve"> MACROBUTTON  SnrToggleCheckbox □是 </w:instrText>
              </w:r>
              <w:r>
                <w:rPr>
                  <w:rFonts w:ascii="宋体" w:hAnsi="宋体" w:eastAsia="宋体"/>
                  <w:color w:val="000000"/>
                  <w:szCs w:val="21"/>
                </w:rPr>
                <w:fldChar w:fldCharType="end"/>
              </w:r>
              <w:r>
                <w:rPr>
                  <w:rFonts w:ascii="宋体" w:hAnsi="宋体" w:eastAsia="宋体"/>
                  <w:color w:val="000000"/>
                  <w:szCs w:val="21"/>
                </w:rPr>
                <w:fldChar w:fldCharType="begin"/>
              </w:r>
              <w:r>
                <w:rPr>
                  <w:rFonts w:hint="eastAsia" w:ascii="宋体" w:hAnsi="宋体" w:eastAsia="宋体"/>
                  <w:color w:val="000000"/>
                  <w:szCs w:val="21"/>
                  <w:lang w:eastAsia="zh-CN"/>
                </w:rPr>
                <w:instrText xml:space="preserve"> MACROBUTTON  SnrToggleCheckbox √否 </w:instrText>
              </w:r>
              <w:r>
                <w:rPr>
                  <w:rFonts w:ascii="宋体" w:hAnsi="宋体" w:eastAsia="宋体"/>
                  <w:color w:val="000000"/>
                  <w:szCs w:val="21"/>
                </w:rPr>
                <w:fldChar w:fldCharType="end"/>
              </w:r>
            </w:sdtContent>
          </w:sdt>
        </w:p>
        <w:p>
          <w:bookmarkStart w:id="7" w:name="_SEC_3dd73c2602b049188a004552105b7d80"/>
          <w:bookmarkEnd w:id="7"/>
        </w:p>
        <w:sdt>
          <w:sdtPr>
            <w:rPr>
              <w:rFonts w:hint="eastAsia" w:ascii="仿宋_GB2312" w:hAnsi="仿宋_GB2312" w:eastAsia="仿宋_GB2312"/>
              <w:color w:val="000000"/>
              <w:sz w:val="30"/>
            </w:rPr>
            <w:tag w:val="_SEC_e09ed3bc44b74f7fa23b9f704004bf98"/>
            <w:id w:val="17940635"/>
            <w:placeholder>
              <w:docPart w:val="GBC22222222222222222222222222222"/>
            </w:placeholder>
          </w:sdtPr>
          <w:sdtEndPr>
            <w:rPr>
              <w:rFonts w:hint="eastAsia" w:ascii="宋体" w:hAnsi="宋体" w:eastAsia="宋体"/>
              <w:color w:val="000000"/>
              <w:sz w:val="21"/>
              <w:szCs w:val="21"/>
            </w:rPr>
          </w:sdtEndPr>
          <w:sdtContent>
            <w:p>
              <w:pPr>
                <w:autoSpaceDE w:val="0"/>
                <w:autoSpaceDN w:val="0"/>
                <w:ind w:firstLine="426" w:firstLineChars="142"/>
                <w:textAlignment w:val="baseline"/>
                <w:rPr>
                  <w:rFonts w:ascii="宋体" w:hAnsi="宋体" w:eastAsia="宋体"/>
                  <w:color w:val="000000"/>
                  <w:szCs w:val="21"/>
                </w:rPr>
              </w:pPr>
              <w:r>
                <w:rPr>
                  <w:rFonts w:hint="eastAsia" w:ascii="宋体" w:hAnsi="宋体" w:eastAsia="宋体"/>
                  <w:color w:val="000000"/>
                  <w:szCs w:val="21"/>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w:t>
              </w:r>
            </w:p>
          </w:sdtContent>
        </w:sdt>
      </w:sdtContent>
    </w:sdt>
    <w:sdt>
      <w:sdtPr>
        <w:rPr>
          <w:rFonts w:hint="eastAsia" w:eastAsiaTheme="minorEastAsia"/>
          <w:b w:val="0"/>
          <w:bCs w:val="0"/>
          <w:szCs w:val="22"/>
        </w:rPr>
        <w:alias w:val="模块:财务报告内部控制缺陷认定标准"/>
        <w:tag w:val="_SEC_8b6340f46e2b48a9a37d84f9ef97fe44"/>
        <w:id w:val="463705595"/>
        <w:lock w:val="sdtLocked"/>
        <w:placeholder>
          <w:docPart w:val="GBC22222222222222222222222222222"/>
        </w:placeholder>
      </w:sdtPr>
      <w:sdtEndPr>
        <w:rPr>
          <w:rFonts w:hint="default" w:ascii="宋体" w:hAnsi="宋体" w:eastAsiaTheme="minorEastAsia"/>
          <w:b w:val="0"/>
          <w:bCs w:val="0"/>
          <w:color w:val="215968" w:themeColor="accent5" w:themeShade="80"/>
          <w:szCs w:val="21"/>
        </w:rPr>
      </w:sdtEndPr>
      <w:sdtContent>
        <w:p>
          <w:pPr>
            <w:pStyle w:val="4"/>
            <w:numPr>
              <w:ilvl w:val="0"/>
              <w:numId w:val="5"/>
            </w:numPr>
            <w:spacing w:line="240" w:lineRule="auto"/>
          </w:pPr>
          <w:r>
            <w:rPr>
              <w:rFonts w:hint="eastAsia"/>
            </w:rPr>
            <w:t>财务报告内部控制缺陷认定标准</w:t>
          </w:r>
        </w:p>
        <w:p>
          <w:pPr>
            <w:autoSpaceDE w:val="0"/>
            <w:autoSpaceDN w:val="0"/>
            <w:ind w:firstLine="420" w:firstLineChars="200"/>
            <w:textAlignment w:val="baseline"/>
            <w:rPr>
              <w:rFonts w:ascii="宋体" w:hAnsi="宋体" w:eastAsia="宋体"/>
              <w:color w:val="000000"/>
              <w:szCs w:val="21"/>
            </w:rPr>
          </w:pPr>
          <w:r>
            <w:rPr>
              <w:rFonts w:hint="eastAsia" w:ascii="宋体" w:hAnsi="宋体" w:eastAsia="宋体"/>
              <w:color w:val="000000"/>
              <w:szCs w:val="21"/>
            </w:rPr>
            <w:t>公司确定的</w:t>
          </w:r>
          <w:r>
            <w:rPr>
              <w:rFonts w:hint="eastAsia" w:ascii="宋体" w:hAnsi="宋体" w:eastAsia="宋体"/>
              <w:szCs w:val="21"/>
            </w:rPr>
            <w:t>财务报告</w:t>
          </w:r>
          <w:r>
            <w:rPr>
              <w:rFonts w:hint="eastAsia" w:ascii="宋体" w:hAnsi="宋体" w:eastAsia="宋体"/>
              <w:color w:val="000000"/>
              <w:szCs w:val="21"/>
            </w:rPr>
            <w:t>内部控制缺陷评价的定量标准如下：</w:t>
          </w:r>
        </w:p>
        <w:tbl>
          <w:tblPr>
            <w:tblStyle w:val="14"/>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85"/>
            <w:gridCol w:w="2563"/>
            <w:gridCol w:w="2563"/>
            <w:gridCol w:w="2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sdt>
              <w:sdtPr>
                <w:tag w:val="_PLD_d5328ea63515470f9a2fa9a2dc1c7b08"/>
                <w:id w:val="1881"/>
                <w:lock w:val="sdtLocked"/>
              </w:sdtPr>
              <w:sdtContent>
                <w:tc>
                  <w:tcPr>
                    <w:tcW w:w="985" w:type="pct"/>
                    <w:shd w:val="clear" w:color="auto" w:fill="D8D8D8" w:themeFill="background1" w:themeFillShade="D9"/>
                    <w:vAlign w:val="center"/>
                  </w:tcPr>
                  <w:p>
                    <w:pPr>
                      <w:jc w:val="center"/>
                      <w:rPr>
                        <w:rFonts w:ascii="宋体" w:hAnsi="宋体" w:eastAsia="宋体"/>
                        <w:szCs w:val="21"/>
                      </w:rPr>
                    </w:pPr>
                    <w:r>
                      <w:rPr>
                        <w:rFonts w:hint="eastAsia" w:ascii="宋体" w:hAnsi="宋体" w:eastAsia="宋体"/>
                        <w:szCs w:val="21"/>
                      </w:rPr>
                      <w:t>指标名称</w:t>
                    </w:r>
                  </w:p>
                </w:tc>
              </w:sdtContent>
            </w:sdt>
            <w:sdt>
              <w:sdtPr>
                <w:tag w:val="_PLD_eb34dd810a0148a6859f703c7d7b1aff"/>
                <w:id w:val="1882"/>
                <w:lock w:val="sdtLocked"/>
              </w:sdtPr>
              <w:sdtContent>
                <w:tc>
                  <w:tcPr>
                    <w:tcW w:w="1339" w:type="pct"/>
                    <w:shd w:val="clear" w:color="auto" w:fill="D8D8D8" w:themeFill="background1" w:themeFillShade="D9"/>
                    <w:vAlign w:val="center"/>
                  </w:tcPr>
                  <w:p>
                    <w:pPr>
                      <w:jc w:val="center"/>
                      <w:rPr>
                        <w:rFonts w:ascii="宋体" w:hAnsi="宋体" w:eastAsia="宋体"/>
                        <w:szCs w:val="21"/>
                      </w:rPr>
                    </w:pPr>
                    <w:r>
                      <w:rPr>
                        <w:rFonts w:hint="eastAsia" w:ascii="宋体" w:hAnsi="宋体" w:eastAsia="宋体"/>
                        <w:szCs w:val="21"/>
                      </w:rPr>
                      <w:t>重大缺陷定量标准</w:t>
                    </w:r>
                  </w:p>
                </w:tc>
              </w:sdtContent>
            </w:sdt>
            <w:sdt>
              <w:sdtPr>
                <w:tag w:val="_PLD_ddf758c3c73c46f099830fb3db3ac0ed"/>
                <w:id w:val="1883"/>
                <w:lock w:val="sdtLocked"/>
              </w:sdtPr>
              <w:sdtContent>
                <w:tc>
                  <w:tcPr>
                    <w:tcW w:w="1339" w:type="pct"/>
                    <w:shd w:val="clear" w:color="auto" w:fill="D8D8D8" w:themeFill="background1" w:themeFillShade="D9"/>
                    <w:vAlign w:val="center"/>
                  </w:tcPr>
                  <w:p>
                    <w:pPr>
                      <w:jc w:val="center"/>
                      <w:rPr>
                        <w:rFonts w:ascii="宋体" w:hAnsi="宋体" w:eastAsia="宋体"/>
                        <w:szCs w:val="21"/>
                      </w:rPr>
                    </w:pPr>
                    <w:r>
                      <w:rPr>
                        <w:rFonts w:hint="eastAsia" w:ascii="宋体" w:hAnsi="宋体" w:eastAsia="宋体"/>
                        <w:szCs w:val="21"/>
                      </w:rPr>
                      <w:t>重要缺陷定量标准</w:t>
                    </w:r>
                  </w:p>
                </w:tc>
              </w:sdtContent>
            </w:sdt>
            <w:sdt>
              <w:sdtPr>
                <w:tag w:val="_PLD_7c6a0fe4c95548018b25a27b6b7d30ac"/>
                <w:id w:val="1884"/>
                <w:lock w:val="sdtLocked"/>
              </w:sdtPr>
              <w:sdtContent>
                <w:tc>
                  <w:tcPr>
                    <w:tcW w:w="1338" w:type="pct"/>
                    <w:shd w:val="clear" w:color="auto" w:fill="D8D8D8" w:themeFill="background1" w:themeFillShade="D9"/>
                    <w:vAlign w:val="center"/>
                  </w:tcPr>
                  <w:p>
                    <w:pPr>
                      <w:jc w:val="center"/>
                      <w:rPr>
                        <w:rFonts w:ascii="宋体" w:hAnsi="宋体" w:eastAsia="宋体"/>
                        <w:szCs w:val="21"/>
                      </w:rPr>
                    </w:pPr>
                    <w:r>
                      <w:rPr>
                        <w:rFonts w:hint="eastAsia" w:ascii="宋体" w:hAnsi="宋体" w:eastAsia="宋体"/>
                        <w:szCs w:val="21"/>
                      </w:rPr>
                      <w:t>一般缺陷定量标准</w:t>
                    </w:r>
                  </w:p>
                </w:tc>
              </w:sdtContent>
            </w:sdt>
          </w:tr>
          <w:sdt>
            <w:sdtPr>
              <w:rPr>
                <w:rFonts w:hint="eastAsia" w:ascii="宋体" w:hAnsi="宋体" w:eastAsia="宋体"/>
                <w:szCs w:val="21"/>
              </w:rPr>
              <w:alias w:val="财务报告内部控制缺陷定量标准的量化指标明细"/>
              <w:tag w:val="_TUP_738b384554794c86bea89bf0ae45b57b"/>
              <w:id w:val="1885"/>
              <w:lock w:val="sdtLocked"/>
              <w:placeholder>
                <w:docPart w:val="{3fdbe6f8-6e4d-4914-9a60-83c8f6dedead}"/>
              </w:placeholder>
            </w:sdtPr>
            <w:sdtEndPr>
              <w:rPr>
                <w:rFonts w:hint="default" w:ascii="宋体" w:hAnsi="宋体" w:eastAsia="宋体"/>
                <w:szCs w:val="21"/>
              </w:rPr>
            </w:sdtEndPr>
            <w:sdtContent>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 w:type="pct"/>
                  </w:tcPr>
                  <w:p>
                    <w:pPr>
                      <w:rPr>
                        <w:rFonts w:ascii="宋体" w:hAnsi="宋体" w:eastAsia="宋体"/>
                        <w:szCs w:val="21"/>
                      </w:rPr>
                    </w:pPr>
                    <w:r>
                      <w:t>利润总额潜在错报金额</w:t>
                    </w:r>
                  </w:p>
                </w:tc>
                <w:tc>
                  <w:tcPr>
                    <w:tcW w:w="1339" w:type="pct"/>
                  </w:tcPr>
                  <w:p>
                    <w:pPr>
                      <w:rPr>
                        <w:rFonts w:ascii="宋体" w:hAnsi="宋体" w:eastAsia="宋体"/>
                        <w:szCs w:val="21"/>
                      </w:rPr>
                    </w:pPr>
                    <w:r>
                      <w:t>错报金额≥利润总额的5%</w:t>
                    </w:r>
                  </w:p>
                </w:tc>
                <w:tc>
                  <w:tcPr>
                    <w:tcW w:w="1339" w:type="pct"/>
                  </w:tcPr>
                  <w:p>
                    <w:pPr>
                      <w:rPr>
                        <w:rFonts w:ascii="宋体" w:hAnsi="宋体" w:eastAsia="宋体"/>
                        <w:szCs w:val="21"/>
                      </w:rPr>
                    </w:pPr>
                    <w:r>
                      <w:t>利润总额的3%≤错报金额＜利润总额5%</w:t>
                    </w:r>
                  </w:p>
                </w:tc>
                <w:tc>
                  <w:tcPr>
                    <w:tcW w:w="1338" w:type="pct"/>
                  </w:tcPr>
                  <w:p>
                    <w:pPr>
                      <w:rPr>
                        <w:rFonts w:ascii="宋体" w:hAnsi="宋体" w:eastAsia="宋体"/>
                        <w:szCs w:val="21"/>
                      </w:rPr>
                    </w:pPr>
                    <w:r>
                      <w:t>错报金额＜利润总额的3%</w:t>
                    </w:r>
                  </w:p>
                </w:tc>
              </w:tr>
            </w:sdtContent>
          </w:sdt>
          <w:sdt>
            <w:sdtPr>
              <w:rPr>
                <w:rFonts w:hint="eastAsia" w:ascii="宋体" w:hAnsi="宋体" w:eastAsia="宋体"/>
                <w:szCs w:val="21"/>
              </w:rPr>
              <w:alias w:val="财务报告内部控制缺陷定量标准的量化指标明细"/>
              <w:tag w:val="_TUP_738b384554794c86bea89bf0ae45b57b"/>
              <w:id w:val="1886"/>
              <w:lock w:val="sdtLocked"/>
              <w:placeholder>
                <w:docPart w:val="{3fdbe6f8-6e4d-4914-9a60-83c8f6dedead}"/>
              </w:placeholder>
            </w:sdtPr>
            <w:sdtEndPr>
              <w:rPr>
                <w:rFonts w:hint="default" w:ascii="宋体" w:hAnsi="宋体" w:eastAsia="宋体"/>
                <w:szCs w:val="21"/>
              </w:rPr>
            </w:sdtEndPr>
            <w:sdtContent>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 w:type="pct"/>
                  </w:tcPr>
                  <w:p>
                    <w:pPr>
                      <w:rPr>
                        <w:rFonts w:ascii="宋体" w:hAnsi="宋体" w:eastAsia="宋体"/>
                        <w:szCs w:val="21"/>
                      </w:rPr>
                    </w:pPr>
                    <w:r>
                      <w:t>资产总额潜在错报金额</w:t>
                    </w:r>
                  </w:p>
                </w:tc>
                <w:tc>
                  <w:tcPr>
                    <w:tcW w:w="1339" w:type="pct"/>
                  </w:tcPr>
                  <w:p>
                    <w:pPr>
                      <w:rPr>
                        <w:rFonts w:ascii="宋体" w:hAnsi="宋体" w:eastAsia="宋体"/>
                        <w:szCs w:val="21"/>
                      </w:rPr>
                    </w:pPr>
                    <w:r>
                      <w:t>错报金额≥资产总额的3%</w:t>
                    </w:r>
                  </w:p>
                </w:tc>
                <w:tc>
                  <w:tcPr>
                    <w:tcW w:w="1339" w:type="pct"/>
                  </w:tcPr>
                  <w:p>
                    <w:pPr>
                      <w:rPr>
                        <w:rFonts w:ascii="宋体" w:hAnsi="宋体" w:eastAsia="宋体"/>
                        <w:szCs w:val="21"/>
                      </w:rPr>
                    </w:pPr>
                    <w:r>
                      <w:t>资产总额的0.5%≤错报金额＜资产总额的3%</w:t>
                    </w:r>
                  </w:p>
                </w:tc>
                <w:tc>
                  <w:tcPr>
                    <w:tcW w:w="1338" w:type="pct"/>
                  </w:tcPr>
                  <w:p>
                    <w:pPr>
                      <w:rPr>
                        <w:rFonts w:ascii="宋体" w:hAnsi="宋体" w:eastAsia="宋体"/>
                        <w:szCs w:val="21"/>
                      </w:rPr>
                    </w:pPr>
                    <w:r>
                      <w:t>错报金额＜资产总额的0.5%</w:t>
                    </w:r>
                  </w:p>
                </w:tc>
              </w:tr>
            </w:sdtContent>
          </w:sdt>
          <w:sdt>
            <w:sdtPr>
              <w:rPr>
                <w:rFonts w:hint="eastAsia" w:ascii="宋体" w:hAnsi="宋体" w:eastAsia="宋体"/>
                <w:szCs w:val="21"/>
              </w:rPr>
              <w:alias w:val="财务报告内部控制缺陷定量标准的量化指标明细"/>
              <w:tag w:val="_TUP_738b384554794c86bea89bf0ae45b57b"/>
              <w:id w:val="1887"/>
              <w:lock w:val="sdtLocked"/>
              <w:placeholder>
                <w:docPart w:val="{3fdbe6f8-6e4d-4914-9a60-83c8f6dedead}"/>
              </w:placeholder>
            </w:sdtPr>
            <w:sdtEndPr>
              <w:rPr>
                <w:rFonts w:hint="default" w:ascii="宋体" w:hAnsi="宋体" w:eastAsia="宋体"/>
                <w:szCs w:val="21"/>
              </w:rPr>
            </w:sdtEndPr>
            <w:sdtContent>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 w:type="pct"/>
                  </w:tcPr>
                  <w:p>
                    <w:pPr>
                      <w:rPr>
                        <w:rFonts w:ascii="宋体" w:hAnsi="宋体" w:eastAsia="宋体"/>
                        <w:szCs w:val="21"/>
                      </w:rPr>
                    </w:pPr>
                    <w:r>
                      <w:t>营业收入潜在错报金额</w:t>
                    </w:r>
                  </w:p>
                </w:tc>
                <w:tc>
                  <w:tcPr>
                    <w:tcW w:w="1339" w:type="pct"/>
                  </w:tcPr>
                  <w:p>
                    <w:pPr>
                      <w:rPr>
                        <w:rFonts w:ascii="宋体" w:hAnsi="宋体" w:eastAsia="宋体"/>
                        <w:szCs w:val="21"/>
                      </w:rPr>
                    </w:pPr>
                    <w:r>
                      <w:t>错报金额≥营业收入总额的1%</w:t>
                    </w:r>
                  </w:p>
                </w:tc>
                <w:tc>
                  <w:tcPr>
                    <w:tcW w:w="1339" w:type="pct"/>
                  </w:tcPr>
                  <w:p>
                    <w:pPr>
                      <w:rPr>
                        <w:rFonts w:ascii="宋体" w:hAnsi="宋体" w:eastAsia="宋体"/>
                        <w:szCs w:val="21"/>
                      </w:rPr>
                    </w:pPr>
                    <w:r>
                      <w:t>营业收入总额的0.5%≤错报金额＜营业收入总额的1%</w:t>
                    </w:r>
                  </w:p>
                </w:tc>
                <w:tc>
                  <w:tcPr>
                    <w:tcW w:w="1338" w:type="pct"/>
                  </w:tcPr>
                  <w:p>
                    <w:pPr>
                      <w:rPr>
                        <w:rFonts w:ascii="宋体" w:hAnsi="宋体" w:eastAsia="宋体"/>
                        <w:szCs w:val="21"/>
                      </w:rPr>
                    </w:pPr>
                    <w:r>
                      <w:t>错报金额＜营业收入总额的0.5%</w:t>
                    </w:r>
                  </w:p>
                </w:tc>
              </w:tr>
            </w:sdtContent>
          </w:sdt>
          <w:sdt>
            <w:sdtPr>
              <w:rPr>
                <w:rFonts w:hint="eastAsia" w:ascii="宋体" w:hAnsi="宋体" w:eastAsia="宋体"/>
                <w:szCs w:val="21"/>
              </w:rPr>
              <w:alias w:val="财务报告内部控制缺陷定量标准的量化指标明细"/>
              <w:tag w:val="_TUP_738b384554794c86bea89bf0ae45b57b"/>
              <w:id w:val="1888"/>
              <w:lock w:val="sdtLocked"/>
              <w:placeholder>
                <w:docPart w:val="{3fdbe6f8-6e4d-4914-9a60-83c8f6dedead}"/>
              </w:placeholder>
            </w:sdtPr>
            <w:sdtEndPr>
              <w:rPr>
                <w:rFonts w:hint="default" w:ascii="宋体" w:hAnsi="宋体" w:eastAsia="宋体"/>
                <w:szCs w:val="21"/>
              </w:rPr>
            </w:sdtEndPr>
            <w:sdtContent>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 w:type="pct"/>
                  </w:tcPr>
                  <w:p>
                    <w:pPr>
                      <w:rPr>
                        <w:rFonts w:ascii="宋体" w:hAnsi="宋体" w:eastAsia="宋体"/>
                        <w:szCs w:val="21"/>
                      </w:rPr>
                    </w:pPr>
                    <w:r>
                      <w:t>所有者权益潜在错报金额</w:t>
                    </w:r>
                  </w:p>
                </w:tc>
                <w:tc>
                  <w:tcPr>
                    <w:tcW w:w="1339" w:type="pct"/>
                  </w:tcPr>
                  <w:p>
                    <w:pPr>
                      <w:rPr>
                        <w:rFonts w:ascii="宋体" w:hAnsi="宋体" w:eastAsia="宋体"/>
                        <w:szCs w:val="21"/>
                      </w:rPr>
                    </w:pPr>
                    <w:r>
                      <w:t>错报金额≥所有者权益总额的1%</w:t>
                    </w:r>
                  </w:p>
                </w:tc>
                <w:tc>
                  <w:tcPr>
                    <w:tcW w:w="1339" w:type="pct"/>
                  </w:tcPr>
                  <w:p>
                    <w:pPr>
                      <w:rPr>
                        <w:rFonts w:ascii="宋体" w:hAnsi="宋体" w:eastAsia="宋体"/>
                        <w:szCs w:val="21"/>
                      </w:rPr>
                    </w:pPr>
                    <w:r>
                      <w:t>所有者权益总额的0.5%≤错报金额＜所有者权益总额的1%</w:t>
                    </w:r>
                  </w:p>
                </w:tc>
                <w:tc>
                  <w:tcPr>
                    <w:tcW w:w="1338" w:type="pct"/>
                  </w:tcPr>
                  <w:p>
                    <w:pPr>
                      <w:rPr>
                        <w:rFonts w:ascii="宋体" w:hAnsi="宋体" w:eastAsia="宋体"/>
                        <w:szCs w:val="21"/>
                      </w:rPr>
                    </w:pPr>
                    <w:r>
                      <w:t>错报金额＜所有者权益总额的0.5%</w:t>
                    </w:r>
                  </w:p>
                </w:tc>
              </w:tr>
            </w:sdtContent>
          </w:sdt>
        </w:tbl>
        <w:p>
          <w:pPr>
            <w:autoSpaceDE w:val="0"/>
            <w:autoSpaceDN w:val="0"/>
            <w:textAlignment w:val="baseline"/>
            <w:rPr>
              <w:rFonts w:ascii="宋体" w:hAnsi="宋体" w:eastAsia="宋体"/>
              <w:szCs w:val="21"/>
            </w:rPr>
          </w:pPr>
          <w:r>
            <w:rPr>
              <w:rFonts w:hint="eastAsia" w:ascii="宋体" w:hAnsi="宋体" w:eastAsia="宋体"/>
              <w:szCs w:val="21"/>
            </w:rPr>
            <w:t>说明:</w:t>
          </w:r>
        </w:p>
        <w:sdt>
          <w:sdtPr>
            <w:rPr>
              <w:rFonts w:ascii="宋体" w:hAnsi="宋体" w:eastAsia="宋体"/>
              <w:szCs w:val="21"/>
            </w:rPr>
            <w:alias w:val="财务报告内部控制缺陷评价的定量标准的说明"/>
            <w:tag w:val="_GBC_14ecf7e646cb497487d77ce1c33acf85"/>
            <w:id w:val="-427042741"/>
            <w:lock w:val="sdtLocked"/>
            <w:placeholder>
              <w:docPart w:val="GBC22222222222222222222222222222"/>
            </w:placeholder>
          </w:sdtPr>
          <w:sdtEndPr>
            <w:rPr>
              <w:rFonts w:ascii="宋体" w:hAnsi="宋体" w:eastAsia="宋体"/>
              <w:color w:val="215968" w:themeColor="accent5" w:themeShade="80"/>
              <w:szCs w:val="21"/>
            </w:rPr>
          </w:sdtEndPr>
          <w:sdtContent>
            <w:p>
              <w:pPr>
                <w:autoSpaceDE w:val="0"/>
                <w:autoSpaceDN w:val="0"/>
                <w:textAlignment w:val="baseline"/>
                <w:rPr>
                  <w:rFonts w:ascii="宋体" w:hAnsi="宋体" w:eastAsia="宋体"/>
                  <w:color w:val="215968" w:themeColor="accent5" w:themeShade="80"/>
                  <w:szCs w:val="21"/>
                </w:rPr>
              </w:pPr>
              <w:r>
                <w:rPr>
                  <w:rFonts w:hint="eastAsia" w:ascii="宋体" w:hAnsi="宋体" w:eastAsia="宋体"/>
                  <w:szCs w:val="21"/>
                  <w:lang w:val="en-US" w:eastAsia="zh-CN"/>
                </w:rPr>
                <w:t>无</w:t>
              </w:r>
            </w:p>
          </w:sdtContent>
        </w:sdt>
      </w:sdtContent>
    </w:sdt>
    <w:sdt>
      <w:sdtPr>
        <w:rPr>
          <w:rFonts w:hint="eastAsia" w:ascii="宋体" w:hAnsi="宋体" w:eastAsia="宋体"/>
          <w:color w:val="000000"/>
          <w:szCs w:val="21"/>
        </w:rPr>
        <w:alias w:val="模块:公司确定的财务报告内部控制缺陷评价的定性标准如下"/>
        <w:tag w:val="_SEC_31fcbbc5f1c848878dd51cdd474b309b"/>
        <w:id w:val="-1557007734"/>
        <w:lock w:val="sdtLocked"/>
        <w:placeholder>
          <w:docPart w:val="GBC22222222222222222222222222222"/>
        </w:placeholder>
      </w:sdtPr>
      <w:sdtEndPr>
        <w:rPr>
          <w:rFonts w:hint="eastAsia" w:ascii="宋体" w:hAnsi="宋体" w:eastAsia="宋体"/>
          <w:color w:val="000000"/>
          <w:szCs w:val="21"/>
        </w:rPr>
      </w:sdtEndPr>
      <w:sdtContent>
        <w:p>
          <w:pPr>
            <w:autoSpaceDE w:val="0"/>
            <w:autoSpaceDN w:val="0"/>
            <w:ind w:firstLine="420" w:firstLineChars="200"/>
            <w:textAlignment w:val="baseline"/>
            <w:rPr>
              <w:rFonts w:ascii="宋体" w:hAnsi="宋体" w:eastAsia="宋体"/>
              <w:color w:val="000000"/>
              <w:szCs w:val="21"/>
            </w:rPr>
          </w:pPr>
          <w:r>
            <w:rPr>
              <w:rFonts w:hint="eastAsia" w:ascii="宋体" w:hAnsi="宋体" w:eastAsia="宋体"/>
              <w:color w:val="000000"/>
              <w:szCs w:val="21"/>
            </w:rPr>
            <w:t>公司确定的</w:t>
          </w:r>
          <w:r>
            <w:rPr>
              <w:rFonts w:hint="eastAsia" w:ascii="宋体" w:hAnsi="宋体" w:eastAsia="宋体"/>
              <w:szCs w:val="21"/>
            </w:rPr>
            <w:t>财务报告</w:t>
          </w:r>
          <w:r>
            <w:rPr>
              <w:rFonts w:hint="eastAsia" w:ascii="宋体" w:hAnsi="宋体" w:eastAsia="宋体"/>
              <w:color w:val="000000"/>
              <w:szCs w:val="21"/>
            </w:rPr>
            <w:t>内部控制缺陷评价的定性标准如下：</w:t>
          </w:r>
        </w:p>
        <w:tbl>
          <w:tblPr>
            <w:tblStyle w:val="14"/>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83"/>
            <w:gridCol w:w="76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sdt>
              <w:sdtPr>
                <w:tag w:val="_PLD_72681c8eac2e4de880db96322bc7c872"/>
                <w:id w:val="1894"/>
                <w:lock w:val="sdtLocked"/>
              </w:sdtPr>
              <w:sdtContent>
                <w:tc>
                  <w:tcPr>
                    <w:tcW w:w="984" w:type="pct"/>
                    <w:shd w:val="clear" w:color="auto" w:fill="D8D8D8" w:themeFill="background1" w:themeFillShade="D9"/>
                    <w:vAlign w:val="center"/>
                  </w:tcPr>
                  <w:p>
                    <w:pPr>
                      <w:jc w:val="center"/>
                      <w:rPr>
                        <w:rFonts w:ascii="宋体" w:hAnsi="宋体" w:eastAsia="宋体"/>
                        <w:szCs w:val="21"/>
                      </w:rPr>
                    </w:pPr>
                    <w:r>
                      <w:rPr>
                        <w:rFonts w:hint="eastAsia" w:ascii="宋体" w:hAnsi="宋体" w:eastAsia="宋体"/>
                        <w:szCs w:val="21"/>
                      </w:rPr>
                      <w:t>缺陷性质</w:t>
                    </w:r>
                  </w:p>
                </w:tc>
              </w:sdtContent>
            </w:sdt>
            <w:sdt>
              <w:sdtPr>
                <w:tag w:val="_PLD_5d13fab45ff04787b6a3f7355d2edda7"/>
                <w:id w:val="1895"/>
                <w:lock w:val="sdtLocked"/>
              </w:sdtPr>
              <w:sdtContent>
                <w:tc>
                  <w:tcPr>
                    <w:tcW w:w="4016" w:type="pct"/>
                    <w:shd w:val="clear" w:color="auto" w:fill="D8D8D8" w:themeFill="background1" w:themeFillShade="D9"/>
                    <w:vAlign w:val="center"/>
                  </w:tcPr>
                  <w:p>
                    <w:pPr>
                      <w:jc w:val="center"/>
                      <w:rPr>
                        <w:rFonts w:ascii="宋体" w:hAnsi="宋体" w:eastAsia="宋体"/>
                        <w:szCs w:val="21"/>
                      </w:rPr>
                    </w:pPr>
                    <w:r>
                      <w:rPr>
                        <w:rFonts w:hint="eastAsia" w:ascii="宋体" w:hAnsi="宋体" w:eastAsia="宋体"/>
                        <w:szCs w:val="21"/>
                      </w:rPr>
                      <w:t>定性标准</w:t>
                    </w:r>
                  </w:p>
                </w:tc>
              </w:sdtContent>
            </w:sdt>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sdt>
              <w:sdtPr>
                <w:tag w:val="_PLD_2a31df6014b04d2891d3ea8a23c3d545"/>
                <w:id w:val="1896"/>
                <w:lock w:val="sdtLocked"/>
              </w:sdtPr>
              <w:sdtContent>
                <w:tc>
                  <w:tcPr>
                    <w:tcW w:w="984" w:type="pct"/>
                  </w:tcPr>
                  <w:p>
                    <w:pPr>
                      <w:rPr>
                        <w:rFonts w:ascii="宋体" w:hAnsi="宋体" w:eastAsia="宋体"/>
                        <w:szCs w:val="21"/>
                      </w:rPr>
                    </w:pPr>
                    <w:r>
                      <w:rPr>
                        <w:rFonts w:hint="eastAsia" w:ascii="宋体" w:hAnsi="宋体" w:eastAsia="宋体"/>
                        <w:szCs w:val="21"/>
                      </w:rPr>
                      <w:t>重大缺陷</w:t>
                    </w:r>
                  </w:p>
                </w:tc>
              </w:sdtContent>
            </w:sdt>
            <w:tc>
              <w:tcPr>
                <w:tcW w:w="4016" w:type="pct"/>
              </w:tcPr>
              <w:p>
                <w:r>
                  <w:t>以下任一情况作为内部控制可能存在重大缺陷的认定标准：</w:t>
                </w:r>
              </w:p>
              <w:p>
                <w:pPr>
                  <w:numPr>
                    <w:ilvl w:val="0"/>
                    <w:numId w:val="6"/>
                  </w:numPr>
                  <w:rPr>
                    <w:rFonts w:ascii="宋体" w:hAnsi="宋体" w:eastAsia="宋体"/>
                    <w:szCs w:val="21"/>
                  </w:rPr>
                </w:pPr>
                <w:r>
                  <w:t>对已公布的财务报告进行更正</w:t>
                </w:r>
              </w:p>
              <w:p>
                <w:pPr>
                  <w:numPr>
                    <w:ilvl w:val="0"/>
                    <w:numId w:val="6"/>
                  </w:numPr>
                  <w:rPr>
                    <w:rFonts w:ascii="宋体" w:hAnsi="宋体" w:eastAsia="宋体"/>
                    <w:szCs w:val="21"/>
                  </w:rPr>
                </w:pPr>
                <w:r>
                  <w:t>注册会计师发现但未被内部控制识别的当期财务报告中的重大错报</w:t>
                </w:r>
              </w:p>
              <w:p>
                <w:pPr>
                  <w:numPr>
                    <w:ilvl w:val="0"/>
                    <w:numId w:val="6"/>
                  </w:numPr>
                  <w:rPr>
                    <w:rFonts w:ascii="宋体" w:hAnsi="宋体" w:eastAsia="宋体"/>
                    <w:szCs w:val="21"/>
                  </w:rPr>
                </w:pPr>
                <w:r>
                  <w:t>审计与消费者权益保护委员会和内审部门对财务报告内部控制的监督无效等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sdt>
              <w:sdtPr>
                <w:tag w:val="_PLD_a58f1bc032b04bf3b765f1ddcf44a041"/>
                <w:id w:val="1897"/>
                <w:lock w:val="sdtLocked"/>
              </w:sdtPr>
              <w:sdtContent>
                <w:tc>
                  <w:tcPr>
                    <w:tcW w:w="984" w:type="pct"/>
                  </w:tcPr>
                  <w:p>
                    <w:pPr>
                      <w:rPr>
                        <w:rFonts w:ascii="宋体" w:hAnsi="宋体" w:eastAsia="宋体"/>
                        <w:szCs w:val="21"/>
                      </w:rPr>
                    </w:pPr>
                    <w:r>
                      <w:rPr>
                        <w:rFonts w:hint="eastAsia" w:ascii="宋体" w:hAnsi="宋体" w:eastAsia="宋体"/>
                        <w:szCs w:val="21"/>
                      </w:rPr>
                      <w:t>重要缺陷</w:t>
                    </w:r>
                  </w:p>
                </w:tc>
              </w:sdtContent>
            </w:sdt>
            <w:tc>
              <w:tcPr>
                <w:tcW w:w="4016" w:type="pct"/>
              </w:tcPr>
              <w:p>
                <w:r>
                  <w:t>以下任一情况作为内部控制可能存在重要缺陷的认定标准：</w:t>
                </w:r>
              </w:p>
              <w:p>
                <w:pPr>
                  <w:numPr>
                    <w:ilvl w:val="0"/>
                    <w:numId w:val="7"/>
                  </w:numPr>
                </w:pPr>
                <w:r>
                  <w:t>未依照公认会计准则选择和应用会计政策或应用的控制无效</w:t>
                </w:r>
              </w:p>
              <w:p>
                <w:pPr>
                  <w:numPr>
                    <w:ilvl w:val="0"/>
                    <w:numId w:val="7"/>
                  </w:numPr>
                  <w:rPr>
                    <w:rFonts w:ascii="宋体" w:hAnsi="宋体" w:eastAsia="宋体"/>
                    <w:szCs w:val="21"/>
                  </w:rPr>
                </w:pPr>
                <w:r>
                  <w:t>未建立反舞弊程序和控制措施或控制无效</w:t>
                </w:r>
              </w:p>
              <w:p>
                <w:pPr>
                  <w:numPr>
                    <w:ilvl w:val="0"/>
                    <w:numId w:val="7"/>
                  </w:numPr>
                  <w:rPr>
                    <w:rFonts w:ascii="宋体" w:hAnsi="宋体" w:eastAsia="宋体"/>
                    <w:szCs w:val="21"/>
                  </w:rPr>
                </w:pPr>
                <w:r>
                  <w:t>沟通后的重要财务报告相关缺陷没有在合理的期间得到纠正</w:t>
                </w:r>
              </w:p>
              <w:p>
                <w:pPr>
                  <w:numPr>
                    <w:ilvl w:val="0"/>
                    <w:numId w:val="7"/>
                  </w:numPr>
                  <w:rPr>
                    <w:rFonts w:ascii="宋体" w:hAnsi="宋体" w:eastAsia="宋体"/>
                    <w:szCs w:val="21"/>
                  </w:rPr>
                </w:pPr>
                <w:r>
                  <w:t>对于期末财务报告过程的控制无效等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sdt>
              <w:sdtPr>
                <w:tag w:val="_PLD_74c65e3e213b40139965cbb791f28608"/>
                <w:id w:val="1898"/>
                <w:lock w:val="sdtLocked"/>
              </w:sdtPr>
              <w:sdtContent>
                <w:tc>
                  <w:tcPr>
                    <w:tcW w:w="984" w:type="pct"/>
                  </w:tcPr>
                  <w:p>
                    <w:pPr>
                      <w:rPr>
                        <w:rFonts w:ascii="宋体" w:hAnsi="宋体" w:eastAsia="宋体"/>
                        <w:szCs w:val="21"/>
                      </w:rPr>
                    </w:pPr>
                    <w:r>
                      <w:rPr>
                        <w:rFonts w:hint="eastAsia" w:ascii="宋体" w:hAnsi="宋体" w:eastAsia="宋体"/>
                        <w:szCs w:val="21"/>
                      </w:rPr>
                      <w:t>一般缺陷</w:t>
                    </w:r>
                  </w:p>
                </w:tc>
              </w:sdtContent>
            </w:sdt>
            <w:tc>
              <w:tcPr>
                <w:tcW w:w="4016" w:type="pct"/>
              </w:tcPr>
              <w:p>
                <w:pPr>
                  <w:rPr>
                    <w:rFonts w:ascii="宋体" w:hAnsi="宋体" w:eastAsia="宋体"/>
                    <w:szCs w:val="21"/>
                  </w:rPr>
                </w:pPr>
                <w:r>
                  <w:t>不构成财务报告相关重大缺陷和重要缺陷的内部控制缺陷</w:t>
                </w:r>
              </w:p>
            </w:tc>
          </w:tr>
        </w:tbl>
        <w:p>
          <w:pPr>
            <w:autoSpaceDE w:val="0"/>
            <w:autoSpaceDN w:val="0"/>
            <w:textAlignment w:val="baseline"/>
            <w:rPr>
              <w:rFonts w:ascii="宋体" w:hAnsi="宋体" w:eastAsia="宋体"/>
              <w:color w:val="000000"/>
              <w:szCs w:val="21"/>
            </w:rPr>
          </w:pPr>
          <w:r>
            <w:rPr>
              <w:rFonts w:hint="eastAsia" w:ascii="宋体" w:hAnsi="宋体" w:eastAsia="宋体"/>
              <w:color w:val="000000"/>
              <w:szCs w:val="21"/>
            </w:rPr>
            <w:t>说明：</w:t>
          </w:r>
        </w:p>
        <w:sdt>
          <w:sdtPr>
            <w:rPr>
              <w:rFonts w:hint="eastAsia" w:ascii="宋体" w:hAnsi="宋体" w:eastAsia="宋体"/>
              <w:color w:val="000000"/>
              <w:szCs w:val="21"/>
            </w:rPr>
            <w:alias w:val="财务报告内部控制缺陷评价的定性标准的说明"/>
            <w:tag w:val="_GBC_6c2aaff5e09549d986c25b90df23a227"/>
            <w:id w:val="1553114295"/>
            <w:lock w:val="sdtLocked"/>
            <w:placeholder>
              <w:docPart w:val="GBC22222222222222222222222222222"/>
            </w:placeholder>
          </w:sdtPr>
          <w:sdtEndPr>
            <w:rPr>
              <w:rFonts w:hint="eastAsia" w:ascii="宋体" w:hAnsi="宋体" w:eastAsia="宋体"/>
              <w:color w:val="000000"/>
              <w:szCs w:val="21"/>
            </w:rPr>
          </w:sdtEndPr>
          <w:sdtContent>
            <w:p>
              <w:pPr>
                <w:autoSpaceDE w:val="0"/>
                <w:autoSpaceDN w:val="0"/>
                <w:textAlignment w:val="baseline"/>
                <w:rPr>
                  <w:rFonts w:ascii="宋体" w:hAnsi="宋体" w:eastAsia="宋体"/>
                  <w:color w:val="000000"/>
                  <w:szCs w:val="21"/>
                </w:rPr>
              </w:pPr>
              <w:r>
                <w:rPr>
                  <w:rFonts w:hint="eastAsia" w:ascii="宋体" w:hAnsi="宋体" w:eastAsia="宋体"/>
                  <w:color w:val="000000"/>
                  <w:szCs w:val="21"/>
                  <w:lang w:val="en-US" w:eastAsia="zh-CN"/>
                </w:rPr>
                <w:t>无</w:t>
              </w:r>
            </w:p>
          </w:sdtContent>
        </w:sdt>
      </w:sdtContent>
    </w:sdt>
    <w:sdt>
      <w:sdtPr>
        <w:rPr>
          <w:rFonts w:hint="eastAsia" w:eastAsiaTheme="minorEastAsia"/>
          <w:b w:val="0"/>
          <w:bCs w:val="0"/>
          <w:szCs w:val="22"/>
        </w:rPr>
        <w:alias w:val="模块:非财务报告内部控制缺陷认定标准"/>
        <w:tag w:val="_SEC_ddebc6e76aa0421685cad03ccfa2cab8"/>
        <w:id w:val="-1176416933"/>
        <w:lock w:val="sdtLocked"/>
        <w:placeholder>
          <w:docPart w:val="GBC22222222222222222222222222222"/>
        </w:placeholder>
      </w:sdtPr>
      <w:sdtEndPr>
        <w:rPr>
          <w:rFonts w:hint="default" w:ascii="宋体" w:hAnsi="宋体" w:eastAsiaTheme="minorEastAsia"/>
          <w:b w:val="0"/>
          <w:bCs w:val="0"/>
          <w:szCs w:val="21"/>
        </w:rPr>
      </w:sdtEndPr>
      <w:sdtContent>
        <w:p>
          <w:pPr>
            <w:pStyle w:val="4"/>
            <w:numPr>
              <w:ilvl w:val="0"/>
              <w:numId w:val="5"/>
            </w:numPr>
            <w:spacing w:line="240" w:lineRule="auto"/>
          </w:pPr>
          <w:r>
            <w:rPr>
              <w:rFonts w:hint="eastAsia"/>
            </w:rPr>
            <w:t>非财务报告内部控制缺陷认定标准</w:t>
          </w:r>
        </w:p>
        <w:p>
          <w:pPr>
            <w:autoSpaceDE w:val="0"/>
            <w:autoSpaceDN w:val="0"/>
            <w:ind w:firstLine="420" w:firstLineChars="200"/>
            <w:textAlignment w:val="baseline"/>
            <w:rPr>
              <w:rFonts w:ascii="宋体" w:hAnsi="宋体" w:eastAsia="宋体"/>
              <w:color w:val="000000"/>
              <w:szCs w:val="21"/>
            </w:rPr>
          </w:pPr>
          <w:r>
            <w:rPr>
              <w:rFonts w:hint="eastAsia" w:ascii="宋体" w:hAnsi="宋体" w:eastAsia="宋体"/>
              <w:color w:val="000000"/>
              <w:szCs w:val="21"/>
            </w:rPr>
            <w:t>公司确定的非</w:t>
          </w:r>
          <w:r>
            <w:rPr>
              <w:rFonts w:hint="eastAsia" w:ascii="宋体" w:hAnsi="宋体" w:eastAsia="宋体"/>
              <w:szCs w:val="21"/>
            </w:rPr>
            <w:t>财务报告</w:t>
          </w:r>
          <w:r>
            <w:rPr>
              <w:rFonts w:hint="eastAsia" w:ascii="宋体" w:hAnsi="宋体" w:eastAsia="宋体"/>
              <w:color w:val="000000"/>
              <w:szCs w:val="21"/>
            </w:rPr>
            <w:t>内部控制缺陷评价的定量标准如下：</w:t>
          </w:r>
        </w:p>
        <w:tbl>
          <w:tblPr>
            <w:tblStyle w:val="14"/>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82"/>
            <w:gridCol w:w="2563"/>
            <w:gridCol w:w="2563"/>
            <w:gridCol w:w="25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sdt>
              <w:sdtPr>
                <w:tag w:val="_PLD_75d345366cb5468c8b9d21c68269f836"/>
                <w:id w:val="1905"/>
                <w:lock w:val="sdtLocked"/>
              </w:sdtPr>
              <w:sdtContent>
                <w:tc>
                  <w:tcPr>
                    <w:tcW w:w="983" w:type="pct"/>
                    <w:shd w:val="clear" w:color="auto" w:fill="D8D8D8" w:themeFill="background1" w:themeFillShade="D9"/>
                    <w:vAlign w:val="center"/>
                  </w:tcPr>
                  <w:p>
                    <w:pPr>
                      <w:jc w:val="center"/>
                      <w:rPr>
                        <w:rFonts w:ascii="宋体" w:hAnsi="宋体" w:eastAsia="宋体"/>
                        <w:szCs w:val="21"/>
                      </w:rPr>
                    </w:pPr>
                    <w:r>
                      <w:rPr>
                        <w:rFonts w:hint="eastAsia" w:ascii="宋体" w:hAnsi="宋体" w:eastAsia="宋体"/>
                        <w:szCs w:val="21"/>
                      </w:rPr>
                      <w:t>指标名称</w:t>
                    </w:r>
                  </w:p>
                </w:tc>
              </w:sdtContent>
            </w:sdt>
            <w:sdt>
              <w:sdtPr>
                <w:tag w:val="_PLD_eb30fac924da466c9ce8207bf90cb7f2"/>
                <w:id w:val="1906"/>
                <w:lock w:val="sdtLocked"/>
              </w:sdtPr>
              <w:sdtContent>
                <w:tc>
                  <w:tcPr>
                    <w:tcW w:w="1339" w:type="pct"/>
                    <w:shd w:val="clear" w:color="auto" w:fill="D8D8D8" w:themeFill="background1" w:themeFillShade="D9"/>
                    <w:vAlign w:val="center"/>
                  </w:tcPr>
                  <w:p>
                    <w:pPr>
                      <w:jc w:val="center"/>
                      <w:rPr>
                        <w:rFonts w:ascii="宋体" w:hAnsi="宋体" w:eastAsia="宋体"/>
                        <w:szCs w:val="21"/>
                      </w:rPr>
                    </w:pPr>
                    <w:r>
                      <w:rPr>
                        <w:rFonts w:hint="eastAsia" w:ascii="宋体" w:hAnsi="宋体" w:eastAsia="宋体"/>
                        <w:szCs w:val="21"/>
                      </w:rPr>
                      <w:t>重大缺陷定量标准</w:t>
                    </w:r>
                  </w:p>
                </w:tc>
              </w:sdtContent>
            </w:sdt>
            <w:sdt>
              <w:sdtPr>
                <w:tag w:val="_PLD_1abe9bc176494e5a8d10ed6aea261600"/>
                <w:id w:val="1907"/>
                <w:lock w:val="sdtLocked"/>
              </w:sdtPr>
              <w:sdtContent>
                <w:tc>
                  <w:tcPr>
                    <w:tcW w:w="1339" w:type="pct"/>
                    <w:shd w:val="clear" w:color="auto" w:fill="D8D8D8" w:themeFill="background1" w:themeFillShade="D9"/>
                    <w:vAlign w:val="center"/>
                  </w:tcPr>
                  <w:p>
                    <w:pPr>
                      <w:jc w:val="center"/>
                      <w:rPr>
                        <w:rFonts w:ascii="宋体" w:hAnsi="宋体" w:eastAsia="宋体"/>
                        <w:szCs w:val="21"/>
                      </w:rPr>
                    </w:pPr>
                    <w:r>
                      <w:rPr>
                        <w:rFonts w:hint="eastAsia" w:ascii="宋体" w:hAnsi="宋体" w:eastAsia="宋体"/>
                        <w:szCs w:val="21"/>
                      </w:rPr>
                      <w:t>重要缺陷定量标准</w:t>
                    </w:r>
                  </w:p>
                </w:tc>
              </w:sdtContent>
            </w:sdt>
            <w:sdt>
              <w:sdtPr>
                <w:tag w:val="_PLD_de71f059c4464f5690170f33589bf9b1"/>
                <w:id w:val="1908"/>
                <w:lock w:val="sdtLocked"/>
              </w:sdtPr>
              <w:sdtContent>
                <w:tc>
                  <w:tcPr>
                    <w:tcW w:w="1338" w:type="pct"/>
                    <w:shd w:val="clear" w:color="auto" w:fill="D8D8D8" w:themeFill="background1" w:themeFillShade="D9"/>
                    <w:vAlign w:val="center"/>
                  </w:tcPr>
                  <w:p>
                    <w:pPr>
                      <w:jc w:val="center"/>
                      <w:rPr>
                        <w:rFonts w:ascii="宋体" w:hAnsi="宋体" w:eastAsia="宋体"/>
                        <w:szCs w:val="21"/>
                      </w:rPr>
                    </w:pPr>
                    <w:r>
                      <w:rPr>
                        <w:rFonts w:hint="eastAsia" w:ascii="宋体" w:hAnsi="宋体" w:eastAsia="宋体"/>
                        <w:szCs w:val="21"/>
                      </w:rPr>
                      <w:t>一般缺陷定量标准</w:t>
                    </w:r>
                  </w:p>
                </w:tc>
              </w:sdtContent>
            </w:sdt>
          </w:tr>
          <w:sdt>
            <w:sdtPr>
              <w:rPr>
                <w:rFonts w:hint="eastAsia" w:ascii="宋体" w:hAnsi="宋体" w:eastAsia="宋体"/>
                <w:szCs w:val="21"/>
              </w:rPr>
              <w:alias w:val="非财务报告内部控制缺陷定量标准的量化指标明细"/>
              <w:tag w:val="_TUP_aa821d34213a42a0bd37d4dd86e65c31"/>
              <w:id w:val="1909"/>
              <w:lock w:val="sdtLocked"/>
              <w:placeholder>
                <w:docPart w:val="{28a7ff96-6ac0-4227-8351-7541840966b3}"/>
              </w:placeholder>
            </w:sdtPr>
            <w:sdtEndPr>
              <w:rPr>
                <w:rFonts w:hint="default" w:ascii="宋体" w:hAnsi="宋体" w:eastAsia="宋体"/>
                <w:szCs w:val="21"/>
              </w:rPr>
            </w:sdtEndPr>
            <w:sdtContent>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3" w:type="pct"/>
                    <w:vMerge w:val="restart"/>
                  </w:tcPr>
                  <w:p>
                    <w:pPr>
                      <w:rPr>
                        <w:rFonts w:hint="eastAsia" w:ascii="宋体" w:hAnsi="宋体" w:eastAsia="宋体"/>
                        <w:szCs w:val="21"/>
                      </w:rPr>
                    </w:pPr>
                    <w:r>
                      <w:t>直接财产损失金额   </w:t>
                    </w:r>
                  </w:p>
                  <w:p>
                    <w:pPr>
                      <w:rPr>
                        <w:rFonts w:ascii="宋体" w:hAnsi="宋体" w:eastAsia="宋体"/>
                        <w:szCs w:val="21"/>
                      </w:rPr>
                    </w:pPr>
                    <w:r>
                      <w:t> </w:t>
                    </w:r>
                  </w:p>
                  <w:p>
                    <w:pPr>
                      <w:rPr>
                        <w:rFonts w:ascii="宋体" w:hAnsi="宋体" w:eastAsia="宋体"/>
                        <w:szCs w:val="21"/>
                      </w:rPr>
                    </w:pPr>
                    <w:r>
                      <w:t> </w:t>
                    </w:r>
                  </w:p>
                  <w:p>
                    <w:pPr>
                      <w:rPr>
                        <w:rFonts w:ascii="宋体" w:hAnsi="宋体" w:eastAsia="宋体"/>
                        <w:szCs w:val="21"/>
                      </w:rPr>
                    </w:pPr>
                    <w:r>
                      <w:t> </w:t>
                    </w:r>
                  </w:p>
                </w:tc>
                <w:tc>
                  <w:tcPr>
                    <w:tcW w:w="1339" w:type="pct"/>
                  </w:tcPr>
                  <w:p>
                    <w:pPr>
                      <w:rPr>
                        <w:rFonts w:ascii="宋体" w:hAnsi="宋体" w:eastAsia="宋体"/>
                        <w:szCs w:val="21"/>
                      </w:rPr>
                    </w:pPr>
                    <w:r>
                      <w:t>直接财产损失金额≥利润总额的5%</w:t>
                    </w:r>
                  </w:p>
                </w:tc>
                <w:tc>
                  <w:tcPr>
                    <w:tcW w:w="1339" w:type="pct"/>
                  </w:tcPr>
                  <w:p>
                    <w:pPr>
                      <w:rPr>
                        <w:rFonts w:ascii="宋体" w:hAnsi="宋体" w:eastAsia="宋体"/>
                        <w:szCs w:val="21"/>
                      </w:rPr>
                    </w:pPr>
                    <w:r>
                      <w:t>利润总额的3%≤直接财产损失金额＜利润总额的5%</w:t>
                    </w:r>
                  </w:p>
                </w:tc>
                <w:tc>
                  <w:tcPr>
                    <w:tcW w:w="1338" w:type="pct"/>
                  </w:tcPr>
                  <w:p>
                    <w:pPr>
                      <w:rPr>
                        <w:rFonts w:ascii="宋体" w:hAnsi="宋体" w:eastAsia="宋体"/>
                        <w:szCs w:val="21"/>
                      </w:rPr>
                    </w:pPr>
                    <w:r>
                      <w:t>直接财产损失金额＜利润总额的3%</w:t>
                    </w:r>
                  </w:p>
                </w:tc>
              </w:tr>
            </w:sdtContent>
          </w:sdt>
          <w:sdt>
            <w:sdtPr>
              <w:alias w:val="非财务报告内部控制缺陷定量标准的量化指标明细"/>
              <w:tag w:val="_TUP_aa821d34213a42a0bd37d4dd86e65c31"/>
              <w:id w:val="1910"/>
              <w:lock w:val="sdtLocked"/>
              <w:placeholder>
                <w:docPart w:val="{28a7ff96-6ac0-4227-8351-7541840966b3}"/>
              </w:placeholder>
            </w:sdtPr>
            <w:sdtEndPr>
              <w:rPr>
                <w:rFonts w:hint="default" w:ascii="宋体" w:hAnsi="宋体" w:eastAsia="宋体"/>
                <w:szCs w:val="21"/>
              </w:rPr>
            </w:sdtEndPr>
            <w:sdtContent>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3" w:type="pct"/>
                    <w:vMerge w:val="continue"/>
                  </w:tcPr>
                  <w:p>
                    <w:pPr>
                      <w:rPr>
                        <w:rFonts w:ascii="宋体" w:hAnsi="宋体" w:eastAsia="宋体"/>
                        <w:szCs w:val="21"/>
                      </w:rPr>
                    </w:pPr>
                  </w:p>
                </w:tc>
                <w:tc>
                  <w:tcPr>
                    <w:tcW w:w="1339" w:type="pct"/>
                  </w:tcPr>
                  <w:p>
                    <w:pPr>
                      <w:rPr>
                        <w:rFonts w:ascii="宋体" w:hAnsi="宋体" w:eastAsia="宋体"/>
                        <w:szCs w:val="21"/>
                      </w:rPr>
                    </w:pPr>
                    <w:r>
                      <w:t>直接财产损失金额≥资产总的的3%</w:t>
                    </w:r>
                  </w:p>
                </w:tc>
                <w:tc>
                  <w:tcPr>
                    <w:tcW w:w="1339" w:type="pct"/>
                  </w:tcPr>
                  <w:p>
                    <w:pPr>
                      <w:rPr>
                        <w:rFonts w:ascii="宋体" w:hAnsi="宋体" w:eastAsia="宋体"/>
                        <w:szCs w:val="21"/>
                      </w:rPr>
                    </w:pPr>
                    <w:r>
                      <w:t>资产总额的0.5%≤直接财产损失金额＜资产总额的3%</w:t>
                    </w:r>
                  </w:p>
                </w:tc>
                <w:tc>
                  <w:tcPr>
                    <w:tcW w:w="1338" w:type="pct"/>
                  </w:tcPr>
                  <w:p>
                    <w:pPr>
                      <w:rPr>
                        <w:rFonts w:ascii="宋体" w:hAnsi="宋体" w:eastAsia="宋体"/>
                        <w:szCs w:val="21"/>
                      </w:rPr>
                    </w:pPr>
                    <w:r>
                      <w:t>直接财产损失金额＜资产总额的0.5%</w:t>
                    </w:r>
                  </w:p>
                </w:tc>
              </w:tr>
            </w:sdtContent>
          </w:sdt>
          <w:sdt>
            <w:sdtPr>
              <w:alias w:val="非财务报告内部控制缺陷定量标准的量化指标明细"/>
              <w:tag w:val="_TUP_aa821d34213a42a0bd37d4dd86e65c31"/>
              <w:id w:val="1911"/>
              <w:lock w:val="sdtLocked"/>
              <w:placeholder>
                <w:docPart w:val="{28a7ff96-6ac0-4227-8351-7541840966b3}"/>
              </w:placeholder>
            </w:sdtPr>
            <w:sdtEndPr>
              <w:rPr>
                <w:rFonts w:hint="default" w:ascii="宋体" w:hAnsi="宋体" w:eastAsia="宋体"/>
                <w:szCs w:val="21"/>
              </w:rPr>
            </w:sdtEndPr>
            <w:sdtContent>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3" w:type="pct"/>
                    <w:vMerge w:val="continue"/>
                  </w:tcPr>
                  <w:p>
                    <w:pPr>
                      <w:rPr>
                        <w:rFonts w:ascii="宋体" w:hAnsi="宋体" w:eastAsia="宋体"/>
                        <w:szCs w:val="21"/>
                      </w:rPr>
                    </w:pPr>
                  </w:p>
                </w:tc>
                <w:tc>
                  <w:tcPr>
                    <w:tcW w:w="1339" w:type="pct"/>
                  </w:tcPr>
                  <w:p>
                    <w:pPr>
                      <w:rPr>
                        <w:rFonts w:ascii="宋体" w:hAnsi="宋体" w:eastAsia="宋体"/>
                        <w:szCs w:val="21"/>
                      </w:rPr>
                    </w:pPr>
                    <w:r>
                      <w:t>直接财产损失金额≥营业收入总额的1%</w:t>
                    </w:r>
                  </w:p>
                </w:tc>
                <w:tc>
                  <w:tcPr>
                    <w:tcW w:w="1339" w:type="pct"/>
                  </w:tcPr>
                  <w:p>
                    <w:pPr>
                      <w:rPr>
                        <w:rFonts w:ascii="宋体" w:hAnsi="宋体" w:eastAsia="宋体"/>
                        <w:szCs w:val="21"/>
                      </w:rPr>
                    </w:pPr>
                    <w:r>
                      <w:t>营业收入总额的0.5%≤直接财产损失金额＜营业收入总额的1%</w:t>
                    </w:r>
                  </w:p>
                </w:tc>
                <w:tc>
                  <w:tcPr>
                    <w:tcW w:w="1338" w:type="pct"/>
                  </w:tcPr>
                  <w:p>
                    <w:pPr>
                      <w:rPr>
                        <w:rFonts w:ascii="宋体" w:hAnsi="宋体" w:eastAsia="宋体"/>
                        <w:szCs w:val="21"/>
                      </w:rPr>
                    </w:pPr>
                    <w:r>
                      <w:t>直接财产损失金额＜营业收入总额的0.5%</w:t>
                    </w:r>
                  </w:p>
                </w:tc>
              </w:tr>
            </w:sdtContent>
          </w:sdt>
          <w:sdt>
            <w:sdtPr>
              <w:alias w:val="非财务报告内部控制缺陷定量标准的量化指标明细"/>
              <w:tag w:val="_TUP_aa821d34213a42a0bd37d4dd86e65c31"/>
              <w:id w:val="1912"/>
              <w:lock w:val="sdtLocked"/>
              <w:placeholder>
                <w:docPart w:val="{28a7ff96-6ac0-4227-8351-7541840966b3}"/>
              </w:placeholder>
            </w:sdtPr>
            <w:sdtEndPr>
              <w:rPr>
                <w:rFonts w:hint="default" w:ascii="宋体" w:hAnsi="宋体" w:eastAsia="宋体"/>
                <w:szCs w:val="21"/>
              </w:rPr>
            </w:sdtEndPr>
            <w:sdtContent>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3" w:type="pct"/>
                    <w:vMerge w:val="continue"/>
                  </w:tcPr>
                  <w:p>
                    <w:pPr>
                      <w:rPr>
                        <w:rFonts w:ascii="宋体" w:hAnsi="宋体" w:eastAsia="宋体"/>
                        <w:szCs w:val="21"/>
                      </w:rPr>
                    </w:pPr>
                  </w:p>
                </w:tc>
                <w:tc>
                  <w:tcPr>
                    <w:tcW w:w="1339" w:type="pct"/>
                  </w:tcPr>
                  <w:p>
                    <w:pPr>
                      <w:rPr>
                        <w:rFonts w:ascii="宋体" w:hAnsi="宋体" w:eastAsia="宋体"/>
                        <w:szCs w:val="21"/>
                      </w:rPr>
                    </w:pPr>
                    <w:r>
                      <w:t>直接财产损失金额≥所有者权益总额的1%</w:t>
                    </w:r>
                  </w:p>
                </w:tc>
                <w:tc>
                  <w:tcPr>
                    <w:tcW w:w="1339" w:type="pct"/>
                  </w:tcPr>
                  <w:p>
                    <w:pPr>
                      <w:rPr>
                        <w:rFonts w:ascii="宋体" w:hAnsi="宋体" w:eastAsia="宋体"/>
                        <w:szCs w:val="21"/>
                      </w:rPr>
                    </w:pPr>
                    <w:r>
                      <w:t>所有者权益总额的0.5%≤直接财产损失金额＜所有者权益总额的1%</w:t>
                    </w:r>
                  </w:p>
                </w:tc>
                <w:tc>
                  <w:tcPr>
                    <w:tcW w:w="1338" w:type="pct"/>
                  </w:tcPr>
                  <w:p>
                    <w:pPr>
                      <w:rPr>
                        <w:rFonts w:ascii="宋体" w:hAnsi="宋体" w:eastAsia="宋体"/>
                        <w:szCs w:val="21"/>
                      </w:rPr>
                    </w:pPr>
                    <w:r>
                      <w:t>直接财产损失金额＜所有者权益总额的0.5%</w:t>
                    </w:r>
                  </w:p>
                </w:tc>
              </w:tr>
            </w:sdtContent>
          </w:sdt>
        </w:tbl>
        <w:p>
          <w:pPr>
            <w:autoSpaceDE w:val="0"/>
            <w:autoSpaceDN w:val="0"/>
            <w:textAlignment w:val="baseline"/>
            <w:rPr>
              <w:rFonts w:ascii="宋体" w:hAnsi="宋体" w:eastAsia="宋体"/>
              <w:color w:val="000000"/>
              <w:szCs w:val="21"/>
            </w:rPr>
          </w:pPr>
          <w:r>
            <w:rPr>
              <w:rFonts w:hint="eastAsia" w:ascii="宋体" w:hAnsi="宋体" w:eastAsia="宋体"/>
              <w:color w:val="000000"/>
              <w:szCs w:val="21"/>
            </w:rPr>
            <w:t>说明：</w:t>
          </w:r>
        </w:p>
        <w:sdt>
          <w:sdtPr>
            <w:rPr>
              <w:rFonts w:ascii="宋体" w:hAnsi="宋体" w:eastAsia="宋体"/>
              <w:szCs w:val="21"/>
            </w:rPr>
            <w:alias w:val="非财务报告内部控制缺陷评价的定量标准的说明"/>
            <w:tag w:val="_GBC_469838bf3fae4a079ea0804f423eadad"/>
            <w:id w:val="1084030719"/>
            <w:lock w:val="sdtLocked"/>
            <w:placeholder>
              <w:docPart w:val="GBC22222222222222222222222222222"/>
            </w:placeholder>
          </w:sdtPr>
          <w:sdtEndPr>
            <w:rPr>
              <w:rFonts w:ascii="宋体" w:hAnsi="宋体" w:eastAsia="宋体"/>
              <w:szCs w:val="21"/>
            </w:rPr>
          </w:sdtEndPr>
          <w:sdtContent>
            <w:p>
              <w:pPr>
                <w:autoSpaceDE w:val="0"/>
                <w:autoSpaceDN w:val="0"/>
                <w:textAlignment w:val="baseline"/>
                <w:rPr>
                  <w:rFonts w:ascii="宋体" w:hAnsi="宋体" w:eastAsia="宋体"/>
                  <w:szCs w:val="21"/>
                </w:rPr>
              </w:pPr>
              <w:r>
                <w:rPr>
                  <w:rFonts w:hint="eastAsia" w:ascii="宋体" w:hAnsi="宋体" w:eastAsia="宋体"/>
                  <w:szCs w:val="21"/>
                  <w:lang w:val="en-US" w:eastAsia="zh-CN"/>
                </w:rPr>
                <w:t>无</w:t>
              </w:r>
            </w:p>
          </w:sdtContent>
        </w:sdt>
      </w:sdtContent>
    </w:sdt>
    <w:sdt>
      <w:sdtPr>
        <w:rPr>
          <w:rFonts w:hint="eastAsia" w:ascii="宋体" w:hAnsi="宋体" w:eastAsia="宋体"/>
          <w:color w:val="000000"/>
          <w:szCs w:val="21"/>
        </w:rPr>
        <w:alias w:val="模块:公司确定的非财务报告内部控制缺陷评价的定性标准如下"/>
        <w:tag w:val="_SEC_a2c2cabbea0043999ac434bec171a108"/>
        <w:id w:val="-1653588182"/>
        <w:lock w:val="sdtLocked"/>
        <w:placeholder>
          <w:docPart w:val="GBC22222222222222222222222222222"/>
        </w:placeholder>
      </w:sdtPr>
      <w:sdtEndPr>
        <w:rPr>
          <w:rFonts w:hint="eastAsia" w:ascii="宋体" w:hAnsi="宋体" w:eastAsia="宋体"/>
          <w:color w:val="000000"/>
          <w:szCs w:val="21"/>
        </w:rPr>
      </w:sdtEndPr>
      <w:sdtContent>
        <w:p>
          <w:pPr>
            <w:autoSpaceDE w:val="0"/>
            <w:autoSpaceDN w:val="0"/>
            <w:ind w:firstLine="420" w:firstLineChars="200"/>
            <w:textAlignment w:val="baseline"/>
            <w:rPr>
              <w:rFonts w:ascii="宋体" w:hAnsi="宋体" w:eastAsia="宋体"/>
              <w:color w:val="000000"/>
              <w:szCs w:val="21"/>
            </w:rPr>
          </w:pPr>
          <w:r>
            <w:rPr>
              <w:rFonts w:hint="eastAsia" w:ascii="宋体" w:hAnsi="宋体" w:eastAsia="宋体"/>
              <w:color w:val="000000"/>
              <w:szCs w:val="21"/>
            </w:rPr>
            <w:t>公司确定的非</w:t>
          </w:r>
          <w:r>
            <w:rPr>
              <w:rFonts w:hint="eastAsia" w:ascii="宋体" w:hAnsi="宋体" w:eastAsia="宋体"/>
              <w:szCs w:val="21"/>
            </w:rPr>
            <w:t>财务报告</w:t>
          </w:r>
          <w:r>
            <w:rPr>
              <w:rFonts w:hint="eastAsia" w:ascii="宋体" w:hAnsi="宋体" w:eastAsia="宋体"/>
              <w:color w:val="000000"/>
              <w:szCs w:val="21"/>
            </w:rPr>
            <w:t>内部控制缺陷评价的定性标准如下：</w:t>
          </w:r>
        </w:p>
        <w:tbl>
          <w:tblPr>
            <w:tblStyle w:val="14"/>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83"/>
            <w:gridCol w:w="76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sdt>
              <w:sdtPr>
                <w:tag w:val="_PLD_7fa6cdabef964b81bccffff362304232"/>
                <w:id w:val="1918"/>
                <w:lock w:val="sdtLocked"/>
              </w:sdtPr>
              <w:sdtContent>
                <w:tc>
                  <w:tcPr>
                    <w:tcW w:w="984" w:type="pct"/>
                    <w:shd w:val="clear" w:color="auto" w:fill="D8D8D8" w:themeFill="background1" w:themeFillShade="D9"/>
                    <w:vAlign w:val="center"/>
                  </w:tcPr>
                  <w:p>
                    <w:pPr>
                      <w:jc w:val="center"/>
                      <w:rPr>
                        <w:rFonts w:ascii="宋体" w:hAnsi="宋体" w:eastAsia="宋体"/>
                        <w:szCs w:val="21"/>
                      </w:rPr>
                    </w:pPr>
                    <w:r>
                      <w:rPr>
                        <w:rFonts w:hint="eastAsia" w:ascii="宋体" w:hAnsi="宋体" w:eastAsia="宋体"/>
                        <w:szCs w:val="21"/>
                      </w:rPr>
                      <w:t>缺陷性质</w:t>
                    </w:r>
                  </w:p>
                </w:tc>
              </w:sdtContent>
            </w:sdt>
            <w:sdt>
              <w:sdtPr>
                <w:tag w:val="_PLD_e96c06077e37496baf157f26a416d2cf"/>
                <w:id w:val="1919"/>
                <w:lock w:val="sdtLocked"/>
              </w:sdtPr>
              <w:sdtContent>
                <w:tc>
                  <w:tcPr>
                    <w:tcW w:w="4016" w:type="pct"/>
                    <w:shd w:val="clear" w:color="auto" w:fill="D8D8D8" w:themeFill="background1" w:themeFillShade="D9"/>
                    <w:vAlign w:val="center"/>
                  </w:tcPr>
                  <w:p>
                    <w:pPr>
                      <w:jc w:val="center"/>
                      <w:rPr>
                        <w:rFonts w:ascii="宋体" w:hAnsi="宋体" w:eastAsia="宋体"/>
                        <w:szCs w:val="21"/>
                      </w:rPr>
                    </w:pPr>
                    <w:r>
                      <w:rPr>
                        <w:rFonts w:hint="eastAsia" w:ascii="宋体" w:hAnsi="宋体" w:eastAsia="宋体"/>
                        <w:szCs w:val="21"/>
                      </w:rPr>
                      <w:t>定性标准</w:t>
                    </w:r>
                  </w:p>
                </w:tc>
              </w:sdtContent>
            </w:sdt>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sdt>
              <w:sdtPr>
                <w:tag w:val="_PLD_4b40bed5adfd43c685fc625406175a66"/>
                <w:id w:val="1920"/>
                <w:lock w:val="sdtLocked"/>
              </w:sdtPr>
              <w:sdtContent>
                <w:tc>
                  <w:tcPr>
                    <w:tcW w:w="984" w:type="pct"/>
                  </w:tcPr>
                  <w:p>
                    <w:pPr>
                      <w:rPr>
                        <w:rFonts w:ascii="宋体" w:hAnsi="宋体" w:eastAsia="宋体"/>
                        <w:szCs w:val="21"/>
                      </w:rPr>
                    </w:pPr>
                    <w:r>
                      <w:rPr>
                        <w:rFonts w:hint="eastAsia" w:ascii="宋体" w:hAnsi="宋体" w:eastAsia="宋体"/>
                        <w:szCs w:val="21"/>
                      </w:rPr>
                      <w:t>重大缺陷</w:t>
                    </w:r>
                  </w:p>
                </w:tc>
              </w:sdtContent>
            </w:sdt>
            <w:tc>
              <w:tcPr>
                <w:tcW w:w="4016" w:type="pct"/>
              </w:tcPr>
              <w:p>
                <w:r>
                  <w:t>以下任一情况作为内部控制可能存在重大缺陷的认定标准：</w:t>
                </w:r>
              </w:p>
              <w:p>
                <w:pPr>
                  <w:numPr>
                    <w:ilvl w:val="0"/>
                    <w:numId w:val="8"/>
                  </w:numPr>
                </w:pPr>
                <w:r>
                  <w:t>缺乏民主决策程序导致重大失误</w:t>
                </w:r>
              </w:p>
              <w:p>
                <w:pPr>
                  <w:numPr>
                    <w:ilvl w:val="0"/>
                    <w:numId w:val="8"/>
                  </w:numPr>
                  <w:rPr>
                    <w:rFonts w:ascii="宋体" w:hAnsi="宋体" w:eastAsia="宋体"/>
                    <w:szCs w:val="21"/>
                  </w:rPr>
                </w:pPr>
                <w:r>
                  <w:t>严重违反国家法律法规并受到处罚</w:t>
                </w:r>
              </w:p>
              <w:p>
                <w:pPr>
                  <w:numPr>
                    <w:ilvl w:val="0"/>
                    <w:numId w:val="8"/>
                  </w:numPr>
                  <w:rPr>
                    <w:rFonts w:ascii="宋体" w:hAnsi="宋体" w:eastAsia="宋体"/>
                    <w:szCs w:val="21"/>
                  </w:rPr>
                </w:pPr>
                <w:r>
                  <w:t>中高级管理人员和高级业务人员流失严重</w:t>
                </w:r>
              </w:p>
              <w:p>
                <w:pPr>
                  <w:numPr>
                    <w:ilvl w:val="0"/>
                    <w:numId w:val="8"/>
                  </w:numPr>
                  <w:rPr>
                    <w:rFonts w:ascii="宋体" w:hAnsi="宋体" w:eastAsia="宋体"/>
                    <w:szCs w:val="21"/>
                  </w:rPr>
                </w:pPr>
                <w:r>
                  <w:t>媒体频现负面新闻，波及面广</w:t>
                </w:r>
              </w:p>
              <w:p>
                <w:pPr>
                  <w:numPr>
                    <w:ilvl w:val="0"/>
                    <w:numId w:val="8"/>
                  </w:numPr>
                  <w:rPr>
                    <w:rFonts w:ascii="宋体" w:hAnsi="宋体" w:eastAsia="宋体"/>
                    <w:szCs w:val="21"/>
                  </w:rPr>
                </w:pPr>
                <w:r>
                  <w:t>重要业务缺乏制度控制或制度系统失效</w:t>
                </w:r>
              </w:p>
              <w:p>
                <w:pPr>
                  <w:numPr>
                    <w:ilvl w:val="0"/>
                    <w:numId w:val="8"/>
                  </w:numPr>
                  <w:rPr>
                    <w:rFonts w:ascii="宋体" w:hAnsi="宋体" w:eastAsia="宋体"/>
                    <w:szCs w:val="21"/>
                  </w:rPr>
                </w:pPr>
                <w:r>
                  <w:t>内部控制重大缺陷未得到整改等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sdt>
              <w:sdtPr>
                <w:tag w:val="_PLD_87362650c1e84f5c9e343354b998fecf"/>
                <w:id w:val="1921"/>
                <w:lock w:val="sdtLocked"/>
              </w:sdtPr>
              <w:sdtContent>
                <w:tc>
                  <w:tcPr>
                    <w:tcW w:w="984" w:type="pct"/>
                  </w:tcPr>
                  <w:p>
                    <w:pPr>
                      <w:rPr>
                        <w:rFonts w:ascii="宋体" w:hAnsi="宋体" w:eastAsia="宋体"/>
                        <w:szCs w:val="21"/>
                      </w:rPr>
                    </w:pPr>
                    <w:r>
                      <w:rPr>
                        <w:rFonts w:hint="eastAsia" w:ascii="宋体" w:hAnsi="宋体" w:eastAsia="宋体"/>
                        <w:szCs w:val="21"/>
                      </w:rPr>
                      <w:t>重要缺陷</w:t>
                    </w:r>
                  </w:p>
                </w:tc>
              </w:sdtContent>
            </w:sdt>
            <w:tc>
              <w:tcPr>
                <w:tcW w:w="4016" w:type="pct"/>
              </w:tcPr>
              <w:p>
                <w:r>
                  <w:t>以下任一情况作为内部控制可能存在重要缺陷的认定标准：</w:t>
                </w:r>
              </w:p>
              <w:p>
                <w:pPr>
                  <w:numPr>
                    <w:ilvl w:val="0"/>
                    <w:numId w:val="9"/>
                  </w:numPr>
                </w:pPr>
                <w:r>
                  <w:t>民主决策程序存在但不够完善导致出现一般失误</w:t>
                </w:r>
              </w:p>
              <w:p>
                <w:pPr>
                  <w:numPr>
                    <w:ilvl w:val="0"/>
                    <w:numId w:val="9"/>
                  </w:numPr>
                  <w:rPr>
                    <w:rFonts w:ascii="宋体" w:hAnsi="宋体" w:eastAsia="宋体"/>
                    <w:szCs w:val="21"/>
                  </w:rPr>
                </w:pPr>
                <w:r>
                  <w:t>严重违反银行内部规章，形成损失</w:t>
                </w:r>
              </w:p>
              <w:p>
                <w:pPr>
                  <w:numPr>
                    <w:ilvl w:val="0"/>
                    <w:numId w:val="9"/>
                  </w:numPr>
                  <w:rPr>
                    <w:rFonts w:ascii="宋体" w:hAnsi="宋体" w:eastAsia="宋体"/>
                    <w:szCs w:val="21"/>
                  </w:rPr>
                </w:pPr>
                <w:r>
                  <w:t>关键岗位业务人员流失严重</w:t>
                </w:r>
              </w:p>
              <w:p>
                <w:pPr>
                  <w:numPr>
                    <w:ilvl w:val="0"/>
                    <w:numId w:val="9"/>
                  </w:numPr>
                  <w:rPr>
                    <w:rFonts w:ascii="宋体" w:hAnsi="宋体" w:eastAsia="宋体"/>
                    <w:szCs w:val="21"/>
                  </w:rPr>
                </w:pPr>
                <w:r>
                  <w:t>媒体出现负面新闻，波及局部区域</w:t>
                </w:r>
              </w:p>
              <w:p>
                <w:pPr>
                  <w:numPr>
                    <w:ilvl w:val="0"/>
                    <w:numId w:val="9"/>
                  </w:numPr>
                  <w:rPr>
                    <w:rFonts w:ascii="宋体" w:hAnsi="宋体" w:eastAsia="宋体"/>
                    <w:szCs w:val="21"/>
                  </w:rPr>
                </w:pPr>
                <w:r>
                  <w:t>重要业务制度或系统存在缺陷</w:t>
                </w:r>
              </w:p>
              <w:p>
                <w:pPr>
                  <w:numPr>
                    <w:ilvl w:val="0"/>
                    <w:numId w:val="9"/>
                  </w:numPr>
                  <w:rPr>
                    <w:rFonts w:ascii="宋体" w:hAnsi="宋体" w:eastAsia="宋体"/>
                    <w:szCs w:val="21"/>
                  </w:rPr>
                </w:pPr>
                <w:r>
                  <w:t>内部控制重要缺陷未得到整改等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sdt>
              <w:sdtPr>
                <w:tag w:val="_PLD_e2f7f9f024b84ed596fd34e56f44a269"/>
                <w:id w:val="1922"/>
                <w:lock w:val="sdtLocked"/>
              </w:sdtPr>
              <w:sdtContent>
                <w:tc>
                  <w:tcPr>
                    <w:tcW w:w="984" w:type="pct"/>
                  </w:tcPr>
                  <w:p>
                    <w:pPr>
                      <w:rPr>
                        <w:rFonts w:ascii="宋体" w:hAnsi="宋体" w:eastAsia="宋体"/>
                        <w:szCs w:val="21"/>
                      </w:rPr>
                    </w:pPr>
                    <w:r>
                      <w:rPr>
                        <w:rFonts w:hint="eastAsia" w:ascii="宋体" w:hAnsi="宋体" w:eastAsia="宋体"/>
                        <w:szCs w:val="21"/>
                      </w:rPr>
                      <w:t>一般缺陷</w:t>
                    </w:r>
                  </w:p>
                </w:tc>
              </w:sdtContent>
            </w:sdt>
            <w:tc>
              <w:tcPr>
                <w:tcW w:w="4016" w:type="pct"/>
              </w:tcPr>
              <w:p>
                <w:pPr>
                  <w:rPr>
                    <w:rFonts w:ascii="宋体" w:hAnsi="宋体" w:eastAsia="宋体"/>
                    <w:szCs w:val="21"/>
                  </w:rPr>
                </w:pPr>
                <w:r>
                  <w:t>不构成非财务报告相关重大缺陷和重要缺陷的内部控制缺陷</w:t>
                </w:r>
              </w:p>
            </w:tc>
          </w:tr>
        </w:tbl>
        <w:p>
          <w:pPr>
            <w:autoSpaceDE w:val="0"/>
            <w:autoSpaceDN w:val="0"/>
            <w:textAlignment w:val="baseline"/>
            <w:rPr>
              <w:rFonts w:ascii="宋体" w:hAnsi="宋体" w:eastAsia="宋体"/>
              <w:color w:val="000000"/>
              <w:szCs w:val="21"/>
            </w:rPr>
          </w:pPr>
          <w:r>
            <w:rPr>
              <w:rFonts w:hint="eastAsia" w:ascii="宋体" w:hAnsi="宋体" w:eastAsia="宋体"/>
              <w:color w:val="000000"/>
              <w:szCs w:val="21"/>
            </w:rPr>
            <w:t>说明：</w:t>
          </w:r>
        </w:p>
        <w:sdt>
          <w:sdtPr>
            <w:rPr>
              <w:rFonts w:hint="eastAsia" w:ascii="宋体" w:hAnsi="宋体" w:eastAsia="宋体"/>
              <w:color w:val="000000"/>
              <w:szCs w:val="21"/>
            </w:rPr>
            <w:alias w:val="非财务报告内部控制缺陷评价的定性标准的说明"/>
            <w:tag w:val="_GBC_181d5b286297425b80ab6641f6359856"/>
            <w:id w:val="-902835986"/>
            <w:lock w:val="sdtLocked"/>
            <w:placeholder>
              <w:docPart w:val="GBC22222222222222222222222222222"/>
            </w:placeholder>
          </w:sdtPr>
          <w:sdtEndPr>
            <w:rPr>
              <w:rFonts w:hint="eastAsia" w:ascii="宋体" w:hAnsi="宋体" w:eastAsia="宋体"/>
              <w:color w:val="000000"/>
              <w:szCs w:val="21"/>
            </w:rPr>
          </w:sdtEndPr>
          <w:sdtContent>
            <w:p>
              <w:pPr>
                <w:autoSpaceDE w:val="0"/>
                <w:autoSpaceDN w:val="0"/>
                <w:textAlignment w:val="baseline"/>
                <w:rPr>
                  <w:rFonts w:ascii="宋体" w:hAnsi="宋体" w:eastAsia="宋体"/>
                  <w:color w:val="000000"/>
                  <w:szCs w:val="21"/>
                </w:rPr>
              </w:pPr>
              <w:r>
                <w:rPr>
                  <w:rFonts w:hint="eastAsia" w:ascii="宋体" w:hAnsi="宋体" w:eastAsia="宋体"/>
                  <w:color w:val="000000"/>
                  <w:szCs w:val="21"/>
                  <w:lang w:val="en-US" w:eastAsia="zh-CN"/>
                </w:rPr>
                <w:t>无</w:t>
              </w:r>
            </w:p>
          </w:sdtContent>
        </w:sdt>
      </w:sdtContent>
    </w:sdt>
    <w:sdt>
      <w:sdtPr>
        <w:rPr>
          <w:rFonts w:hint="eastAsia" w:ascii="宋体" w:hAnsi="宋体" w:eastAsiaTheme="minorEastAsia" w:cstheme="minorBidi"/>
          <w:b w:val="0"/>
          <w:bCs w:val="0"/>
          <w:color w:val="000000"/>
          <w:szCs w:val="21"/>
        </w:rPr>
        <w:alias w:val="模块:根据上述财务报告内部控制缺陷的认定标准，报告期内公司存在财务..."/>
        <w:tag w:val="_SEC_42c0c5bde9f149b383ad48427fa295dc"/>
        <w:id w:val="-1910217274"/>
        <w:lock w:val="sdtLocked"/>
        <w:placeholder>
          <w:docPart w:val="GBC22222222222222222222222222222"/>
        </w:placeholder>
      </w:sdtPr>
      <w:sdtEndPr>
        <w:rPr>
          <w:rFonts w:hint="default" w:asciiTheme="minorHAnsi" w:hAnsiTheme="minorHAnsi" w:eastAsiaTheme="minorEastAsia" w:cstheme="minorBidi"/>
          <w:b w:val="0"/>
          <w:bCs w:val="0"/>
          <w:color w:val="auto"/>
          <w:szCs w:val="22"/>
        </w:rPr>
      </w:sdtEndPr>
      <w:sdtContent>
        <w:p>
          <w:pPr>
            <w:pStyle w:val="3"/>
            <w:numPr>
              <w:ilvl w:val="0"/>
              <w:numId w:val="3"/>
            </w:numPr>
            <w:spacing w:line="240" w:lineRule="auto"/>
          </w:pPr>
          <w:r>
            <w:rPr>
              <w:rFonts w:hint="eastAsia"/>
            </w:rPr>
            <w:t>内部控制缺陷认定及整改情况</w:t>
          </w:r>
        </w:p>
        <w:p>
          <w:pPr>
            <w:pStyle w:val="4"/>
            <w:numPr>
              <w:ilvl w:val="0"/>
              <w:numId w:val="10"/>
            </w:numPr>
            <w:spacing w:line="240" w:lineRule="auto"/>
          </w:pPr>
          <w:r>
            <w:rPr>
              <w:rFonts w:hint="eastAsia"/>
            </w:rPr>
            <w:t>财务报告内部控制缺陷认定及整改情况</w:t>
          </w:r>
        </w:p>
        <w:p>
          <w:pPr>
            <w:pStyle w:val="5"/>
            <w:numPr>
              <w:ilvl w:val="1"/>
              <w:numId w:val="11"/>
            </w:numPr>
            <w:spacing w:line="240" w:lineRule="auto"/>
            <w:ind w:left="567"/>
            <w:rPr>
              <w:rFonts w:ascii="宋体" w:hAnsi="宋体"/>
              <w:szCs w:val="21"/>
            </w:rPr>
          </w:pPr>
          <w:r>
            <w:rPr>
              <w:rFonts w:hint="eastAsia" w:ascii="宋体" w:hAnsi="宋体"/>
              <w:szCs w:val="21"/>
            </w:rPr>
            <w:t>重大缺陷</w:t>
          </w:r>
        </w:p>
        <w:p>
          <w:pPr>
            <w:ind w:firstLine="420" w:firstLineChars="200"/>
            <w:rPr>
              <w:rFonts w:ascii="宋体" w:hAnsi="宋体" w:eastAsia="宋体"/>
              <w:color w:val="000000"/>
              <w:szCs w:val="21"/>
            </w:rPr>
          </w:pPr>
          <w:r>
            <w:rPr>
              <w:rFonts w:hint="eastAsia" w:ascii="宋体" w:hAnsi="宋体" w:eastAsia="宋体"/>
              <w:color w:val="000000"/>
              <w:szCs w:val="21"/>
            </w:rPr>
            <w:t>报告期内公司是否存在财务报告内部控制重大缺陷</w:t>
          </w:r>
        </w:p>
        <w:sdt>
          <w:sdtPr>
            <w:rPr>
              <w:rFonts w:hint="eastAsia" w:ascii="宋体" w:hAnsi="宋体" w:eastAsia="宋体"/>
              <w:color w:val="000000"/>
              <w:szCs w:val="21"/>
            </w:rPr>
            <w:alias w:val="是否存在内部控制重大缺陷[双击切换]"/>
            <w:tag w:val="_GBC_f99c476e5cd543ef9aeba31207710657"/>
            <w:id w:val="1672063158"/>
            <w:lock w:val="sdtLocked"/>
            <w:placeholder>
              <w:docPart w:val="GBC22222222222222222222222222222"/>
            </w:placeholder>
          </w:sdtPr>
          <w:sdtEndPr>
            <w:rPr>
              <w:rFonts w:hint="eastAsia" w:ascii="宋体" w:hAnsi="宋体" w:eastAsia="宋体"/>
              <w:color w:val="000000"/>
              <w:szCs w:val="21"/>
            </w:rPr>
          </w:sdtEndPr>
          <w:sdtContent>
            <w:p>
              <w:pPr>
                <w:outlineLvl w:val="9"/>
              </w:pPr>
              <w:r>
                <w:rPr>
                  <w:rFonts w:ascii="宋体" w:hAnsi="宋体" w:eastAsia="宋体"/>
                  <w:color w:val="000000"/>
                  <w:szCs w:val="21"/>
                </w:rPr>
                <w:fldChar w:fldCharType="begin"/>
              </w:r>
              <w:r>
                <w:rPr>
                  <w:rFonts w:hint="eastAsia" w:ascii="宋体" w:hAnsi="宋体" w:eastAsia="宋体"/>
                  <w:color w:val="000000"/>
                  <w:szCs w:val="21"/>
                  <w:lang w:eastAsia="zh-CN"/>
                </w:rPr>
                <w:instrText xml:space="preserve"> MACROBUTTON  SnrToggleCheckbox □是 </w:instrText>
              </w:r>
              <w:r>
                <w:rPr>
                  <w:rFonts w:ascii="宋体" w:hAnsi="宋体" w:eastAsia="宋体"/>
                  <w:color w:val="000000"/>
                  <w:szCs w:val="21"/>
                </w:rPr>
                <w:fldChar w:fldCharType="end"/>
              </w:r>
              <w:r>
                <w:rPr>
                  <w:rFonts w:ascii="宋体" w:hAnsi="宋体" w:eastAsia="宋体"/>
                  <w:color w:val="000000"/>
                  <w:szCs w:val="21"/>
                </w:rPr>
                <w:fldChar w:fldCharType="begin"/>
              </w:r>
              <w:r>
                <w:rPr>
                  <w:rFonts w:hint="eastAsia" w:ascii="宋体" w:hAnsi="宋体" w:eastAsia="宋体"/>
                  <w:color w:val="000000"/>
                  <w:szCs w:val="21"/>
                  <w:lang w:eastAsia="zh-CN"/>
                </w:rPr>
                <w:instrText xml:space="preserve"> MACROBUTTON  SnrToggleCheckbox √否 </w:instrText>
              </w:r>
              <w:r>
                <w:rPr>
                  <w:rFonts w:ascii="宋体" w:hAnsi="宋体" w:eastAsia="宋体"/>
                  <w:color w:val="000000"/>
                  <w:szCs w:val="21"/>
                </w:rPr>
                <w:fldChar w:fldCharType="end"/>
              </w:r>
            </w:p>
          </w:sdtContent>
        </w:sdt>
      </w:sdtContent>
    </w:sdt>
    <w:sdt>
      <w:sdtPr>
        <w:rPr>
          <w:rFonts w:hint="eastAsia" w:asciiTheme="minorHAnsi" w:hAnsiTheme="minorHAnsi" w:eastAsiaTheme="minorEastAsia" w:cstheme="minorBidi"/>
          <w:b w:val="0"/>
          <w:bCs w:val="0"/>
          <w:szCs w:val="22"/>
        </w:rPr>
        <w:alias w:val="模块:存在财务报告内部控制重要缺陷"/>
        <w:tag w:val="_SEC_23cc2c10f8a949519939b7d6a8387cc4"/>
        <w:id w:val="-1461723179"/>
        <w:lock w:val="sdtLocked"/>
        <w:placeholder>
          <w:docPart w:val="GBC22222222222222222222222222222"/>
        </w:placeholder>
      </w:sdtPr>
      <w:sdtEndPr>
        <w:rPr>
          <w:rFonts w:hint="eastAsia" w:asciiTheme="minorHAnsi" w:hAnsiTheme="minorHAnsi" w:eastAsiaTheme="minorEastAsia" w:cstheme="minorBidi"/>
          <w:b w:val="0"/>
          <w:bCs w:val="0"/>
          <w:szCs w:val="22"/>
        </w:rPr>
      </w:sdtEndPr>
      <w:sdtContent>
        <w:p>
          <w:pPr>
            <w:pStyle w:val="5"/>
            <w:numPr>
              <w:ilvl w:val="1"/>
              <w:numId w:val="11"/>
            </w:numPr>
            <w:spacing w:line="240" w:lineRule="auto"/>
            <w:ind w:left="567"/>
          </w:pPr>
          <w:r>
            <w:rPr>
              <w:rFonts w:hint="eastAsia"/>
            </w:rPr>
            <w:t>重要缺陷</w:t>
          </w:r>
        </w:p>
        <w:p>
          <w:pPr>
            <w:ind w:firstLine="420" w:firstLineChars="200"/>
          </w:pPr>
          <w:r>
            <w:rPr>
              <w:rFonts w:hint="eastAsia"/>
            </w:rPr>
            <w:t>报告期内公司是否存在财务报告内部控制重要缺陷</w:t>
          </w:r>
        </w:p>
        <w:sdt>
          <w:sdtPr>
            <w:alias w:val="报告期内是否存在财务报告内控重要缺陷[双击切换]"/>
            <w:tag w:val="_GBC_20cb8e80582e4895b3285e604643de14"/>
            <w:id w:val="-1352484731"/>
            <w:lock w:val="sdtLocked"/>
            <w:placeholder>
              <w:docPart w:val="GBC22222222222222222222222222222"/>
            </w:placeholder>
          </w:sdtPr>
          <w:sdtContent>
            <w:p>
              <w:pPr>
                <w:outlineLvl w:val="9"/>
              </w:pPr>
              <w:r>
                <w:rPr>
                  <w:rFonts w:ascii="宋体" w:hAnsi="宋体" w:eastAsia="宋体"/>
                </w:rPr>
                <w:fldChar w:fldCharType="begin"/>
              </w:r>
              <w:r>
                <w:rPr>
                  <w:rFonts w:hint="eastAsia" w:ascii="宋体" w:hAnsi="宋体" w:eastAsia="宋体"/>
                  <w:lang w:eastAsia="zh-CN"/>
                </w:rPr>
                <w:instrText xml:space="preserve"> MACROBUTTON  SnrToggleCheckbox □是 </w:instrText>
              </w:r>
              <w:r>
                <w:rPr>
                  <w:rFonts w:ascii="宋体" w:hAnsi="宋体" w:eastAsia="宋体"/>
                </w:rPr>
                <w:fldChar w:fldCharType="end"/>
              </w:r>
              <w:r>
                <w:rPr>
                  <w:rFonts w:ascii="宋体" w:hAnsi="宋体" w:eastAsia="宋体"/>
                </w:rPr>
                <w:fldChar w:fldCharType="begin"/>
              </w:r>
              <w:r>
                <w:rPr>
                  <w:rFonts w:hint="eastAsia" w:ascii="宋体" w:hAnsi="宋体" w:eastAsia="宋体"/>
                  <w:lang w:eastAsia="zh-CN"/>
                </w:rPr>
                <w:instrText xml:space="preserve"> MACROBUTTON  SnrToggleCheckbox √否 </w:instrText>
              </w:r>
              <w:r>
                <w:rPr>
                  <w:rFonts w:ascii="宋体" w:hAnsi="宋体" w:eastAsia="宋体"/>
                </w:rPr>
                <w:fldChar w:fldCharType="end"/>
              </w:r>
            </w:p>
          </w:sdtContent>
        </w:sdt>
      </w:sdtContent>
    </w:sdt>
    <w:sdt>
      <w:sdtPr>
        <w:rPr>
          <w:rFonts w:hint="eastAsia" w:asciiTheme="minorHAnsi" w:hAnsiTheme="minorHAnsi" w:eastAsiaTheme="minorEastAsia" w:cstheme="minorBidi"/>
          <w:b w:val="0"/>
          <w:bCs w:val="0"/>
          <w:szCs w:val="22"/>
        </w:rPr>
        <w:alias w:val="模块:财务报告存在内部控制一般缺陷的说明"/>
        <w:tag w:val="_SEC_7f3179198a064e75940573a5bb5dc3f9"/>
        <w:id w:val="-861819572"/>
        <w:lock w:val="sdtLocked"/>
        <w:placeholder>
          <w:docPart w:val="GBC22222222222222222222222222222"/>
        </w:placeholder>
      </w:sdtPr>
      <w:sdtEndPr>
        <w:rPr>
          <w:rFonts w:hint="eastAsia" w:asciiTheme="minorHAnsi" w:hAnsiTheme="minorHAnsi" w:eastAsiaTheme="minorEastAsia" w:cstheme="minorBidi"/>
          <w:b w:val="0"/>
          <w:bCs w:val="0"/>
          <w:szCs w:val="22"/>
        </w:rPr>
      </w:sdtEndPr>
      <w:sdtContent>
        <w:p>
          <w:pPr>
            <w:pStyle w:val="5"/>
            <w:numPr>
              <w:ilvl w:val="1"/>
              <w:numId w:val="11"/>
            </w:numPr>
            <w:spacing w:line="240" w:lineRule="auto"/>
            <w:ind w:left="567"/>
          </w:pPr>
          <w:r>
            <w:rPr>
              <w:rFonts w:hint="eastAsia"/>
            </w:rPr>
            <w:t>一般缺陷</w:t>
          </w:r>
        </w:p>
        <w:sdt>
          <w:sdtPr>
            <w:alias w:val="财务报告存在内部控制一般缺陷的说明"/>
            <w:tag w:val="_GBC_4129f8df1b9c4f9dbeec76df1c25cfd3"/>
            <w:id w:val="-4980569"/>
            <w:lock w:val="sdtLocked"/>
            <w:placeholder>
              <w:docPart w:val="GBC22222222222222222222222222222"/>
            </w:placeholder>
          </w:sdtPr>
          <w:sdtContent>
            <w:sdt>
              <w:sdtPr>
                <w:alias w:val="财务报告存在内部控制一般缺陷的说明"/>
                <w:tag w:val="_GBC_4129f8df1b9c4f9dbeec76df1c25cfd3"/>
                <w:id w:val="-4980569"/>
                <w:lock w:val="sdtLocked"/>
                <w:placeholder>
                  <w:docPart w:val="{f6cb073e-4789-4a75-b544-f5945f1fffe1}"/>
                </w:placeholder>
              </w:sdtPr>
              <w:sdtContent>
                <w:p>
                  <w:pPr>
                    <w:ind w:firstLine="420" w:firstLineChars="200"/>
                  </w:pPr>
                  <w:r>
                    <w:rPr>
                      <w:rFonts w:hint="eastAsia"/>
                    </w:rPr>
                    <w:t>对于财务报告内部控制一般性缺陷，公司已及时制定整改计划、落实整改措施，以进一步提升内部控制的充分性和有效性。</w:t>
                  </w:r>
                </w:p>
              </w:sdtContent>
            </w:sdt>
          </w:sdtContent>
        </w:sdt>
      </w:sdtContent>
    </w:sdt>
    <w:sdt>
      <w:sdtPr>
        <w:rPr>
          <w:rFonts w:hint="eastAsia"/>
        </w:rPr>
        <w:alias w:val="模块:经过上述整改，于内部控制评价报告基准日，公司是否存在未完成整..."/>
        <w:tag w:val="_SEC_f7e4dc7db1a8463ab5246d32c5a493d2"/>
        <w:id w:val="-1452548656"/>
        <w:lock w:val="sdtLocked"/>
        <w:placeholder>
          <w:docPart w:val="GBC22222222222222222222222222222"/>
        </w:placeholder>
      </w:sdtPr>
      <w:sdtEndPr>
        <w:rPr>
          <w:rFonts w:hint="eastAsia"/>
        </w:rPr>
      </w:sdtEndPr>
      <w:sdtContent>
        <w:p>
          <w:pPr>
            <w:pStyle w:val="5"/>
            <w:numPr>
              <w:ilvl w:val="1"/>
              <w:numId w:val="11"/>
            </w:numPr>
            <w:spacing w:line="240" w:lineRule="auto"/>
            <w:ind w:left="567"/>
          </w:pPr>
          <w:r>
            <w:rPr>
              <w:rFonts w:hint="eastAsia"/>
            </w:rPr>
            <w:t>经过上述整改，于内部控制评价报告基准日，公司是否存在未完成整改的财务报告内部控制重大缺陷</w:t>
          </w:r>
        </w:p>
      </w:sdtContent>
    </w:sdt>
    <w:sdt>
      <w:sdtPr>
        <w:rPr>
          <w:rFonts w:hint="eastAsia"/>
        </w:rPr>
        <w:alias w:val="是否发现：于基准日未完成整改的财务报告内部控制重大缺陷[双击切换]"/>
        <w:tag w:val="_GBC_96ffe5c49c5246a6843c1c1e408be00a"/>
        <w:id w:val="2009393011"/>
        <w:lock w:val="sdtLocked"/>
        <w:placeholder>
          <w:docPart w:val="GBC22222222222222222222222222222"/>
        </w:placeholder>
      </w:sdtPr>
      <w:sdtEndPr>
        <w:rPr>
          <w:rFonts w:hint="eastAsia"/>
        </w:rPr>
      </w:sdtEndPr>
      <w:sdtContent>
        <w:p>
          <w:pPr>
            <w:ind w:firstLine="420" w:firstLineChars="200"/>
            <w:outlineLvl w:val="9"/>
          </w:pPr>
          <w:r>
            <w:rPr>
              <w:rFonts w:ascii="宋体" w:hAnsi="宋体" w:eastAsia="宋体"/>
            </w:rPr>
            <w:fldChar w:fldCharType="begin"/>
          </w:r>
          <w:r>
            <w:rPr>
              <w:rFonts w:hint="eastAsia" w:ascii="宋体" w:hAnsi="宋体" w:eastAsia="宋体"/>
              <w:lang w:eastAsia="zh-CN"/>
            </w:rPr>
            <w:instrText xml:space="preserve"> MACROBUTTON  SnrToggleCheckbox □是 </w:instrText>
          </w:r>
          <w:r>
            <w:rPr>
              <w:rFonts w:ascii="宋体" w:hAnsi="宋体" w:eastAsia="宋体"/>
            </w:rPr>
            <w:fldChar w:fldCharType="end"/>
          </w:r>
          <w:r>
            <w:rPr>
              <w:rFonts w:ascii="宋体" w:hAnsi="宋体" w:eastAsia="宋体"/>
            </w:rPr>
            <w:fldChar w:fldCharType="begin"/>
          </w:r>
          <w:r>
            <w:rPr>
              <w:rFonts w:hint="eastAsia" w:ascii="宋体" w:hAnsi="宋体" w:eastAsia="宋体"/>
              <w:lang w:eastAsia="zh-CN"/>
            </w:rPr>
            <w:instrText xml:space="preserve"> MACROBUTTON  SnrToggleCheckbox √否 </w:instrText>
          </w:r>
          <w:r>
            <w:rPr>
              <w:rFonts w:ascii="宋体" w:hAnsi="宋体" w:eastAsia="宋体"/>
            </w:rPr>
            <w:fldChar w:fldCharType="end"/>
          </w:r>
        </w:p>
      </w:sdtContent>
    </w:sdt>
    <w:sdt>
      <w:sdtPr>
        <w:rPr>
          <w:rFonts w:hint="eastAsia" w:ascii="宋体" w:hAnsi="宋体"/>
          <w:color w:val="000000"/>
          <w:szCs w:val="21"/>
        </w:rPr>
        <w:alias w:val="模块:经过上述整改，于内部控制评价报告基准日，公司是否存在未完成整..."/>
        <w:tag w:val="_SEC_447bf8b8185d4f33bff711f138ce2df9"/>
        <w:id w:val="-1747566291"/>
        <w:lock w:val="sdtLocked"/>
        <w:placeholder>
          <w:docPart w:val="GBC22222222222222222222222222222"/>
        </w:placeholder>
      </w:sdtPr>
      <w:sdtEndPr>
        <w:rPr>
          <w:rFonts w:hint="eastAsia" w:ascii="宋体" w:hAnsi="宋体"/>
          <w:color w:val="000000"/>
          <w:szCs w:val="21"/>
        </w:rPr>
      </w:sdtEndPr>
      <w:sdtContent>
        <w:p>
          <w:pPr>
            <w:pStyle w:val="5"/>
            <w:numPr>
              <w:ilvl w:val="1"/>
              <w:numId w:val="11"/>
            </w:numPr>
            <w:spacing w:line="240" w:lineRule="auto"/>
            <w:ind w:left="567"/>
            <w:rPr>
              <w:rFonts w:ascii="宋体" w:hAnsi="宋体"/>
              <w:color w:val="000000"/>
              <w:szCs w:val="21"/>
            </w:rPr>
          </w:pPr>
          <w:r>
            <w:rPr>
              <w:rFonts w:hint="eastAsia" w:ascii="宋体" w:hAnsi="宋体"/>
              <w:color w:val="000000"/>
              <w:szCs w:val="21"/>
            </w:rPr>
            <w:t>经过上述整改，于</w:t>
          </w:r>
          <w:r>
            <w:rPr>
              <w:rFonts w:hint="eastAsia"/>
            </w:rPr>
            <w:t>内部</w:t>
          </w:r>
          <w:r>
            <w:rPr>
              <w:rFonts w:hint="eastAsia" w:ascii="宋体" w:hAnsi="宋体"/>
              <w:color w:val="000000"/>
              <w:szCs w:val="21"/>
            </w:rPr>
            <w:t>控制评价报告基准日，公司是否存在未完成整改的财务报告内部控制重要缺陷</w:t>
          </w:r>
        </w:p>
      </w:sdtContent>
    </w:sdt>
    <w:sdt>
      <w:sdtPr>
        <w:rPr>
          <w:rFonts w:hint="eastAsia"/>
        </w:rPr>
        <w:alias w:val="是否发现：于基准日未完成整改的财务报告内部控制重要缺陷[双击切换]"/>
        <w:tag w:val="_GBC_21271ec2f1fe4b898e5ad73727f54fab"/>
        <w:id w:val="532165920"/>
        <w:lock w:val="sdtLocked"/>
        <w:placeholder>
          <w:docPart w:val="GBC22222222222222222222222222222"/>
        </w:placeholder>
      </w:sdtPr>
      <w:sdtEndPr>
        <w:rPr>
          <w:rFonts w:hint="eastAsia"/>
        </w:rPr>
      </w:sdtEndPr>
      <w:sdtContent>
        <w:p>
          <w:pPr>
            <w:ind w:firstLine="420" w:firstLineChars="200"/>
            <w:jc w:val="left"/>
            <w:outlineLvl w:val="9"/>
            <w:rPr>
              <w:rFonts w:ascii="宋体" w:hAnsi="宋体" w:eastAsia="宋体"/>
              <w:color w:val="000000"/>
              <w:szCs w:val="21"/>
            </w:rPr>
          </w:pPr>
          <w:r>
            <w:rPr>
              <w:rFonts w:ascii="宋体" w:hAnsi="宋体" w:eastAsia="宋体"/>
            </w:rPr>
            <w:fldChar w:fldCharType="begin"/>
          </w:r>
          <w:r>
            <w:rPr>
              <w:rFonts w:hint="eastAsia" w:ascii="宋体" w:hAnsi="宋体" w:eastAsia="宋体"/>
              <w:lang w:eastAsia="zh-CN"/>
            </w:rPr>
            <w:instrText xml:space="preserve"> MACROBUTTON  SnrToggleCheckbox □是 </w:instrText>
          </w:r>
          <w:r>
            <w:rPr>
              <w:rFonts w:ascii="宋体" w:hAnsi="宋体" w:eastAsia="宋体"/>
            </w:rPr>
            <w:fldChar w:fldCharType="end"/>
          </w:r>
          <w:r>
            <w:rPr>
              <w:rFonts w:ascii="宋体" w:hAnsi="宋体" w:eastAsia="宋体"/>
            </w:rPr>
            <w:fldChar w:fldCharType="begin"/>
          </w:r>
          <w:r>
            <w:rPr>
              <w:rFonts w:hint="eastAsia" w:ascii="宋体" w:hAnsi="宋体" w:eastAsia="宋体"/>
              <w:lang w:eastAsia="zh-CN"/>
            </w:rPr>
            <w:instrText xml:space="preserve"> MACROBUTTON  SnrToggleCheckbox √否 </w:instrText>
          </w:r>
          <w:r>
            <w:rPr>
              <w:rFonts w:ascii="宋体" w:hAnsi="宋体" w:eastAsia="宋体"/>
            </w:rPr>
            <w:fldChar w:fldCharType="end"/>
          </w:r>
        </w:p>
      </w:sdtContent>
    </w:sdt>
    <w:sdt>
      <w:sdtPr>
        <w:rPr>
          <w:rFonts w:hint="eastAsia" w:eastAsiaTheme="minorEastAsia"/>
          <w:b w:val="0"/>
          <w:bCs w:val="0"/>
          <w:szCs w:val="22"/>
        </w:rPr>
        <w:alias w:val="模块:发现非财务报告内部控制重大缺陷"/>
        <w:tag w:val="_SEC_4667c05adbdb4080afb931cf90f38be5"/>
        <w:id w:val="209851769"/>
        <w:lock w:val="sdtLocked"/>
        <w:placeholder>
          <w:docPart w:val="GBC22222222222222222222222222222"/>
        </w:placeholder>
      </w:sdtPr>
      <w:sdtEndPr>
        <w:rPr>
          <w:rFonts w:hint="eastAsia" w:eastAsiaTheme="minorEastAsia"/>
          <w:b w:val="0"/>
          <w:bCs w:val="0"/>
          <w:szCs w:val="22"/>
        </w:rPr>
      </w:sdtEndPr>
      <w:sdtContent>
        <w:p>
          <w:pPr>
            <w:pStyle w:val="4"/>
            <w:numPr>
              <w:ilvl w:val="0"/>
              <w:numId w:val="10"/>
            </w:numPr>
            <w:spacing w:line="240" w:lineRule="auto"/>
          </w:pPr>
          <w:r>
            <w:rPr>
              <w:rFonts w:hint="eastAsia"/>
            </w:rPr>
            <w:t>非财务报告内部控制缺陷认定及整改情况</w:t>
          </w:r>
        </w:p>
        <w:p>
          <w:pPr>
            <w:pStyle w:val="5"/>
            <w:numPr>
              <w:ilvl w:val="1"/>
              <w:numId w:val="12"/>
            </w:numPr>
            <w:spacing w:line="240" w:lineRule="auto"/>
            <w:ind w:left="567"/>
          </w:pPr>
          <w:r>
            <w:rPr>
              <w:rFonts w:hint="eastAsia"/>
            </w:rPr>
            <w:t>重大缺陷</w:t>
          </w:r>
        </w:p>
        <w:p>
          <w:pPr>
            <w:ind w:firstLine="420" w:firstLineChars="200"/>
          </w:pPr>
          <w:r>
            <w:rPr>
              <w:rFonts w:hint="eastAsia"/>
            </w:rPr>
            <w:t>报告期内公司是否发现非财务报告内部控制重大缺陷</w:t>
          </w:r>
        </w:p>
        <w:sdt>
          <w:sdtPr>
            <w:rPr>
              <w:rFonts w:hint="eastAsia"/>
              <w:b/>
              <w:bCs/>
            </w:rPr>
            <w:alias w:val="报告期内是否存在非财务报告内控重大缺陷[双击切换]"/>
            <w:tag w:val="_GBC_ad0ccfb7089c4cd18715c5d4d2320603"/>
            <w:id w:val="1591813509"/>
            <w:lock w:val="sdtLocked"/>
            <w:placeholder>
              <w:docPart w:val="GBC22222222222222222222222222222"/>
            </w:placeholder>
          </w:sdtPr>
          <w:sdtEndPr>
            <w:rPr>
              <w:rFonts w:hint="eastAsia"/>
              <w:b w:val="0"/>
              <w:bCs w:val="0"/>
            </w:rPr>
          </w:sdtEndPr>
          <w:sdtContent>
            <w:p>
              <w:pPr>
                <w:outlineLvl w:val="9"/>
              </w:pPr>
              <w:r>
                <w:fldChar w:fldCharType="begin"/>
              </w:r>
              <w:r>
                <w:rPr>
                  <w:rFonts w:hint="eastAsia"/>
                  <w:lang w:eastAsia="zh-CN"/>
                </w:rPr>
                <w:instrText xml:space="preserve"> MACROBUTTON  SnrToggleCheckbox □是 </w:instrText>
              </w:r>
              <w:r>
                <w:fldChar w:fldCharType="end"/>
              </w:r>
              <w:r>
                <w:rPr>
                  <w:rFonts w:ascii="宋体" w:hAnsi="宋体" w:eastAsia="宋体"/>
                </w:rPr>
                <w:fldChar w:fldCharType="begin"/>
              </w:r>
              <w:r>
                <w:rPr>
                  <w:rFonts w:hint="eastAsia" w:ascii="宋体" w:hAnsi="宋体" w:eastAsia="宋体"/>
                  <w:lang w:eastAsia="zh-CN"/>
                </w:rPr>
                <w:instrText xml:space="preserve"> MACROBUTTON  SnrToggleCheckbox √否 </w:instrText>
              </w:r>
              <w:r>
                <w:rPr>
                  <w:rFonts w:ascii="宋体" w:hAnsi="宋体" w:eastAsia="宋体"/>
                </w:rPr>
                <w:fldChar w:fldCharType="end"/>
              </w:r>
            </w:p>
          </w:sdtContent>
        </w:sdt>
      </w:sdtContent>
    </w:sdt>
    <w:sdt>
      <w:sdtPr>
        <w:rPr>
          <w:rFonts w:hint="eastAsia" w:asciiTheme="minorHAnsi" w:hAnsiTheme="minorHAnsi" w:eastAsiaTheme="minorEastAsia" w:cstheme="minorBidi"/>
          <w:b w:val="0"/>
          <w:bCs w:val="0"/>
          <w:szCs w:val="22"/>
        </w:rPr>
        <w:alias w:val="模块:发现非财务报告内部控制重要缺陷"/>
        <w:tag w:val="_SEC_77d0c96fa6fc41159b4b728d3f32c11a"/>
        <w:id w:val="137150883"/>
        <w:lock w:val="sdtLocked"/>
        <w:placeholder>
          <w:docPart w:val="GBC22222222222222222222222222222"/>
        </w:placeholder>
      </w:sdtPr>
      <w:sdtEndPr>
        <w:rPr>
          <w:rFonts w:hint="eastAsia" w:asciiTheme="minorHAnsi" w:hAnsiTheme="minorHAnsi" w:eastAsiaTheme="minorEastAsia" w:cstheme="minorBidi"/>
          <w:b w:val="0"/>
          <w:bCs w:val="0"/>
          <w:szCs w:val="22"/>
        </w:rPr>
      </w:sdtEndPr>
      <w:sdtContent>
        <w:p>
          <w:pPr>
            <w:pStyle w:val="5"/>
            <w:numPr>
              <w:ilvl w:val="1"/>
              <w:numId w:val="12"/>
            </w:numPr>
            <w:spacing w:line="240" w:lineRule="auto"/>
            <w:ind w:left="567"/>
          </w:pPr>
          <w:r>
            <w:rPr>
              <w:rFonts w:hint="eastAsia"/>
            </w:rPr>
            <w:t>重要缺陷</w:t>
          </w:r>
        </w:p>
        <w:p>
          <w:pPr>
            <w:ind w:firstLine="420" w:firstLineChars="200"/>
          </w:pPr>
          <w:r>
            <w:rPr>
              <w:rFonts w:hint="eastAsia"/>
            </w:rPr>
            <w:t>报告期内公司是否发现非财务报告内部控制重要缺陷</w:t>
          </w:r>
        </w:p>
        <w:sdt>
          <w:sdtPr>
            <w:alias w:val="报告期内是否存在非财务报告内控重要缺陷[双击切换]"/>
            <w:tag w:val="_GBC_1689d928e7044d5fb6cf571ddbd950c3"/>
            <w:id w:val="69010642"/>
            <w:lock w:val="sdtLocked"/>
            <w:placeholder>
              <w:docPart w:val="GBC22222222222222222222222222222"/>
            </w:placeholder>
          </w:sdtPr>
          <w:sdtContent>
            <w:p>
              <w:pPr>
                <w:outlineLvl w:val="9"/>
              </w:pPr>
              <w:r>
                <w:rPr>
                  <w:rFonts w:ascii="宋体" w:hAnsi="宋体" w:eastAsia="宋体"/>
                </w:rPr>
                <w:fldChar w:fldCharType="begin"/>
              </w:r>
              <w:r>
                <w:rPr>
                  <w:rFonts w:hint="eastAsia" w:ascii="宋体" w:hAnsi="宋体" w:eastAsia="宋体"/>
                  <w:lang w:eastAsia="zh-CN"/>
                </w:rPr>
                <w:instrText xml:space="preserve"> MACROBUTTON  SnrToggleCheckbox □是 </w:instrText>
              </w:r>
              <w:r>
                <w:rPr>
                  <w:rFonts w:ascii="宋体" w:hAnsi="宋体" w:eastAsia="宋体"/>
                </w:rPr>
                <w:fldChar w:fldCharType="end"/>
              </w:r>
              <w:r>
                <w:rPr>
                  <w:rFonts w:ascii="宋体" w:hAnsi="宋体" w:eastAsia="宋体"/>
                </w:rPr>
                <w:fldChar w:fldCharType="begin"/>
              </w:r>
              <w:r>
                <w:rPr>
                  <w:rFonts w:hint="eastAsia" w:ascii="宋体" w:hAnsi="宋体" w:eastAsia="宋体"/>
                  <w:lang w:eastAsia="zh-CN"/>
                </w:rPr>
                <w:instrText xml:space="preserve"> MACROBUTTON  SnrToggleCheckbox √否 </w:instrText>
              </w:r>
              <w:r>
                <w:rPr>
                  <w:rFonts w:ascii="宋体" w:hAnsi="宋体" w:eastAsia="宋体"/>
                </w:rPr>
                <w:fldChar w:fldCharType="end"/>
              </w:r>
            </w:p>
          </w:sdtContent>
        </w:sdt>
      </w:sdtContent>
    </w:sdt>
    <w:sdt>
      <w:sdtPr>
        <w:rPr>
          <w:rFonts w:hint="eastAsia" w:asciiTheme="minorHAnsi" w:hAnsiTheme="minorHAnsi" w:eastAsiaTheme="minorEastAsia" w:cstheme="minorBidi"/>
          <w:b w:val="0"/>
          <w:bCs w:val="0"/>
          <w:szCs w:val="22"/>
        </w:rPr>
        <w:alias w:val="模块:非财务报告存在内部控制一般缺陷的说明"/>
        <w:tag w:val="_SEC_ebaa7e48d0b84497acb298b221b862df"/>
        <w:id w:val="-1921398211"/>
        <w:lock w:val="sdtLocked"/>
        <w:placeholder>
          <w:docPart w:val="GBC22222222222222222222222222222"/>
        </w:placeholder>
      </w:sdtPr>
      <w:sdtEndPr>
        <w:rPr>
          <w:rFonts w:hint="default" w:asciiTheme="minorHAnsi" w:hAnsiTheme="minorHAnsi" w:eastAsiaTheme="minorEastAsia" w:cstheme="minorBidi"/>
          <w:b w:val="0"/>
          <w:bCs w:val="0"/>
          <w:szCs w:val="22"/>
        </w:rPr>
      </w:sdtEndPr>
      <w:sdtContent>
        <w:p>
          <w:pPr>
            <w:pStyle w:val="5"/>
            <w:numPr>
              <w:ilvl w:val="1"/>
              <w:numId w:val="12"/>
            </w:numPr>
            <w:spacing w:line="240" w:lineRule="auto"/>
            <w:ind w:left="567"/>
          </w:pPr>
          <w:r>
            <w:rPr>
              <w:rFonts w:hint="eastAsia"/>
            </w:rPr>
            <w:t>一般缺陷</w:t>
          </w:r>
        </w:p>
        <w:sdt>
          <w:sdtPr>
            <w:alias w:val="非财务报告存在内部控制一般缺陷的说明"/>
            <w:tag w:val="_GBC_45bb685394c34fd2a58c917055d74872"/>
            <w:id w:val="1148478010"/>
            <w:lock w:val="sdtLocked"/>
            <w:placeholder>
              <w:docPart w:val="GBC33333333333333333333333333333"/>
            </w:placeholder>
          </w:sdtPr>
          <w:sdtContent>
            <w:p>
              <w:pPr>
                <w:ind w:firstLine="420" w:firstLineChars="200"/>
              </w:pPr>
              <w:r>
                <w:t>对于非财务报告内部控制一般性缺陷，公司已及时制定整改计划、落实整改措施，以进一步提升内部控制的充分性和有效性。</w:t>
              </w:r>
              <w:bookmarkStart w:id="9" w:name="_GoBack"/>
              <w:bookmarkEnd w:id="9"/>
            </w:p>
          </w:sdtContent>
        </w:sdt>
        <w:p>
          <w:pPr>
            <w:ind w:firstLine="420" w:firstLineChars="200"/>
          </w:pPr>
        </w:p>
      </w:sdtContent>
    </w:sdt>
    <w:sdt>
      <w:sdtPr>
        <w:rPr>
          <w:rFonts w:hint="eastAsia" w:ascii="宋体" w:hAnsi="宋体"/>
          <w:color w:val="000000"/>
          <w:szCs w:val="21"/>
        </w:rPr>
        <w:alias w:val="模块:经过上述整改，于内部控制评价报告基准日，公司是否发现未完成整..."/>
        <w:tag w:val="_SEC_d6571f9f42294704a1c3ccce3e14c921"/>
        <w:id w:val="305210776"/>
        <w:lock w:val="sdtLocked"/>
        <w:placeholder>
          <w:docPart w:val="GBC22222222222222222222222222222"/>
        </w:placeholder>
      </w:sdtPr>
      <w:sdtEndPr>
        <w:rPr>
          <w:rFonts w:hint="eastAsia" w:ascii="宋体" w:hAnsi="宋体"/>
          <w:color w:val="000000"/>
          <w:szCs w:val="21"/>
        </w:rPr>
      </w:sdtEndPr>
      <w:sdtContent>
        <w:p>
          <w:pPr>
            <w:pStyle w:val="5"/>
            <w:numPr>
              <w:ilvl w:val="1"/>
              <w:numId w:val="12"/>
            </w:numPr>
            <w:spacing w:line="240" w:lineRule="auto"/>
            <w:ind w:left="567"/>
            <w:rPr>
              <w:rFonts w:ascii="宋体" w:hAnsi="宋体"/>
              <w:color w:val="000000"/>
              <w:szCs w:val="21"/>
            </w:rPr>
          </w:pPr>
          <w:r>
            <w:rPr>
              <w:rFonts w:hint="eastAsia" w:ascii="宋体" w:hAnsi="宋体"/>
              <w:color w:val="000000"/>
              <w:szCs w:val="21"/>
            </w:rPr>
            <w:t>经过上述</w:t>
          </w:r>
          <w:r>
            <w:rPr>
              <w:rFonts w:hint="eastAsia"/>
            </w:rPr>
            <w:t>整改</w:t>
          </w:r>
          <w:r>
            <w:rPr>
              <w:rFonts w:hint="eastAsia" w:ascii="宋体" w:hAnsi="宋体"/>
              <w:color w:val="000000"/>
              <w:szCs w:val="21"/>
            </w:rPr>
            <w:t>，于内部控制评价报告基准日，公司是否发现未完成整改的非财务报告内部控制重大缺陷</w:t>
          </w:r>
        </w:p>
      </w:sdtContent>
    </w:sdt>
    <w:sdt>
      <w:sdtPr>
        <w:rPr>
          <w:rFonts w:hint="eastAsia" w:ascii="宋体" w:hAnsi="宋体" w:eastAsia="宋体"/>
          <w:color w:val="000000"/>
          <w:szCs w:val="21"/>
        </w:rPr>
        <w:alias w:val="是否发现：于基准日未完成整改的非财务报告内部控制重大缺陷[双击切换]"/>
        <w:tag w:val="_GBC_191155b1f0e54da1937115baf1dad92d"/>
        <w:id w:val="1367324744"/>
        <w:lock w:val="sdtLocked"/>
        <w:placeholder>
          <w:docPart w:val="GBC22222222222222222222222222222"/>
        </w:placeholder>
      </w:sdtPr>
      <w:sdtEndPr>
        <w:rPr>
          <w:rFonts w:hint="eastAsia" w:ascii="宋体" w:hAnsi="宋体" w:eastAsia="宋体"/>
          <w:color w:val="000000"/>
          <w:szCs w:val="21"/>
        </w:rPr>
      </w:sdtEndPr>
      <w:sdtContent>
        <w:p>
          <w:pPr>
            <w:ind w:firstLine="420" w:firstLineChars="200"/>
            <w:jc w:val="left"/>
            <w:outlineLvl w:val="9"/>
            <w:rPr>
              <w:rFonts w:ascii="宋体" w:hAnsi="宋体" w:eastAsia="宋体"/>
              <w:color w:val="000000"/>
              <w:szCs w:val="21"/>
            </w:rPr>
          </w:pPr>
          <w:r>
            <w:rPr>
              <w:rFonts w:ascii="宋体" w:hAnsi="宋体" w:eastAsia="宋体"/>
              <w:color w:val="000000"/>
              <w:szCs w:val="21"/>
            </w:rPr>
            <w:fldChar w:fldCharType="begin"/>
          </w:r>
          <w:r>
            <w:rPr>
              <w:rFonts w:hint="eastAsia" w:ascii="宋体" w:hAnsi="宋体" w:eastAsia="宋体"/>
              <w:color w:val="000000"/>
              <w:szCs w:val="21"/>
              <w:lang w:eastAsia="zh-CN"/>
            </w:rPr>
            <w:instrText xml:space="preserve"> MACROBUTTON  SnrToggleCheckbox □是 </w:instrText>
          </w:r>
          <w:r>
            <w:rPr>
              <w:rFonts w:ascii="宋体" w:hAnsi="宋体" w:eastAsia="宋体"/>
              <w:color w:val="000000"/>
              <w:szCs w:val="21"/>
            </w:rPr>
            <w:fldChar w:fldCharType="end"/>
          </w:r>
          <w:r>
            <w:rPr>
              <w:rFonts w:ascii="宋体" w:hAnsi="宋体" w:eastAsia="宋体"/>
              <w:color w:val="000000"/>
              <w:szCs w:val="21"/>
            </w:rPr>
            <w:fldChar w:fldCharType="begin"/>
          </w:r>
          <w:r>
            <w:rPr>
              <w:rFonts w:hint="eastAsia" w:ascii="宋体" w:hAnsi="宋体" w:eastAsia="宋体"/>
              <w:color w:val="000000"/>
              <w:szCs w:val="21"/>
              <w:lang w:eastAsia="zh-CN"/>
            </w:rPr>
            <w:instrText xml:space="preserve"> MACROBUTTON  SnrToggleCheckbox √否 </w:instrText>
          </w:r>
          <w:r>
            <w:rPr>
              <w:rFonts w:ascii="宋体" w:hAnsi="宋体" w:eastAsia="宋体"/>
              <w:color w:val="000000"/>
              <w:szCs w:val="21"/>
            </w:rPr>
            <w:fldChar w:fldCharType="end"/>
          </w:r>
        </w:p>
      </w:sdtContent>
    </w:sdt>
    <w:sdt>
      <w:sdtPr>
        <w:rPr>
          <w:rFonts w:hint="eastAsia" w:ascii="宋体" w:hAnsi="宋体"/>
          <w:color w:val="000000"/>
          <w:szCs w:val="21"/>
        </w:rPr>
        <w:alias w:val="模块:经过上述整改，于内部控制评价报告基准日，公司是否发现未完成整..."/>
        <w:tag w:val="_SEC_a07d34e5da89407993f8092a456b9c19"/>
        <w:id w:val="-906535476"/>
        <w:lock w:val="sdtLocked"/>
        <w:placeholder>
          <w:docPart w:val="GBC22222222222222222222222222222"/>
        </w:placeholder>
      </w:sdtPr>
      <w:sdtEndPr>
        <w:rPr>
          <w:rFonts w:hint="eastAsia" w:ascii="宋体" w:hAnsi="宋体"/>
          <w:color w:val="000000"/>
          <w:szCs w:val="21"/>
        </w:rPr>
      </w:sdtEndPr>
      <w:sdtContent>
        <w:p>
          <w:pPr>
            <w:pStyle w:val="5"/>
            <w:numPr>
              <w:ilvl w:val="1"/>
              <w:numId w:val="12"/>
            </w:numPr>
            <w:spacing w:line="240" w:lineRule="auto"/>
            <w:ind w:left="567"/>
            <w:rPr>
              <w:rFonts w:ascii="宋体" w:hAnsi="宋体"/>
              <w:color w:val="000000"/>
              <w:szCs w:val="21"/>
            </w:rPr>
          </w:pPr>
          <w:r>
            <w:rPr>
              <w:rFonts w:hint="eastAsia" w:ascii="宋体" w:hAnsi="宋体"/>
              <w:color w:val="000000"/>
              <w:szCs w:val="21"/>
            </w:rPr>
            <w:t>经过上述整改，于内部控制评价报告基准日，公司是否发现未完成整改的非财务报告内部控制重要缺陷</w:t>
          </w:r>
        </w:p>
      </w:sdtContent>
    </w:sdt>
    <w:sdt>
      <w:sdtPr>
        <w:rPr>
          <w:rFonts w:hint="eastAsia"/>
        </w:rPr>
        <w:alias w:val="是否发现：于基准日未完成整改的非财务报告内部控制重要缺陷[双击切换]"/>
        <w:tag w:val="_GBC_7468f81863d546e798ed9d8d54e9345b"/>
        <w:id w:val="1669992148"/>
        <w:lock w:val="sdtLocked"/>
        <w:placeholder>
          <w:docPart w:val="GBC22222222222222222222222222222"/>
        </w:placeholder>
      </w:sdtPr>
      <w:sdtEndPr>
        <w:rPr>
          <w:rFonts w:hint="eastAsia"/>
        </w:rPr>
      </w:sdtEndPr>
      <w:sdtContent>
        <w:p>
          <w:pPr>
            <w:ind w:firstLine="420" w:firstLineChars="200"/>
            <w:jc w:val="left"/>
            <w:outlineLvl w:val="9"/>
            <w:rPr>
              <w:rFonts w:ascii="宋体" w:hAnsi="宋体" w:eastAsia="宋体"/>
              <w:color w:val="000000"/>
              <w:szCs w:val="21"/>
            </w:rPr>
          </w:pPr>
          <w:r>
            <w:rPr>
              <w:rFonts w:ascii="宋体" w:hAnsi="宋体" w:eastAsia="宋体"/>
            </w:rPr>
            <w:fldChar w:fldCharType="begin"/>
          </w:r>
          <w:r>
            <w:rPr>
              <w:rFonts w:hint="eastAsia" w:ascii="宋体" w:hAnsi="宋体" w:eastAsia="宋体"/>
              <w:lang w:eastAsia="zh-CN"/>
            </w:rPr>
            <w:instrText xml:space="preserve"> MACROBUTTON  SnrToggleCheckbox □是 </w:instrText>
          </w:r>
          <w:r>
            <w:rPr>
              <w:rFonts w:ascii="宋体" w:hAnsi="宋体" w:eastAsia="宋体"/>
            </w:rPr>
            <w:fldChar w:fldCharType="end"/>
          </w:r>
          <w:r>
            <w:rPr>
              <w:rFonts w:ascii="宋体" w:hAnsi="宋体" w:eastAsia="宋体"/>
            </w:rPr>
            <w:fldChar w:fldCharType="begin"/>
          </w:r>
          <w:r>
            <w:rPr>
              <w:rFonts w:hint="eastAsia" w:ascii="宋体" w:hAnsi="宋体" w:eastAsia="宋体"/>
              <w:lang w:eastAsia="zh-CN"/>
            </w:rPr>
            <w:instrText xml:space="preserve"> MACROBUTTON  SnrToggleCheckbox √否 </w:instrText>
          </w:r>
          <w:r>
            <w:rPr>
              <w:rFonts w:ascii="宋体" w:hAnsi="宋体" w:eastAsia="宋体"/>
            </w:rPr>
            <w:fldChar w:fldCharType="end"/>
          </w:r>
        </w:p>
      </w:sdtContent>
    </w:sdt>
    <w:sdt>
      <w:sdtPr>
        <w:rPr>
          <w:rFonts w:hint="eastAsia"/>
          <w:b w:val="0"/>
          <w:bCs w:val="0"/>
          <w:kern w:val="2"/>
          <w:sz w:val="21"/>
          <w:szCs w:val="22"/>
        </w:rPr>
        <w:alias w:val="模块:上一年度内部控制缺陷整改情况"/>
        <w:tag w:val="_SEC_b4d40d6c6fec4c80ac4ebf61fb63ee98"/>
        <w:id w:val="1622346090"/>
        <w:lock w:val="sdtLocked"/>
        <w:placeholder>
          <w:docPart w:val="GBC22222222222222222222222222222"/>
        </w:placeholder>
      </w:sdtPr>
      <w:sdtEndPr>
        <w:rPr>
          <w:rFonts w:hint="eastAsia" w:ascii="宋体" w:hAnsi="宋体" w:eastAsia="宋体"/>
          <w:b w:val="0"/>
          <w:bCs w:val="0"/>
          <w:color w:val="215968" w:themeColor="accent5" w:themeShade="80"/>
          <w:kern w:val="2"/>
          <w:sz w:val="21"/>
          <w:szCs w:val="21"/>
        </w:rPr>
      </w:sdtEndPr>
      <w:sdtContent>
        <w:p>
          <w:pPr>
            <w:pStyle w:val="2"/>
          </w:pPr>
          <w:r>
            <w:rPr>
              <w:rFonts w:hint="eastAsia"/>
            </w:rPr>
            <w:t>其他内部控制相关重大事项说明</w:t>
          </w:r>
        </w:p>
        <w:p>
          <w:pPr>
            <w:pStyle w:val="3"/>
            <w:numPr>
              <w:ilvl w:val="0"/>
              <w:numId w:val="13"/>
            </w:numPr>
            <w:spacing w:line="240" w:lineRule="auto"/>
          </w:pPr>
          <w:r>
            <w:rPr>
              <w:rFonts w:hint="eastAsia"/>
            </w:rPr>
            <w:t>上一年度内部控制缺陷整改情况</w:t>
          </w:r>
        </w:p>
        <w:sdt>
          <w:sdtPr>
            <w:alias w:val="是否适用：上一年度内部控制缺陷整改情况[双击切换]"/>
            <w:tag w:val="_GBC_c6aaf95ed9164e1884b99535dcf68f01"/>
            <w:id w:val="2094583349"/>
            <w:lock w:val="sdtLocked"/>
            <w:placeholder>
              <w:docPart w:val="GBC22222222222222222222222222222"/>
            </w:placeholder>
          </w:sdtPr>
          <w:sdtContent>
            <w:p>
              <w:pPr>
                <w:ind w:left="420" w:leftChars="200"/>
              </w:pPr>
              <w:r>
                <w:rPr>
                  <w:rFonts w:ascii="宋体" w:hAnsi="宋体" w:eastAsia="宋体"/>
                </w:rPr>
                <w:fldChar w:fldCharType="begin"/>
              </w:r>
              <w:r>
                <w:rPr>
                  <w:rFonts w:hint="eastAsia" w:ascii="宋体" w:hAnsi="宋体" w:eastAsia="宋体"/>
                  <w:lang w:eastAsia="zh-CN"/>
                </w:rPr>
                <w:instrText xml:space="preserve"> MACROBUTTON  SnrToggleCheckbox √适用 </w:instrText>
              </w:r>
              <w:r>
                <w:rPr>
                  <w:rFonts w:ascii="宋体" w:hAnsi="宋体" w:eastAsia="宋体"/>
                </w:rPr>
                <w:fldChar w:fldCharType="end"/>
              </w:r>
              <w:r>
                <w:rPr>
                  <w:rFonts w:ascii="宋体" w:hAnsi="宋体" w:eastAsia="宋体"/>
                </w:rPr>
                <w:fldChar w:fldCharType="begin"/>
              </w:r>
              <w:r>
                <w:rPr>
                  <w:rFonts w:hint="eastAsia" w:ascii="宋体" w:hAnsi="宋体" w:eastAsia="宋体"/>
                  <w:lang w:eastAsia="zh-CN"/>
                </w:rPr>
                <w:instrText xml:space="preserve"> MACROBUTTON  SnrToggleCheckbox □不适用 </w:instrText>
              </w:r>
              <w:r>
                <w:rPr>
                  <w:rFonts w:ascii="宋体" w:hAnsi="宋体" w:eastAsia="宋体"/>
                </w:rPr>
                <w:fldChar w:fldCharType="end"/>
              </w:r>
            </w:p>
          </w:sdtContent>
        </w:sdt>
        <w:p>
          <w:pPr>
            <w:ind w:firstLine="420" w:firstLineChars="200"/>
            <w:rPr>
              <w:rFonts w:ascii="宋体" w:hAnsi="宋体" w:eastAsia="宋体"/>
              <w:szCs w:val="21"/>
            </w:rPr>
          </w:pPr>
          <w:sdt>
            <w:sdtPr>
              <w:rPr>
                <w:rFonts w:ascii="宋体" w:hAnsi="宋体" w:eastAsia="宋体"/>
                <w:szCs w:val="21"/>
              </w:rPr>
              <w:alias w:val="上一报告期内部控制评价结论、缺陷整改情况"/>
              <w:tag w:val="_GBC_b3cedf104ae646f18fe2cc587a5e7342"/>
              <w:id w:val="58677300"/>
              <w:lock w:val="sdtLocked"/>
              <w:placeholder>
                <w:docPart w:val="GBC22222222222222222222222222222"/>
              </w:placeholder>
            </w:sdtPr>
            <w:sdtEndPr>
              <w:rPr>
                <w:rFonts w:ascii="宋体" w:hAnsi="宋体" w:eastAsia="宋体"/>
                <w:szCs w:val="21"/>
              </w:rPr>
            </w:sdtEndPr>
            <w:sdtContent>
              <w:sdt>
                <w:sdtPr>
                  <w:rPr>
                    <w:rFonts w:ascii="宋体" w:hAnsi="宋体" w:eastAsia="宋体"/>
                    <w:szCs w:val="21"/>
                  </w:rPr>
                  <w:alias w:val="上一报告期内部控制评价结论、缺陷整改情况"/>
                  <w:tag w:val="_GBC_b3cedf104ae646f18fe2cc587a5e7342"/>
                  <w:id w:val="58677300"/>
                  <w:lock w:val="sdtLocked"/>
                  <w:placeholder>
                    <w:docPart w:val="{cebab8ff-fc58-4efd-b746-5fddb0406544}"/>
                  </w:placeholder>
                </w:sdtPr>
                <w:sdtEndPr>
                  <w:rPr>
                    <w:rFonts w:ascii="宋体" w:hAnsi="宋体" w:eastAsia="宋体"/>
                    <w:szCs w:val="21"/>
                  </w:rPr>
                </w:sdtEndPr>
                <w:sdtContent>
                  <w:r>
                    <w:rPr>
                      <w:rFonts w:hint="eastAsia" w:ascii="宋体" w:hAnsi="宋体" w:eastAsia="宋体"/>
                      <w:szCs w:val="21"/>
                    </w:rPr>
                    <w:t>上一年度，公司不存在内部控制重大缺陷和重要缺陷，对于上一年度内部控制评价发现的一般缺陷，公司已积极开展整改工作，整改效果良好。</w:t>
                  </w:r>
                </w:sdtContent>
              </w:sdt>
            </w:sdtContent>
          </w:sdt>
        </w:p>
      </w:sdtContent>
    </w:sdt>
    <w:sdt>
      <w:sdtPr>
        <w:rPr>
          <w:rFonts w:hint="eastAsia" w:asciiTheme="minorHAnsi" w:hAnsiTheme="minorHAnsi" w:eastAsiaTheme="minorEastAsia" w:cstheme="minorBidi"/>
          <w:b w:val="0"/>
          <w:bCs w:val="0"/>
          <w:szCs w:val="22"/>
        </w:rPr>
        <w:alias w:val="模块:本年度内部控制运行情况及下一年度改进方向"/>
        <w:tag w:val="_SEC_49a551c8834d430989771f2a70dc2516"/>
        <w:id w:val="791010427"/>
        <w:placeholder>
          <w:docPart w:val="GBC22222222222222222222222222222"/>
        </w:placeholder>
      </w:sdtPr>
      <w:sdtEndPr>
        <w:rPr>
          <w:rFonts w:hint="eastAsia" w:ascii="宋体" w:hAnsi="宋体" w:eastAsiaTheme="minorEastAsia" w:cstheme="minorBidi"/>
          <w:b w:val="0"/>
          <w:bCs w:val="0"/>
          <w:color w:val="215968" w:themeColor="accent5" w:themeShade="80"/>
          <w:szCs w:val="21"/>
        </w:rPr>
      </w:sdtEndPr>
      <w:sdtContent>
        <w:p>
          <w:pPr>
            <w:pStyle w:val="3"/>
            <w:numPr>
              <w:ilvl w:val="0"/>
              <w:numId w:val="13"/>
            </w:numPr>
            <w:spacing w:line="240" w:lineRule="auto"/>
          </w:pPr>
          <w:r>
            <w:rPr>
              <w:rFonts w:hint="eastAsia"/>
            </w:rPr>
            <w:t>本年度内部控制运行情况及下一年度改进方向</w:t>
          </w:r>
        </w:p>
        <w:sdt>
          <w:sdtPr>
            <w:rPr>
              <w:rFonts w:ascii="宋体" w:hAnsi="宋体" w:eastAsia="宋体"/>
              <w:color w:val="000000"/>
              <w:szCs w:val="21"/>
            </w:rPr>
            <w:alias w:val="是否适用：内部控制运行情况及下一年度改进方向[双击切换]"/>
            <w:tag w:val="_GBC_56aec8d09e0a4646b728a676b949e463"/>
            <w:id w:val="-1593541054"/>
            <w:placeholder>
              <w:docPart w:val="GBC22222222222222222222222222222"/>
            </w:placeholder>
          </w:sdtPr>
          <w:sdtEndPr>
            <w:rPr>
              <w:rFonts w:ascii="宋体" w:hAnsi="宋体" w:eastAsia="宋体"/>
              <w:color w:val="000000"/>
              <w:szCs w:val="21"/>
            </w:rPr>
          </w:sdtEndPr>
          <w:sdtContent>
            <w:p>
              <w:pPr>
                <w:autoSpaceDE w:val="0"/>
                <w:autoSpaceDN w:val="0"/>
                <w:ind w:left="420" w:leftChars="200"/>
                <w:textAlignment w:val="baseline"/>
                <w:rPr>
                  <w:rFonts w:ascii="宋体" w:hAnsi="宋体" w:eastAsia="宋体"/>
                  <w:color w:val="000000"/>
                  <w:szCs w:val="21"/>
                </w:rPr>
              </w:pPr>
              <w:r>
                <w:rPr>
                  <w:rFonts w:ascii="宋体" w:hAnsi="宋体" w:eastAsia="宋体"/>
                  <w:color w:val="000000"/>
                  <w:szCs w:val="21"/>
                </w:rPr>
                <w:fldChar w:fldCharType="begin"/>
              </w:r>
              <w:r>
                <w:rPr>
                  <w:rFonts w:hint="eastAsia" w:ascii="宋体" w:hAnsi="宋体" w:eastAsia="宋体"/>
                  <w:color w:val="000000"/>
                  <w:szCs w:val="21"/>
                  <w:lang w:eastAsia="zh-CN"/>
                </w:rPr>
                <w:instrText xml:space="preserve"> MACROBUTTON  SnrToggleCheckbox √适用 </w:instrText>
              </w:r>
              <w:r>
                <w:rPr>
                  <w:rFonts w:ascii="宋体" w:hAnsi="宋体" w:eastAsia="宋体"/>
                  <w:color w:val="000000"/>
                  <w:szCs w:val="21"/>
                </w:rPr>
                <w:fldChar w:fldCharType="end"/>
              </w:r>
              <w:r>
                <w:rPr>
                  <w:rFonts w:ascii="宋体" w:hAnsi="宋体" w:eastAsia="宋体"/>
                  <w:color w:val="000000"/>
                  <w:szCs w:val="21"/>
                </w:rPr>
                <w:fldChar w:fldCharType="begin"/>
              </w:r>
              <w:r>
                <w:rPr>
                  <w:rFonts w:hint="eastAsia" w:ascii="宋体" w:hAnsi="宋体" w:eastAsia="宋体"/>
                  <w:color w:val="000000"/>
                  <w:szCs w:val="21"/>
                  <w:lang w:eastAsia="zh-CN"/>
                </w:rPr>
                <w:instrText xml:space="preserve"> MACROBUTTON  SnrToggleCheckbox □不适用 </w:instrText>
              </w:r>
              <w:r>
                <w:rPr>
                  <w:rFonts w:ascii="宋体" w:hAnsi="宋体" w:eastAsia="宋体"/>
                  <w:color w:val="000000"/>
                  <w:szCs w:val="21"/>
                </w:rPr>
                <w:fldChar w:fldCharType="end"/>
              </w:r>
            </w:p>
          </w:sdtContent>
        </w:sdt>
        <w:sdt>
          <w:sdtPr>
            <w:rPr>
              <w:rFonts w:hint="eastAsia" w:ascii="宋体" w:hAnsi="宋体" w:eastAsia="宋体"/>
              <w:color w:val="000000"/>
              <w:szCs w:val="21"/>
            </w:rPr>
            <w:tag w:val="_SEC_fd471fc3628a48b88cc7f82e9b69cf4a"/>
            <w:id w:val="1106085167"/>
            <w:placeholder>
              <w:docPart w:val="GBC22222222222222222222222222222"/>
            </w:placeholder>
          </w:sdtPr>
          <w:sdtEndPr>
            <w:rPr>
              <w:rFonts w:hint="eastAsia" w:ascii="宋体" w:hAnsi="宋体" w:eastAsia="宋体"/>
              <w:color w:val="215968" w:themeColor="accent5" w:themeShade="80"/>
              <w:szCs w:val="21"/>
            </w:rPr>
          </w:sdtEndPr>
          <w:sdtContent>
            <w:p>
              <w:pPr>
                <w:ind w:firstLine="420" w:firstLineChars="200"/>
                <w:rPr>
                  <w:rFonts w:ascii="宋体" w:hAnsi="宋体" w:eastAsia="宋体"/>
                  <w:color w:val="000000"/>
                  <w:szCs w:val="21"/>
                </w:rPr>
              </w:pPr>
              <w:sdt>
                <w:sdtPr>
                  <w:rPr>
                    <w:rFonts w:hint="eastAsia" w:ascii="宋体" w:hAnsi="宋体" w:eastAsia="宋体"/>
                    <w:color w:val="000000"/>
                    <w:szCs w:val="21"/>
                  </w:rPr>
                  <w:alias w:val="内部控制运行情况及下一年度改进方向"/>
                  <w:tag w:val="_GBC_287045702c5244359dbc6e77d3d9c306"/>
                  <w:id w:val="1221324585"/>
                  <w:placeholder>
                    <w:docPart w:val="GBC22222222222222222222222222222"/>
                  </w:placeholder>
                </w:sdtPr>
                <w:sdtEndPr>
                  <w:rPr>
                    <w:rFonts w:hint="eastAsia" w:ascii="宋体" w:hAnsi="宋体" w:eastAsia="宋体"/>
                    <w:color w:val="000000"/>
                    <w:szCs w:val="21"/>
                  </w:rPr>
                </w:sdtEndPr>
                <w:sdtContent>
                  <w:r>
                    <w:rPr>
                      <w:rFonts w:hint="eastAsia" w:ascii="宋体" w:hAnsi="宋体" w:eastAsia="宋体"/>
                      <w:color w:val="000000"/>
                      <w:szCs w:val="21"/>
                    </w:rPr>
                    <w:t>2022年，公司认真贯彻监管要求，不断优化内控管理机制，内部控制总体得到有效运行。公司聘请了安永华明会计师事务所（特殊普通合伙）对公司内部控制有效性进行审计。安永华明会计师事务所认为，公司按照《企业内部控制基本规范》和相关规定在所有重大方面保持了有效的财务报告内部控制。 2023年，公司将积极应对内外部经营环境和</w:t>
                  </w:r>
                  <w:r>
                    <w:rPr>
                      <w:rFonts w:hint="eastAsia" w:ascii="宋体" w:hAnsi="宋体" w:eastAsia="宋体"/>
                      <w:color w:val="000000"/>
                      <w:szCs w:val="21"/>
                      <w:lang w:eastAsia="zh-CN"/>
                    </w:rPr>
                    <w:t>形势</w:t>
                  </w:r>
                  <w:r>
                    <w:rPr>
                      <w:rFonts w:hint="eastAsia" w:ascii="宋体" w:hAnsi="宋体" w:eastAsia="宋体"/>
                      <w:color w:val="000000"/>
                      <w:szCs w:val="21"/>
                    </w:rPr>
                    <w:t>的变化，围绕公司发展战略，持续开展内部控制制度建设和优化改进，牢筑合规底线，提升内控管理质效，促进</w:t>
                  </w:r>
                  <w:r>
                    <w:rPr>
                      <w:rFonts w:hint="eastAsia" w:ascii="宋体" w:hAnsi="宋体" w:eastAsia="宋体"/>
                      <w:color w:val="000000"/>
                      <w:szCs w:val="21"/>
                      <w:lang w:eastAsia="zh-CN"/>
                    </w:rPr>
                    <w:t>公司</w:t>
                  </w:r>
                  <w:r>
                    <w:rPr>
                      <w:rFonts w:hint="eastAsia" w:ascii="宋体" w:hAnsi="宋体" w:eastAsia="宋体"/>
                      <w:color w:val="000000"/>
                      <w:szCs w:val="21"/>
                    </w:rPr>
                    <w:t xml:space="preserve">合规稳健经营发展。 </w:t>
                  </w:r>
                </w:sdtContent>
              </w:sdt>
            </w:p>
          </w:sdtContent>
        </w:sdt>
      </w:sdtContent>
    </w:sdt>
    <w:sdt>
      <w:sdtPr>
        <w:rPr>
          <w:rFonts w:hint="eastAsia" w:asciiTheme="minorHAnsi" w:hAnsiTheme="minorHAnsi" w:eastAsiaTheme="minorEastAsia" w:cstheme="minorBidi"/>
          <w:b w:val="0"/>
          <w:bCs w:val="0"/>
          <w:szCs w:val="22"/>
        </w:rPr>
        <w:alias w:val="模块:其他重大事项说明"/>
        <w:tag w:val="_SEC_e6059b6b7af34cc2885490ac0b0be8ed"/>
        <w:id w:val="491448910"/>
        <w:placeholder>
          <w:docPart w:val="GBC22222222222222222222222222222"/>
        </w:placeholder>
      </w:sdtPr>
      <w:sdtEndPr>
        <w:rPr>
          <w:rFonts w:hint="default" w:asciiTheme="minorHAnsi" w:hAnsiTheme="minorHAnsi" w:eastAsiaTheme="minorEastAsia" w:cstheme="minorBidi"/>
          <w:b w:val="0"/>
          <w:bCs w:val="0"/>
          <w:color w:val="333399"/>
          <w:szCs w:val="21"/>
          <w:u w:val="single"/>
        </w:rPr>
      </w:sdtEndPr>
      <w:sdtContent>
        <w:p>
          <w:pPr>
            <w:pStyle w:val="3"/>
            <w:numPr>
              <w:ilvl w:val="0"/>
              <w:numId w:val="13"/>
            </w:numPr>
            <w:spacing w:line="240" w:lineRule="auto"/>
          </w:pPr>
          <w:r>
            <w:rPr>
              <w:rFonts w:hint="eastAsia"/>
            </w:rPr>
            <w:t>其他重大事项说明</w:t>
          </w:r>
        </w:p>
        <w:sdt>
          <w:sdtPr>
            <w:rPr>
              <w:rFonts w:ascii="宋体" w:hAnsi="宋体" w:eastAsia="宋体"/>
              <w:szCs w:val="21"/>
            </w:rPr>
            <w:alias w:val="是否适用：其他重大事项说明[双击切换]"/>
            <w:tag w:val="_GBC_e7fe29b6bf8b4806ac0931fe153ae978"/>
            <w:id w:val="1718630851"/>
            <w:placeholder>
              <w:docPart w:val="GBC22222222222222222222222222222"/>
            </w:placeholder>
          </w:sdtPr>
          <w:sdtEndPr>
            <w:rPr>
              <w:rFonts w:ascii="宋体" w:hAnsi="宋体" w:eastAsia="宋体"/>
              <w:szCs w:val="21"/>
            </w:rPr>
          </w:sdtEndPr>
          <w:sdtContent>
            <w:p>
              <w:pPr>
                <w:ind w:left="420" w:leftChars="200"/>
                <w:rPr>
                  <w:rFonts w:ascii="宋体" w:hAnsi="宋体" w:eastAsia="宋体"/>
                  <w:szCs w:val="21"/>
                </w:rPr>
              </w:pPr>
              <w:r>
                <w:rPr>
                  <w:rFonts w:ascii="宋体" w:hAnsi="宋体" w:eastAsia="宋体"/>
                  <w:szCs w:val="21"/>
                </w:rPr>
                <w:fldChar w:fldCharType="begin"/>
              </w:r>
              <w:r>
                <w:rPr>
                  <w:rFonts w:hint="eastAsia" w:ascii="宋体" w:hAnsi="宋体" w:eastAsia="宋体"/>
                  <w:szCs w:val="21"/>
                  <w:lang w:eastAsia="zh-CN"/>
                </w:rPr>
                <w:instrText xml:space="preserve"> MACROBUTTON  SnrToggleCheckbox □适用 </w:instrText>
              </w:r>
              <w:r>
                <w:rPr>
                  <w:rFonts w:ascii="宋体" w:hAnsi="宋体" w:eastAsia="宋体"/>
                  <w:szCs w:val="21"/>
                </w:rPr>
                <w:fldChar w:fldCharType="end"/>
              </w:r>
              <w:r>
                <w:rPr>
                  <w:rFonts w:ascii="宋体" w:hAnsi="宋体" w:eastAsia="宋体"/>
                  <w:szCs w:val="21"/>
                </w:rPr>
                <w:fldChar w:fldCharType="begin"/>
              </w:r>
              <w:r>
                <w:rPr>
                  <w:rFonts w:hint="eastAsia" w:ascii="宋体" w:hAnsi="宋体" w:eastAsia="宋体"/>
                  <w:szCs w:val="21"/>
                  <w:lang w:eastAsia="zh-CN"/>
                </w:rPr>
                <w:instrText xml:space="preserve"> MACROBUTTON  SnrToggleCheckbox √不适用 </w:instrText>
              </w:r>
              <w:r>
                <w:rPr>
                  <w:rFonts w:ascii="宋体" w:hAnsi="宋体" w:eastAsia="宋体"/>
                  <w:szCs w:val="21"/>
                </w:rPr>
                <w:fldChar w:fldCharType="end"/>
              </w:r>
            </w:p>
          </w:sdtContent>
        </w:sdt>
        <w:p>
          <w:bookmarkStart w:id="8" w:name="_SEC_d11b8d1d0ab249d98bdc25e511f805b0"/>
          <w:bookmarkEnd w:id="8"/>
        </w:p>
      </w:sdtContent>
    </w:sdt>
    <w:p>
      <w:pPr>
        <w:autoSpaceDE w:val="0"/>
        <w:autoSpaceDN w:val="0"/>
        <w:textAlignment w:val="baseline"/>
        <w:rPr>
          <w:color w:val="333399"/>
          <w:szCs w:val="21"/>
          <w:u w:val="single"/>
        </w:rPr>
      </w:pPr>
    </w:p>
    <w:p>
      <w:pPr>
        <w:autoSpaceDE w:val="0"/>
        <w:autoSpaceDN w:val="0"/>
        <w:textAlignment w:val="baseline"/>
        <w:rPr>
          <w:color w:val="333399"/>
          <w:szCs w:val="21"/>
          <w:u w:val="single"/>
        </w:rPr>
      </w:pPr>
    </w:p>
    <w:sdt>
      <w:sdtPr>
        <w:rPr>
          <w:rFonts w:hint="eastAsia" w:ascii="宋体" w:hAnsi="宋体" w:eastAsia="宋体"/>
          <w:color w:val="000000"/>
          <w:szCs w:val="21"/>
        </w:rPr>
        <w:alias w:val="模块:签名"/>
        <w:tag w:val="_SEC_a4f839a8a8f84146a8b7b000742131d3"/>
        <w:id w:val="-1806076029"/>
        <w:lock w:val="sdtLocked"/>
        <w:placeholder>
          <w:docPart w:val="GBC22222222222222222222222222222"/>
        </w:placeholder>
      </w:sdtPr>
      <w:sdtEndPr>
        <w:rPr>
          <w:rFonts w:hint="default" w:ascii="仿宋_GB2312" w:eastAsia="仿宋_GB2312" w:hAnsiTheme="minorHAnsi"/>
          <w:color w:val="auto"/>
          <w:sz w:val="30"/>
          <w:szCs w:val="30"/>
        </w:rPr>
      </w:sdtEndPr>
      <w:sdtContent>
        <w:p>
          <w:pPr>
            <w:autoSpaceDE w:val="0"/>
            <w:autoSpaceDN w:val="0"/>
            <w:ind w:firstLine="2415" w:firstLineChars="1150"/>
            <w:jc w:val="right"/>
            <w:textAlignment w:val="baseline"/>
            <w:rPr>
              <w:rFonts w:ascii="宋体" w:hAnsi="宋体" w:eastAsia="宋体"/>
              <w:color w:val="000000"/>
              <w:szCs w:val="21"/>
            </w:rPr>
          </w:pPr>
          <w:r>
            <w:rPr>
              <w:rFonts w:hint="eastAsia" w:ascii="宋体" w:hAnsi="宋体" w:eastAsia="宋体"/>
              <w:color w:val="000000"/>
              <w:szCs w:val="21"/>
            </w:rPr>
            <w:t>董事长（已经董事会授权）：</w:t>
          </w:r>
          <w:sdt>
            <w:sdtPr>
              <w:rPr>
                <w:rFonts w:hint="eastAsia" w:ascii="宋体" w:hAnsi="宋体" w:eastAsia="宋体"/>
                <w:color w:val="000000"/>
                <w:szCs w:val="21"/>
              </w:rPr>
              <w:alias w:val="报告发布人"/>
              <w:tag w:val="_GBC_0c2369c54a4d4b558bf7548560707a01"/>
              <w:id w:val="1275829282"/>
              <w:lock w:val="sdtLocked"/>
              <w:placeholder>
                <w:docPart w:val="GBC22222222222222222222222222222"/>
              </w:placeholder>
            </w:sdtPr>
            <w:sdtEndPr>
              <w:rPr>
                <w:rFonts w:hint="eastAsia" w:ascii="宋体" w:hAnsi="宋体" w:eastAsia="宋体"/>
                <w:color w:val="000000"/>
                <w:szCs w:val="21"/>
              </w:rPr>
            </w:sdtEndPr>
            <w:sdtContent>
              <w:r>
                <w:rPr>
                  <w:rFonts w:hint="eastAsia" w:ascii="宋体" w:hAnsi="宋体" w:eastAsia="宋体"/>
                  <w:color w:val="000000"/>
                  <w:szCs w:val="21"/>
                  <w:lang w:val="en-US" w:eastAsia="zh-CN"/>
                </w:rPr>
                <w:t>姚志萍</w:t>
              </w:r>
            </w:sdtContent>
          </w:sdt>
          <w:r>
            <w:rPr>
              <w:rFonts w:ascii="宋体" w:hAnsi="宋体" w:eastAsia="宋体"/>
              <w:color w:val="000000"/>
              <w:szCs w:val="21"/>
            </w:rPr>
            <w:t xml:space="preserve"> </w:t>
          </w:r>
        </w:p>
        <w:p>
          <w:pPr>
            <w:autoSpaceDE w:val="0"/>
            <w:autoSpaceDN w:val="0"/>
            <w:ind w:firstLine="2415" w:firstLineChars="1150"/>
            <w:jc w:val="right"/>
            <w:textAlignment w:val="baseline"/>
            <w:rPr>
              <w:rFonts w:ascii="宋体" w:hAnsi="宋体" w:eastAsia="宋体"/>
              <w:color w:val="000000"/>
              <w:szCs w:val="21"/>
            </w:rPr>
          </w:pPr>
          <w:sdt>
            <w:sdtPr>
              <w:rPr>
                <w:rFonts w:ascii="宋体" w:hAnsi="宋体" w:eastAsia="宋体"/>
                <w:szCs w:val="21"/>
              </w:rPr>
              <w:alias w:val="公司法定中文名称"/>
              <w:tag w:val="_GBC_798e1f0938e54c99821aa8ad4fe9b030"/>
              <w:id w:val="1550031532"/>
              <w:lock w:val="sdtLocked"/>
              <w:placeholder>
                <w:docPart w:val="GBC22222222222222222222222222222"/>
              </w:placeholder>
            </w:sdtPr>
            <w:sdtEndPr>
              <w:rPr>
                <w:rFonts w:ascii="宋体" w:hAnsi="宋体" w:eastAsia="宋体"/>
                <w:szCs w:val="21"/>
              </w:rPr>
            </w:sdtEndPr>
            <w:sdtContent>
              <w:r>
                <w:rPr>
                  <w:rFonts w:ascii="宋体" w:hAnsi="宋体" w:eastAsia="宋体"/>
                  <w:szCs w:val="21"/>
                </w:rPr>
                <w:t>厦门银行股份有限公司</w:t>
              </w:r>
            </w:sdtContent>
          </w:sdt>
          <w:r>
            <w:rPr>
              <w:rFonts w:hint="eastAsia" w:ascii="宋体" w:hAnsi="宋体" w:eastAsia="宋体"/>
              <w:color w:val="000000"/>
              <w:szCs w:val="21"/>
            </w:rPr>
            <w:t xml:space="preserve"> </w:t>
          </w:r>
        </w:p>
        <w:p>
          <w:pPr>
            <w:autoSpaceDE w:val="0"/>
            <w:autoSpaceDN w:val="0"/>
            <w:ind w:firstLine="2415" w:firstLineChars="1150"/>
            <w:jc w:val="right"/>
            <w:textAlignment w:val="baseline"/>
            <w:rPr>
              <w:rFonts w:ascii="仿宋_GB2312" w:eastAsia="仿宋_GB2312"/>
              <w:sz w:val="30"/>
              <w:szCs w:val="30"/>
            </w:rPr>
          </w:pPr>
          <w:sdt>
            <w:sdtPr>
              <w:rPr>
                <w:rFonts w:ascii="宋体" w:hAnsi="宋体" w:eastAsia="宋体"/>
                <w:color w:val="000000"/>
                <w:szCs w:val="21"/>
              </w:rPr>
              <w:alias w:val="内部控制评价报告日期"/>
              <w:tag w:val="_GBC_d3ed967ce9694f468faec92f26bea34d"/>
              <w:id w:val="-113441378"/>
              <w:lock w:val="sdtLocked"/>
              <w:placeholder>
                <w:docPart w:val="GBC22222222222222222222222222222"/>
              </w:placeholder>
              <w:date w:fullDate="2023-04-27T00:00:00Z">
                <w:dateFormat w:val="yyyy'年'M'月'd'日'"/>
                <w:lid w:val="zh-CN"/>
                <w:storeMappedDataAs w:val="datetime"/>
                <w:calendar w:val="gregorian"/>
              </w:date>
            </w:sdtPr>
            <w:sdtEndPr>
              <w:rPr>
                <w:rFonts w:ascii="宋体" w:hAnsi="宋体" w:eastAsia="宋体"/>
                <w:color w:val="000000"/>
                <w:szCs w:val="21"/>
              </w:rPr>
            </w:sdtEndPr>
            <w:sdtContent>
              <w:r>
                <w:rPr>
                  <w:rFonts w:ascii="宋体" w:hAnsi="宋体" w:eastAsia="宋体" w:cstheme="minorBidi"/>
                  <w:color w:val="000000"/>
                  <w:kern w:val="2"/>
                  <w:sz w:val="21"/>
                  <w:szCs w:val="21"/>
                  <w:lang w:val="en-US" w:eastAsia="zh-CN" w:bidi="ar-SA"/>
                </w:rPr>
                <w:t>2023年4月27日</w:t>
              </w:r>
            </w:sdtContent>
          </w:sdt>
        </w:p>
      </w:sdtContent>
    </w:sdt>
    <w:sectPr>
      <w:pgSz w:w="11906" w:h="16838"/>
      <w:pgMar w:top="1440" w:right="1276"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109DC4"/>
    <w:multiLevelType w:val="singleLevel"/>
    <w:tmpl w:val="B5109DC4"/>
    <w:lvl w:ilvl="0" w:tentative="0">
      <w:start w:val="1"/>
      <w:numFmt w:val="decimal"/>
      <w:lvlText w:val="%1."/>
      <w:lvlJc w:val="left"/>
      <w:pPr>
        <w:tabs>
          <w:tab w:val="left" w:pos="312"/>
        </w:tabs>
      </w:pPr>
    </w:lvl>
  </w:abstractNum>
  <w:abstractNum w:abstractNumId="1">
    <w:nsid w:val="D3E8843D"/>
    <w:multiLevelType w:val="singleLevel"/>
    <w:tmpl w:val="D3E8843D"/>
    <w:lvl w:ilvl="0" w:tentative="0">
      <w:start w:val="1"/>
      <w:numFmt w:val="decimal"/>
      <w:suff w:val="nothing"/>
      <w:lvlText w:val="%1．"/>
      <w:lvlJc w:val="left"/>
    </w:lvl>
  </w:abstractNum>
  <w:abstractNum w:abstractNumId="2">
    <w:nsid w:val="F8A2D340"/>
    <w:multiLevelType w:val="singleLevel"/>
    <w:tmpl w:val="F8A2D340"/>
    <w:lvl w:ilvl="0" w:tentative="0">
      <w:start w:val="1"/>
      <w:numFmt w:val="decimal"/>
      <w:suff w:val="nothing"/>
      <w:lvlText w:val="%1．"/>
      <w:lvlJc w:val="left"/>
    </w:lvl>
  </w:abstractNum>
  <w:abstractNum w:abstractNumId="3">
    <w:nsid w:val="01694FA5"/>
    <w:multiLevelType w:val="multilevel"/>
    <w:tmpl w:val="01694FA5"/>
    <w:lvl w:ilvl="0" w:tentative="0">
      <w:start w:val="1"/>
      <w:numFmt w:val="decimal"/>
      <w:lvlText w:val="%1."/>
      <w:lvlJc w:val="left"/>
      <w:pPr>
        <w:ind w:left="425" w:hanging="425"/>
      </w:pPr>
      <w:rPr>
        <w:rFonts w:hint="eastAsia" w:ascii="宋体" w:hAnsi="宋体" w:eastAsia="宋体"/>
        <w:b/>
        <w:i w:val="0"/>
        <w:color w:val="auto"/>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CBB16BB"/>
    <w:multiLevelType w:val="multilevel"/>
    <w:tmpl w:val="0CBB16BB"/>
    <w:lvl w:ilvl="0" w:tentative="0">
      <w:start w:val="1"/>
      <w:numFmt w:val="decimal"/>
      <w:lvlText w:val="%1"/>
      <w:lvlJc w:val="left"/>
      <w:pPr>
        <w:ind w:left="425" w:hanging="425"/>
      </w:pPr>
      <w:rPr>
        <w:rFonts w:hint="eastAsia"/>
      </w:rPr>
    </w:lvl>
    <w:lvl w:ilvl="1" w:tentative="0">
      <w:start w:val="1"/>
      <w:numFmt w:val="decimal"/>
      <w:lvlText w:val="2.%2."/>
      <w:lvlJc w:val="left"/>
      <w:pPr>
        <w:ind w:left="992" w:hanging="567"/>
      </w:pPr>
      <w:rPr>
        <w:rFonts w:hint="eastAsia" w:ascii="宋体" w:hAnsi="宋体" w:eastAsia="宋体"/>
        <w:b/>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39CF04D7"/>
    <w:multiLevelType w:val="multilevel"/>
    <w:tmpl w:val="39CF04D7"/>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39F05AF7"/>
    <w:multiLevelType w:val="multilevel"/>
    <w:tmpl w:val="39F05AF7"/>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3C8B5E09"/>
    <w:multiLevelType w:val="multilevel"/>
    <w:tmpl w:val="3C8B5E09"/>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58B143FE"/>
    <w:multiLevelType w:val="multilevel"/>
    <w:tmpl w:val="58B143FE"/>
    <w:lvl w:ilvl="0" w:tentative="0">
      <w:start w:val="1"/>
      <w:numFmt w:val="chineseCountingThousand"/>
      <w:pStyle w:val="2"/>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5CAC055D"/>
    <w:multiLevelType w:val="multilevel"/>
    <w:tmpl w:val="5CAC055D"/>
    <w:lvl w:ilvl="0" w:tentative="0">
      <w:start w:val="1"/>
      <w:numFmt w:val="chineseCountingThousand"/>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5E2D2BF1"/>
    <w:multiLevelType w:val="multilevel"/>
    <w:tmpl w:val="5E2D2BF1"/>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ascii="宋体" w:hAnsi="宋体" w:eastAsia="宋体"/>
        <w:b/>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6F4F078A"/>
    <w:multiLevelType w:val="multilevel"/>
    <w:tmpl w:val="6F4F078A"/>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77D599FB"/>
    <w:multiLevelType w:val="singleLevel"/>
    <w:tmpl w:val="77D599FB"/>
    <w:lvl w:ilvl="0" w:tentative="0">
      <w:start w:val="1"/>
      <w:numFmt w:val="decimal"/>
      <w:suff w:val="nothing"/>
      <w:lvlText w:val="%1．"/>
      <w:lvlJc w:val="left"/>
    </w:lvl>
  </w:abstractNum>
  <w:num w:numId="1">
    <w:abstractNumId w:val="8"/>
  </w:num>
  <w:num w:numId="2">
    <w:abstractNumId w:val="11"/>
  </w:num>
  <w:num w:numId="3">
    <w:abstractNumId w:val="9"/>
  </w:num>
  <w:num w:numId="4">
    <w:abstractNumId w:val="3"/>
  </w:num>
  <w:num w:numId="5">
    <w:abstractNumId w:val="5"/>
  </w:num>
  <w:num w:numId="6">
    <w:abstractNumId w:val="0"/>
  </w:num>
  <w:num w:numId="7">
    <w:abstractNumId w:val="2"/>
  </w:num>
  <w:num w:numId="8">
    <w:abstractNumId w:val="12"/>
  </w:num>
  <w:num w:numId="9">
    <w:abstractNumId w:val="1"/>
  </w:num>
  <w:num w:numId="10">
    <w:abstractNumId w:val="7"/>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3F6E4B"/>
    <w:rsid w:val="000015BD"/>
    <w:rsid w:val="00010227"/>
    <w:rsid w:val="00013A0A"/>
    <w:rsid w:val="00014E2F"/>
    <w:rsid w:val="000332D1"/>
    <w:rsid w:val="000418AE"/>
    <w:rsid w:val="00041DE6"/>
    <w:rsid w:val="00042CE1"/>
    <w:rsid w:val="000435E8"/>
    <w:rsid w:val="00046B26"/>
    <w:rsid w:val="00050DD2"/>
    <w:rsid w:val="0005168E"/>
    <w:rsid w:val="000545C4"/>
    <w:rsid w:val="000573B3"/>
    <w:rsid w:val="00060614"/>
    <w:rsid w:val="0006297F"/>
    <w:rsid w:val="0007743B"/>
    <w:rsid w:val="00081925"/>
    <w:rsid w:val="00083A7D"/>
    <w:rsid w:val="0008421E"/>
    <w:rsid w:val="00085A44"/>
    <w:rsid w:val="00091D5E"/>
    <w:rsid w:val="000957E7"/>
    <w:rsid w:val="00095853"/>
    <w:rsid w:val="00096404"/>
    <w:rsid w:val="00096C98"/>
    <w:rsid w:val="000A0194"/>
    <w:rsid w:val="000A2B6B"/>
    <w:rsid w:val="000A4987"/>
    <w:rsid w:val="000A6A55"/>
    <w:rsid w:val="000B5908"/>
    <w:rsid w:val="000B680F"/>
    <w:rsid w:val="000B6C84"/>
    <w:rsid w:val="000C072D"/>
    <w:rsid w:val="000C3A71"/>
    <w:rsid w:val="000C3FB2"/>
    <w:rsid w:val="000C4ADC"/>
    <w:rsid w:val="000C7487"/>
    <w:rsid w:val="000D209F"/>
    <w:rsid w:val="000D6663"/>
    <w:rsid w:val="000E203B"/>
    <w:rsid w:val="000E493D"/>
    <w:rsid w:val="000E5B13"/>
    <w:rsid w:val="000E5E56"/>
    <w:rsid w:val="000F3DDD"/>
    <w:rsid w:val="000F5A23"/>
    <w:rsid w:val="000F5AD7"/>
    <w:rsid w:val="00100359"/>
    <w:rsid w:val="001005D4"/>
    <w:rsid w:val="001014FC"/>
    <w:rsid w:val="0010285B"/>
    <w:rsid w:val="00104E93"/>
    <w:rsid w:val="00104EF4"/>
    <w:rsid w:val="001057BD"/>
    <w:rsid w:val="00106159"/>
    <w:rsid w:val="00106927"/>
    <w:rsid w:val="00113CCD"/>
    <w:rsid w:val="00123314"/>
    <w:rsid w:val="0013704F"/>
    <w:rsid w:val="001470BF"/>
    <w:rsid w:val="00147446"/>
    <w:rsid w:val="00150263"/>
    <w:rsid w:val="00156623"/>
    <w:rsid w:val="0015740A"/>
    <w:rsid w:val="001617CD"/>
    <w:rsid w:val="00161FF9"/>
    <w:rsid w:val="00162FDD"/>
    <w:rsid w:val="0016557F"/>
    <w:rsid w:val="00167451"/>
    <w:rsid w:val="00171C56"/>
    <w:rsid w:val="00172465"/>
    <w:rsid w:val="00181191"/>
    <w:rsid w:val="00182132"/>
    <w:rsid w:val="001908A9"/>
    <w:rsid w:val="00190E44"/>
    <w:rsid w:val="001922C9"/>
    <w:rsid w:val="001A0280"/>
    <w:rsid w:val="001A1029"/>
    <w:rsid w:val="001A3A26"/>
    <w:rsid w:val="001A5DF9"/>
    <w:rsid w:val="001A75B0"/>
    <w:rsid w:val="001C1310"/>
    <w:rsid w:val="001C1C3E"/>
    <w:rsid w:val="001C328F"/>
    <w:rsid w:val="001C45DF"/>
    <w:rsid w:val="001C799F"/>
    <w:rsid w:val="001E528B"/>
    <w:rsid w:val="001E55AD"/>
    <w:rsid w:val="001E5F9A"/>
    <w:rsid w:val="001F0671"/>
    <w:rsid w:val="00200B8C"/>
    <w:rsid w:val="002016A1"/>
    <w:rsid w:val="0020225E"/>
    <w:rsid w:val="00203885"/>
    <w:rsid w:val="0021180D"/>
    <w:rsid w:val="00215408"/>
    <w:rsid w:val="00221B8D"/>
    <w:rsid w:val="00222347"/>
    <w:rsid w:val="00225FE6"/>
    <w:rsid w:val="00226C6C"/>
    <w:rsid w:val="00231916"/>
    <w:rsid w:val="00240EA7"/>
    <w:rsid w:val="002542CD"/>
    <w:rsid w:val="0025501E"/>
    <w:rsid w:val="0026030F"/>
    <w:rsid w:val="0026655C"/>
    <w:rsid w:val="00267635"/>
    <w:rsid w:val="00267B3E"/>
    <w:rsid w:val="0027578B"/>
    <w:rsid w:val="002761D8"/>
    <w:rsid w:val="00280751"/>
    <w:rsid w:val="002818DF"/>
    <w:rsid w:val="00286926"/>
    <w:rsid w:val="00290139"/>
    <w:rsid w:val="00290D18"/>
    <w:rsid w:val="002935AD"/>
    <w:rsid w:val="002938B5"/>
    <w:rsid w:val="0029407B"/>
    <w:rsid w:val="002A1BAE"/>
    <w:rsid w:val="002B3C64"/>
    <w:rsid w:val="002B6ED9"/>
    <w:rsid w:val="002C4C19"/>
    <w:rsid w:val="002C5AEA"/>
    <w:rsid w:val="002C6472"/>
    <w:rsid w:val="002C7AAA"/>
    <w:rsid w:val="002D35CC"/>
    <w:rsid w:val="002D399F"/>
    <w:rsid w:val="002D433B"/>
    <w:rsid w:val="002D7F91"/>
    <w:rsid w:val="002E0ECF"/>
    <w:rsid w:val="002E2C39"/>
    <w:rsid w:val="002E5BDB"/>
    <w:rsid w:val="002E64AC"/>
    <w:rsid w:val="002E7473"/>
    <w:rsid w:val="002F04B4"/>
    <w:rsid w:val="002F5107"/>
    <w:rsid w:val="002F6734"/>
    <w:rsid w:val="002F692D"/>
    <w:rsid w:val="0030189A"/>
    <w:rsid w:val="00305165"/>
    <w:rsid w:val="0030534E"/>
    <w:rsid w:val="00310F27"/>
    <w:rsid w:val="00315CF5"/>
    <w:rsid w:val="00316E5F"/>
    <w:rsid w:val="00317880"/>
    <w:rsid w:val="00321598"/>
    <w:rsid w:val="00330B31"/>
    <w:rsid w:val="003356AB"/>
    <w:rsid w:val="003365DA"/>
    <w:rsid w:val="00340DFE"/>
    <w:rsid w:val="00341C00"/>
    <w:rsid w:val="003427FE"/>
    <w:rsid w:val="0035010C"/>
    <w:rsid w:val="00351324"/>
    <w:rsid w:val="00352DA3"/>
    <w:rsid w:val="003542A9"/>
    <w:rsid w:val="003567A3"/>
    <w:rsid w:val="00361757"/>
    <w:rsid w:val="00361762"/>
    <w:rsid w:val="00364E4E"/>
    <w:rsid w:val="003660F5"/>
    <w:rsid w:val="003738E5"/>
    <w:rsid w:val="003748CC"/>
    <w:rsid w:val="00376D4D"/>
    <w:rsid w:val="00377F4C"/>
    <w:rsid w:val="0038375B"/>
    <w:rsid w:val="003871BD"/>
    <w:rsid w:val="00390BF7"/>
    <w:rsid w:val="00393905"/>
    <w:rsid w:val="003A2DE3"/>
    <w:rsid w:val="003A6A72"/>
    <w:rsid w:val="003A784A"/>
    <w:rsid w:val="003B0337"/>
    <w:rsid w:val="003B4565"/>
    <w:rsid w:val="003B7138"/>
    <w:rsid w:val="003C0427"/>
    <w:rsid w:val="003C3CD8"/>
    <w:rsid w:val="003C3FD4"/>
    <w:rsid w:val="003C76A0"/>
    <w:rsid w:val="003C7A68"/>
    <w:rsid w:val="003D5729"/>
    <w:rsid w:val="003E330C"/>
    <w:rsid w:val="003E56FB"/>
    <w:rsid w:val="003F5147"/>
    <w:rsid w:val="003F6E4B"/>
    <w:rsid w:val="00402611"/>
    <w:rsid w:val="004053C4"/>
    <w:rsid w:val="00405FBC"/>
    <w:rsid w:val="004136A4"/>
    <w:rsid w:val="00413F5D"/>
    <w:rsid w:val="0041551C"/>
    <w:rsid w:val="004234DE"/>
    <w:rsid w:val="0042458F"/>
    <w:rsid w:val="00430771"/>
    <w:rsid w:val="004346C5"/>
    <w:rsid w:val="004440BB"/>
    <w:rsid w:val="00462864"/>
    <w:rsid w:val="00462B49"/>
    <w:rsid w:val="0046542E"/>
    <w:rsid w:val="00467629"/>
    <w:rsid w:val="004778C8"/>
    <w:rsid w:val="00477E00"/>
    <w:rsid w:val="004829C4"/>
    <w:rsid w:val="004831F5"/>
    <w:rsid w:val="00484F7D"/>
    <w:rsid w:val="00485B84"/>
    <w:rsid w:val="00491EA3"/>
    <w:rsid w:val="00494E5D"/>
    <w:rsid w:val="0049513C"/>
    <w:rsid w:val="004964A7"/>
    <w:rsid w:val="00496A5A"/>
    <w:rsid w:val="004A00DF"/>
    <w:rsid w:val="004A2DAB"/>
    <w:rsid w:val="004A370B"/>
    <w:rsid w:val="004A4ED7"/>
    <w:rsid w:val="004A59A3"/>
    <w:rsid w:val="004B5141"/>
    <w:rsid w:val="004B7422"/>
    <w:rsid w:val="004B7DA7"/>
    <w:rsid w:val="004C1B6A"/>
    <w:rsid w:val="004D36F5"/>
    <w:rsid w:val="004D3D63"/>
    <w:rsid w:val="004D79C7"/>
    <w:rsid w:val="004E0E0C"/>
    <w:rsid w:val="004F2DC2"/>
    <w:rsid w:val="004F36CB"/>
    <w:rsid w:val="0050104C"/>
    <w:rsid w:val="005069B8"/>
    <w:rsid w:val="00507A9C"/>
    <w:rsid w:val="00511395"/>
    <w:rsid w:val="0051481B"/>
    <w:rsid w:val="00515989"/>
    <w:rsid w:val="005164D2"/>
    <w:rsid w:val="00523F0F"/>
    <w:rsid w:val="005268B9"/>
    <w:rsid w:val="00532BC2"/>
    <w:rsid w:val="00541CF1"/>
    <w:rsid w:val="005426E9"/>
    <w:rsid w:val="0054681B"/>
    <w:rsid w:val="00552410"/>
    <w:rsid w:val="00555272"/>
    <w:rsid w:val="00556B33"/>
    <w:rsid w:val="00560091"/>
    <w:rsid w:val="00561371"/>
    <w:rsid w:val="00571787"/>
    <w:rsid w:val="0058116C"/>
    <w:rsid w:val="00581E33"/>
    <w:rsid w:val="0058320A"/>
    <w:rsid w:val="0059641E"/>
    <w:rsid w:val="005A29BE"/>
    <w:rsid w:val="005A2AB3"/>
    <w:rsid w:val="005A3610"/>
    <w:rsid w:val="005A39F1"/>
    <w:rsid w:val="005A582E"/>
    <w:rsid w:val="005B2978"/>
    <w:rsid w:val="005B52F2"/>
    <w:rsid w:val="005C3250"/>
    <w:rsid w:val="005C3FBC"/>
    <w:rsid w:val="005C4589"/>
    <w:rsid w:val="005D6E1D"/>
    <w:rsid w:val="005D7E8E"/>
    <w:rsid w:val="005E2180"/>
    <w:rsid w:val="005E5603"/>
    <w:rsid w:val="005F6B91"/>
    <w:rsid w:val="00604730"/>
    <w:rsid w:val="00606437"/>
    <w:rsid w:val="00606DCF"/>
    <w:rsid w:val="00614A93"/>
    <w:rsid w:val="00621441"/>
    <w:rsid w:val="00622042"/>
    <w:rsid w:val="0062489B"/>
    <w:rsid w:val="00625A57"/>
    <w:rsid w:val="00626C4C"/>
    <w:rsid w:val="00626DB2"/>
    <w:rsid w:val="00631A9D"/>
    <w:rsid w:val="00633401"/>
    <w:rsid w:val="00635177"/>
    <w:rsid w:val="0063709A"/>
    <w:rsid w:val="00637C19"/>
    <w:rsid w:val="006400F8"/>
    <w:rsid w:val="006454E8"/>
    <w:rsid w:val="00647F4D"/>
    <w:rsid w:val="0065058D"/>
    <w:rsid w:val="0065785E"/>
    <w:rsid w:val="00661138"/>
    <w:rsid w:val="00663EDD"/>
    <w:rsid w:val="00664CA4"/>
    <w:rsid w:val="006673CD"/>
    <w:rsid w:val="006725C6"/>
    <w:rsid w:val="006A136E"/>
    <w:rsid w:val="006A2F81"/>
    <w:rsid w:val="006B099E"/>
    <w:rsid w:val="006B5CFF"/>
    <w:rsid w:val="006B631C"/>
    <w:rsid w:val="006B749B"/>
    <w:rsid w:val="006C65A2"/>
    <w:rsid w:val="006D07F4"/>
    <w:rsid w:val="006D1D56"/>
    <w:rsid w:val="006D3981"/>
    <w:rsid w:val="006D5601"/>
    <w:rsid w:val="006D5FE7"/>
    <w:rsid w:val="006D7227"/>
    <w:rsid w:val="006E16EF"/>
    <w:rsid w:val="006E3D01"/>
    <w:rsid w:val="006E736E"/>
    <w:rsid w:val="006F1F87"/>
    <w:rsid w:val="006F3BEA"/>
    <w:rsid w:val="007022D0"/>
    <w:rsid w:val="00702671"/>
    <w:rsid w:val="007035EF"/>
    <w:rsid w:val="00711A71"/>
    <w:rsid w:val="00712111"/>
    <w:rsid w:val="00720FD5"/>
    <w:rsid w:val="00722033"/>
    <w:rsid w:val="00723D75"/>
    <w:rsid w:val="00726CEC"/>
    <w:rsid w:val="00727769"/>
    <w:rsid w:val="00731B94"/>
    <w:rsid w:val="007330A9"/>
    <w:rsid w:val="00733E7E"/>
    <w:rsid w:val="00735A97"/>
    <w:rsid w:val="00737755"/>
    <w:rsid w:val="007421CF"/>
    <w:rsid w:val="00744CFD"/>
    <w:rsid w:val="00747B39"/>
    <w:rsid w:val="007531DC"/>
    <w:rsid w:val="0075482A"/>
    <w:rsid w:val="00760924"/>
    <w:rsid w:val="00761C1D"/>
    <w:rsid w:val="0076320C"/>
    <w:rsid w:val="00770330"/>
    <w:rsid w:val="00770349"/>
    <w:rsid w:val="00772FB4"/>
    <w:rsid w:val="00773DD8"/>
    <w:rsid w:val="007750A1"/>
    <w:rsid w:val="00777F4F"/>
    <w:rsid w:val="00781DE1"/>
    <w:rsid w:val="00783400"/>
    <w:rsid w:val="0078420E"/>
    <w:rsid w:val="00785981"/>
    <w:rsid w:val="00787FF0"/>
    <w:rsid w:val="007918E1"/>
    <w:rsid w:val="00791A65"/>
    <w:rsid w:val="00796DBB"/>
    <w:rsid w:val="007978F6"/>
    <w:rsid w:val="007A2D68"/>
    <w:rsid w:val="007C555D"/>
    <w:rsid w:val="007D1596"/>
    <w:rsid w:val="007D1A1A"/>
    <w:rsid w:val="007D2BCC"/>
    <w:rsid w:val="007D7047"/>
    <w:rsid w:val="007D744D"/>
    <w:rsid w:val="007D7CA6"/>
    <w:rsid w:val="007E1003"/>
    <w:rsid w:val="007E2ECA"/>
    <w:rsid w:val="007E5185"/>
    <w:rsid w:val="007F6841"/>
    <w:rsid w:val="007F78B1"/>
    <w:rsid w:val="007F7E18"/>
    <w:rsid w:val="00805E21"/>
    <w:rsid w:val="00811627"/>
    <w:rsid w:val="00811E0C"/>
    <w:rsid w:val="00816CD0"/>
    <w:rsid w:val="008211F3"/>
    <w:rsid w:val="00822C13"/>
    <w:rsid w:val="00825B7F"/>
    <w:rsid w:val="00826390"/>
    <w:rsid w:val="00831DA7"/>
    <w:rsid w:val="00834195"/>
    <w:rsid w:val="0083638C"/>
    <w:rsid w:val="008479A7"/>
    <w:rsid w:val="00852BE1"/>
    <w:rsid w:val="008532DE"/>
    <w:rsid w:val="0085496D"/>
    <w:rsid w:val="00857D95"/>
    <w:rsid w:val="008613FD"/>
    <w:rsid w:val="00861510"/>
    <w:rsid w:val="00862ACD"/>
    <w:rsid w:val="0086392C"/>
    <w:rsid w:val="00863A0F"/>
    <w:rsid w:val="00863E36"/>
    <w:rsid w:val="008644C0"/>
    <w:rsid w:val="00865CB3"/>
    <w:rsid w:val="00870585"/>
    <w:rsid w:val="00870ACC"/>
    <w:rsid w:val="00870B65"/>
    <w:rsid w:val="00872BC1"/>
    <w:rsid w:val="00873C9E"/>
    <w:rsid w:val="008774C8"/>
    <w:rsid w:val="008804C7"/>
    <w:rsid w:val="008924B2"/>
    <w:rsid w:val="0089357E"/>
    <w:rsid w:val="008936A2"/>
    <w:rsid w:val="00894BF6"/>
    <w:rsid w:val="008952AF"/>
    <w:rsid w:val="008A1F64"/>
    <w:rsid w:val="008A323F"/>
    <w:rsid w:val="008A669B"/>
    <w:rsid w:val="008B1E94"/>
    <w:rsid w:val="008B2396"/>
    <w:rsid w:val="008B7067"/>
    <w:rsid w:val="008C2E11"/>
    <w:rsid w:val="008D5281"/>
    <w:rsid w:val="008E1AEB"/>
    <w:rsid w:val="008E1FC5"/>
    <w:rsid w:val="008E77C7"/>
    <w:rsid w:val="008F2238"/>
    <w:rsid w:val="008F4DFD"/>
    <w:rsid w:val="008F6BC6"/>
    <w:rsid w:val="009022CD"/>
    <w:rsid w:val="009026FC"/>
    <w:rsid w:val="0090313A"/>
    <w:rsid w:val="00905359"/>
    <w:rsid w:val="00913023"/>
    <w:rsid w:val="009152AD"/>
    <w:rsid w:val="009270B3"/>
    <w:rsid w:val="009273EF"/>
    <w:rsid w:val="00930C8F"/>
    <w:rsid w:val="009332F6"/>
    <w:rsid w:val="009351A0"/>
    <w:rsid w:val="00935FEE"/>
    <w:rsid w:val="00937794"/>
    <w:rsid w:val="00944C46"/>
    <w:rsid w:val="00947922"/>
    <w:rsid w:val="00952F34"/>
    <w:rsid w:val="00962CEC"/>
    <w:rsid w:val="00965735"/>
    <w:rsid w:val="00965969"/>
    <w:rsid w:val="009708AF"/>
    <w:rsid w:val="00976996"/>
    <w:rsid w:val="00980C48"/>
    <w:rsid w:val="00994822"/>
    <w:rsid w:val="00995715"/>
    <w:rsid w:val="009A3556"/>
    <w:rsid w:val="009A545D"/>
    <w:rsid w:val="009A56BC"/>
    <w:rsid w:val="009A643C"/>
    <w:rsid w:val="009B2030"/>
    <w:rsid w:val="009B385C"/>
    <w:rsid w:val="009C24CF"/>
    <w:rsid w:val="009C4DC0"/>
    <w:rsid w:val="009C66BD"/>
    <w:rsid w:val="009D0342"/>
    <w:rsid w:val="009D551D"/>
    <w:rsid w:val="009D57BC"/>
    <w:rsid w:val="009D68FE"/>
    <w:rsid w:val="009D6D9D"/>
    <w:rsid w:val="009E1103"/>
    <w:rsid w:val="009F5220"/>
    <w:rsid w:val="009F557C"/>
    <w:rsid w:val="009F6F54"/>
    <w:rsid w:val="00A049EE"/>
    <w:rsid w:val="00A06BE3"/>
    <w:rsid w:val="00A11246"/>
    <w:rsid w:val="00A17980"/>
    <w:rsid w:val="00A20813"/>
    <w:rsid w:val="00A2141E"/>
    <w:rsid w:val="00A218EF"/>
    <w:rsid w:val="00A228FB"/>
    <w:rsid w:val="00A23287"/>
    <w:rsid w:val="00A24526"/>
    <w:rsid w:val="00A25956"/>
    <w:rsid w:val="00A26674"/>
    <w:rsid w:val="00A3206F"/>
    <w:rsid w:val="00A33462"/>
    <w:rsid w:val="00A343AC"/>
    <w:rsid w:val="00A35CAE"/>
    <w:rsid w:val="00A37167"/>
    <w:rsid w:val="00A47340"/>
    <w:rsid w:val="00A507C8"/>
    <w:rsid w:val="00A514AF"/>
    <w:rsid w:val="00A52F58"/>
    <w:rsid w:val="00A5371C"/>
    <w:rsid w:val="00A54BB4"/>
    <w:rsid w:val="00A55AE6"/>
    <w:rsid w:val="00A6380D"/>
    <w:rsid w:val="00A6418E"/>
    <w:rsid w:val="00A666C6"/>
    <w:rsid w:val="00A70107"/>
    <w:rsid w:val="00A73B1A"/>
    <w:rsid w:val="00A73E92"/>
    <w:rsid w:val="00A74BD4"/>
    <w:rsid w:val="00A80B46"/>
    <w:rsid w:val="00A81349"/>
    <w:rsid w:val="00A82C1E"/>
    <w:rsid w:val="00A83571"/>
    <w:rsid w:val="00A83DE1"/>
    <w:rsid w:val="00A8523B"/>
    <w:rsid w:val="00A85251"/>
    <w:rsid w:val="00A9595E"/>
    <w:rsid w:val="00AA5CDC"/>
    <w:rsid w:val="00AA79C3"/>
    <w:rsid w:val="00AB090B"/>
    <w:rsid w:val="00AB1E49"/>
    <w:rsid w:val="00AB7F83"/>
    <w:rsid w:val="00AC2093"/>
    <w:rsid w:val="00AC41CF"/>
    <w:rsid w:val="00AC4F67"/>
    <w:rsid w:val="00AD45C8"/>
    <w:rsid w:val="00AD62B6"/>
    <w:rsid w:val="00AD64B3"/>
    <w:rsid w:val="00AE019A"/>
    <w:rsid w:val="00AE0644"/>
    <w:rsid w:val="00AF2BEE"/>
    <w:rsid w:val="00AF37A3"/>
    <w:rsid w:val="00AF5054"/>
    <w:rsid w:val="00AF7078"/>
    <w:rsid w:val="00B02B98"/>
    <w:rsid w:val="00B04E6F"/>
    <w:rsid w:val="00B0653A"/>
    <w:rsid w:val="00B06D5C"/>
    <w:rsid w:val="00B06E9D"/>
    <w:rsid w:val="00B07420"/>
    <w:rsid w:val="00B11CFE"/>
    <w:rsid w:val="00B16DFF"/>
    <w:rsid w:val="00B2226A"/>
    <w:rsid w:val="00B407CC"/>
    <w:rsid w:val="00B45069"/>
    <w:rsid w:val="00B473EE"/>
    <w:rsid w:val="00B47AB9"/>
    <w:rsid w:val="00B52012"/>
    <w:rsid w:val="00B53AB2"/>
    <w:rsid w:val="00B54223"/>
    <w:rsid w:val="00B542A9"/>
    <w:rsid w:val="00B602CF"/>
    <w:rsid w:val="00B6101C"/>
    <w:rsid w:val="00B624A4"/>
    <w:rsid w:val="00B65557"/>
    <w:rsid w:val="00B673A5"/>
    <w:rsid w:val="00B72DAF"/>
    <w:rsid w:val="00B74700"/>
    <w:rsid w:val="00B75965"/>
    <w:rsid w:val="00B76B49"/>
    <w:rsid w:val="00B80822"/>
    <w:rsid w:val="00B83633"/>
    <w:rsid w:val="00B86087"/>
    <w:rsid w:val="00B86EB0"/>
    <w:rsid w:val="00B87A96"/>
    <w:rsid w:val="00B902CB"/>
    <w:rsid w:val="00B90A10"/>
    <w:rsid w:val="00B911A6"/>
    <w:rsid w:val="00B96789"/>
    <w:rsid w:val="00B97396"/>
    <w:rsid w:val="00B97823"/>
    <w:rsid w:val="00BA401E"/>
    <w:rsid w:val="00BA5B65"/>
    <w:rsid w:val="00BA6597"/>
    <w:rsid w:val="00BA719F"/>
    <w:rsid w:val="00BA7E84"/>
    <w:rsid w:val="00BB2F4A"/>
    <w:rsid w:val="00BC3298"/>
    <w:rsid w:val="00BC77CC"/>
    <w:rsid w:val="00BC7A47"/>
    <w:rsid w:val="00BD710F"/>
    <w:rsid w:val="00BE1FBD"/>
    <w:rsid w:val="00BE761D"/>
    <w:rsid w:val="00BE7BFD"/>
    <w:rsid w:val="00BF6F13"/>
    <w:rsid w:val="00C004DC"/>
    <w:rsid w:val="00C00853"/>
    <w:rsid w:val="00C01197"/>
    <w:rsid w:val="00C01C42"/>
    <w:rsid w:val="00C068EB"/>
    <w:rsid w:val="00C121BC"/>
    <w:rsid w:val="00C143FA"/>
    <w:rsid w:val="00C15DDE"/>
    <w:rsid w:val="00C21E33"/>
    <w:rsid w:val="00C24598"/>
    <w:rsid w:val="00C27588"/>
    <w:rsid w:val="00C34477"/>
    <w:rsid w:val="00C34517"/>
    <w:rsid w:val="00C35523"/>
    <w:rsid w:val="00C36FF2"/>
    <w:rsid w:val="00C400FC"/>
    <w:rsid w:val="00C402A1"/>
    <w:rsid w:val="00C4157A"/>
    <w:rsid w:val="00C415A7"/>
    <w:rsid w:val="00C4207A"/>
    <w:rsid w:val="00C43582"/>
    <w:rsid w:val="00C443B3"/>
    <w:rsid w:val="00C47B35"/>
    <w:rsid w:val="00C56547"/>
    <w:rsid w:val="00C6125E"/>
    <w:rsid w:val="00C61D3A"/>
    <w:rsid w:val="00C61D90"/>
    <w:rsid w:val="00C65157"/>
    <w:rsid w:val="00C66D5E"/>
    <w:rsid w:val="00C67AD5"/>
    <w:rsid w:val="00C706D9"/>
    <w:rsid w:val="00C70E3A"/>
    <w:rsid w:val="00C81A89"/>
    <w:rsid w:val="00C843F5"/>
    <w:rsid w:val="00C87D08"/>
    <w:rsid w:val="00C932C7"/>
    <w:rsid w:val="00CA4650"/>
    <w:rsid w:val="00CA68FB"/>
    <w:rsid w:val="00CC002A"/>
    <w:rsid w:val="00CC1864"/>
    <w:rsid w:val="00CD0E2B"/>
    <w:rsid w:val="00CD2246"/>
    <w:rsid w:val="00CD37AB"/>
    <w:rsid w:val="00CD59A9"/>
    <w:rsid w:val="00CE17A8"/>
    <w:rsid w:val="00CE2283"/>
    <w:rsid w:val="00CE625D"/>
    <w:rsid w:val="00CE70F3"/>
    <w:rsid w:val="00CF1636"/>
    <w:rsid w:val="00CF1BE7"/>
    <w:rsid w:val="00CF38C2"/>
    <w:rsid w:val="00D02319"/>
    <w:rsid w:val="00D05C1C"/>
    <w:rsid w:val="00D06E3F"/>
    <w:rsid w:val="00D07F75"/>
    <w:rsid w:val="00D07FC4"/>
    <w:rsid w:val="00D110AE"/>
    <w:rsid w:val="00D1402F"/>
    <w:rsid w:val="00D252B9"/>
    <w:rsid w:val="00D25ACD"/>
    <w:rsid w:val="00D27789"/>
    <w:rsid w:val="00D30F03"/>
    <w:rsid w:val="00D31A5A"/>
    <w:rsid w:val="00D402CC"/>
    <w:rsid w:val="00D4048F"/>
    <w:rsid w:val="00D43C1D"/>
    <w:rsid w:val="00D47716"/>
    <w:rsid w:val="00D520B6"/>
    <w:rsid w:val="00D52D75"/>
    <w:rsid w:val="00D6385E"/>
    <w:rsid w:val="00D63C23"/>
    <w:rsid w:val="00D65BBA"/>
    <w:rsid w:val="00D6783C"/>
    <w:rsid w:val="00D700BE"/>
    <w:rsid w:val="00D70EDB"/>
    <w:rsid w:val="00D745B6"/>
    <w:rsid w:val="00D75EA4"/>
    <w:rsid w:val="00D7631E"/>
    <w:rsid w:val="00D80C2A"/>
    <w:rsid w:val="00D8553C"/>
    <w:rsid w:val="00D85E20"/>
    <w:rsid w:val="00D93310"/>
    <w:rsid w:val="00D945B7"/>
    <w:rsid w:val="00D94A4F"/>
    <w:rsid w:val="00D94B6C"/>
    <w:rsid w:val="00D96090"/>
    <w:rsid w:val="00D96E21"/>
    <w:rsid w:val="00DA0901"/>
    <w:rsid w:val="00DA2330"/>
    <w:rsid w:val="00DA7370"/>
    <w:rsid w:val="00DB4B83"/>
    <w:rsid w:val="00DB4D8F"/>
    <w:rsid w:val="00DB506B"/>
    <w:rsid w:val="00DB7062"/>
    <w:rsid w:val="00DB737A"/>
    <w:rsid w:val="00DC367C"/>
    <w:rsid w:val="00DC373C"/>
    <w:rsid w:val="00DD2191"/>
    <w:rsid w:val="00DD5CFB"/>
    <w:rsid w:val="00DE3EBA"/>
    <w:rsid w:val="00DE427C"/>
    <w:rsid w:val="00DF4599"/>
    <w:rsid w:val="00DF4FE1"/>
    <w:rsid w:val="00DF6C1D"/>
    <w:rsid w:val="00DF74CE"/>
    <w:rsid w:val="00DF7795"/>
    <w:rsid w:val="00E004E7"/>
    <w:rsid w:val="00E010F4"/>
    <w:rsid w:val="00E0637A"/>
    <w:rsid w:val="00E06486"/>
    <w:rsid w:val="00E10C2B"/>
    <w:rsid w:val="00E12DE3"/>
    <w:rsid w:val="00E13926"/>
    <w:rsid w:val="00E13A36"/>
    <w:rsid w:val="00E1528B"/>
    <w:rsid w:val="00E20FA9"/>
    <w:rsid w:val="00E23487"/>
    <w:rsid w:val="00E2422E"/>
    <w:rsid w:val="00E408D3"/>
    <w:rsid w:val="00E42370"/>
    <w:rsid w:val="00E424C5"/>
    <w:rsid w:val="00E42D1F"/>
    <w:rsid w:val="00E431ED"/>
    <w:rsid w:val="00E43A2F"/>
    <w:rsid w:val="00E45DA8"/>
    <w:rsid w:val="00E522A5"/>
    <w:rsid w:val="00E52DEE"/>
    <w:rsid w:val="00E550B9"/>
    <w:rsid w:val="00E603CD"/>
    <w:rsid w:val="00E6044C"/>
    <w:rsid w:val="00E631E4"/>
    <w:rsid w:val="00E65F6D"/>
    <w:rsid w:val="00E70841"/>
    <w:rsid w:val="00E73365"/>
    <w:rsid w:val="00E74228"/>
    <w:rsid w:val="00E83A92"/>
    <w:rsid w:val="00E851B2"/>
    <w:rsid w:val="00E8658F"/>
    <w:rsid w:val="00E87D2E"/>
    <w:rsid w:val="00E91086"/>
    <w:rsid w:val="00E918FB"/>
    <w:rsid w:val="00E926F8"/>
    <w:rsid w:val="00E96793"/>
    <w:rsid w:val="00EA17CB"/>
    <w:rsid w:val="00EA19C8"/>
    <w:rsid w:val="00EA2983"/>
    <w:rsid w:val="00EA2E12"/>
    <w:rsid w:val="00EA34CD"/>
    <w:rsid w:val="00EA3C3D"/>
    <w:rsid w:val="00EA7192"/>
    <w:rsid w:val="00EB00C1"/>
    <w:rsid w:val="00EB3131"/>
    <w:rsid w:val="00EB4873"/>
    <w:rsid w:val="00EC0EF4"/>
    <w:rsid w:val="00EC1438"/>
    <w:rsid w:val="00EC1DB3"/>
    <w:rsid w:val="00EC25CC"/>
    <w:rsid w:val="00EC53E9"/>
    <w:rsid w:val="00EC688B"/>
    <w:rsid w:val="00EC71A1"/>
    <w:rsid w:val="00ED0004"/>
    <w:rsid w:val="00ED08F4"/>
    <w:rsid w:val="00ED1CFA"/>
    <w:rsid w:val="00ED1FAB"/>
    <w:rsid w:val="00ED2509"/>
    <w:rsid w:val="00ED70DE"/>
    <w:rsid w:val="00EE0926"/>
    <w:rsid w:val="00EE1A6E"/>
    <w:rsid w:val="00EE50CE"/>
    <w:rsid w:val="00EE6242"/>
    <w:rsid w:val="00EF02FE"/>
    <w:rsid w:val="00EF0A5F"/>
    <w:rsid w:val="00EF212B"/>
    <w:rsid w:val="00F03184"/>
    <w:rsid w:val="00F07912"/>
    <w:rsid w:val="00F10260"/>
    <w:rsid w:val="00F11365"/>
    <w:rsid w:val="00F16BFE"/>
    <w:rsid w:val="00F21320"/>
    <w:rsid w:val="00F21BC0"/>
    <w:rsid w:val="00F21C13"/>
    <w:rsid w:val="00F22045"/>
    <w:rsid w:val="00F27D50"/>
    <w:rsid w:val="00F30AA5"/>
    <w:rsid w:val="00F37728"/>
    <w:rsid w:val="00F37EEE"/>
    <w:rsid w:val="00F43875"/>
    <w:rsid w:val="00F44064"/>
    <w:rsid w:val="00F446FB"/>
    <w:rsid w:val="00F50B09"/>
    <w:rsid w:val="00F5256B"/>
    <w:rsid w:val="00F54D4C"/>
    <w:rsid w:val="00F54E5E"/>
    <w:rsid w:val="00F550F5"/>
    <w:rsid w:val="00F65B23"/>
    <w:rsid w:val="00F77EBC"/>
    <w:rsid w:val="00F80366"/>
    <w:rsid w:val="00F84ED3"/>
    <w:rsid w:val="00F95DA3"/>
    <w:rsid w:val="00FA012A"/>
    <w:rsid w:val="00FA052B"/>
    <w:rsid w:val="00FA35EC"/>
    <w:rsid w:val="00FA7BBA"/>
    <w:rsid w:val="00FB12D0"/>
    <w:rsid w:val="00FB63A5"/>
    <w:rsid w:val="00FC0DF7"/>
    <w:rsid w:val="00FD10CC"/>
    <w:rsid w:val="00FD1794"/>
    <w:rsid w:val="00FD1A85"/>
    <w:rsid w:val="00FD339C"/>
    <w:rsid w:val="00FD45B3"/>
    <w:rsid w:val="00FD6777"/>
    <w:rsid w:val="00FD777F"/>
    <w:rsid w:val="00FE04E4"/>
    <w:rsid w:val="00FE7EBC"/>
    <w:rsid w:val="087A453B"/>
    <w:rsid w:val="0D356C97"/>
    <w:rsid w:val="105249A6"/>
    <w:rsid w:val="1417497D"/>
    <w:rsid w:val="181D77D7"/>
    <w:rsid w:val="18D97E74"/>
    <w:rsid w:val="1B9A3FD9"/>
    <w:rsid w:val="1BF362E2"/>
    <w:rsid w:val="20D6184A"/>
    <w:rsid w:val="22DE1DA7"/>
    <w:rsid w:val="23BD60B3"/>
    <w:rsid w:val="256841A3"/>
    <w:rsid w:val="2BAD4C00"/>
    <w:rsid w:val="2E725CFD"/>
    <w:rsid w:val="33353968"/>
    <w:rsid w:val="39CD1219"/>
    <w:rsid w:val="3E5A42B5"/>
    <w:rsid w:val="47A07D65"/>
    <w:rsid w:val="47B32859"/>
    <w:rsid w:val="480D4FB3"/>
    <w:rsid w:val="48E22E84"/>
    <w:rsid w:val="5F18601C"/>
    <w:rsid w:val="606F4DEC"/>
    <w:rsid w:val="6F37678F"/>
    <w:rsid w:val="7B0F35FC"/>
    <w:rsid w:val="7E4B3929"/>
    <w:rsid w:val="7EC57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numPr>
        <w:ilvl w:val="0"/>
        <w:numId w:val="1"/>
      </w:numPr>
      <w:snapToGrid w:val="0"/>
      <w:spacing w:before="120" w:after="120"/>
      <w:ind w:left="424" w:hanging="424" w:hangingChars="202"/>
      <w:outlineLvl w:val="0"/>
    </w:pPr>
    <w:rPr>
      <w:b/>
      <w:bCs/>
      <w:kern w:val="44"/>
      <w:sz w:val="24"/>
      <w:szCs w:val="24"/>
    </w:rPr>
  </w:style>
  <w:style w:type="paragraph" w:styleId="3">
    <w:name w:val="heading 2"/>
    <w:basedOn w:val="1"/>
    <w:next w:val="1"/>
    <w:link w:val="24"/>
    <w:semiHidden/>
    <w:unhideWhenUsed/>
    <w:qFormat/>
    <w:uiPriority w:val="9"/>
    <w:pPr>
      <w:keepNext/>
      <w:keepLines/>
      <w:spacing w:before="120" w:after="120" w:line="360" w:lineRule="auto"/>
      <w:outlineLvl w:val="1"/>
    </w:pPr>
    <w:rPr>
      <w:rFonts w:eastAsia="宋体" w:asciiTheme="majorHAnsi" w:hAnsiTheme="majorHAnsi" w:cstheme="majorBidi"/>
      <w:b/>
      <w:bCs/>
      <w:szCs w:val="32"/>
    </w:rPr>
  </w:style>
  <w:style w:type="paragraph" w:styleId="4">
    <w:name w:val="heading 3"/>
    <w:basedOn w:val="1"/>
    <w:next w:val="1"/>
    <w:link w:val="25"/>
    <w:semiHidden/>
    <w:unhideWhenUsed/>
    <w:qFormat/>
    <w:uiPriority w:val="9"/>
    <w:pPr>
      <w:keepNext/>
      <w:keepLines/>
      <w:spacing w:before="120" w:after="120" w:line="360" w:lineRule="auto"/>
      <w:outlineLvl w:val="2"/>
    </w:pPr>
    <w:rPr>
      <w:rFonts w:eastAsia="宋体"/>
      <w:b/>
      <w:bCs/>
      <w:szCs w:val="32"/>
    </w:rPr>
  </w:style>
  <w:style w:type="paragraph" w:styleId="5">
    <w:name w:val="heading 4"/>
    <w:basedOn w:val="1"/>
    <w:next w:val="1"/>
    <w:link w:val="26"/>
    <w:semiHidden/>
    <w:unhideWhenUsed/>
    <w:qFormat/>
    <w:uiPriority w:val="9"/>
    <w:pPr>
      <w:keepNext/>
      <w:keepLines/>
      <w:spacing w:before="120" w:after="120" w:line="360" w:lineRule="auto"/>
      <w:outlineLvl w:val="3"/>
    </w:pPr>
    <w:rPr>
      <w:rFonts w:eastAsia="宋体" w:asciiTheme="majorHAnsi" w:hAnsiTheme="majorHAnsi" w:cstheme="majorBidi"/>
      <w:b/>
      <w:bCs/>
      <w:szCs w:val="28"/>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6">
    <w:name w:val="Document Map"/>
    <w:basedOn w:val="1"/>
    <w:link w:val="19"/>
    <w:semiHidden/>
    <w:unhideWhenUsed/>
    <w:uiPriority w:val="99"/>
    <w:rPr>
      <w:rFonts w:ascii="宋体" w:eastAsia="宋体"/>
      <w:sz w:val="18"/>
      <w:szCs w:val="18"/>
    </w:rPr>
  </w:style>
  <w:style w:type="paragraph" w:styleId="7">
    <w:name w:val="annotation text"/>
    <w:basedOn w:val="1"/>
    <w:link w:val="27"/>
    <w:semiHidden/>
    <w:unhideWhenUsed/>
    <w:uiPriority w:val="99"/>
    <w:pPr>
      <w:jc w:val="left"/>
    </w:pPr>
  </w:style>
  <w:style w:type="paragraph" w:styleId="8">
    <w:name w:val="Balloon Text"/>
    <w:basedOn w:val="1"/>
    <w:link w:val="22"/>
    <w:semiHidden/>
    <w:unhideWhenUsed/>
    <w:uiPriority w:val="99"/>
    <w:rPr>
      <w:sz w:val="18"/>
      <w:szCs w:val="18"/>
    </w:rPr>
  </w:style>
  <w:style w:type="paragraph" w:styleId="9">
    <w:name w:val="footer"/>
    <w:basedOn w:val="1"/>
    <w:link w:val="18"/>
    <w:semiHidden/>
    <w:unhideWhenUsed/>
    <w:uiPriority w:val="99"/>
    <w:pPr>
      <w:tabs>
        <w:tab w:val="center" w:pos="4153"/>
        <w:tab w:val="right" w:pos="8306"/>
      </w:tabs>
      <w:snapToGrid w:val="0"/>
      <w:jc w:val="left"/>
    </w:pPr>
    <w:rPr>
      <w:sz w:val="18"/>
      <w:szCs w:val="18"/>
    </w:rPr>
  </w:style>
  <w:style w:type="paragraph" w:styleId="10">
    <w:name w:val="header"/>
    <w:basedOn w:val="1"/>
    <w:link w:val="17"/>
    <w:semiHidden/>
    <w:unhideWhenUsed/>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7"/>
    <w:next w:val="7"/>
    <w:link w:val="28"/>
    <w:semiHidden/>
    <w:unhideWhenUsed/>
    <w:uiPriority w:val="99"/>
    <w:rPr>
      <w:b/>
      <w:bCs/>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6">
    <w:name w:val="annotation reference"/>
    <w:basedOn w:val="15"/>
    <w:semiHidden/>
    <w:unhideWhenUsed/>
    <w:uiPriority w:val="99"/>
    <w:rPr>
      <w:sz w:val="21"/>
      <w:szCs w:val="21"/>
    </w:rPr>
  </w:style>
  <w:style w:type="character" w:customStyle="1" w:styleId="17">
    <w:name w:val="页眉 字符"/>
    <w:basedOn w:val="15"/>
    <w:link w:val="10"/>
    <w:qFormat/>
    <w:uiPriority w:val="99"/>
    <w:rPr>
      <w:sz w:val="18"/>
      <w:szCs w:val="18"/>
    </w:rPr>
  </w:style>
  <w:style w:type="character" w:customStyle="1" w:styleId="18">
    <w:name w:val="页脚 字符"/>
    <w:basedOn w:val="15"/>
    <w:link w:val="9"/>
    <w:qFormat/>
    <w:uiPriority w:val="99"/>
    <w:rPr>
      <w:sz w:val="18"/>
      <w:szCs w:val="18"/>
    </w:rPr>
  </w:style>
  <w:style w:type="character" w:customStyle="1" w:styleId="19">
    <w:name w:val="文档结构图 字符"/>
    <w:basedOn w:val="15"/>
    <w:link w:val="6"/>
    <w:semiHidden/>
    <w:qFormat/>
    <w:uiPriority w:val="99"/>
    <w:rPr>
      <w:rFonts w:ascii="宋体" w:eastAsia="宋体"/>
      <w:sz w:val="18"/>
      <w:szCs w:val="18"/>
    </w:rPr>
  </w:style>
  <w:style w:type="paragraph" w:styleId="20">
    <w:name w:val="List Paragraph"/>
    <w:basedOn w:val="1"/>
    <w:qFormat/>
    <w:uiPriority w:val="34"/>
    <w:pPr>
      <w:ind w:firstLine="420" w:firstLineChars="200"/>
    </w:pPr>
  </w:style>
  <w:style w:type="character" w:styleId="21">
    <w:name w:val="Placeholder Text"/>
    <w:basedOn w:val="15"/>
    <w:semiHidden/>
    <w:qFormat/>
    <w:uiPriority w:val="99"/>
    <w:rPr>
      <w:color w:val="auto"/>
    </w:rPr>
  </w:style>
  <w:style w:type="character" w:customStyle="1" w:styleId="22">
    <w:name w:val="批注框文本 字符"/>
    <w:basedOn w:val="15"/>
    <w:link w:val="8"/>
    <w:semiHidden/>
    <w:qFormat/>
    <w:uiPriority w:val="99"/>
    <w:rPr>
      <w:sz w:val="18"/>
      <w:szCs w:val="18"/>
    </w:rPr>
  </w:style>
  <w:style w:type="character" w:customStyle="1" w:styleId="23">
    <w:name w:val="标题 1 字符"/>
    <w:basedOn w:val="15"/>
    <w:link w:val="2"/>
    <w:qFormat/>
    <w:uiPriority w:val="9"/>
    <w:rPr>
      <w:b/>
      <w:bCs/>
      <w:kern w:val="44"/>
      <w:sz w:val="24"/>
      <w:szCs w:val="24"/>
    </w:rPr>
  </w:style>
  <w:style w:type="character" w:customStyle="1" w:styleId="24">
    <w:name w:val="标题 2 字符"/>
    <w:basedOn w:val="15"/>
    <w:link w:val="3"/>
    <w:qFormat/>
    <w:uiPriority w:val="9"/>
    <w:rPr>
      <w:rFonts w:eastAsia="宋体" w:asciiTheme="majorHAnsi" w:hAnsiTheme="majorHAnsi" w:cstheme="majorBidi"/>
      <w:b/>
      <w:bCs/>
      <w:szCs w:val="32"/>
    </w:rPr>
  </w:style>
  <w:style w:type="character" w:customStyle="1" w:styleId="25">
    <w:name w:val="标题 3 字符"/>
    <w:basedOn w:val="15"/>
    <w:link w:val="4"/>
    <w:qFormat/>
    <w:uiPriority w:val="9"/>
    <w:rPr>
      <w:rFonts w:eastAsia="宋体"/>
      <w:b/>
      <w:bCs/>
      <w:szCs w:val="32"/>
    </w:rPr>
  </w:style>
  <w:style w:type="character" w:customStyle="1" w:styleId="26">
    <w:name w:val="标题 4 字符"/>
    <w:basedOn w:val="15"/>
    <w:link w:val="5"/>
    <w:qFormat/>
    <w:uiPriority w:val="9"/>
    <w:rPr>
      <w:rFonts w:eastAsia="宋体" w:asciiTheme="majorHAnsi" w:hAnsiTheme="majorHAnsi" w:cstheme="majorBidi"/>
      <w:b/>
      <w:bCs/>
      <w:szCs w:val="28"/>
    </w:rPr>
  </w:style>
  <w:style w:type="character" w:customStyle="1" w:styleId="27">
    <w:name w:val="批注文字 字符"/>
    <w:basedOn w:val="15"/>
    <w:link w:val="7"/>
    <w:semiHidden/>
    <w:qFormat/>
    <w:uiPriority w:val="99"/>
  </w:style>
  <w:style w:type="character" w:customStyle="1" w:styleId="28">
    <w:name w:val="批注主题 字符"/>
    <w:basedOn w:val="27"/>
    <w:link w:val="12"/>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mb-user\AppData\Roaming\Kingsoft\office6\templates\wps\zh_CN\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GBC22222222222222222222222222222"/>
        <w:style w:val=""/>
        <w:category>
          <w:name w:val="常规"/>
          <w:gallery w:val="placeholder"/>
        </w:category>
        <w:types>
          <w:type w:val="bbPlcHdr"/>
        </w:types>
        <w:behaviors>
          <w:behavior w:val="content"/>
        </w:behaviors>
        <w:description w:val=""/>
        <w:guid w:val="{00FAFB77-E937-4AE5-B627-D2EBB663FBAD}"/>
      </w:docPartPr>
      <w:docPartBody>
        <w:p>
          <w:r>
            <w:rPr>
              <w:rStyle w:val="4"/>
              <w:rFonts w:hint="eastAsia"/>
              <w:color w:val="333399"/>
              <w:u w:val="single"/>
            </w:rPr>
            <w:t>　　　</w:t>
          </w:r>
        </w:p>
      </w:docPartBody>
    </w:docPart>
    <w:docPart>
      <w:docPartPr>
        <w:name w:val="{37af386c-5288-4612-8d71-a0f65d3440cd}"/>
        <w:style w:val=""/>
        <w:category>
          <w:name w:val="常规"/>
          <w:gallery w:val="placeholder"/>
        </w:category>
        <w:types>
          <w:type w:val="bbPlcHdr"/>
        </w:types>
        <w:behaviors>
          <w:behavior w:val="content"/>
        </w:behaviors>
        <w:description w:val=""/>
        <w:guid w:val="{37af386c-5288-4612-8d71-a0f65d3440cd}"/>
      </w:docPartPr>
      <w:docPartBody>
        <w:p>
          <w:r>
            <w:rPr>
              <w:rStyle w:val="4"/>
              <w:rFonts w:hint="eastAsia"/>
              <w:color w:val="333399"/>
              <w:u w:val="single"/>
            </w:rPr>
            <w:t>　　　</w:t>
          </w:r>
        </w:p>
      </w:docPartBody>
    </w:docPart>
    <w:docPart>
      <w:docPartPr>
        <w:name w:val="{7d5aa4c6-7a3a-49b6-8769-3ddc7af0fd5d}"/>
        <w:style w:val=""/>
        <w:category>
          <w:name w:val="常规"/>
          <w:gallery w:val="placeholder"/>
        </w:category>
        <w:types>
          <w:type w:val="bbPlcHdr"/>
        </w:types>
        <w:behaviors>
          <w:behavior w:val="content"/>
        </w:behaviors>
        <w:description w:val=""/>
        <w:guid w:val="{7d5aa4c6-7a3a-49b6-8769-3ddc7af0fd5d}"/>
      </w:docPartPr>
      <w:docPartBody>
        <w:p>
          <w:r>
            <w:rPr>
              <w:rStyle w:val="4"/>
              <w:rFonts w:hint="eastAsia"/>
              <w:color w:val="333399"/>
              <w:u w:val="single"/>
            </w:rPr>
            <w:t>　　　</w:t>
          </w:r>
        </w:p>
      </w:docPartBody>
    </w:docPart>
    <w:docPart>
      <w:docPartPr>
        <w:name w:val="{6ca814af-9fbf-43e4-8ee6-6c3035381ad0}"/>
        <w:style w:val=""/>
        <w:category>
          <w:name w:val="常规"/>
          <w:gallery w:val="placeholder"/>
        </w:category>
        <w:types>
          <w:type w:val="bbPlcHdr"/>
        </w:types>
        <w:behaviors>
          <w:behavior w:val="content"/>
        </w:behaviors>
        <w:description w:val=""/>
        <w:guid w:val="{6ca814af-9fbf-43e4-8ee6-6c3035381ad0}"/>
      </w:docPartPr>
      <w:docPartBody>
        <w:p>
          <w:r>
            <w:rPr>
              <w:rStyle w:val="4"/>
              <w:rFonts w:hint="eastAsia"/>
              <w:color w:val="333399"/>
              <w:u w:val="single"/>
            </w:rPr>
            <w:t>　　　</w:t>
          </w:r>
        </w:p>
      </w:docPartBody>
    </w:docPart>
    <w:docPart>
      <w:docPartPr>
        <w:name w:val="{c5ff41f7-7c55-4140-8480-2c299f780efa}"/>
        <w:style w:val=""/>
        <w:category>
          <w:name w:val="常规"/>
          <w:gallery w:val="placeholder"/>
        </w:category>
        <w:types>
          <w:type w:val="bbPlcHdr"/>
        </w:types>
        <w:behaviors>
          <w:behavior w:val="content"/>
        </w:behaviors>
        <w:description w:val=""/>
        <w:guid w:val="{c5ff41f7-7c55-4140-8480-2c299f780efa}"/>
      </w:docPartPr>
      <w:docPartBody>
        <w:p>
          <w:r>
            <w:rPr>
              <w:rStyle w:val="4"/>
              <w:rFonts w:hint="eastAsia"/>
              <w:color w:val="333399"/>
              <w:u w:val="single"/>
            </w:rPr>
            <w:t>　　　</w:t>
          </w:r>
        </w:p>
      </w:docPartBody>
    </w:docPart>
    <w:docPart>
      <w:docPartPr>
        <w:name w:val="{9c7b2293-b4cb-4ac5-b93c-85c44866463e}"/>
        <w:style w:val=""/>
        <w:category>
          <w:name w:val="常规"/>
          <w:gallery w:val="placeholder"/>
        </w:category>
        <w:types>
          <w:type w:val="bbPlcHdr"/>
        </w:types>
        <w:behaviors>
          <w:behavior w:val="content"/>
        </w:behaviors>
        <w:description w:val=""/>
        <w:guid w:val="{9c7b2293-b4cb-4ac5-b93c-85c44866463e}"/>
      </w:docPartPr>
      <w:docPartBody>
        <w:p>
          <w:r>
            <w:rPr>
              <w:rStyle w:val="4"/>
              <w:rFonts w:hint="eastAsia"/>
              <w:color w:val="333399"/>
              <w:u w:val="single"/>
            </w:rPr>
            <w:t>　　　</w:t>
          </w:r>
        </w:p>
      </w:docPartBody>
    </w:docPart>
    <w:docPart>
      <w:docPartPr>
        <w:name w:val="{3fdbe6f8-6e4d-4914-9a60-83c8f6dedead}"/>
        <w:style w:val=""/>
        <w:category>
          <w:name w:val="常规"/>
          <w:gallery w:val="placeholder"/>
        </w:category>
        <w:types>
          <w:type w:val="bbPlcHdr"/>
        </w:types>
        <w:behaviors>
          <w:behavior w:val="content"/>
        </w:behaviors>
        <w:description w:val=""/>
        <w:guid w:val="{3fdbe6f8-6e4d-4914-9a60-83c8f6dedead}"/>
      </w:docPartPr>
      <w:docPartBody>
        <w:p>
          <w:r>
            <w:rPr>
              <w:rStyle w:val="4"/>
              <w:rFonts w:hint="eastAsia"/>
            </w:rPr>
            <w:t>　</w:t>
          </w:r>
        </w:p>
      </w:docPartBody>
    </w:docPart>
    <w:docPart>
      <w:docPartPr>
        <w:name w:val="{28a7ff96-6ac0-4227-8351-7541840966b3}"/>
        <w:style w:val=""/>
        <w:category>
          <w:name w:val="常规"/>
          <w:gallery w:val="placeholder"/>
        </w:category>
        <w:types>
          <w:type w:val="bbPlcHdr"/>
        </w:types>
        <w:behaviors>
          <w:behavior w:val="content"/>
        </w:behaviors>
        <w:description w:val=""/>
        <w:guid w:val="{28a7ff96-6ac0-4227-8351-7541840966b3}"/>
      </w:docPartPr>
      <w:docPartBody>
        <w:p>
          <w:r>
            <w:rPr>
              <w:rStyle w:val="4"/>
              <w:rFonts w:hint="eastAsia"/>
            </w:rPr>
            <w:t>　</w:t>
          </w:r>
        </w:p>
      </w:docPartBody>
    </w:docPart>
    <w:docPart>
      <w:docPartPr>
        <w:name w:val="{f6cb073e-4789-4a75-b544-f5945f1fffe1}"/>
        <w:style w:val=""/>
        <w:category>
          <w:name w:val="常规"/>
          <w:gallery w:val="placeholder"/>
        </w:category>
        <w:types>
          <w:type w:val="bbPlcHdr"/>
        </w:types>
        <w:behaviors>
          <w:behavior w:val="content"/>
        </w:behaviors>
        <w:description w:val=""/>
        <w:guid w:val="{f6cb073e-4789-4a75-b544-f5945f1fffe1}"/>
      </w:docPartPr>
      <w:docPartBody>
        <w:p>
          <w:r>
            <w:rPr>
              <w:rStyle w:val="4"/>
              <w:rFonts w:hint="eastAsia"/>
              <w:color w:val="333399"/>
              <w:u w:val="single"/>
            </w:rPr>
            <w:t>　　　</w:t>
          </w:r>
        </w:p>
      </w:docPartBody>
    </w:docPart>
    <w:docPart>
      <w:docPartPr>
        <w:name w:val="{cebab8ff-fc58-4efd-b746-5fddb0406544}"/>
        <w:style w:val=""/>
        <w:category>
          <w:name w:val="常规"/>
          <w:gallery w:val="placeholder"/>
        </w:category>
        <w:types>
          <w:type w:val="bbPlcHdr"/>
        </w:types>
        <w:behaviors>
          <w:behavior w:val="content"/>
        </w:behaviors>
        <w:description w:val=""/>
        <w:guid w:val="{cebab8ff-fc58-4efd-b746-5fddb0406544}"/>
      </w:docPartPr>
      <w:docPartBody>
        <w:p>
          <w:r>
            <w:rPr>
              <w:rStyle w:val="4"/>
              <w:rFonts w:hint="eastAsia"/>
              <w:color w:val="333399"/>
              <w:u w:val="single"/>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B65C8E"/>
    <w:rsid w:val="00052A7E"/>
    <w:rsid w:val="00086C76"/>
    <w:rsid w:val="000A2945"/>
    <w:rsid w:val="000A7C58"/>
    <w:rsid w:val="000C2F7C"/>
    <w:rsid w:val="001064F3"/>
    <w:rsid w:val="00147726"/>
    <w:rsid w:val="00162A4F"/>
    <w:rsid w:val="00163825"/>
    <w:rsid w:val="0018166D"/>
    <w:rsid w:val="00191614"/>
    <w:rsid w:val="00206DD6"/>
    <w:rsid w:val="00231F7D"/>
    <w:rsid w:val="00255061"/>
    <w:rsid w:val="00286642"/>
    <w:rsid w:val="00325441"/>
    <w:rsid w:val="003254EE"/>
    <w:rsid w:val="00383B28"/>
    <w:rsid w:val="003F2EAD"/>
    <w:rsid w:val="003F75F8"/>
    <w:rsid w:val="004154AD"/>
    <w:rsid w:val="004365BD"/>
    <w:rsid w:val="00496E89"/>
    <w:rsid w:val="004A5F13"/>
    <w:rsid w:val="004A70C3"/>
    <w:rsid w:val="00561C3A"/>
    <w:rsid w:val="005D7431"/>
    <w:rsid w:val="005F4EBC"/>
    <w:rsid w:val="0063647F"/>
    <w:rsid w:val="00656F3B"/>
    <w:rsid w:val="0066517B"/>
    <w:rsid w:val="006A517B"/>
    <w:rsid w:val="006E2490"/>
    <w:rsid w:val="006E4E93"/>
    <w:rsid w:val="00715E12"/>
    <w:rsid w:val="00726C55"/>
    <w:rsid w:val="00784360"/>
    <w:rsid w:val="00806F49"/>
    <w:rsid w:val="0082562F"/>
    <w:rsid w:val="00843D1C"/>
    <w:rsid w:val="00914128"/>
    <w:rsid w:val="00953495"/>
    <w:rsid w:val="00964495"/>
    <w:rsid w:val="009C7A7B"/>
    <w:rsid w:val="009E4658"/>
    <w:rsid w:val="00A027DD"/>
    <w:rsid w:val="00A71490"/>
    <w:rsid w:val="00B14EB3"/>
    <w:rsid w:val="00B65C8E"/>
    <w:rsid w:val="00B71773"/>
    <w:rsid w:val="00B71F18"/>
    <w:rsid w:val="00B72027"/>
    <w:rsid w:val="00BB0703"/>
    <w:rsid w:val="00BC2469"/>
    <w:rsid w:val="00BF5519"/>
    <w:rsid w:val="00C44DF8"/>
    <w:rsid w:val="00C77C39"/>
    <w:rsid w:val="00C863CA"/>
    <w:rsid w:val="00D30711"/>
    <w:rsid w:val="00D44F87"/>
    <w:rsid w:val="00D74F4D"/>
    <w:rsid w:val="00DA499E"/>
    <w:rsid w:val="00DA4EBD"/>
    <w:rsid w:val="00DC5109"/>
    <w:rsid w:val="00E035F5"/>
    <w:rsid w:val="00E26781"/>
    <w:rsid w:val="00E8396A"/>
    <w:rsid w:val="00E9415A"/>
    <w:rsid w:val="00EE20D8"/>
    <w:rsid w:val="00F963AE"/>
    <w:rsid w:val="00FC0CF4"/>
    <w:rsid w:val="00FF5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sc:sections xmlns:sc="http://mapping.word.org/2014/section/customiz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mapping xmlns:m="http://mapping.word.org/2012/mapping">
  <m:namespaceDeclare prefix="clcta-gie" namespaceURI="http://www.xbrl-cn.org/cn/lcta/gie/2007-12-31"/>
  <m:namespaceDeclare prefix="clcid-mr" namespaceURI="http://www.xbrl-cn.org/cn/lcid/rpt/mr/2006-12-31"/>
  <m:namespaceDeclare prefix="clcid-ie" namespaceURI="http://www.xbrl-cn.org/cn/lcid/rpt/ie/2006-12-31"/>
  <m:namespaceDeclare prefix="clcid-cgi" namespaceURI="http://www.xbrl-cn.org/cn/lcid/rpt/cgi/2006-12-31"/>
  <m:namespaceDeclare prefix="clcid-gcd" namespaceURI="http://www.xbrl-cn.org/cn/lcid/rpt/gcd/2006-12-31"/>
  <m:document name="附件1：厦门银行股份有限公司2022年度内部控制评价报告（上交所披露版本）.docx" version="0.0" optimized="false" originalVersion="0.0" taggingType="Axis" siblingTextSaved="true">
    <m:section xlName="_SEC_707898c64d7743dc8b3fd22871a4474e" title="证券代码、简称" keyAction="1" keyCode="SF_NEIKONG_BAOGAO">
      <m:item xlName="_GBC_5816e3784ff7409b96c6484369904658" concept="clcid-gcd:GongSiJianCheng" label="公司简称" keyCode="GONGSI_JIANCHENG" keyAction="5"/>
      <m:item xlName="_GBC_383117efab774a44acf20b3e1cc567b1" concept="clcid-gcd:GongSiDaiMa" label="公司代码" keyCode="GONGSI_DAIMA" keyAction="5"/>
    </m:section>
    <m:section xlName="_SEC_19c0b559da934ca2b149ea2e2a373ef7" title="公司全称、报告年度" keyAction="1" keyCode="SF_NEIKONG_BAOGAO">
      <m:item xlName="_GBC_94a480f583b947a68033a4556b500669" concept="clcid-mr:NeiBuKongZhiPingJiaBaoGaoNianDu" label="内部控制评价报告年度"/>
      <m:item xlName="_GBC_5ccb0907593744349c02ce86881c1d3c" concept="clcid-cgi:GongSiFaDingZhongWenMingCheng" label="公司法定中文名称" keyCode="SF_NEIKONG_BAOGAO" keyAction="1"/>
    </m:section>
    <m:section xlName="_SEC_5de951949acb415592ea027a8ffb272f" title="内部控制制度建设情况" keyAction="1" keyCode="SF_NEIKONG_BAOGAO">
      <m:item xlName="_GBC_750e1d3c35fa4d3db657eea3a156bd62" concept="clcid-mr:NeiBuKongZhiZhiDuJianSheQingKuang" label="内部控制制度建设情况"/>
    </m:section>
    <m:section xlName="_SEC_d79731ccc4f34da6a437920351621c98" title="强制披露的特殊情形" keyAction="1" keyCode="SF_NEIKONG_BAOGAO">
      <m:item xlName="_GBC_6037ae9110364387ae126d15a70e9b22" concept="clcid-mr:ShiFouCunZaiFeiQiangZhiPiLuDeTeShuQingXing" label="是否存在非强制披露的特殊情形" selectOptions="_buildInYesNo" controlType="CustomCheckbox" globalControl="true"/>
      <m:region xlName="_SEC_0b581ebab7e3488fa1e81f81db5a27fc" title="" applicableCtrl="true@_GBC_6037ae9110364387ae126d15a70e9b22">
        <m:item xlName="_GBC_9b5387df125f4f4ba891a4045878241f" concept="clcid-mr:FeiQiangZhiPiLuDeTeShuQingXing" label="非强制披露的特殊情形" selectOptions="c545c1668b19424c84af4800ddd074f2" controlType="Combobox"/>
      </m:region>
    </m:section>
    <m:section xlName="_SEC_c3af264f5d07449a8c10ffceab96474d" title="具体情况说明" helpText="具体描述未披露年度内部控制评价报告的原因、依据等，并说明是否将在下一年度年报披露的同时，披露内部控制评价报告。" keyAction="1" keyCode="SF_NEIKONG_BAOGAO">
      <m:item xlName="_GBC_96c4b025a85c4eb99bb145ecadee5b9f" concept="clcid-mr:WeiPiLuNianDuNeiBuKongZhiPingJiaBaoGaoDeQingKuangShuoMing" label="未披露年度内部控制评价报告的情况说明"/>
    </m:section>
    <m:section xlName="_SEC_8813286a143a4bca9f8016e57279e537" title="签字" keyAction="1" keyCode="SF_NEIKONG_BAOGAO">
      <m:item xlName="_GBC_1391a40218b8415f89f941042da262c3" concept="clcid-gcd:BaoGaoFaBuRen" label="报告发布人">
        <m:simpleRule dataType="Any" comparator="None" minOccurs="1"/>
      </m:item>
      <m:item xlName="_GBC_175b5c3cc63f4e11875e9e79e02ca7d1" concept="clcid-cgi:GongSiFaDingZhongWenMingCheng" label="公司法定中文名称" keyCode="FADING_MINGCHENG" keyAction="5"/>
      <m:item xlName="_GBC_5f18c5a7cb624c21a701ecbfa10c7fff" concept="clcid-mr:NeiBuKongZhiPingJiaBaoGaoRiQi" label="内部控制评价报告日期" controlType="DatePicker">
        <m:simpleRule dataType="Any" comparator="None" minOccurs="1"/>
      </m:item>
    </m:section>
    <m:section xlName="_SEC_cac4d83d41894224a66fa3faf38e51a6" title="证券代码、简称" keyAction="6" keyCode="SF_NEIKONG_BAOGAO">
      <m:item xlName="_GBC_aa007ebafb254bdab24f302b7f71451d" concept="clcid-gcd:GongSiDaiMa" label="公司代码" keyCode="GONGSI_DAIMA" keyAction="5"/>
      <m:item xlName="_GBC_2d26df47c4054d8696ace1cbd5cf6b28" concept="clcid-gcd:GongSiJianCheng" label="公司简称" keyCode="GONGSI_JIANCHENG" keyAction="5"/>
    </m:section>
    <m:section xlName="_SEC_c4b9f5e7c69c47358410aa2f114bc083" title="股份有限公司年度内部控制评价报告" keyAction="6" keyCode="SF_NEIKONG_BAOGAO">
      <m:item xlName="_GBC_ca832f6ab5c74ccfb2f75dfd08169d9b" concept="clcid-cgi:GongSiFaDingZhongWenMingCheng" label="公司法定中文名称" keyCode="FADING_MINGCHENG" keyAction="5"/>
      <m:item xlName="_GBC_72803761648a423bb5d47dd26a1777dd" concept="clcid-mr:NeiBuKongZhiPingJiaBaoGaoNianDu" label="内部控制评价报告年度"/>
    </m:section>
    <m:section xlName="_SEC_3d785f1c073d45a193eb349053fa386e" title="全体股东" keyAction="6" keyCode="SF_NEIKONG_BAOGAO">
      <m:item xlName="_GBC_e2504fafcd4b42419f5460ccf079b9b6" concept="clcid-cgi:GongSiFaDingZhongWenMingCheng" label="公司法定中文名称" keyCode="FADING_MINGCHENG" keyAction="5"/>
      <m:item xlName="_GBC_c7c134bd6b30491a9c57fcac4432beae" concept="clcid-mr:NeiBuKongZhiPingJiaBaoGaoJiZhunRi" label="内部控制评价报告基准日" controlType="DatePicker"/>
    </m:section>
    <m:section xlName="_SEC_444c6e3104894ea7bc898100ff2e0edd" title="重要声明" keyAction="6" keyCode="SF_NEIKONG_BAOGAO"/>
    <m:section xlName="_SEC_bd8a46087e6e4367a0fd65aa6ca5ab80" title="公司于内部控制评价报告基准日，是否存在财务报告内部控制重大缺陷" keyAction="6" keyCode="SF_NEIKONG_BAOGAO">
      <m:item xlName="_GBC_29f0d2acfe6345eb85a7663da4850c39" concept="clcid-mr:YuNeiBuKongZhiPingJiaBaoGaoJiZhunRiShiFouCunZaiCaiWuBaoGaoNeiBuKongZhiZhongDaQueXian" label="于内部控制评价报告基准日，是否存在财务报告内部控制重大缺陷" selectOptions="_buildInYesNo" controlType="CustomCheckbox" globalControl="true"/>
    </m:section>
    <m:section xlName="_SEC_3518f5b0146b4d329d34828211e4ea36" title="财务报告内部控制评价结论标题" keyAction="6" keyCode="SF_NEIKONG_BAOGAO"/>
    <m:section xlName="_SEC_27e244efa9974030bbc8f0f40bd88949" title="财务报告内部控制评价结论" applicableCtrl="false@_GBC_29f0d2acfe6345eb85a7663da4850c39" keyAction="6" keyCode="SF_NEIKONG_BAOGAO">
      <m:item xlName="_GBC_2ac2afdf66b145848a69d7f1a2c27ee9" concept="clcid-mr:ShiFouYouXiaoCaiWuBaoGaoNeiBuKongZhiPingJiaJieLun" label="是否有效：财务报告内部控制评价结论" selectOptions="47487b111cbb4abeab0d80e62e8d02aa" controlType="CustomCheckbox" globalControl="true"/>
      <m:region xlName="_SEC_4e58ccbfa6c241ed857d838849ef37de" title="无财务报告内部控制评价结论" applicableCtrl="true@_GBC_2ac2afdf66b145848a69d7f1a2c27ee9" helpText="说明是否存在财务报告内部控制重大缺陷，并披露公司董事会对财务报告内部控制有效性的评价结论。" keyCode="SF_NEIKONG_BAOGAO" keyAction="6"/>
      <m:region xlName="_SEC_2ad5f56e8c65420084ce80c45c9f918e" title="财务报告内部控制评价结论" applicableCtrl="false@_GBC_2ac2afdf66b145848a69d7f1a2c27ee9" helpText="说明是否存在财务报告内部控制重大缺陷，并披露公司董事会对财务报告内部控制有效性的评价结论。">
        <m:item xlName="_GBC_ad1b6bc124d54124b2ced24e2b5e525e" concept="clcid-mr:CaiWuBaoGaoNeiBuKongZhiPingJiaJieLun" label="财务报告内部控制评价结论">
          <m:simpleRule dataType="Any" comparator="None" minOccurs="1"/>
        </m:item>
      </m:region>
    </m:section>
    <m:section xlName="_SEC_f6eb923251034c75af564206580ff42b" title="财务报告内部控制评价结论" applicableCtrl="true@_GBC_29f0d2acfe6345eb85a7663da4850c39" keyAction="6" keyCode="SF_NEIKONG_BAOGAO">
      <m:region xlName="_SEC_d7b76d39380340719c35a9bebe67f909" title="财务报告内部控制评价结论" applicableCtrl="false@_GBC_f41a23c768634ad081201b26e1474aaf" helpText="说明是否存在财务报告内部控制重大缺陷，并披露公司董事会对财务报告内部控制有效性的评价结论。" keyCode="SF_NEIKONG_BAOGAO" keyAction="6"/>
      <m:region xlName="_SEC_4d096fba8afa445e9ed69b9e3aec28c5" title="财务报告内部控制评价结论" applicableCtrl="true@_GBC_f41a23c768634ad081201b26e1474aaf" helpText="说明是否存在财务报告内部控制重大缺陷，并披露公司董事会对财务报告内部控制有效性的评价结论。" keyCode="SF_NEIKONG_BAOGAO" keyAction="6">
        <m:item xlName="_GBC_563edf5bc680430b9cd982b88522262c" concept="clcid-mr:CaiWuBaoGaoNeiBuKongZhiPingJiaJieLun" label="财务报告内部控制评价结论">
          <m:simpleRule dataType="Any" comparator="None" minOccurs="1"/>
        </m:item>
      </m:region>
      <m:item xlName="_GBC_f41a23c768634ad081201b26e1474aaf" concept="clcid-mr:ShiFouYouXiaoCaiWuBaoGaoNeiBuKongZhiPingJiaJieLun" label="是否有效：财务报告内部控制评价结论" selectOptions="47487b111cbb4abeab0d80e62e8d02aa" controlType="CustomCheckbox" globalControl="true"/>
    </m:section>
    <m:section xlName="_SEC_4b0cbbe9d925436eb6862dd766f820b7" title="非财务报告内部控制重大缺陷" keyAction="6" keyCode="SF_NEIKONG_BAOGAO">
      <m:item xlName="_GBC_56e2c7cb40a945649a49b834a5ff4119" concept="clcid-mr:YuNeiBuKongZhiPingJiaBaoGaoJiZhunRiShiFouCunZaiFeiCaiWuBaoGaoNeiBuKongZhiZhongDaQueXian" label="于内部控制评价报告基准日，是否存在非财务报告内部控制重大缺陷" selectOptions="_buildInYesNo" controlType="CustomCheckbox" globalControl="true"/>
      <m:region xlName="_SEC_741f8c65739143af9be9d37cf39c67e8" title="根据公司非财务报告内部控制重大缺陷认定情况，于内部控制评价报..." applicableCtrl="false@_GBC_56e2c7cb40a945649a49b834a5ff4119" keyCode="SF_NEIKONG_BAOGAO" keyAction="6"/>
      <m:region xlName="_SEC_65b2fd41248744d19cbb5b8815f421f4" title="根据公司非财务报告内部控制重大缺陷认定情况，于内部控制评价报..." applicableCtrl="true@_GBC_56e2c7cb40a945649a49b834a5ff4119|true@_GBC_e65f5d0034c44d1f83111bda71ef3384" keyCode="SF_NEIKONG_BAOGAO" keyAction="6">
        <m:item xlName="_GBC_ec2f9ced8f14445194e8c6d31cf79e19" concept="clcid-mr:JieZhiJiZhunRiFaXianFeiCaiWuBaoGaoNeiBuKongZhiZhongDaQueXianShuLiang" label="截至基准日发现非财务报告内部控制重大缺陷数量" formatStyle="Comma">
          <m:simpleRule dataType="Any" comparator="None" minOccurs="1"/>
        </m:item>
      </m:region>
    </m:section>
    <m:section xlName="_SEC_b4078b370b4c4f5da084304d4188ca3e" title="自内部控制评价报告基准日至内部控制评价报告发出日之间影响内部控制有效性评价结论的因素" keyAction="6" keyCode="SF_NEIKONG_BAOGAO">
      <m:item xlName="_GBC_ba0bf6ad0eed4271afae0831bb571e8b" concept="clcid-mr:ShiFouShiYongZiNeiBuKongZhiPingJiaBaoGaoJiZhunRiZhiNeiBuKongZhiPingJiaBaoGaoFaChuRiZhiJianYingXiangNeiBuKongZhiYouXiaoXingPingJiaJieLunDeYinSu" label="是否适用：自内部控制评价报告基准日至内部控制评价报告发出日之间影响内部控制有效性评价结论的因素" selectOptions="_buildInAppliance" controlType="CustomCheckbox" globalControl="true"/>
      <m:region xlName="_SEC_249346c03cf5437d8a03f39bb1c86cf0" title="单击此处输入文字。" applicableCtrl="true@_GBC_ba0bf6ad0eed4271afae0831bb571e8b" helpText="若发生影响内部控制有效性评价结论的因素，则需描述相关因素的性质、对评价结论的影响及董事会拟采取的应对措施">
        <m:item xlName="_GBC_2b1d7dfbf63a4d5cb3742457e680c20d" concept="clcid-mr:ZiNeiBuKongZhiPingJiaBaoGaoJiZhunRiZhiNeiBuKongZhiPingJiaBaoGaoFaChuRiZhiJianYingXiangNeiBuKongZhiYouXiaoXingPingJiaJieLunDeYinSu" label="自内部控制评价报告基准日至内部控制评价报告发出日之间影响内部控制有效性评价结论的因素" applicableCtrl="true@_GBC_ba0bf6ad0eed4271afae0831bb571e8b">
          <m:simpleRule dataType="Any" comparator="None" minOccurs="1"/>
        </m:item>
      </m:region>
      <m:region xlName="_SEC_0863ab331a614ec080242c3d6576033b" title="自内部控制评价报告基准日至内部控制评价报告发出日之间未发生影..." applicableCtrl="false@_GBC_ba0bf6ad0eed4271afae0831bb571e8b"/>
    </m:section>
    <m:section xlName="_SEC_bf48daa647df4ad3b803dcfb0097c1e2" title="内部控制审计意见是否与公司对财务报告内部控制有效性的评价结" keyAction="6" keyCode="SF_NEIKONG_BAOGAO">
      <m:item xlName="_GBC_32036e232a68475c8d5aa85b55c6c17f" concept="clcid-mr:NeiKongShenJiYiJianShiFouYuCaiWuBaoGaoNeiKongZiWoPingJiaJieLunYiZhiRuoBuYiZhiShiFouZaiNianDuBaoGaoZhongJieShiChaYiYuanYin" label="内控审计意见是否与财务报告内控自我评价结论一致若不一致是否在年度报告中解释差异原因" selectOptions="_buildInYesNo" controlType="CustomCheckbox" globalControl="true"/>
      <m:region xlName="_SEC_5054c145ae9f43858a7f87fffa276689" title="" applicableCtrl="false@_GBC_32036e232a68475c8d5aa85b55c6c17f" helpText="解释差异原因">
        <m:item xlName="_GBC_b4b66e56cf7a4ebf9fb0f876c2082e84" concept="clcid-mr:NeiBuKongZhiShenJiYiJianYuGongSiDuiCaiWuBaoGaoNeiBuKongZhiYouXiaoXingDePingJiaJieLunBuYiZhiDeYuanYin" label="内部控制审计意见与公司对财务报告内部控制有效性的评价结论不一致的原因">
          <m:simpleRule dataType="Any" comparator="None" minOccurs="1"/>
        </m:item>
      </m:region>
    </m:section>
    <m:section xlName="_SEC_f49cac19fbb74a399a64cdf78b0c9a85" title="内部控制审计报告对非财务报告内部控制重大缺陷的披露是否与公司内部控制评价报告披露一致" keyAction="6" keyCode="SF_NEIKONG_BAOGAO">
      <m:item xlName="_GBC_7a278613dd974177b870348ddb47bc3c" concept="clcid-mr:NeiKongShenJiBaoGaoDuiFeiCaiWuBaoGaoNeiKongZhongDaQueXianDePiLuShiFouYuNeiKongZiWoPingJiaBaoGaoPiLuYiZhiRuoBuYiZhiShiFouZaiNianDuBaoGaoZhongJieShiChaYiYuanYin" label="内控审计报告对非财务报告内控重大缺陷的披露是否与内控自我评价报告披露一致若不一致是否在年度报告中解释差异原因" selectOptions="_buildInYesNo" controlType="CustomCheckbox" globalControl="true"/>
      <m:region xlName="_SEC_9136693a44bd4873a96583c2fb3fb526" title="单击此处输入文字。" applicableCtrl="false@_GBC_7a278613dd974177b870348ddb47bc3c" helpText="解释差异原因">
        <m:item xlName="_GBC_eee77d4b6b3f452db622ccfd44a2363c" concept="clcid-mr:NeiBuKongZhiShenJiBaoGaoDuiFeiCaiWuBaoGaoNeiBuKongZhiZhongDaQueXianDePiLuYuGongSiNeiBuKongZhiPingJiaBaoGaoPiLuBuYiZhiDeYuanYin" label="内部控制审计报告对非财务报告内部控制重大缺陷的披露与公司内部控制评价报告披露不一致的原因">
          <m:simpleRule dataType="Any" comparator="None" minOccurs="1"/>
        </m:item>
      </m:region>
    </m:section>
    <m:section xlName="_SEC_3d3a68b60d594a77bbd9fdad987e2de2" title="纳入评价范围的主要单位" keyAction="6" keyCode="SF_NEIKONG_BAOGAO">
      <m:region xlName="_SEC_e8f2b42c247c4950b122cae0f6aaa592" title="纳入评价范围的主要单位包括：（空）" helpText="若单位或级次众多，可以考虑按照层级、业务分部、板块等形式披露">
        <m:item xlName="_GBC_3d271443a17a45079abe94994da45610" concept="clcid-mr:NaRuPingJiaFanWeiDeZhuYaoDanWei" label="纳入评价范围的主要单位">
          <m:simpleRule dataType="Any" comparator="None" minOccurs="1"/>
        </m:item>
      </m:region>
    </m:section>
    <m:section xlName="_SEC_7387372f4d884cdfa361ab83758cba5b" title="纳入评价范围的单位占比" keyAction="6" keyCode="SF_NEIKONG_BAOGAO">
      <m:item xlName="_GBC_01d1b5de777c4412ae261f6d1a5f317d" concept="clcid-mr:NaRuPingJiaFanWeiDanWeiZiChanZongEZhanGongSiHeBingCaiWuBaoBiaoZiChanZongEDeBiLi" label="纳入评价范围单位资产总额占公司合并财务报表资产总额的比例" addr="T0R1C1S1_1" baseScale="0.01" formatStyle="Comma">
        <m:simpleRule dataType="Any" comparator="None" minOccurs="1"/>
      </m:item>
      <m:item xlName="_GBC_b00041239b1346c893caf246afed275e" concept="clcid-mr:NaRuPingJiaFanWeiDanWeiYingYeShouRuHeJiZhanGongSiHeBingCaiWuBaoBiaoYingYeShouRuZongEDeBiLi" label="纳入评价范围单位营业收入合计占公司合并财务报表营业收入总额的比例" addr="T0R2C1S1_1" baseScale="0.01" formatStyle="Comma">
        <m:simpleRule dataType="Any" comparator="None" minOccurs="1"/>
      </m:item>
      <m:placeholder xlName="_PLD_4c6d06491f11466fbaa428ef34065a88" wordText="指标" addr="T0R0C0S1_1"/>
      <m:placeholder xlName="_PLD_4746fadbb06c48c48abaf66db717ceb8" wordText="占比（%）" addr="T0R0C1S1_1"/>
      <m:placeholder xlName="_PLD_cb5508a9a2d444d48e471e70dbdb62ed" wordText="纳入评价范围单位的资产总额占公司合并财务报表资产总额之比" addr="T0R1C0S1_1"/>
      <m:placeholder xlName="_PLD_9f08493098f849a6b694652505bc4707" wordText="纳入评价范围单位的营业收入合计占公司合并财务报表营业收入总额之比" addr="T0R2C0S1_1"/>
    </m:section>
    <m:section xlName="_SEC_b69b61b4f6af404099ea4903d8918fa0" title="纳入评价范围的主要业务和事项" helpText="具体描述纳入评价范围的主要业务和事项" keyAction="6" keyCode="SF_NEIKONG_BAOGAO">
      <m:item xlName="_GBC_44fccb025ece43a69d6ed1ea0587b81a" concept="clcid-mr:NaRuPingJiaFanWeiDeZhuYaoYeWuHeShiXiang" label="纳入评价范围的主要业务和事项">
        <m:simpleRule dataType="Any" comparator="None" minOccurs="1"/>
      </m:item>
    </m:section>
    <m:section xlName="_SEC_7fc92fc4777c4bfc877a16fdfec801e1" title="重点关注的高风险领域" helpText="具体描述重点关注的高风险领域" keyAction="6" keyCode="SF_NEIKONG_BAOGAO">
      <m:item xlName="_GBC_cb02f6d61da84e36af1ed38a834255df" concept="clcid-mr:ZhongDianGuanZhuDeGaoFengXianLingYu" label="重点关注的高风险领域">
        <m:simpleRule dataType="Any" comparator="None" minOccurs="1"/>
      </m:item>
    </m:section>
    <m:section xlName="_SEC_8f11172248dc4ce79a88e20aef2cd7ed" title="上述纳入评价范围的单位、业务和事项以及高风险领域涵盖了公司经营管理的主要方面，是否存在重大遗漏标题" keyAction="6" keyCode="SF_NEIKONG_BAOGAO"/>
    <m:item xlName="_GBC_fd3aa79183944e5e8a7f5da7a54314ea" concept="clcid-mr:PingJiaFanWeiShiFouCunZaiZhongDaYiLou" label="评价范围是否存在重大遗漏" selectOptions="_buildInYesNo" controlType="CustomCheckbox" keyCode="SF_NEIKONG_BAOGAO" keyAction="6" cRanges="{&quot;StartName&quot;:&quot;_GBC_fd3aa79183944e5e8a7f5da7a54314ea&quot;,&quot;EndName&quot;:&quot;_SEC_46cacd58970e4ca8830344164c900ef5&quot;,&quot;CType&quot;:1,&quot;DisplayText&quot;:null}"/>
    <m:section xlName="_SEC_46cacd58970e4ca8830344164c900ef5" title="上述纳入评价范围的单位、业务和事项以及高风险领域涵盖了公司经营管理的主要方面，重大遗漏。" keyAction="6" keyCode="SF_NEIKONG_BAOGAO">
      <m:item xlName="_GBC_eab87278adbb48688af691dc8eea7ed6" concept="clcid-mr:WeiNengDuiGouChengNeiBuKongZhiZhongYaoFangMianJinXingNeiBuKongZhiPingJiaDeYuanYin" label="未能对构成内部控制重要方面进行内部控制评价的原因" helpText="1、原因">
        <m:simpleRule dataType="Any" comparator="None" minOccurs="1"/>
      </m:item>
      <m:item xlName="_GBC_8c0a46b303c440f3b3df11e47f376921" concept="clcid-mr:YingNaRuErWeiNaRuPingJiaFanWeiDeZhuYaoDanWeiHuoYeWuHuoShiXiangHuoGaoFengXianLingYuDeMingCheng" label="应纳入而未纳入评价范围的主要单位或业务或事项或高风险领域的名称" helpText="2、具体描述应纳入而未纳入评价范围的主要单位/业务/事项/高风险领域的名称。">
        <m:simpleRule dataType="Any" comparator="None" minOccurs="1"/>
      </m:item>
      <m:item xlName="_GBC_957516cb8b694081abd6cf3e5031723c" concept="clcid-mr:DuiNeiBuKongZhiPingJiaFanWeiWanZhengXingJiDuiPingJiaJieLunDeYingXiang" label="对内部控制评价范围完整性及对评价结论的影响" helpText="3、描述对内部控制评价范围完整性及对评价结论的影响。">
        <m:simpleRule dataType="Any" comparator="None" minOccurs="1"/>
      </m:item>
    </m:section>
    <m:section xlName="_SEC_0934c372948c47c092c8070e3f049c7b" title="法定豁免" keyAction="6" keyCode="SF_NEIKONG_BAOGAO">
      <m:item xlName="_GBC_b8b633fb8c6e42068375344630558909" concept="clcid-mr:PingJiaFanWeiShiFouCunZaiFaDingHuoMian" label="评价范围是否存在法定豁免" selectOptions="_buildInYesNo" controlType="CustomCheckbox" globalControl="true" cRanges="{&quot;StartName&quot;:&quot;_GBC_b8b633fb8c6e42068375344630558909&quot;,&quot;EndName&quot;:&quot;_SEC_144283d54c234708b9bb42bb0cbaa0d3&quot;,&quot;CType&quot;:1,&quot;DisplayText&quot;:null}"/>
      <m:region xlName="_SEC_144283d54c234708b9bb42bb0cbaa0d3" title="存在法定豁免" applicableCtrl="true@_GBC_b8b633fb8c6e42068375344630558909">
        <m:item xlName="_GBC_b8654c8859fb4d5d8ba04593b392a3e6" concept="clcid-mr:FaLvFaGuiDeXiangGuanHuoMianGuiDing" label="法律法规的相关豁免规定" helpText="1、法律法规的相关豁免规定">
          <m:simpleRule dataType="Any" comparator="None" minOccurs="1"/>
        </m:item>
        <m:item xlName="_GBC_c3af2fd7e79c4ab2a3e9a6ee5694b94f" concept="clcid-mr:WeiNaRuPingJiaFanWeiDeYuanYouJiSheJiDanWeiHuoYeWuHuoShiXiangHuoGaoFengXianLingYuDeMingCheng" label="未纳入评价范围的缘由及涉及单位或业务或事项或高风险领域的名称" helpText="2、具体描述未纳入评价范围的缘由及涉及单位/业务/事项/高风险领域的名称">
          <m:simpleRule dataType="Any" comparator="None" minOccurs="1"/>
        </m:item>
      </m:region>
    </m:section>
    <m:section xlName="_SEC_506bb75e76e6481db06bce14cafe5c29" title="其他说明事项" keyAction="6" keyCode="SF_NEIKONG_BAOGAO">
      <m:item xlName="_GBC_5187395bd9ef4091a17aa284b5b66f2c" concept="clcid-mr:NeiBuKongZhiPingJiaFanWeiDeQiTaShiXiang" label="内部控制评价范围的其他事项"/>
    </m:section>
    <m:section xlName="_SEC_82827dc9fa9c4954b79ddcc58d3d5d5b" title="内部控制评价工作依据及内部控制缺陷认定标准" helpText="具体描述除企业内部控制规范体系之外的其他内部控制评价的依据" keyAction="6" keyCode="SF_NEIKONG_BAOGAO">
      <m:item xlName="_GBC_38239656a6e046fb952678060424d5bf" concept="clcid-mr:ChuQiYeNeiBuKongZhiGuiFanTiXiZhiWaiDeQiTaNeiBuKongZhiPingJiaDeYiJu" label="除企业内部控制规范体系之外的其他内部控制评价的依据">
        <m:simpleRule dataType="Any" comparator="None" minOccurs="1"/>
      </m:item>
    </m:section>
    <m:section xlName="_SEC_adde78c537b749b495b39d30ca68a7b7" title="内部控制缺陷具体认定标准是否与以前年度存在调整" keyAction="6" keyCode="SF_NEIKONG_BAOGAO">
      <m:item xlName="_GBC_62827533c70e4e90bf2ad2a83d8fae9f" concept="clcid-mr:BaoGaoQiShiFouBianGengLiaoQueXianRenDingBiaoZhun" label="与以前年度相比，本年度是否变更调整了内部控制缺陷认定标准" selectOptions="_buildInYesNo" controlType="CustomCheckbox" globalControl="true"/>
      <m:region xlName="_SEC_3dd73c2602b049188a004552105b7d80" title="存在调整" applicableCtrl="true@_GBC_62827533c70e4e90bf2ad2a83d8fae9f" helpText="填写说明：应描述调整原因，具体调整情况，及调整后标准">
        <m:item xlName="_GBC_f1ed34c34d7d413a86c9b55c0d466301" concept="clcid-mr:NeiBuKongZhiQueXianJuTiRenDingBiaoZhunYuYiQianNianDuCunZaiDiaoZhengDeNeiRongMiaoShu" label="内部控制缺陷具体认定标准与以前年度存在调整的内容描述">
          <m:simpleRule dataType="Any" comparator="None" minOccurs="1"/>
        </m:item>
      </m:region>
      <m:region xlName="_SEC_e09ed3bc44b74f7fa23b9f704004bf98" title="不存在调整" applicableCtrl="false@_GBC_62827533c70e4e90bf2ad2a83d8fae9f"/>
    </m:section>
    <m:section xlName="_SEC_8b6340f46e2b48a9a37d84f9ef97fe44" title="财务报告内部控制缺陷认定标准" helpText="指标可添加，须分别对应填写三个缺陷性质的定量标准”" keyAction="6" keyCode="SF_NEIKONG_BAOGAO">
      <m:tuple xlName="_TUP_738b384554794c86bea89bf0ae45b57b" concept="clcid-mr:CaiWuBaoGaoNeiBuKongZhiQueXianDingLiangBiaoZhunDeLiangHuaZhiBiaoMingXi" label="财务报告内部控制缺陷定量标准的量化指标明细" default_row="2" addr="T0R1C">
        <m:item xlName="_GBC_6e9a7943ff674ea4ad11562483b7e540" wordText="　" concept="clcid-mr:CaiWuBaoGaoNeiBuKongZhiQueXianPingJiaDeDingLiangBiaoZhunZhiBiaoMingCheng" label="财务报告内部控制缺陷评价的定量标准-指标名称" addr="T0R1C0S1_1"/>
        <m:item xlName="_GBC_a38e06076d344384a3421c872903c1df" concept="clcid-mr:CaiWuBaoGaoNeiBuKongZhiQueXianPingJiaZhongDaQueXianDingLiangBiaoZhun" label="财务报告内部控制缺陷评价重大缺陷定量标准" addr="T0R1C1S1_1"/>
        <m:item xlName="_GBC_cf4e889912a648529cd360620e66dee4" concept="clcid-mr:CaiWuBaoGaoNeiBuKongZhiQueXianPingJiaZhongYaoQueXianDingLiangBiaoZhun" label="财务报告内部控制缺陷评价重要缺陷定量标准" addr="T0R1C2S1_1"/>
        <m:item xlName="_GBC_75a09d108e284309b377121016cb1f60" concept="clcid-mr:CaiWuBaoGaoNeiBuKongZhiQueXianPingJiaYiBanQueXianDingLiangBiaoZhun" label="财务报告内部控制缺陷评价一般缺陷定量标准" addr="T0R1C3S1_1"/>
      </m:tuple>
      <m:item xlName="_GBC_14ecf7e646cb497487d77ce1c33acf85" concept="clcid-mr:CaiWuBaoGaoNeiBuKongZhiQueXianPingJiaDeDingLiangBiaoZhunDeShuoMing" label="财务报告内部控制缺陷评价的定量标准的说明"/>
      <m:placeholder xlName="_PLD_d5328ea63515470f9a2fa9a2dc1c7b08" wordText="指标名称" addr="T0R0C0S1_1"/>
      <m:placeholder xlName="_PLD_eb34dd810a0148a6859f703c7d7b1aff" wordText="重大缺陷定量标准" addr="T0R0C1S1_1"/>
      <m:placeholder xlName="_PLD_ddf758c3c73c46f099830fb3db3ac0ed" wordText="重要缺陷定量标准" addr="T0R0C2S1_1"/>
      <m:placeholder xlName="_PLD_7c6a0fe4c95548018b25a27b6b7d30ac" wordText="一般缺陷定量标准" addr="T0R0C3S1_1"/>
    </m:section>
    <m:section xlName="_SEC_31fcbbc5f1c848878dd51cdd474b309b" title="公司确定的财务报告内部控制缺陷评价的定性标准如下" helpText="须分别描述公司财务报告内部控制重大缺陷、重要缺陷和一般缺陷的定性标准" keyAction="6" keyCode="SF_NEIKONG_BAOGAO">
      <m:item xlName="_GBC_0b6ec8e1b6ac4b77b51af3fc7c5d7217" concept="clcid-mr:CaiWuBaoGaoNeiBuKongZhiQueXianPingJiaDeDingXingBiaoZhunZhongDaQueXian" label="财务报告内部控制缺陷评价的定性标准_重大缺陷" addr="T0R1C1S1_1"/>
      <m:item xlName="_GBC_25fcf5b3d12740f5994519430687b64c" concept="clcid-mr:CaiWuBaoGaoNeiBuKongZhiQueXianPingJiaDeDingXingBiaoZhunZhongYaoQueXian" label="财务报告内部控制缺陷评价的定性标准_重要缺陷" addr="T0R2C1S1_1"/>
      <m:item xlName="_GBC_1d9add0e8f6248c798c9d041cf510d7d" concept="clcid-mr:CaiWuBaoGaoNeiBuKongZhiQueXianPingJiaDeDingXingBiaoZhunYiBanQueXian" label="财务报告内部控制缺陷评价的定性标准_一般缺陷" addr="T0R3C1S1_1"/>
      <m:item xlName="_GBC_6c2aaff5e09549d986c25b90df23a227" concept="clcid-mr:CaiWuBaoGaoNeiBuKongZhiQueXianPingJiaDeDingXingBiaoZhunDeShuoMing" label="财务报告内部控制缺陷评价的定性标准的说明"/>
      <m:placeholder xlName="_PLD_72681c8eac2e4de880db96322bc7c872" wordText="缺陷性质" addr="T0R0C0S1_1"/>
      <m:placeholder xlName="_PLD_5d13fab45ff04787b6a3f7355d2edda7" wordText="定性标准" addr="T0R0C1S1_1"/>
      <m:placeholder xlName="_PLD_2a31df6014b04d2891d3ea8a23c3d545" wordText="重大缺陷" addr="T0R1C0S1_1"/>
      <m:placeholder xlName="_PLD_a58f1bc032b04bf3b765f1ddcf44a041" wordText="重要缺陷" addr="T0R2C0S1_1"/>
      <m:placeholder xlName="_PLD_74c65e3e213b40139965cbb791f28608" wordText="一般缺陷" addr="T0R3C0S1_1"/>
    </m:section>
    <m:section xlName="_SEC_ddebc6e76aa0421685cad03ccfa2cab8" title="非财务报告内部控制缺陷认定标准" helpText="指标可添加，须分别对应填写三个缺陷性质的定量标准" keyAction="6" keyCode="SF_NEIKONG_BAOGAO">
      <m:tuple xlName="_TUP_aa821d34213a42a0bd37d4dd86e65c31" concept="clcid-mr:FeiCaiWuBaoGaoNeiBuKongZhiQueXianDingLiangBiaoZhunDeLiangHuaZhiBiaoMingXi" label="非财务报告内部控制缺陷定量标准的量化指标明细" default_row="2" usage="5" addr="T0R1C">
        <m:item xlName="_GBC_710b0e8f767c4a44a9bf773f9040e5a5" wordText="　" concept="clcid-mr:FeiCaiWuBaoGaoNeiBuKongZhiQueXianPingJiaDeDingLiangBiaoZhunZhiBiaoMingCheng" label="非财务报告内部控制缺陷评价的定量标准-指标名称" addr="T0R1C0S1_1"/>
        <m:item xlName="_GBC_deadcb61a58c454e95b835ea1ce59df4" concept="clcid-mr:FeiCaiWuBaoGaoNeiBuKongZhiQueXianPingJiaZhongDaQueXianDingLiangBiaoZhun" label="非财务报告内部控制缺陷评价重大缺陷定量标准" addr="T0R1C1S1_1"/>
        <m:item xlName="_GBC_73ebc50ac024424eb520e940dc9310b9" concept="clcid-mr:FeiCaiWuBaoGaoNeiBuKongZhiQueXianPingJiaZhongYaoQueXianDingLiangBiaoZhun" label="非财务报告内部控制缺陷评价重要缺陷定量标准" addr="T0R1C2S1_1"/>
        <m:item xlName="_GBC_f2a314aaf4434bb4a7d28b30121555c0" concept="clcid-mr:FeiCaiWuBaoGaoNeiBuKongZhiQueXianPingJiaYiBanQueXianDingLiangBiaoZhun" label="非财务报告内部控制缺陷评价一般缺陷定量标准" addr="T0R1C3S1_1"/>
      </m:tuple>
      <m:item xlName="_GBC_469838bf3fae4a079ea0804f423eadad" concept="clcid-mr:FeiCaiWuBaoGaoNeiBuKongZhiQueXianPingJiaDeDingLiangBiaoZhunDeShuoMing" label="非财务报告内部控制缺陷评价的定量标准的说明"/>
      <m:placeholder xlName="_PLD_75d345366cb5468c8b9d21c68269f836" wordText="指标名称" addr="T0R0C0S1_1"/>
      <m:placeholder xlName="_PLD_eb30fac924da466c9ce8207bf90cb7f2" wordText="重大缺陷定量标准" addr="T0R0C1S1_1"/>
      <m:placeholder xlName="_PLD_1abe9bc176494e5a8d10ed6aea261600" wordText="重要缺陷定量标准" addr="T0R0C2S1_1"/>
      <m:placeholder xlName="_PLD_de71f059c4464f5690170f33589bf9b1" wordText="一般缺陷定量标准" addr="T0R0C3S1_1"/>
    </m:section>
    <m:section xlName="_SEC_a2c2cabbea0043999ac434bec171a108" title="公司确定的非财务报告内部控制缺陷评价的定性标准如下" helpText="须分别描述公司非财务报告内部控制重大缺陷、重要缺陷和一般缺陷的定性标准" keyAction="6" keyCode="SF_NEIKONG_BAOGAO">
      <m:item xlName="_GBC_70a63530cd904122bf4a52d2b391cfc3" concept="clcid-mr:FeiCaiWuBaoGaoNeiBuKongZhiQueXianPingJiaDeDingXingBiaoZhunZhongDaQueXian" label="非财务报告内部控制缺陷评价的定性标准_重大缺陷" addr="T0R1C1S1_1"/>
      <m:item xlName="_GBC_d34adc3de303404da485b9b45f4239ae" concept="clcid-mr:FeiCaiWuBaoGaoNeiBuKongZhiQueXianPingJiaDeDingXingBiaoZhunZhongYaoQueXian" label="非财务报告内部控制缺陷评价的定性标准_重要缺陷" addr="T0R2C1S1_1"/>
      <m:item xlName="_GBC_b40e47cea1f54cac837bb71a0b212ed1" concept="clcid-mr:FeiCaiWuBaoGaoNeiBuKongZhiQueXianPingJiaDeDingXingBiaoZhunYiBanQueXian" label="非财务报告内部控制缺陷评价的定性标准_一般缺陷" addr="T0R3C1S1_1"/>
      <m:item xlName="_GBC_181d5b286297425b80ab6641f6359856" concept="clcid-mr:FeiCaiWuBaoGaoNeiBuKongZhiQueXianPingJiaDeDingXingBiaoZhunDeShuoMing" label="非财务报告内部控制缺陷评价的定性标准的说明"/>
      <m:placeholder xlName="_PLD_7fa6cdabef964b81bccffff362304232" wordText="缺陷性质" addr="T0R0C0S1_1"/>
      <m:placeholder xlName="_PLD_e96c06077e37496baf157f26a416d2cf" wordText="定性标准" addr="T0R0C1S1_1"/>
      <m:placeholder xlName="_PLD_4b40bed5adfd43c685fc625406175a66" wordText="重大缺陷" addr="T0R1C0S1_1"/>
      <m:placeholder xlName="_PLD_87362650c1e84f5c9e343354b998fecf" wordText="重要缺陷" addr="T0R2C0S1_1"/>
      <m:placeholder xlName="_PLD_e2f7f9f024b84ed596fd34e56f44a269" wordText="一般缺陷" addr="T0R3C0S1_1"/>
    </m:section>
    <m:section xlName="_SEC_42c0c5bde9f149b383ad48427fa295dc" title="根据上述财务报告内部控制缺陷的认定标准，报告期内公司存在财务..." keyAction="6" keyCode="SF_NEIKONG_BAOGAO">
      <m:item xlName="_GBC_c36c78f2821e49c78a871bec4c008e93" concept="clcid-mr:BaoGaoQiNeiGongSiCaiWuBaoGaoNeiBuKongZhiZhongDaQueXianShuLiang" label="报告期内公司财务报告内部控制重大缺陷数量" formatStyle="Comma" helpText="含上年度末未完成整改的财务报告内部控制重大缺陷"/>
      <m:tuple xlName="_TUP_21766546473542b2ae887415ea83c4b5" concept="clcid-mr:CaiWuBaoGaoCunZaiNeiBuKongZhiZhongDaQueXianMingXi" label="财务报告存在内部控制重大缺陷明细" default_row="2" addr="T0R1C">
        <m:item xlName="_GBC_47261efff40246a6b436bd9dc4717c3d" wordText="　" concept="clcid-mr:CaiWuBaoGaoCunZaiNeiBuKongZhiZhongDaQueXianMingCheng" label="财务报告存在内部控制重大缺陷名称" addr="T0R1C0S1_1"/>
        <m:item xlName="_GBC_e45915625f5d4ab8ad6fc26824b1c454" concept="clcid-mr:CaiWuBaoGaoCunZaiNeiBuKongZhiZhongDaQueXianQueXianMiaoShu" label="财务报告存在内部控制重大缺陷_缺陷描述" addr="T0R1C1S1_1" helpText="具体描述重大缺陷的具体内容，缺陷分类（设计缺陷/运行缺陷)，发生时间、产生原因及对实现控制目标的影响"/>
        <m:item xlName="_GBC_ae045b49e3144be0ab5c282e35a3ec96" concept="clcid-mr:CaiWuBaoGaoCunZaiNeiBuKongZhiZhongDaQueXianYeWuLingYu" label="财务报告存在内部控制重大缺陷_业务领域" selectOptions="54baa821003849b9bbef7e4fa2a920c9" addr="T0R1C2S1_1" controlType="Combobox"/>
        <m:item xlName="_GBC_d86ed21a954e497587227d63abce5be0" concept="clcid-mr:CaiWuBaoGaoCunZaiNeiBuKongZhiZhongDaQueXianQueXianZhengGaiQingKuangHuoZhengGaiJiHua" label="财务报告存在内部控制重大缺陷_缺陷整改情况或整改计划" addr="T0R1C3S1_1" helpText="应说明整改开始时间、已采取的整改措施、整改后运行时间、整改后运行有效性的评价结论/整改计划适用于内部控制评价报告基准日未完成整改的情况，应说明拟采取的具体整改计划、整改责任人、预计完成时间"/>
        <m:item xlName="_GBC_6bff7f4df2894817acb7f2bddb4fd4dc" concept="clcid-mr:CaiWuBaoGaoNeiKongZhongDaQueXianJieZhiJiZhunRiShiFouWanChengZhengGai" label="财务报告内控重大缺陷截至基准日是否完成整改" selectOptions="_buildInYesNo" addr="T0R1C4S1_1" controlType="Combobox"/>
        <m:item xlName="_GBC_c558c1217c4d4abc98a9ab9bdabbcf33" concept="clcid-mr:CaiWuBaoGaoCunZaiNeiBuKongZhiZhongDaQueXianJieZhiBaoGaoFaChuRiShiFouWanChengZhengGai" label="财务报告存在内部控制重大缺陷_截至报告发出日是否完成整改" selectOptions="_buildInYesNo" addr="T0R1C5S1_1" controlType="Combobox"/>
      </m:tuple>
      <m:item xlName="_GBC_f99c476e5cd543ef9aeba31207710657" concept="clcid-mr:ShiFouCunZaiNeiBuKongZhiZhongDaQueXian" label="是否存在内部控制重大缺陷" selectOptions="_buildInYesNo" controlType="CustomCheckbox" cRanges="{&quot;StartName&quot;:&quot;_GBC_f99c476e5cd543ef9aeba31207710657&quot;,&quot;EndName&quot;:&quot;_GBC_c558c1217c4d4abc98a9ab9bdabbcf33&quot;,&quot;CType&quot;:1,&quot;DisplayText&quot;:null}"/>
      <m:placeholder xlName="_PLD_bb7a54ff261c42ba97e416b8f8715a9f" wordText="财务报告内部控制重大缺陷" addr="T0R0C0S1_1"/>
      <m:placeholder xlName="_PLD_0ffede050f6440d09e89ec29b895123f" wordText="缺陷描述" addr="T0R0C1S1_1"/>
      <m:placeholder xlName="_PLD_e7f883f3eb02419aac3587a4b026ab95" wordText="业务领域" addr="T0R0C2S1_1"/>
      <m:placeholder xlName="_PLD_43a424226ac146dbb354b67025052d4a" wordText="缺陷整改情况/整改计划" addr="T0R0C3S1_1"/>
      <m:placeholder xlName="_PLD_c8de2145e4c942fe907bc70f1d1856b5" wordText="截至报告基准日是否完成整改" addr="T0R0C4S1_1"/>
      <m:placeholder xlName="_PLD_09a9335879294d2a91e43448aed53399" wordText="截至报告发出日是否完成整改" addr="T0R0C5S1_1"/>
    </m:section>
    <m:section xlName="_SEC_23cc2c10f8a949519939b7d6a8387cc4" title="存在财务报告内部控制重要缺陷" keyAction="6" keyCode="SF_NEIKONG_BAOGAO">
      <m:item xlName="_GBC_fa73b198ab7c4f44a09aa19907f720ce" concept="clcid-mr:BaoGaoQiNeiGongSiCaiWuBaoGaoNeiBuKongZhiZhongYaoQueXianShuLiang" label="报告期内公司财务报告内部控制重要缺陷数量" formatStyle="Comma" helpText="含上年度末未完成整改的财务报告内部控制重要缺陷"/>
      <m:tuple xlName="_TUP_20cf6d97782b4361b4c3fb5227108dd9" concept="clcid-mr:CaiWuBaoGaoCunZaiNeiBuKongZhiZhongYaoQueXianMingXi" label="财务报告存在内部控制重要缺陷明细" default_row="2" addr="T0R1C">
        <m:item xlName="_GBC_d63d7870ae694440afc78025317d171d" wordText="　" concept="clcid-mr:CaiWuBaoGaoCunZaiNeiBuKongZhiZhongYaoQueXianMingCheng" label="财务报告存在内部控制重要缺陷名称" addr="T0R1C0S1_1"/>
        <m:item xlName="_GBC_10e25f0992114e5ea1a48a52d99eaeb9" concept="clcid-mr:CaiWuBaoGaoCunZaiNeiBuKongZhiZhongYaoQueXianQueXianMiaoShu" label="财务报告存在内部控制重要缺陷_缺陷描述" addr="T0R1C1S1_1" helpText="具体描述重要缺陷的具体内容，缺陷分类（设计缺陷/运行缺陷)，发生时间、产生原因及对实现控制目标的影响"/>
        <m:item xlName="_GBC_b147493e3c134a508ac321aefd6d3a3d" concept="clcid-mr:CaiWuBaoGaoCunZaiNeiBuKongZhiZhongYaoQueXianYeWuLingYu" label="财务报告存在内部控制重要缺陷_业务领域" selectOptions="54baa821003849b9bbef7e4fa2a920c9" addr="T0R1C2S1_1" controlType="Combobox"/>
        <m:item xlName="_GBC_87a23fc1eb1e4d049d4e0de4f9aa7228" concept="clcid-mr:CaiWuBaoGaoCunZaiNeiBuKongZhiZhongYaoQueXianQueXianZhengGaiQingKuangHuoZhengGaiJiHua" label="财务报告存在内部控制重要缺陷_缺陷整改情况或整改计划" addr="T0R1C3S1_1" helpText="应说明整改开始时间、已采取的整改措施、整改后运行时间、整改后运行有效性的评价结论/整改计划适用于内部控制评价报告基准日未完成整改的情况，应说明拟采取的具体整改计划、整改责任人、预计完成时间"/>
        <m:item xlName="_GBC_d9fa68ff9cd74f4da65c264fcd2b1ade" concept="clcid-mr:CaiWuBaoGaoNeiKongZhongYaoQueXianJieZhiJiZhunRiShiFouWanChengZhengGai" label="财务报告内控重要缺陷截至基准日是否完成整改" selectOptions="_buildInYesNo" addr="T0R1C4S1_1" controlType="Combobox"/>
        <m:item xlName="_GBC_b2c5c287164d423bbddb9ad70058f7f8" concept="clcid-mr:CaiWuBaoGaoCunZaiNeiBuKongZhiZhongYaoQueXianJieZhiBaoGaoFaChuRiShiFouWanChengZhengGai" label="财务报告存在内部控制重要缺陷_截至报告发出日是否完成整改" selectOptions="_buildInYesNo" addr="T0R1C5S1_1" controlType="Combobox"/>
      </m:tuple>
      <m:item xlName="_GBC_20cb8e80582e4895b3285e604643de14" concept="clcid-mr:BaoGaoQiNeiShiFouCunZaiCaiWuBaoGaoNeiKongZhongYaoQueXian" label="报告期内是否存在财务报告内控重要缺陷" selectOptions="_buildInYesNo" controlType="CustomCheckbox" cRanges="{&quot;StartName&quot;:&quot;_GBC_20cb8e80582e4895b3285e604643de14&quot;,&quot;EndName&quot;:&quot;_GBC_b2c5c287164d423bbddb9ad70058f7f8&quot;,&quot;CType&quot;:1,&quot;DisplayText&quot;:null}"/>
      <m:placeholder xlName="_PLD_ef348aa963ac4a69ba12b1f436b38181" wordText="财务报告内部控制重要缺陷" addr="T0R0C0S1_1"/>
      <m:placeholder xlName="_PLD_63feff7f53db45d3994fbadd795f6d8a" wordText="缺陷描述" addr="T0R0C1S1_1"/>
      <m:placeholder xlName="_PLD_48c65543fc6b4873b995be663a82ffb3" wordText="业务领域" addr="T0R0C2S1_1"/>
      <m:placeholder xlName="_PLD_8ce2b137aa644ced9c057c39427a62f4" wordText="缺陷整改情况/整改计划" addr="T0R0C3S1_1"/>
      <m:placeholder xlName="_PLD_9474aea18f354024b895458b4995b219" wordText="截至报告基准日是否完成整改" addr="T0R0C4S1_1"/>
      <m:placeholder xlName="_PLD_e6b1d6a579c848439f25f0764d11c662" wordText="截至报告发出日是否完成整改" addr="T0R0C5S1_1"/>
    </m:section>
    <m:section xlName="_SEC_7f3179198a064e75940573a5bb5dc3f9" title="财务报告存在内部控制一般缺陷的说明" keyAction="6" keyCode="SF_NEIKONG_BAOGAO">
      <m:item xlName="_GBC_4129f8df1b9c4f9dbeec76df1c25cfd3" concept="clcid-mr:CaiWuBaoGaoCunZaiNeiBuKongZhiYiBanQueXianDeShuoMing" label="财务报告存在内部控制一般缺陷的说明"/>
    </m:section>
    <m:section xlName="_SEC_f7e4dc7db1a8463ab5246d32c5a493d2" title="经过上述整改，于内部控制评价报告基准日，公司是否存在未完成整..." keyAction="6" keyCode="SF_NEIKONG_BAOGAO"/>
    <m:item xlName="_GBC_96ffe5c49c5246a6843c1c1e408be00a" concept="clcid-mr:ShiFouFaXianYuJiZhunRiWeiWanChengZhengGaiDeCaiWuBaoGaoNeiBuKongZhiZhongDaQueXian" label="是否发现：于基准日未完成整改的财务报告内部控制重大缺陷" selectOptions="_buildInYesNo" controlType="CustomCheckbox" keyCode="SF_NEIKONG_BAOGAO" keyAction="6" cRanges="{&quot;StartName&quot;:&quot;_GBC_96ffe5c49c5246a6843c1c1e408be00a&quot;,&quot;EndName&quot;:&quot;_SEC_22b01207f28e498e9f6022e134e6ddac&quot;,&quot;CType&quot;:1,&quot;DisplayText&quot;:null}"/>
    <m:section xlName="_SEC_22b01207f28e498e9f6022e134e6ddac" title="存在未完成整改的财务报告内部控制重大缺陷数量为个。" keyAction="6" keyCode="SF_NEIKONG_BAOGAO">
      <m:item xlName="_GBC_81619e2054c24312b18f486714f9b62d" concept="clcid-mr:JieZhiJiZhunRiWeiWanChengZhengGaiCaiWuBaoGaoNeiKongZhongDaQueXianDeShuLiang" label="截至基准日未完成整改财务报告内控重大缺陷的数量" formatStyle="Comma"/>
    </m:section>
    <m:section xlName="_SEC_447bf8b8185d4f33bff711f138ce2df9" title="经过上述整改，于内部控制评价报告基准日，公司是否存在未完成整..." keyAction="6" keyCode="SF_NEIKONG_BAOGAO"/>
    <m:item xlName="_GBC_21271ec2f1fe4b898e5ad73727f54fab" concept="clcid-mr:ShiFouFaXianYuJiZhunRiWeiWanChengZhengGaiDeCaiWuBaoGaoNeiBuKongZhiZhongYaoQueXian" label="是否发现：于基准日未完成整改的财务报告内部控制重要缺陷" selectOptions="_buildInYesNo" controlType="CustomCheckbox" keyCode="SF_NEIKONG_BAOGAO" keyAction="6" cRanges="{&quot;StartName&quot;:&quot;_GBC_21271ec2f1fe4b898e5ad73727f54fab&quot;,&quot;EndName&quot;:&quot;_SEC_2b47f65f835c413792339cb302a8b242&quot;,&quot;CType&quot;:1,&quot;DisplayText&quot;:null}"/>
    <m:section xlName="_SEC_2b47f65f835c413792339cb302a8b242" title="存在未完成整改的财务报告内部控制重要缺陷数量为个。" keyAction="6" keyCode="SF_NEIKONG_BAOGAO">
      <m:item xlName="_GBC_823d2e42a5b346c397c3932cee792e62" concept="clcid-mr:JieZhiJiZhunRiWeiWanChengZhengGaiCaiWuBaoGaoNeiKongZhongYaoQueXianDeShuLiang" label="截至基准日未完成整改财务报告内控重要缺陷的数量" formatStyle="Comma"/>
    </m:section>
    <m:section xlName="_SEC_4667c05adbdb4080afb931cf90f38be5" title="发现非财务报告内部控制重大缺陷" keyAction="6" keyCode="SF_NEIKONG_BAOGAO">
      <m:item xlName="_GBC_7b09a1ab5f7c4a6f866faa436c3f38e2" concept="clcid-mr:BaoGaoQiNeiGongSiFeiCaiWuBaoGaoNeiBuKongZhiZhongDaQueXianShuLiang" label="报告期内公司非财务报告内部控制重大缺陷数量" formatStyle="Comma" helpText="含上年度末未完成整改的非财务报告内部控制重大缺陷"/>
      <m:tuple xlName="_TUP_5d1508a32f024d67a4e325630fe314bd" concept="clcid-mr:FeiCaiWuBaoGaoCunZaiNeiBuKongZhiZhongDaQueXianMingXi" label="非财务报告存在内部控制重大缺陷明细" default_row="2" addr="T0R1C">
        <m:item xlName="_GBC_58c7ab78886b423db8157550c9eb0b06" wordText="　" concept="clcid-mr:FeiCaiWuBaoGaoCunZaiNeiBuKongZhiZhongDaQueXianMingCheng" label="非财务报告存在内部控制重大缺陷名称" addr="T0R1C0S1_1"/>
        <m:item xlName="_GBC_a3112e929b7943e9b8ae9b5aa33a000d" concept="clcid-mr:FeiCaiWuBaoGaoCunZaiNeiBuKongZhiZhongDaQueXianQueXianMiaoShu" label="非财务报告存在内部控制重大缺陷_缺陷描述" addr="T0R1C1S1_1" helpText="具体描述重大缺陷的具体内容，缺陷分类（设计缺陷/运行缺陷)，发生时间、产生原因及对实现控制目标的影响"/>
        <m:item xlName="_GBC_bc20e6abd2e645009f4c8c2204c55eec" concept="clcid-mr:FeiCaiWuBaoGaoCunZaiNeiBuKongZhiZhongDaQueXianYeWuLingYu" label="非财务报告存在内部控制重大缺陷_业务领域" selectOptions="54baa821003849b9bbef7e4fa2a920c9" addr="T0R1C2S1_1" controlType="Combobox"/>
        <m:item xlName="_GBC_04805b7c23774ddcb293571ec2f50ac2" concept="clcid-mr:FeiCaiWuBaoGaoCunZaiNeiBuKongZhiZhongDaQueXianQueXianZhengGaiQingKuangHuoZhengGaiJiHua" label="非财务报告存在内部控制重大缺陷_缺陷整改情况或整改计划" addr="T0R1C3S1_1" helpText="应说明整改开始时间、已采取的整改措施、整改后运行时间、整改后运行有效性的评价结论/整改计划适用于内部控制评价报告基准日未完成整改的情况，应说明拟采取的具体整改计划、整改责任人、预计完成时间"/>
        <m:item xlName="_GBC_610749cfe40a47cd8bfd6529f588683c" concept="clcid-mr:FeiCaiWuBaoGaoNeiKongZhongDaQueXianJieZhiJiZhunRiShiFouWanChengZhengGai" label="非财务报告内控重大缺陷截至基准日是否完成整改" selectOptions="_buildInYesNo" addr="T0R1C4S1_1" controlType="Combobox"/>
        <m:item xlName="_GBC_192f059e30b948418806ed8552827a23" concept="clcid-mr:FeiCaiWuBaoGaoCunZaiNeiBuKongZhiZhongDaQueXianJieZhiBaoGaoFaChuRiShiFouWanChengZhengGai" label="非财务报告存在内部控制重大缺陷_截至报告发出日是否完成整改" selectOptions="_buildInYesNo" addr="T0R1C5S1_1" controlType="Combobox"/>
      </m:tuple>
      <m:item xlName="_GBC_ad0ccfb7089c4cd18715c5d4d2320603" concept="clcid-mr:BaoGaoQiNeiShiFouCunZaiFeiCaiWuBaoGaoNeiKongZhongDaQueXian" label="报告期内是否存在非财务报告内控重大缺陷" selectOptions="_buildInYesNo" controlType="CustomCheckbox" cRanges="{&quot;StartName&quot;:&quot;_GBC_ad0ccfb7089c4cd18715c5d4d2320603&quot;,&quot;EndName&quot;:&quot;_GBC_192f059e30b948418806ed8552827a23&quot;,&quot;CType&quot;:1,&quot;DisplayText&quot;:null}"/>
      <m:placeholder xlName="_PLD_3a023019c3994fda8833c8e9ad881409" wordText="非财务报告内部控制重大缺陷" addr="T0R0C0S1_1"/>
      <m:placeholder xlName="_PLD_7535bbc2855040df8bafc384c5d86b83" wordText="缺陷描述" addr="T0R0C1S1_1"/>
      <m:placeholder xlName="_PLD_f2352ab6189f474e83c709e9eb4efb59" wordText="业务领域" addr="T0R0C2S1_1"/>
      <m:placeholder xlName="_PLD_64fa27655f1f4a4ea0ebbf4763b1fcb8" wordText="缺陷整改情况/整改计划" addr="T0R0C3S1_1"/>
      <m:placeholder xlName="_PLD_65de6f7a6fb840a69afb9598266e1600" wordText="截至报告基准日是否完成整改" addr="T0R0C4S1_1"/>
      <m:placeholder xlName="_PLD_8e7a6c0a79a24b9cb4210e56e1052a4c" wordText="截至报告发出日是否完成整改" addr="T0R0C5S1_1"/>
    </m:section>
    <m:section xlName="_SEC_77d0c96fa6fc41159b4b728d3f32c11a" title="发现非财务报告内部控制重要缺陷" keyAction="6" keyCode="SF_NEIKONG_BAOGAO">
      <m:item xlName="_GBC_d266171a7be14c2dbbf91a01ced731c2" concept="clcid-mr:BaoGaoQiNeiGongSiFeiCaiWuBaoGaoNeiBuKongZhiZhongYaoQueXianShuLiang" label="报告期内公司非财务报告内部控制重要缺陷数量" formatStyle="Comma" helpText="含上年度末未完成整改的非财务报告内部控制重要缺陷"/>
      <m:tuple xlName="_TUP_b088af80d1274e5e89901cfb3cfcf3d5" concept="clcid-mr:FeiCaiWuBaoGaoCunZaiNeiBuKongZhiZhongYaoQueXianMingXi" label="非财务报告存在内部控制重要缺陷明细" default_row="2" addr="T0R1C">
        <m:item xlName="_GBC_3b72e20eb7724597a53c874fb29a4152" wordText="　" concept="clcid-mr:FeiCaiWuBaoGaoCunZaiNeiBuKongZhiZhongYaoQueXianMingCheng" label="非财务报告存在内部控制重要缺陷名称" addr="T0R1C0S1_1"/>
        <m:item xlName="_GBC_af0c6d0a5115408e9fc41b2480a0995e" concept="clcid-mr:FeiCaiWuBaoGaoCunZaiNeiBuKongZhiZhongYaoQueXianQueXianMiaoShu" label="非财务报告存在内部控制重要缺陷_缺陷描述" addr="T0R1C1S1_1" helpText="具体描述重要缺陷的具体内容，缺陷分类（设计缺陷/运行缺陷)，发生时间、产生原因及对实现控制目标的影响"/>
        <m:item xlName="_GBC_183b867c325f4033a4d34440474f4dbb" concept="clcid-mr:FeiCaiWuBaoGaoCunZaiNeiBuKongZhiZhongYaoQueXianYeWuLingYu" label="非财务报告存在内部控制重要缺陷_业务领域" selectOptions="54baa821003849b9bbef7e4fa2a920c9" addr="T0R1C2S1_1" controlType="Combobox"/>
        <m:item xlName="_GBC_f60d8c30e2a04551b894a463115df337" concept="clcid-mr:FeiCaiWuBaoGaoCunZaiNeiBuKongZhiZhongYaoQueXianQueXianZhengGaiQingKuangHuoZhengGaiJiHua" label="非财务报告存在内部控制重要缺陷_缺陷整改情况或整改计划" addr="T0R1C3S1_1" helpText="应说明整改开始时间、已采取的整改措施、整改后运行时间、整改后运行有效性的评价结论/整改计划适用于内部控制评价报告基准日未完成整改的情况，应说明拟采取的具体整改计划、整改责任人、预计完成时间"/>
        <m:item xlName="_GBC_c1f01462984744ebbe06403bac74eae4" concept="clcid-mr:FeiCaiWuBaoGaoNeiKongZhongYaoQueXianJieZhiJiZhunRiShiFouWanChengZhengGai" label="非财务报告内控重要缺陷截至基准日是否完成整改" selectOptions="_buildInYesNo" addr="T0R1C4S1_1" controlType="Combobox"/>
        <m:item xlName="_GBC_8ad2b3cb4a3c4268bf6437155d31920c" concept="clcid-mr:FeiCaiWuBaoGaoCunZaiNeiBuKongZhiZhongYaoQueXianJieZhiBaoGaoFaChuRiShiFouWanChengZhengGai" label="非财务报告存在内部控制重要缺陷_截至报告发出日是否完成整改" selectOptions="_buildInYesNo" addr="T0R1C5S1_1" controlType="Combobox"/>
      </m:tuple>
      <m:item xlName="_GBC_1689d928e7044d5fb6cf571ddbd950c3" concept="clcid-mr:BaoGaoQiNeiShiFouCunZaiFeiCaiWuBaoGaoNeiKongZhongYaoQueXian" label="报告期内是否存在非财务报告内控重要缺陷" selectOptions="_buildInYesNo" controlType="CustomCheckbox" cRanges="{&quot;StartName&quot;:&quot;_GBC_1689d928e7044d5fb6cf571ddbd950c3&quot;,&quot;EndName&quot;:&quot;_GBC_8ad2b3cb4a3c4268bf6437155d31920c&quot;,&quot;CType&quot;:1,&quot;DisplayText&quot;:null}"/>
      <m:placeholder xlName="_PLD_66b5a764bb274b4aa293563c2662c0aa" wordText="非财务报告内部控制重要缺陷" addr="T0R0C0S1_1"/>
      <m:placeholder xlName="_PLD_4c56a0fb6bf140fe9c7ec95a4e4e7a5a" wordText="缺陷描述" addr="T0R0C1S1_1"/>
      <m:placeholder xlName="_PLD_d55c31e3367b4b68a18407587d5e8c1f" wordText="业务领域" addr="T0R0C2S1_1"/>
      <m:placeholder xlName="_PLD_6c5c7f847c8547a7822c60cefd9c32c3" wordText="缺陷整改情况/整改计划" addr="T0R0C3S1_1"/>
      <m:placeholder xlName="_PLD_6bf783e558844fd0bd31da4f85f11391" wordText="截至报告基准日是否完成整改" addr="T0R0C4S1_1"/>
      <m:placeholder xlName="_PLD_1c7e9ecde54b47cb9d5a95586c50bba8" wordText="截至报告发出日是否完成整改" addr="T0R0C5S1_1"/>
    </m:section>
    <m:section xlName="_SEC_ebaa7e48d0b84497acb298b221b862df" title="非财务报告存在内部控制一般缺陷的说明" keyAction="6" keyCode="SF_NEIKONG_BAOGAO">
      <m:item xlName="_GBC_45bb685394c34fd2a58c917055d74872" concept="clcid-mr:FeiCaiWuBaoGaoCunZaiNeiBuKongZhiYiBanQueXianDeShuoMing" label="非财务报告存在内部控制一般缺陷的说明"/>
    </m:section>
    <m:section xlName="_SEC_d6571f9f42294704a1c3ccce3e14c921" title="经过上述整改，于内部控制评价报告基准日，公司是否发现未完成整..." keyAction="6" keyCode="SF_NEIKONG_BAOGAO"/>
    <m:item xlName="_GBC_191155b1f0e54da1937115baf1dad92d" concept="clcid-mr:ShiFouFaXianYuJiZhunRiWeiWanChengZhengGaiDeFeiCaiWuBaoGaoNeiBuKongZhiZhongDaQueXian" label="是否发现：于基准日未完成整改的非财务报告内部控制重大缺陷" selectOptions="_buildInYesNo" controlType="CustomCheckbox" keyCode="SF_NEIKONG_BAOGAO" keyAction="6" cRanges="{&quot;StartName&quot;:&quot;_GBC_191155b1f0e54da1937115baf1dad92d&quot;,&quot;EndName&quot;:&quot;_SEC_89798b2e326b49b9ae83244a8c854969&quot;,&quot;CType&quot;:1,&quot;DisplayText&quot;:null}"/>
    <m:section xlName="_SEC_89798b2e326b49b9ae83244a8c854969" title="发现未完成整改的非财务报告内部控制重大缺陷数量为个。" keyAction="6" keyCode="SF_NEIKONG_BAOGAO">
      <m:item xlName="_GBC_2835066176ad47808a246b352e0ae0a4" concept="clcid-mr:JieZhiJiZhunRiWeiWanChengZhengGaiFeiCaiWuBaoGaoNeiKongZhongDaQueXianDeShuLiang" label="截至基准日未完成整改非财务报告内控重大缺陷的数量" formatStyle="Comma"/>
    </m:section>
    <m:section xlName="_SEC_a07d34e5da89407993f8092a456b9c19" title="经过上述整改，于内部控制评价报告基准日，公司是否发现未完成整..." keyAction="6" keyCode="SF_NEIKONG_BAOGAO"/>
    <m:item xlName="_GBC_7468f81863d546e798ed9d8d54e9345b" concept="clcid-mr:ShiFouFaXianYuJiZhunRiWeiWanChengZhengGaiDeFeiCaiWuBaoGaoNeiBuKongZhiZhongYaoQueXian" label="是否发现：于基准日未完成整改的非财务报告内部控制重要缺陷" selectOptions="_buildInYesNo" controlType="CustomCheckbox" keyCode="SF_NEIKONG_BAOGAO" keyAction="6" cRanges="{&quot;StartName&quot;:&quot;_GBC_7468f81863d546e798ed9d8d54e9345b&quot;,&quot;EndName&quot;:&quot;_SEC_cf3423d6d5244e1681de8e059d7d54c7&quot;,&quot;CType&quot;:1,&quot;DisplayText&quot;:null}"/>
    <m:section xlName="_SEC_cf3423d6d5244e1681de8e059d7d54c7" title="发现未完成整改的非财务报告内部控制重要缺陷数量为个。" keyAction="6" keyCode="SF_NEIKONG_BAOGAO">
      <m:item xlName="_GBC_6699ca91d9864b6d86eaecc5694c8c82" concept="clcid-mr:JieZhiJiZhunRiWeiWanChengZhengGaiFeiCaiWuBaoGaoNeiKongZhongYaoQueXianDeShuLiang" label="截至基准日未完成整改非财务报告内控重要缺陷的数量" formatStyle="Comma"/>
    </m:section>
    <m:section xlName="_SEC_b4d40d6c6fec4c80ac4ebf61fb63ee98" title="上一年度内部控制缺陷整改情况" keyAction="6" keyCode="SF_NEIKONG_BAOGAO">
      <m:item xlName="_GBC_c6aaf95ed9164e1884b99535dcf68f01" concept="clcid-mr:ShiFouShiYongShangYiNianDuNeiBuKongZhiQueXianZhengGaiQingKuang" label="是否适用：上一年度内部控制缺陷整改情况" selectOptions="_buildInAppliance" controlType="CustomCheckbox" cRanges="{&quot;StartName&quot;:&quot;_GBC_c6aaf95ed9164e1884b99535dcf68f01&quot;,&quot;EndName&quot;:&quot;_GBC_b3cedf104ae646f18fe2cc587a5e7342&quot;,&quot;CType&quot;:1,&quot;DisplayText&quot;:null}"/>
      <m:item xlName="_GBC_b3cedf104ae646f18fe2cc587a5e7342" concept="clcid-mr:ShangYiBaoGaoQiNeiBuKongZhiPingJiaJieLunQueXianZhengGaiQingKuang" label="上一报告期内部控制评价结论、缺陷整改情况" helpText="用于描述上一报告期内部控制评价结论、缺陷整改情况等。上市公司可以根据自身情况选择是否披露。" appId="_GBC_c6aaf95ed9164e1884b99535dcf68f01"/>
    </m:section>
    <m:section xlName="_SEC_49a551c8834d430989771f2a70dc2516" title="本年度内部控制运行情况及下一年度改进方向" keyAction="6" keyCode="SF_NEIKONG_BAOGAO">
      <m:item xlName="_GBC_56aec8d09e0a4646b728a676b949e463" concept="clcid-mr:ShiFouShiYongNeiBuKongZhiYunXingQingKuangJiXiaYiNianDuGaiJinFangXiang" label="是否适用：内部控制运行情况及下一年度改进方向" selectOptions="_buildInAppliance" controlType="CustomCheckbox" globalControl="true"/>
      <m:region xlName="_SEC_fd471fc3628a48b88cc7f82e9b69cf4a" title="本年度内部控制运行情况及下一年度改进方向" applicableCtrl="true@_GBC_56aec8d09e0a4646b728a676b949e463" helpText="用于描述报告期内组织内控体系建设和运行情况综述，提出下一年度的主要改进方向等。上市公司可以根据自身情况选择是否披露。">
        <m:item xlName="_GBC_287045702c5244359dbc6e77d3d9c306" concept="clcid-mr:NeiBuKongZhiYunXingQingKuangJiXiaYiNianDuGaiJinFangXiang" label="内部控制运行情况及下一年度改进方向"/>
      </m:region>
    </m:section>
    <m:section xlName="_SEC_e6059b6b7af34cc2885490ac0b0be8ed" title="其他重大事项说明" keyAction="6" keyCode="SF_NEIKONG_BAOGAO">
      <m:item xlName="_GBC_e7fe29b6bf8b4806ac0931fe153ae978" concept="clcid-mr:ShiFouShiYongQiTaZhongDaShiXiangShuoMing" label="是否适用：其他重大事项说明" selectOptions="_buildInAppliance" controlType="CustomCheckbox" globalControl="true"/>
      <m:region xlName="_SEC_d11b8d1d0ab249d98bdc25e511f805b0" title="其他重大事项说明" applicableCtrl="true@_GBC_e7fe29b6bf8b4806ac0931fe153ae978" helpText="若适用，需披露可能对投资者理解内部控制评价报告、评价内部控制情况或进行投资决策产生重大影响的其他内部控制信息。与内部控制无关的重大事项不需要在此披露。">
        <m:item xlName="_GBC_d43aebcd4913432c8d9076d687fcd04e" concept="clcid-mr:QiTaNeiBuKongZhiXiangGuanZhongDaShiXiangShuoMingDeNeiRong" label="其他内部控制相关重大事项说明的内容"/>
      </m:region>
    </m:section>
    <m:section xlName="_SEC_a4f839a8a8f84146a8b7b000742131d3" title="签名" keyAction="6" keyCode="SF_NEIKONG_BAOGAO">
      <m:item xlName="_GBC_0c2369c54a4d4b558bf7548560707a01" concept="clcid-gcd:BaoGaoFaBuRen" label="报告发布人">
        <m:simpleRule dataType="Any" comparator="None" minOccurs="1"/>
      </m:item>
      <m:item xlName="_GBC_798e1f0938e54c99821aa8ad4fe9b030" concept="clcid-cgi:GongSiFaDingZhongWenMingCheng" label="公司法定中文名称" keyCode="FADING_MINGCHENG" keyAction="5"/>
      <m:item xlName="_GBC_d3ed967ce9694f468faec92f26bea34d" concept="clcid-mr:NeiBuKongZhiPingJiaBaoGaoRiQi" label="内部控制评价报告日期" controlType="DatePicker">
        <m:simpleRule dataType="Any" comparator="None" minOccurs="1"/>
      </m:item>
    </m:section>
  </m:document>
</m:mapping>
</file>

<file path=customXml/item5.xml><?xml version="1.0" encoding="utf-8"?>
<t:template xmlns:t="http://mapping.word.org/2012/template" title="内部控制评价报告" docType="Full" guid="e54159e7-d907-4177-88a7-1d9214d6e89f" regulator="上海交易所" reportName="内部控制评价报告" reportClass="定期报告" reportType="TA1231" templateGuid="{e7fa5250-ae45-4d82-99ce-fab34bb9cb9d}" guidelineDate="2022-12-31" version="1.0" reportMonthDay="-12-31" reportguid="1f3cea03-385c-4dee-9fd3-d870c3673097" reportFiles="" industry="所有行业" subIndustry="" isOtherYears="false" isReport="true" fullDoc="" summaryDoc="" internalDoc="" reportTemplatePath="Template\上海交易所\定期报告\TA1231\2022-12-31\所有行业" summaryReportFile="" officeVersoins="{&quot;14.0&quot;:&quot;2017-10-09|2017-12-22&quot;,&quot;16.0&quot;:&quot;2019-01-07|2019-12-12|2020-12-16|2022-12-22&quot;,&quot;12.0&quot;:&quot;2023-04-07|2023-04-23&quot;}" keepControlTitle="1" profile="default">
  <t:appInfo>
    <t:userDefined/>
    <t:bidirectionals/>
    <t:placeholders>
      <t:placeholder pname="GBC33333333333333333333333333333" name="默认样式" color="10040115" underline="False" field="AllType" format="Default" table="All" display="默认样式" initsytle="False">（空）</t:placeholder>
      <t:placeholder name="表内样式" color="10040115" underline="False" field="AllType" format="Default" table="WithInTable" display="表内样式" initsytle="False">（空）</t:placeholder>
      <t:placeholder name="表外样式" color="10040115" underline="False" field="AllType" format="Default" table="WithOutTable" display="表外样式" initsytle="False">（空）</t:placeholder>
      <t:placeholder name="数值样式" color="10040115" underline="False" field="Num" format="Default" table="All" display="数值样式" initsytle="False">（空）</t:placeholder>
      <t:placeholder name="文本样式" color="10040115" underline="False" field="Text" format="Default" table="All" display="文本样式" initsytle="False">（空）</t:placeholder>
      <t:placeholder name="下拉框样式" color="10040115" underline="False" field="Combobox" format="Default" table="All" display="下拉框样式" initsytle="False">（空）</t:placeholder>
      <t:placeholder name="填报样式" color="10040115" underline="False" field="AllType" format="Edit" table="All" display="填报样式" initsytle="False">（空）</t:placeholder>
      <t:placeholder name="披露样式" color="10040115" underline="False" field="AllType" format="Full" table="All" display="披露样式" initsytle="False"/>
    </t:placeholders>
  </t:appInfo>
  <t:instance>
    <t:dts active="true" title="clcid-ci-far-2008-12-31.xsd">
      <t:file localFile="D:\SSEReport\cache\http\www.xbrl-cn.org\cn\lcid\ci\far\2008-12-31\clcid-ci-far-2008-12-31.xsd">http://www.xbrl-cn.org/cn/lcid/ci/far/2008-12-31/clcid-ci-far-2008-12-31.xsd</t:file>
    </t:dts>
    <t:schemes>
      <t:scheme code="SS" title="上海交易所" scheme="http://www.sse.com.cn"/>
      <t:scheme code="SZ" title="深圳交易所" scheme="http://www.szse.com"/>
    </t:schemes>
    <t:contexts>
      <t:scheme>http://www.sse.com.cn</t:scheme>
      <t:company>601187</t:company>
      <t:reportStartDate>2022-01-01</t:reportStartDate>
      <t:reportEndDate>2022-12-31</t:reportEndDate>
    </t:contexts>
  </t:instance>
  <t:parameters>
    <t:parameter title="公司简称" name="GONGSI_JIANCHENG" type="string" selectRef="GONGSI_DAIMA,A_GU_DAIMA,A_GU_JIANCHENG,B_GU_JIANCHENG,B_GU_DAIMA" selectExpression="if($GONGSI_DAIMA eq $A_GU_DAIMA) then $A_GU_JIANCHENG else $B_GU_JIANCHENG" isKeyInfo="true" visible="false"/>
    <t:parameter title="公司代码" name="GONGSI_DAIMA" type="string" value="601187" isKeyInfo="true" visible="false"/>
    <t:parameter title="是否披露内控评价报告" name="SF_NEIKONG_BAOGAO" type="boolean" value="true" isKeyInfo="true"/>
    <t:parameter title="公司法定中文名称" name="FADING_MINGCHENG" type="string" value="厦门银行股份有限公司" isKeyInfo="true"/>
    <t:parameter title="A股代码" name="A_GU_DAIMA" type="string" value="601187" isKeyInfo="true"/>
    <t:parameter title="A股简称" name="A_GU_JIANCHENG" type="string" selectRef="A_GU_DAIMA" isKeyInfo="true"/>
    <t:parameter title="B股简称" name="B_GU_JIANCHENG" type="string" selectRef="B_GU_DAIMA" isKeyInfo="true"/>
    <t:parameter title="B股代码" name="B_GU_DAIMA" type="string" isKeyInfo="true"/>
  </t:parameters>
  <t:options>
    <t:select name="常用单位" id="_buildInScales">
      <t:option text="元" value="1" default="true"/>
      <t:option text="千元" value="1000"/>
      <t:option text="万元" value="10000"/>
      <t:option text="百万元" value="1000000"/>
      <t:option text="亿元" value="100000000"/>
    </t:select>
    <t:select name="常用币种" id="_buildInISO4217">
      <t:option text="人民币" value="CNY" default="true"/>
      <t:option text="美元" value="USD"/>
      <t:option text="欧元" value="EUR"/>
      <t:option text="日元" value="JPY"/>
      <t:option text="港元" value="HKD"/>
      <t:option text="澳门元" value="MOP"/>
      <t:option text="韩元" value="KRW"/>
      <t:option text="瑞士法郎" value="CHF"/>
      <t:option text="加拿大元" value="CAD"/>
    </t:select>
    <t:select name="是否适用" id="_buildInAppliance">
      <t:option text="适用" value="true"/>
      <t:option text="不适用" value="false"/>
    </t:select>
    <t:select name="是否选择" id="_buildInYesNo">
      <t:option text="是" value="true"/>
      <t:option text="否" value="false"/>
    </t:select>
    <t:select name="审计类型" id="_buildInAudit">
      <t:option text="未经审计" value="false" default="true"/>
      <t:option text="经审计" value="true"/>
    </t:select>
    <t:select name="是否存在" id="82a556ab242243578d1ce7ce24172d47">
      <t:option text="存在" value="true"/>
      <t:option text="不存在" value="false"/>
    </t:select>
    <t:select name="特殊情形" id="c545c1668b19424c84af4800ddd074f2">
      <t:option text="破产重整" value="破产重整"/>
      <t:option text="借壳上市或重大资产重组" value="借壳上市或重大资产重组"/>
      <t:option text="新上市" value="新上市"/>
    </t:select>
    <t:select name="是否有效" id="47487b111cbb4abeab0d80e62e8d02aa">
      <t:option text="有效" value="true"/>
      <t:option text="无效" value="false"/>
    </t:select>
    <t:select name="业务领域" id="54baa821003849b9bbef7e4fa2a920c9">
      <t:option text="资产管理" value="资产管理"/>
      <t:option text="财务管理" value="财务管理"/>
      <t:option text="生产管理" value="生产管理"/>
      <t:option text="销售管理" value="销售管理"/>
      <t:option text="投资管理" value="投资管理"/>
      <t:option text="综合管理" value="综合管理"/>
      <t:option text="内部审计" value="内部审计"/>
      <t:option text="其他" value="其他"/>
    </t:select>
    <t:select name="是否发现" id="4e4bd20ee03d4f8eac51c80ccb695144">
      <t:option text="发现" value="true"/>
      <t:option text="未发现" value="false"/>
    </t:select>
  </t:options>
  <t:connection/>
  <t:wizard>
    <t:wizOper id="_GBC_175b5c3cc63f4e11875e9e79e02ca7d1" action="SetValue" val="厦门银行股份有限公司"/>
    <t:wizOper id="_GBC_ca832f6ab5c74ccfb2f75dfd08169d9b" action="SetValue" val="厦门银行股份有限公司"/>
    <t:wizOper id="_GBC_e2504fafcd4b42419f5460ccf079b9b6" action="SetValue" val="厦门银行股份有限公司"/>
    <t:wizOper id="_GBC_798e1f0938e54c99821aa8ad4fe9b030" action="SetValue" val="厦门银行股份有限公司"/>
    <t:wizOper id="_GBC_383117efab774a44acf20b3e1cc567b1" action="SetValue" val="601187"/>
    <t:wizOper id="_GBC_aa007ebafb254bdab24f302b7f71451d" action="SetValue" val="601187"/>
    <t:wizOper id="_GBC_5816e3784ff7409b96c6484369904658" action="SetValue"/>
    <t:wizOper id="_GBC_2d26df47c4054d8696ace1cbd5cf6b28" action="SetValue"/>
    <t:wizOper id="_SEC_707898c64d7743dc8b3fd22871a4474e" action="RemoveSection" val="true"/>
    <t:wizOper id="_GBC_5ccb0907593744349c02ce86881c1d3c" action="RemoveSection" val="true"/>
    <t:wizOper id="_SEC_19c0b559da934ca2b149ea2e2a373ef7" action="RemoveSection" val="true"/>
    <t:wizOper id="_SEC_5de951949acb415592ea027a8ffb272f" action="RemoveSection" val="true"/>
    <t:wizOper id="_SEC_d79731ccc4f34da6a437920351621c98" action="RemoveSection" val="true"/>
    <t:wizOper id="_SEC_c3af264f5d07449a8c10ffceab96474d" action="RemoveSection" val="true"/>
    <t:wizOper id="_SEC_8813286a143a4bca9f8016e57279e537" action="RemoveSection" val="true"/>
    <t:wizOper id="_SEC_cac4d83d41894224a66fa3faf38e51a6" action="NotRemoveSection" val="true"/>
    <t:wizOper id="_SEC_c4b9f5e7c69c47358410aa2f114bc083" action="NotRemoveSection" val="true"/>
    <t:wizOper id="_SEC_3d785f1c073d45a193eb349053fa386e" action="NotRemoveSection" val="true"/>
    <t:wizOper id="_SEC_444c6e3104894ea7bc898100ff2e0edd" action="NotRemoveSection" val="true"/>
    <t:wizOper id="_SEC_bd8a46087e6e4367a0fd65aa6ca5ab80" action="NotRemoveSection" val="true"/>
    <t:wizOper id="_SEC_3518f5b0146b4d329d34828211e4ea36" action="NotRemoveSection" val="true"/>
    <t:wizOper id="_SEC_4e58ccbfa6c241ed857d838849ef37de" action="NotRemoveSection" val="true"/>
    <t:wizOper id="_SEC_27e244efa9974030bbc8f0f40bd88949" action="NotRemoveSection" val="true"/>
    <t:wizOper id="_SEC_d7b76d39380340719c35a9bebe67f909" action="NotRemoveSection" val="true"/>
    <t:wizOper id="_SEC_4d096fba8afa445e9ed69b9e3aec28c5" action="NotRemoveSection" val="true"/>
    <t:wizOper id="_SEC_f6eb923251034c75af564206580ff42b" action="NotRemoveSection" val="true"/>
    <t:wizOper id="_SEC_741f8c65739143af9be9d37cf39c67e8" action="NotRemoveSection" val="true"/>
    <t:wizOper id="_SEC_65b2fd41248744d19cbb5b8815f421f4" action="NotRemoveSection" val="true"/>
    <t:wizOper id="_SEC_4b0cbbe9d925436eb6862dd766f820b7" action="NotRemoveSection" val="true"/>
    <t:wizOper id="_SEC_b4078b370b4c4f5da084304d4188ca3e" action="NotRemoveSection" val="true"/>
    <t:wizOper id="_SEC_bf48daa647df4ad3b803dcfb0097c1e2" action="NotRemoveSection" val="true"/>
    <t:wizOper id="_SEC_f49cac19fbb74a399a64cdf78b0c9a85" action="NotRemoveSection" val="true"/>
    <t:wizOper id="_SEC_3d3a68b60d594a77bbd9fdad987e2de2" action="NotRemoveSection" val="true"/>
    <t:wizOper id="_SEC_7387372f4d884cdfa361ab83758cba5b" action="NotRemoveSection" val="true"/>
    <t:wizOper id="_SEC_b69b61b4f6af404099ea4903d8918fa0" action="NotRemoveSection" val="true"/>
    <t:wizOper id="_SEC_7fc92fc4777c4bfc877a16fdfec801e1" action="NotRemoveSection" val="true"/>
    <t:wizOper id="_SEC_8f11172248dc4ce79a88e20aef2cd7ed" action="NotRemoveSection" val="true"/>
    <t:wizOper id="_GBC_fd3aa79183944e5e8a7f5da7a54314ea" action="NotRemoveSection" val="true"/>
    <t:wizOper id="_SEC_46cacd58970e4ca8830344164c900ef5" action="NotRemoveSection" val="true"/>
    <t:wizOper id="_SEC_0934c372948c47c092c8070e3f049c7b" action="NotRemoveSection" val="true"/>
    <t:wizOper id="_SEC_506bb75e76e6481db06bce14cafe5c29" action="NotRemoveSection" val="true"/>
    <t:wizOper id="_SEC_82827dc9fa9c4954b79ddcc58d3d5d5b" action="NotRemoveSection" val="true"/>
    <t:wizOper id="_SEC_adde78c537b749b495b39d30ca68a7b7" action="NotRemoveSection" val="true"/>
    <t:wizOper id="_SEC_8b6340f46e2b48a9a37d84f9ef97fe44" action="NotRemoveSection" val="true"/>
    <t:wizOper id="_SEC_31fcbbc5f1c848878dd51cdd474b309b" action="NotRemoveSection" val="true"/>
    <t:wizOper id="_SEC_ddebc6e76aa0421685cad03ccfa2cab8" action="NotRemoveSection" val="true"/>
    <t:wizOper id="_SEC_a2c2cabbea0043999ac434bec171a108" action="NotRemoveSection" val="true"/>
    <t:wizOper id="_SEC_42c0c5bde9f149b383ad48427fa295dc" action="NotRemoveSection" val="true"/>
    <t:wizOper id="_SEC_23cc2c10f8a949519939b7d6a8387cc4" action="NotRemoveSection" val="true"/>
    <t:wizOper id="_SEC_7f3179198a064e75940573a5bb5dc3f9" action="NotRemoveSection" val="true"/>
    <t:wizOper id="_SEC_f7e4dc7db1a8463ab5246d32c5a493d2" action="NotRemoveSection" val="true"/>
    <t:wizOper id="_GBC_96ffe5c49c5246a6843c1c1e408be00a" action="NotRemoveSection" val="true"/>
    <t:wizOper id="_SEC_22b01207f28e498e9f6022e134e6ddac" action="NotRemoveSection" val="true"/>
    <t:wizOper id="_SEC_447bf8b8185d4f33bff711f138ce2df9" action="NotRemoveSection" val="true"/>
    <t:wizOper id="_GBC_21271ec2f1fe4b898e5ad73727f54fab" action="NotRemoveSection" val="true"/>
    <t:wizOper id="_SEC_2b47f65f835c413792339cb302a8b242" action="NotRemoveSection" val="true"/>
    <t:wizOper id="_SEC_4667c05adbdb4080afb931cf90f38be5" action="NotRemoveSection" val="true"/>
    <t:wizOper id="_SEC_77d0c96fa6fc41159b4b728d3f32c11a" action="NotRemoveSection" val="true"/>
    <t:wizOper id="_SEC_ebaa7e48d0b84497acb298b221b862df" action="NotRemoveSection" val="true"/>
    <t:wizOper id="_SEC_d6571f9f42294704a1c3ccce3e14c921" action="NotRemoveSection" val="true"/>
    <t:wizOper id="_GBC_191155b1f0e54da1937115baf1dad92d" action="NotRemoveSection" val="true"/>
    <t:wizOper id="_SEC_89798b2e326b49b9ae83244a8c854969" action="NotRemoveSection" val="true"/>
    <t:wizOper id="_SEC_a07d34e5da89407993f8092a456b9c19" action="NotRemoveSection" val="true"/>
    <t:wizOper id="_GBC_7468f81863d546e798ed9d8d54e9345b" action="NotRemoveSection" val="true"/>
    <t:wizOper id="_SEC_cf3423d6d5244e1681de8e059d7d54c7" action="NotRemoveSection" val="true"/>
    <t:wizOper id="_SEC_b4d40d6c6fec4c80ac4ebf61fb63ee98" action="NotRemoveSection" val="true"/>
    <t:wizOper id="_SEC_49a551c8834d430989771f2a70dc2516" action="NotRemoveSection" val="true"/>
    <t:wizOper id="_SEC_e6059b6b7af34cc2885490ac0b0be8ed" action="NotRemoveSection" val="true"/>
    <t:wizOper id="_SEC_a4f839a8a8f84146a8b7b000742131d3" action="NotRemoveSection" val="true"/>
  </t:wizard>
</t:templat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4F5F74-11AE-4923-84F9-345A41E221D0}">
  <ds:schemaRefs/>
</ds:datastoreItem>
</file>

<file path=customXml/itemProps3.xml><?xml version="1.0" encoding="utf-8"?>
<ds:datastoreItem xmlns:ds="http://schemas.openxmlformats.org/officeDocument/2006/customXml" ds:itemID="{115E4C8D-3D56-4A83-88F2-ED2660024D4A}">
  <ds:schemaRefs/>
</ds:datastoreItem>
</file>

<file path=customXml/itemProps4.xml><?xml version="1.0" encoding="utf-8"?>
<ds:datastoreItem xmlns:ds="http://schemas.openxmlformats.org/officeDocument/2006/customXml" ds:itemID="{08a5a8d3-11b0-47b0-8e4c-05e9e12e5e08}">
  <ds:schemaRefs/>
</ds:datastoreItem>
</file>

<file path=customXml/itemProps5.xml><?xml version="1.0" encoding="utf-8"?>
<ds:datastoreItem xmlns:ds="http://schemas.openxmlformats.org/officeDocument/2006/customXml" ds:itemID="{d183d8ad-d546-43fd-ac28-511be6f35687}">
  <ds:schemaRefs/>
</ds:datastoreItem>
</file>

<file path=docProps/app.xml><?xml version="1.0" encoding="utf-8"?>
<Properties xmlns="http://schemas.openxmlformats.org/officeDocument/2006/extended-properties" xmlns:vt="http://schemas.openxmlformats.org/officeDocument/2006/docPropsVTypes">
  <Template>SSEReport.dotm</Template>
  <Company>Hewlett-Packard Company</Company>
  <Pages>6</Pages>
  <Words>851</Words>
  <Characters>4857</Characters>
  <Lines>40</Lines>
  <Paragraphs>11</Paragraphs>
  <TotalTime>441</TotalTime>
  <ScaleCrop>false</ScaleCrop>
  <LinksUpToDate>false</LinksUpToDate>
  <CharactersWithSpaces>5697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2023-04-07T02:02:00Z</dcterms:created>
  <dc:creator>sse</dc:creator>
  <cp:lastModifiedBy>Administrator</cp:lastModifiedBy>
  <dcterms:modified xsi:type="dcterms:W3CDTF">2023-04-23T01:58:31Z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